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pPr>
              <w:pStyle w:val="3"/>
              <w:keepNext w:val="0"/>
              <w:keepLines w:val="0"/>
              <w:pageBreakBefore w:val="0"/>
              <w:widowControl w:val="0"/>
              <w:kinsoku/>
              <w:wordWrap/>
              <w:overflowPunct/>
              <w:topLinePunct w:val="0"/>
              <w:bidi w:val="0"/>
              <w:adjustRightInd/>
              <w:snapToGrid/>
              <w:spacing w:line="360" w:lineRule="auto"/>
              <w:textAlignment w:val="auto"/>
              <w:rPr>
                <w:rFonts w:asciiTheme="majorEastAsia" w:hAnsiTheme="majorEastAsia" w:eastAsiaTheme="majorEastAsia"/>
              </w:rPr>
            </w:pPr>
            <w:r>
              <w:rPr>
                <w:rFonts w:hint="eastAsia" w:hAnsi="宋体" w:cs="宋体"/>
                <w:color w:val="000000"/>
                <w:highlight w:val="none"/>
              </w:rPr>
              <w:t>一、工程概</w:t>
            </w:r>
            <w:r>
              <w:rPr>
                <w:rFonts w:hint="eastAsia" w:ascii="宋体" w:hAnsi="宋体" w:cs="宋体"/>
                <w:color w:val="000000"/>
                <w:szCs w:val="21"/>
                <w:highlight w:val="none"/>
              </w:rPr>
              <w:t>况：</w:t>
            </w:r>
            <w:r>
              <w:rPr>
                <w:rFonts w:hint="eastAsia" w:asciiTheme="majorEastAsia" w:hAnsiTheme="majorEastAsia" w:eastAsiaTheme="majorEastAsia"/>
                <w:b w:val="0"/>
                <w:bCs w:val="0"/>
                <w:lang w:val="en-US" w:eastAsia="zh-CN"/>
              </w:rPr>
              <w:t>杭州电子科技大学下沙校区图书馆12楼空间阅读室改造工程</w:t>
            </w:r>
            <w:r>
              <w:rPr>
                <w:rFonts w:hint="eastAsia" w:hAnsi="宋体" w:cs="宋体"/>
                <w:lang w:eastAsia="zh-CN"/>
              </w:rPr>
              <w:t>，</w:t>
            </w:r>
            <w:r>
              <w:rPr>
                <w:rFonts w:hint="eastAsia" w:hAnsi="宋体" w:cs="宋体"/>
                <w:lang w:val="en-US" w:eastAsia="zh-CN"/>
              </w:rPr>
              <w:t>工程范围为</w:t>
            </w:r>
            <w:r>
              <w:rPr>
                <w:rFonts w:hint="eastAsia" w:hAnsi="宋体" w:cs="宋体"/>
              </w:rPr>
              <w:t>杭州电子科技大学下沙校区图书馆12楼空间阅读室改造工程</w:t>
            </w:r>
            <w:r>
              <w:rPr>
                <w:rFonts w:hint="eastAsia" w:hAnsi="宋体" w:cs="宋体"/>
                <w:lang w:val="en-US" w:eastAsia="zh-CN"/>
              </w:rPr>
              <w:t>工程量清单内所有内容，杭州电子科技大学下沙校区图书馆12楼局部装饰和安装工程改造</w:t>
            </w:r>
            <w:r>
              <w:rPr>
                <w:rFonts w:hint="eastAsia" w:cs="宋体" w:asciiTheme="majorEastAsia" w:hAnsiTheme="majorEastAsia" w:eastAsiaTheme="majorEastAsia"/>
                <w:color w:val="000000"/>
              </w:rPr>
              <w:t>。</w:t>
            </w:r>
            <w:r>
              <w:rPr>
                <w:rFonts w:hint="eastAsia" w:cs="宋体" w:asciiTheme="majorEastAsia" w:hAnsiTheme="majorEastAsia" w:eastAsiaTheme="majorEastAsia"/>
                <w:color w:val="000000"/>
                <w:lang w:val="en-US" w:eastAsia="zh-CN"/>
              </w:rPr>
              <w:t>改造面积约500平方米。</w:t>
            </w:r>
            <w:r>
              <w:rPr>
                <w:rFonts w:hint="eastAsia" w:cs="宋体" w:asciiTheme="majorEastAsia" w:hAnsiTheme="majorEastAsia" w:eastAsiaTheme="majorEastAsia"/>
                <w:color w:val="000000"/>
              </w:rPr>
              <w:t>具体内容和工程做法详见施工图及设计说明。</w:t>
            </w:r>
          </w:p>
          <w:p>
            <w:pPr>
              <w:autoSpaceDE w:val="0"/>
              <w:autoSpaceDN w:val="0"/>
              <w:adjustRightInd w:val="0"/>
              <w:spacing w:line="360" w:lineRule="auto"/>
              <w:rPr>
                <w:rFonts w:ascii="宋体" w:hAnsi="宋体" w:cs="宋体"/>
                <w:color w:val="000000"/>
                <w:szCs w:val="21"/>
                <w:highlight w:val="none"/>
              </w:rPr>
            </w:pPr>
            <w:r>
              <w:rPr>
                <w:rFonts w:hint="eastAsia" w:ascii="宋体" w:hAnsi="宋体" w:cs="宋体"/>
                <w:color w:val="000000"/>
                <w:szCs w:val="21"/>
                <w:highlight w:val="none"/>
              </w:rPr>
              <w:t>二、工程招标范围：根据业主提供的图纸确</w:t>
            </w:r>
            <w:r>
              <w:rPr>
                <w:rFonts w:hint="eastAsia" w:cs="宋体"/>
                <w:color w:val="000000"/>
                <w:highlight w:val="none"/>
              </w:rPr>
              <w:t>定的范围。</w:t>
            </w:r>
          </w:p>
          <w:p>
            <w:pPr>
              <w:autoSpaceDE w:val="0"/>
              <w:autoSpaceDN w:val="0"/>
              <w:adjustRightInd w:val="0"/>
              <w:spacing w:line="360" w:lineRule="auto"/>
              <w:rPr>
                <w:rFonts w:hAnsi="宋体" w:cs="宋体"/>
                <w:color w:val="000000"/>
                <w:highlight w:val="none"/>
              </w:rPr>
            </w:pPr>
            <w:r>
              <w:rPr>
                <w:rFonts w:hint="eastAsia" w:hAnsi="宋体" w:cs="宋体"/>
                <w:color w:val="000000"/>
                <w:highlight w:val="none"/>
              </w:rPr>
              <w:t>三、编制依据：</w:t>
            </w:r>
          </w:p>
          <w:p>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3.《通用安装工程工程量计算规范》（GB50856—2013）；</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5．《关于印发建设工程工程量计算规范（2013）浙江省补充规定的通知》（浙建站计﹝2013﹞63号）；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7．《浙江省建设工程计价规则》（2018版）；</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8.《关于增值税调整后我省建设工程计价依据增值税税率及有关计价调整的通知》（浙建建发[2019]92号 ）；</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9.《杭州市城乡建设委员会关于推进杭州市建筑施工领域安全生产责任保险工作的通知》（杭建工发[2021]384号）、《关于明确杭州市建筑施工领域安全生产责任保险费用计取的通知》（杭建招标造价中心[2021]84号）；</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10.《省建设厅关于调整建筑工程安全文明施工费的通知》（浙建建发[2022]37号）；</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11.关于贯彻《省建设厅关于调整建筑工程安全文明施工费的通知》的通知（杭建市发[2022]54号）；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12．省、市建设行政主管部门以及工程造价管理机构颁发的相关计价办法和计价规定；</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13．其他与工程项目有关的规范、标准和技术资料；</w:t>
            </w:r>
          </w:p>
          <w:p>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rPr>
              <w:t>14．施工现场实际情况、工程特点、常规施工方案；</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15．业主提供的设计图纸。</w:t>
            </w:r>
          </w:p>
          <w:p>
            <w:pPr>
              <w:pStyle w:val="3"/>
              <w:tabs>
                <w:tab w:val="left" w:pos="3060"/>
              </w:tabs>
              <w:spacing w:line="360" w:lineRule="auto"/>
              <w:ind w:firstLine="1"/>
              <w:rPr>
                <w:rFonts w:hAnsi="宋体" w:cs="宋体"/>
                <w:color w:val="000000"/>
                <w:highlight w:val="none"/>
              </w:rPr>
            </w:pPr>
            <w:r>
              <w:rPr>
                <w:rFonts w:hint="eastAsia" w:hAnsi="宋体" w:cs="宋体"/>
                <w:color w:val="000000"/>
                <w:highlight w:val="none"/>
              </w:rPr>
              <w:t>四、报价要求：</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1．工程量清单应与投标人须知，通用合同条款、专用合同条款、技术标准和要求及图纸等文件结合起来查阅与理解，并根据现场实际情况综合考虑报价；</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4</w:t>
            </w:r>
            <w:r>
              <w:rPr>
                <w:rFonts w:hint="eastAsia" w:hAnsi="宋体" w:cs="宋体"/>
                <w:color w:val="000000"/>
                <w:highlight w:val="none"/>
              </w:rPr>
              <w:t>．安全文明施工基本费费率不得低于《浙江省建设工程计价规则》（2018版）规定的下限，按市区工程计取，其中疫情常态化防控及“智慧工地”费用计取按照：浙建建发[2022]37号文件执行，包含在安全文明施工费内，具体如下：</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机械费”，最低费率为：5.91%；</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机械费”，最低费率为：7.35%；</w:t>
            </w:r>
          </w:p>
          <w:p>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5</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机械费”，最低费率为：8.38%；</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机械费”，最低费率为：9.19%；</w:t>
            </w:r>
          </w:p>
          <w:p>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6</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其中安责险计取按照：杭建工发[2021] 384号文件，杭建招标造价中心[2021]84号文件结合本项目实际情况，自行考虑，包含在企业管理费内。同时，投标人必须对企业管理费中所包含的现场临时宿舍空调设施、安全生产责任保险等费用，在相应的清单明细表中(表2-5)进行单独费用报价分析。具体如下：</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机械费”，最低费率为：2.28%；</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机械费”，最低费率为：3.26%；</w:t>
            </w:r>
          </w:p>
          <w:p>
            <w:pPr>
              <w:pStyle w:val="3"/>
              <w:numPr>
                <w:ilvl w:val="0"/>
                <w:numId w:val="1"/>
              </w:numPr>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税金应根据《浙江省建设工程计价规则》（2018版）的规定及浙建建发[2019]92号的相关规定以（税前工程造价）为取费基数, 取费费率为：9%。</w:t>
            </w:r>
          </w:p>
          <w:p>
            <w:pPr>
              <w:spacing w:line="360" w:lineRule="exact"/>
              <w:rPr>
                <w:rFonts w:hint="default" w:ascii="宋体" w:hAnsi="宋体" w:eastAsia="宋体" w:cs="宋体"/>
                <w:b w:val="0"/>
                <w:bCs w:val="0"/>
                <w:szCs w:val="21"/>
                <w:highlight w:val="none"/>
                <w:lang w:val="en-US" w:eastAsia="zh-CN"/>
              </w:rPr>
            </w:pPr>
            <w:r>
              <w:rPr>
                <w:rFonts w:hint="eastAsia" w:ascii="宋体" w:hAnsi="宋体" w:cs="宋体"/>
                <w:b w:val="0"/>
                <w:bCs w:val="0"/>
                <w:szCs w:val="21"/>
                <w:highlight w:val="none"/>
              </w:rPr>
              <w:t>五、招标人自行采购材料的名称、规格型号、数量，要求总承包人提供的服务内容</w:t>
            </w:r>
            <w:r>
              <w:rPr>
                <w:rFonts w:hint="eastAsia" w:ascii="宋体" w:hAnsi="宋体" w:cs="宋体"/>
                <w:b w:val="0"/>
                <w:bCs w:val="0"/>
                <w:szCs w:val="21"/>
                <w:highlight w:val="none"/>
                <w:lang w:eastAsia="zh-CN"/>
              </w:rPr>
              <w:t>：</w:t>
            </w:r>
            <w:r>
              <w:rPr>
                <w:rFonts w:hint="eastAsia" w:ascii="宋体" w:hAnsi="宋体" w:cs="宋体"/>
                <w:b w:val="0"/>
                <w:bCs w:val="0"/>
                <w:szCs w:val="21"/>
                <w:highlight w:val="none"/>
                <w:lang w:val="en-US" w:eastAsia="zh-CN"/>
              </w:rPr>
              <w:t>无。</w:t>
            </w:r>
          </w:p>
          <w:p>
            <w:pPr>
              <w:pStyle w:val="3"/>
              <w:spacing w:line="360" w:lineRule="auto"/>
              <w:rPr>
                <w:rFonts w:hAnsi="宋体" w:cs="宋体"/>
                <w:color w:val="000000"/>
                <w:highlight w:val="none"/>
              </w:rPr>
            </w:pPr>
            <w:r>
              <w:rPr>
                <w:rFonts w:hint="eastAsia" w:hAnsi="宋体" w:cs="宋体"/>
                <w:color w:val="000000"/>
                <w:highlight w:val="none"/>
              </w:rPr>
              <w:t>六、编制说明：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1、</w:t>
            </w:r>
            <w:r>
              <w:rPr>
                <w:rFonts w:hint="eastAsia" w:ascii="宋体" w:hAnsi="宋体" w:eastAsia="宋体" w:cs="宋体"/>
                <w:color w:val="auto"/>
                <w:kern w:val="24"/>
                <w:sz w:val="21"/>
                <w:szCs w:val="21"/>
              </w:rPr>
              <w:t>所有饰面材料（</w:t>
            </w:r>
            <w:r>
              <w:rPr>
                <w:rFonts w:hint="eastAsia" w:ascii="宋体" w:hAnsi="宋体" w:cs="宋体"/>
                <w:color w:val="auto"/>
                <w:kern w:val="24"/>
                <w:sz w:val="21"/>
                <w:szCs w:val="21"/>
                <w:lang w:val="en-US" w:eastAsia="zh-CN"/>
              </w:rPr>
              <w:t>地胶板</w:t>
            </w:r>
            <w:r>
              <w:rPr>
                <w:rFonts w:hint="eastAsia" w:ascii="宋体" w:hAnsi="宋体" w:eastAsia="宋体" w:cs="宋体"/>
                <w:color w:val="auto"/>
                <w:kern w:val="24"/>
                <w:sz w:val="21"/>
                <w:szCs w:val="21"/>
                <w:lang w:val="en-US" w:eastAsia="zh-CN"/>
              </w:rPr>
              <w:t>、木饰面、不锈钢板等</w:t>
            </w:r>
            <w:r>
              <w:rPr>
                <w:rFonts w:hint="eastAsia" w:ascii="宋体" w:hAnsi="宋体" w:eastAsia="宋体" w:cs="宋体"/>
                <w:color w:val="auto"/>
                <w:kern w:val="24"/>
                <w:sz w:val="21"/>
                <w:szCs w:val="21"/>
              </w:rPr>
              <w:t>）及铝合金型材、玻璃等均区分颜色，请投标单位自行充分考虑不同颜色和规格的报价的影响，中标后由招标人确定具体颜色，投标不得有异议，综合单价不作调整</w:t>
            </w:r>
            <w:r>
              <w:rPr>
                <w:rFonts w:hint="eastAsia" w:ascii="宋体" w:hAnsi="宋体" w:eastAsia="宋体" w:cs="宋体"/>
                <w:color w:val="auto"/>
                <w:kern w:val="24"/>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2、</w:t>
            </w:r>
            <w:r>
              <w:rPr>
                <w:rFonts w:hint="eastAsia" w:ascii="宋体" w:hAnsi="宋体" w:eastAsia="宋体" w:cs="宋体"/>
                <w:color w:val="auto"/>
                <w:kern w:val="24"/>
                <w:sz w:val="21"/>
                <w:szCs w:val="21"/>
              </w:rPr>
              <w:t>所有门窗的</w:t>
            </w:r>
            <w:r>
              <w:rPr>
                <w:rFonts w:hint="eastAsia" w:ascii="宋体" w:hAnsi="宋体" w:eastAsia="宋体" w:cs="宋体"/>
                <w:color w:val="auto"/>
                <w:kern w:val="24"/>
                <w:sz w:val="21"/>
                <w:szCs w:val="21"/>
                <w:lang w:val="en-US" w:eastAsia="zh-CN"/>
              </w:rPr>
              <w:t>门窗套及门窗套线、五金、</w:t>
            </w:r>
            <w:r>
              <w:rPr>
                <w:rFonts w:hint="eastAsia" w:ascii="宋体" w:hAnsi="宋体" w:eastAsia="宋体" w:cs="宋体"/>
                <w:color w:val="auto"/>
                <w:kern w:val="24"/>
                <w:sz w:val="21"/>
                <w:szCs w:val="21"/>
              </w:rPr>
              <w:t>门锁、拉手、地弹簧、门铰、合页、</w:t>
            </w:r>
            <w:r>
              <w:rPr>
                <w:rFonts w:hint="eastAsia" w:ascii="宋体" w:hAnsi="宋体" w:eastAsia="宋体" w:cs="宋体"/>
                <w:color w:val="auto"/>
                <w:kern w:val="24"/>
                <w:sz w:val="21"/>
                <w:szCs w:val="21"/>
                <w:lang w:val="en-US" w:eastAsia="zh-CN"/>
              </w:rPr>
              <w:t>闭门器、顺位器、</w:t>
            </w:r>
            <w:r>
              <w:rPr>
                <w:rFonts w:hint="eastAsia" w:ascii="宋体" w:hAnsi="宋体" w:eastAsia="宋体" w:cs="宋体"/>
                <w:color w:val="auto"/>
                <w:kern w:val="24"/>
                <w:sz w:val="21"/>
                <w:szCs w:val="21"/>
              </w:rPr>
              <w:t>内外打胶等，费用均包含在门窗综合单价中</w:t>
            </w:r>
            <w:r>
              <w:rPr>
                <w:rFonts w:hint="eastAsia" w:ascii="宋体" w:hAnsi="宋体" w:eastAsia="宋体" w:cs="宋体"/>
                <w:color w:val="auto"/>
                <w:kern w:val="24"/>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cs="宋体"/>
                <w:color w:val="auto"/>
                <w:kern w:val="24"/>
                <w:sz w:val="21"/>
                <w:szCs w:val="21"/>
                <w:lang w:val="en-US" w:eastAsia="zh-CN"/>
              </w:rPr>
              <w:t>3</w:t>
            </w:r>
            <w:r>
              <w:rPr>
                <w:rFonts w:hint="eastAsia" w:ascii="宋体" w:hAnsi="宋体" w:eastAsia="宋体" w:cs="宋体"/>
                <w:color w:val="auto"/>
                <w:kern w:val="24"/>
                <w:sz w:val="21"/>
                <w:szCs w:val="21"/>
                <w:lang w:val="en-US" w:eastAsia="zh-CN"/>
              </w:rPr>
              <w:t>、</w:t>
            </w:r>
            <w:r>
              <w:rPr>
                <w:rFonts w:hint="eastAsia" w:ascii="宋体" w:hAnsi="宋体" w:eastAsia="宋体" w:cs="宋体"/>
                <w:color w:val="auto"/>
                <w:kern w:val="24"/>
                <w:sz w:val="21"/>
                <w:szCs w:val="21"/>
              </w:rPr>
              <w:t>所有木龙骨及木基层按刷防火涂料三道计入，并做防火、防潮、防腐、防虫处理，其费用计入投标报价中，中标后招标人不再另行支付相关费用。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sz w:val="21"/>
                <w:szCs w:val="21"/>
                <w:lang w:val="en-US" w:eastAsia="zh-CN"/>
              </w:rPr>
            </w:pPr>
            <w:r>
              <w:rPr>
                <w:rFonts w:hint="eastAsia" w:ascii="宋体" w:hAnsi="宋体" w:cs="宋体"/>
                <w:color w:val="auto"/>
                <w:kern w:val="24"/>
                <w:sz w:val="21"/>
                <w:szCs w:val="21"/>
                <w:lang w:val="en-US" w:eastAsia="zh-CN"/>
              </w:rPr>
              <w:t>4</w:t>
            </w:r>
            <w:r>
              <w:rPr>
                <w:rFonts w:hint="eastAsia" w:ascii="宋体" w:hAnsi="宋体" w:eastAsia="宋体" w:cs="宋体"/>
                <w:color w:val="auto"/>
                <w:kern w:val="24"/>
                <w:sz w:val="21"/>
                <w:szCs w:val="21"/>
                <w:lang w:val="en-US" w:eastAsia="zh-CN"/>
              </w:rPr>
              <w:t>、</w:t>
            </w:r>
            <w:r>
              <w:rPr>
                <w:rFonts w:hint="eastAsia" w:ascii="宋体" w:hAnsi="宋体" w:eastAsia="宋体" w:cs="宋体"/>
                <w:color w:val="auto"/>
                <w:kern w:val="24"/>
                <w:sz w:val="21"/>
                <w:szCs w:val="21"/>
              </w:rPr>
              <w:t>装修工程中所有吊顶、隔断、墙面、地面及其他部位等需要安装相关设备、灯具等而需在相关面层上预留孔洞或者开孔的，投标人应综合考虑，费用计入所涉及项目综合单价。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5</w:t>
            </w:r>
            <w:r>
              <w:rPr>
                <w:rFonts w:hint="eastAsia" w:ascii="宋体" w:hAnsi="宋体" w:eastAsia="宋体" w:cs="宋体"/>
                <w:sz w:val="21"/>
                <w:szCs w:val="21"/>
                <w:highlight w:val="none"/>
                <w:lang w:val="en-US" w:eastAsia="zh-CN"/>
              </w:rPr>
              <w:t>、楼地面找平厚度投标单位需根据现场实际情况综合考虑，其造价在相应清单中已充分考虑；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20" w:firstLineChars="200"/>
              <w:jc w:val="both"/>
              <w:textAlignment w:val="auto"/>
              <w:rPr>
                <w:rFonts w:hint="eastAsia" w:ascii="宋体" w:hAnsi="宋体" w:eastAsia="宋体" w:cs="宋体"/>
                <w:color w:val="auto"/>
                <w:kern w:val="24"/>
                <w:sz w:val="21"/>
                <w:szCs w:val="21"/>
                <w:highlight w:val="none"/>
                <w:lang w:val="en-US" w:eastAsia="zh-CN"/>
              </w:rPr>
            </w:pPr>
            <w:r>
              <w:rPr>
                <w:rFonts w:hint="eastAsia" w:ascii="宋体" w:hAnsi="宋体" w:cs="宋体"/>
                <w:sz w:val="21"/>
                <w:szCs w:val="21"/>
                <w:highlight w:val="none"/>
                <w:lang w:val="en-US" w:eastAsia="zh-CN"/>
              </w:rPr>
              <w:t>6</w:t>
            </w:r>
            <w:r>
              <w:rPr>
                <w:rFonts w:hint="eastAsia" w:ascii="宋体" w:hAnsi="宋体" w:eastAsia="宋体" w:cs="宋体"/>
                <w:sz w:val="21"/>
                <w:szCs w:val="21"/>
                <w:highlight w:val="none"/>
                <w:lang w:val="en-US" w:eastAsia="zh-CN"/>
              </w:rPr>
              <w:t>、</w:t>
            </w:r>
            <w:r>
              <w:rPr>
                <w:rFonts w:hint="eastAsia" w:ascii="宋体" w:hAnsi="宋体" w:eastAsia="宋体" w:cs="宋体"/>
                <w:color w:val="auto"/>
                <w:kern w:val="24"/>
                <w:sz w:val="21"/>
                <w:szCs w:val="21"/>
                <w:highlight w:val="none"/>
                <w:lang w:val="en-US" w:eastAsia="zh-CN"/>
              </w:rPr>
              <w:t>不锈钢材质按304系列报价，装饰面铣槽、折边等费用综合考虑在综合单价内；</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7、所有木龙骨、基层板等木质基层均做防火防潮三防处理，防火等级至B1级；</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8、广告二次深化设计内容不计入本次清单；</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lang w:val="en-US" w:eastAsia="zh-CN"/>
              </w:rPr>
            </w:pPr>
            <w:r>
              <w:rPr>
                <w:rFonts w:hint="eastAsia" w:ascii="宋体" w:hAnsi="宋体" w:cs="宋体"/>
                <w:color w:val="auto"/>
                <w:kern w:val="24"/>
                <w:sz w:val="21"/>
                <w:szCs w:val="21"/>
                <w:highlight w:val="none"/>
                <w:lang w:val="en-US" w:eastAsia="zh-CN"/>
              </w:rPr>
              <w:t>9、</w:t>
            </w:r>
            <w:r>
              <w:rPr>
                <w:rFonts w:hint="eastAsia"/>
                <w:lang w:val="en-US" w:eastAsia="zh-CN"/>
              </w:rPr>
              <w:t>配电箱AL1/AL2原有箱体利旧，箱体内电气元件全部更新；</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lang w:val="en-US" w:eastAsia="zh-CN"/>
              </w:rPr>
            </w:pPr>
            <w:r>
              <w:rPr>
                <w:rFonts w:hint="eastAsia"/>
                <w:lang w:val="en-US" w:eastAsia="zh-CN"/>
              </w:rPr>
              <w:t>10、强电照明 图纸中虚线框选东区灯具（600*600LED嵌入式平板灯）利旧，开关移位增加相应线缆；</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lang w:val="en-US" w:eastAsia="zh-CN"/>
              </w:rPr>
            </w:pPr>
            <w:r>
              <w:rPr>
                <w:rFonts w:hint="eastAsia"/>
                <w:lang w:val="en-US" w:eastAsia="zh-CN"/>
              </w:rPr>
              <w:t>11、强电插座线路预留，每个插座点位配置1个接线盒；</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lang w:val="en-US" w:eastAsia="zh-CN"/>
              </w:rPr>
            </w:pPr>
            <w:r>
              <w:rPr>
                <w:rFonts w:hint="eastAsia"/>
                <w:lang w:val="en-US" w:eastAsia="zh-CN"/>
              </w:rPr>
              <w:t>12、弱电机柜及其机柜内设备利旧；</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default" w:ascii="宋体" w:hAnsi="宋体" w:cs="宋体"/>
                <w:color w:val="auto"/>
                <w:kern w:val="24"/>
                <w:sz w:val="21"/>
                <w:szCs w:val="21"/>
                <w:highlight w:val="none"/>
                <w:lang w:val="en-US" w:eastAsia="zh-CN"/>
              </w:rPr>
            </w:pPr>
            <w:r>
              <w:rPr>
                <w:rFonts w:hint="eastAsia"/>
                <w:lang w:val="en-US" w:eastAsia="zh-CN"/>
              </w:rPr>
              <w:t>13、弱电工程 监控系统监控设备不计，只计线缆。</w:t>
            </w:r>
          </w:p>
          <w:p>
            <w:pPr>
              <w:pStyle w:val="3"/>
              <w:spacing w:line="360" w:lineRule="auto"/>
              <w:rPr>
                <w:rFonts w:hAnsi="宋体" w:cs="宋体"/>
                <w:color w:val="000000"/>
                <w:highlight w:val="none"/>
              </w:rPr>
            </w:pPr>
            <w:r>
              <w:rPr>
                <w:rFonts w:hint="eastAsia" w:hAnsi="宋体" w:cs="宋体"/>
                <w:color w:val="000000"/>
                <w:highlight w:val="none"/>
                <w:lang w:val="en-US" w:eastAsia="zh-CN"/>
              </w:rPr>
              <w:t>七</w:t>
            </w:r>
            <w:r>
              <w:rPr>
                <w:rFonts w:hint="eastAsia" w:hAnsi="宋体" w:cs="宋体"/>
                <w:color w:val="000000"/>
                <w:highlight w:val="none"/>
              </w:rPr>
              <w:t>、材料：</w:t>
            </w:r>
          </w:p>
          <w:p>
            <w:pPr>
              <w:keepNext w:val="0"/>
              <w:keepLines w:val="0"/>
              <w:pageBreakBefore w:val="0"/>
              <w:widowControl w:val="0"/>
              <w:tabs>
                <w:tab w:val="left" w:pos="0"/>
              </w:tabs>
              <w:kinsoku/>
              <w:wordWrap/>
              <w:overflowPunct/>
              <w:topLinePunct/>
              <w:autoSpaceDE/>
              <w:autoSpaceDN/>
              <w:bidi w:val="0"/>
              <w:adjustRightInd/>
              <w:snapToGrid/>
              <w:spacing w:line="440" w:lineRule="exact"/>
              <w:ind w:firstLine="420" w:firstLineChars="200"/>
              <w:jc w:val="left"/>
              <w:textAlignment w:val="auto"/>
              <w:rPr>
                <w:rFonts w:hint="eastAsia" w:ascii="宋体" w:hAnsi="宋体"/>
                <w:szCs w:val="21"/>
                <w:highlight w:val="none"/>
              </w:rPr>
            </w:pPr>
            <w:r>
              <w:rPr>
                <w:rFonts w:hint="eastAsia" w:ascii="宋体" w:hAnsi="宋体"/>
                <w:szCs w:val="21"/>
                <w:highlight w:val="none"/>
              </w:rPr>
              <w:t>（一）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ascii="宋体" w:hAnsi="宋体"/>
                <w:szCs w:val="21"/>
                <w:highlight w:val="none"/>
              </w:rPr>
            </w:pPr>
            <w:r>
              <w:rPr>
                <w:rFonts w:hint="eastAsia" w:ascii="宋体" w:hAnsi="宋体"/>
                <w:szCs w:val="21"/>
                <w:highlight w:val="none"/>
              </w:rPr>
              <w:t>（二）其他的设备、材料等采购：</w:t>
            </w:r>
          </w:p>
          <w:p>
            <w:pPr>
              <w:spacing w:line="400" w:lineRule="exact"/>
              <w:ind w:firstLine="420" w:firstLineChars="200"/>
              <w:rPr>
                <w:rFonts w:ascii="宋体" w:hAnsi="宋体"/>
                <w:szCs w:val="21"/>
                <w:highlight w:val="none"/>
              </w:rPr>
            </w:pPr>
            <w:r>
              <w:rPr>
                <w:rFonts w:hint="eastAsia" w:ascii="宋体" w:hAnsi="宋体"/>
                <w:szCs w:val="21"/>
                <w:highlight w:val="none"/>
              </w:rPr>
              <w:t>1、所有招标人未确定品牌厂家的材料必须采用信誉好、品牌好、知名度高、同等行业中规模中等以上的生产厂家的产品，产品必须满足国家质量标准，由投标人自行采购；</w:t>
            </w:r>
          </w:p>
          <w:p>
            <w:pPr>
              <w:spacing w:line="400" w:lineRule="exact"/>
              <w:ind w:firstLine="420" w:firstLineChars="200"/>
              <w:rPr>
                <w:rFonts w:ascii="宋体" w:hAnsi="宋体"/>
                <w:szCs w:val="21"/>
                <w:highlight w:val="none"/>
              </w:rPr>
            </w:pPr>
            <w:r>
              <w:rPr>
                <w:rFonts w:hint="eastAsia" w:ascii="宋体" w:hAnsi="宋体"/>
                <w:szCs w:val="21"/>
                <w:highlight w:val="none"/>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p>
          <w:p>
            <w:pPr>
              <w:tabs>
                <w:tab w:val="left" w:pos="0"/>
              </w:tabs>
              <w:topLinePunct/>
              <w:spacing w:line="440" w:lineRule="exact"/>
              <w:ind w:firstLine="420" w:firstLineChars="200"/>
              <w:jc w:val="left"/>
              <w:rPr>
                <w:rFonts w:ascii="宋体" w:hAnsi="宋体" w:cs="宋体"/>
                <w:kern w:val="0"/>
                <w:szCs w:val="21"/>
                <w:highlight w:val="none"/>
                <w:lang w:val="zh-CN"/>
              </w:rPr>
            </w:pPr>
            <w:r>
              <w:rPr>
                <w:rFonts w:hint="eastAsia" w:ascii="宋体" w:hAnsi="宋体"/>
                <w:szCs w:val="21"/>
                <w:highlight w:val="none"/>
              </w:rPr>
              <w:t>3、招标人有权对材料品牌进行变更，投标人应服从并做好配合工作。</w:t>
            </w:r>
            <w:r>
              <w:rPr>
                <w:rFonts w:ascii="宋体" w:hAnsi="宋体" w:cs="宋体"/>
                <w:kern w:val="0"/>
                <w:szCs w:val="21"/>
                <w:highlight w:val="none"/>
                <w:lang w:val="zh-CN"/>
              </w:rPr>
              <w:t xml:space="preserve">  </w:t>
            </w:r>
          </w:p>
          <w:p>
            <w:pPr>
              <w:pStyle w:val="3"/>
              <w:spacing w:line="360" w:lineRule="auto"/>
              <w:rPr>
                <w:rFonts w:hAnsi="宋体" w:cs="宋体"/>
                <w:color w:val="000000"/>
                <w:highlight w:val="none"/>
              </w:rPr>
            </w:pPr>
            <w:r>
              <w:rPr>
                <w:rFonts w:hint="eastAsia" w:hAnsi="宋体" w:cs="宋体"/>
                <w:color w:val="000000"/>
                <w:highlight w:val="none"/>
                <w:lang w:val="en-US" w:eastAsia="zh-CN"/>
              </w:rPr>
              <w:t>八</w:t>
            </w:r>
            <w:r>
              <w:rPr>
                <w:rFonts w:hint="eastAsia" w:hAnsi="宋体" w:cs="宋体"/>
                <w:color w:val="000000"/>
                <w:highlight w:val="none"/>
              </w:rPr>
              <w:t>、其他说明：</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2.各投标单位需要在相应的子目中综合考虑费用；</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3.措施费中以“项”为单位措施项目均一次性包干，费用由各投标单位根据施工组织设计方案自行考虑报价，应考虑现场的各种风险因素；</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5.根据工程量清单报价原则“固定综合单价”，以“项”为单位的工程量清单项目综合单价为包干价，请投标单位根据项目实际情况合理报价；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7.分部分项工程量清单中的工程量是按实物净量计算，一切损耗均应在投标报价内；</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8.投标人应充分考虑周边建筑、道路和地下管线设施的保护费用，并考虑在总投标价中；</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 xml:space="preserve">9.本工程所有的材料的环保等级必须满足国家及地方标准，符合验收相关规范； </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10.投标人应充分考虑脚手架等技术措施，相应费用计入技术措施费中，并充分考虑报价风险，今后结算不进行调整；</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11.各投标单位应根据现场实际情况自行考虑，包含施工范围内所有的原结构和建筑垃圾拆除及外运等,所有外运物弃置场地及运距由投标人自行综合考虑，相应费用均计入报价，今后不作调整；</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12.相关工艺施工前应做的基层清理工作应包含在投标报价中，清单特征描述中不再一一描述；</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13.本清单项目特征描述不完整时，投标单位应结合施工图及相关规范、规定等进行综合考虑；</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14.本工程按照《杭州市人民政府办公厅关于印发杭州市建设工程推广应用预拌砂浆管理办法的通知》（杭政办函【2011】32号文件）的要求使用预拌砂浆，投标人应将使用预拌砂浆的费用计入投标报价；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15.本工程砼按《杭州市商品混凝土管理办法 杭州市政府令第115号》文件要求使用商品混凝土。</w:t>
            </w:r>
          </w:p>
          <w:p>
            <w:pPr>
              <w:pStyle w:val="3"/>
              <w:spacing w:line="360" w:lineRule="auto"/>
              <w:rPr>
                <w:rFonts w:hint="default"/>
              </w:rPr>
            </w:pPr>
            <w:r>
              <w:rPr>
                <w:rFonts w:hint="eastAsia" w:hAnsi="宋体" w:cs="宋体"/>
                <w:color w:val="000000"/>
                <w:highlight w:val="none"/>
                <w:lang w:val="en-US" w:eastAsia="zh-CN"/>
              </w:rPr>
              <w:t>九</w:t>
            </w:r>
            <w:r>
              <w:rPr>
                <w:rFonts w:hint="eastAsia" w:hAnsi="宋体" w:cs="宋体"/>
                <w:color w:val="000000"/>
                <w:highlight w:val="none"/>
                <w:lang w:val="zh-CN"/>
              </w:rPr>
              <w:t>、其他不详之处，详见国家及地方标准。</w:t>
            </w:r>
          </w:p>
          <w:p>
            <w:pPr>
              <w:tabs>
                <w:tab w:val="left" w:pos="0"/>
              </w:tabs>
              <w:topLinePunct/>
              <w:spacing w:line="440" w:lineRule="exact"/>
              <w:jc w:val="left"/>
              <w:rPr>
                <w:rFonts w:hint="default" w:ascii="Times New Roman" w:hAnsi="Times New Roman" w:eastAsia="宋体" w:cs="Times New Roman"/>
                <w:b/>
                <w:kern w:val="1"/>
                <w:sz w:val="21"/>
                <w:szCs w:val="21"/>
              </w:rPr>
            </w:pPr>
            <w:r>
              <w:rPr>
                <w:rFonts w:hint="default" w:ascii="Times New Roman" w:hAnsi="Times New Roman" w:eastAsia="宋体" w:cs="Times New Roman"/>
                <w:b/>
                <w:kern w:val="1"/>
                <w:sz w:val="21"/>
                <w:szCs w:val="21"/>
              </w:rPr>
              <w:t>品牌推荐表：</w:t>
            </w:r>
          </w:p>
          <w:p>
            <w:pPr>
              <w:spacing w:line="360" w:lineRule="auto"/>
              <w:jc w:val="center"/>
              <w:rPr>
                <w:rFonts w:hint="default" w:ascii="Times New Roman" w:hAnsi="Times New Roman" w:eastAsia="宋体" w:cs="Times New Roman"/>
                <w:kern w:val="1"/>
                <w:sz w:val="21"/>
                <w:szCs w:val="21"/>
              </w:rPr>
            </w:pPr>
            <w:r>
              <w:rPr>
                <w:rFonts w:hint="default" w:ascii="Times New Roman" w:hAnsi="Times New Roman" w:eastAsia="宋体" w:cs="Times New Roman"/>
                <w:kern w:val="1"/>
                <w:sz w:val="21"/>
                <w:szCs w:val="21"/>
              </w:rPr>
              <w:t>招标人推荐材料、设备品牌一览表</w:t>
            </w:r>
          </w:p>
          <w:tbl>
            <w:tblPr>
              <w:tblStyle w:val="8"/>
              <w:tblW w:w="0" w:type="auto"/>
              <w:tblInd w:w="202" w:type="dxa"/>
              <w:tblLayout w:type="fixed"/>
              <w:tblCellMar>
                <w:top w:w="0" w:type="dxa"/>
                <w:left w:w="108" w:type="dxa"/>
                <w:bottom w:w="0" w:type="dxa"/>
                <w:right w:w="108" w:type="dxa"/>
              </w:tblCellMar>
            </w:tblPr>
            <w:tblGrid>
              <w:gridCol w:w="678"/>
              <w:gridCol w:w="2268"/>
              <w:gridCol w:w="2637"/>
              <w:gridCol w:w="1470"/>
              <w:gridCol w:w="1200"/>
            </w:tblGrid>
            <w:tr>
              <w:tblPrEx>
                <w:tblCellMar>
                  <w:top w:w="0" w:type="dxa"/>
                  <w:left w:w="108" w:type="dxa"/>
                  <w:bottom w:w="0" w:type="dxa"/>
                  <w:right w:w="108" w:type="dxa"/>
                </w:tblCellMar>
              </w:tblPrEx>
              <w:trPr>
                <w:trHeight w:val="268" w:hRule="atLeast"/>
              </w:trPr>
              <w:tc>
                <w:tcPr>
                  <w:tcW w:w="678"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序号</w:t>
                  </w:r>
                </w:p>
              </w:tc>
              <w:tc>
                <w:tcPr>
                  <w:tcW w:w="2268"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材料名称</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品牌或产地</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等级</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备注</w:t>
                  </w:r>
                </w:p>
              </w:tc>
            </w:tr>
            <w:tr>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1</w:t>
                  </w:r>
                </w:p>
              </w:tc>
              <w:tc>
                <w:tcPr>
                  <w:tcW w:w="2268"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轻钢龙骨、石膏板</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宋体" w:hAnsi="宋体" w:eastAsia="宋体" w:cs="宋体"/>
                      <w:sz w:val="21"/>
                      <w:szCs w:val="21"/>
                    </w:rPr>
                  </w:pPr>
                  <w:r>
                    <w:rPr>
                      <w:rFonts w:hint="eastAsia" w:ascii="宋体" w:hAnsi="宋体" w:eastAsia="宋体" w:cs="宋体"/>
                      <w:sz w:val="21"/>
                      <w:szCs w:val="21"/>
                    </w:rPr>
                    <w:t>可耐福、 龙牌、 拉法基</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37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2</w:t>
                  </w:r>
                </w:p>
              </w:tc>
              <w:tc>
                <w:tcPr>
                  <w:tcW w:w="2268"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乳胶漆</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宋体" w:hAnsi="宋体" w:eastAsia="宋体" w:cs="宋体"/>
                      <w:sz w:val="21"/>
                      <w:szCs w:val="21"/>
                    </w:rPr>
                  </w:pPr>
                  <w:r>
                    <w:rPr>
                      <w:rFonts w:hint="eastAsia" w:ascii="宋体" w:hAnsi="宋体" w:eastAsia="宋体" w:cs="宋体"/>
                      <w:sz w:val="21"/>
                      <w:szCs w:val="21"/>
                    </w:rPr>
                    <w:t>立邦、 多乐士、 华润</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3</w:t>
                  </w:r>
                </w:p>
              </w:tc>
              <w:tc>
                <w:tcPr>
                  <w:tcW w:w="2268"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细木工板</w:t>
                  </w:r>
                  <w:r>
                    <w:rPr>
                      <w:rFonts w:hint="eastAsia" w:ascii="宋体" w:hAnsi="宋体" w:eastAsia="宋体" w:cs="宋体"/>
                      <w:sz w:val="21"/>
                      <w:szCs w:val="21"/>
                      <w:lang w:eastAsia="zh-CN"/>
                    </w:rPr>
                    <w:t>、</w:t>
                  </w:r>
                  <w:r>
                    <w:rPr>
                      <w:rFonts w:hint="eastAsia" w:ascii="宋体" w:hAnsi="宋体" w:eastAsia="宋体" w:cs="宋体"/>
                      <w:sz w:val="21"/>
                      <w:szCs w:val="21"/>
                    </w:rPr>
                    <w:t>多层板</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宋体" w:hAnsi="宋体" w:eastAsia="宋体" w:cs="宋体"/>
                      <w:sz w:val="21"/>
                      <w:szCs w:val="21"/>
                    </w:rPr>
                  </w:pPr>
                  <w:r>
                    <w:rPr>
                      <w:rFonts w:hint="eastAsia" w:ascii="宋体" w:hAnsi="宋体" w:eastAsia="宋体" w:cs="宋体"/>
                      <w:sz w:val="21"/>
                      <w:szCs w:val="21"/>
                    </w:rPr>
                    <w:t>兔宝宝、 千年舟</w:t>
                  </w:r>
                  <w:r>
                    <w:rPr>
                      <w:rFonts w:hint="eastAsia" w:ascii="宋体" w:hAnsi="宋体" w:eastAsia="宋体" w:cs="宋体"/>
                      <w:sz w:val="21"/>
                      <w:szCs w:val="21"/>
                      <w:lang w:eastAsia="zh-CN"/>
                    </w:rPr>
                    <w:t>、</w:t>
                  </w:r>
                  <w:r>
                    <w:rPr>
                      <w:rFonts w:hint="eastAsia" w:ascii="宋体" w:hAnsi="宋体" w:eastAsia="宋体" w:cs="宋体"/>
                      <w:sz w:val="21"/>
                      <w:szCs w:val="21"/>
                    </w:rPr>
                    <w:t xml:space="preserve"> 森鹿</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rPr>
                  </w:pPr>
                  <w:r>
                    <w:rPr>
                      <w:rFonts w:hint="eastAsia" w:ascii="宋体" w:hAnsi="宋体" w:eastAsia="宋体" w:cs="宋体"/>
                      <w:sz w:val="21"/>
                      <w:szCs w:val="21"/>
                    </w:rPr>
                    <w:t>电线</w:t>
                  </w:r>
                  <w:r>
                    <w:rPr>
                      <w:rFonts w:hint="eastAsia" w:ascii="宋体" w:hAnsi="宋体" w:eastAsia="宋体" w:cs="宋体"/>
                      <w:sz w:val="21"/>
                      <w:szCs w:val="21"/>
                      <w:lang w:eastAsia="zh-CN"/>
                    </w:rPr>
                    <w:t>、</w:t>
                  </w:r>
                  <w:r>
                    <w:rPr>
                      <w:rFonts w:hint="eastAsia" w:ascii="宋体" w:hAnsi="宋体" w:eastAsia="宋体" w:cs="宋体"/>
                      <w:sz w:val="21"/>
                      <w:szCs w:val="21"/>
                    </w:rPr>
                    <w:t>电缆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rPr>
                  </w:pPr>
                  <w:r>
                    <w:rPr>
                      <w:rFonts w:hint="eastAsia" w:ascii="宋体" w:hAnsi="宋体" w:eastAsia="宋体" w:cs="宋体"/>
                      <w:sz w:val="21"/>
                      <w:szCs w:val="21"/>
                    </w:rPr>
                    <w:t>元通、万马、永通</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5</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rPr>
                  </w:pPr>
                  <w:r>
                    <w:rPr>
                      <w:rFonts w:hint="eastAsia" w:ascii="宋体" w:hAnsi="宋体" w:eastAsia="宋体" w:cs="宋体"/>
                      <w:sz w:val="21"/>
                      <w:szCs w:val="21"/>
                    </w:rPr>
                    <w:t>开关、插座</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rPr>
                  </w:pPr>
                  <w:r>
                    <w:rPr>
                      <w:rFonts w:hint="eastAsia" w:ascii="宋体" w:hAnsi="宋体" w:cs="宋体"/>
                      <w:sz w:val="21"/>
                      <w:szCs w:val="21"/>
                      <w:lang w:val="en-US" w:eastAsia="zh-CN"/>
                    </w:rPr>
                    <w:t>施耐德、西门子、</w:t>
                  </w:r>
                  <w:r>
                    <w:rPr>
                      <w:rFonts w:hint="eastAsia" w:ascii="宋体" w:hAnsi="宋体" w:eastAsia="宋体" w:cs="宋体"/>
                      <w:sz w:val="21"/>
                      <w:szCs w:val="21"/>
                    </w:rPr>
                    <w:t>德力西</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6</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rPr>
                  </w:pPr>
                  <w:r>
                    <w:rPr>
                      <w:rFonts w:hint="eastAsia" w:ascii="宋体" w:hAnsi="宋体" w:eastAsia="宋体" w:cs="宋体"/>
                      <w:sz w:val="21"/>
                      <w:szCs w:val="21"/>
                    </w:rPr>
                    <w:t>LED灯具</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rPr>
                  </w:pPr>
                  <w:r>
                    <w:rPr>
                      <w:rFonts w:hint="eastAsia" w:ascii="宋体" w:hAnsi="宋体" w:eastAsia="宋体" w:cs="宋体"/>
                      <w:sz w:val="21"/>
                      <w:szCs w:val="21"/>
                    </w:rPr>
                    <w:t>雷士、松下、三雄极光</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宋体" w:hAnsi="宋体" w:cs="宋体"/>
                      <w:sz w:val="21"/>
                      <w:szCs w:val="21"/>
                      <w:lang w:val="en-US" w:eastAsia="zh-CN"/>
                    </w:rPr>
                  </w:pPr>
                  <w:r>
                    <w:rPr>
                      <w:rFonts w:hint="eastAsia" w:ascii="宋体" w:hAnsi="宋体" w:cs="宋体"/>
                      <w:sz w:val="21"/>
                      <w:szCs w:val="21"/>
                      <w:lang w:val="en-US" w:eastAsia="zh-CN"/>
                    </w:rPr>
                    <w:t>7</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sz w:val="21"/>
                      <w:szCs w:val="21"/>
                      <w:lang w:val="en-US" w:eastAsia="zh-CN"/>
                    </w:rPr>
                  </w:pPr>
                  <w:r>
                    <w:rPr>
                      <w:rFonts w:hint="eastAsia" w:ascii="宋体" w:hAnsi="宋体" w:cs="宋体"/>
                      <w:sz w:val="21"/>
                      <w:szCs w:val="21"/>
                      <w:lang w:val="en-US" w:eastAsia="zh-CN"/>
                    </w:rPr>
                    <w:t>配电箱、元器件</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sz w:val="21"/>
                      <w:szCs w:val="21"/>
                      <w:lang w:val="en-US" w:eastAsia="zh-CN"/>
                    </w:rPr>
                  </w:pPr>
                  <w:r>
                    <w:rPr>
                      <w:rFonts w:hint="eastAsia" w:ascii="宋体" w:hAnsi="宋体" w:cs="宋体"/>
                      <w:sz w:val="21"/>
                      <w:szCs w:val="21"/>
                      <w:lang w:val="en-US" w:eastAsia="zh-CN"/>
                    </w:rPr>
                    <w:t>施耐德、西门子、ABB</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8</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sz w:val="21"/>
                      <w:szCs w:val="21"/>
                      <w:lang w:val="en-US" w:eastAsia="zh-CN"/>
                    </w:rPr>
                  </w:pPr>
                  <w:r>
                    <w:rPr>
                      <w:rFonts w:hint="eastAsia" w:ascii="宋体" w:hAnsi="宋体" w:cs="宋体"/>
                      <w:sz w:val="21"/>
                      <w:szCs w:val="21"/>
                      <w:lang w:val="en-US" w:eastAsia="zh-CN"/>
                    </w:rPr>
                    <w:t>塑胶地板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sz w:val="21"/>
                      <w:szCs w:val="21"/>
                      <w:u w:val="none"/>
                      <w:lang w:val="en-US" w:eastAsia="zh-CN"/>
                    </w:rPr>
                  </w:pPr>
                  <w:r>
                    <w:rPr>
                      <w:rFonts w:hint="eastAsia" w:ascii="宋体" w:hAnsi="宋体" w:cs="宋体"/>
                      <w:sz w:val="21"/>
                      <w:szCs w:val="21"/>
                      <w:u w:val="none"/>
                      <w:lang w:val="en-US" w:eastAsia="zh-CN"/>
                    </w:rPr>
                    <w:t>丽杰、肯帝亚、得嘉</w:t>
                  </w:r>
                  <w:bookmarkStart w:id="0" w:name="_GoBack"/>
                  <w:bookmarkEnd w:id="0"/>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9</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rPr>
                  </w:pPr>
                  <w:r>
                    <w:rPr>
                      <w:rFonts w:hint="eastAsia" w:ascii="宋体" w:hAnsi="宋体" w:eastAsia="宋体" w:cs="宋体"/>
                      <w:sz w:val="21"/>
                      <w:szCs w:val="21"/>
                    </w:rPr>
                    <w:t>成品套装木门及门套</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rPr>
                  </w:pPr>
                  <w:r>
                    <w:rPr>
                      <w:rFonts w:hint="eastAsia" w:ascii="宋体" w:hAnsi="宋体" w:eastAsia="宋体" w:cs="宋体"/>
                      <w:sz w:val="21"/>
                      <w:szCs w:val="21"/>
                    </w:rPr>
                    <w:t>兔宝宝、春天、大自然</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10</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综合布线缆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一舟、百通、罗格朗</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lang w:val="en-US" w:eastAsia="zh-CN"/>
                    </w:rPr>
                    <w:t>或相当于</w:t>
                  </w:r>
                </w:p>
              </w:tc>
            </w:tr>
          </w:tbl>
          <w:p>
            <w:pPr>
              <w:pStyle w:val="3"/>
              <w:spacing w:line="360" w:lineRule="auto"/>
              <w:rPr>
                <w:rFonts w:hint="eastAsia" w:hAnsi="宋体" w:cs="宋体"/>
                <w:color w:val="000000"/>
                <w:highlight w:val="none"/>
                <w:lang w:val="zh-CN"/>
              </w:rPr>
            </w:pPr>
            <w:r>
              <w:rPr>
                <w:rFonts w:hint="default" w:ascii="Times New Roman" w:hAnsi="Times New Roman" w:eastAsia="宋体" w:cs="Times New Roman"/>
                <w:kern w:val="1"/>
                <w:sz w:val="21"/>
                <w:szCs w:val="21"/>
              </w:rPr>
              <w:t>注意：涂料、油漆、多层板、细木工板、强化地板要达到环保E1级标准。</w:t>
            </w:r>
            <w:r>
              <w:rPr>
                <w:rFonts w:ascii="宋体" w:hAnsi="宋体" w:cs="宋体"/>
                <w:kern w:val="0"/>
                <w:szCs w:val="21"/>
                <w:highlight w:val="none"/>
                <w:lang w:val="zh-CN"/>
              </w:rPr>
              <w:t xml:space="preserve"> </w:t>
            </w:r>
          </w:p>
        </w:tc>
      </w:tr>
    </w:tbl>
    <w:p>
      <w:pPr>
        <w:pStyle w:val="3"/>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pStyle w:val="3"/>
                            <w:tabs>
                              <w:tab w:val="left" w:pos="0"/>
                            </w:tabs>
                            <w:jc w:val="center"/>
                            <w:rPr>
                              <w:b/>
                              <w:sz w:val="48"/>
                              <w:szCs w:val="48"/>
                            </w:rPr>
                          </w:pPr>
                          <w:r>
                            <w:rPr>
                              <w:rFonts w:hint="eastAsia"/>
                              <w:b/>
                              <w:sz w:val="48"/>
                              <w:szCs w:val="48"/>
                            </w:rPr>
                            <w:t>工程量清单编制总说明</w:t>
                          </w:r>
                        </w:p>
                        <w:p>
                          <w:pPr>
                            <w:jc w:val="left"/>
                            <w:rPr>
                              <w:rFonts w:hint="eastAsia" w:ascii="宋体" w:hAnsi="宋体" w:eastAsia="宋体" w:cs="宋体"/>
                              <w:sz w:val="21"/>
                              <w:szCs w:val="21"/>
                            </w:rPr>
                          </w:pPr>
                          <w:r>
                            <w:rPr>
                              <w:rFonts w:hint="eastAsia" w:ascii="宋体" w:hAnsi="宋体" w:eastAsia="宋体" w:cs="宋体"/>
                              <w:sz w:val="21"/>
                              <w:szCs w:val="21"/>
                            </w:rPr>
                            <w:t xml:space="preserve">工程名称: </w:t>
                          </w:r>
                          <w:r>
                            <w:rPr>
                              <w:rFonts w:hint="eastAsia" w:asciiTheme="majorEastAsia" w:hAnsiTheme="majorEastAsia" w:eastAsiaTheme="majorEastAsia"/>
                              <w:b w:val="0"/>
                              <w:bCs w:val="0"/>
                              <w:lang w:val="en-US" w:eastAsia="zh-CN"/>
                            </w:rPr>
                            <w:t>杭州电子科技大学下沙校区图书馆12楼空间阅读室改造工程</w:t>
                          </w:r>
                          <w:r>
                            <w:rPr>
                              <w:rFonts w:hint="eastAsia" w:asciiTheme="majorEastAsia" w:hAnsiTheme="majorEastAsia" w:eastAsiaTheme="majorEastAsia"/>
                              <w:lang w:val="en-US" w:eastAsia="zh-CN"/>
                            </w:rPr>
                            <w:t xml:space="preserve">  </w:t>
                          </w:r>
                          <w:r>
                            <w:rPr>
                              <w:rFonts w:hint="eastAsia" w:ascii="宋体" w:hAnsi="宋体" w:eastAsia="宋体" w:cs="宋体"/>
                              <w:color w:val="000000"/>
                              <w:sz w:val="21"/>
                              <w:szCs w:val="21"/>
                            </w:rPr>
                            <w:t xml:space="preserve"> </w:t>
                          </w:r>
                          <w:r>
                            <w:rPr>
                              <w:rFonts w:hint="eastAsia" w:ascii="宋体" w:hAnsi="宋体" w:eastAsia="宋体" w:cs="宋体"/>
                              <w:sz w:val="21"/>
                              <w:szCs w:val="21"/>
                            </w:rPr>
                            <w:t>第</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Arabic  \* MERGEFORMAT</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页，共</w:t>
                          </w:r>
                          <w:r>
                            <w:rPr>
                              <w:rFonts w:hint="eastAsia" w:ascii="宋体" w:hAnsi="宋体" w:cs="宋体"/>
                              <w:sz w:val="21"/>
                              <w:szCs w:val="21"/>
                              <w:lang w:val="en-US" w:eastAsia="zh-CN"/>
                            </w:rPr>
                            <w:t>6</w:t>
                          </w:r>
                          <w:r>
                            <w:rPr>
                              <w:rFonts w:hint="eastAsia" w:ascii="宋体" w:hAnsi="宋体" w:eastAsia="宋体" w:cs="宋体"/>
                              <w:sz w:val="21"/>
                              <w:szCs w:val="21"/>
                            </w:rPr>
                            <w:t>页</w:t>
                          </w:r>
                        </w:p>
                        <w:p>
                          <w:pPr>
                            <w:rPr>
                              <w:rFonts w:hint="eastAsia" w:ascii="宋体" w:hAnsi="宋体" w:eastAsia="宋体" w:cs="宋体"/>
                              <w:sz w:val="21"/>
                              <w:szCs w:val="21"/>
                            </w:rPr>
                          </w:pPr>
                        </w:p>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pPr>
                      <w:pStyle w:val="3"/>
                      <w:tabs>
                        <w:tab w:val="left" w:pos="0"/>
                      </w:tabs>
                      <w:jc w:val="center"/>
                      <w:rPr>
                        <w:b/>
                        <w:sz w:val="48"/>
                        <w:szCs w:val="48"/>
                      </w:rPr>
                    </w:pPr>
                    <w:r>
                      <w:rPr>
                        <w:rFonts w:hint="eastAsia"/>
                        <w:b/>
                        <w:sz w:val="48"/>
                        <w:szCs w:val="48"/>
                      </w:rPr>
                      <w:t>工程量清单编制总说明</w:t>
                    </w:r>
                  </w:p>
                  <w:p>
                    <w:pPr>
                      <w:jc w:val="left"/>
                      <w:rPr>
                        <w:rFonts w:hint="eastAsia" w:ascii="宋体" w:hAnsi="宋体" w:eastAsia="宋体" w:cs="宋体"/>
                        <w:sz w:val="21"/>
                        <w:szCs w:val="21"/>
                      </w:rPr>
                    </w:pPr>
                    <w:r>
                      <w:rPr>
                        <w:rFonts w:hint="eastAsia" w:ascii="宋体" w:hAnsi="宋体" w:eastAsia="宋体" w:cs="宋体"/>
                        <w:sz w:val="21"/>
                        <w:szCs w:val="21"/>
                      </w:rPr>
                      <w:t xml:space="preserve">工程名称: </w:t>
                    </w:r>
                    <w:r>
                      <w:rPr>
                        <w:rFonts w:hint="eastAsia" w:asciiTheme="majorEastAsia" w:hAnsiTheme="majorEastAsia" w:eastAsiaTheme="majorEastAsia"/>
                        <w:b w:val="0"/>
                        <w:bCs w:val="0"/>
                        <w:lang w:val="en-US" w:eastAsia="zh-CN"/>
                      </w:rPr>
                      <w:t>杭州电子科技大学下沙校区图书馆12楼空间阅读室改造工程</w:t>
                    </w:r>
                    <w:r>
                      <w:rPr>
                        <w:rFonts w:hint="eastAsia" w:asciiTheme="majorEastAsia" w:hAnsiTheme="majorEastAsia" w:eastAsiaTheme="majorEastAsia"/>
                        <w:lang w:val="en-US" w:eastAsia="zh-CN"/>
                      </w:rPr>
                      <w:t xml:space="preserve">  </w:t>
                    </w:r>
                    <w:r>
                      <w:rPr>
                        <w:rFonts w:hint="eastAsia" w:ascii="宋体" w:hAnsi="宋体" w:eastAsia="宋体" w:cs="宋体"/>
                        <w:color w:val="000000"/>
                        <w:sz w:val="21"/>
                        <w:szCs w:val="21"/>
                      </w:rPr>
                      <w:t xml:space="preserve"> </w:t>
                    </w:r>
                    <w:r>
                      <w:rPr>
                        <w:rFonts w:hint="eastAsia" w:ascii="宋体" w:hAnsi="宋体" w:eastAsia="宋体" w:cs="宋体"/>
                        <w:sz w:val="21"/>
                        <w:szCs w:val="21"/>
                      </w:rPr>
                      <w:t>第</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Arabic  \* MERGEFORMAT</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页，共</w:t>
                    </w:r>
                    <w:r>
                      <w:rPr>
                        <w:rFonts w:hint="eastAsia" w:ascii="宋体" w:hAnsi="宋体" w:cs="宋体"/>
                        <w:sz w:val="21"/>
                        <w:szCs w:val="21"/>
                        <w:lang w:val="en-US" w:eastAsia="zh-CN"/>
                      </w:rPr>
                      <w:t>6</w:t>
                    </w:r>
                    <w:r>
                      <w:rPr>
                        <w:rFonts w:hint="eastAsia" w:ascii="宋体" w:hAnsi="宋体" w:eastAsia="宋体" w:cs="宋体"/>
                        <w:sz w:val="21"/>
                        <w:szCs w:val="21"/>
                      </w:rPr>
                      <w:t>页</w:t>
                    </w:r>
                  </w:p>
                  <w:p>
                    <w:pPr>
                      <w:rPr>
                        <w:rFonts w:hint="eastAsia" w:ascii="宋体" w:hAnsi="宋体" w:eastAsia="宋体" w:cs="宋体"/>
                        <w:sz w:val="21"/>
                        <w:szCs w:val="21"/>
                      </w:rPr>
                    </w:pPr>
                  </w:p>
                </w:txbxContent>
              </v:textbox>
              <w10:wrap type="square"/>
            </v:shape>
          </w:pict>
        </mc:Fallback>
      </mc:AlternateConten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BCB0A9"/>
    <w:multiLevelType w:val="singleLevel"/>
    <w:tmpl w:val="B2BCB0A9"/>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iYmQzZWUyY2EzNzMwYTU2NjliODNiOWVlYzYyNjQ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1A65"/>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9F8"/>
    <w:rsid w:val="00D37E82"/>
    <w:rsid w:val="00D526A6"/>
    <w:rsid w:val="00D526BD"/>
    <w:rsid w:val="00D55216"/>
    <w:rsid w:val="00D574EE"/>
    <w:rsid w:val="00D602E0"/>
    <w:rsid w:val="00D60AF4"/>
    <w:rsid w:val="00D61E53"/>
    <w:rsid w:val="00D75207"/>
    <w:rsid w:val="00D80E44"/>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C396B4C"/>
    <w:rsid w:val="0E613268"/>
    <w:rsid w:val="0F090DE9"/>
    <w:rsid w:val="11A978DF"/>
    <w:rsid w:val="12BF28AB"/>
    <w:rsid w:val="13347445"/>
    <w:rsid w:val="158F443B"/>
    <w:rsid w:val="17A4103D"/>
    <w:rsid w:val="17B943BD"/>
    <w:rsid w:val="18E13BCB"/>
    <w:rsid w:val="1A003988"/>
    <w:rsid w:val="1AEE7B63"/>
    <w:rsid w:val="1B617245"/>
    <w:rsid w:val="1B6E25C4"/>
    <w:rsid w:val="1CA97C35"/>
    <w:rsid w:val="1D641E26"/>
    <w:rsid w:val="1E320A25"/>
    <w:rsid w:val="1FB44D03"/>
    <w:rsid w:val="1FD04999"/>
    <w:rsid w:val="227B58D9"/>
    <w:rsid w:val="246C2EE2"/>
    <w:rsid w:val="24AB704C"/>
    <w:rsid w:val="25537BFE"/>
    <w:rsid w:val="2583364F"/>
    <w:rsid w:val="26181E3F"/>
    <w:rsid w:val="27160108"/>
    <w:rsid w:val="2801460D"/>
    <w:rsid w:val="28136AE6"/>
    <w:rsid w:val="28940A5E"/>
    <w:rsid w:val="2AFC6642"/>
    <w:rsid w:val="2B7D5822"/>
    <w:rsid w:val="2B8D57C9"/>
    <w:rsid w:val="2C183950"/>
    <w:rsid w:val="2E5D5EC1"/>
    <w:rsid w:val="2E6115DE"/>
    <w:rsid w:val="2EE638B2"/>
    <w:rsid w:val="30A875D7"/>
    <w:rsid w:val="315546E1"/>
    <w:rsid w:val="32421F05"/>
    <w:rsid w:val="3251196A"/>
    <w:rsid w:val="32D541E9"/>
    <w:rsid w:val="344572AC"/>
    <w:rsid w:val="35596F99"/>
    <w:rsid w:val="38631C99"/>
    <w:rsid w:val="38741687"/>
    <w:rsid w:val="3B464036"/>
    <w:rsid w:val="3CD46665"/>
    <w:rsid w:val="4033368A"/>
    <w:rsid w:val="40CB28E7"/>
    <w:rsid w:val="435573BD"/>
    <w:rsid w:val="438C4271"/>
    <w:rsid w:val="43C024AB"/>
    <w:rsid w:val="453B44DF"/>
    <w:rsid w:val="4698326B"/>
    <w:rsid w:val="497242D2"/>
    <w:rsid w:val="49951CE4"/>
    <w:rsid w:val="49A41BDF"/>
    <w:rsid w:val="4A3F4DA2"/>
    <w:rsid w:val="4A62606A"/>
    <w:rsid w:val="4A652AEB"/>
    <w:rsid w:val="4B90280D"/>
    <w:rsid w:val="4C1C277B"/>
    <w:rsid w:val="4CD13B0A"/>
    <w:rsid w:val="4E110852"/>
    <w:rsid w:val="50456116"/>
    <w:rsid w:val="50B60EBE"/>
    <w:rsid w:val="526B2003"/>
    <w:rsid w:val="53973ACB"/>
    <w:rsid w:val="54016821"/>
    <w:rsid w:val="55FA2C72"/>
    <w:rsid w:val="56C63E25"/>
    <w:rsid w:val="57255D0E"/>
    <w:rsid w:val="578564E2"/>
    <w:rsid w:val="585821BA"/>
    <w:rsid w:val="587766E0"/>
    <w:rsid w:val="588C69A8"/>
    <w:rsid w:val="591F3539"/>
    <w:rsid w:val="5C5F065B"/>
    <w:rsid w:val="5CE9261B"/>
    <w:rsid w:val="5F681F1D"/>
    <w:rsid w:val="5FDE3F8D"/>
    <w:rsid w:val="644A7BC0"/>
    <w:rsid w:val="65614110"/>
    <w:rsid w:val="6563635E"/>
    <w:rsid w:val="6571222A"/>
    <w:rsid w:val="667B2F54"/>
    <w:rsid w:val="68352A03"/>
    <w:rsid w:val="6B1D0764"/>
    <w:rsid w:val="6C264CF2"/>
    <w:rsid w:val="6D07065E"/>
    <w:rsid w:val="6F07626B"/>
    <w:rsid w:val="717F3467"/>
    <w:rsid w:val="72035D78"/>
    <w:rsid w:val="722577FA"/>
    <w:rsid w:val="72435ED2"/>
    <w:rsid w:val="730C00E3"/>
    <w:rsid w:val="73621405"/>
    <w:rsid w:val="74890514"/>
    <w:rsid w:val="74B2104F"/>
    <w:rsid w:val="756248C1"/>
    <w:rsid w:val="76740D50"/>
    <w:rsid w:val="77122EE5"/>
    <w:rsid w:val="773744A0"/>
    <w:rsid w:val="794A4EA4"/>
    <w:rsid w:val="7BE44282"/>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next w:val="1"/>
    <w:qFormat/>
    <w:uiPriority w:val="0"/>
    <w:pPr>
      <w:widowControl w:val="0"/>
      <w:spacing w:after="120"/>
      <w:jc w:val="both"/>
    </w:pPr>
    <w:rPr>
      <w:rFonts w:ascii="Calibri" w:hAnsi="Calibri" w:eastAsia="宋体" w:cs="Times New Roman"/>
      <w:kern w:val="2"/>
      <w:sz w:val="28"/>
      <w:szCs w:val="24"/>
      <w:lang w:val="en-US" w:eastAsia="zh-CN" w:bidi="ar-SA"/>
    </w:rPr>
  </w:style>
  <w:style w:type="paragraph" w:styleId="3">
    <w:name w:val="Plain Text"/>
    <w:basedOn w:val="1"/>
    <w:link w:val="16"/>
    <w:qFormat/>
    <w:uiPriority w:val="0"/>
    <w:rPr>
      <w:rFonts w:ascii="宋体" w:hAnsi="Courier New" w:cs="Courier New"/>
      <w:szCs w:val="21"/>
    </w:rPr>
  </w:style>
  <w:style w:type="paragraph" w:styleId="4">
    <w:name w:val="Balloon Text"/>
    <w:basedOn w:val="1"/>
    <w:semiHidden/>
    <w:qFormat/>
    <w:uiPriority w:val="0"/>
    <w:rPr>
      <w:sz w:val="18"/>
      <w:szCs w:val="18"/>
    </w:rPr>
  </w:style>
  <w:style w:type="paragraph" w:styleId="5">
    <w:name w:val="footer"/>
    <w:basedOn w:val="1"/>
    <w:link w:val="15"/>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39"/>
    <w:pPr>
      <w:spacing w:before="120" w:after="120"/>
      <w:jc w:val="left"/>
    </w:pPr>
    <w:rPr>
      <w:rFonts w:ascii="Calibri" w:hAnsi="Calibri"/>
      <w:b/>
      <w:bCs/>
      <w:caps/>
      <w:sz w:val="20"/>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paragraph" w:customStyle="1" w:styleId="12">
    <w:name w:val="Char"/>
    <w:basedOn w:val="1"/>
    <w:qFormat/>
    <w:uiPriority w:val="0"/>
    <w:rPr>
      <w:rFonts w:ascii="仿宋_GB2312" w:eastAsia="仿宋_GB2312"/>
      <w:b/>
      <w:sz w:val="32"/>
      <w:szCs w:val="32"/>
    </w:rPr>
  </w:style>
  <w:style w:type="paragraph" w:customStyle="1" w:styleId="13">
    <w:name w:val="_Style 10"/>
    <w:basedOn w:val="1"/>
    <w:qFormat/>
    <w:uiPriority w:val="0"/>
    <w:pPr>
      <w:ind w:firstLine="480"/>
    </w:pPr>
  </w:style>
  <w:style w:type="character" w:customStyle="1" w:styleId="14">
    <w:name w:val="页眉 字符"/>
    <w:basedOn w:val="10"/>
    <w:link w:val="6"/>
    <w:qFormat/>
    <w:uiPriority w:val="0"/>
    <w:rPr>
      <w:kern w:val="2"/>
      <w:sz w:val="18"/>
      <w:szCs w:val="18"/>
    </w:rPr>
  </w:style>
  <w:style w:type="character" w:customStyle="1" w:styleId="15">
    <w:name w:val="页脚 字符"/>
    <w:basedOn w:val="10"/>
    <w:link w:val="5"/>
    <w:qFormat/>
    <w:uiPriority w:val="0"/>
    <w:rPr>
      <w:kern w:val="2"/>
      <w:sz w:val="18"/>
      <w:szCs w:val="18"/>
    </w:rPr>
  </w:style>
  <w:style w:type="character" w:customStyle="1" w:styleId="16">
    <w:name w:val="纯文本 字符"/>
    <w:basedOn w:val="10"/>
    <w:link w:val="3"/>
    <w:qFormat/>
    <w:uiPriority w:val="0"/>
    <w:rPr>
      <w:rFonts w:ascii="宋体" w:hAnsi="Courier New" w:cs="Courier New"/>
      <w:kern w:val="2"/>
      <w:sz w:val="21"/>
      <w:szCs w:val="21"/>
    </w:r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6</Pages>
  <Words>4362</Words>
  <Characters>4592</Characters>
  <Lines>37</Lines>
  <Paragraphs>10</Paragraphs>
  <TotalTime>10</TotalTime>
  <ScaleCrop>false</ScaleCrop>
  <LinksUpToDate>false</LinksUpToDate>
  <CharactersWithSpaces>4610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聪</cp:lastModifiedBy>
  <cp:lastPrinted>2022-07-05T06:43:00Z</cp:lastPrinted>
  <dcterms:modified xsi:type="dcterms:W3CDTF">2023-11-01T08:57:33Z</dcterms:modified>
  <dc:title>编制总说明</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CC07AE87BEEE4EF0BA3A4B2C2397955B</vt:lpwstr>
  </property>
</Properties>
</file>