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3225B2">
      <w:pPr>
        <w:adjustRightInd w:val="0"/>
        <w:snapToGrid w:val="0"/>
        <w:spacing w:line="288" w:lineRule="auto"/>
        <w:rPr>
          <w:rFonts w:ascii="楷体" w:hAnsi="楷体" w:eastAsia="楷体" w:cs="Times New Roman"/>
          <w:b/>
          <w:color w:val="auto"/>
          <w:spacing w:val="-6"/>
          <w:sz w:val="44"/>
          <w:szCs w:val="44"/>
          <w:highlight w:val="none"/>
        </w:rPr>
      </w:pPr>
    </w:p>
    <w:p w14:paraId="3B037FE7">
      <w:pPr>
        <w:adjustRightInd w:val="0"/>
        <w:snapToGrid w:val="0"/>
        <w:spacing w:line="288" w:lineRule="auto"/>
        <w:rPr>
          <w:rFonts w:ascii="楷体" w:hAnsi="楷体" w:eastAsia="楷体" w:cs="Times New Roman"/>
          <w:b/>
          <w:color w:val="auto"/>
          <w:spacing w:val="-6"/>
          <w:sz w:val="44"/>
          <w:szCs w:val="44"/>
          <w:highlight w:val="none"/>
        </w:rPr>
      </w:pPr>
    </w:p>
    <w:p w14:paraId="11F59468">
      <w:pPr>
        <w:adjustRightInd w:val="0"/>
        <w:snapToGrid w:val="0"/>
        <w:spacing w:line="288" w:lineRule="auto"/>
        <w:rPr>
          <w:rFonts w:ascii="楷体" w:hAnsi="楷体" w:eastAsia="楷体" w:cs="Times New Roman"/>
          <w:b/>
          <w:color w:val="auto"/>
          <w:spacing w:val="-6"/>
          <w:sz w:val="44"/>
          <w:szCs w:val="44"/>
          <w:highlight w:val="none"/>
        </w:rPr>
      </w:pPr>
    </w:p>
    <w:p w14:paraId="468FF83C">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14:paraId="1222FA6A">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装备类仿真推演试验报告及方案</w:t>
      </w:r>
    </w:p>
    <w:p w14:paraId="3D528ABB">
      <w:pPr>
        <w:adjustRightInd w:val="0"/>
        <w:snapToGrid w:val="0"/>
        <w:spacing w:line="288" w:lineRule="auto"/>
        <w:jc w:val="center"/>
        <w:rPr>
          <w:rFonts w:ascii="楷体" w:hAnsi="楷体" w:eastAsia="楷体" w:cs="Times New Roman"/>
          <w:b/>
          <w:color w:val="auto"/>
          <w:spacing w:val="-6"/>
          <w:sz w:val="48"/>
          <w:szCs w:val="48"/>
          <w:highlight w:val="none"/>
        </w:rPr>
      </w:pPr>
    </w:p>
    <w:p w14:paraId="3942C169">
      <w:pPr>
        <w:adjustRightInd w:val="0"/>
        <w:snapToGrid w:val="0"/>
        <w:spacing w:line="288" w:lineRule="auto"/>
        <w:jc w:val="center"/>
        <w:rPr>
          <w:rFonts w:ascii="楷体" w:hAnsi="楷体" w:eastAsia="楷体" w:cs="Times New Roman"/>
          <w:b/>
          <w:color w:val="auto"/>
          <w:spacing w:val="-6"/>
          <w:sz w:val="48"/>
          <w:szCs w:val="48"/>
          <w:highlight w:val="none"/>
        </w:rPr>
      </w:pPr>
    </w:p>
    <w:p w14:paraId="76F892AB">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14:paraId="1F445B8C">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14:paraId="574C01F2">
      <w:pPr>
        <w:adjustRightInd w:val="0"/>
        <w:snapToGrid w:val="0"/>
        <w:spacing w:line="288" w:lineRule="auto"/>
        <w:jc w:val="center"/>
        <w:rPr>
          <w:rFonts w:ascii="楷体" w:hAnsi="楷体" w:eastAsia="楷体" w:cs="Times New Roman"/>
          <w:color w:val="auto"/>
          <w:sz w:val="44"/>
          <w:szCs w:val="44"/>
          <w:highlight w:val="none"/>
        </w:rPr>
      </w:pPr>
    </w:p>
    <w:p w14:paraId="3B6505C4">
      <w:pPr>
        <w:adjustRightInd w:val="0"/>
        <w:snapToGrid w:val="0"/>
        <w:spacing w:line="288" w:lineRule="auto"/>
        <w:jc w:val="center"/>
        <w:rPr>
          <w:rFonts w:ascii="楷体" w:hAnsi="楷体" w:eastAsia="楷体" w:cs="Times New Roman"/>
          <w:color w:val="auto"/>
          <w:sz w:val="44"/>
          <w:szCs w:val="44"/>
          <w:highlight w:val="none"/>
        </w:rPr>
      </w:pPr>
    </w:p>
    <w:p w14:paraId="16FAB8C3">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装备类仿真推演试验报告及方案</w:t>
      </w:r>
    </w:p>
    <w:p w14:paraId="74032A0C">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QSZBB250074ZFGK</w:t>
      </w:r>
    </w:p>
    <w:p w14:paraId="5ACAB285">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14:paraId="641C9789">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14:paraId="7952C207">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[2025]34537号</w:t>
      </w:r>
    </w:p>
    <w:p w14:paraId="43139F7B">
      <w:pPr>
        <w:adjustRightInd w:val="0"/>
        <w:snapToGrid w:val="0"/>
        <w:spacing w:line="288" w:lineRule="auto"/>
        <w:rPr>
          <w:rFonts w:ascii="楷体" w:hAnsi="楷体" w:eastAsia="楷体" w:cs="Times New Roman"/>
          <w:b/>
          <w:color w:val="auto"/>
          <w:szCs w:val="21"/>
          <w:highlight w:val="none"/>
        </w:rPr>
      </w:pPr>
    </w:p>
    <w:p w14:paraId="561CA082">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28CD11E4">
      <w:pPr>
        <w:adjustRightInd w:val="0"/>
        <w:snapToGrid w:val="0"/>
        <w:spacing w:line="288" w:lineRule="auto"/>
        <w:rPr>
          <w:rFonts w:ascii="楷体" w:hAnsi="楷体" w:eastAsia="楷体" w:cs="Times New Roman"/>
          <w:b/>
          <w:color w:val="auto"/>
          <w:sz w:val="30"/>
          <w:szCs w:val="30"/>
          <w:highlight w:val="none"/>
        </w:rPr>
      </w:pPr>
    </w:p>
    <w:p w14:paraId="3B4D4683">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14:paraId="3B82376F">
      <w:pPr>
        <w:adjustRightInd w:val="0"/>
        <w:snapToGrid w:val="0"/>
        <w:spacing w:line="288" w:lineRule="auto"/>
        <w:rPr>
          <w:rFonts w:ascii="楷体" w:hAnsi="楷体" w:eastAsia="楷体" w:cs="Times New Roman"/>
          <w:b/>
          <w:color w:val="auto"/>
          <w:sz w:val="30"/>
          <w:szCs w:val="30"/>
          <w:highlight w:val="none"/>
        </w:rPr>
      </w:pPr>
    </w:p>
    <w:p w14:paraId="4679BDD0">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14:paraId="1C263CAE">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14:paraId="47AD0146">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14:paraId="5E328458">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14:paraId="5889154B">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14:paraId="7BE53F97">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14:paraId="314E6E6F">
      <w:pPr>
        <w:widowControl/>
        <w:adjustRightInd w:val="0"/>
        <w:snapToGrid w:val="0"/>
        <w:spacing w:line="288" w:lineRule="auto"/>
        <w:jc w:val="left"/>
        <w:rPr>
          <w:rFonts w:ascii="宋体" w:hAnsi="宋体" w:eastAsia="宋体" w:cs="Times New Roman"/>
          <w:color w:val="auto"/>
          <w:szCs w:val="21"/>
          <w:highlight w:val="none"/>
        </w:rPr>
      </w:pPr>
    </w:p>
    <w:p w14:paraId="625CD130">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14:paraId="1A93FF2D">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14:paraId="4A9EF2E2">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14:paraId="520E0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装备类仿真推演试验报告及方案</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2025年8月15日13:30:00</w:t>
      </w:r>
      <w:r>
        <w:rPr>
          <w:rFonts w:hint="eastAsia" w:ascii="宋体" w:hAnsi="宋体" w:eastAsia="宋体" w:cs="Times New Roman"/>
          <w:b/>
          <w:color w:val="auto"/>
          <w:szCs w:val="21"/>
          <w:highlight w:val="none"/>
          <w:u w:val="single"/>
        </w:rPr>
        <w:t>（北京时间）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14:paraId="6A95FA21">
      <w:pPr>
        <w:adjustRightInd w:val="0"/>
        <w:snapToGrid w:val="0"/>
        <w:spacing w:line="288" w:lineRule="auto"/>
        <w:rPr>
          <w:rFonts w:ascii="宋体" w:hAnsi="宋体" w:eastAsia="宋体" w:cs="宋体"/>
          <w:b/>
          <w:color w:val="auto"/>
          <w:szCs w:val="21"/>
          <w:highlight w:val="none"/>
        </w:rPr>
      </w:pPr>
      <w:bookmarkStart w:id="0" w:name="_Toc35393790"/>
      <w:bookmarkStart w:id="1" w:name="_Toc28359002"/>
      <w:bookmarkStart w:id="2" w:name="_Toc35393621"/>
      <w:bookmarkStart w:id="3" w:name="_Toc28359079"/>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14:paraId="31B5092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QSZBB250074ZFGK</w:t>
      </w:r>
    </w:p>
    <w:p w14:paraId="34C987CC">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装备类仿真推演试验报告及方案</w:t>
      </w:r>
    </w:p>
    <w:bookmarkEnd w:id="4"/>
    <w:p w14:paraId="2AB1BB05">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1920000元</w:t>
      </w:r>
    </w:p>
    <w:p w14:paraId="11D1D498">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.最高限价：1920000元</w:t>
      </w:r>
    </w:p>
    <w:p w14:paraId="4BF7EF97">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自合同签订之日起60日内交付。</w:t>
      </w:r>
    </w:p>
    <w:p w14:paraId="48CBA4CF">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14:paraId="75005BF6">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89"/>
        <w:gridCol w:w="3522"/>
        <w:gridCol w:w="828"/>
        <w:gridCol w:w="830"/>
        <w:gridCol w:w="3655"/>
      </w:tblGrid>
      <w:tr w14:paraId="2561E1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 w:hRule="atLeast"/>
        </w:trPr>
        <w:tc>
          <w:tcPr>
            <w:tcW w:w="410" w:type="pct"/>
            <w:tcBorders>
              <w:tl2br w:val="nil"/>
              <w:tr2bl w:val="nil"/>
            </w:tcBorders>
            <w:vAlign w:val="center"/>
          </w:tcPr>
          <w:p w14:paraId="618B53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29" w:type="pct"/>
            <w:tcBorders>
              <w:right w:val="single" w:color="auto" w:sz="4" w:space="0"/>
              <w:tl2br w:val="nil"/>
              <w:tr2bl w:val="nil"/>
            </w:tcBorders>
            <w:vAlign w:val="center"/>
          </w:tcPr>
          <w:p w14:paraId="621B590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430" w:type="pct"/>
            <w:tcBorders>
              <w:tl2br w:val="nil"/>
              <w:tr2bl w:val="nil"/>
            </w:tcBorders>
            <w:vAlign w:val="center"/>
          </w:tcPr>
          <w:p w14:paraId="4274516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431" w:type="pct"/>
            <w:tcBorders>
              <w:tl2br w:val="nil"/>
              <w:tr2bl w:val="nil"/>
            </w:tcBorders>
            <w:vAlign w:val="center"/>
          </w:tcPr>
          <w:p w14:paraId="3F41730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1898" w:type="pct"/>
            <w:tcBorders>
              <w:right w:val="single" w:color="auto" w:sz="4" w:space="0"/>
              <w:tl2br w:val="nil"/>
              <w:tr2bl w:val="nil"/>
            </w:tcBorders>
            <w:vAlign w:val="center"/>
          </w:tcPr>
          <w:p w14:paraId="777CB7B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r>
      <w:tr w14:paraId="1277F0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410" w:type="pct"/>
            <w:tcBorders>
              <w:tl2br w:val="nil"/>
              <w:tr2bl w:val="nil"/>
            </w:tcBorders>
            <w:vAlign w:val="center"/>
          </w:tcPr>
          <w:p w14:paraId="016F43E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1829" w:type="pct"/>
            <w:tcBorders>
              <w:right w:val="single" w:color="auto" w:sz="4" w:space="0"/>
              <w:tl2br w:val="nil"/>
              <w:tr2bl w:val="nil"/>
            </w:tcBorders>
            <w:vAlign w:val="center"/>
          </w:tcPr>
          <w:p w14:paraId="3EF00FF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装备类仿真推演试验报告及方案</w:t>
            </w:r>
          </w:p>
        </w:tc>
        <w:tc>
          <w:tcPr>
            <w:tcW w:w="430" w:type="pct"/>
            <w:tcBorders>
              <w:tl2br w:val="nil"/>
              <w:tr2bl w:val="nil"/>
            </w:tcBorders>
            <w:vAlign w:val="center"/>
          </w:tcPr>
          <w:p w14:paraId="11BD2EFB">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431" w:type="pct"/>
            <w:tcBorders>
              <w:tl2br w:val="nil"/>
              <w:tr2bl w:val="nil"/>
            </w:tcBorders>
            <w:vAlign w:val="center"/>
          </w:tcPr>
          <w:p w14:paraId="294F0C66">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项</w:t>
            </w:r>
          </w:p>
        </w:tc>
        <w:tc>
          <w:tcPr>
            <w:tcW w:w="1898" w:type="pct"/>
            <w:tcBorders>
              <w:right w:val="single" w:color="auto" w:sz="4" w:space="0"/>
              <w:tl2br w:val="nil"/>
              <w:tr2bl w:val="nil"/>
            </w:tcBorders>
            <w:vAlign w:val="center"/>
          </w:tcPr>
          <w:p w14:paraId="494058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r>
    </w:tbl>
    <w:p w14:paraId="0D505C25">
      <w:pPr>
        <w:adjustRightInd w:val="0"/>
        <w:snapToGrid w:val="0"/>
        <w:spacing w:line="288" w:lineRule="auto"/>
        <w:rPr>
          <w:rFonts w:ascii="宋体" w:hAnsi="宋体" w:eastAsia="宋体" w:cs="宋体"/>
          <w:b/>
          <w:color w:val="auto"/>
          <w:szCs w:val="21"/>
          <w:highlight w:val="none"/>
        </w:rPr>
      </w:pPr>
      <w:bookmarkStart w:id="5" w:name="_Toc28359003"/>
      <w:bookmarkStart w:id="6" w:name="_Toc35393791"/>
      <w:bookmarkStart w:id="7" w:name="_Toc35393622"/>
      <w:bookmarkStart w:id="8" w:name="_Toc28359080"/>
      <w:r>
        <w:rPr>
          <w:rFonts w:hint="eastAsia" w:ascii="宋体" w:hAnsi="宋体" w:eastAsia="宋体" w:cs="宋体"/>
          <w:b/>
          <w:color w:val="auto"/>
          <w:szCs w:val="21"/>
          <w:highlight w:val="none"/>
        </w:rPr>
        <w:t>二、申请人的资格要求</w:t>
      </w:r>
      <w:bookmarkEnd w:id="5"/>
      <w:bookmarkEnd w:id="6"/>
      <w:bookmarkEnd w:id="7"/>
      <w:bookmarkEnd w:id="8"/>
    </w:p>
    <w:p w14:paraId="437CA2F3">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14:paraId="7A4CCCFF">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bookmarkStart w:id="9" w:name="_Toc28359004"/>
      <w:bookmarkStart w:id="10" w:name="_Toc28359081"/>
      <w:r>
        <w:rPr>
          <w:rFonts w:hint="eastAsia" w:ascii="宋体" w:hAnsi="宋体" w:eastAsia="宋体" w:cs="Times New Roman"/>
          <w:color w:val="auto"/>
          <w:szCs w:val="21"/>
          <w:highlight w:val="none"/>
        </w:rPr>
        <w:t>2.落实政府采购政策需满足的资格要求：本项目专门面向中小企业采购，需按要求提交《中小企业声明函》</w:t>
      </w:r>
      <w:r>
        <w:rPr>
          <w:rFonts w:hint="eastAsia" w:ascii="宋体" w:hAnsi="宋体" w:eastAsia="宋体" w:cs="Times New Roman"/>
          <w:color w:val="auto"/>
          <w:szCs w:val="21"/>
          <w:highlight w:val="none"/>
          <w:lang w:eastAsia="zh-CN"/>
        </w:rPr>
        <w:t>。</w:t>
      </w:r>
      <w:r>
        <w:rPr>
          <w:rFonts w:hint="eastAsia" w:ascii="宋体" w:hAnsi="宋体" w:eastAsia="宋体" w:cs="Times New Roman"/>
          <w:color w:val="auto"/>
          <w:szCs w:val="21"/>
          <w:highlight w:val="none"/>
        </w:rPr>
        <w:t>服务全部由中小企业承接，即提供服务的人员为中小企业依照《中华人民共和国劳动合同法》订立劳动合同的从业人员）</w:t>
      </w:r>
      <w:r>
        <w:rPr>
          <w:rFonts w:hint="eastAsia" w:ascii="宋体" w:hAnsi="宋体" w:eastAsia="宋体" w:cs="Times New Roman"/>
          <w:color w:val="auto"/>
          <w:szCs w:val="21"/>
          <w:highlight w:val="none"/>
          <w:lang w:eastAsia="zh-CN"/>
        </w:rPr>
        <w:t>。监狱企业、残疾人福利性单位视同小型、微型企业；</w:t>
      </w:r>
    </w:p>
    <w:p w14:paraId="662586CD">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3.本项目的特定资格要求：无</w:t>
      </w:r>
      <w:r>
        <w:rPr>
          <w:rFonts w:hint="eastAsia" w:ascii="宋体" w:hAnsi="宋体" w:eastAsia="宋体" w:cs="Times New Roman"/>
          <w:color w:val="auto"/>
          <w:szCs w:val="21"/>
          <w:highlight w:val="none"/>
          <w:lang w:eastAsia="zh-CN"/>
        </w:rPr>
        <w:t>。</w:t>
      </w:r>
    </w:p>
    <w:p w14:paraId="45E95296">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14:paraId="2EE27056">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793"/>
      <w:bookmarkStart w:id="16" w:name="_Toc35393624"/>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w:t>
      </w:r>
      <w:r>
        <w:rPr>
          <w:rFonts w:hint="eastAsia" w:ascii="宋体" w:hAnsi="宋体" w:eastAsia="宋体" w:cs="Times New Roman"/>
          <w:color w:val="auto"/>
          <w:szCs w:val="21"/>
          <w:highlight w:val="none"/>
          <w:lang w:val="en-US" w:eastAsia="zh-CN"/>
        </w:rPr>
        <w:t>5</w:t>
      </w:r>
      <w:r>
        <w:rPr>
          <w:rFonts w:hint="eastAsia" w:ascii="宋体" w:hAnsi="宋体" w:eastAsia="宋体" w:cs="Times New Roman"/>
          <w:color w:val="auto"/>
          <w:szCs w:val="21"/>
          <w:highlight w:val="none"/>
          <w:lang w:eastAsia="zh-CN"/>
        </w:rPr>
        <w:t>年</w:t>
      </w:r>
      <w:r>
        <w:rPr>
          <w:rFonts w:hint="eastAsia" w:ascii="宋体" w:hAnsi="宋体" w:eastAsia="宋体" w:cs="Times New Roman"/>
          <w:color w:val="auto"/>
          <w:szCs w:val="21"/>
          <w:highlight w:val="none"/>
          <w:lang w:val="en-US" w:eastAsia="zh-CN"/>
        </w:rPr>
        <w:t>7</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24</w:t>
      </w:r>
      <w:bookmarkStart w:id="59" w:name="_GoBack"/>
      <w:bookmarkEnd w:id="59"/>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2025年8月15日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14:paraId="42B6CFD0">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14:paraId="326FF62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14:paraId="1388F69C">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14:paraId="734BFEDE">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14:paraId="7FA5E5E2">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2025年8月15日13:30:00</w:t>
      </w:r>
      <w:r>
        <w:rPr>
          <w:rFonts w:hint="eastAsia" w:ascii="宋体" w:hAnsi="宋体" w:eastAsia="宋体" w:cs="Times New Roman"/>
          <w:bCs/>
          <w:color w:val="auto"/>
          <w:szCs w:val="21"/>
          <w:highlight w:val="none"/>
        </w:rPr>
        <w:t>（北京时间）</w:t>
      </w:r>
    </w:p>
    <w:p w14:paraId="556DA842">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14:paraId="5386B560">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2025年8月15日13:30:00</w:t>
      </w:r>
      <w:r>
        <w:rPr>
          <w:rFonts w:hint="eastAsia" w:ascii="宋体" w:hAnsi="宋体" w:eastAsia="宋体" w:cs="Times New Roman"/>
          <w:bCs/>
          <w:color w:val="auto"/>
          <w:szCs w:val="21"/>
          <w:highlight w:val="none"/>
        </w:rPr>
        <w:t>（北京时间）</w:t>
      </w:r>
    </w:p>
    <w:p w14:paraId="13CDD20E">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/杭州市西湖区玉古路173号中田大厦21楼（求是招标会议室</w:t>
      </w:r>
      <w:r>
        <w:rPr>
          <w:rFonts w:hint="eastAsia" w:ascii="宋体" w:hAnsi="宋体" w:eastAsia="宋体" w:cs="Times New Roman"/>
          <w:color w:val="auto"/>
          <w:szCs w:val="21"/>
          <w:highlight w:val="none"/>
          <w:lang w:val="en-US" w:eastAsia="zh-CN"/>
        </w:rPr>
        <w:t>3</w:t>
      </w:r>
      <w:r>
        <w:rPr>
          <w:rFonts w:hint="eastAsia" w:ascii="宋体" w:hAnsi="宋体" w:eastAsia="宋体" w:cs="Times New Roman"/>
          <w:color w:val="auto"/>
          <w:szCs w:val="21"/>
          <w:highlight w:val="none"/>
        </w:rPr>
        <w:t>）</w:t>
      </w:r>
      <w:bookmarkEnd w:id="18"/>
    </w:p>
    <w:bookmarkEnd w:id="17"/>
    <w:p w14:paraId="15287A77">
      <w:pPr>
        <w:adjustRightInd w:val="0"/>
        <w:snapToGrid w:val="0"/>
        <w:spacing w:line="288" w:lineRule="auto"/>
        <w:rPr>
          <w:rFonts w:ascii="宋体" w:hAnsi="宋体" w:eastAsia="宋体" w:cs="宋体"/>
          <w:b/>
          <w:color w:val="auto"/>
          <w:szCs w:val="21"/>
          <w:highlight w:val="none"/>
        </w:rPr>
      </w:pPr>
      <w:bookmarkStart w:id="19" w:name="_Toc35393625"/>
      <w:bookmarkStart w:id="20" w:name="_Toc28359007"/>
      <w:bookmarkStart w:id="21" w:name="_Toc28359084"/>
      <w:bookmarkStart w:id="22" w:name="_Toc35393794"/>
      <w:r>
        <w:rPr>
          <w:rFonts w:hint="eastAsia" w:ascii="宋体" w:hAnsi="宋体" w:eastAsia="宋体" w:cs="宋体"/>
          <w:b/>
          <w:color w:val="auto"/>
          <w:szCs w:val="21"/>
          <w:highlight w:val="none"/>
        </w:rPr>
        <w:t>五、公告期限</w:t>
      </w:r>
      <w:bookmarkEnd w:id="19"/>
      <w:bookmarkEnd w:id="20"/>
      <w:bookmarkEnd w:id="21"/>
      <w:bookmarkEnd w:id="22"/>
    </w:p>
    <w:p w14:paraId="4340D7C4">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14:paraId="231D91DC">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14:paraId="171F1C78">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7334AAA4">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43E355C">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6EBB191B">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14:paraId="61997436">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14:paraId="20A68B8A">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2F6FA5AD">
      <w:pPr>
        <w:adjustRightInd w:val="0"/>
        <w:snapToGrid w:val="0"/>
        <w:spacing w:line="288" w:lineRule="auto"/>
        <w:rPr>
          <w:rFonts w:ascii="宋体" w:hAnsi="宋体" w:eastAsia="宋体" w:cs="Times New Roman"/>
          <w:b/>
          <w:color w:val="auto"/>
          <w:szCs w:val="21"/>
          <w:highlight w:val="none"/>
        </w:rPr>
      </w:pPr>
      <w:bookmarkStart w:id="29" w:name="_Toc35393627"/>
      <w:bookmarkStart w:id="30" w:name="_Toc28359085"/>
      <w:bookmarkStart w:id="31" w:name="_Toc35393796"/>
      <w:bookmarkStart w:id="32" w:name="_Toc28359008"/>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14:paraId="1ABC07AB">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14:paraId="3F73105B">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14:paraId="4E232DA9">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14:paraId="1A3A597E">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75D0D605">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张</w:t>
      </w:r>
      <w:r>
        <w:rPr>
          <w:rFonts w:hint="eastAsia" w:ascii="宋体" w:hAnsi="宋体" w:eastAsia="宋体" w:cs="Times New Roman"/>
          <w:color w:val="auto"/>
          <w:szCs w:val="21"/>
          <w:highlight w:val="none"/>
        </w:rPr>
        <w:t>老师</w:t>
      </w:r>
    </w:p>
    <w:p w14:paraId="054BAA87">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项目联系方式（询问）：18838853755</w:t>
      </w:r>
    </w:p>
    <w:p w14:paraId="2A7F5ADB">
      <w:pPr>
        <w:adjustRightInd w:val="0"/>
        <w:snapToGrid w:val="0"/>
        <w:spacing w:line="288" w:lineRule="auto"/>
        <w:ind w:firstLine="424" w:firstLineChars="202"/>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14:paraId="73FB08B2">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14:paraId="1637E152">
      <w:pPr>
        <w:adjustRightInd w:val="0"/>
        <w:snapToGrid w:val="0"/>
        <w:spacing w:line="288" w:lineRule="auto"/>
        <w:ind w:firstLine="424" w:firstLineChars="202"/>
        <w:rPr>
          <w:rFonts w:ascii="宋体" w:hAnsi="宋体" w:eastAsia="宋体" w:cs="Times New Roman"/>
          <w:color w:val="auto"/>
          <w:szCs w:val="21"/>
          <w:highlight w:val="none"/>
        </w:rPr>
      </w:pPr>
    </w:p>
    <w:p w14:paraId="3C32CE7B">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14:paraId="18158C90">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14:paraId="506ACEC4">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14:paraId="282610FA">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14:paraId="6DA73D70">
      <w:pPr>
        <w:adjustRightInd w:val="0"/>
        <w:snapToGrid w:val="0"/>
        <w:spacing w:line="288" w:lineRule="auto"/>
        <w:ind w:firstLine="424" w:firstLineChars="202"/>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r>
        <w:rPr>
          <w:rFonts w:hint="eastAsia" w:ascii="宋体" w:hAnsi="宋体" w:eastAsia="宋体" w:cs="Times New Roman"/>
          <w:bCs/>
          <w:color w:val="auto"/>
          <w:spacing w:val="-6"/>
          <w:szCs w:val="21"/>
          <w:highlight w:val="none"/>
          <w:lang w:val="en-US" w:eastAsia="zh-CN"/>
        </w:rPr>
        <w:t>朱建飞</w:t>
      </w:r>
    </w:p>
    <w:p w14:paraId="070B094C">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14:paraId="4E57AE33">
      <w:pPr>
        <w:adjustRightInd w:val="0"/>
        <w:snapToGrid w:val="0"/>
        <w:spacing w:line="288" w:lineRule="auto"/>
        <w:ind w:firstLine="424" w:firstLineChars="202"/>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质疑联系人：</w:t>
      </w:r>
      <w:r>
        <w:rPr>
          <w:rFonts w:hint="eastAsia" w:ascii="宋体" w:hAnsi="宋体" w:eastAsia="宋体" w:cs="Times New Roman"/>
          <w:color w:val="auto"/>
          <w:szCs w:val="21"/>
          <w:highlight w:val="none"/>
          <w:lang w:val="en-US" w:eastAsia="zh-CN"/>
        </w:rPr>
        <w:t>周安琪</w:t>
      </w:r>
    </w:p>
    <w:p w14:paraId="7066E04D">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14:paraId="4CDE9237">
      <w:pPr>
        <w:adjustRightInd w:val="0"/>
        <w:snapToGrid w:val="0"/>
        <w:spacing w:line="288" w:lineRule="auto"/>
        <w:ind w:firstLine="424" w:firstLineChars="202"/>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14:paraId="454A45EB">
      <w:pPr>
        <w:adjustRightInd w:val="0"/>
        <w:snapToGrid w:val="0"/>
        <w:spacing w:line="288" w:lineRule="auto"/>
        <w:ind w:firstLine="424" w:firstLineChars="202"/>
        <w:rPr>
          <w:rFonts w:ascii="宋体" w:hAnsi="宋体" w:eastAsia="宋体" w:cs="Times New Roman"/>
          <w:color w:val="auto"/>
          <w:szCs w:val="21"/>
          <w:highlight w:val="none"/>
        </w:rPr>
      </w:pPr>
      <w:bookmarkStart w:id="33" w:name="_Hlk124147873"/>
    </w:p>
    <w:p w14:paraId="01C5F21E">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3.同级政府采购监督管理部门</w:t>
      </w:r>
    </w:p>
    <w:p w14:paraId="2BDFC675">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名称：浙江省财政厅政府采购监管处、浙江省政府采购行政裁决服务中心（杭州）</w:t>
      </w:r>
    </w:p>
    <w:p w14:paraId="47B51A4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地址：</w:t>
      </w:r>
      <w:r>
        <w:rPr>
          <w:rFonts w:hint="eastAsia" w:ascii="宋体" w:hAnsi="宋体" w:eastAsia="宋体" w:cs="Times New Roman"/>
          <w:color w:val="auto"/>
          <w:spacing w:val="-6"/>
          <w:szCs w:val="21"/>
          <w:highlight w:val="none"/>
        </w:rPr>
        <w:t>杭州市上城区清泰街549号城建综合大楼11楼（快递仅限ems或顺丰）</w:t>
      </w:r>
    </w:p>
    <w:p w14:paraId="14810268">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传真：/</w:t>
      </w:r>
    </w:p>
    <w:p w14:paraId="31067E27">
      <w:pPr>
        <w:adjustRightInd w:val="0"/>
        <w:snapToGrid w:val="0"/>
        <w:spacing w:line="288" w:lineRule="auto"/>
        <w:ind w:firstLine="425" w:firstLineChars="215"/>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联系人：匡老师</w:t>
      </w:r>
    </w:p>
    <w:p w14:paraId="4D7CAC43">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监督投诉电话：0571-87807798</w:t>
      </w:r>
    </w:p>
    <w:p w14:paraId="6555F44C">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政策咨询：何一平、冯华，0571-87058424、87055741</w:t>
      </w:r>
    </w:p>
    <w:p w14:paraId="6E78E744">
      <w:pPr>
        <w:adjustRightInd w:val="0"/>
        <w:snapToGrid w:val="0"/>
        <w:spacing w:line="288" w:lineRule="auto"/>
        <w:ind w:firstLine="425" w:firstLineChars="215"/>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预算金额未达100万元的采购项目，由采购人处理采购争议。</w:t>
      </w:r>
    </w:p>
    <w:p w14:paraId="0D8E9AD9">
      <w:pPr>
        <w:adjustRightInd w:val="0"/>
        <w:snapToGrid w:val="0"/>
        <w:spacing w:line="288" w:lineRule="auto"/>
        <w:ind w:firstLine="370"/>
        <w:rPr>
          <w:rFonts w:ascii="宋体" w:hAnsi="宋体" w:eastAsia="宋体" w:cs="Times New Roman"/>
          <w:color w:val="auto"/>
          <w:spacing w:val="-6"/>
          <w:szCs w:val="21"/>
          <w:highlight w:val="none"/>
        </w:rPr>
      </w:pPr>
    </w:p>
    <w:p w14:paraId="091E1A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14:paraId="19A6368A">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14:paraId="779BFE9E">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14:paraId="647ED319">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35AE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7AF6A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14:paraId="4A10FB7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14:paraId="5DFD78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14:paraId="76D73F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FC5DA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14:paraId="7A198D3E">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14:paraId="23E9A8A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40148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B94EBC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14:paraId="5DB57D5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14:paraId="20D00EB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73629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71423D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14:paraId="22C2499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14:paraId="020485F9">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14:paraId="61842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84B98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14:paraId="092085F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14:paraId="0A5565D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14:paraId="3F649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099AD06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14:paraId="7BB804B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14:paraId="0E3B064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w:t>
            </w:r>
            <w:r>
              <w:rPr>
                <w:rFonts w:hint="eastAsia" w:ascii="宋体" w:hAnsi="宋体" w:eastAsia="宋体" w:cs="宋体"/>
                <w:color w:val="auto"/>
                <w:szCs w:val="21"/>
                <w:highlight w:val="none"/>
                <w:lang w:val="en-US" w:eastAsia="zh-CN"/>
              </w:rPr>
              <w:t>资格</w:t>
            </w:r>
            <w:r>
              <w:rPr>
                <w:rFonts w:hint="eastAsia" w:ascii="宋体" w:hAnsi="宋体" w:eastAsia="宋体" w:cs="宋体"/>
                <w:color w:val="auto"/>
                <w:szCs w:val="21"/>
                <w:highlight w:val="none"/>
              </w:rPr>
              <w:t>文件”</w:t>
            </w:r>
          </w:p>
          <w:p w14:paraId="6FB9FA8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w:t>
            </w:r>
            <w:r>
              <w:rPr>
                <w:rFonts w:hint="default" w:ascii="宋体" w:hAnsi="宋体" w:eastAsia="宋体" w:cs="Times New Roman"/>
                <w:b/>
                <w:bCs/>
                <w:color w:val="auto"/>
                <w:szCs w:val="21"/>
                <w:highlight w:val="none"/>
              </w:rPr>
              <w:t>服务</w:t>
            </w:r>
          </w:p>
          <w:p w14:paraId="3B563653">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lang w:val="en-US" w:eastAsia="zh-CN"/>
              </w:rPr>
            </w:pPr>
            <w:r>
              <w:rPr>
                <w:rFonts w:hint="eastAsia" w:ascii="宋体" w:hAnsi="宋体" w:eastAsia="宋体" w:cs="Times New Roman"/>
                <w:b/>
                <w:bCs/>
                <w:color w:val="auto"/>
                <w:szCs w:val="21"/>
                <w:highlight w:val="none"/>
              </w:rPr>
              <w:t>采购标的对应的中小企业划分标准所属行业：</w:t>
            </w:r>
            <w:r>
              <w:rPr>
                <w:rFonts w:hint="eastAsia" w:ascii="宋体" w:hAnsi="宋体" w:eastAsia="宋体" w:cs="Times New Roman"/>
                <w:b/>
                <w:bCs/>
                <w:color w:val="auto"/>
                <w:szCs w:val="21"/>
                <w:highlight w:val="none"/>
                <w:lang w:val="en-US" w:eastAsia="zh-CN"/>
              </w:rPr>
              <w:t>软件和信息技术服务业</w:t>
            </w:r>
          </w:p>
          <w:p w14:paraId="2EAB4A2D">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526C8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36FFF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14:paraId="749510F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14:paraId="0DF543B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提供材料详见招标文件第六章“资格文件”</w:t>
            </w:r>
          </w:p>
        </w:tc>
      </w:tr>
      <w:tr w14:paraId="65DD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7F8D2F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14:paraId="337CDBDA">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14:paraId="153CE66F">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提供材料详见招标文件第六章“资格文件”</w:t>
            </w:r>
          </w:p>
        </w:tc>
      </w:tr>
      <w:bookmarkEnd w:id="34"/>
    </w:tbl>
    <w:p w14:paraId="76B3C0EC">
      <w:pPr>
        <w:adjustRightInd w:val="0"/>
        <w:snapToGrid w:val="0"/>
        <w:spacing w:line="288" w:lineRule="auto"/>
        <w:rPr>
          <w:rFonts w:ascii="宋体" w:hAnsi="宋体" w:eastAsia="宋体" w:cs="Times New Roman"/>
          <w:b/>
          <w:color w:val="auto"/>
          <w:spacing w:val="-4"/>
          <w:szCs w:val="21"/>
          <w:highlight w:val="none"/>
        </w:rPr>
      </w:pPr>
    </w:p>
    <w:p w14:paraId="47046090">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14:paraId="3652BE7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5963BDE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bookmarkStart w:id="35"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14:paraId="11971AB5">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1.合同签订后5个工作日内，供应商向采购人提交合同总价1%的履约保证金，履约保证金在合同履约期间无违约情形的，项目验收结束后，于7个工作日内退还（不计息）；</w:t>
            </w:r>
          </w:p>
          <w:p w14:paraId="08BAEA06">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2.提交方式：支票、汇票、本票或金融机构、担保机构出具的保函等非现金形式。</w:t>
            </w:r>
          </w:p>
          <w:p w14:paraId="154E758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注：履约保证金如采用银行转账方式提交，具体转账信息如下：</w:t>
            </w:r>
          </w:p>
          <w:p w14:paraId="0A168DC1">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收款单位（户名）：杭州电子科技大学</w:t>
            </w:r>
          </w:p>
          <w:p w14:paraId="35ECCE62">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开户银行：工行高新支行</w:t>
            </w:r>
          </w:p>
          <w:p w14:paraId="301F2848">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银行账号：1202026209008806216</w:t>
            </w:r>
          </w:p>
        </w:tc>
      </w:tr>
      <w:tr w14:paraId="47F755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14:paraId="32A5737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14:paraId="00D0EADB">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合同生效以及具备实施条件后7个工作日内，且供应商已向采购人提交银行、保险公司等金融机构出具的预付款保函的，采购人向供应商支付合同总价的20%；项目履约完成，经采购人验收合格后，收到发票后7个工作日内，采购人向供应商支付合同总价的80%。</w:t>
            </w:r>
          </w:p>
          <w:p w14:paraId="034D1CC3">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2.签订合同时中标人明确表示无需预付款的，可以采用以下付款方式：</w:t>
            </w:r>
          </w:p>
          <w:p w14:paraId="5D38B037">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一次性付款：服务结束，采购人验收合格并收到发票后10个工作日内，采购人向供应商支付全部合同价款。</w:t>
            </w:r>
          </w:p>
          <w:p w14:paraId="23FBE67D">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注：付款前，中标人须交纳合同约定的履约保证金（如有）并提供采购人财务处开具的履约保证金收据，中标人向采购人开具等额有效的合格增值税专用发票。采购人开票信息如下：</w:t>
            </w:r>
          </w:p>
          <w:p w14:paraId="2B9ECDFE">
            <w:pPr>
              <w:keepNext w:val="0"/>
              <w:keepLines w:val="0"/>
              <w:widowControl w:val="0"/>
              <w:suppressLineNumbers w:val="0"/>
              <w:adjustRightInd w:val="0"/>
              <w:snapToGrid w:val="0"/>
              <w:spacing w:before="0" w:beforeAutospacing="0" w:after="0" w:afterAutospacing="0" w:line="288" w:lineRule="auto"/>
              <w:ind w:left="0" w:right="0"/>
              <w:jc w:val="both"/>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val="en-US" w:eastAsia="zh-CN" w:bidi="ar"/>
              </w:rPr>
              <w:t>单位名称：杭州电子科技大学。税号：12330000470009026T</w:t>
            </w:r>
          </w:p>
          <w:p w14:paraId="743CECF1">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pacing w:val="-6"/>
                <w:kern w:val="0"/>
                <w:szCs w:val="21"/>
                <w:highlight w:val="none"/>
              </w:rPr>
            </w:pPr>
            <w:r>
              <w:rPr>
                <w:rFonts w:hint="eastAsia" w:ascii="宋体" w:hAnsi="宋体" w:eastAsia="宋体" w:cs="宋体"/>
                <w:color w:val="auto"/>
                <w:spacing w:val="-6"/>
                <w:kern w:val="0"/>
                <w:sz w:val="21"/>
                <w:szCs w:val="21"/>
                <w:highlight w:val="none"/>
                <w:lang w:val="en-US" w:eastAsia="zh-CN" w:bidi="ar"/>
              </w:rPr>
              <w:t>开户银行：工行杭州高新支行。账号：1202026209008806216</w:t>
            </w:r>
          </w:p>
        </w:tc>
      </w:tr>
      <w:bookmarkEnd w:id="35"/>
    </w:tbl>
    <w:p w14:paraId="0554BEF9">
      <w:pPr>
        <w:adjustRightInd w:val="0"/>
        <w:snapToGrid w:val="0"/>
        <w:spacing w:line="288" w:lineRule="auto"/>
        <w:rPr>
          <w:rFonts w:ascii="宋体" w:hAnsi="宋体" w:eastAsia="宋体" w:cs="Times New Roman"/>
          <w:color w:val="auto"/>
          <w:spacing w:val="-4"/>
          <w:szCs w:val="21"/>
          <w:highlight w:val="none"/>
        </w:rPr>
      </w:pPr>
    </w:p>
    <w:p w14:paraId="1EC90AF6">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w:t>
      </w:r>
    </w:p>
    <w:p w14:paraId="549893B5">
      <w:pPr>
        <w:adjustRightInd w:val="0"/>
        <w:snapToGrid w:val="0"/>
        <w:spacing w:line="288" w:lineRule="auto"/>
        <w:rPr>
          <w:rFonts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r>
        <w:rPr>
          <w:rFonts w:hint="eastAsia" w:ascii="宋体" w:hAnsi="宋体" w:eastAsia="宋体" w:cs="宋体"/>
          <w:color w:val="auto"/>
          <w:szCs w:val="21"/>
          <w:highlight w:val="none"/>
        </w:rPr>
        <w:t>如技术要求中未注明需执行的国家相关标准、行业标准、地方标准或者其他标准、规范的，执行最新标准、规范。</w:t>
      </w:r>
      <w:bookmarkEnd w:id="37"/>
    </w:p>
    <w:bookmarkEnd w:id="36"/>
    <w:p w14:paraId="20BAC3DF">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满足装备类仿真推演试验报告及方案的具体需求。</w:t>
      </w:r>
    </w:p>
    <w:p w14:paraId="127DEDFB">
      <w:pPr>
        <w:adjustRightInd w:val="0"/>
        <w:snapToGrid w:val="0"/>
        <w:spacing w:line="288" w:lineRule="auto"/>
        <w:rPr>
          <w:rFonts w:hint="eastAsia"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w:t>
      </w:r>
      <w:r>
        <w:rPr>
          <w:rFonts w:hint="eastAsia" w:ascii="宋体" w:hAnsi="宋体" w:eastAsia="宋体" w:cs="Times New Roman"/>
          <w:b/>
          <w:bCs/>
          <w:color w:val="auto"/>
          <w:spacing w:val="-4"/>
          <w:szCs w:val="21"/>
          <w:highlight w:val="none"/>
          <w:lang w:val="en-US" w:eastAsia="zh-CN"/>
        </w:rPr>
        <w:t>服务</w:t>
      </w:r>
      <w:r>
        <w:rPr>
          <w:rFonts w:hint="eastAsia" w:ascii="宋体" w:hAnsi="宋体" w:eastAsia="宋体" w:cs="Times New Roman"/>
          <w:b/>
          <w:bCs/>
          <w:color w:val="auto"/>
          <w:spacing w:val="-4"/>
          <w:szCs w:val="21"/>
          <w:highlight w:val="none"/>
        </w:rPr>
        <w:t>要求：</w:t>
      </w:r>
    </w:p>
    <w:p w14:paraId="43862046">
      <w:pPr>
        <w:adjustRightInd w:val="0"/>
        <w:snapToGrid w:val="0"/>
        <w:spacing w:line="288" w:lineRule="auto"/>
        <w:ind w:firstLine="406" w:firstLineChars="200"/>
        <w:rPr>
          <w:rFonts w:hint="eastAsia" w:ascii="宋体" w:hAnsi="宋体" w:eastAsia="宋体" w:cs="宋体"/>
          <w:b/>
          <w:bCs w:val="0"/>
          <w:color w:val="auto"/>
          <w:kern w:val="44"/>
          <w:sz w:val="21"/>
          <w:szCs w:val="21"/>
          <w:highlight w:val="none"/>
          <w:lang w:val="en-US" w:eastAsia="zh-CN" w:bidi="ar-SA"/>
        </w:rPr>
      </w:pPr>
      <w:r>
        <w:rPr>
          <w:rFonts w:hint="eastAsia" w:ascii="宋体" w:hAnsi="宋体" w:eastAsia="宋体" w:cs="Times New Roman"/>
          <w:b/>
          <w:bCs/>
          <w:color w:val="auto"/>
          <w:spacing w:val="-4"/>
          <w:szCs w:val="21"/>
          <w:highlight w:val="none"/>
          <w:lang w:val="en-US" w:eastAsia="zh-CN"/>
        </w:rPr>
        <w:t xml:space="preserve">3.1 </w:t>
      </w:r>
      <w:r>
        <w:rPr>
          <w:rFonts w:hint="eastAsia" w:ascii="宋体" w:hAnsi="宋体" w:eastAsia="宋体" w:cs="宋体"/>
          <w:b/>
          <w:bCs w:val="0"/>
          <w:color w:val="auto"/>
          <w:kern w:val="44"/>
          <w:sz w:val="21"/>
          <w:szCs w:val="21"/>
          <w:highlight w:val="none"/>
          <w:lang w:val="en-US" w:eastAsia="zh-CN" w:bidi="ar-SA"/>
        </w:rPr>
        <w:t>总体概述：</w:t>
      </w:r>
    </w:p>
    <w:p w14:paraId="472FE618">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备维修保障仿真评估系统，以舰船装备为对象，以装备任务为输入，基于装备、装备维修、维修保障机构、维修保障人员、维修保障设备、维修器材等模型，开展仿真推演，输出装备完好率、维修资源消耗情况等指标，并生成仿真报告，辅助论证装备保障方案的科学性与合理性。</w:t>
      </w:r>
    </w:p>
    <w:p w14:paraId="7147BCAB">
      <w:pPr>
        <w:adjustRightInd w:val="0"/>
        <w:snapToGrid w:val="0"/>
        <w:spacing w:line="288" w:lineRule="auto"/>
        <w:ind w:firstLine="422" w:firstLineChars="200"/>
        <w:rPr>
          <w:rFonts w:hint="eastAsia" w:ascii="宋体" w:hAnsi="宋体" w:eastAsia="宋体" w:cs="宋体"/>
          <w:b/>
          <w:bCs/>
          <w:color w:val="auto"/>
          <w:kern w:val="44"/>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3.2 </w:t>
      </w:r>
      <w:r>
        <w:rPr>
          <w:rFonts w:hint="eastAsia" w:ascii="宋体" w:hAnsi="宋体" w:eastAsia="宋体" w:cs="宋体"/>
          <w:b/>
          <w:bCs/>
          <w:color w:val="auto"/>
          <w:kern w:val="44"/>
          <w:sz w:val="21"/>
          <w:szCs w:val="21"/>
          <w:highlight w:val="none"/>
          <w:lang w:val="en-US" w:eastAsia="zh-CN" w:bidi="ar-SA"/>
        </w:rPr>
        <w:t>采购内容：</w:t>
      </w:r>
    </w:p>
    <w:p w14:paraId="23996B32">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装备维修保障仿真评估系统1套，包括装备维修保障仿真子系统和装备维修保障机构能力评估子系统。</w:t>
      </w:r>
    </w:p>
    <w:p w14:paraId="2A098FD7">
      <w:pPr>
        <w:adjustRightInd w:val="0"/>
        <w:snapToGrid w:val="0"/>
        <w:spacing w:line="288" w:lineRule="auto"/>
        <w:ind w:firstLine="422" w:firstLineChars="200"/>
        <w:rPr>
          <w:rFonts w:hint="eastAsia" w:ascii="宋体" w:hAnsi="宋体" w:eastAsia="宋体" w:cs="宋体"/>
          <w:b/>
          <w:bCs/>
          <w:color w:val="auto"/>
          <w:kern w:val="44"/>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3.3 </w:t>
      </w:r>
      <w:r>
        <w:rPr>
          <w:rFonts w:hint="eastAsia" w:ascii="宋体" w:hAnsi="宋体" w:eastAsia="宋体" w:cs="宋体"/>
          <w:b/>
          <w:bCs/>
          <w:color w:val="auto"/>
          <w:kern w:val="44"/>
          <w:sz w:val="21"/>
          <w:szCs w:val="21"/>
          <w:highlight w:val="none"/>
          <w:lang w:val="en-US" w:eastAsia="zh-CN" w:bidi="ar-SA"/>
        </w:rPr>
        <w:t>功能要求：</w:t>
      </w:r>
    </w:p>
    <w:p w14:paraId="36D1C9E8">
      <w:pPr>
        <w:adjustRightInd w:val="0"/>
        <w:snapToGrid w:val="0"/>
        <w:spacing w:line="288"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44"/>
          <w:sz w:val="21"/>
          <w:szCs w:val="21"/>
          <w:highlight w:val="none"/>
          <w:lang w:val="en-US" w:eastAsia="zh-CN" w:bidi="ar-SA"/>
        </w:rPr>
        <w:t xml:space="preserve">3.3.1 </w:t>
      </w:r>
      <w:r>
        <w:rPr>
          <w:rFonts w:hint="eastAsia" w:ascii="宋体" w:hAnsi="宋体" w:eastAsia="宋体" w:cs="宋体"/>
          <w:bCs/>
          <w:color w:val="auto"/>
          <w:kern w:val="2"/>
          <w:sz w:val="21"/>
          <w:szCs w:val="21"/>
          <w:highlight w:val="none"/>
          <w:lang w:val="en-US" w:eastAsia="zh-CN" w:bidi="ar-SA"/>
        </w:rPr>
        <w:t>装备维修保障仿真子系统：</w:t>
      </w:r>
    </w:p>
    <w:p w14:paraId="64C9F06C">
      <w:pPr>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装备维修保障仿真子系统包括想定规划、战备完好性仿真、状态监测及展示和系统管理等功能。</w:t>
      </w:r>
    </w:p>
    <w:p w14:paraId="068BF6A6">
      <w:pPr>
        <w:adjustRightInd w:val="0"/>
        <w:snapToGrid w:val="0"/>
        <w:spacing w:line="288" w:lineRule="auto"/>
        <w:ind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想定规划：</w:t>
      </w:r>
    </w:p>
    <w:p w14:paraId="42820543">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能够以部队实际保障方案为输入，将装备演训任务中的关键要素，包括任务地点、任务时长、任务装备等，以及保障方案中的关键要素，包括保障对象、保障机构、保障资源、保障关系等，经分析、抽象和提炼后，进行仿真实体模型的构建及条件设置，并通过人机交互界面对保障方案的内容进行图上标记和参数录入，形成一套完整的、可视化的、结构化的、流程化的、信息化的保障方案，为后续战备完好性仿真提供必要的输入。</w:t>
      </w:r>
    </w:p>
    <w:p w14:paraId="0280521C">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想定规划主要包括想定生成管理、装备系统建模、装备可靠性建模、任务剖面建模、定期维修建模、修复性维修建模等功能。</w:t>
      </w:r>
    </w:p>
    <w:p w14:paraId="4917967A">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战备完好性仿真：</w:t>
      </w:r>
    </w:p>
    <w:p w14:paraId="28F4A93A">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仿真过程能够进行多节点、多角度的监控与控制；支持仿真进程的指令操控，包括启动、暂停、恢复和停止等；并将所有仿真输出数据记录在数据库中，支持对仿真运行过程中的活动、事件等进行查看、调阅和回溯等。</w:t>
      </w:r>
    </w:p>
    <w:p w14:paraId="5ACBC75F">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战备完好性仿真主要包括仿真控制与模型调度、仿真回放和数据记录与日志管理功能。</w:t>
      </w:r>
    </w:p>
    <w:p w14:paraId="710CFF85">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状态监测及展示：</w:t>
      </w:r>
    </w:p>
    <w:p w14:paraId="17EA40C2">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能够通过多种图表形式，将仿真过程中的装备完好率、技术状态、可用度、维修工时、资源消耗等信息以数据表和图形化方式的进行综合展示。</w:t>
      </w:r>
    </w:p>
    <w:p w14:paraId="1E5B285A">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系统管理：</w:t>
      </w:r>
    </w:p>
    <w:p w14:paraId="220F1DCD">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主要包括用户管理、用户登录认证授权和日志管理等功能。</w:t>
      </w:r>
    </w:p>
    <w:p w14:paraId="7F66473B">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3.3.2 </w:t>
      </w:r>
      <w:r>
        <w:rPr>
          <w:rFonts w:hint="eastAsia" w:ascii="宋体" w:hAnsi="宋体" w:eastAsia="宋体" w:cs="宋体"/>
          <w:bCs/>
          <w:color w:val="auto"/>
          <w:kern w:val="2"/>
          <w:sz w:val="21"/>
          <w:szCs w:val="21"/>
          <w:highlight w:val="none"/>
          <w:lang w:val="en-US" w:eastAsia="zh-CN" w:bidi="ar-SA"/>
        </w:rPr>
        <w:t>装备维修保障机构能力评估子系统</w:t>
      </w:r>
      <w:r>
        <w:rPr>
          <w:rFonts w:hint="eastAsia" w:ascii="宋体" w:hAnsi="宋体" w:eastAsia="宋体" w:cs="宋体"/>
          <w:color w:val="auto"/>
          <w:sz w:val="21"/>
          <w:szCs w:val="21"/>
          <w:highlight w:val="none"/>
          <w:lang w:eastAsia="zh-CN"/>
        </w:rPr>
        <w:t>：</w:t>
      </w:r>
    </w:p>
    <w:p w14:paraId="08586262">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装备维修保障机构能力评估子系统包括综合评价和系统管理等功能。</w:t>
      </w:r>
    </w:p>
    <w:p w14:paraId="34B3E1FF">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综合评价：</w:t>
      </w:r>
    </w:p>
    <w:p w14:paraId="4BCD7A1A">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能够构建装备维修保障机构修理能力指标体系，集成综合评价方法，对部队级维修保障机构修理能力的综合评价。</w:t>
      </w:r>
    </w:p>
    <w:p w14:paraId="1E3F34AD">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bCs/>
          <w:color w:val="auto"/>
          <w:kern w:val="2"/>
          <w:sz w:val="21"/>
          <w:szCs w:val="21"/>
          <w:highlight w:val="none"/>
          <w:lang w:val="en-US" w:eastAsia="zh-CN" w:bidi="ar-SA"/>
        </w:rPr>
        <w:t>系统管理：</w:t>
      </w:r>
    </w:p>
    <w:p w14:paraId="5E5B8236">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主要包括用户管理、用户登录认证授权、问题库管理、专家信息管理和日志管理等功能。</w:t>
      </w:r>
    </w:p>
    <w:p w14:paraId="6B1E5C37">
      <w:pPr>
        <w:pageBreakBefore w:val="0"/>
        <w:widowControl w:val="0"/>
        <w:kinsoku/>
        <w:wordWrap/>
        <w:overflowPunct/>
        <w:topLinePunct w:val="0"/>
        <w:autoSpaceDE/>
        <w:autoSpaceDN/>
        <w:bidi w:val="0"/>
        <w:spacing w:line="288" w:lineRule="auto"/>
        <w:ind w:left="0" w:firstLine="422" w:firstLineChars="200"/>
        <w:rPr>
          <w:rFonts w:hint="eastAsia" w:ascii="宋体" w:hAnsi="宋体" w:eastAsia="宋体" w:cs="宋体"/>
          <w:b/>
          <w:bCs/>
          <w:color w:val="auto"/>
          <w:kern w:val="44"/>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3.4 </w:t>
      </w:r>
      <w:r>
        <w:rPr>
          <w:rFonts w:hint="eastAsia" w:ascii="宋体" w:hAnsi="宋体" w:eastAsia="宋体" w:cs="宋体"/>
          <w:b/>
          <w:bCs/>
          <w:color w:val="auto"/>
          <w:kern w:val="44"/>
          <w:sz w:val="21"/>
          <w:szCs w:val="21"/>
          <w:highlight w:val="none"/>
          <w:lang w:val="en-US" w:eastAsia="zh-CN" w:bidi="ar-SA"/>
        </w:rPr>
        <w:t>性能要求：</w:t>
      </w:r>
    </w:p>
    <w:p w14:paraId="06C49F66">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3.4.1 仿真模型至少包括装备系统模型、装备可靠性模型、任务剖面模型、定期维修模型、修复性维修模型等不少于5种；</w:t>
      </w:r>
    </w:p>
    <w:p w14:paraId="4023B172">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3.4.2 装备系统模型，具备不少于1型舰船装备，4层以上装备结构（层级划分为系统、分系统、设备、组件）；</w:t>
      </w:r>
    </w:p>
    <w:p w14:paraId="345B2E64">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3.4.3 支持包括装备结构图、直方图、曲线图、雷达图和列表等不少于5种以上图表形式的数据统计显示；</w:t>
      </w:r>
    </w:p>
    <w:p w14:paraId="290F9336">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3.4.4 评估指标体系不少于3级，指标体系中的二级指标不少于8项；</w:t>
      </w:r>
    </w:p>
    <w:p w14:paraId="558F5323">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3.4.5 综合评价方法不少于3种；</w:t>
      </w:r>
    </w:p>
    <w:p w14:paraId="76753B5B">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3.4.6 查询平均响应时间不超过3秒；</w:t>
      </w:r>
    </w:p>
    <w:p w14:paraId="0A730381">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3.4.7 瓦片地图展现界面流畅，无卡顿、错位、停滞等现象；</w:t>
      </w:r>
    </w:p>
    <w:p w14:paraId="795A1FA3">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3.4.8 软件可部署在国产麒麟操作系统；</w:t>
      </w:r>
    </w:p>
    <w:p w14:paraId="117C9DC3">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3.4.9 数据库支持MYSQL；</w:t>
      </w:r>
    </w:p>
    <w:p w14:paraId="53C8C0EE">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3.4.10 提供免费培训及1年技术支持服务（验收合格之日起）。</w:t>
      </w:r>
    </w:p>
    <w:p w14:paraId="7929F72A">
      <w:pPr>
        <w:pageBreakBefore w:val="0"/>
        <w:widowControl w:val="0"/>
        <w:numPr>
          <w:ilvl w:val="0"/>
          <w:numId w:val="0"/>
        </w:numPr>
        <w:kinsoku/>
        <w:wordWrap/>
        <w:overflowPunct/>
        <w:topLinePunct w:val="0"/>
        <w:autoSpaceDE/>
        <w:autoSpaceDN/>
        <w:bidi w:val="0"/>
        <w:spacing w:line="288" w:lineRule="auto"/>
        <w:ind w:firstLine="422" w:firstLineChars="200"/>
        <w:jc w:val="both"/>
        <w:rPr>
          <w:rFonts w:hint="eastAsia" w:ascii="宋体" w:hAnsi="宋体" w:eastAsia="宋体" w:cs="宋体"/>
          <w:b/>
          <w:bCs/>
          <w:color w:val="auto"/>
          <w:kern w:val="44"/>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 xml:space="preserve">3.5 </w:t>
      </w:r>
      <w:r>
        <w:rPr>
          <w:rFonts w:hint="eastAsia" w:ascii="宋体" w:hAnsi="宋体" w:eastAsia="宋体" w:cs="宋体"/>
          <w:b/>
          <w:bCs/>
          <w:color w:val="auto"/>
          <w:kern w:val="44"/>
          <w:sz w:val="21"/>
          <w:szCs w:val="21"/>
          <w:highlight w:val="none"/>
          <w:lang w:val="en-US" w:eastAsia="zh-CN" w:bidi="ar-SA"/>
        </w:rPr>
        <w:t>实施进度要求：</w:t>
      </w:r>
    </w:p>
    <w:p w14:paraId="5CF0A516">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default" w:ascii="宋体" w:hAnsi="宋体" w:eastAsia="宋体" w:cs="宋体"/>
          <w:b/>
          <w:bCs/>
          <w:color w:val="auto"/>
          <w:kern w:val="44"/>
          <w:sz w:val="21"/>
          <w:szCs w:val="21"/>
          <w:highlight w:val="none"/>
          <w:lang w:val="en-US" w:eastAsia="zh-CN" w:bidi="ar-SA"/>
        </w:rPr>
      </w:pPr>
      <w:r>
        <w:rPr>
          <w:rFonts w:hint="eastAsia" w:ascii="宋体" w:hAnsi="宋体" w:eastAsia="宋体" w:cs="宋体"/>
          <w:b w:val="0"/>
          <w:bCs w:val="0"/>
          <w:color w:val="auto"/>
          <w:kern w:val="44"/>
          <w:sz w:val="21"/>
          <w:szCs w:val="21"/>
          <w:highlight w:val="none"/>
          <w:lang w:val="en-US" w:eastAsia="zh-CN" w:bidi="ar-SA"/>
        </w:rPr>
        <w:t>自合同签订之日起60日内交付。</w:t>
      </w:r>
    </w:p>
    <w:p w14:paraId="15A07C05">
      <w:pPr>
        <w:pageBreakBefore w:val="0"/>
        <w:widowControl w:val="0"/>
        <w:numPr>
          <w:ilvl w:val="0"/>
          <w:numId w:val="0"/>
        </w:numPr>
        <w:kinsoku/>
        <w:wordWrap/>
        <w:overflowPunct/>
        <w:topLinePunct w:val="0"/>
        <w:autoSpaceDE/>
        <w:autoSpaceDN/>
        <w:bidi w:val="0"/>
        <w:spacing w:line="288" w:lineRule="auto"/>
        <w:ind w:firstLine="422" w:firstLineChars="200"/>
        <w:jc w:val="both"/>
        <w:rPr>
          <w:rFonts w:hint="eastAsia" w:ascii="宋体" w:hAnsi="宋体" w:eastAsia="宋体" w:cs="宋体"/>
          <w:b/>
          <w:bCs w:val="0"/>
          <w:color w:val="auto"/>
          <w:kern w:val="44"/>
          <w:sz w:val="21"/>
          <w:szCs w:val="21"/>
          <w:highlight w:val="none"/>
          <w:lang w:val="en-US" w:eastAsia="zh-CN" w:bidi="ar-SA"/>
        </w:rPr>
      </w:pPr>
      <w:r>
        <w:rPr>
          <w:rFonts w:hint="eastAsia" w:ascii="宋体" w:hAnsi="宋体" w:eastAsia="宋体" w:cs="宋体"/>
          <w:b/>
          <w:bCs w:val="0"/>
          <w:color w:val="auto"/>
          <w:kern w:val="44"/>
          <w:sz w:val="21"/>
          <w:szCs w:val="21"/>
          <w:highlight w:val="none"/>
          <w:lang w:val="en-US" w:eastAsia="zh-CN" w:bidi="ar-SA"/>
        </w:rPr>
        <w:t>3.6 交付清单：</w:t>
      </w:r>
    </w:p>
    <w:p w14:paraId="48C2800B">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需要提供装备维修保障仿真评估系统1套，以及配套文档。具体交付内容主要包括以下内容：</w:t>
      </w:r>
    </w:p>
    <w:p w14:paraId="68B6F09F">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3.6.1 装备维修保障仿真评估系统可执行程序1套(包括装备维修保障仿真子系统和装备维修保障机构能力评估子系统)；</w:t>
      </w:r>
    </w:p>
    <w:p w14:paraId="4D3A00AB">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3.6.2 软件需求规格说明1份；</w:t>
      </w:r>
    </w:p>
    <w:p w14:paraId="45387218">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3.6.3 软件设计说明1份；</w:t>
      </w:r>
    </w:p>
    <w:p w14:paraId="217DD19F">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3.6.4 软件测试报告1份；</w:t>
      </w:r>
    </w:p>
    <w:p w14:paraId="3196BEFF">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3.6.5 软件用户手册1份。</w:t>
      </w:r>
    </w:p>
    <w:p w14:paraId="18D25741">
      <w:pPr>
        <w:pageBreakBefore w:val="0"/>
        <w:widowControl w:val="0"/>
        <w:numPr>
          <w:ilvl w:val="0"/>
          <w:numId w:val="0"/>
        </w:numPr>
        <w:kinsoku/>
        <w:wordWrap/>
        <w:overflowPunct/>
        <w:topLinePunct w:val="0"/>
        <w:autoSpaceDE/>
        <w:autoSpaceDN/>
        <w:bidi w:val="0"/>
        <w:spacing w:line="288" w:lineRule="auto"/>
        <w:ind w:firstLine="422"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3.7 培训：</w:t>
      </w:r>
      <w:r>
        <w:rPr>
          <w:rFonts w:hint="eastAsia" w:ascii="宋体" w:hAnsi="宋体" w:eastAsia="宋体" w:cs="宋体"/>
          <w:color w:val="auto"/>
          <w:kern w:val="2"/>
          <w:sz w:val="21"/>
          <w:szCs w:val="21"/>
          <w:highlight w:val="none"/>
          <w:lang w:val="en-US" w:eastAsia="zh-CN" w:bidi="ar-SA"/>
        </w:rPr>
        <w:t>组织不少于3次的软件使用培训。</w:t>
      </w:r>
    </w:p>
    <w:p w14:paraId="6A717459">
      <w:pPr>
        <w:pageBreakBefore w:val="0"/>
        <w:widowControl w:val="0"/>
        <w:numPr>
          <w:ilvl w:val="0"/>
          <w:numId w:val="0"/>
        </w:numPr>
        <w:kinsoku/>
        <w:wordWrap/>
        <w:overflowPunct/>
        <w:topLinePunct w:val="0"/>
        <w:autoSpaceDE/>
        <w:autoSpaceDN/>
        <w:bidi w:val="0"/>
        <w:spacing w:line="288" w:lineRule="auto"/>
        <w:ind w:firstLine="422" w:firstLineChars="200"/>
        <w:jc w:val="both"/>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3.8 响应时效标准：</w:t>
      </w:r>
    </w:p>
    <w:p w14:paraId="6FFE883C">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3.8.1 接报后须在2小时内作出响应确认；</w:t>
      </w:r>
    </w:p>
    <w:p w14:paraId="000D69FA">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3.8.2 一般故障：12小时内提交解决方案并开始处理；</w:t>
      </w:r>
    </w:p>
    <w:p w14:paraId="02BAE77B">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3.8.3 严重故障（系统宕机/数据丢失）：立即启动应急预案，4小时内抵达现场；</w:t>
      </w:r>
    </w:p>
    <w:p w14:paraId="4D6A7A55">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3.8.4 所有故障处理完毕后，72小时内提交书面分析报告。</w:t>
      </w:r>
    </w:p>
    <w:p w14:paraId="03B2F404">
      <w:pPr>
        <w:pageBreakBefore w:val="0"/>
        <w:widowControl w:val="0"/>
        <w:numPr>
          <w:ilvl w:val="0"/>
          <w:numId w:val="0"/>
        </w:numPr>
        <w:kinsoku/>
        <w:wordWrap/>
        <w:overflowPunct/>
        <w:topLinePunct w:val="0"/>
        <w:autoSpaceDE/>
        <w:autoSpaceDN/>
        <w:bidi w:val="0"/>
        <w:spacing w:line="288" w:lineRule="auto"/>
        <w:ind w:firstLine="422"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b/>
          <w:bCs/>
          <w:color w:val="auto"/>
          <w:kern w:val="2"/>
          <w:sz w:val="21"/>
          <w:szCs w:val="21"/>
          <w:highlight w:val="none"/>
          <w:lang w:val="en-US" w:eastAsia="zh-CN" w:bidi="ar-SA"/>
        </w:rPr>
        <w:t>3.9 服务保障措施：</w:t>
      </w:r>
    </w:p>
    <w:p w14:paraId="131E3AA9">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3.9.1 设立7×24小时专属技术支持热线及远程诊断通道；</w:t>
      </w:r>
    </w:p>
    <w:p w14:paraId="1C5D8C00">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3.9.2 每月定期提交系统健康检查报告，开展预防性维护；</w:t>
      </w:r>
    </w:p>
    <w:p w14:paraId="0C43D622">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3.9.3 建立备品备件库，关键部件现场储备量不低于需求总量的30%；</w:t>
      </w:r>
    </w:p>
    <w:p w14:paraId="4201B54B">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default" w:ascii="宋体" w:hAnsi="宋体" w:eastAsia="宋体" w:cs="Times New Roman"/>
          <w:b/>
          <w:bCs/>
          <w:color w:val="auto"/>
          <w:szCs w:val="21"/>
          <w:highlight w:val="none"/>
          <w:lang w:val="en-US"/>
        </w:rPr>
      </w:pPr>
      <w:r>
        <w:rPr>
          <w:rFonts w:hint="eastAsia" w:ascii="宋体" w:hAnsi="宋体" w:eastAsia="宋体" w:cs="宋体"/>
          <w:color w:val="auto"/>
          <w:kern w:val="2"/>
          <w:sz w:val="21"/>
          <w:szCs w:val="21"/>
          <w:highlight w:val="none"/>
          <w:lang w:val="en-US" w:eastAsia="zh-CN" w:bidi="ar-SA"/>
        </w:rPr>
        <w:t>3.9.4 每季度提供技术回访，主动优化系统运行效率。</w:t>
      </w:r>
    </w:p>
    <w:p w14:paraId="2A83C00D">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14:paraId="0010D715">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14:paraId="0797A8FF">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5779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1D9F47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14:paraId="64C310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14:paraId="4CA792F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14:paraId="6874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5AF23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14:paraId="7F7DE3F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14:paraId="7BC850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杭州电子科技大学装备类仿真推演试验报告及方案</w:t>
            </w:r>
            <w:r>
              <w:rPr>
                <w:rFonts w:hint="eastAsia" w:ascii="宋体" w:hAnsi="宋体" w:eastAsia="宋体"/>
                <w:color w:val="auto"/>
                <w:szCs w:val="21"/>
                <w:highlight w:val="none"/>
              </w:rPr>
              <w:t>的招标、评标、定标、验收、合同履约、付款等（法律、法规另有规定的，从其规定）。</w:t>
            </w:r>
          </w:p>
        </w:tc>
      </w:tr>
      <w:tr w14:paraId="1FC6F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37C0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14:paraId="4D54B4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14:paraId="24CC8B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14:paraId="387CB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286DE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14:paraId="1CFD04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14:paraId="5EE909E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14:paraId="35EB04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2024年7月（含）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14:paraId="19BCFB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14:paraId="14E96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4E71F6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14:paraId="7C72A0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14:paraId="013748B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14:paraId="400EBA4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14:paraId="1E8BF3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5DC143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CD7029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223396B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14:paraId="36E1B2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14:paraId="78E5AA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B5333F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14:paraId="67115F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14:paraId="0E2769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D2DBC1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14:paraId="0B407DD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0.56</w:t>
                  </w:r>
                </w:p>
              </w:tc>
            </w:tr>
          </w:tbl>
          <w:p w14:paraId="1073C95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14:paraId="33F2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767D32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14:paraId="39C3A047">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14:paraId="6027F1B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14:paraId="6F740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D175E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14:paraId="3DF50E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14:paraId="0A4F6C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14:paraId="54696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7CAC6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14:paraId="78FC396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14:paraId="3717B17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14:paraId="6381749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lang w:val="en-US" w:eastAsia="zh-CN"/>
              </w:rPr>
              <w:t>服务内容整体不可分割</w:t>
            </w:r>
            <w:r>
              <w:rPr>
                <w:rFonts w:hint="default" w:ascii="宋体" w:hAnsi="宋体" w:eastAsia="宋体"/>
                <w:color w:val="auto"/>
                <w:szCs w:val="21"/>
                <w:highlight w:val="none"/>
                <w:u w:val="single"/>
              </w:rPr>
              <w:t>。</w:t>
            </w:r>
          </w:p>
        </w:tc>
      </w:tr>
      <w:tr w14:paraId="1BA0F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C01E5F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14:paraId="1183409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14:paraId="4C42B42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14:paraId="181469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14:paraId="242F485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14:paraId="191BF5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14:paraId="0004E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EE0C29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14:paraId="3A7BA0C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14:paraId="4D49F1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14:paraId="1B37A1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14:paraId="5B22D1D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14:paraId="1FAE93B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p>
          <w:p w14:paraId="218C2071">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中小企业声明函（若属于中小企业）</w:t>
            </w:r>
          </w:p>
          <w:p w14:paraId="055AECAD">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属于监狱企业的证明文件（若属于监狱企业）</w:t>
            </w:r>
          </w:p>
          <w:p w14:paraId="0C941468">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bCs/>
                <w:color w:val="auto"/>
                <w:szCs w:val="21"/>
                <w:highlight w:val="none"/>
              </w:rPr>
            </w:pPr>
            <w:r>
              <w:rPr>
                <w:rFonts w:hint="eastAsia" w:ascii="宋体" w:hAnsi="宋体" w:eastAsia="宋体"/>
                <w:bCs/>
                <w:color w:val="auto"/>
                <w:szCs w:val="21"/>
                <w:highlight w:val="none"/>
              </w:rPr>
              <w:t>残疾人福利性单位声明函（若属于残疾人福利性单位）</w:t>
            </w:r>
          </w:p>
          <w:p w14:paraId="3877AAA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联合协议（如有）</w:t>
            </w:r>
          </w:p>
          <w:p w14:paraId="3F923D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14:paraId="3593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53515E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14:paraId="0B311F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14:paraId="4F5FD9A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14:paraId="74DDBDB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14:paraId="4964E36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14:paraId="6B3A4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A79D69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14:paraId="2DDEE1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14:paraId="2758FB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bookmarkStart w:id="38" w:name="OLE_LINK1"/>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32608FB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14:paraId="5FB1C9B5">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147D2EB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57C3B98D">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bookmarkEnd w:id="38"/>
          </w:p>
        </w:tc>
      </w:tr>
      <w:tr w14:paraId="5630A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D0B40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14:paraId="661A5E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14:paraId="793273D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14:paraId="3CF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981C7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14:paraId="373487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14:paraId="3506DC8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14:paraId="1C2B0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3DE97F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14:paraId="75D18B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14:paraId="7658019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14:paraId="1A618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DBC0A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14:paraId="268B7B2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14:paraId="0B35ED2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14:paraId="520D327E">
      <w:pPr>
        <w:adjustRightInd w:val="0"/>
        <w:snapToGrid w:val="0"/>
        <w:spacing w:line="288" w:lineRule="auto"/>
        <w:rPr>
          <w:rFonts w:ascii="宋体" w:hAnsi="宋体" w:eastAsia="宋体"/>
          <w:color w:val="auto"/>
          <w:szCs w:val="21"/>
          <w:highlight w:val="none"/>
        </w:rPr>
      </w:pPr>
    </w:p>
    <w:p w14:paraId="764296F0">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14:paraId="243818B2">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14:paraId="40E1DF9D">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9"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9"/>
    <w:p w14:paraId="252CC804">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14:paraId="5FCBD7D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杭州电子科技大学装备类仿真推演试验报告及方案</w:t>
      </w:r>
      <w:r>
        <w:rPr>
          <w:rFonts w:hint="eastAsia" w:ascii="宋体" w:hAnsi="宋体" w:eastAsia="宋体" w:cs="Times New Roman"/>
          <w:color w:val="auto"/>
          <w:spacing w:val="-6"/>
          <w:szCs w:val="21"/>
          <w:highlight w:val="none"/>
        </w:rPr>
        <w:t>的招标、评标、定标、验收、合同履约、付款等（法律、法规另有规定的，从其规定）。</w:t>
      </w:r>
    </w:p>
    <w:p w14:paraId="2E6B9749">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14:paraId="1804CA2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14:paraId="09A897C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14:paraId="2F5CBF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14:paraId="1B5C3E0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14:paraId="22E829B9">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14:paraId="3E20469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40"/>
    <w:p w14:paraId="03755B8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14:paraId="7A99C173">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14:paraId="6F65E41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14:paraId="736AB65D">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14:paraId="2A5FBFBF">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14:paraId="18A8EB1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14:paraId="5607139E">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4579B84E">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14:paraId="391D763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A852E0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14:paraId="1F3557A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14:paraId="7627C96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B33732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14:paraId="298DC70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14:paraId="31551B9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6262BAB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14:paraId="1DED9CD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0.56</w:t>
            </w:r>
          </w:p>
        </w:tc>
      </w:tr>
    </w:tbl>
    <w:p w14:paraId="7610818C">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14:paraId="275F68A2">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14:paraId="183E8AF1">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14:paraId="4899442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2A4251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14:paraId="385A16DA">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14:paraId="788083F5">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14:paraId="28AB9442">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14:paraId="44F65047">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3AF6F64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14:paraId="20465D07">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14:paraId="79416621">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不允许</w:t>
      </w:r>
      <w:r>
        <w:rPr>
          <w:rFonts w:hint="eastAsia" w:ascii="宋体" w:hAnsi="宋体" w:eastAsia="宋体"/>
          <w:color w:val="auto"/>
          <w:szCs w:val="21"/>
          <w:highlight w:val="none"/>
        </w:rPr>
        <w:t>分包，不适宜分包的理由是：</w:t>
      </w:r>
      <w:r>
        <w:rPr>
          <w:rFonts w:hint="eastAsia" w:ascii="宋体" w:hAnsi="宋体" w:eastAsia="宋体"/>
          <w:color w:val="auto"/>
          <w:szCs w:val="21"/>
          <w:highlight w:val="none"/>
          <w:u w:val="single"/>
        </w:rPr>
        <w:t>服务内容整体不可分割</w:t>
      </w:r>
      <w:r>
        <w:rPr>
          <w:rFonts w:ascii="宋体" w:hAnsi="宋体" w:eastAsia="宋体"/>
          <w:color w:val="auto"/>
          <w:szCs w:val="21"/>
          <w:highlight w:val="none"/>
          <w:u w:val="single"/>
        </w:rPr>
        <w:t>。</w:t>
      </w:r>
    </w:p>
    <w:p w14:paraId="048781BF">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14:paraId="2C2CAE70">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1"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1"/>
    <w:p w14:paraId="230F6D76">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14:paraId="1A140951">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14:paraId="0202CF5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14:paraId="05B17BA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14:paraId="2BFD5CA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14:paraId="68578824">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14:paraId="52F606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14:paraId="14736A0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14:paraId="5726A818">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14:paraId="26C70916">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14:paraId="1F95E24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14:paraId="6452B0BF">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14:paraId="2A2345C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14:paraId="2D7410D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14:paraId="3B078E82">
      <w:pPr>
        <w:adjustRightInd w:val="0"/>
        <w:snapToGrid w:val="0"/>
        <w:spacing w:line="288" w:lineRule="auto"/>
        <w:outlineLvl w:val="2"/>
        <w:rPr>
          <w:rFonts w:ascii="宋体" w:hAnsi="宋体" w:eastAsia="宋体" w:cs="宋体"/>
          <w:b/>
          <w:color w:val="auto"/>
          <w:spacing w:val="-6"/>
          <w:kern w:val="0"/>
          <w:szCs w:val="21"/>
          <w:highlight w:val="none"/>
        </w:rPr>
      </w:pPr>
      <w:bookmarkStart w:id="42" w:name="_Hlk92273111"/>
      <w:bookmarkStart w:id="43"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bookmarkEnd w:id="42"/>
    <w:p w14:paraId="6FA43B2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1.</w:t>
      </w:r>
      <w:r>
        <w:rPr>
          <w:rFonts w:hint="eastAsia" w:ascii="宋体" w:hAnsi="宋体" w:eastAsia="宋体" w:cs="宋体"/>
          <w:b/>
          <w:bCs/>
          <w:i w:val="0"/>
          <w:iCs w:val="0"/>
          <w:color w:val="auto"/>
          <w:sz w:val="21"/>
          <w:szCs w:val="21"/>
          <w:highlight w:val="none"/>
        </w:rPr>
        <w:t>支持中小企业发展</w:t>
      </w:r>
    </w:p>
    <w:p w14:paraId="5C320ADD">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1.1 </w:t>
      </w:r>
      <w:r>
        <w:rPr>
          <w:rFonts w:hint="eastAsia" w:ascii="宋体" w:hAnsi="宋体" w:eastAsia="宋体" w:cs="宋体"/>
          <w:i w:val="0"/>
          <w:iCs w:val="0"/>
          <w:color w:val="auto"/>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26DACE3E">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1.2 </w:t>
      </w:r>
      <w:r>
        <w:rPr>
          <w:rFonts w:hint="eastAsia" w:ascii="宋体" w:hAnsi="宋体" w:eastAsia="宋体" w:cs="宋体"/>
          <w:i w:val="0"/>
          <w:iCs w:val="0"/>
          <w:color w:val="auto"/>
          <w:sz w:val="21"/>
          <w:szCs w:val="21"/>
          <w:highlight w:val="none"/>
        </w:rPr>
        <w:t>在政府采购活动中，供应商提供的货物或者服务符合下列情形的，享受中小企业扶持政策：</w:t>
      </w:r>
    </w:p>
    <w:p w14:paraId="47D39619">
      <w:pPr>
        <w:keepNext w:val="0"/>
        <w:keepLines w:val="0"/>
        <w:pageBreakBefore w:val="0"/>
        <w:widowControl w:val="0"/>
        <w:kinsoku/>
        <w:wordWrap/>
        <w:overflowPunct/>
        <w:topLinePunct w:val="0"/>
        <w:autoSpaceDE/>
        <w:bidi w:val="0"/>
        <w:adjustRightInd w:val="0"/>
        <w:snapToGrid w:val="0"/>
        <w:spacing w:line="288" w:lineRule="auto"/>
        <w:ind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在服务采购项目中，服务由中小企业承接，即提供服务的人员为中小企业依照《中华人民共和国劳动合同法》订立劳动合同的从业人员。</w:t>
      </w:r>
    </w:p>
    <w:p w14:paraId="4F56781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中小企业享受扶持政策获得政府采购合同的，小微企业不得将合同分包给大中型企业，中型企业不得将合同分包给大型企业。</w:t>
      </w:r>
    </w:p>
    <w:p w14:paraId="2CC0DF5D">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1.3 </w:t>
      </w:r>
      <w:r>
        <w:rPr>
          <w:rFonts w:hint="eastAsia" w:ascii="宋体" w:hAnsi="宋体" w:eastAsia="宋体" w:cs="宋体"/>
          <w:i w:val="0"/>
          <w:iCs w:val="0"/>
          <w:color w:val="auto"/>
          <w:sz w:val="21"/>
          <w:szCs w:val="21"/>
          <w:highlight w:val="none"/>
        </w:rPr>
        <w:t>以联合体形式参加政府采购活动，联合体各方均为中小企业的，联合体视同中小企业。其中，联合体各方均为小微企业的，联合体视同小微企业。</w:t>
      </w:r>
    </w:p>
    <w:p w14:paraId="6FDFD56A">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 xml:space="preserve">1.4 </w:t>
      </w:r>
      <w:r>
        <w:rPr>
          <w:rFonts w:hint="eastAsia" w:ascii="宋体" w:hAnsi="宋体" w:eastAsia="宋体" w:cs="宋体"/>
          <w:i w:val="0"/>
          <w:iCs w:val="0"/>
          <w:color w:val="auto"/>
          <w:sz w:val="21"/>
          <w:szCs w:val="21"/>
          <w:highlight w:val="none"/>
        </w:rPr>
        <w:t>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45BC673C">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组成联合体或者接受分包合同的中小企业与联合体内其他企业、分包企业之间不得存在直接控股、管理关系。</w:t>
      </w:r>
    </w:p>
    <w:p w14:paraId="0E45A2FF">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专门面向中小企业采购的项目或者采购包，不再执行价格评审优惠的扶持政策。</w:t>
      </w:r>
    </w:p>
    <w:p w14:paraId="35E61AA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 xml:space="preserve">1.5 </w:t>
      </w:r>
      <w:r>
        <w:rPr>
          <w:rFonts w:hint="eastAsia" w:ascii="宋体" w:hAnsi="宋体" w:eastAsia="宋体" w:cs="宋体"/>
          <w:color w:val="auto"/>
          <w:sz w:val="21"/>
          <w:szCs w:val="21"/>
          <w:highlight w:val="none"/>
          <w:lang w:eastAsia="zh-CN"/>
        </w:rPr>
        <w:t>中小企业参加政府采购活动，应当出具本办法规定的《中小企业声明函》，否则不得享受相关中小企业扶持政策。</w:t>
      </w:r>
    </w:p>
    <w:p w14:paraId="558A2945">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《中小企业声明函》由参加政府采购活动的供应商出具。以联合体形式参加政府采购活动或者合同分包的，《中小企业声明函》中需填写联合体中的中小企业或签订分包意向协议的中小企业相关信息。</w:t>
      </w:r>
    </w:p>
    <w:p w14:paraId="336A0081">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u w:val="none"/>
          <w:lang w:val="en-US" w:eastAsia="zh-CN"/>
        </w:rPr>
        <w:t xml:space="preserve">1.6 </w:t>
      </w:r>
      <w:r>
        <w:rPr>
          <w:rFonts w:hint="eastAsia" w:ascii="宋体" w:hAnsi="宋体" w:eastAsia="宋体" w:cs="宋体"/>
          <w:i w:val="0"/>
          <w:iCs w:val="0"/>
          <w:color w:val="auto"/>
          <w:sz w:val="21"/>
          <w:szCs w:val="21"/>
          <w:highlight w:val="none"/>
        </w:rPr>
        <w:t>供应商提供《中小企业声明函》内容不实的，属于提供虚假材料谋取中标、成交，依照《中华人民共和国政府采购法》等国家有关规定追究相应责任。</w:t>
      </w:r>
    </w:p>
    <w:p w14:paraId="38FDA472">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val="en-US" w:eastAsia="zh-CN"/>
        </w:rPr>
        <w:t>1.7 供应商</w:t>
      </w:r>
      <w:r>
        <w:rPr>
          <w:rFonts w:hint="eastAsia" w:ascii="宋体" w:hAnsi="宋体" w:eastAsia="宋体" w:cs="宋体"/>
          <w:i w:val="0"/>
          <w:iCs w:val="0"/>
          <w:color w:val="auto"/>
          <w:sz w:val="21"/>
          <w:szCs w:val="21"/>
          <w:highlight w:val="none"/>
          <w:u w:val="single"/>
        </w:rPr>
        <w:t>提供的《中小企业声明函》中，企业数据（如从业人员，营业收入，资产总额）有误的，</w:t>
      </w:r>
      <w:r>
        <w:rPr>
          <w:rFonts w:hint="eastAsia" w:ascii="宋体" w:hAnsi="宋体" w:eastAsia="宋体" w:cs="宋体"/>
          <w:i w:val="0"/>
          <w:iCs w:val="0"/>
          <w:color w:val="auto"/>
          <w:sz w:val="21"/>
          <w:szCs w:val="21"/>
          <w:highlight w:val="none"/>
          <w:u w:val="single"/>
          <w:lang w:val="en-US" w:eastAsia="zh-CN"/>
        </w:rPr>
        <w:t>采购组织机构或</w:t>
      </w:r>
      <w:r>
        <w:rPr>
          <w:rFonts w:hint="eastAsia" w:ascii="宋体" w:hAnsi="宋体" w:eastAsia="宋体" w:cs="宋体"/>
          <w:i w:val="0"/>
          <w:iCs w:val="0"/>
          <w:color w:val="auto"/>
          <w:sz w:val="21"/>
          <w:szCs w:val="21"/>
          <w:highlight w:val="none"/>
          <w:u w:val="single"/>
        </w:rPr>
        <w:t>评标委员会可以要求供应商进行澄清、说明。</w:t>
      </w:r>
      <w:r>
        <w:rPr>
          <w:rFonts w:hint="eastAsia" w:ascii="宋体" w:hAnsi="宋体" w:eastAsia="宋体" w:cs="宋体"/>
          <w:i w:val="0"/>
          <w:iCs w:val="0"/>
          <w:color w:val="auto"/>
          <w:sz w:val="21"/>
          <w:szCs w:val="21"/>
          <w:highlight w:val="none"/>
          <w:u w:val="single"/>
          <w:lang w:val="en-US" w:eastAsia="zh-CN"/>
        </w:rPr>
        <w:t>但</w:t>
      </w:r>
      <w:r>
        <w:rPr>
          <w:rFonts w:hint="eastAsia" w:ascii="宋体" w:hAnsi="宋体" w:eastAsia="宋体" w:cs="宋体"/>
          <w:i w:val="0"/>
          <w:iCs w:val="0"/>
          <w:color w:val="auto"/>
          <w:sz w:val="21"/>
          <w:szCs w:val="21"/>
          <w:highlight w:val="none"/>
          <w:u w:val="single"/>
        </w:rPr>
        <w:t>《中小企业声明函》</w:t>
      </w:r>
      <w:r>
        <w:rPr>
          <w:rFonts w:hint="eastAsia" w:ascii="宋体" w:hAnsi="宋体" w:eastAsia="宋体" w:cs="宋体"/>
          <w:i w:val="0"/>
          <w:iCs w:val="0"/>
          <w:color w:val="auto"/>
          <w:sz w:val="21"/>
          <w:szCs w:val="21"/>
          <w:highlight w:val="none"/>
          <w:u w:val="single"/>
          <w:lang w:val="en-US" w:eastAsia="zh-CN"/>
        </w:rPr>
        <w:t>出现下列情形的，</w:t>
      </w:r>
      <w:r>
        <w:rPr>
          <w:rFonts w:hint="eastAsia" w:ascii="宋体" w:hAnsi="宋体" w:eastAsia="宋体" w:cs="宋体"/>
          <w:i w:val="0"/>
          <w:iCs w:val="0"/>
          <w:color w:val="auto"/>
          <w:sz w:val="21"/>
          <w:szCs w:val="21"/>
          <w:highlight w:val="none"/>
          <w:u w:val="single"/>
        </w:rPr>
        <w:t>《中小企业声明函》无效</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不享受《政府采购促进中小企业发展管理办法》规定的中小企业扶持政策</w:t>
      </w:r>
      <w:r>
        <w:rPr>
          <w:rFonts w:hint="eastAsia" w:ascii="宋体" w:hAnsi="宋体" w:eastAsia="宋体" w:cs="宋体"/>
          <w:i w:val="0"/>
          <w:iCs w:val="0"/>
          <w:color w:val="auto"/>
          <w:sz w:val="21"/>
          <w:szCs w:val="21"/>
          <w:highlight w:val="none"/>
          <w:u w:val="single"/>
          <w:lang w:eastAsia="zh-CN"/>
        </w:rPr>
        <w:t>：</w:t>
      </w:r>
    </w:p>
    <w:p w14:paraId="1167E81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1</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内容未包括全部采购标的；</w:t>
      </w:r>
    </w:p>
    <w:p w14:paraId="6C3BAD54">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val="en-US" w:eastAsia="zh-CN"/>
        </w:rPr>
      </w:pPr>
      <w:r>
        <w:rPr>
          <w:rFonts w:hint="eastAsia" w:ascii="宋体" w:hAnsi="宋体" w:eastAsia="宋体" w:cs="宋体"/>
          <w:i w:val="0"/>
          <w:iCs w:val="0"/>
          <w:color w:val="auto"/>
          <w:sz w:val="21"/>
          <w:szCs w:val="21"/>
          <w:highlight w:val="none"/>
          <w:u w:val="single"/>
          <w:lang w:val="en-US" w:eastAsia="zh-CN"/>
        </w:rPr>
        <w:t>（2）</w:t>
      </w:r>
      <w:r>
        <w:rPr>
          <w:rFonts w:hint="eastAsia" w:ascii="宋体" w:hAnsi="宋体" w:eastAsia="宋体" w:cs="宋体"/>
          <w:i w:val="0"/>
          <w:iCs w:val="0"/>
          <w:color w:val="auto"/>
          <w:sz w:val="21"/>
          <w:szCs w:val="21"/>
          <w:highlight w:val="none"/>
          <w:u w:val="single"/>
        </w:rPr>
        <w:t>未填写</w:t>
      </w:r>
      <w:r>
        <w:rPr>
          <w:rFonts w:hint="eastAsia" w:ascii="宋体" w:hAnsi="宋体" w:eastAsia="宋体" w:cs="宋体"/>
          <w:i w:val="0"/>
          <w:iCs w:val="0"/>
          <w:color w:val="auto"/>
          <w:sz w:val="21"/>
          <w:szCs w:val="21"/>
          <w:highlight w:val="none"/>
          <w:u w:val="single"/>
          <w:lang w:val="en-US" w:eastAsia="zh-CN"/>
        </w:rPr>
        <w:t>标的所属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rPr>
        <w:t>或者填写</w:t>
      </w:r>
      <w:r>
        <w:rPr>
          <w:rFonts w:hint="eastAsia" w:ascii="宋体" w:hAnsi="宋体" w:eastAsia="宋体" w:cs="宋体"/>
          <w:i w:val="0"/>
          <w:iCs w:val="0"/>
          <w:color w:val="auto"/>
          <w:sz w:val="21"/>
          <w:szCs w:val="21"/>
          <w:highlight w:val="none"/>
          <w:u w:val="single"/>
          <w:lang w:val="en-US" w:eastAsia="zh-CN"/>
        </w:rPr>
        <w:t>的所属</w:t>
      </w:r>
      <w:r>
        <w:rPr>
          <w:rFonts w:hint="eastAsia" w:ascii="宋体" w:hAnsi="宋体" w:eastAsia="宋体" w:cs="宋体"/>
          <w:i w:val="0"/>
          <w:iCs w:val="0"/>
          <w:color w:val="auto"/>
          <w:sz w:val="21"/>
          <w:szCs w:val="21"/>
          <w:highlight w:val="none"/>
          <w:u w:val="single"/>
        </w:rPr>
        <w:t>行业</w:t>
      </w:r>
      <w:r>
        <w:rPr>
          <w:rFonts w:hint="eastAsia" w:ascii="宋体" w:hAnsi="宋体" w:eastAsia="宋体" w:cs="宋体"/>
          <w:i w:val="0"/>
          <w:iCs w:val="0"/>
          <w:color w:val="auto"/>
          <w:sz w:val="21"/>
          <w:szCs w:val="21"/>
          <w:highlight w:val="none"/>
          <w:u w:val="single"/>
          <w:lang w:val="en-US" w:eastAsia="zh-CN"/>
        </w:rPr>
        <w:t>与招标文件明确的所属行业不一致；</w:t>
      </w:r>
    </w:p>
    <w:p w14:paraId="0B26647C">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lang w:eastAsia="zh-CN"/>
        </w:rPr>
      </w:pP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3</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未填写</w:t>
      </w:r>
      <w:r>
        <w:rPr>
          <w:rFonts w:hint="eastAsia" w:ascii="宋体" w:hAnsi="宋体" w:eastAsia="宋体" w:cs="宋体"/>
          <w:i w:val="0"/>
          <w:iCs w:val="0"/>
          <w:color w:val="auto"/>
          <w:sz w:val="21"/>
          <w:szCs w:val="21"/>
          <w:highlight w:val="none"/>
          <w:u w:val="single"/>
        </w:rPr>
        <w:t>企业类型</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填写的企业类型不明确</w:t>
      </w:r>
      <w:r>
        <w:rPr>
          <w:rFonts w:hint="eastAsia" w:ascii="宋体" w:hAnsi="宋体" w:eastAsia="宋体" w:cs="宋体"/>
          <w:i w:val="0"/>
          <w:iCs w:val="0"/>
          <w:color w:val="auto"/>
          <w:sz w:val="21"/>
          <w:szCs w:val="21"/>
          <w:highlight w:val="none"/>
          <w:u w:val="single"/>
        </w:rPr>
        <w:t>或</w:t>
      </w:r>
      <w:r>
        <w:rPr>
          <w:rFonts w:hint="eastAsia" w:ascii="宋体" w:hAnsi="宋体" w:eastAsia="宋体" w:cs="宋体"/>
          <w:i w:val="0"/>
          <w:iCs w:val="0"/>
          <w:color w:val="auto"/>
          <w:sz w:val="21"/>
          <w:szCs w:val="21"/>
          <w:highlight w:val="none"/>
          <w:u w:val="single"/>
          <w:lang w:val="en-US" w:eastAsia="zh-CN"/>
        </w:rPr>
        <w:t>填写</w:t>
      </w:r>
      <w:r>
        <w:rPr>
          <w:rFonts w:hint="eastAsia" w:ascii="宋体" w:hAnsi="宋体" w:eastAsia="宋体" w:cs="宋体"/>
          <w:i w:val="0"/>
          <w:iCs w:val="0"/>
          <w:color w:val="auto"/>
          <w:sz w:val="21"/>
          <w:szCs w:val="21"/>
          <w:highlight w:val="none"/>
          <w:u w:val="single"/>
        </w:rPr>
        <w:t>的企业类型与实际不符</w:t>
      </w:r>
      <w:r>
        <w:rPr>
          <w:rFonts w:hint="eastAsia" w:ascii="宋体" w:hAnsi="宋体" w:eastAsia="宋体" w:cs="宋体"/>
          <w:i w:val="0"/>
          <w:iCs w:val="0"/>
          <w:color w:val="auto"/>
          <w:sz w:val="21"/>
          <w:szCs w:val="21"/>
          <w:highlight w:val="none"/>
          <w:u w:val="single"/>
          <w:lang w:eastAsia="zh-CN"/>
        </w:rPr>
        <w:t>（</w:t>
      </w:r>
      <w:r>
        <w:rPr>
          <w:rFonts w:hint="eastAsia" w:ascii="宋体" w:hAnsi="宋体" w:eastAsia="宋体" w:cs="宋体"/>
          <w:i w:val="0"/>
          <w:iCs w:val="0"/>
          <w:color w:val="auto"/>
          <w:sz w:val="21"/>
          <w:szCs w:val="21"/>
          <w:highlight w:val="none"/>
          <w:u w:val="single"/>
          <w:lang w:val="en-US" w:eastAsia="zh-CN"/>
        </w:rPr>
        <w:t>即：</w:t>
      </w:r>
      <w:r>
        <w:rPr>
          <w:rFonts w:hint="eastAsia" w:ascii="宋体" w:hAnsi="宋体" w:eastAsia="宋体" w:cs="宋体"/>
          <w:i w:val="0"/>
          <w:iCs w:val="0"/>
          <w:color w:val="auto"/>
          <w:sz w:val="21"/>
          <w:szCs w:val="21"/>
          <w:highlight w:val="none"/>
          <w:u w:val="single"/>
        </w:rPr>
        <w:t>企业类型（中型企业、小型企业</w:t>
      </w:r>
      <w:r>
        <w:rPr>
          <w:rFonts w:hint="eastAsia" w:ascii="宋体" w:hAnsi="宋体" w:eastAsia="宋体" w:cs="宋体"/>
          <w:i w:val="0"/>
          <w:iCs w:val="0"/>
          <w:color w:val="auto"/>
          <w:sz w:val="21"/>
          <w:szCs w:val="21"/>
          <w:highlight w:val="none"/>
          <w:u w:val="single"/>
          <w:lang w:val="en-US" w:eastAsia="zh-CN"/>
        </w:rPr>
        <w:t>或</w:t>
      </w:r>
      <w:r>
        <w:rPr>
          <w:rFonts w:hint="eastAsia" w:ascii="宋体" w:hAnsi="宋体" w:eastAsia="宋体" w:cs="宋体"/>
          <w:i w:val="0"/>
          <w:iCs w:val="0"/>
          <w:color w:val="auto"/>
          <w:sz w:val="21"/>
          <w:szCs w:val="21"/>
          <w:highlight w:val="none"/>
          <w:u w:val="single"/>
        </w:rPr>
        <w:t>微型企业）填写错误</w:t>
      </w:r>
      <w:r>
        <w:rPr>
          <w:rFonts w:hint="eastAsia" w:ascii="宋体" w:hAnsi="宋体" w:eastAsia="宋体" w:cs="宋体"/>
          <w:i w:val="0"/>
          <w:iCs w:val="0"/>
          <w:color w:val="auto"/>
          <w:sz w:val="21"/>
          <w:szCs w:val="21"/>
          <w:highlight w:val="none"/>
          <w:u w:val="single"/>
          <w:lang w:eastAsia="zh-CN"/>
        </w:rPr>
        <w:t>）。</w:t>
      </w:r>
    </w:p>
    <w:p w14:paraId="19F33869">
      <w:pPr>
        <w:keepNext w:val="0"/>
        <w:keepLines w:val="0"/>
        <w:pageBreakBefore w:val="0"/>
        <w:widowControl w:val="0"/>
        <w:kinsoku/>
        <w:wordWrap/>
        <w:overflowPunct/>
        <w:topLinePunct w:val="0"/>
        <w:autoSpaceDE/>
        <w:bidi w:val="0"/>
        <w:adjustRightInd w:val="0"/>
        <w:snapToGrid w:val="0"/>
        <w:spacing w:line="288" w:lineRule="auto"/>
        <w:ind w:left="0" w:leftChars="0" w:firstLine="420" w:firstLineChars="200"/>
        <w:textAlignment w:val="auto"/>
        <w:outlineLvl w:val="9"/>
        <w:rPr>
          <w:rFonts w:hint="eastAsia" w:ascii="宋体" w:hAnsi="宋体" w:eastAsia="宋体" w:cs="宋体"/>
          <w:i w:val="0"/>
          <w:iCs w:val="0"/>
          <w:color w:val="auto"/>
          <w:sz w:val="21"/>
          <w:szCs w:val="21"/>
          <w:highlight w:val="none"/>
          <w:u w:val="single"/>
        </w:rPr>
      </w:pPr>
      <w:r>
        <w:rPr>
          <w:rFonts w:hint="eastAsia" w:ascii="宋体" w:hAnsi="宋体" w:eastAsia="宋体" w:cs="宋体"/>
          <w:i w:val="0"/>
          <w:iCs w:val="0"/>
          <w:color w:val="auto"/>
          <w:sz w:val="21"/>
          <w:szCs w:val="21"/>
          <w:highlight w:val="none"/>
          <w:u w:val="single"/>
          <w:lang w:val="en-US" w:eastAsia="zh-CN"/>
        </w:rPr>
        <w:t>供应商声明的类型获得了本不应获得的利益（价格扣除或者资格审查通过）</w:t>
      </w:r>
      <w:r>
        <w:rPr>
          <w:rFonts w:hint="eastAsia" w:ascii="宋体" w:hAnsi="宋体" w:eastAsia="宋体" w:cs="宋体"/>
          <w:i w:val="0"/>
          <w:iCs w:val="0"/>
          <w:color w:val="auto"/>
          <w:sz w:val="21"/>
          <w:szCs w:val="21"/>
          <w:highlight w:val="none"/>
          <w:u w:val="single"/>
        </w:rPr>
        <w:t>，属于提供虚假材料。构成“</w:t>
      </w:r>
      <w:r>
        <w:rPr>
          <w:rFonts w:hint="eastAsia" w:ascii="宋体" w:hAnsi="宋体" w:eastAsia="宋体" w:cs="宋体"/>
          <w:i w:val="0"/>
          <w:iCs w:val="0"/>
          <w:color w:val="auto"/>
          <w:sz w:val="21"/>
          <w:szCs w:val="21"/>
          <w:highlight w:val="none"/>
          <w:u w:val="single"/>
          <w:lang w:val="en-US" w:eastAsia="zh-CN"/>
        </w:rPr>
        <w:t>提供</w:t>
      </w:r>
      <w:r>
        <w:rPr>
          <w:rFonts w:hint="eastAsia" w:ascii="宋体" w:hAnsi="宋体" w:eastAsia="宋体" w:cs="宋体"/>
          <w:i w:val="0"/>
          <w:iCs w:val="0"/>
          <w:color w:val="auto"/>
          <w:sz w:val="21"/>
          <w:szCs w:val="21"/>
          <w:highlight w:val="none"/>
          <w:u w:val="single"/>
        </w:rPr>
        <w:t>虚假材料谋取中标的”，依法承担法律责任。</w:t>
      </w:r>
    </w:p>
    <w:p w14:paraId="4993FD87">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2.</w:t>
      </w:r>
      <w:r>
        <w:rPr>
          <w:rFonts w:hint="eastAsia" w:ascii="宋体" w:hAnsi="宋体" w:eastAsia="宋体" w:cs="宋体"/>
          <w:b/>
          <w:bCs/>
          <w:i w:val="0"/>
          <w:iCs w:val="0"/>
          <w:color w:val="auto"/>
          <w:sz w:val="21"/>
          <w:szCs w:val="21"/>
          <w:highlight w:val="none"/>
        </w:rPr>
        <w:t>支持监狱企业发展</w:t>
      </w:r>
    </w:p>
    <w:p w14:paraId="175C04F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64DB784D">
      <w:pPr>
        <w:keepNext w:val="0"/>
        <w:keepLines w:val="0"/>
        <w:pageBreakBefore w:val="0"/>
        <w:widowControl w:val="0"/>
        <w:kinsoku/>
        <w:wordWrap/>
        <w:overflowPunct/>
        <w:topLinePunct w:val="0"/>
        <w:autoSpaceDE/>
        <w:bidi w:val="0"/>
        <w:adjustRightInd w:val="0"/>
        <w:snapToGrid w:val="0"/>
        <w:spacing w:line="288" w:lineRule="auto"/>
        <w:ind w:firstLine="422" w:firstLineChars="200"/>
        <w:textAlignment w:val="auto"/>
        <w:outlineLvl w:val="9"/>
        <w:rPr>
          <w:rFonts w:hint="eastAsia" w:ascii="宋体" w:hAnsi="宋体" w:eastAsia="宋体" w:cs="宋体"/>
          <w:b/>
          <w:bCs/>
          <w:i w:val="0"/>
          <w:iCs w:val="0"/>
          <w:color w:val="auto"/>
          <w:sz w:val="21"/>
          <w:szCs w:val="21"/>
          <w:highlight w:val="none"/>
        </w:rPr>
      </w:pPr>
      <w:r>
        <w:rPr>
          <w:rFonts w:hint="eastAsia" w:ascii="宋体" w:hAnsi="宋体" w:eastAsia="宋体" w:cs="宋体"/>
          <w:b/>
          <w:bCs/>
          <w:i w:val="0"/>
          <w:iCs w:val="0"/>
          <w:color w:val="auto"/>
          <w:sz w:val="21"/>
          <w:szCs w:val="21"/>
          <w:highlight w:val="none"/>
          <w:lang w:val="en-US" w:eastAsia="zh-CN"/>
        </w:rPr>
        <w:t>3.</w:t>
      </w:r>
      <w:r>
        <w:rPr>
          <w:rFonts w:hint="eastAsia" w:ascii="宋体" w:hAnsi="宋体" w:eastAsia="宋体" w:cs="宋体"/>
          <w:b/>
          <w:bCs/>
          <w:i w:val="0"/>
          <w:iCs w:val="0"/>
          <w:color w:val="auto"/>
          <w:sz w:val="21"/>
          <w:szCs w:val="21"/>
          <w:highlight w:val="none"/>
        </w:rPr>
        <w:t>促进残疾人就业</w:t>
      </w:r>
    </w:p>
    <w:p w14:paraId="35360C53">
      <w:pPr>
        <w:keepNext w:val="0"/>
        <w:keepLines w:val="0"/>
        <w:pageBreakBefore w:val="0"/>
        <w:widowControl w:val="0"/>
        <w:kinsoku/>
        <w:wordWrap/>
        <w:overflowPunct/>
        <w:topLinePunct w:val="0"/>
        <w:autoSpaceDE/>
        <w:bidi w:val="0"/>
        <w:adjustRightInd w:val="0"/>
        <w:snapToGrid w:val="0"/>
        <w:spacing w:line="288" w:lineRule="auto"/>
        <w:ind w:firstLine="420" w:firstLineChars="200"/>
        <w:jc w:val="left"/>
        <w:textAlignment w:val="auto"/>
        <w:outlineLvl w:val="9"/>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符合《关于促进残疾人就业政府采购政策的通知》（财库[2017]141号）规定的条件并提供《残疾人福利性单位声明函》的残疾人福利性单位视同小型、微型企业。</w:t>
      </w:r>
    </w:p>
    <w:bookmarkEnd w:id="43"/>
    <w:p w14:paraId="7474DE30">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4B46CC">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14:paraId="5469A91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14:paraId="3652AAED">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14:paraId="32FE8AE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14:paraId="6F45162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14:paraId="432207AE">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14:paraId="36150272">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14:paraId="2397894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14:paraId="246C89A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14:paraId="1F6CFAA3">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14:paraId="7ADEFA6B">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14:paraId="123470CA">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14:paraId="2965FE3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46854CA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14:paraId="01D595B5">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14:paraId="69BAA1FE">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14:paraId="317E5F3E">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14:paraId="756272F9">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bookmarkEnd w:id="44"/>
    <w:p w14:paraId="125561F0">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14:paraId="05BC0DE2">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14:paraId="01AA0055">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14:paraId="1F35753C">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14:paraId="3B40C7ED">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14:paraId="6A5843B3">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14:paraId="3FBAD12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14:paraId="670A9DC1">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14:paraId="56946619">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14:paraId="0C3288D0">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14:paraId="12FEFC12">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14:paraId="48246D2D">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14:paraId="14503F1E">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14:paraId="79EAC41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14:paraId="7635F90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14:paraId="548191FA">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14:paraId="75DCA309">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14:paraId="2BD9C4C7">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14:paraId="145AD8D4">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28C18E5">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14:paraId="4EDA200D">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14:paraId="0020A70E">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14:paraId="2F08D568">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14:paraId="49478176">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26DD4513">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14:paraId="588B55E7">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bookmarkStart w:id="47" w:name="_Hlk94018664"/>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14:paraId="17C31EE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2.以人民币报价；</w:t>
      </w:r>
    </w:p>
    <w:p w14:paraId="4528E9AB">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hint="eastAsia" w:ascii="宋体" w:hAnsi="宋体" w:eastAsia="宋体"/>
          <w:color w:val="auto"/>
          <w:szCs w:val="21"/>
          <w:highlight w:val="none"/>
          <w:lang w:eastAsia="zh-CN"/>
        </w:rPr>
      </w:pPr>
      <w:r>
        <w:rPr>
          <w:rFonts w:hint="eastAsia" w:ascii="宋体" w:hAnsi="宋体" w:eastAsia="宋体"/>
          <w:color w:val="auto"/>
          <w:szCs w:val="21"/>
          <w:highlight w:val="none"/>
        </w:rPr>
        <w:t>3.投标报价是履行合同的最终价格，有关本项目实施所涉及的一切费用均计入报价；总价不为零，分项报价中部分产品、服务单价为零的，视作已包含在总价中</w:t>
      </w:r>
      <w:r>
        <w:rPr>
          <w:rFonts w:hint="eastAsia" w:ascii="宋体" w:hAnsi="宋体" w:eastAsia="宋体"/>
          <w:color w:val="auto"/>
          <w:szCs w:val="21"/>
          <w:highlight w:val="none"/>
          <w:lang w:eastAsia="zh-CN"/>
        </w:rPr>
        <w:t>；</w:t>
      </w:r>
    </w:p>
    <w:p w14:paraId="789BD74C">
      <w:pPr>
        <w:keepNext w:val="0"/>
        <w:keepLines w:val="0"/>
        <w:pageBreakBefore w:val="0"/>
        <w:widowControl w:val="0"/>
        <w:kinsoku/>
        <w:wordWrap/>
        <w:overflowPunct/>
        <w:topLinePunct w:val="0"/>
        <w:autoSpaceDE/>
        <w:autoSpaceDN/>
        <w:bidi w:val="0"/>
        <w:adjustRightInd w:val="0"/>
        <w:snapToGrid w:val="0"/>
        <w:spacing w:line="288" w:lineRule="auto"/>
        <w:ind w:firstLine="420" w:firstLineChars="200"/>
        <w:textAlignment w:val="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14:paraId="0327EE7B">
      <w:pPr>
        <w:pStyle w:val="13"/>
        <w:keepNext w:val="0"/>
        <w:keepLines w:val="0"/>
        <w:pageBreakBefore w:val="0"/>
        <w:widowControl w:val="0"/>
        <w:kinsoku/>
        <w:wordWrap/>
        <w:overflowPunct/>
        <w:topLinePunct w:val="0"/>
        <w:autoSpaceDE/>
        <w:autoSpaceDN/>
        <w:bidi w:val="0"/>
        <w:adjustRightInd w:val="0"/>
        <w:snapToGrid w:val="0"/>
        <w:spacing w:before="0" w:beforeLines="0" w:after="0" w:afterLines="0" w:line="288" w:lineRule="auto"/>
        <w:ind w:firstLine="420" w:firstLineChars="200"/>
        <w:jc w:val="left"/>
        <w:textAlignment w:val="auto"/>
        <w:rPr>
          <w:rFonts w:hAnsi="宋体" w:eastAsia="宋体" w:cs="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14:paraId="58DE03B4">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14:paraId="20A9B595">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14:paraId="6A08B0CD">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B8B8F4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14:paraId="52CBFBDD">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14:paraId="00E03B00">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14:paraId="3704D82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14:paraId="7397879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14:paraId="4055C1AC">
      <w:pPr>
        <w:adjustRightInd w:val="0"/>
        <w:snapToGrid w:val="0"/>
        <w:spacing w:line="288" w:lineRule="auto"/>
        <w:ind w:firstLine="396" w:firstLineChars="200"/>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r>
        <w:rPr>
          <w:rFonts w:hint="eastAsia" w:ascii="宋体" w:hAnsi="宋体" w:eastAsia="宋体" w:cs="Times New Roman"/>
          <w:color w:val="auto"/>
          <w:spacing w:val="-6"/>
          <w:szCs w:val="21"/>
          <w:highlight w:val="none"/>
          <w:lang w:eastAsia="zh-CN"/>
        </w:rPr>
        <w:t>。</w:t>
      </w:r>
    </w:p>
    <w:p w14:paraId="27D321A3">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14:paraId="654A50C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14:paraId="1C0576F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14:paraId="0D8C827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14:paraId="770862D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14:paraId="7D924A0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14:paraId="6F3E3883">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w:t>
      </w:r>
      <w:r>
        <w:rPr>
          <w:rFonts w:hint="eastAsia" w:ascii="宋体" w:hAnsi="宋体" w:eastAsia="宋体" w:cs="Times New Roman"/>
          <w:color w:val="auto"/>
          <w:spacing w:val="-6"/>
          <w:szCs w:val="21"/>
          <w:highlight w:val="none"/>
          <w:lang w:val="en-US" w:eastAsia="zh-CN"/>
        </w:rPr>
        <w:t>服务</w:t>
      </w:r>
      <w:r>
        <w:rPr>
          <w:rFonts w:ascii="宋体" w:hAnsi="宋体" w:eastAsia="宋体" w:cs="Times New Roman"/>
          <w:color w:val="auto"/>
          <w:spacing w:val="-6"/>
          <w:szCs w:val="21"/>
          <w:highlight w:val="none"/>
        </w:rPr>
        <w:t>方案不明确，存在一个或一个以上备选（替代）投标方案；</w:t>
      </w:r>
    </w:p>
    <w:p w14:paraId="74FA0C8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14:paraId="0F48D0C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14:paraId="1EAA31B6">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14:paraId="5C5059B7">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14:paraId="01BF2B2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14:paraId="1399D8E3">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14:paraId="44F0DE7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14:paraId="0B8091A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14:paraId="4A865036">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不能诚信履约的，应当要求其在评标现场合理的时间内提供书面说明，必要时提交相关证明材料；投标人不能证明其报价合理性的，评标委员会应当将其作为无效投标处理。</w:t>
      </w:r>
    </w:p>
    <w:bookmarkEnd w:id="49"/>
    <w:p w14:paraId="03CEC2CE">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14:paraId="7DFCD720">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14:paraId="491CC12B">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14:paraId="093753CC">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14:paraId="18834165">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14:paraId="56FCADCC">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14:paraId="6926D07A">
      <w:pPr>
        <w:widowControl/>
        <w:adjustRightInd w:val="0"/>
        <w:snapToGrid w:val="0"/>
        <w:spacing w:line="288" w:lineRule="auto"/>
        <w:ind w:firstLine="398" w:firstLineChars="200"/>
        <w:jc w:val="left"/>
        <w:rPr>
          <w:rFonts w:hint="eastAsia" w:ascii="宋体" w:hAnsi="宋体" w:eastAsia="宋体" w:cs="宋体"/>
          <w:b/>
          <w:bCs/>
          <w:i w:val="0"/>
          <w:iCs w:val="0"/>
          <w:color w:val="auto"/>
          <w:sz w:val="21"/>
          <w:szCs w:val="21"/>
          <w:highlight w:val="none"/>
          <w:lang w:val="en-US" w:eastAsia="zh-CN"/>
        </w:rPr>
      </w:pPr>
      <w:r>
        <w:rPr>
          <w:rFonts w:hint="eastAsia" w:ascii="宋体" w:hAnsi="宋体" w:eastAsia="宋体" w:cs="Times New Roman"/>
          <w:b/>
          <w:color w:val="auto"/>
          <w:spacing w:val="-6"/>
          <w:szCs w:val="21"/>
          <w:highlight w:val="none"/>
          <w:lang w:val="en-US" w:eastAsia="zh-CN"/>
        </w:rPr>
        <w:t>5.</w:t>
      </w:r>
      <w:r>
        <w:rPr>
          <w:rFonts w:hint="eastAsia" w:ascii="宋体" w:hAnsi="宋体" w:eastAsia="宋体" w:cs="宋体"/>
          <w:b/>
          <w:bCs/>
          <w:i w:val="0"/>
          <w:iCs w:val="0"/>
          <w:color w:val="auto"/>
          <w:sz w:val="21"/>
          <w:szCs w:val="21"/>
          <w:highlight w:val="none"/>
          <w:lang w:val="en-US" w:eastAsia="zh-CN"/>
        </w:rPr>
        <w:t>参与同一个采购包（标项）的供应商存在下列情形之一且无法合理解释的，其投标文件无效：</w:t>
      </w:r>
    </w:p>
    <w:p w14:paraId="1E91B5B7">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（1）不同供应商的电子投标文件上传计算机的网卡MAC地址或硬盘序列号等硬件信息相同的；</w:t>
      </w:r>
    </w:p>
    <w:p w14:paraId="158B0D02">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（2）上传的电子投标文件若出现使用本项目其他投标供应商的数字证书加密的，或者加盖本项目其他投标供应商的电子印章的；</w:t>
      </w:r>
    </w:p>
    <w:p w14:paraId="467F4A08">
      <w:pPr>
        <w:widowControl/>
        <w:adjustRightInd w:val="0"/>
        <w:snapToGrid w:val="0"/>
        <w:spacing w:line="288" w:lineRule="auto"/>
        <w:ind w:firstLine="420" w:firstLineChars="200"/>
        <w:jc w:val="left"/>
        <w:rPr>
          <w:rFonts w:hint="eastAsia" w:ascii="宋体" w:hAnsi="宋体" w:eastAsia="宋体" w:cs="宋体"/>
          <w:b w:val="0"/>
          <w:bCs w:val="0"/>
          <w:i w:val="0"/>
          <w:iCs w:val="0"/>
          <w:color w:val="auto"/>
          <w:sz w:val="21"/>
          <w:szCs w:val="21"/>
          <w:highlight w:val="none"/>
          <w:lang w:val="en-US" w:eastAsia="zh-CN"/>
        </w:rPr>
      </w:pPr>
      <w:r>
        <w:rPr>
          <w:rFonts w:hint="eastAsia" w:ascii="宋体" w:hAnsi="宋体" w:eastAsia="宋体" w:cs="宋体"/>
          <w:b w:val="0"/>
          <w:bCs w:val="0"/>
          <w:i w:val="0"/>
          <w:iCs w:val="0"/>
          <w:color w:val="auto"/>
          <w:sz w:val="21"/>
          <w:szCs w:val="21"/>
          <w:highlight w:val="none"/>
          <w:lang w:val="en-US" w:eastAsia="zh-CN"/>
        </w:rPr>
        <w:t>（3）不同供应商的投标文件的内容存在3处（含）以上错误一致的；</w:t>
      </w:r>
    </w:p>
    <w:p w14:paraId="24DEB51F">
      <w:pPr>
        <w:widowControl/>
        <w:adjustRightInd w:val="0"/>
        <w:snapToGrid w:val="0"/>
        <w:spacing w:line="288" w:lineRule="auto"/>
        <w:ind w:firstLine="420" w:firstLineChars="200"/>
        <w:jc w:val="left"/>
        <w:rPr>
          <w:rFonts w:hint="eastAsia" w:ascii="宋体" w:hAnsi="宋体" w:eastAsia="宋体" w:cs="Times New Roman"/>
          <w:color w:val="auto"/>
          <w:spacing w:val="-6"/>
          <w:szCs w:val="21"/>
          <w:highlight w:val="none"/>
        </w:rPr>
      </w:pPr>
      <w:r>
        <w:rPr>
          <w:rFonts w:hint="eastAsia" w:ascii="宋体" w:hAnsi="宋体" w:eastAsia="宋体" w:cs="宋体"/>
          <w:b w:val="0"/>
          <w:bCs w:val="0"/>
          <w:i w:val="0"/>
          <w:iCs w:val="0"/>
          <w:color w:val="auto"/>
          <w:sz w:val="21"/>
          <w:szCs w:val="21"/>
          <w:highlight w:val="none"/>
          <w:lang w:val="en-US" w:eastAsia="zh-CN"/>
        </w:rPr>
        <w:t>（4）不同供应商联系人为同一人或不同联系人的联系电话一致的。</w:t>
      </w:r>
    </w:p>
    <w:p w14:paraId="044C60B1">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14:paraId="17109C8D">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14:paraId="42B55A9F">
      <w:pPr>
        <w:pStyle w:val="99"/>
        <w:snapToGrid w:val="0"/>
        <w:spacing w:before="0" w:line="288" w:lineRule="auto"/>
        <w:ind w:left="0" w:firstLine="422" w:firstLineChars="201"/>
        <w:rPr>
          <w:rFonts w:ascii="宋体" w:hAnsi="宋体" w:cs="仿宋_GB2312"/>
          <w:color w:val="auto"/>
          <w:szCs w:val="21"/>
          <w:highlight w:val="none"/>
        </w:rPr>
      </w:pPr>
      <w:r>
        <w:rPr>
          <w:rFonts w:hint="eastAsia" w:ascii="宋体" w:hAnsi="宋体" w:cs="仿宋_GB2312"/>
          <w:color w:val="auto"/>
          <w:szCs w:val="21"/>
          <w:highlight w:val="none"/>
          <w:lang w:eastAsia="zh-CN"/>
        </w:rPr>
        <w:t>采购代理机构</w:t>
      </w:r>
      <w:r>
        <w:rPr>
          <w:rFonts w:ascii="宋体" w:hAnsi="宋体" w:cs="仿宋_GB2312"/>
          <w:color w:val="auto"/>
          <w:szCs w:val="21"/>
          <w:highlight w:val="none"/>
        </w:rPr>
        <w:t>按照招标文件规定的时间通过电子交易平台组织开标，所有投标人均应当准时在线参加。投标人不足3家的，不得开标。</w:t>
      </w:r>
    </w:p>
    <w:p w14:paraId="745E7A7D">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14:paraId="45954D59">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14:paraId="47A366F9">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14:paraId="6B340D33">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w:t>
      </w:r>
      <w:r>
        <w:rPr>
          <w:rFonts w:hint="eastAsia" w:ascii="宋体" w:hAnsi="宋体" w:eastAsia="宋体" w:cs="仿宋_GB2312"/>
          <w:color w:val="auto"/>
          <w:szCs w:val="21"/>
          <w:highlight w:val="none"/>
          <w:lang w:eastAsia="zh-CN"/>
        </w:rPr>
        <w:t>采购代理机构</w:t>
      </w:r>
      <w:r>
        <w:rPr>
          <w:rFonts w:hint="eastAsia" w:ascii="宋体" w:hAnsi="宋体" w:eastAsia="宋体" w:cs="仿宋_GB2312"/>
          <w:color w:val="auto"/>
          <w:szCs w:val="21"/>
          <w:highlight w:val="none"/>
        </w:rPr>
        <w:t>依据法律法规和招标文件的规定，对投标人的资格条件进行审查。</w:t>
      </w:r>
    </w:p>
    <w:p w14:paraId="5F683B83">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w:t>
      </w:r>
      <w:r>
        <w:rPr>
          <w:rFonts w:hint="eastAsia" w:ascii="宋体" w:hAnsi="宋体" w:cs="仿宋_GB2312"/>
          <w:color w:val="auto"/>
          <w:sz w:val="21"/>
          <w:szCs w:val="21"/>
          <w:highlight w:val="none"/>
          <w:lang w:eastAsia="zh-CN"/>
        </w:rPr>
        <w:t>采购代理机构</w:t>
      </w:r>
      <w:r>
        <w:rPr>
          <w:rFonts w:ascii="宋体" w:hAnsi="宋体" w:cs="仿宋_GB2312"/>
          <w:color w:val="auto"/>
          <w:sz w:val="21"/>
          <w:szCs w:val="21"/>
          <w:highlight w:val="none"/>
        </w:rPr>
        <w:t>告知其未通过的原因。</w:t>
      </w:r>
    </w:p>
    <w:p w14:paraId="58E8A4AA">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14:paraId="63776EF7">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14:paraId="17ECA8D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14:paraId="15066824">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14:paraId="1FCF0A4D">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14:paraId="2548754F">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14:paraId="1A9D38E7">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14:paraId="57785E73">
      <w:pPr>
        <w:adjustRightInd w:val="0"/>
        <w:snapToGrid w:val="0"/>
        <w:spacing w:line="288" w:lineRule="auto"/>
        <w:ind w:firstLine="398" w:firstLineChars="200"/>
        <w:rPr>
          <w:rFonts w:ascii="宋体" w:hAnsi="宋体" w:eastAsia="宋体" w:cs="Times New Roman"/>
          <w:b/>
          <w:bCs/>
          <w:color w:val="auto"/>
          <w:spacing w:val="-6"/>
          <w:szCs w:val="21"/>
          <w:highlight w:val="none"/>
        </w:rPr>
      </w:pPr>
    </w:p>
    <w:p w14:paraId="64F5A24E">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14:paraId="37B25C66">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14:paraId="6E7C0E56">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5E4C88A1">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14:paraId="7360A9FD">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14:paraId="7501267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14:paraId="0BE53013">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14:paraId="2A3DBBE7">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14:paraId="45E657A8">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042B965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14:paraId="2B879B8B">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14:paraId="59792A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14:paraId="4B7190B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报价与政府采购云平台录入报价不一致的，以上传的电子</w:t>
      </w:r>
      <w:r>
        <w:rPr>
          <w:rFonts w:hint="eastAsia" w:ascii="宋体" w:hAnsi="宋体" w:eastAsia="宋体" w:cs="Times New Roman"/>
          <w:color w:val="auto"/>
          <w:spacing w:val="-6"/>
          <w:szCs w:val="21"/>
          <w:highlight w:val="none"/>
          <w:lang w:eastAsia="zh-CN"/>
        </w:rPr>
        <w:t>投标文件</w:t>
      </w:r>
      <w:r>
        <w:rPr>
          <w:rFonts w:hint="eastAsia" w:ascii="宋体" w:hAnsi="宋体" w:eastAsia="宋体" w:cs="Times New Roman"/>
          <w:color w:val="auto"/>
          <w:spacing w:val="-6"/>
          <w:szCs w:val="21"/>
          <w:highlight w:val="none"/>
        </w:rPr>
        <w:t>报价为准。</w:t>
      </w:r>
    </w:p>
    <w:p w14:paraId="6E863ADB">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14:paraId="3E5F384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14:paraId="4F974FDB">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14:paraId="7FD7A680">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14:paraId="0307DB1A">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14:paraId="69B32AFB">
      <w:pPr>
        <w:pStyle w:val="98"/>
        <w:adjustRightInd w:val="0"/>
        <w:snapToGrid w:val="0"/>
        <w:spacing w:before="0" w:line="288" w:lineRule="auto"/>
        <w:ind w:firstLine="424" w:firstLineChars="202"/>
        <w:rPr>
          <w:rFonts w:hint="eastAsia" w:ascii="宋体" w:hAnsi="宋体" w:eastAsia="宋体" w:cs="宋体"/>
          <w:color w:val="auto"/>
          <w:kern w:val="0"/>
          <w:sz w:val="21"/>
          <w:szCs w:val="21"/>
          <w:highlight w:val="none"/>
        </w:rPr>
      </w:pPr>
      <w:r>
        <w:rPr>
          <w:rFonts w:hint="eastAsia" w:ascii="宋体" w:hAnsi="宋体" w:cs="仿宋"/>
          <w:color w:val="auto"/>
          <w:kern w:val="0"/>
          <w:sz w:val="21"/>
          <w:szCs w:val="21"/>
          <w:highlight w:val="none"/>
        </w:rPr>
        <w:t>同时出现两种以上不一致的</w:t>
      </w:r>
      <w:r>
        <w:rPr>
          <w:rFonts w:hint="eastAsia" w:ascii="宋体" w:hAnsi="宋体" w:eastAsia="宋体" w:cs="宋体"/>
          <w:color w:val="auto"/>
          <w:kern w:val="0"/>
          <w:sz w:val="21"/>
          <w:szCs w:val="21"/>
          <w:highlight w:val="none"/>
        </w:rPr>
        <w:t>，按照前款规定的顺序修正。修正后的报价按照财政部第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27AE764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20" w:firstLineChars="20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投标人收到修正确认文件后，在规定时间内未做出回复的，视为不确认。</w:t>
      </w:r>
    </w:p>
    <w:p w14:paraId="54B5FD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4" w:firstLineChars="200"/>
        <w:jc w:val="both"/>
        <w:textAlignment w:val="auto"/>
        <w:rPr>
          <w:rFonts w:hint="eastAsia" w:ascii="宋体" w:hAnsi="宋体" w:eastAsia="宋体" w:cs="宋体"/>
          <w:b/>
          <w:bCs/>
          <w:i w:val="0"/>
          <w:iCs w:val="0"/>
          <w:caps w:val="0"/>
          <w:color w:val="auto"/>
          <w:spacing w:val="-2"/>
          <w:kern w:val="0"/>
          <w:sz w:val="21"/>
          <w:szCs w:val="21"/>
          <w:highlight w:val="none"/>
          <w:shd w:val="clear" w:fill="FFFFFF"/>
          <w:lang w:val="en-US" w:eastAsia="zh-CN" w:bidi="ar"/>
        </w:rPr>
      </w:pP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评审中出现下列情形之一的，评标委员会应当启动异常低价投标审查程序：</w:t>
      </w:r>
    </w:p>
    <w:p w14:paraId="5F80909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（一）投标报价低于全部通过符合性审查供应商投标报价平均值50%的，即投标报价&lt;全部通过符合性审查供应商投标报价平均值×50%；</w:t>
      </w:r>
    </w:p>
    <w:p w14:paraId="1E0F60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（二）投标报价低于通过符合性审查且报价次低供应商投标报价50%的，即投标报价&lt;通过符合性审查且报价次低供应商投标报价×50%；</w:t>
      </w:r>
    </w:p>
    <w:p w14:paraId="4EC949B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（三）投标报价低于采购项目最高限价45%的，即投标报价&lt;采购项目最高限价×45%；</w:t>
      </w:r>
    </w:p>
    <w:p w14:paraId="4C9D5A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（四）其他评标委员会认为供应商报价过低，有可能影响产品质量或者不能诚信履约的情形。</w:t>
      </w:r>
    </w:p>
    <w:p w14:paraId="399A31C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288" w:lineRule="auto"/>
        <w:ind w:left="0" w:right="0" w:firstLine="412" w:firstLineChars="200"/>
        <w:jc w:val="both"/>
        <w:textAlignment w:val="auto"/>
        <w:rPr>
          <w:rFonts w:hint="eastAsia" w:ascii="宋体" w:hAnsi="宋体" w:eastAsia="宋体" w:cs="宋体"/>
          <w:i w:val="0"/>
          <w:iCs w:val="0"/>
          <w:caps w:val="0"/>
          <w:color w:val="auto"/>
          <w:spacing w:val="-2"/>
          <w:kern w:val="0"/>
          <w:sz w:val="21"/>
          <w:szCs w:val="21"/>
          <w:highlight w:val="none"/>
          <w:shd w:val="clear" w:fill="FFFFFF"/>
          <w:lang w:val="en-US" w:eastAsia="zh-CN" w:bidi="ar"/>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评标委员会启动异常低价投标审查后，</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应当要求相关供应商在评审现场合理的时间内提供书面说明及必要的证明材料，对投标价格作出解释。</w:t>
      </w:r>
      <w:r>
        <w:rPr>
          <w:rFonts w:hint="eastAsia" w:ascii="宋体" w:hAnsi="宋体" w:eastAsia="宋体" w:cs="宋体"/>
          <w:i w:val="0"/>
          <w:iCs w:val="0"/>
          <w:caps w:val="0"/>
          <w:color w:val="auto"/>
          <w:spacing w:val="-2"/>
          <w:kern w:val="0"/>
          <w:sz w:val="21"/>
          <w:szCs w:val="21"/>
          <w:highlight w:val="none"/>
          <w:shd w:val="clear" w:fill="FFFFFF"/>
          <w:lang w:val="en-US" w:eastAsia="zh-CN" w:bidi="ar"/>
        </w:rPr>
        <w:t>书面说明、证明材料主要是</w:t>
      </w:r>
      <w:r>
        <w:rPr>
          <w:rFonts w:hint="eastAsia" w:ascii="宋体" w:hAnsi="宋体" w:eastAsia="宋体" w:cs="宋体"/>
          <w:b/>
          <w:bCs/>
          <w:i w:val="0"/>
          <w:iCs w:val="0"/>
          <w:caps w:val="0"/>
          <w:color w:val="auto"/>
          <w:spacing w:val="-2"/>
          <w:kern w:val="0"/>
          <w:sz w:val="21"/>
          <w:szCs w:val="21"/>
          <w:highlight w:val="none"/>
          <w:shd w:val="clear" w:fill="FFFFFF"/>
          <w:lang w:val="en-US" w:eastAsia="zh-CN" w:bidi="ar"/>
        </w:rPr>
        <w:t>项目具体成本测算等与报价合理性相关的说明、材料</w:t>
      </w:r>
      <w:r>
        <w:rPr>
          <w:rFonts w:hint="eastAsia" w:ascii="宋体" w:hAnsi="宋体" w:eastAsia="宋体" w:cs="宋体"/>
          <w:i w:val="0"/>
          <w:iCs w:val="0"/>
          <w:caps w:val="0"/>
          <w:color w:val="auto"/>
          <w:spacing w:val="-2"/>
          <w:kern w:val="0"/>
          <w:sz w:val="21"/>
          <w:szCs w:val="21"/>
          <w:highlight w:val="none"/>
          <w:shd w:val="clear" w:fill="FFFFFF"/>
          <w:lang w:val="en-US" w:eastAsia="zh-CN" w:bidi="ar"/>
        </w:rPr>
        <w:t>。</w:t>
      </w:r>
    </w:p>
    <w:p w14:paraId="1187E8CD">
      <w:pPr>
        <w:pStyle w:val="98"/>
        <w:adjustRightInd w:val="0"/>
        <w:snapToGrid w:val="0"/>
        <w:spacing w:before="0" w:line="288" w:lineRule="auto"/>
        <w:ind w:firstLine="416" w:firstLineChars="202"/>
        <w:rPr>
          <w:rFonts w:ascii="宋体" w:hAnsi="宋体" w:cs="仿宋"/>
          <w:color w:val="auto"/>
          <w:kern w:val="0"/>
          <w:sz w:val="21"/>
          <w:szCs w:val="21"/>
          <w:highlight w:val="none"/>
        </w:rPr>
      </w:pPr>
      <w:r>
        <w:rPr>
          <w:rFonts w:hint="eastAsia" w:ascii="宋体" w:hAnsi="宋体" w:eastAsia="宋体" w:cs="宋体"/>
          <w:i w:val="0"/>
          <w:iCs w:val="0"/>
          <w:caps w:val="0"/>
          <w:color w:val="auto"/>
          <w:spacing w:val="-2"/>
          <w:kern w:val="0"/>
          <w:sz w:val="21"/>
          <w:szCs w:val="21"/>
          <w:highlight w:val="none"/>
          <w:shd w:val="clear" w:fill="FFFFFF"/>
          <w:lang w:val="en-US" w:eastAsia="zh-CN" w:bidi="ar"/>
        </w:rPr>
        <w:t>评标委员会应当</w:t>
      </w:r>
      <w:r>
        <w:rPr>
          <w:rFonts w:hint="eastAsia" w:ascii="宋体" w:hAnsi="宋体" w:eastAsia="宋体" w:cs="宋体"/>
          <w:i w:val="0"/>
          <w:iCs w:val="0"/>
          <w:caps w:val="0"/>
          <w:color w:val="auto"/>
          <w:spacing w:val="-2"/>
          <w:kern w:val="0"/>
          <w:sz w:val="21"/>
          <w:szCs w:val="21"/>
          <w:highlight w:val="none"/>
          <w:u w:val="single"/>
          <w:shd w:val="clear" w:fill="FFFFFF"/>
          <w:lang w:val="en-US" w:eastAsia="zh-CN" w:bidi="ar"/>
        </w:rPr>
        <w:t>结合同类产品在主要电商平台的价格、该行业当地薪资水平等情况，依据专业经验对报价合理性进行判断。</w:t>
      </w:r>
      <w:r>
        <w:rPr>
          <w:rFonts w:hint="eastAsia" w:ascii="宋体" w:hAnsi="宋体" w:eastAsia="宋体" w:cs="宋体"/>
          <w:i w:val="0"/>
          <w:iCs w:val="0"/>
          <w:caps w:val="0"/>
          <w:color w:val="auto"/>
          <w:spacing w:val="-2"/>
          <w:kern w:val="0"/>
          <w:sz w:val="21"/>
          <w:szCs w:val="21"/>
          <w:highlight w:val="none"/>
          <w:shd w:val="clear" w:fill="FFFFFF"/>
          <w:lang w:val="en-US" w:eastAsia="zh-CN" w:bidi="ar"/>
        </w:rPr>
        <w:t>如果投标供应商不提供书面说明、证明材料，或者提供的书面说明、证明材料不能证明其报价合理性的，应当将其作为无效投标处理。审查相关情况应当在评审报告中记录。</w:t>
      </w:r>
    </w:p>
    <w:p w14:paraId="2D9C70D8">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14:paraId="42AD0D5F">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19DD11C6">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14:paraId="1E29E5EB">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14:paraId="145DDE7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评标方法：本项目评标方法是综合评分法，具体评标方法和评标标准详见“第四章：评标方法和评标标准”。</w:t>
      </w:r>
    </w:p>
    <w:p w14:paraId="566220E7">
      <w:pPr>
        <w:adjustRightInd w:val="0"/>
        <w:snapToGrid w:val="0"/>
        <w:spacing w:line="288" w:lineRule="auto"/>
        <w:ind w:firstLine="424" w:firstLineChars="202"/>
        <w:rPr>
          <w:rFonts w:hint="eastAsia" w:ascii="宋体" w:hAnsi="宋体" w:eastAsia="宋体" w:cs="Arial"/>
          <w:color w:val="auto"/>
          <w:kern w:val="0"/>
          <w:szCs w:val="21"/>
          <w:highlight w:val="none"/>
        </w:rPr>
      </w:pPr>
      <w:r>
        <w:rPr>
          <w:rFonts w:hint="eastAsia"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w:t>
      </w:r>
      <w:r>
        <w:rPr>
          <w:rFonts w:hint="eastAsia" w:ascii="宋体" w:hAnsi="宋体" w:eastAsia="宋体" w:cs="Arial"/>
          <w:color w:val="auto"/>
          <w:kern w:val="0"/>
          <w:szCs w:val="21"/>
          <w:highlight w:val="none"/>
          <w:lang w:val="en-US" w:eastAsia="zh-CN"/>
        </w:rPr>
        <w:t>1</w:t>
      </w:r>
      <w:r>
        <w:rPr>
          <w:rFonts w:hint="eastAsia" w:ascii="宋体" w:hAnsi="宋体" w:eastAsia="宋体" w:cs="Arial"/>
          <w:color w:val="auto"/>
          <w:kern w:val="0"/>
          <w:szCs w:val="21"/>
          <w:highlight w:val="none"/>
        </w:rPr>
        <w:t>名中标候选人。</w:t>
      </w:r>
    </w:p>
    <w:p w14:paraId="0DFA96F0">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14:paraId="142DD81C">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29150FEB">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5A30CFBF">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14:paraId="5604EB4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14:paraId="092833E2">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66A11FC6">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2.采购代理机构自中标人确定之日起2个工作日内，公告中标结果，并发出中标通知书。</w:t>
      </w:r>
    </w:p>
    <w:p w14:paraId="01FFF8C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3.评标结果公示媒体：浙江政府采购网（http://zfcg.czt.zj.gov.cn）。</w:t>
      </w:r>
    </w:p>
    <w:p w14:paraId="2041FD23">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14:paraId="2FFB9B0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4E3E92C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61571A15">
      <w:pPr>
        <w:adjustRightInd w:val="0"/>
        <w:snapToGrid w:val="0"/>
        <w:spacing w:line="288" w:lineRule="auto"/>
        <w:ind w:firstLine="396" w:firstLineChars="200"/>
        <w:rPr>
          <w:rFonts w:ascii="宋体" w:hAnsi="宋体" w:eastAsia="宋体" w:cs="Times New Roman"/>
          <w:color w:val="auto"/>
          <w:spacing w:val="-6"/>
          <w:szCs w:val="21"/>
          <w:highlight w:val="none"/>
        </w:rPr>
      </w:pPr>
    </w:p>
    <w:p w14:paraId="41282C47">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14:paraId="4E601E13">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B87E8B4">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14:paraId="0591A705">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6BC80B9E">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1473844">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14:paraId="073155E5">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14:paraId="3B7BD5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14:paraId="3B2E86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14:paraId="401E279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14:paraId="7985A127">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14:paraId="407DBC78">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14:paraId="5356C8B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14:paraId="367AFAB1">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14:paraId="47FB8D1E">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14:paraId="123821D0">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14:paraId="1B076B44">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14:paraId="290F7D3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14:paraId="27312B4A">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14:paraId="0FF8D190">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14:paraId="6245ACD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14:paraId="2DFF1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9F932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评审因素</w:t>
            </w:r>
          </w:p>
        </w:tc>
        <w:tc>
          <w:tcPr>
            <w:tcW w:w="654" w:type="dxa"/>
            <w:vAlign w:val="center"/>
          </w:tcPr>
          <w:p w14:paraId="2FF1DCE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分值</w:t>
            </w:r>
          </w:p>
        </w:tc>
        <w:tc>
          <w:tcPr>
            <w:tcW w:w="7072" w:type="dxa"/>
            <w:vAlign w:val="center"/>
          </w:tcPr>
          <w:p w14:paraId="4335C00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评分标准</w:t>
            </w:r>
          </w:p>
        </w:tc>
      </w:tr>
      <w:tr w14:paraId="65408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2242552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价格</w:t>
            </w:r>
            <w:r>
              <w:rPr>
                <w:rFonts w:hint="eastAsia" w:ascii="宋体" w:hAnsi="宋体" w:eastAsia="宋体" w:cs="Times New Roman"/>
                <w:b/>
                <w:bCs/>
                <w:color w:val="auto"/>
                <w:sz w:val="21"/>
                <w:szCs w:val="21"/>
                <w:highlight w:val="none"/>
              </w:rPr>
              <w:t>分（1</w:t>
            </w:r>
            <w:r>
              <w:rPr>
                <w:rFonts w:hint="default" w:ascii="宋体" w:hAnsi="宋体" w:eastAsia="宋体" w:cs="Times New Roman"/>
                <w:b/>
                <w:bCs/>
                <w:color w:val="auto"/>
                <w:sz w:val="21"/>
                <w:szCs w:val="21"/>
                <w:highlight w:val="none"/>
              </w:rPr>
              <w:t>0</w:t>
            </w:r>
            <w:r>
              <w:rPr>
                <w:rFonts w:hint="eastAsia" w:ascii="宋体" w:hAnsi="宋体" w:eastAsia="宋体" w:cs="Times New Roman"/>
                <w:b/>
                <w:bCs/>
                <w:color w:val="auto"/>
                <w:sz w:val="21"/>
                <w:szCs w:val="21"/>
                <w:highlight w:val="none"/>
              </w:rPr>
              <w:t>）</w:t>
            </w:r>
          </w:p>
        </w:tc>
      </w:tr>
      <w:tr w14:paraId="004CA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14:paraId="26C9DDE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14:paraId="5BE5A24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10</w:t>
            </w:r>
          </w:p>
        </w:tc>
        <w:tc>
          <w:tcPr>
            <w:tcW w:w="7072" w:type="dxa"/>
            <w:tcBorders>
              <w:top w:val="single" w:color="auto" w:sz="4" w:space="0"/>
              <w:left w:val="single" w:color="auto" w:sz="4" w:space="0"/>
              <w:bottom w:val="single" w:color="auto" w:sz="4" w:space="0"/>
              <w:right w:val="single" w:color="auto" w:sz="4" w:space="0"/>
            </w:tcBorders>
            <w:vAlign w:val="center"/>
          </w:tcPr>
          <w:p w14:paraId="181F2E4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价格分采用低价优先法计算，即满足招标文件要求且投标价格最低的投标报价为评标基准价，其他投标人的价格分按照下列公式计算：</w:t>
            </w:r>
          </w:p>
          <w:p w14:paraId="3606D0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价格分=（评标基准价/投标报价）×10%×100</w:t>
            </w:r>
          </w:p>
        </w:tc>
      </w:tr>
      <w:tr w14:paraId="6C247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12C8FC55">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sz w:val="21"/>
                <w:szCs w:val="21"/>
                <w:highlight w:val="none"/>
              </w:rPr>
              <w:t>商务分</w:t>
            </w:r>
            <w:r>
              <w:rPr>
                <w:rFonts w:hint="eastAsia" w:ascii="宋体" w:hAnsi="宋体" w:eastAsia="宋体" w:cs="Times New Roman"/>
                <w:b/>
                <w:bCs/>
                <w:color w:val="auto"/>
                <w:sz w:val="21"/>
                <w:szCs w:val="21"/>
                <w:highlight w:val="none"/>
              </w:rPr>
              <w:t>（1）</w:t>
            </w:r>
          </w:p>
        </w:tc>
      </w:tr>
      <w:tr w14:paraId="5EC8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6BC4BB7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业绩</w:t>
            </w:r>
          </w:p>
        </w:tc>
        <w:tc>
          <w:tcPr>
            <w:tcW w:w="654" w:type="dxa"/>
            <w:vAlign w:val="center"/>
          </w:tcPr>
          <w:p w14:paraId="7F2F09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p>
        </w:tc>
        <w:tc>
          <w:tcPr>
            <w:tcW w:w="7072" w:type="dxa"/>
            <w:vAlign w:val="center"/>
          </w:tcPr>
          <w:p w14:paraId="270865F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14:paraId="253278D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投标人自2022年1月1日以来（以合同签订时间为准）同类合同业绩（以提供的合同扫描件为准）：每提供1份合同业绩得0.5分，最高得1分。</w:t>
            </w:r>
          </w:p>
        </w:tc>
      </w:tr>
      <w:tr w14:paraId="4ADF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493" w:type="dxa"/>
            <w:gridSpan w:val="3"/>
            <w:vAlign w:val="center"/>
          </w:tcPr>
          <w:p w14:paraId="536050D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技术</w:t>
            </w:r>
            <w:r>
              <w:rPr>
                <w:rFonts w:hint="default" w:ascii="宋体" w:hAnsi="宋体" w:eastAsia="宋体" w:cs="Times New Roman"/>
                <w:b/>
                <w:bCs/>
                <w:color w:val="auto"/>
                <w:sz w:val="21"/>
                <w:szCs w:val="21"/>
                <w:highlight w:val="none"/>
              </w:rPr>
              <w:t>分</w:t>
            </w:r>
            <w:r>
              <w:rPr>
                <w:rFonts w:hint="eastAsia" w:ascii="宋体" w:hAnsi="宋体" w:eastAsia="宋体" w:cs="Times New Roman"/>
                <w:b/>
                <w:bCs/>
                <w:color w:val="auto"/>
                <w:sz w:val="21"/>
                <w:szCs w:val="21"/>
                <w:highlight w:val="none"/>
              </w:rPr>
              <w:t>（89）</w:t>
            </w:r>
          </w:p>
        </w:tc>
      </w:tr>
      <w:tr w14:paraId="4C108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Align w:val="center"/>
          </w:tcPr>
          <w:p w14:paraId="727487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响应程度</w:t>
            </w:r>
          </w:p>
        </w:tc>
        <w:tc>
          <w:tcPr>
            <w:tcW w:w="654" w:type="dxa"/>
            <w:vAlign w:val="center"/>
          </w:tcPr>
          <w:p w14:paraId="67DD57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40</w:t>
            </w:r>
          </w:p>
        </w:tc>
        <w:tc>
          <w:tcPr>
            <w:tcW w:w="7072" w:type="dxa"/>
            <w:vAlign w:val="center"/>
          </w:tcPr>
          <w:p w14:paraId="7C67A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【客观分】</w:t>
            </w:r>
          </w:p>
          <w:p w14:paraId="682BD81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不符合（负偏离）技术要求中标注“▲”条款（不可偏离）的投标无效；</w:t>
            </w:r>
          </w:p>
          <w:p w14:paraId="3FAB495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满足招标文件明确的全部服务要求的</w:t>
            </w:r>
            <w:r>
              <w:rPr>
                <w:rFonts w:hint="eastAsia" w:ascii="宋体" w:hAnsi="宋体" w:eastAsia="宋体" w:cs="Times New Roman"/>
                <w:color w:val="auto"/>
                <w:sz w:val="21"/>
                <w:szCs w:val="21"/>
                <w:highlight w:val="none"/>
              </w:rPr>
              <w:t>该项得满分</w:t>
            </w:r>
            <w:r>
              <w:rPr>
                <w:rFonts w:hint="eastAsia" w:ascii="宋体" w:hAnsi="宋体" w:eastAsia="宋体" w:cs="宋体"/>
                <w:color w:val="auto"/>
                <w:sz w:val="21"/>
                <w:szCs w:val="21"/>
                <w:highlight w:val="none"/>
              </w:rPr>
              <w:t>；</w:t>
            </w:r>
          </w:p>
          <w:p w14:paraId="67E0ADD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投标条款低于服务要求（负偏离）的每项扣</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分；</w:t>
            </w:r>
          </w:p>
          <w:p w14:paraId="1B8A66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负偏离</w:t>
            </w:r>
            <w:r>
              <w:rPr>
                <w:rFonts w:hint="eastAsia" w:ascii="宋体" w:hAnsi="宋体" w:eastAsia="宋体" w:cs="宋体"/>
                <w:color w:val="auto"/>
                <w:sz w:val="21"/>
                <w:szCs w:val="21"/>
                <w:highlight w:val="none"/>
                <w:lang w:val="en-US" w:eastAsia="zh-CN"/>
              </w:rPr>
              <w:t>5</w:t>
            </w:r>
            <w:r>
              <w:rPr>
                <w:rFonts w:hint="default" w:ascii="宋体" w:hAnsi="宋体" w:eastAsia="宋体" w:cs="宋体"/>
                <w:color w:val="auto"/>
                <w:sz w:val="21"/>
                <w:szCs w:val="21"/>
                <w:highlight w:val="none"/>
              </w:rPr>
              <w:t>项及以上的，视为采购人不能接受的附加条件。</w:t>
            </w:r>
          </w:p>
        </w:tc>
      </w:tr>
      <w:tr w14:paraId="685A1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14:paraId="41CAA21C">
            <w:pPr>
              <w:keepNext w:val="0"/>
              <w:keepLines w:val="0"/>
              <w:suppressLineNumbers w:val="0"/>
              <w:spacing w:before="0" w:beforeAutospacing="0" w:after="0" w:afterAutospacing="0"/>
              <w:ind w:left="0" w:right="0"/>
              <w:jc w:val="center"/>
              <w:rPr>
                <w:rFonts w:hint="default"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装备维修保障仿真子系统开发方案</w:t>
            </w:r>
          </w:p>
        </w:tc>
        <w:tc>
          <w:tcPr>
            <w:tcW w:w="654" w:type="dxa"/>
            <w:tcBorders>
              <w:top w:val="single" w:color="auto" w:sz="4" w:space="0"/>
              <w:left w:val="single" w:color="auto" w:sz="4" w:space="0"/>
              <w:bottom w:val="single" w:color="auto" w:sz="4" w:space="0"/>
              <w:right w:val="single" w:color="auto" w:sz="4" w:space="0"/>
            </w:tcBorders>
            <w:vAlign w:val="center"/>
          </w:tcPr>
          <w:p w14:paraId="1906455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E87A7A5">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【主观分】投标人针对想定规划</w:t>
            </w:r>
            <w:r>
              <w:rPr>
                <w:rFonts w:hint="eastAsia" w:ascii="宋体" w:hAnsi="宋体" w:eastAsia="宋体" w:cs="宋体"/>
                <w:color w:val="auto"/>
                <w:sz w:val="21"/>
                <w:szCs w:val="21"/>
                <w:highlight w:val="none"/>
                <w:lang w:val="en-US" w:eastAsia="zh-CN" w:bidi="ar"/>
              </w:rPr>
              <w:t>功能</w:t>
            </w:r>
            <w:r>
              <w:rPr>
                <w:rFonts w:hint="eastAsia" w:ascii="宋体" w:hAnsi="宋体" w:eastAsia="宋体" w:cs="宋体"/>
                <w:color w:val="auto"/>
                <w:sz w:val="21"/>
                <w:szCs w:val="21"/>
                <w:highlight w:val="none"/>
                <w:lang w:bidi="ar"/>
              </w:rPr>
              <w:t>提供的开发方案的可行性、针对性、先进性（评分范围：5,4,3,2,1,0）。</w:t>
            </w:r>
          </w:p>
        </w:tc>
      </w:tr>
      <w:tr w14:paraId="6EFB4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1CB7DB7A">
            <w:pPr>
              <w:keepNext w:val="0"/>
              <w:keepLines w:val="0"/>
              <w:suppressLineNumbers w:val="0"/>
              <w:spacing w:before="0" w:beforeAutospacing="0" w:after="0" w:afterAutospacing="0"/>
              <w:ind w:left="0" w:right="0"/>
              <w:jc w:val="center"/>
              <w:rPr>
                <w:rFonts w:hint="default" w:ascii="宋体" w:hAnsi="宋体" w:eastAsia="宋体" w:cs="宋体"/>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77BC1A9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97EBE35">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【主观分】投标人针对战备完好性仿真</w:t>
            </w:r>
            <w:r>
              <w:rPr>
                <w:rFonts w:hint="eastAsia" w:ascii="宋体" w:hAnsi="宋体" w:eastAsia="宋体" w:cs="宋体"/>
                <w:color w:val="auto"/>
                <w:sz w:val="21"/>
                <w:szCs w:val="21"/>
                <w:highlight w:val="none"/>
                <w:lang w:val="en-US" w:eastAsia="zh-CN" w:bidi="ar"/>
              </w:rPr>
              <w:t>功能</w:t>
            </w:r>
            <w:r>
              <w:rPr>
                <w:rFonts w:hint="eastAsia" w:ascii="宋体" w:hAnsi="宋体" w:eastAsia="宋体" w:cs="宋体"/>
                <w:color w:val="auto"/>
                <w:sz w:val="21"/>
                <w:szCs w:val="21"/>
                <w:highlight w:val="none"/>
                <w:lang w:bidi="ar"/>
              </w:rPr>
              <w:t>提供的开发方案的可行性、针对性、先进性（评分范围：5,4,3,2,1,0）。</w:t>
            </w:r>
          </w:p>
        </w:tc>
      </w:tr>
      <w:tr w14:paraId="77618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733ABF02">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5893AA9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232CC93F">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【主观分】投标人针对状态监测及展示</w:t>
            </w:r>
            <w:r>
              <w:rPr>
                <w:rFonts w:hint="eastAsia" w:ascii="宋体" w:hAnsi="宋体" w:eastAsia="宋体" w:cs="宋体"/>
                <w:color w:val="auto"/>
                <w:sz w:val="21"/>
                <w:szCs w:val="21"/>
                <w:highlight w:val="none"/>
                <w:lang w:val="en-US" w:eastAsia="zh-CN"/>
              </w:rPr>
              <w:t>功能</w:t>
            </w:r>
            <w:r>
              <w:rPr>
                <w:rFonts w:hint="eastAsia" w:ascii="宋体" w:hAnsi="宋体" w:eastAsia="宋体" w:cs="宋体"/>
                <w:color w:val="auto"/>
                <w:sz w:val="21"/>
                <w:szCs w:val="21"/>
                <w:highlight w:val="none"/>
              </w:rPr>
              <w:t>提供的开发方案的可行性、针对性、先进性（评分范围：5,4,3,2,1,0）。</w:t>
            </w:r>
          </w:p>
        </w:tc>
      </w:tr>
      <w:tr w14:paraId="55078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right w:val="single" w:color="auto" w:sz="4" w:space="0"/>
            </w:tcBorders>
            <w:vAlign w:val="center"/>
          </w:tcPr>
          <w:p w14:paraId="7FA5A06B">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14:paraId="14EA2C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vAlign w:val="center"/>
          </w:tcPr>
          <w:p w14:paraId="1B6CCC7E">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【主观分】投标人针对系统管理</w:t>
            </w:r>
            <w:r>
              <w:rPr>
                <w:rFonts w:hint="eastAsia" w:ascii="宋体" w:hAnsi="宋体" w:eastAsia="宋体" w:cs="宋体"/>
                <w:color w:val="auto"/>
                <w:sz w:val="21"/>
                <w:szCs w:val="21"/>
                <w:highlight w:val="none"/>
                <w:lang w:val="en-US" w:eastAsia="zh-CN"/>
              </w:rPr>
              <w:t>功能</w:t>
            </w:r>
            <w:r>
              <w:rPr>
                <w:rFonts w:hint="eastAsia" w:ascii="宋体" w:hAnsi="宋体" w:eastAsia="宋体" w:cs="宋体"/>
                <w:color w:val="auto"/>
                <w:sz w:val="21"/>
                <w:szCs w:val="21"/>
                <w:highlight w:val="none"/>
              </w:rPr>
              <w:t>提供的开发方案的可行性、针对性、先进性（评分范围：5,4,3,2,1,0）。</w:t>
            </w:r>
          </w:p>
        </w:tc>
      </w:tr>
      <w:tr w14:paraId="069D49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shd w:val="clear" w:color="auto" w:fill="auto"/>
            <w:vAlign w:val="center"/>
          </w:tcPr>
          <w:p w14:paraId="723C0E62">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装备维修保障机构能力评估子系统开发方案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75B13A70">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5CC2713A">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【主观分】投标人针对综合评价功能提供的开发方案的可行性、针对性、先进性（评分范围：5,4,3,2,1,0）。</w:t>
            </w:r>
          </w:p>
        </w:tc>
      </w:tr>
      <w:tr w14:paraId="50267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shd w:val="clear" w:color="auto" w:fill="auto"/>
            <w:vAlign w:val="center"/>
          </w:tcPr>
          <w:p w14:paraId="378F5344">
            <w:pPr>
              <w:keepNext w:val="0"/>
              <w:keepLines w:val="0"/>
              <w:suppressLineNumbers w:val="0"/>
              <w:spacing w:before="0" w:beforeAutospacing="0" w:after="0" w:afterAutospacing="0"/>
              <w:ind w:left="0" w:right="0"/>
              <w:jc w:val="center"/>
              <w:rPr>
                <w:rFonts w:hint="eastAsia" w:ascii="宋体" w:hAnsi="宋体" w:eastAsia="宋体" w:cs="Times New Roman"/>
                <w:b/>
                <w:bCs/>
                <w:color w:val="auto"/>
                <w:sz w:val="21"/>
                <w:szCs w:val="21"/>
                <w:highlight w:val="none"/>
              </w:rPr>
            </w:pP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84CD68F">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D12C300">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【主观分】投标人针对系统管理</w:t>
            </w:r>
            <w:r>
              <w:rPr>
                <w:rFonts w:hint="eastAsia" w:ascii="宋体" w:hAnsi="宋体" w:eastAsia="宋体" w:cs="宋体"/>
                <w:color w:val="auto"/>
                <w:sz w:val="21"/>
                <w:szCs w:val="21"/>
                <w:highlight w:val="none"/>
                <w:lang w:val="en-US" w:eastAsia="zh-CN"/>
              </w:rPr>
              <w:t>功能</w:t>
            </w:r>
            <w:r>
              <w:rPr>
                <w:rFonts w:hint="eastAsia" w:ascii="宋体" w:hAnsi="宋体" w:eastAsia="宋体" w:cs="宋体"/>
                <w:color w:val="auto"/>
                <w:sz w:val="21"/>
                <w:szCs w:val="21"/>
                <w:highlight w:val="none"/>
              </w:rPr>
              <w:t>提供的开发方案的可行性、针对性、先进性（评分范围：5,4,3,2,1,0）。</w:t>
            </w:r>
          </w:p>
        </w:tc>
      </w:tr>
      <w:tr w14:paraId="7BD74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507241B2">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lang w:val="en-US" w:eastAsia="zh-CN"/>
              </w:rPr>
            </w:pPr>
            <w:r>
              <w:rPr>
                <w:rFonts w:hint="eastAsia" w:ascii="宋体" w:hAnsi="宋体" w:eastAsia="宋体" w:cs="Times New Roman"/>
                <w:b/>
                <w:bCs/>
                <w:color w:val="auto"/>
                <w:sz w:val="21"/>
                <w:szCs w:val="21"/>
                <w:highlight w:val="none"/>
                <w:lang w:val="en-US" w:eastAsia="zh-CN"/>
              </w:rPr>
              <w:t>性能保障方案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973A727">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D23912D">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主观分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投标人针对本项目提供的性能保障方案的先进性、针对性（评分范围：5,4,3,2,1,0）。</w:t>
            </w:r>
          </w:p>
        </w:tc>
      </w:tr>
      <w:tr w14:paraId="722E4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7676F029">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拟投入人员</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02BDD2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1099D4C3">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【主观分】投标人针对本项目拟投入的人员情况，包括同类项目经验、人员履历、资质等（提供资质证明材料，不提供不得分）（评分范围：5,4,3,2,1,0）。</w:t>
            </w:r>
          </w:p>
        </w:tc>
      </w:tr>
      <w:tr w14:paraId="195B7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463F7E1E">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服务效率保障方案</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28EF0E3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71D4CC32">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【主观分】投标人针对本项目服务要求提供的服务效率保障方案的可行性、针对性（评分范围：5,4,3,2,1,0）。</w:t>
            </w:r>
          </w:p>
        </w:tc>
      </w:tr>
      <w:tr w14:paraId="081C3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shd w:val="clear" w:color="auto" w:fill="auto"/>
            <w:vAlign w:val="center"/>
          </w:tcPr>
          <w:p w14:paraId="5DDED767">
            <w:pPr>
              <w:keepNext w:val="0"/>
              <w:keepLines w:val="0"/>
              <w:suppressLineNumbers w:val="0"/>
              <w:spacing w:before="0" w:beforeAutospacing="0" w:after="0" w:afterAutospacing="0"/>
              <w:ind w:left="0" w:right="0"/>
              <w:jc w:val="center"/>
              <w:rPr>
                <w:rFonts w:hint="default"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进度计划</w:t>
            </w:r>
          </w:p>
        </w:tc>
        <w:tc>
          <w:tcPr>
            <w:tcW w:w="654" w:type="dxa"/>
            <w:tcBorders>
              <w:top w:val="single" w:color="auto" w:sz="4" w:space="0"/>
              <w:left w:val="single" w:color="auto" w:sz="4" w:space="0"/>
              <w:bottom w:val="single" w:color="auto" w:sz="4" w:space="0"/>
              <w:right w:val="single" w:color="auto" w:sz="4" w:space="0"/>
            </w:tcBorders>
            <w:shd w:val="clear" w:color="auto" w:fill="auto"/>
            <w:vAlign w:val="center"/>
          </w:tcPr>
          <w:p w14:paraId="4B520443">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val="en-US" w:eastAsia="zh-CN"/>
              </w:rPr>
              <w:t>4</w:t>
            </w:r>
          </w:p>
        </w:tc>
        <w:tc>
          <w:tcPr>
            <w:tcW w:w="7072" w:type="dxa"/>
            <w:tcBorders>
              <w:top w:val="single" w:color="auto" w:sz="4" w:space="0"/>
              <w:left w:val="single" w:color="auto" w:sz="4" w:space="0"/>
              <w:bottom w:val="single" w:color="auto" w:sz="4" w:space="0"/>
              <w:right w:val="single" w:color="auto" w:sz="4" w:space="0"/>
            </w:tcBorders>
            <w:shd w:val="clear" w:color="auto" w:fill="auto"/>
            <w:vAlign w:val="center"/>
          </w:tcPr>
          <w:p w14:paraId="3E24CA49">
            <w:pPr>
              <w:keepNext w:val="0"/>
              <w:keepLines w:val="0"/>
              <w:suppressLineNumbers w:val="0"/>
              <w:spacing w:before="0" w:beforeAutospacing="0" w:after="0" w:afterAutospacing="0"/>
              <w:ind w:left="0" w:right="0"/>
              <w:jc w:val="left"/>
              <w:rPr>
                <w:rFonts w:hint="default" w:ascii="宋体" w:hAnsi="宋体" w:eastAsia="宋体" w:cs="宋体"/>
                <w:color w:val="auto"/>
                <w:sz w:val="21"/>
                <w:szCs w:val="21"/>
                <w:highlight w:val="none"/>
              </w:rPr>
            </w:pPr>
            <w:r>
              <w:rPr>
                <w:rFonts w:hint="eastAsia" w:ascii="宋体" w:hAnsi="宋体" w:eastAsia="宋体" w:cs="宋体"/>
                <w:color w:val="auto"/>
                <w:sz w:val="21"/>
                <w:szCs w:val="21"/>
                <w:highlight w:val="none"/>
              </w:rPr>
              <w:t>【主观分】投标人针对本项目服务要求提供的项目进度计划的可行性、针对性（评分范围：4,3,2,1,0）。</w:t>
            </w:r>
          </w:p>
        </w:tc>
      </w:tr>
    </w:tbl>
    <w:p w14:paraId="686566D3">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r>
        <w:rPr>
          <w:rFonts w:hint="eastAsia" w:ascii="宋体" w:hAnsi="宋体" w:eastAsia="宋体" w:cs="Times New Roman"/>
          <w:b/>
          <w:color w:val="auto"/>
          <w:szCs w:val="21"/>
          <w:highlight w:val="none"/>
        </w:rPr>
        <w:t>本项目专门面向中小企业采购，不再执行价格评审优惠的扶持政策。</w:t>
      </w:r>
    </w:p>
    <w:p w14:paraId="3453036B">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14:paraId="12A4AB5C">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14:paraId="3B8DB3C1">
      <w:pPr>
        <w:adjustRightInd w:val="0"/>
        <w:snapToGrid w:val="0"/>
        <w:spacing w:line="288" w:lineRule="auto"/>
        <w:rPr>
          <w:rFonts w:ascii="宋体" w:hAnsi="宋体" w:eastAsia="宋体" w:cs="宋体"/>
          <w:b/>
          <w:color w:val="auto"/>
          <w:spacing w:val="-6"/>
          <w:szCs w:val="21"/>
          <w:highlight w:val="none"/>
        </w:rPr>
      </w:pPr>
    </w:p>
    <w:p w14:paraId="723498DD">
      <w:pPr>
        <w:spacing w:line="288" w:lineRule="auto"/>
        <w:ind w:firstLine="562" w:firstLineChars="200"/>
        <w:jc w:val="center"/>
        <w:rPr>
          <w:rFonts w:ascii="宋体" w:hAnsi="宋体" w:eastAsia="宋体" w:cs="宋体"/>
          <w:color w:val="auto"/>
          <w:kern w:val="0"/>
          <w:sz w:val="21"/>
          <w:szCs w:val="20"/>
          <w:highlight w:val="none"/>
        </w:rPr>
      </w:pPr>
      <w:r>
        <w:rPr>
          <w:rFonts w:hint="eastAsia" w:ascii="宋体" w:hAnsi="宋体" w:eastAsia="宋体" w:cs="宋体"/>
          <w:b/>
          <w:bCs/>
          <w:color w:val="auto"/>
          <w:kern w:val="0"/>
          <w:sz w:val="28"/>
          <w:szCs w:val="28"/>
          <w:highlight w:val="none"/>
        </w:rPr>
        <w:t>杭州电子科技大学采购合同（服务类）</w:t>
      </w:r>
    </w:p>
    <w:p w14:paraId="36AED580">
      <w:pPr>
        <w:spacing w:line="288" w:lineRule="auto"/>
        <w:ind w:firstLine="420" w:firstLineChars="200"/>
        <w:jc w:val="right"/>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合同编号_________________</w:t>
      </w:r>
    </w:p>
    <w:p w14:paraId="2B1FCEB1">
      <w:pPr>
        <w:spacing w:line="288" w:lineRule="auto"/>
        <w:ind w:firstLine="396" w:firstLineChars="200"/>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确认书号：</w:t>
      </w:r>
      <w:r>
        <w:rPr>
          <w:rFonts w:hint="eastAsia" w:ascii="宋体" w:hAnsi="宋体" w:eastAsia="宋体" w:cs="宋体"/>
          <w:color w:val="auto"/>
          <w:spacing w:val="-6"/>
          <w:kern w:val="0"/>
          <w:sz w:val="21"/>
          <w:szCs w:val="21"/>
          <w:highlight w:val="none"/>
          <w:lang w:eastAsia="zh-CN"/>
        </w:rPr>
        <w:t>[2025]34537号</w:t>
      </w:r>
    </w:p>
    <w:p w14:paraId="7B2A1588">
      <w:pPr>
        <w:spacing w:line="288" w:lineRule="auto"/>
        <w:ind w:firstLine="396" w:firstLineChars="200"/>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项目编号：</w:t>
      </w:r>
      <w:r>
        <w:rPr>
          <w:rFonts w:hint="eastAsia" w:ascii="宋体" w:hAnsi="宋体" w:eastAsia="宋体" w:cs="宋体"/>
          <w:color w:val="auto"/>
          <w:spacing w:val="-6"/>
          <w:kern w:val="0"/>
          <w:sz w:val="21"/>
          <w:szCs w:val="21"/>
          <w:highlight w:val="none"/>
          <w:lang w:eastAsia="zh-CN"/>
        </w:rPr>
        <w:t>QSZBB250074ZFGK</w:t>
      </w:r>
    </w:p>
    <w:p w14:paraId="6974E151">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甲方（采购人）：杭州电子科技大学</w:t>
      </w:r>
    </w:p>
    <w:p w14:paraId="6C2E5E6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乙方（供应商）：</w:t>
      </w:r>
    </w:p>
    <w:p w14:paraId="2C86801B">
      <w:pPr>
        <w:spacing w:line="288" w:lineRule="auto"/>
        <w:ind w:firstLine="396" w:firstLineChars="200"/>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采购代理机构（鉴证方）：</w:t>
      </w:r>
      <w:r>
        <w:rPr>
          <w:rFonts w:hint="eastAsia" w:ascii="宋体" w:hAnsi="宋体" w:eastAsia="宋体" w:cs="宋体"/>
          <w:color w:val="auto"/>
          <w:kern w:val="0"/>
          <w:sz w:val="21"/>
          <w:szCs w:val="20"/>
          <w:highlight w:val="none"/>
        </w:rPr>
        <w:t>浙江求是招标代理有限公司</w:t>
      </w:r>
    </w:p>
    <w:p w14:paraId="54E70C81">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为了保护甲乙双方合法权益，根据项目</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u w:val="single"/>
          <w:lang w:eastAsia="zh-CN"/>
        </w:rPr>
        <w:t>装备类仿真推演试验报告及方案</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（项目编号</w:t>
      </w:r>
      <w:r>
        <w:rPr>
          <w:rFonts w:hint="eastAsia" w:ascii="宋体" w:hAnsi="宋体" w:eastAsia="宋体" w:cs="宋体"/>
          <w:color w:val="auto"/>
          <w:kern w:val="0"/>
          <w:sz w:val="21"/>
          <w:szCs w:val="20"/>
          <w:highlight w:val="none"/>
          <w:u w:val="single"/>
          <w:lang w:eastAsia="zh-CN"/>
        </w:rPr>
        <w:t>QSZBB250074ZFGK</w:t>
      </w:r>
      <w:r>
        <w:rPr>
          <w:rFonts w:hint="eastAsia" w:ascii="宋体" w:hAnsi="宋体" w:eastAsia="宋体" w:cs="宋体"/>
          <w:color w:val="auto"/>
          <w:kern w:val="0"/>
          <w:sz w:val="21"/>
          <w:szCs w:val="20"/>
          <w:highlight w:val="none"/>
        </w:rPr>
        <w:t>）</w:t>
      </w:r>
      <w:r>
        <w:rPr>
          <w:rFonts w:hint="eastAsia" w:ascii="宋体" w:hAnsi="宋体" w:eastAsia="宋体" w:cs="宋体"/>
          <w:color w:val="auto"/>
          <w:kern w:val="0"/>
          <w:sz w:val="21"/>
          <w:szCs w:val="20"/>
          <w:highlight w:val="none"/>
          <w:u w:val="single"/>
          <w:lang w:val="en-US" w:eastAsia="zh-CN"/>
        </w:rPr>
        <w:t>公开招标</w:t>
      </w:r>
      <w:r>
        <w:rPr>
          <w:rFonts w:hint="eastAsia" w:ascii="宋体" w:hAnsi="宋体" w:eastAsia="宋体" w:cs="宋体"/>
          <w:color w:val="auto"/>
          <w:kern w:val="0"/>
          <w:sz w:val="21"/>
          <w:szCs w:val="20"/>
          <w:highlight w:val="none"/>
        </w:rPr>
        <w:t>的中标（成交）结果，签署本合同，以资共同遵守。</w:t>
      </w:r>
    </w:p>
    <w:p w14:paraId="32D6C5CA">
      <w:pPr>
        <w:numPr>
          <w:ilvl w:val="0"/>
          <w:numId w:val="2"/>
        </w:numPr>
        <w:spacing w:line="288"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采购服务内容及合同价格</w:t>
      </w:r>
    </w:p>
    <w:tbl>
      <w:tblPr>
        <w:tblStyle w:val="23"/>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2021"/>
        <w:gridCol w:w="1715"/>
      </w:tblGrid>
      <w:tr w14:paraId="66D8C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1CCDA367">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序号</w:t>
            </w:r>
          </w:p>
        </w:tc>
        <w:tc>
          <w:tcPr>
            <w:tcW w:w="1179" w:type="dxa"/>
            <w:vAlign w:val="center"/>
          </w:tcPr>
          <w:p w14:paraId="538A7A14">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名称</w:t>
            </w:r>
          </w:p>
        </w:tc>
        <w:tc>
          <w:tcPr>
            <w:tcW w:w="3289" w:type="dxa"/>
            <w:vAlign w:val="center"/>
          </w:tcPr>
          <w:p w14:paraId="44223F4F">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主要内容</w:t>
            </w:r>
          </w:p>
        </w:tc>
        <w:tc>
          <w:tcPr>
            <w:tcW w:w="2021" w:type="dxa"/>
            <w:vAlign w:val="center"/>
          </w:tcPr>
          <w:p w14:paraId="30577E92">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服务期限</w:t>
            </w:r>
          </w:p>
        </w:tc>
        <w:tc>
          <w:tcPr>
            <w:tcW w:w="1715" w:type="dxa"/>
            <w:vAlign w:val="center"/>
          </w:tcPr>
          <w:p w14:paraId="4EA86AA2">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服务费用</w:t>
            </w:r>
          </w:p>
        </w:tc>
      </w:tr>
      <w:tr w14:paraId="29C3B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566EC7D1">
            <w:pPr>
              <w:keepNext w:val="0"/>
              <w:keepLines w:val="0"/>
              <w:suppressLineNumbers w:val="0"/>
              <w:spacing w:before="0" w:beforeAutospacing="0" w:after="0" w:afterAutospacing="0" w:line="288" w:lineRule="auto"/>
              <w:ind w:left="0" w:right="0"/>
              <w:jc w:val="center"/>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p>
        </w:tc>
        <w:tc>
          <w:tcPr>
            <w:tcW w:w="1179" w:type="dxa"/>
            <w:vAlign w:val="center"/>
          </w:tcPr>
          <w:p w14:paraId="44BA7A34">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3289" w:type="dxa"/>
            <w:vAlign w:val="center"/>
          </w:tcPr>
          <w:p w14:paraId="0418F3FB">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2021" w:type="dxa"/>
            <w:vAlign w:val="center"/>
          </w:tcPr>
          <w:p w14:paraId="3C487D36">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1715" w:type="dxa"/>
            <w:vAlign w:val="center"/>
          </w:tcPr>
          <w:p w14:paraId="31E6B349">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r>
      <w:tr w14:paraId="0B4ED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3ED27351">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1179" w:type="dxa"/>
            <w:vAlign w:val="center"/>
          </w:tcPr>
          <w:p w14:paraId="4B6B46DB">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3289" w:type="dxa"/>
            <w:vAlign w:val="center"/>
          </w:tcPr>
          <w:p w14:paraId="319139B2">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2021" w:type="dxa"/>
            <w:vAlign w:val="center"/>
          </w:tcPr>
          <w:p w14:paraId="2C3B6AE9">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c>
          <w:tcPr>
            <w:tcW w:w="1715" w:type="dxa"/>
            <w:vAlign w:val="center"/>
          </w:tcPr>
          <w:p w14:paraId="79993334">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p>
        </w:tc>
      </w:tr>
      <w:tr w14:paraId="4EC0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5"/>
            <w:vAlign w:val="center"/>
          </w:tcPr>
          <w:p w14:paraId="59E05CA7">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合同总价（元，人民币）：小写￥              ，大写：</w:t>
            </w:r>
          </w:p>
        </w:tc>
      </w:tr>
    </w:tbl>
    <w:p w14:paraId="5C072778">
      <w:pPr>
        <w:spacing w:line="288" w:lineRule="auto"/>
        <w:ind w:firstLine="420" w:firstLineChars="200"/>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327039C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二、服务内容与要求</w:t>
      </w:r>
    </w:p>
    <w:p w14:paraId="4D6D0F5E">
      <w:pPr>
        <w:adjustRightInd w:val="0"/>
        <w:snapToGrid w:val="0"/>
        <w:spacing w:line="288" w:lineRule="auto"/>
        <w:ind w:firstLine="404" w:firstLineChars="200"/>
        <w:rPr>
          <w:rFonts w:hint="eastAsia" w:ascii="宋体" w:hAnsi="宋体" w:eastAsia="宋体" w:cs="宋体"/>
          <w:b w:val="0"/>
          <w:bCs w:val="0"/>
          <w:color w:val="auto"/>
          <w:sz w:val="21"/>
          <w:szCs w:val="21"/>
          <w:highlight w:val="none"/>
        </w:rPr>
      </w:pPr>
      <w:r>
        <w:rPr>
          <w:rFonts w:hint="eastAsia" w:ascii="宋体" w:hAnsi="宋体" w:eastAsia="宋体" w:cs="Times New Roman"/>
          <w:b w:val="0"/>
          <w:bCs w:val="0"/>
          <w:color w:val="auto"/>
          <w:spacing w:val="-4"/>
          <w:szCs w:val="21"/>
          <w:highlight w:val="none"/>
          <w:lang w:val="en-US" w:eastAsia="zh-CN"/>
        </w:rPr>
        <w:t>1.</w:t>
      </w:r>
      <w:r>
        <w:rPr>
          <w:rFonts w:hint="eastAsia" w:ascii="宋体" w:hAnsi="宋体" w:eastAsia="宋体" w:cs="宋体"/>
          <w:b w:val="0"/>
          <w:bCs w:val="0"/>
          <w:color w:val="auto"/>
          <w:kern w:val="44"/>
          <w:sz w:val="21"/>
          <w:szCs w:val="21"/>
          <w:highlight w:val="none"/>
          <w:lang w:val="en-US" w:eastAsia="zh-CN" w:bidi="ar-SA"/>
        </w:rPr>
        <w:t>采购内容：</w:t>
      </w:r>
      <w:r>
        <w:rPr>
          <w:rFonts w:hint="eastAsia" w:ascii="宋体" w:hAnsi="宋体" w:eastAsia="宋体" w:cs="宋体"/>
          <w:b w:val="0"/>
          <w:bCs w:val="0"/>
          <w:color w:val="auto"/>
          <w:sz w:val="21"/>
          <w:szCs w:val="21"/>
          <w:highlight w:val="none"/>
        </w:rPr>
        <w:t>装备维修保障仿真评估系统1套，包括装备维修保障仿真子系统和装备维修保障机构能力评估子系统。</w:t>
      </w:r>
    </w:p>
    <w:p w14:paraId="687B846B">
      <w:pPr>
        <w:adjustRightInd w:val="0"/>
        <w:snapToGrid w:val="0"/>
        <w:spacing w:line="288" w:lineRule="auto"/>
        <w:ind w:firstLine="420" w:firstLineChars="200"/>
        <w:rPr>
          <w:rFonts w:hint="eastAsia" w:ascii="宋体" w:hAnsi="宋体" w:eastAsia="宋体" w:cs="宋体"/>
          <w:b w:val="0"/>
          <w:bCs w:val="0"/>
          <w:color w:val="auto"/>
          <w:kern w:val="44"/>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kern w:val="44"/>
          <w:sz w:val="21"/>
          <w:szCs w:val="21"/>
          <w:highlight w:val="none"/>
          <w:lang w:val="en-US" w:eastAsia="zh-CN" w:bidi="ar-SA"/>
        </w:rPr>
        <w:t>功能要求：</w:t>
      </w:r>
    </w:p>
    <w:p w14:paraId="1A6EFC21">
      <w:pPr>
        <w:adjustRightInd w:val="0"/>
        <w:snapToGrid w:val="0"/>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44"/>
          <w:sz w:val="21"/>
          <w:szCs w:val="21"/>
          <w:highlight w:val="none"/>
          <w:lang w:val="en-US" w:eastAsia="zh-CN" w:bidi="ar-SA"/>
        </w:rPr>
        <w:t xml:space="preserve">2.1 </w:t>
      </w:r>
      <w:r>
        <w:rPr>
          <w:rFonts w:hint="eastAsia" w:ascii="宋体" w:hAnsi="宋体" w:eastAsia="宋体" w:cs="宋体"/>
          <w:b w:val="0"/>
          <w:bCs w:val="0"/>
          <w:color w:val="auto"/>
          <w:kern w:val="2"/>
          <w:sz w:val="21"/>
          <w:szCs w:val="21"/>
          <w:highlight w:val="none"/>
          <w:lang w:val="en-US" w:eastAsia="zh-CN" w:bidi="ar-SA"/>
        </w:rPr>
        <w:t>装备维修保障仿真子系统：</w:t>
      </w:r>
    </w:p>
    <w:p w14:paraId="05DED851">
      <w:pPr>
        <w:adjustRightInd w:val="0"/>
        <w:snapToGrid w:val="0"/>
        <w:spacing w:line="288"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装备维修保障仿真子系统包括想定规划、战备完好性仿真、状态监测及展示和系统管理等功能。</w:t>
      </w:r>
    </w:p>
    <w:p w14:paraId="52BD396A">
      <w:pPr>
        <w:adjustRightInd w:val="0"/>
        <w:snapToGrid w:val="0"/>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2"/>
          <w:sz w:val="21"/>
          <w:szCs w:val="21"/>
          <w:highlight w:val="none"/>
          <w:lang w:val="en-US" w:eastAsia="zh-CN" w:bidi="ar-SA"/>
        </w:rPr>
        <w:t>想定规划：</w:t>
      </w:r>
    </w:p>
    <w:p w14:paraId="1635E895">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能够以部队实际保障方案为输入，将装备演训任务中的关键要素，包括任务地点、任务时长、任务装备等，以及保障方案中的关键要素，包括保障对象、保障机构、保障资源、保障关系等，经分析、抽象和提炼后，进行仿真实体模型的构建及条件设置，并通过人机交互界面对保障方案的内容进行图上标记和参数录入，形成一套完整的、可视化的、结构化的、流程化的、信息化的保障方案，为后续战备完好性仿真提供必要的输入。</w:t>
      </w:r>
    </w:p>
    <w:p w14:paraId="6FA524FF">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想定规划主要包括想定生成管理、装备系统建模、装备可靠性建模、任务剖面建模、定期维修建模、修复性维修建模等功能。</w:t>
      </w:r>
    </w:p>
    <w:p w14:paraId="581E7D81">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2"/>
          <w:sz w:val="21"/>
          <w:szCs w:val="21"/>
          <w:highlight w:val="none"/>
          <w:lang w:val="en-US" w:eastAsia="zh-CN" w:bidi="ar-SA"/>
        </w:rPr>
        <w:t>战备完好性仿真：</w:t>
      </w:r>
    </w:p>
    <w:p w14:paraId="7423A67A">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仿真过程能够进行多节点、多角度的监控与控制；支持仿真进程的指令操控，包括启动、暂停、恢复和停止等；并将所有仿真输出数据记录在数据库中，支持对仿真运行过程中的活动、事件等进行查看、调阅和回溯等。</w:t>
      </w:r>
    </w:p>
    <w:p w14:paraId="5F30A423">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战备完好性仿真主要包括仿真控制与模型调度、仿真回放和数据记录与日志管理功能。</w:t>
      </w:r>
    </w:p>
    <w:p w14:paraId="2634E416">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2"/>
          <w:sz w:val="21"/>
          <w:szCs w:val="21"/>
          <w:highlight w:val="none"/>
          <w:lang w:val="en-US" w:eastAsia="zh-CN" w:bidi="ar-SA"/>
        </w:rPr>
        <w:t>状态监测及展示：</w:t>
      </w:r>
    </w:p>
    <w:p w14:paraId="6DA638DF">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能够通过多种图表形式，将仿真过程中的装备完好率、技术状态、可用度、维修工时、资源消耗等信息以数据表和图形化方式的进行综合展示。</w:t>
      </w:r>
    </w:p>
    <w:p w14:paraId="755857CD">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2"/>
          <w:sz w:val="21"/>
          <w:szCs w:val="21"/>
          <w:highlight w:val="none"/>
          <w:lang w:val="en-US" w:eastAsia="zh-CN" w:bidi="ar-SA"/>
        </w:rPr>
        <w:t>系统管理：</w:t>
      </w:r>
    </w:p>
    <w:p w14:paraId="0A3CFC2A">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主要包括用户管理、用户登录认证授权和日志管理等功能。</w:t>
      </w:r>
    </w:p>
    <w:p w14:paraId="054719ED">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2.2 </w:t>
      </w:r>
      <w:r>
        <w:rPr>
          <w:rFonts w:hint="eastAsia" w:ascii="宋体" w:hAnsi="宋体" w:eastAsia="宋体" w:cs="宋体"/>
          <w:b w:val="0"/>
          <w:bCs w:val="0"/>
          <w:color w:val="auto"/>
          <w:kern w:val="2"/>
          <w:sz w:val="21"/>
          <w:szCs w:val="21"/>
          <w:highlight w:val="none"/>
          <w:lang w:val="en-US" w:eastAsia="zh-CN" w:bidi="ar-SA"/>
        </w:rPr>
        <w:t>装备维修保障机构能力评估子系统</w:t>
      </w:r>
      <w:r>
        <w:rPr>
          <w:rFonts w:hint="eastAsia" w:ascii="宋体" w:hAnsi="宋体" w:eastAsia="宋体" w:cs="宋体"/>
          <w:b w:val="0"/>
          <w:bCs w:val="0"/>
          <w:color w:val="auto"/>
          <w:sz w:val="21"/>
          <w:szCs w:val="21"/>
          <w:highlight w:val="none"/>
          <w:lang w:eastAsia="zh-CN"/>
        </w:rPr>
        <w:t>：</w:t>
      </w:r>
    </w:p>
    <w:p w14:paraId="76AF2ED1">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装备维修保障机构能力评估子系统包括综合评价和系统管理等功能。</w:t>
      </w:r>
    </w:p>
    <w:p w14:paraId="6A957809">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1</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2"/>
          <w:sz w:val="21"/>
          <w:szCs w:val="21"/>
          <w:highlight w:val="none"/>
          <w:lang w:val="en-US" w:eastAsia="zh-CN" w:bidi="ar-SA"/>
        </w:rPr>
        <w:t>综合评价：</w:t>
      </w:r>
    </w:p>
    <w:p w14:paraId="3F43DC0D">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能够构建装备维修保障机构修理能力指标体系，集成综合评价方法，对部队级维修保障机构修理能力的综合评价。</w:t>
      </w:r>
    </w:p>
    <w:p w14:paraId="42805200">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kern w:val="2"/>
          <w:sz w:val="21"/>
          <w:szCs w:val="21"/>
          <w:highlight w:val="none"/>
          <w:lang w:val="en-US" w:eastAsia="zh-CN" w:bidi="ar-SA"/>
        </w:rPr>
        <w:t>系统管理：</w:t>
      </w:r>
    </w:p>
    <w:p w14:paraId="46A8FF3D">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主要包括用户管理、用户登录认证授权、问题库管理、专家信息管理和日志管理等功能。</w:t>
      </w:r>
    </w:p>
    <w:p w14:paraId="38D0D014">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kern w:val="44"/>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3.</w:t>
      </w:r>
      <w:r>
        <w:rPr>
          <w:rFonts w:hint="eastAsia" w:ascii="宋体" w:hAnsi="宋体" w:eastAsia="宋体" w:cs="宋体"/>
          <w:b w:val="0"/>
          <w:bCs w:val="0"/>
          <w:color w:val="auto"/>
          <w:kern w:val="44"/>
          <w:sz w:val="21"/>
          <w:szCs w:val="21"/>
          <w:highlight w:val="none"/>
          <w:lang w:val="en-US" w:eastAsia="zh-CN" w:bidi="ar-SA"/>
        </w:rPr>
        <w:t>性能要求：</w:t>
      </w:r>
    </w:p>
    <w:p w14:paraId="14CA986F">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3.1 仿真模型至少包括装备系统模型、装备可靠性模型、任务剖面模型、定期维修模型、修复性维修模型等不少于5种；</w:t>
      </w:r>
    </w:p>
    <w:p w14:paraId="6F11695F">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3.2 装备系统模型，具备不少于1型舰船装备，4层以上装备结构（层级划分为系统、分系统、设备、组件）；</w:t>
      </w:r>
    </w:p>
    <w:p w14:paraId="21D0EC4A">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3.3 支持包括装备结构图、直方图、曲线图、雷达图和列表等不少于5种以上图表形式的数据统计显示；</w:t>
      </w:r>
    </w:p>
    <w:p w14:paraId="28E2F9E8">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3.4 评估指标体系不少于3级，指标体系中的二级指标不少于8项；</w:t>
      </w:r>
    </w:p>
    <w:p w14:paraId="3441CC09">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3.5 综合评价方法不少于3种；</w:t>
      </w:r>
    </w:p>
    <w:p w14:paraId="1FF28EB3">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3.6 查询平均响应时间不超过3秒；</w:t>
      </w:r>
    </w:p>
    <w:p w14:paraId="08943CB7">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3.7 瓦片地图展现界面流畅，无卡顿、错位、停滞等现象；</w:t>
      </w:r>
    </w:p>
    <w:p w14:paraId="6B33DA33">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3.8 软件可部署在国产麒麟操作系统；</w:t>
      </w:r>
    </w:p>
    <w:p w14:paraId="52CB95B8">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3.9 数据库支持MYSQL；</w:t>
      </w:r>
    </w:p>
    <w:p w14:paraId="77252E78">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3.10 提供免费培训及1年技术支持服务（验收合格之日起）。</w:t>
      </w:r>
    </w:p>
    <w:p w14:paraId="7EFB30A2">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44"/>
          <w:sz w:val="21"/>
          <w:szCs w:val="21"/>
          <w:highlight w:val="none"/>
          <w:lang w:val="en-US" w:eastAsia="zh-CN" w:bidi="ar-SA"/>
        </w:rPr>
      </w:pPr>
      <w:r>
        <w:rPr>
          <w:rFonts w:hint="eastAsia" w:ascii="宋体" w:hAnsi="宋体" w:eastAsia="宋体" w:cs="宋体"/>
          <w:b w:val="0"/>
          <w:bCs w:val="0"/>
          <w:color w:val="auto"/>
          <w:kern w:val="44"/>
          <w:sz w:val="21"/>
          <w:szCs w:val="21"/>
          <w:highlight w:val="none"/>
          <w:lang w:val="en-US" w:eastAsia="zh-CN" w:bidi="ar-SA"/>
        </w:rPr>
        <w:t>4.交付清单：</w:t>
      </w:r>
    </w:p>
    <w:p w14:paraId="6B719F50">
      <w:pPr>
        <w:pageBreakBefore w:val="0"/>
        <w:widowControl w:val="0"/>
        <w:kinsoku/>
        <w:wordWrap/>
        <w:overflowPunct/>
        <w:topLinePunct w:val="0"/>
        <w:autoSpaceDE/>
        <w:autoSpaceDN/>
        <w:bidi w:val="0"/>
        <w:spacing w:line="288" w:lineRule="auto"/>
        <w:ind w:left="0"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需要提供装备维修保障仿真评估系统1套，以及配套文档。具体交付内容主要包括以下内容：</w:t>
      </w:r>
    </w:p>
    <w:p w14:paraId="5903BE3A">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4.1 装备维修保障仿真评估系统可执行程序1套(包括装备维修保障仿真子系统和装备维修保障机构能力评估子系统)；</w:t>
      </w:r>
    </w:p>
    <w:p w14:paraId="1791E29B">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4.2 软件需求规格说明1份；</w:t>
      </w:r>
    </w:p>
    <w:p w14:paraId="2D329F38">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4.3 软件设计说明1份；</w:t>
      </w:r>
    </w:p>
    <w:p w14:paraId="51930ED9">
      <w:pPr>
        <w:pageBreakBefore w:val="0"/>
        <w:widowControl w:val="0"/>
        <w:numPr>
          <w:ilvl w:val="0"/>
          <w:numId w:val="0"/>
        </w:numPr>
        <w:kinsoku/>
        <w:wordWrap/>
        <w:overflowPunct/>
        <w:topLinePunct w:val="0"/>
        <w:autoSpaceDE/>
        <w:autoSpaceDN/>
        <w:bidi w:val="0"/>
        <w:spacing w:line="288" w:lineRule="auto"/>
        <w:ind w:firstLine="420" w:firstLineChars="200"/>
        <w:jc w:val="both"/>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4.4 软件测试报告1份；</w:t>
      </w:r>
    </w:p>
    <w:p w14:paraId="34A9C6EF">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4.5 软件用户手册1份。</w:t>
      </w:r>
    </w:p>
    <w:p w14:paraId="1B390038">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5.培训：组织不少于3次的软件使用培训。</w:t>
      </w:r>
    </w:p>
    <w:p w14:paraId="7F73AAFA">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6.响应时效标准：</w:t>
      </w:r>
    </w:p>
    <w:p w14:paraId="46A73264">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6.1 接报后须在2小时内作出响应确认；</w:t>
      </w:r>
    </w:p>
    <w:p w14:paraId="16934BFE">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6.2 一般故障：12小时内提交解决方案并开始处理；</w:t>
      </w:r>
    </w:p>
    <w:p w14:paraId="4C58B492">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6.3 严重故障（系统宕机/数据丢失）：立即启动应急预案，4小时内抵达现场；</w:t>
      </w:r>
    </w:p>
    <w:p w14:paraId="699DCA18">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6.4 所有故障处理完毕后，72小时内提交书面分析报告。</w:t>
      </w:r>
    </w:p>
    <w:p w14:paraId="79B47C25">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7.服务保障措施：</w:t>
      </w:r>
    </w:p>
    <w:p w14:paraId="3720D342">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7.1 设立7×24小时专属技术支持热线及远程诊断通道；</w:t>
      </w:r>
    </w:p>
    <w:p w14:paraId="023CF1E4">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7.2 每月定期提交系统健康检查报告，开展预防性维护；</w:t>
      </w:r>
    </w:p>
    <w:p w14:paraId="18986770">
      <w:pPr>
        <w:spacing w:line="288" w:lineRule="auto"/>
        <w:ind w:firstLine="420" w:firstLineChars="200"/>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7.3 建立备品备件库，关键部件现场储备量不低于需求总量的30%；</w:t>
      </w:r>
    </w:p>
    <w:p w14:paraId="5564F594">
      <w:pPr>
        <w:spacing w:line="288" w:lineRule="auto"/>
        <w:ind w:firstLine="420" w:firstLineChars="200"/>
        <w:rPr>
          <w:rFonts w:ascii="宋体" w:hAnsi="宋体" w:eastAsia="宋体" w:cs="宋体"/>
          <w:b w:val="0"/>
          <w:bCs w:val="0"/>
          <w:color w:val="auto"/>
          <w:kern w:val="0"/>
          <w:sz w:val="21"/>
          <w:szCs w:val="20"/>
          <w:highlight w:val="none"/>
        </w:rPr>
      </w:pPr>
      <w:r>
        <w:rPr>
          <w:rFonts w:hint="eastAsia" w:ascii="宋体" w:hAnsi="宋体" w:eastAsia="宋体" w:cs="宋体"/>
          <w:b w:val="0"/>
          <w:bCs w:val="0"/>
          <w:color w:val="auto"/>
          <w:kern w:val="2"/>
          <w:sz w:val="21"/>
          <w:szCs w:val="21"/>
          <w:highlight w:val="none"/>
          <w:lang w:val="en-US" w:eastAsia="zh-CN" w:bidi="ar-SA"/>
        </w:rPr>
        <w:t>7.4 每季度提供技术回访，主动优化系统运行效率。</w:t>
      </w:r>
    </w:p>
    <w:p w14:paraId="726D8631">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三、服务时间与地点</w:t>
      </w:r>
    </w:p>
    <w:p w14:paraId="4C064DEE">
      <w:pPr>
        <w:spacing w:line="288" w:lineRule="auto"/>
        <w:ind w:firstLine="420" w:firstLineChars="200"/>
        <w:rPr>
          <w:rFonts w:ascii="宋体" w:hAnsi="宋体" w:eastAsia="宋体" w:cs="宋体"/>
          <w:color w:val="auto"/>
          <w:sz w:val="21"/>
          <w:szCs w:val="24"/>
          <w:highlight w:val="none"/>
          <w:u w:val="single"/>
        </w:rPr>
      </w:pPr>
      <w:r>
        <w:rPr>
          <w:rFonts w:hint="eastAsia" w:ascii="宋体" w:hAnsi="宋体" w:eastAsia="宋体" w:cs="宋体"/>
          <w:color w:val="auto"/>
          <w:sz w:val="21"/>
          <w:szCs w:val="24"/>
          <w:highlight w:val="none"/>
        </w:rPr>
        <w:t>1</w:t>
      </w:r>
      <w:r>
        <w:rPr>
          <w:rFonts w:hint="eastAsia" w:ascii="宋体" w:hAnsi="宋体" w:eastAsia="宋体" w:cs="宋体"/>
          <w:color w:val="auto"/>
          <w:spacing w:val="-6"/>
          <w:sz w:val="21"/>
          <w:szCs w:val="24"/>
          <w:highlight w:val="none"/>
        </w:rPr>
        <w:t>.</w:t>
      </w:r>
      <w:r>
        <w:rPr>
          <w:rFonts w:hint="eastAsia" w:ascii="宋体" w:hAnsi="宋体" w:eastAsia="宋体" w:cs="宋体"/>
          <w:color w:val="auto"/>
          <w:sz w:val="21"/>
          <w:szCs w:val="24"/>
          <w:highlight w:val="none"/>
        </w:rPr>
        <w:t>服务时间：</w:t>
      </w:r>
    </w:p>
    <w:p w14:paraId="3C9F40A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服务期限：自合同签订之日起90日内交付。</w:t>
      </w:r>
    </w:p>
    <w:p w14:paraId="431FB2A6">
      <w:pPr>
        <w:autoSpaceDE w:val="0"/>
        <w:autoSpaceDN w:val="0"/>
        <w:adjustRightIn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2.服务地点：                         。</w:t>
      </w:r>
    </w:p>
    <w:p w14:paraId="76413B6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3.联系人及电话：</w:t>
      </w:r>
      <w:bookmarkStart w:id="53" w:name="_Hlk155181628"/>
      <w:r>
        <w:rPr>
          <w:rFonts w:hint="eastAsia" w:ascii="宋体" w:hAnsi="宋体" w:eastAsia="宋体" w:cs="宋体"/>
          <w:color w:val="auto"/>
          <w:kern w:val="0"/>
          <w:sz w:val="21"/>
          <w:szCs w:val="20"/>
          <w:highlight w:val="none"/>
        </w:rPr>
        <w:t>甲方 姓名_________联系电话</w:t>
      </w:r>
      <w:r>
        <w:rPr>
          <w:rFonts w:hint="eastAsia" w:ascii="宋体" w:hAnsi="宋体" w:eastAsia="宋体" w:cs="宋体"/>
          <w:color w:val="auto"/>
          <w:kern w:val="0"/>
          <w:sz w:val="21"/>
          <w:szCs w:val="20"/>
          <w:highlight w:val="none"/>
          <w:u w:val="single"/>
        </w:rPr>
        <w:t xml:space="preserve">（办公电话及手机号） </w:t>
      </w:r>
      <w:r>
        <w:rPr>
          <w:rFonts w:hint="eastAsia" w:ascii="宋体" w:hAnsi="宋体" w:eastAsia="宋体" w:cs="宋体"/>
          <w:color w:val="auto"/>
          <w:kern w:val="0"/>
          <w:sz w:val="21"/>
          <w:szCs w:val="20"/>
          <w:highlight w:val="none"/>
        </w:rPr>
        <w:t>；乙方 姓名 __________联系电话</w:t>
      </w:r>
      <w:r>
        <w:rPr>
          <w:rFonts w:hint="eastAsia" w:ascii="宋体" w:hAnsi="宋体" w:eastAsia="宋体" w:cs="宋体"/>
          <w:color w:val="auto"/>
          <w:kern w:val="0"/>
          <w:sz w:val="21"/>
          <w:szCs w:val="20"/>
          <w:highlight w:val="none"/>
          <w:u w:val="single"/>
        </w:rPr>
        <w:t>（办公电话及手机号）</w:t>
      </w:r>
      <w:r>
        <w:rPr>
          <w:rFonts w:hint="eastAsia" w:ascii="宋体" w:hAnsi="宋体" w:eastAsia="宋体" w:cs="宋体"/>
          <w:color w:val="auto"/>
          <w:kern w:val="0"/>
          <w:sz w:val="21"/>
          <w:szCs w:val="20"/>
          <w:highlight w:val="none"/>
        </w:rPr>
        <w:t xml:space="preserve"> </w:t>
      </w:r>
      <w:bookmarkEnd w:id="53"/>
      <w:r>
        <w:rPr>
          <w:rFonts w:hint="eastAsia" w:ascii="宋体" w:hAnsi="宋体" w:eastAsia="宋体" w:cs="宋体"/>
          <w:color w:val="auto"/>
          <w:kern w:val="0"/>
          <w:sz w:val="21"/>
          <w:szCs w:val="20"/>
          <w:highlight w:val="none"/>
        </w:rPr>
        <w:t>。</w:t>
      </w:r>
    </w:p>
    <w:p w14:paraId="25AE6FD1">
      <w:pPr>
        <w:autoSpaceDE w:val="0"/>
        <w:autoSpaceDN w:val="0"/>
        <w:adjustRightInd w:val="0"/>
        <w:spacing w:line="288" w:lineRule="auto"/>
        <w:ind w:firstLine="420"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四、履约保证金与付款方式</w:t>
      </w:r>
    </w:p>
    <w:p w14:paraId="2730F7B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 履约保证金（如无则删除本条款）</w:t>
      </w:r>
      <w:r>
        <w:rPr>
          <w:rFonts w:hint="eastAsia" w:ascii="宋体" w:hAnsi="宋体" w:eastAsia="宋体" w:cs="宋体"/>
          <w:b/>
          <w:bCs/>
          <w:color w:val="auto"/>
          <w:kern w:val="0"/>
          <w:sz w:val="21"/>
          <w:szCs w:val="20"/>
          <w:highlight w:val="none"/>
        </w:rPr>
        <w:t>：</w:t>
      </w:r>
      <w:r>
        <w:rPr>
          <w:rFonts w:hint="eastAsia" w:ascii="宋体" w:hAnsi="宋体" w:eastAsia="宋体" w:cs="宋体"/>
          <w:color w:val="auto"/>
          <w:kern w:val="0"/>
          <w:sz w:val="21"/>
          <w:szCs w:val="20"/>
          <w:highlight w:val="none"/>
        </w:rPr>
        <w:t>合同总金额的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合同签订后5个工作日内交纳。交付方式:保函/汇票/支票/电汇/转账等。交付完毕后提供保函或联系杭州电子科技大学计划财务处大厅开收据，服务完成验收合格后7个工作日内凭原始收据不计息退还。收款单位（户名）:杭州电子科技大学。开户银行：工行高新支行。银行账号：1202026209008806216。</w:t>
      </w:r>
    </w:p>
    <w:p w14:paraId="6612726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 xml:space="preserve"> 付款方式（根据项目要求、采购文件、采购结果，按以下方式选择填写）：</w:t>
      </w:r>
    </w:p>
    <w:p w14:paraId="197422D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w:t>
      </w:r>
      <w:r>
        <w:rPr>
          <w:rFonts w:hint="eastAsia" w:ascii="宋体" w:hAnsi="宋体" w:eastAsia="宋体" w:cs="宋体"/>
          <w:color w:val="auto"/>
          <w:spacing w:val="-6"/>
          <w:kern w:val="0"/>
          <w:sz w:val="21"/>
          <w:szCs w:val="20"/>
          <w:highlight w:val="none"/>
        </w:rPr>
        <w:t>1</w:t>
      </w:r>
      <w:r>
        <w:rPr>
          <w:rFonts w:hint="eastAsia" w:ascii="宋体" w:hAnsi="宋体" w:eastAsia="宋体" w:cs="宋体"/>
          <w:color w:val="auto"/>
          <w:kern w:val="0"/>
          <w:sz w:val="21"/>
          <w:szCs w:val="20"/>
          <w:highlight w:val="none"/>
        </w:rPr>
        <w:t>）预付款方式：</w:t>
      </w:r>
    </w:p>
    <w:p w14:paraId="64C19A8B">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①合同生效以及具备实施条件后7个工作日内，且乙方已向甲方提交银行、保险公司等金融机构出具的预付款保函的，甲方向乙方支付合同总价的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%；项目申报材料通过验收的7个工作日内，</w:t>
      </w:r>
      <w:r>
        <w:rPr>
          <w:rFonts w:hint="eastAsia" w:ascii="宋体" w:hAnsi="宋体" w:eastAsia="宋体" w:cs="宋体"/>
          <w:color w:val="auto"/>
          <w:kern w:val="0"/>
          <w:sz w:val="21"/>
          <w:szCs w:val="20"/>
          <w:highlight w:val="none"/>
          <w:lang w:val="en-US" w:eastAsia="zh-CN"/>
        </w:rPr>
        <w:t>甲方</w:t>
      </w:r>
      <w:r>
        <w:rPr>
          <w:rFonts w:hint="eastAsia" w:ascii="宋体" w:hAnsi="宋体" w:eastAsia="宋体" w:cs="宋体"/>
          <w:color w:val="auto"/>
          <w:kern w:val="0"/>
          <w:sz w:val="21"/>
          <w:szCs w:val="20"/>
          <w:highlight w:val="none"/>
        </w:rPr>
        <w:t>向</w:t>
      </w:r>
      <w:r>
        <w:rPr>
          <w:rFonts w:hint="eastAsia" w:ascii="宋体" w:hAnsi="宋体" w:eastAsia="宋体" w:cs="宋体"/>
          <w:color w:val="auto"/>
          <w:kern w:val="0"/>
          <w:sz w:val="21"/>
          <w:szCs w:val="20"/>
          <w:highlight w:val="none"/>
          <w:lang w:val="en-US" w:eastAsia="zh-CN"/>
        </w:rPr>
        <w:t>乙方</w:t>
      </w:r>
      <w:r>
        <w:rPr>
          <w:rFonts w:hint="eastAsia" w:ascii="宋体" w:hAnsi="宋体" w:eastAsia="宋体" w:cs="宋体"/>
          <w:color w:val="auto"/>
          <w:kern w:val="0"/>
          <w:sz w:val="21"/>
          <w:szCs w:val="20"/>
          <w:highlight w:val="none"/>
        </w:rPr>
        <w:t xml:space="preserve">支付合同总价的 </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%；项目履约完成，</w:t>
      </w:r>
      <w:r>
        <w:rPr>
          <w:rFonts w:hint="eastAsia" w:ascii="宋体" w:hAnsi="宋体" w:eastAsia="宋体" w:cs="宋体"/>
          <w:color w:val="auto"/>
          <w:kern w:val="0"/>
          <w:sz w:val="21"/>
          <w:szCs w:val="20"/>
          <w:highlight w:val="none"/>
          <w:lang w:val="en-US" w:eastAsia="zh-CN"/>
        </w:rPr>
        <w:t>经</w:t>
      </w:r>
      <w:r>
        <w:rPr>
          <w:rFonts w:hint="eastAsia" w:ascii="宋体" w:hAnsi="宋体" w:eastAsia="宋体" w:cs="宋体"/>
          <w:color w:val="auto"/>
          <w:kern w:val="0"/>
          <w:sz w:val="21"/>
          <w:szCs w:val="20"/>
          <w:highlight w:val="none"/>
        </w:rPr>
        <w:t>甲方验收合格并收到发票后7个工作日内，向乙方支付合同总价的</w:t>
      </w:r>
      <w:r>
        <w:rPr>
          <w:rFonts w:hint="eastAsia" w:ascii="宋体" w:hAnsi="宋体" w:eastAsia="宋体" w:cs="宋体"/>
          <w:color w:val="auto"/>
          <w:kern w:val="0"/>
          <w:sz w:val="21"/>
          <w:szCs w:val="20"/>
          <w:highlight w:val="none"/>
          <w:u w:val="single"/>
        </w:rPr>
        <w:t xml:space="preserve">      </w:t>
      </w:r>
      <w:r>
        <w:rPr>
          <w:rFonts w:hint="eastAsia" w:ascii="宋体" w:hAnsi="宋体" w:eastAsia="宋体" w:cs="宋体"/>
          <w:color w:val="auto"/>
          <w:kern w:val="0"/>
          <w:sz w:val="21"/>
          <w:szCs w:val="20"/>
          <w:highlight w:val="none"/>
        </w:rPr>
        <w:t>%。</w:t>
      </w:r>
    </w:p>
    <w:p w14:paraId="4C94265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②在签订合同时，乙方明确表示主动要求降低预付款比例的，可降低预付款比例（预付款保函同步调整）。</w:t>
      </w:r>
    </w:p>
    <w:p w14:paraId="7E265A5B">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（2）签订合同时乙方明确表示无需预付款或乙方为大型企业的，可以采用以下付款方式：</w:t>
      </w:r>
    </w:p>
    <w:p w14:paraId="4C63FD70">
      <w:pPr>
        <w:spacing w:line="288" w:lineRule="auto"/>
        <w:ind w:firstLine="422" w:firstLineChars="200"/>
        <w:rPr>
          <w:rFonts w:ascii="宋体" w:hAnsi="宋体" w:eastAsia="宋体" w:cs="宋体"/>
          <w:color w:val="auto"/>
          <w:kern w:val="0"/>
          <w:sz w:val="21"/>
          <w:szCs w:val="20"/>
          <w:highlight w:val="none"/>
        </w:rPr>
      </w:pPr>
      <w:r>
        <w:rPr>
          <w:rFonts w:hint="eastAsia" w:ascii="宋体" w:hAnsi="宋体" w:eastAsia="宋体" w:cs="宋体"/>
          <w:b/>
          <w:color w:val="auto"/>
          <w:kern w:val="0"/>
          <w:sz w:val="21"/>
          <w:szCs w:val="20"/>
          <w:highlight w:val="none"/>
        </w:rPr>
        <w:t>一</w:t>
      </w:r>
      <w:r>
        <w:rPr>
          <w:rFonts w:hint="eastAsia" w:ascii="宋体" w:hAnsi="宋体" w:eastAsia="宋体" w:cs="宋体"/>
          <w:bCs/>
          <w:color w:val="auto"/>
          <w:kern w:val="0"/>
          <w:sz w:val="21"/>
          <w:szCs w:val="20"/>
          <w:highlight w:val="none"/>
        </w:rPr>
        <w:t>次性付款</w:t>
      </w:r>
      <w:r>
        <w:rPr>
          <w:rFonts w:hint="eastAsia" w:ascii="宋体" w:hAnsi="宋体" w:eastAsia="宋体" w:cs="宋体"/>
          <w:b/>
          <w:color w:val="auto"/>
          <w:kern w:val="0"/>
          <w:sz w:val="21"/>
          <w:szCs w:val="20"/>
          <w:highlight w:val="none"/>
        </w:rPr>
        <w:t>：</w:t>
      </w:r>
      <w:r>
        <w:rPr>
          <w:rFonts w:hint="eastAsia" w:ascii="宋体" w:hAnsi="宋体" w:eastAsia="宋体" w:cs="宋体"/>
          <w:color w:val="auto"/>
          <w:kern w:val="0"/>
          <w:sz w:val="21"/>
          <w:szCs w:val="20"/>
          <w:highlight w:val="none"/>
        </w:rPr>
        <w:t>服务结束，甲方验收合格并收到发票后10个工作日内，甲方向乙方支付全部合同价款。</w:t>
      </w:r>
    </w:p>
    <w:p w14:paraId="36CAB95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（3）付款前，乙方须交纳合同约定的履约保证金（如有）并提供甲方财务处开具的履约保证金收据，乙方向甲方开具等额有效的合格增值税发票。</w:t>
      </w:r>
    </w:p>
    <w:p w14:paraId="13C45A9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开票信息如下：</w:t>
      </w:r>
    </w:p>
    <w:p w14:paraId="4EED3F7E">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单位名称：杭州电子科技大学。税号：12330000470009026T</w:t>
      </w:r>
    </w:p>
    <w:p w14:paraId="4390165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开户银行：工行杭州高新支行。账号：1202026209008806216</w:t>
      </w:r>
    </w:p>
    <w:p w14:paraId="2F8164F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五、双方权利与义务：</w:t>
      </w:r>
    </w:p>
    <w:p w14:paraId="20A06C7F">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（按采购文件及采购结果填写，如有）</w:t>
      </w:r>
    </w:p>
    <w:p w14:paraId="3C081DD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六、知识产权要求</w:t>
      </w:r>
    </w:p>
    <w:p w14:paraId="54E1004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1E61377A">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66E7713A">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七、转包或分包</w:t>
      </w:r>
    </w:p>
    <w:p w14:paraId="621C1422">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1</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本合同范围的货物，应由乙方直接供应，不得转让他人供应。</w:t>
      </w:r>
    </w:p>
    <w:p w14:paraId="3ADF2359">
      <w:pPr>
        <w:spacing w:line="288" w:lineRule="auto"/>
        <w:ind w:firstLine="420" w:firstLineChars="200"/>
        <w:rPr>
          <w:rFonts w:ascii="宋体" w:hAnsi="宋体" w:eastAsia="宋体" w:cs="宋体"/>
          <w:snapToGrid w:val="0"/>
          <w:color w:val="auto"/>
          <w:sz w:val="21"/>
          <w:szCs w:val="21"/>
          <w:highlight w:val="none"/>
        </w:rPr>
      </w:pPr>
      <w:r>
        <w:rPr>
          <w:rFonts w:hint="eastAsia" w:ascii="宋体" w:hAnsi="宋体" w:eastAsia="宋体" w:cs="宋体"/>
          <w:snapToGrid w:val="0"/>
          <w:color w:val="auto"/>
          <w:sz w:val="21"/>
          <w:szCs w:val="21"/>
          <w:highlight w:val="none"/>
        </w:rPr>
        <w:t>2</w:t>
      </w:r>
      <w:r>
        <w:rPr>
          <w:rFonts w:hint="eastAsia" w:ascii="宋体" w:hAnsi="宋体" w:eastAsia="宋体" w:cs="宋体"/>
          <w:snapToGrid w:val="0"/>
          <w:color w:val="auto"/>
          <w:spacing w:val="-6"/>
          <w:sz w:val="21"/>
          <w:szCs w:val="21"/>
          <w:highlight w:val="none"/>
        </w:rPr>
        <w:t>.</w:t>
      </w:r>
      <w:r>
        <w:rPr>
          <w:rFonts w:hint="eastAsia" w:ascii="宋体" w:hAnsi="宋体" w:eastAsia="宋体" w:cs="宋体"/>
          <w:snapToGrid w:val="0"/>
          <w:color w:val="auto"/>
          <w:sz w:val="21"/>
          <w:szCs w:val="21"/>
          <w:highlight w:val="none"/>
        </w:rPr>
        <w:t>除非得到甲方的书面同意，乙方不得将本合同范围的货物分包给他人供应。</w:t>
      </w:r>
    </w:p>
    <w:p w14:paraId="35FC3A12">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如有转让或未经甲方同意的分包行为，甲方有权解除合同，没收履约保证金并追究乙方的违约责任。</w:t>
      </w:r>
    </w:p>
    <w:p w14:paraId="06CAA591">
      <w:pPr>
        <w:spacing w:line="288" w:lineRule="auto"/>
        <w:ind w:firstLine="420" w:firstLineChars="200"/>
        <w:rPr>
          <w:rFonts w:ascii="宋体" w:hAnsi="宋体" w:eastAsia="宋体" w:cs="宋体"/>
          <w:color w:val="auto"/>
          <w:kern w:val="0"/>
          <w:sz w:val="21"/>
          <w:szCs w:val="20"/>
          <w:highlight w:val="none"/>
        </w:rPr>
      </w:pPr>
      <w:bookmarkStart w:id="54" w:name="_Hlk155173514"/>
      <w:r>
        <w:rPr>
          <w:rFonts w:hint="eastAsia" w:ascii="宋体" w:hAnsi="宋体" w:eastAsia="宋体" w:cs="宋体"/>
          <w:color w:val="auto"/>
          <w:kern w:val="0"/>
          <w:sz w:val="21"/>
          <w:szCs w:val="20"/>
          <w:highlight w:val="none"/>
        </w:rPr>
        <w:t>八、</w:t>
      </w:r>
      <w:bookmarkEnd w:id="54"/>
      <w:r>
        <w:rPr>
          <w:rFonts w:hint="eastAsia" w:ascii="宋体" w:hAnsi="宋体" w:eastAsia="宋体" w:cs="宋体"/>
          <w:color w:val="auto"/>
          <w:kern w:val="0"/>
          <w:sz w:val="21"/>
          <w:szCs w:val="20"/>
          <w:highlight w:val="none"/>
        </w:rPr>
        <w:t>验收</w:t>
      </w:r>
    </w:p>
    <w:p w14:paraId="4172445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1.验收前乙方应对所提供服务作出全面检查及对验收文件进行整理，并列出清单，作为甲方验收和使用的技术条件依据，检验的结果应交甲方。</w:t>
      </w:r>
    </w:p>
    <w:p w14:paraId="68854DF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 xml:space="preserve">2.如甲方需要，验收时乙方应在现场，验收完毕后作出验收结果报告。 </w:t>
      </w:r>
    </w:p>
    <w:p w14:paraId="5C036FD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宋体" w:hAnsi="宋体" w:eastAsia="宋体" w:cs="宋体"/>
          <w:b/>
          <w:bCs/>
          <w:color w:val="auto"/>
          <w:kern w:val="0"/>
          <w:sz w:val="21"/>
          <w:szCs w:val="20"/>
          <w:highlight w:val="none"/>
          <w:u w:val="single"/>
        </w:rPr>
        <w:t xml:space="preserve">    </w:t>
      </w:r>
      <w:r>
        <w:rPr>
          <w:rFonts w:hint="eastAsia" w:ascii="宋体" w:hAnsi="宋体" w:eastAsia="宋体" w:cs="宋体"/>
          <w:color w:val="auto"/>
          <w:kern w:val="0"/>
          <w:sz w:val="21"/>
          <w:szCs w:val="20"/>
          <w:highlight w:val="none"/>
        </w:rPr>
        <w:t>个工作日内开始验收。</w:t>
      </w:r>
    </w:p>
    <w:p w14:paraId="2CF5E455">
      <w:pPr>
        <w:spacing w:line="288" w:lineRule="auto"/>
        <w:ind w:firstLine="420" w:firstLineChars="200"/>
        <w:rPr>
          <w:rFonts w:ascii="宋体" w:hAnsi="宋体" w:eastAsia="宋体" w:cs="宋体"/>
          <w:strike/>
          <w:color w:val="auto"/>
          <w:kern w:val="0"/>
          <w:sz w:val="21"/>
          <w:szCs w:val="20"/>
          <w:highlight w:val="none"/>
        </w:rPr>
      </w:pPr>
      <w:r>
        <w:rPr>
          <w:rFonts w:hint="eastAsia" w:ascii="宋体" w:hAnsi="宋体" w:eastAsia="宋体" w:cs="宋体"/>
          <w:color w:val="auto"/>
          <w:kern w:val="0"/>
          <w:sz w:val="21"/>
          <w:szCs w:val="20"/>
          <w:highlight w:val="none"/>
        </w:rPr>
        <w:t>4.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253C37A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九、质量保证与售后服务</w:t>
      </w:r>
    </w:p>
    <w:p w14:paraId="5140EF6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3021A0F3">
      <w:pPr>
        <w:spacing w:line="288" w:lineRule="auto"/>
        <w:ind w:firstLine="420" w:firstLineChars="200"/>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2.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63A2940D">
      <w:pPr>
        <w:spacing w:line="288" w:lineRule="auto"/>
        <w:ind w:firstLine="420" w:firstLineChars="200"/>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3.质量保证期内，乙方对本项目所含货物类产品免费提供维护、维修或更换，包括设备维修所需的零配件及不能解决的故障需要返回生产厂家维修时所发生的一切费用。</w:t>
      </w:r>
    </w:p>
    <w:p w14:paraId="102806F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十、保密条款</w:t>
      </w:r>
    </w:p>
    <w:p w14:paraId="4052696C">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乙方接收或知悉甲方信息资料之日起至该信息资料公开之日或甲方书面解除乙方保密义务之日止。</w:t>
      </w:r>
    </w:p>
    <w:p w14:paraId="01A38984">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十一、违约责任</w:t>
      </w:r>
    </w:p>
    <w:p w14:paraId="4552F9DB">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甲方逾期支付款项的，每逾期一日，应按逾期付款总额</w:t>
      </w:r>
      <w:r>
        <w:rPr>
          <w:rFonts w:hint="eastAsia" w:ascii="宋体" w:hAnsi="宋体" w:eastAsia="宋体" w:cs="宋体"/>
          <w:color w:val="auto"/>
          <w:kern w:val="0"/>
          <w:sz w:val="21"/>
          <w:szCs w:val="20"/>
          <w:highlight w:val="none"/>
          <w:u w:val="single"/>
        </w:rPr>
        <w:t>千分之一</w:t>
      </w:r>
      <w:r>
        <w:rPr>
          <w:rFonts w:hint="eastAsia" w:ascii="宋体" w:hAnsi="宋体" w:eastAsia="宋体" w:cs="宋体"/>
          <w:color w:val="auto"/>
          <w:kern w:val="0"/>
          <w:sz w:val="21"/>
          <w:szCs w:val="20"/>
          <w:highlight w:val="none"/>
        </w:rPr>
        <w:t>向乙方支付违约金。</w:t>
      </w:r>
    </w:p>
    <w:p w14:paraId="6437AC12">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乙方逾期履行合同的，每逾期一日，应按合同总价</w:t>
      </w:r>
      <w:r>
        <w:rPr>
          <w:rFonts w:hint="eastAsia" w:ascii="宋体" w:hAnsi="宋体" w:eastAsia="宋体" w:cs="宋体"/>
          <w:color w:val="auto"/>
          <w:kern w:val="0"/>
          <w:sz w:val="21"/>
          <w:szCs w:val="20"/>
          <w:highlight w:val="none"/>
          <w:u w:val="single"/>
        </w:rPr>
        <w:t>千分之一</w:t>
      </w:r>
      <w:r>
        <w:rPr>
          <w:rFonts w:hint="eastAsia" w:ascii="宋体" w:hAnsi="宋体" w:eastAsia="宋体" w:cs="宋体"/>
          <w:color w:val="auto"/>
          <w:kern w:val="0"/>
          <w:sz w:val="21"/>
          <w:szCs w:val="20"/>
          <w:highlight w:val="none"/>
        </w:rPr>
        <w:t>向甲方支付违约金。累计逾期超过约定日期</w:t>
      </w:r>
      <w:r>
        <w:rPr>
          <w:rFonts w:hint="eastAsia" w:ascii="宋体" w:hAnsi="宋体" w:eastAsia="宋体" w:cs="宋体"/>
          <w:color w:val="auto"/>
          <w:kern w:val="0"/>
          <w:sz w:val="21"/>
          <w:szCs w:val="20"/>
          <w:highlight w:val="none"/>
          <w:u w:val="single"/>
        </w:rPr>
        <w:t xml:space="preserve"> 10 </w:t>
      </w:r>
      <w:r>
        <w:rPr>
          <w:rFonts w:hint="eastAsia" w:ascii="宋体" w:hAnsi="宋体" w:eastAsia="宋体" w:cs="宋体"/>
          <w:color w:val="auto"/>
          <w:kern w:val="0"/>
          <w:sz w:val="21"/>
          <w:szCs w:val="20"/>
          <w:highlight w:val="none"/>
        </w:rPr>
        <w:t>个工作日的，甲方有权解除本合同，乙方应向</w:t>
      </w:r>
      <w:r>
        <w:rPr>
          <w:rFonts w:hint="eastAsia" w:ascii="宋体" w:hAnsi="宋体" w:eastAsia="宋体" w:cs="宋体"/>
          <w:color w:val="auto"/>
          <w:spacing w:val="-6"/>
          <w:kern w:val="0"/>
          <w:sz w:val="21"/>
          <w:szCs w:val="20"/>
          <w:highlight w:val="none"/>
        </w:rPr>
        <w:t>甲方返还全部已支付价款，并按合同总价的</w:t>
      </w:r>
      <w:r>
        <w:rPr>
          <w:rFonts w:hint="eastAsia" w:ascii="宋体" w:hAnsi="宋体" w:eastAsia="宋体" w:cs="宋体"/>
          <w:color w:val="auto"/>
          <w:kern w:val="0"/>
          <w:sz w:val="21"/>
          <w:szCs w:val="20"/>
          <w:highlight w:val="none"/>
          <w:u w:val="single"/>
        </w:rPr>
        <w:t>5 %</w:t>
      </w:r>
      <w:r>
        <w:rPr>
          <w:rFonts w:hint="eastAsia" w:ascii="宋体" w:hAnsi="宋体" w:eastAsia="宋体" w:cs="宋体"/>
          <w:color w:val="auto"/>
          <w:spacing w:val="-6"/>
          <w:kern w:val="0"/>
          <w:sz w:val="21"/>
          <w:szCs w:val="20"/>
          <w:highlight w:val="none"/>
        </w:rPr>
        <w:t>向甲方支付违约金，</w:t>
      </w:r>
      <w:r>
        <w:rPr>
          <w:rFonts w:hint="eastAsia" w:ascii="宋体" w:hAnsi="宋体" w:eastAsia="宋体" w:cs="宋体"/>
          <w:color w:val="auto"/>
          <w:kern w:val="0"/>
          <w:sz w:val="21"/>
          <w:szCs w:val="20"/>
          <w:highlight w:val="none"/>
        </w:rPr>
        <w:t>违约金不足以弥补甲方损失的，乙方还应向</w:t>
      </w:r>
      <w:r>
        <w:rPr>
          <w:rFonts w:hint="eastAsia" w:ascii="宋体" w:hAnsi="宋体" w:eastAsia="宋体" w:cs="宋体"/>
          <w:color w:val="auto"/>
          <w:spacing w:val="-6"/>
          <w:kern w:val="0"/>
          <w:sz w:val="21"/>
          <w:szCs w:val="20"/>
          <w:highlight w:val="none"/>
        </w:rPr>
        <w:t>甲方赔偿遭受的全部损失。</w:t>
      </w:r>
      <w:r>
        <w:rPr>
          <w:rFonts w:hint="eastAsia" w:ascii="宋体" w:hAnsi="宋体" w:eastAsia="宋体" w:cs="宋体"/>
          <w:color w:val="auto"/>
          <w:kern w:val="0"/>
          <w:sz w:val="21"/>
          <w:szCs w:val="20"/>
          <w:highlight w:val="none"/>
        </w:rPr>
        <w:t xml:space="preserve"> </w:t>
      </w:r>
    </w:p>
    <w:p w14:paraId="53D27B4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3.若乙方未能按本合同要求全面提供服务或有其他违约行为，并经甲方书面通知后仍不改正的，甲方有权解除合同，乙方应向甲方返还全部已支付价款，并按合同总价的</w:t>
      </w:r>
      <w:r>
        <w:rPr>
          <w:rFonts w:hint="eastAsia" w:ascii="宋体" w:hAnsi="宋体" w:eastAsia="宋体" w:cs="宋体"/>
          <w:color w:val="auto"/>
          <w:kern w:val="0"/>
          <w:sz w:val="21"/>
          <w:szCs w:val="20"/>
          <w:highlight w:val="none"/>
          <w:u w:val="single"/>
        </w:rPr>
        <w:t>5 %</w:t>
      </w:r>
      <w:r>
        <w:rPr>
          <w:rFonts w:hint="eastAsia" w:ascii="宋体" w:hAnsi="宋体" w:eastAsia="宋体" w:cs="宋体"/>
          <w:color w:val="auto"/>
          <w:kern w:val="0"/>
          <w:sz w:val="21"/>
          <w:szCs w:val="20"/>
          <w:highlight w:val="none"/>
        </w:rPr>
        <w:t>向甲方支付违约金，违约金不足以弥补甲方损失的，乙方还应向甲方赔偿遭受的全部损失。</w:t>
      </w:r>
    </w:p>
    <w:p w14:paraId="25DABB7A">
      <w:pPr>
        <w:spacing w:line="288" w:lineRule="auto"/>
        <w:ind w:firstLine="420" w:firstLineChars="200"/>
        <w:rPr>
          <w:rFonts w:ascii="宋体" w:hAnsi="宋体" w:eastAsia="宋体" w:cs="宋体"/>
          <w:b/>
          <w:bCs/>
          <w:color w:val="auto"/>
          <w:kern w:val="0"/>
          <w:sz w:val="21"/>
          <w:szCs w:val="20"/>
          <w:highlight w:val="none"/>
        </w:rPr>
      </w:pPr>
      <w:r>
        <w:rPr>
          <w:rFonts w:hint="eastAsia" w:ascii="宋体" w:hAnsi="宋体" w:eastAsia="宋体" w:cs="宋体"/>
          <w:color w:val="auto"/>
          <w:kern w:val="0"/>
          <w:sz w:val="21"/>
          <w:szCs w:val="20"/>
          <w:highlight w:val="none"/>
        </w:rPr>
        <w:t>4.</w:t>
      </w:r>
      <w:r>
        <w:rPr>
          <w:rFonts w:hint="eastAsia" w:ascii="宋体" w:hAnsi="宋体" w:eastAsia="宋体" w:cs="宋体"/>
          <w:color w:val="auto"/>
          <w:spacing w:val="-6"/>
          <w:kern w:val="0"/>
          <w:sz w:val="21"/>
          <w:szCs w:val="20"/>
          <w:highlight w:val="none"/>
        </w:rPr>
        <w:t>服务期内乙方未在约定时间内作出服务响应的，</w:t>
      </w:r>
      <w:r>
        <w:rPr>
          <w:rFonts w:hint="eastAsia" w:ascii="宋体" w:hAnsi="宋体" w:eastAsia="宋体" w:cs="宋体"/>
          <w:color w:val="auto"/>
          <w:kern w:val="0"/>
          <w:sz w:val="21"/>
          <w:szCs w:val="20"/>
          <w:highlight w:val="none"/>
        </w:rPr>
        <w:t>每发生一次应向甲方支付</w:t>
      </w:r>
      <w:r>
        <w:rPr>
          <w:rFonts w:hint="eastAsia" w:ascii="宋体" w:hAnsi="宋体" w:eastAsia="宋体" w:cs="宋体"/>
          <w:color w:val="auto"/>
          <w:kern w:val="0"/>
          <w:sz w:val="21"/>
          <w:szCs w:val="20"/>
          <w:highlight w:val="none"/>
          <w:u w:val="single"/>
        </w:rPr>
        <w:t>1000</w:t>
      </w:r>
      <w:r>
        <w:rPr>
          <w:rFonts w:hint="eastAsia" w:ascii="宋体" w:hAnsi="宋体" w:eastAsia="宋体" w:cs="宋体"/>
          <w:color w:val="auto"/>
          <w:kern w:val="0"/>
          <w:sz w:val="21"/>
          <w:szCs w:val="20"/>
          <w:highlight w:val="none"/>
        </w:rPr>
        <w:t>元的违约金，</w:t>
      </w:r>
      <w:r>
        <w:rPr>
          <w:rFonts w:hint="eastAsia" w:ascii="宋体" w:hAnsi="宋体" w:eastAsia="宋体" w:cs="宋体"/>
          <w:color w:val="auto"/>
          <w:spacing w:val="-6"/>
          <w:kern w:val="0"/>
          <w:sz w:val="21"/>
          <w:szCs w:val="20"/>
          <w:highlight w:val="none"/>
        </w:rPr>
        <w:t>甲方有权委托第三方提供服务，</w:t>
      </w:r>
      <w:r>
        <w:rPr>
          <w:rFonts w:hint="eastAsia" w:ascii="宋体" w:hAnsi="宋体" w:eastAsia="宋体" w:cs="宋体"/>
          <w:color w:val="auto"/>
          <w:kern w:val="0"/>
          <w:sz w:val="21"/>
          <w:szCs w:val="20"/>
          <w:highlight w:val="none"/>
        </w:rPr>
        <w:t>所产生的费用由乙方承担。</w:t>
      </w:r>
    </w:p>
    <w:p w14:paraId="19B88B9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2BE75EA">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十二、不可抗力</w:t>
      </w:r>
    </w:p>
    <w:p w14:paraId="3ACE49D3">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在合同有效期内，任何一方因不可抗力事件导致不能履行合同，则合同履行期可延长，其延长期与不可抗力影响期相同。</w:t>
      </w:r>
    </w:p>
    <w:p w14:paraId="73EEA2CE">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本条所述的“不可抗力”系指双方不可预见、不可避免、不可克服的事件。</w:t>
      </w:r>
    </w:p>
    <w:p w14:paraId="24D75FE8">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3</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不可抗力事件发生后，受不可抗力事件影响的一方应在事件发生后3日内立即通知对方，并寄送有关权威机构出具的证明。同时应立即尽一切合理努力采取措施，消除影响，减少损失。</w:t>
      </w:r>
    </w:p>
    <w:p w14:paraId="3DF53797">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4.不可抗力事件延续30天以上，双方应通过友好协商，确定是否继续履行合同。</w:t>
      </w:r>
    </w:p>
    <w:p w14:paraId="3F70F5F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十三、法律适用与争议解决</w:t>
      </w:r>
    </w:p>
    <w:p w14:paraId="6CC95D0E">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本合同的订立、解释、履行及争议解决，均适用中华人民共和国法律。</w:t>
      </w:r>
    </w:p>
    <w:p w14:paraId="0E4DD919">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本合同履行过程中发生争议的，甲乙双方应友好协商；协商不成的，任何一方可向甲方所在地人民法院起诉。</w:t>
      </w:r>
    </w:p>
    <w:p w14:paraId="29E9214D">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十四、合同生效及其他</w:t>
      </w:r>
    </w:p>
    <w:p w14:paraId="7E2D4416">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1</w:t>
      </w:r>
      <w:r>
        <w:rPr>
          <w:rFonts w:hint="eastAsia" w:ascii="宋体" w:hAnsi="宋体" w:eastAsia="宋体" w:cs="宋体"/>
          <w:color w:val="auto"/>
          <w:spacing w:val="-6"/>
          <w:kern w:val="0"/>
          <w:sz w:val="21"/>
          <w:szCs w:val="20"/>
          <w:highlight w:val="none"/>
        </w:rPr>
        <w:t>.</w:t>
      </w:r>
      <w:r>
        <w:rPr>
          <w:rFonts w:hint="eastAsia" w:ascii="宋体" w:hAnsi="宋体" w:eastAsia="宋体" w:cs="宋体"/>
          <w:color w:val="auto"/>
          <w:kern w:val="0"/>
          <w:sz w:val="21"/>
          <w:szCs w:val="20"/>
          <w:highlight w:val="none"/>
        </w:rPr>
        <w:t>本合同经甲、乙双方代表签字并加盖单位公章或合同专用章后生效，甲方的单位公章盖采购中心合同专用章（其它部门公章无效）。</w:t>
      </w:r>
    </w:p>
    <w:p w14:paraId="46227B90">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2.</w:t>
      </w:r>
      <w:bookmarkStart w:id="55" w:name="_Hlk154756484"/>
      <w:r>
        <w:rPr>
          <w:rFonts w:hint="eastAsia" w:ascii="宋体" w:hAnsi="宋体" w:eastAsia="宋体" w:cs="宋体"/>
          <w:color w:val="auto"/>
          <w:kern w:val="0"/>
          <w:sz w:val="21"/>
          <w:szCs w:val="20"/>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bookmarkEnd w:id="55"/>
    <w:p w14:paraId="080498D6">
      <w:pPr>
        <w:spacing w:line="288" w:lineRule="auto"/>
        <w:ind w:firstLine="396" w:firstLineChars="200"/>
        <w:rPr>
          <w:rFonts w:ascii="宋体" w:hAnsi="宋体" w:eastAsia="宋体" w:cs="宋体"/>
          <w:color w:val="auto"/>
          <w:kern w:val="0"/>
          <w:sz w:val="21"/>
          <w:szCs w:val="20"/>
          <w:highlight w:val="none"/>
          <w:lang w:val="zh-CN"/>
        </w:rPr>
      </w:pPr>
      <w:bookmarkStart w:id="56" w:name="_Hlk154756502"/>
      <w:r>
        <w:rPr>
          <w:rFonts w:hint="eastAsia" w:ascii="宋体" w:hAnsi="宋体" w:eastAsia="宋体" w:cs="宋体"/>
          <w:color w:val="auto"/>
          <w:spacing w:val="-6"/>
          <w:kern w:val="0"/>
          <w:sz w:val="21"/>
          <w:szCs w:val="20"/>
          <w:highlight w:val="none"/>
        </w:rPr>
        <w:t>3.</w:t>
      </w:r>
      <w:bookmarkEnd w:id="56"/>
      <w:r>
        <w:rPr>
          <w:rFonts w:hint="eastAsia" w:ascii="宋体" w:hAnsi="宋体" w:eastAsia="宋体" w:cs="宋体"/>
          <w:color w:val="auto"/>
          <w:kern w:val="0"/>
          <w:sz w:val="21"/>
          <w:szCs w:val="20"/>
          <w:highlight w:val="none"/>
        </w:rPr>
        <w:t>本次采购过程中形成的招标（非招标）</w:t>
      </w:r>
      <w:r>
        <w:rPr>
          <w:rFonts w:hint="eastAsia" w:ascii="宋体" w:hAnsi="宋体" w:eastAsia="宋体" w:cs="宋体"/>
          <w:color w:val="auto"/>
          <w:kern w:val="0"/>
          <w:sz w:val="21"/>
          <w:szCs w:val="20"/>
          <w:highlight w:val="none"/>
          <w:lang w:val="zh-CN"/>
        </w:rPr>
        <w:t>文件</w:t>
      </w:r>
      <w:r>
        <w:rPr>
          <w:rFonts w:hint="eastAsia" w:ascii="宋体" w:hAnsi="宋体" w:eastAsia="宋体" w:cs="宋体"/>
          <w:color w:val="auto"/>
          <w:kern w:val="0"/>
          <w:sz w:val="21"/>
          <w:szCs w:val="20"/>
          <w:highlight w:val="none"/>
        </w:rPr>
        <w:t>、投标（响应）文件、澄清承诺、补充协议、附件等</w:t>
      </w:r>
      <w:r>
        <w:rPr>
          <w:rFonts w:hint="eastAsia" w:ascii="宋体" w:hAnsi="宋体" w:eastAsia="宋体" w:cs="宋体"/>
          <w:color w:val="auto"/>
          <w:kern w:val="0"/>
          <w:sz w:val="21"/>
          <w:szCs w:val="20"/>
          <w:highlight w:val="none"/>
          <w:lang w:val="zh-CN"/>
        </w:rPr>
        <w:t>为本合同的组成部分，并构成一个整体，需综合解释、相互补充。如果</w:t>
      </w:r>
      <w:r>
        <w:rPr>
          <w:rFonts w:hint="eastAsia" w:ascii="宋体" w:hAnsi="宋体" w:eastAsia="宋体" w:cs="宋体"/>
          <w:color w:val="auto"/>
          <w:kern w:val="0"/>
          <w:sz w:val="21"/>
          <w:szCs w:val="20"/>
          <w:highlight w:val="none"/>
        </w:rPr>
        <w:t>上述</w:t>
      </w:r>
      <w:r>
        <w:rPr>
          <w:rFonts w:hint="eastAsia" w:ascii="宋体" w:hAnsi="宋体" w:eastAsia="宋体" w:cs="宋体"/>
          <w:color w:val="auto"/>
          <w:kern w:val="0"/>
          <w:sz w:val="21"/>
          <w:szCs w:val="20"/>
          <w:highlight w:val="none"/>
          <w:lang w:val="zh-CN"/>
        </w:rPr>
        <w:t>文件内容出现不一致的情形，那么在保证按照采购文件确定的事项的前提下，组成本合同的多个文件的优先适用顺序如下：</w:t>
      </w:r>
    </w:p>
    <w:p w14:paraId="5696C577">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lang w:val="zh-CN"/>
        </w:rPr>
        <w:t>（1）本合同及其补充合同、变更协议；</w:t>
      </w:r>
    </w:p>
    <w:p w14:paraId="7DA5AB81">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（2）中标（成交）</w:t>
      </w:r>
      <w:r>
        <w:rPr>
          <w:rFonts w:hint="eastAsia" w:ascii="宋体" w:hAnsi="宋体" w:eastAsia="宋体" w:cs="宋体"/>
          <w:color w:val="auto"/>
          <w:kern w:val="0"/>
          <w:sz w:val="21"/>
          <w:szCs w:val="20"/>
          <w:highlight w:val="none"/>
          <w:lang w:val="zh-CN"/>
        </w:rPr>
        <w:t>通知书；</w:t>
      </w:r>
    </w:p>
    <w:p w14:paraId="5E3FAC66">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（3）投标（</w:t>
      </w:r>
      <w:r>
        <w:rPr>
          <w:rFonts w:hint="eastAsia" w:ascii="宋体" w:hAnsi="宋体" w:eastAsia="宋体" w:cs="宋体"/>
          <w:color w:val="auto"/>
          <w:kern w:val="0"/>
          <w:sz w:val="21"/>
          <w:szCs w:val="20"/>
          <w:highlight w:val="none"/>
          <w:lang w:val="zh-CN"/>
        </w:rPr>
        <w:t>响应）文件（含澄清或者说明文件）；</w:t>
      </w:r>
    </w:p>
    <w:p w14:paraId="49B45D3B">
      <w:pPr>
        <w:spacing w:line="288" w:lineRule="auto"/>
        <w:ind w:firstLine="420" w:firstLineChars="200"/>
        <w:rPr>
          <w:rFonts w:ascii="宋体" w:hAnsi="宋体" w:eastAsia="宋体" w:cs="宋体"/>
          <w:color w:val="auto"/>
          <w:kern w:val="0"/>
          <w:sz w:val="21"/>
          <w:szCs w:val="20"/>
          <w:highlight w:val="none"/>
          <w:lang w:val="zh-CN"/>
        </w:rPr>
      </w:pPr>
      <w:r>
        <w:rPr>
          <w:rFonts w:hint="eastAsia" w:ascii="宋体" w:hAnsi="宋体" w:eastAsia="宋体" w:cs="宋体"/>
          <w:color w:val="auto"/>
          <w:kern w:val="0"/>
          <w:sz w:val="21"/>
          <w:szCs w:val="20"/>
          <w:highlight w:val="none"/>
        </w:rPr>
        <w:t>（4）招标（非招标）</w:t>
      </w:r>
      <w:r>
        <w:rPr>
          <w:rFonts w:hint="eastAsia" w:ascii="宋体" w:hAnsi="宋体" w:eastAsia="宋体" w:cs="宋体"/>
          <w:color w:val="auto"/>
          <w:kern w:val="0"/>
          <w:sz w:val="21"/>
          <w:szCs w:val="20"/>
          <w:highlight w:val="none"/>
          <w:lang w:val="zh-CN"/>
        </w:rPr>
        <w:t>文件（含澄清或者修改文件）；</w:t>
      </w:r>
    </w:p>
    <w:p w14:paraId="5434D622">
      <w:pPr>
        <w:spacing w:line="288" w:lineRule="auto"/>
        <w:ind w:firstLine="420" w:firstLineChars="200"/>
        <w:rPr>
          <w:rFonts w:ascii="宋体" w:hAnsi="宋体" w:eastAsia="宋体" w:cs="宋体"/>
          <w:color w:val="auto"/>
          <w:kern w:val="0"/>
          <w:sz w:val="21"/>
          <w:szCs w:val="20"/>
          <w:highlight w:val="none"/>
        </w:rPr>
      </w:pPr>
      <w:r>
        <w:rPr>
          <w:rFonts w:hint="eastAsia" w:ascii="宋体" w:hAnsi="宋体" w:eastAsia="宋体" w:cs="宋体"/>
          <w:color w:val="auto"/>
          <w:kern w:val="0"/>
          <w:sz w:val="21"/>
          <w:szCs w:val="20"/>
          <w:highlight w:val="none"/>
        </w:rPr>
        <w:t>（5）</w:t>
      </w:r>
      <w:r>
        <w:rPr>
          <w:rFonts w:hint="eastAsia" w:ascii="宋体" w:hAnsi="宋体" w:eastAsia="宋体" w:cs="宋体"/>
          <w:color w:val="auto"/>
          <w:kern w:val="0"/>
          <w:sz w:val="21"/>
          <w:szCs w:val="20"/>
          <w:highlight w:val="none"/>
          <w:lang w:val="zh-CN"/>
        </w:rPr>
        <w:t>其他相关采购文件。</w:t>
      </w:r>
    </w:p>
    <w:p w14:paraId="5DB127E5">
      <w:pPr>
        <w:spacing w:line="288" w:lineRule="auto"/>
        <w:ind w:firstLine="420" w:firstLineChars="200"/>
        <w:rPr>
          <w:rFonts w:ascii="宋体" w:hAnsi="宋体" w:eastAsia="宋体" w:cs="宋体"/>
          <w:color w:val="auto"/>
          <w:kern w:val="0"/>
          <w:sz w:val="21"/>
          <w:szCs w:val="20"/>
          <w:highlight w:val="none"/>
        </w:rPr>
      </w:pPr>
      <w:bookmarkStart w:id="57" w:name="_Hlk154756515"/>
      <w:r>
        <w:rPr>
          <w:rFonts w:hint="eastAsia" w:ascii="宋体" w:hAnsi="宋体" w:eastAsia="宋体" w:cs="宋体"/>
          <w:color w:val="auto"/>
          <w:kern w:val="0"/>
          <w:sz w:val="21"/>
          <w:szCs w:val="20"/>
          <w:highlight w:val="none"/>
        </w:rPr>
        <w:t>4.本合同未尽事宜，遵照《中华人民共和国民法典》有关条文执行。</w:t>
      </w:r>
    </w:p>
    <w:p w14:paraId="6C70F5DB">
      <w:pPr>
        <w:spacing w:line="288" w:lineRule="auto"/>
        <w:ind w:firstLine="396" w:firstLineChars="200"/>
        <w:rPr>
          <w:rFonts w:ascii="宋体" w:hAnsi="宋体" w:eastAsia="宋体" w:cs="宋体"/>
          <w:color w:val="auto"/>
          <w:kern w:val="0"/>
          <w:sz w:val="21"/>
          <w:szCs w:val="20"/>
          <w:highlight w:val="none"/>
        </w:rPr>
      </w:pPr>
      <w:r>
        <w:rPr>
          <w:rFonts w:hint="eastAsia" w:ascii="宋体" w:hAnsi="宋体" w:eastAsia="宋体" w:cs="宋体"/>
          <w:color w:val="auto"/>
          <w:spacing w:val="-6"/>
          <w:kern w:val="0"/>
          <w:sz w:val="21"/>
          <w:szCs w:val="20"/>
          <w:highlight w:val="none"/>
        </w:rPr>
        <w:t>5.</w:t>
      </w:r>
      <w:r>
        <w:rPr>
          <w:rFonts w:hint="eastAsia" w:ascii="宋体" w:hAnsi="宋体" w:eastAsia="宋体" w:cs="宋体"/>
          <w:color w:val="auto"/>
          <w:kern w:val="0"/>
          <w:sz w:val="21"/>
          <w:szCs w:val="20"/>
          <w:highlight w:val="none"/>
        </w:rPr>
        <w:t>本合同一式肆份，甲方执叁份，乙方执一份，具有同等法律效力。</w:t>
      </w:r>
      <w:bookmarkEnd w:id="57"/>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4A4DE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5073" w:type="dxa"/>
            <w:vAlign w:val="center"/>
          </w:tcPr>
          <w:p w14:paraId="4E6FC45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14:paraId="72A02154">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14:paraId="5089D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vAlign w:val="center"/>
          </w:tcPr>
          <w:p w14:paraId="341D3CCE">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76BB113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14:paraId="4891E2E0">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14:paraId="57B30F45">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14:paraId="62D7B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12F2616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14:paraId="2BB15157">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r>
              <w:rPr>
                <w:rFonts w:hint="eastAsia" w:ascii="宋体" w:hAnsi="宋体" w:eastAsia="宋体" w:cs="宋体"/>
                <w:color w:val="auto"/>
                <w:spacing w:val="-6"/>
                <w:kern w:val="0"/>
                <w:sz w:val="21"/>
                <w:szCs w:val="21"/>
                <w:highlight w:val="none"/>
              </w:rPr>
              <w:tab/>
            </w:r>
            <w:r>
              <w:rPr>
                <w:rFonts w:hint="eastAsia" w:ascii="宋体" w:hAnsi="宋体" w:eastAsia="宋体" w:cs="宋体"/>
                <w:color w:val="auto"/>
                <w:spacing w:val="-6"/>
                <w:kern w:val="0"/>
                <w:sz w:val="21"/>
                <w:szCs w:val="21"/>
                <w:highlight w:val="none"/>
              </w:rPr>
              <w:tab/>
            </w:r>
          </w:p>
        </w:tc>
      </w:tr>
      <w:tr w14:paraId="7DEB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0DB8E8AF">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14:paraId="54AD1B3A">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rPr>
              <w:tab/>
            </w:r>
          </w:p>
        </w:tc>
      </w:tr>
      <w:tr w14:paraId="2612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6F58C4C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14:paraId="320DEAA6">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r>
              <w:rPr>
                <w:rFonts w:hint="eastAsia" w:ascii="宋体" w:hAnsi="宋体" w:eastAsia="宋体" w:cs="宋体"/>
                <w:color w:val="auto"/>
                <w:spacing w:val="-6"/>
                <w:kern w:val="0"/>
                <w:sz w:val="21"/>
                <w:szCs w:val="21"/>
                <w:highlight w:val="none"/>
              </w:rPr>
              <w:tab/>
            </w:r>
          </w:p>
        </w:tc>
      </w:tr>
      <w:tr w14:paraId="41425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A4F6933">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14:paraId="167C92BD">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w:t>
            </w:r>
          </w:p>
        </w:tc>
      </w:tr>
      <w:tr w14:paraId="32AF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vAlign w:val="center"/>
          </w:tcPr>
          <w:p w14:paraId="41079440">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14:paraId="0747725E">
            <w:pPr>
              <w:keepNext w:val="0"/>
              <w:keepLines w:val="0"/>
              <w:suppressLineNumbers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14:paraId="3D29B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Pr>
          <w:p w14:paraId="00AB15A7">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14:paraId="63E08FAA">
            <w:pPr>
              <w:keepNext w:val="0"/>
              <w:keepLines w:val="0"/>
              <w:suppressLineNumbers w:val="0"/>
              <w:spacing w:before="0" w:beforeAutospacing="0" w:after="0" w:afterAutospacing="0" w:line="288" w:lineRule="auto"/>
              <w:ind w:left="0" w:right="0"/>
              <w:rPr>
                <w:rFonts w:hint="default"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14:paraId="5E4F35EC">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14:paraId="73533A29">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14:paraId="522ED77F">
            <w:pPr>
              <w:keepNext w:val="0"/>
              <w:keepLines w:val="0"/>
              <w:suppressLineNumbers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tc>
      </w:tr>
    </w:tbl>
    <w:p w14:paraId="1A737154">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14:paraId="374504AC">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14:paraId="71F52096">
      <w:pPr>
        <w:adjustRightInd w:val="0"/>
        <w:snapToGrid w:val="0"/>
        <w:spacing w:line="288" w:lineRule="auto"/>
        <w:rPr>
          <w:rFonts w:ascii="宋体" w:hAnsi="宋体" w:eastAsia="宋体" w:cs="Times New Roman"/>
          <w:b/>
          <w:bCs/>
          <w:color w:val="auto"/>
          <w:spacing w:val="-6"/>
          <w:sz w:val="24"/>
          <w:szCs w:val="24"/>
          <w:highlight w:val="none"/>
        </w:rPr>
      </w:pPr>
    </w:p>
    <w:p w14:paraId="77A61967">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14:paraId="37FA49C4">
      <w:pPr>
        <w:adjustRightInd w:val="0"/>
        <w:snapToGrid w:val="0"/>
        <w:spacing w:line="288" w:lineRule="auto"/>
        <w:rPr>
          <w:rFonts w:ascii="宋体" w:hAnsi="宋体" w:eastAsia="宋体" w:cs="Times New Roman"/>
          <w:b/>
          <w:bCs/>
          <w:color w:val="auto"/>
          <w:spacing w:val="-6"/>
          <w:sz w:val="24"/>
          <w:szCs w:val="24"/>
          <w:highlight w:val="none"/>
        </w:rPr>
      </w:pPr>
    </w:p>
    <w:p w14:paraId="4898670E">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14:paraId="2B2AC6C0">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14:paraId="69227972">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14:paraId="2A6152C7">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w:t>
      </w:r>
    </w:p>
    <w:p w14:paraId="77ABBC3F">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lang w:val="en-US" w:eastAsia="zh-CN"/>
        </w:rPr>
        <w:t>1</w:t>
      </w:r>
      <w:r>
        <w:rPr>
          <w:rFonts w:hint="eastAsia" w:ascii="宋体" w:hAnsi="宋体" w:eastAsia="宋体" w:cs="宋体"/>
          <w:bCs/>
          <w:color w:val="auto"/>
          <w:spacing w:val="-6"/>
          <w:szCs w:val="21"/>
          <w:highlight w:val="none"/>
        </w:rPr>
        <w:t>）中小企业声明函（若属于中小企业）</w:t>
      </w:r>
    </w:p>
    <w:p w14:paraId="620D1CE3">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lang w:val="en-US" w:eastAsia="zh-CN"/>
        </w:rPr>
        <w:t>2</w:t>
      </w:r>
      <w:r>
        <w:rPr>
          <w:rFonts w:hint="eastAsia" w:ascii="宋体" w:hAnsi="宋体" w:eastAsia="宋体" w:cs="宋体"/>
          <w:bCs/>
          <w:color w:val="auto"/>
          <w:spacing w:val="-6"/>
          <w:szCs w:val="21"/>
          <w:highlight w:val="none"/>
        </w:rPr>
        <w:t>）属于监狱企业的证明文件（若属于监狱企业）</w:t>
      </w:r>
    </w:p>
    <w:p w14:paraId="37A99886">
      <w:pPr>
        <w:adjustRightInd w:val="0"/>
        <w:snapToGrid w:val="0"/>
        <w:spacing w:line="288" w:lineRule="auto"/>
        <w:ind w:firstLine="396" w:firstLineChars="200"/>
        <w:jc w:val="left"/>
        <w:rPr>
          <w:rFonts w:hint="eastAsia"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lang w:val="en-US" w:eastAsia="zh-CN"/>
        </w:rPr>
        <w:t>3</w:t>
      </w:r>
      <w:r>
        <w:rPr>
          <w:rFonts w:hint="eastAsia" w:ascii="宋体" w:hAnsi="宋体" w:eastAsia="宋体" w:cs="宋体"/>
          <w:bCs/>
          <w:color w:val="auto"/>
          <w:spacing w:val="-6"/>
          <w:szCs w:val="21"/>
          <w:highlight w:val="none"/>
        </w:rPr>
        <w:t>）残疾人福利性单位声明函（若属于残疾人福利性单位）</w:t>
      </w:r>
    </w:p>
    <w:p w14:paraId="673F71B7">
      <w:pPr>
        <w:adjustRightInd w:val="0"/>
        <w:snapToGrid w:val="0"/>
        <w:spacing w:line="288" w:lineRule="auto"/>
        <w:ind w:firstLine="396" w:firstLineChars="200"/>
        <w:jc w:val="left"/>
        <w:rPr>
          <w:rFonts w:hint="default" w:ascii="宋体" w:hAnsi="宋体" w:eastAsia="宋体" w:cs="宋体"/>
          <w:bCs/>
          <w:color w:val="auto"/>
          <w:spacing w:val="-6"/>
          <w:szCs w:val="21"/>
          <w:highlight w:val="none"/>
          <w:lang w:val="en-US" w:eastAsia="zh-CN"/>
        </w:rPr>
      </w:pPr>
      <w:r>
        <w:rPr>
          <w:rFonts w:hint="eastAsia" w:ascii="宋体" w:hAnsi="宋体" w:eastAsia="宋体" w:cs="宋体"/>
          <w:bCs/>
          <w:color w:val="auto"/>
          <w:spacing w:val="-6"/>
          <w:szCs w:val="21"/>
          <w:highlight w:val="none"/>
          <w:lang w:val="en-US" w:eastAsia="zh-CN"/>
        </w:rPr>
        <w:t>4）联合协议（如有）</w:t>
      </w:r>
    </w:p>
    <w:p w14:paraId="1936D83F">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14:paraId="2593EBF4">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▲联合体投标的，联合体各方均应提供资格文件材料</w:t>
      </w:r>
      <w:r>
        <w:rPr>
          <w:rFonts w:ascii="宋体" w:hAnsi="宋体" w:eastAsia="宋体" w:cs="宋体"/>
          <w:bCs/>
          <w:color w:val="auto"/>
          <w:spacing w:val="-6"/>
          <w:szCs w:val="21"/>
          <w:highlight w:val="none"/>
        </w:rPr>
        <w:t>。</w:t>
      </w:r>
    </w:p>
    <w:p w14:paraId="519EF724">
      <w:pPr>
        <w:adjustRightInd w:val="0"/>
        <w:snapToGrid w:val="0"/>
        <w:spacing w:line="288" w:lineRule="auto"/>
        <w:jc w:val="left"/>
        <w:rPr>
          <w:rFonts w:ascii="宋体" w:hAnsi="宋体" w:eastAsia="宋体" w:cs="宋体"/>
          <w:b/>
          <w:color w:val="auto"/>
          <w:spacing w:val="-6"/>
          <w:szCs w:val="21"/>
          <w:highlight w:val="none"/>
        </w:rPr>
      </w:pPr>
    </w:p>
    <w:p w14:paraId="4653F30D">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14:paraId="3760DAE7">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14:paraId="69ADE6BB">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14:paraId="1BC76740">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2024年7月（含）</w:t>
      </w:r>
      <w:r>
        <w:rPr>
          <w:rFonts w:ascii="宋体" w:hAnsi="宋体" w:eastAsia="宋体" w:cs="Times New Roman"/>
          <w:color w:val="auto"/>
          <w:spacing w:val="-6"/>
          <w:szCs w:val="21"/>
          <w:highlight w:val="none"/>
        </w:rPr>
        <w:t>以后任意一月）</w:t>
      </w:r>
    </w:p>
    <w:p w14:paraId="57FFA455">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14:paraId="2D1FD1F7">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14:paraId="10F97E2A">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lang w:val="en-US" w:eastAsia="zh-CN"/>
        </w:rPr>
        <w:t>服务</w:t>
      </w:r>
      <w:r>
        <w:rPr>
          <w:rFonts w:hint="eastAsia" w:ascii="宋体" w:hAnsi="宋体" w:eastAsia="宋体" w:cs="宋体"/>
          <w:color w:val="auto"/>
          <w:spacing w:val="-6"/>
          <w:szCs w:val="21"/>
          <w:highlight w:val="none"/>
        </w:rPr>
        <w:t>方案</w:t>
      </w:r>
    </w:p>
    <w:p w14:paraId="6A396650">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6</w:t>
      </w:r>
      <w:r>
        <w:rPr>
          <w:rFonts w:ascii="宋体" w:hAnsi="宋体" w:eastAsia="宋体" w:cs="宋体"/>
          <w:color w:val="auto"/>
          <w:spacing w:val="-6"/>
          <w:szCs w:val="21"/>
          <w:highlight w:val="none"/>
        </w:rPr>
        <w:t>）投标人需要说明的其他文件和材料。</w:t>
      </w:r>
    </w:p>
    <w:p w14:paraId="26470217">
      <w:pPr>
        <w:adjustRightInd w:val="0"/>
        <w:snapToGrid w:val="0"/>
        <w:spacing w:line="288" w:lineRule="auto"/>
        <w:jc w:val="left"/>
        <w:rPr>
          <w:rFonts w:ascii="宋体" w:hAnsi="宋体" w:eastAsia="宋体" w:cs="Times New Roman"/>
          <w:b/>
          <w:color w:val="auto"/>
          <w:spacing w:val="-6"/>
          <w:szCs w:val="21"/>
          <w:highlight w:val="none"/>
        </w:rPr>
      </w:pPr>
    </w:p>
    <w:p w14:paraId="47EC65AF">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14:paraId="64206ABD">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14:paraId="3BDB16B3">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7ECFAF91">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5FF6F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A5AE29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14:paraId="1B0EF22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14:paraId="0057E31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14:paraId="7A815268">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14:paraId="1010DE04">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14:paraId="0337F3B1">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14:paraId="73D256A9">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14:paraId="01D99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0C3E7BE3">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14:paraId="40033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2F477D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67A061C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26CFB7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EBFEBE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37126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96CDE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418174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3F2B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E8065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CCE44B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3DA606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7C8CD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1E23A0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498B1CA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1DEED4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EF04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B53578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14:paraId="5DBBAE7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14:paraId="18E2C7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14:paraId="0CDB96F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14:paraId="7F7F7B2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14:paraId="24ED60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14:paraId="6FF943A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14:paraId="2D89E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DB6C78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988AA1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350FAB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634BDF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B7DCA0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CDE8DF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67F5E3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932B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ADA49B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EF8607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4FC54D0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EC772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75267D5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DF7B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6BB0689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2BAE9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F2EC5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CA70FF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12895C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2531E7D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2D5DBC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21794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2D7FFBE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15407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C5303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14:paraId="3885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6D8460F">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5A03575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86885C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12C7B4F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1BADE94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5C96540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325212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525BC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410A949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9105D1E">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87A7F5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6B782F1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5726B91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1A9517C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4B47A9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3776D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CA7778">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756F83F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0D7F238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6B1C8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6E2D045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242841C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E2E8E7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45968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9B9E3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4F0247A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76FEA05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3B596F6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F8DCEC6">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74BD4D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43CCDCD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14:paraId="73F2C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F93BF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14:paraId="07EB2B5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14:paraId="204746E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14:paraId="597B3C5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14:paraId="0574F4C5">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14:paraId="36E7D01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14:paraId="57667B72">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14:paraId="67490BE6">
      <w:pPr>
        <w:adjustRightInd w:val="0"/>
        <w:snapToGrid w:val="0"/>
        <w:spacing w:line="288" w:lineRule="auto"/>
        <w:rPr>
          <w:rFonts w:ascii="宋体" w:hAnsi="宋体" w:eastAsia="宋体" w:cs="Times New Roman"/>
          <w:color w:val="auto"/>
          <w:spacing w:val="-6"/>
          <w:szCs w:val="21"/>
          <w:highlight w:val="none"/>
        </w:rPr>
      </w:pPr>
    </w:p>
    <w:p w14:paraId="7CEAFD55">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14:paraId="6A75B257">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5E2C9B2D">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14:paraId="2DE1C806">
      <w:pPr>
        <w:adjustRightInd w:val="0"/>
        <w:snapToGrid w:val="0"/>
        <w:spacing w:line="288" w:lineRule="auto"/>
        <w:jc w:val="center"/>
        <w:rPr>
          <w:rFonts w:ascii="宋体" w:hAnsi="宋体" w:eastAsia="宋体" w:cs="宋体"/>
          <w:b/>
          <w:bCs/>
          <w:color w:val="auto"/>
          <w:sz w:val="24"/>
          <w:szCs w:val="24"/>
          <w:highlight w:val="none"/>
        </w:rPr>
      </w:pPr>
    </w:p>
    <w:p w14:paraId="1C71A8AA">
      <w:pPr>
        <w:adjustRightInd w:val="0"/>
        <w:snapToGrid w:val="0"/>
        <w:spacing w:line="288" w:lineRule="auto"/>
        <w:jc w:val="center"/>
        <w:rPr>
          <w:rFonts w:ascii="宋体" w:hAnsi="宋体" w:eastAsia="宋体" w:cs="宋体"/>
          <w:b/>
          <w:bCs/>
          <w:color w:val="auto"/>
          <w:sz w:val="24"/>
          <w:szCs w:val="24"/>
          <w:highlight w:val="none"/>
        </w:rPr>
      </w:pPr>
    </w:p>
    <w:p w14:paraId="2BED115E">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14:paraId="59BADAF3">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94DA53B">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14:paraId="5261C871">
      <w:pPr>
        <w:adjustRightInd w:val="0"/>
        <w:snapToGrid w:val="0"/>
        <w:spacing w:line="288" w:lineRule="auto"/>
        <w:rPr>
          <w:rFonts w:ascii="宋体" w:hAnsi="宋体" w:eastAsia="宋体" w:cs="Times New Roman"/>
          <w:bCs/>
          <w:color w:val="auto"/>
          <w:spacing w:val="-6"/>
          <w:szCs w:val="21"/>
          <w:highlight w:val="none"/>
        </w:rPr>
      </w:pPr>
    </w:p>
    <w:p w14:paraId="4C6928BE">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14:paraId="40DCBB89">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14:paraId="7702B9A6">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14:paraId="356C48E0">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14:paraId="710116F7">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14:paraId="5BC204E8">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14:paraId="448175FF">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14:paraId="59199CD5">
      <w:pPr>
        <w:adjustRightInd w:val="0"/>
        <w:snapToGrid w:val="0"/>
        <w:spacing w:line="288" w:lineRule="auto"/>
        <w:rPr>
          <w:rFonts w:ascii="宋体" w:hAnsi="宋体" w:eastAsia="宋体" w:cs="Times New Roman"/>
          <w:b/>
          <w:bCs/>
          <w:color w:val="auto"/>
          <w:spacing w:val="-6"/>
          <w:szCs w:val="21"/>
          <w:highlight w:val="none"/>
        </w:rPr>
      </w:pPr>
    </w:p>
    <w:p w14:paraId="09AC6A6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5619E856">
      <w:pPr>
        <w:adjustRightInd w:val="0"/>
        <w:snapToGrid w:val="0"/>
        <w:spacing w:line="288" w:lineRule="auto"/>
        <w:ind w:firstLine="396" w:firstLineChars="200"/>
        <w:rPr>
          <w:rFonts w:ascii="宋体" w:hAnsi="宋体" w:eastAsia="宋体" w:cs="Times New Roman"/>
          <w:color w:val="auto"/>
          <w:spacing w:val="-6"/>
          <w:szCs w:val="21"/>
          <w:highlight w:val="none"/>
        </w:rPr>
      </w:pPr>
    </w:p>
    <w:p w14:paraId="50FEAEB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14:paraId="1C0B48E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14:paraId="493B24F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14:paraId="3B2B71B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14:paraId="4A5C533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14:paraId="0AB0E84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14:paraId="09E66DF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14:paraId="6798D51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14:paraId="5E01D5B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14:paraId="1CB1EDD9">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14:paraId="5F8BDE3D">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14:paraId="49D7F55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14:paraId="4C937445">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14:paraId="503A7AA7">
      <w:pPr>
        <w:adjustRightInd w:val="0"/>
        <w:snapToGrid w:val="0"/>
        <w:spacing w:line="288" w:lineRule="auto"/>
        <w:rPr>
          <w:rFonts w:ascii="宋体" w:hAnsi="宋体" w:eastAsia="宋体" w:cs="Times New Roman"/>
          <w:color w:val="auto"/>
          <w:szCs w:val="21"/>
          <w:highlight w:val="none"/>
        </w:rPr>
      </w:pPr>
    </w:p>
    <w:p w14:paraId="03BE7C8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20F7606">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9459AC8">
      <w:pPr>
        <w:widowControl/>
        <w:adjustRightInd w:val="0"/>
        <w:snapToGrid w:val="0"/>
        <w:spacing w:line="288" w:lineRule="auto"/>
        <w:jc w:val="left"/>
        <w:rPr>
          <w:rFonts w:ascii="宋体" w:hAnsi="宋体" w:eastAsia="宋体" w:cs="宋体"/>
          <w:b/>
          <w:color w:val="auto"/>
          <w:spacing w:val="-6"/>
          <w:szCs w:val="21"/>
          <w:highlight w:val="none"/>
        </w:rPr>
      </w:pPr>
    </w:p>
    <w:p w14:paraId="5155161B">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32276167">
      <w:pPr>
        <w:adjustRightInd w:val="0"/>
        <w:snapToGrid w:val="0"/>
        <w:spacing w:line="288" w:lineRule="auto"/>
        <w:jc w:val="both"/>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w:t>
      </w:r>
    </w:p>
    <w:p w14:paraId="2AA3E2D1">
      <w:pPr>
        <w:adjustRightInd w:val="0"/>
        <w:snapToGrid w:val="0"/>
        <w:spacing w:line="288" w:lineRule="auto"/>
        <w:jc w:val="center"/>
        <w:outlineLvl w:val="2"/>
        <w:rPr>
          <w:rFonts w:hint="eastAsia" w:ascii="宋体" w:hAnsi="宋体" w:eastAsia="宋体" w:cs="宋体"/>
          <w:b/>
          <w:color w:val="auto"/>
          <w:spacing w:val="-6"/>
          <w:szCs w:val="21"/>
          <w:highlight w:val="none"/>
          <w:lang w:val="en-US" w:eastAsia="zh-CN"/>
        </w:rPr>
      </w:pPr>
    </w:p>
    <w:p w14:paraId="3E436771">
      <w:pPr>
        <w:adjustRightInd w:val="0"/>
        <w:snapToGrid w:val="0"/>
        <w:spacing w:line="288" w:lineRule="auto"/>
        <w:jc w:val="center"/>
        <w:outlineLvl w:val="2"/>
        <w:rPr>
          <w:rFonts w:ascii="宋体" w:hAnsi="宋体" w:eastAsia="宋体" w:cs="宋体"/>
          <w:b/>
          <w:i w:val="0"/>
          <w:iCs w:val="0"/>
          <w:color w:val="auto"/>
          <w:spacing w:val="-6"/>
          <w:szCs w:val="21"/>
          <w:highlight w:val="none"/>
        </w:rPr>
      </w:pPr>
      <w:r>
        <w:rPr>
          <w:rFonts w:hint="eastAsia" w:ascii="宋体" w:hAnsi="宋体" w:eastAsia="宋体" w:cs="宋体"/>
          <w:b/>
          <w:i w:val="0"/>
          <w:iCs w:val="0"/>
          <w:color w:val="auto"/>
          <w:spacing w:val="-6"/>
          <w:szCs w:val="21"/>
          <w:highlight w:val="none"/>
          <w:lang w:val="en-US" w:eastAsia="zh-CN"/>
        </w:rPr>
        <w:t>1</w:t>
      </w:r>
      <w:r>
        <w:rPr>
          <w:rFonts w:hint="eastAsia" w:ascii="宋体" w:hAnsi="宋体" w:eastAsia="宋体" w:cs="宋体"/>
          <w:b/>
          <w:i w:val="0"/>
          <w:iCs w:val="0"/>
          <w:color w:val="auto"/>
          <w:spacing w:val="-6"/>
          <w:szCs w:val="21"/>
          <w:highlight w:val="none"/>
        </w:rPr>
        <w:t>）</w:t>
      </w:r>
      <w:r>
        <w:rPr>
          <w:rFonts w:ascii="宋体" w:hAnsi="宋体" w:eastAsia="宋体" w:cs="宋体"/>
          <w:b/>
          <w:i w:val="0"/>
          <w:iCs w:val="0"/>
          <w:color w:val="auto"/>
          <w:spacing w:val="-6"/>
          <w:szCs w:val="21"/>
          <w:highlight w:val="none"/>
        </w:rPr>
        <w:t>中小企业声明函（服务）</w:t>
      </w:r>
      <w:r>
        <w:rPr>
          <w:rFonts w:hint="eastAsia" w:ascii="宋体" w:hAnsi="宋体" w:eastAsia="宋体" w:cs="宋体"/>
          <w:b/>
          <w:i w:val="0"/>
          <w:iCs w:val="0"/>
          <w:color w:val="auto"/>
          <w:spacing w:val="-6"/>
          <w:szCs w:val="21"/>
          <w:highlight w:val="none"/>
        </w:rPr>
        <w:t>（若属于中小企业）</w:t>
      </w:r>
    </w:p>
    <w:p w14:paraId="4AD63D23">
      <w:pPr>
        <w:adjustRightInd w:val="0"/>
        <w:snapToGrid w:val="0"/>
        <w:spacing w:line="288" w:lineRule="auto"/>
        <w:ind w:firstLine="498" w:firstLineChars="236"/>
        <w:rPr>
          <w:rFonts w:ascii="宋体" w:hAnsi="宋体" w:eastAsia="宋体" w:cs="Times New Roman"/>
          <w:b/>
          <w:i w:val="0"/>
          <w:iCs w:val="0"/>
          <w:color w:val="auto"/>
          <w:szCs w:val="21"/>
          <w:highlight w:val="none"/>
        </w:rPr>
      </w:pPr>
    </w:p>
    <w:p w14:paraId="1323A6F8">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本公司（联合体）郑重声明，根据《政府采购促进中小企业发展管理办法》（财库</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2020</w:t>
      </w:r>
      <w:r>
        <w:rPr>
          <w:rFonts w:hint="eastAsia" w:ascii="宋体" w:hAnsi="宋体" w:eastAsia="宋体" w:cs="Times New Roman"/>
          <w:i w:val="0"/>
          <w:iCs w:val="0"/>
          <w:color w:val="auto"/>
          <w:szCs w:val="21"/>
          <w:highlight w:val="none"/>
        </w:rPr>
        <w:t>﹞</w:t>
      </w:r>
      <w:r>
        <w:rPr>
          <w:rFonts w:ascii="宋体" w:hAnsi="宋体" w:eastAsia="宋体" w:cs="Times New Roman"/>
          <w:i w:val="0"/>
          <w:iCs w:val="0"/>
          <w:color w:val="auto"/>
          <w:szCs w:val="21"/>
          <w:highlight w:val="none"/>
        </w:rPr>
        <w:t>46 号）的规定，本公司（联合体）参加</w:t>
      </w:r>
      <w:r>
        <w:rPr>
          <w:rFonts w:hint="eastAsia" w:ascii="宋体" w:hAnsi="宋体" w:eastAsia="宋体" w:cs="Times New Roman"/>
          <w:i w:val="0"/>
          <w:iCs w:val="0"/>
          <w:color w:val="auto"/>
          <w:szCs w:val="21"/>
          <w:highlight w:val="none"/>
          <w:u w:val="single"/>
          <w:lang w:val="en-US" w:eastAsia="zh-CN"/>
        </w:rPr>
        <w:t>杭州电子科技大学</w:t>
      </w:r>
      <w:r>
        <w:rPr>
          <w:rFonts w:ascii="宋体" w:hAnsi="宋体" w:eastAsia="宋体" w:cs="Times New Roman"/>
          <w:i w:val="0"/>
          <w:iCs w:val="0"/>
          <w:color w:val="auto"/>
          <w:szCs w:val="21"/>
          <w:highlight w:val="none"/>
        </w:rPr>
        <w:t>的</w:t>
      </w:r>
      <w:r>
        <w:rPr>
          <w:rFonts w:hint="eastAsia" w:ascii="宋体" w:hAnsi="宋体" w:eastAsia="宋体" w:cs="Times New Roman"/>
          <w:i w:val="0"/>
          <w:iCs w:val="0"/>
          <w:color w:val="auto"/>
          <w:szCs w:val="21"/>
          <w:highlight w:val="none"/>
          <w:u w:val="single"/>
        </w:rPr>
        <w:t>装备类仿真推演试验报告及方案</w:t>
      </w:r>
      <w:r>
        <w:rPr>
          <w:rFonts w:ascii="宋体" w:hAnsi="宋体" w:eastAsia="宋体" w:cs="Times New Roman"/>
          <w:i w:val="0"/>
          <w:iCs w:val="0"/>
          <w:color w:val="auto"/>
          <w:szCs w:val="21"/>
          <w:highlight w:val="none"/>
        </w:rPr>
        <w:t>采购活动，服务全部由符合政策要求的中小企业承接。相关企业（含联合体中的中小企业、签订分包意向协议的中小企业）的具体情况如下：</w:t>
      </w:r>
    </w:p>
    <w:p w14:paraId="52EB85C0">
      <w:pPr>
        <w:adjustRightInd w:val="0"/>
        <w:snapToGrid w:val="0"/>
        <w:spacing w:line="288" w:lineRule="auto"/>
        <w:ind w:firstLine="495" w:firstLineChars="236"/>
        <w:rPr>
          <w:rFonts w:hint="eastAsia" w:ascii="宋体" w:hAnsi="宋体" w:eastAsia="宋体" w:cs="Times New Roman"/>
          <w:i w:val="0"/>
          <w:iCs w:val="0"/>
          <w:color w:val="auto"/>
          <w:szCs w:val="21"/>
          <w:highlight w:val="none"/>
          <w:lang w:eastAsia="zh-CN"/>
        </w:rPr>
      </w:pPr>
      <w:r>
        <w:rPr>
          <w:rFonts w:hint="eastAsia" w:ascii="宋体" w:hAnsi="宋体" w:eastAsia="宋体" w:cs="Times New Roman"/>
          <w:i w:val="0"/>
          <w:iCs w:val="0"/>
          <w:color w:val="auto"/>
          <w:szCs w:val="21"/>
          <w:highlight w:val="none"/>
          <w:u w:val="single"/>
        </w:rPr>
        <w:t>1</w:t>
      </w:r>
      <w:r>
        <w:rPr>
          <w:rFonts w:ascii="宋体" w:hAnsi="宋体" w:eastAsia="宋体" w:cs="Times New Roman"/>
          <w:i w:val="0"/>
          <w:iCs w:val="0"/>
          <w:color w:val="auto"/>
          <w:szCs w:val="21"/>
          <w:highlight w:val="none"/>
          <w:u w:val="single"/>
        </w:rPr>
        <w:t>.</w:t>
      </w:r>
      <w:r>
        <w:rPr>
          <w:rFonts w:hint="eastAsia" w:ascii="宋体" w:hAnsi="宋体" w:eastAsia="宋体" w:cs="Times New Roman"/>
          <w:i w:val="0"/>
          <w:iCs w:val="0"/>
          <w:color w:val="auto"/>
          <w:szCs w:val="21"/>
          <w:highlight w:val="none"/>
          <w:u w:val="single"/>
        </w:rPr>
        <w:t>装备类仿真推演试验报告及方案</w:t>
      </w:r>
      <w:r>
        <w:rPr>
          <w:rFonts w:ascii="宋体" w:hAnsi="宋体" w:eastAsia="宋体" w:cs="Times New Roman"/>
          <w:i w:val="0"/>
          <w:iCs w:val="0"/>
          <w:color w:val="auto"/>
          <w:szCs w:val="21"/>
          <w:highlight w:val="none"/>
          <w:u w:val="single"/>
        </w:rPr>
        <w:t>，属于</w:t>
      </w:r>
      <w:r>
        <w:rPr>
          <w:rFonts w:hint="eastAsia" w:ascii="宋体" w:hAnsi="宋体" w:eastAsia="宋体" w:cs="Times New Roman"/>
          <w:i w:val="0"/>
          <w:iCs w:val="0"/>
          <w:color w:val="auto"/>
          <w:szCs w:val="21"/>
          <w:highlight w:val="none"/>
          <w:u w:val="single"/>
          <w:lang w:val="en-US" w:eastAsia="zh-CN"/>
        </w:rPr>
        <w:t>软件和信息技术服务业</w:t>
      </w:r>
      <w:r>
        <w:rPr>
          <w:rFonts w:ascii="宋体" w:hAnsi="宋体" w:eastAsia="宋体" w:cs="Times New Roman"/>
          <w:i w:val="0"/>
          <w:iCs w:val="0"/>
          <w:color w:val="auto"/>
          <w:szCs w:val="21"/>
          <w:highlight w:val="none"/>
          <w:u w:val="single"/>
        </w:rPr>
        <w:t>；</w:t>
      </w:r>
      <w:r>
        <w:rPr>
          <w:rFonts w:ascii="宋体" w:hAnsi="宋体" w:eastAsia="宋体" w:cs="Times New Roman"/>
          <w:i w:val="0"/>
          <w:iCs w:val="0"/>
          <w:color w:val="auto"/>
          <w:szCs w:val="21"/>
          <w:highlight w:val="none"/>
        </w:rPr>
        <w:t>承接企业为</w:t>
      </w:r>
      <w:r>
        <w:rPr>
          <w:rFonts w:ascii="宋体" w:hAnsi="宋体" w:eastAsia="宋体" w:cs="Times New Roman"/>
          <w:i w:val="0"/>
          <w:iCs w:val="0"/>
          <w:color w:val="auto"/>
          <w:szCs w:val="21"/>
          <w:highlight w:val="none"/>
          <w:u w:val="single"/>
        </w:rPr>
        <w:t>（企业名称）</w:t>
      </w:r>
      <w:r>
        <w:rPr>
          <w:rFonts w:ascii="宋体" w:hAnsi="宋体" w:eastAsia="宋体" w:cs="Times New Roman"/>
          <w:i w:val="0"/>
          <w:iCs w:val="0"/>
          <w:color w:val="auto"/>
          <w:szCs w:val="21"/>
          <w:highlight w:val="none"/>
        </w:rPr>
        <w:t>，从业人员</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人，营业收入为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万元，资产总额为</w:t>
      </w:r>
      <w:r>
        <w:rPr>
          <w:rFonts w:ascii="宋体" w:hAnsi="宋体" w:eastAsia="宋体" w:cs="Times New Roman"/>
          <w:i w:val="0"/>
          <w:iCs w:val="0"/>
          <w:color w:val="auto"/>
          <w:szCs w:val="21"/>
          <w:highlight w:val="none"/>
          <w:u w:val="single"/>
        </w:rPr>
        <w:t xml:space="preserve"> </w:t>
      </w:r>
      <w:r>
        <w:rPr>
          <w:rFonts w:ascii="宋体" w:hAnsi="宋体" w:eastAsia="宋体" w:cs="Times New Roman"/>
          <w:i w:val="0"/>
          <w:iCs w:val="0"/>
          <w:color w:val="auto"/>
          <w:szCs w:val="21"/>
          <w:highlight w:val="none"/>
          <w:u w:val="single"/>
        </w:rPr>
        <w:tab/>
      </w:r>
      <w:r>
        <w:rPr>
          <w:rFonts w:ascii="宋体" w:hAnsi="宋体" w:eastAsia="宋体" w:cs="Times New Roman"/>
          <w:i w:val="0"/>
          <w:iCs w:val="0"/>
          <w:color w:val="auto"/>
          <w:szCs w:val="21"/>
          <w:highlight w:val="none"/>
        </w:rPr>
        <w:t>万元，属于</w:t>
      </w:r>
      <w:r>
        <w:rPr>
          <w:rFonts w:ascii="宋体" w:hAnsi="宋体" w:eastAsia="宋体" w:cs="Times New Roman"/>
          <w:i w:val="0"/>
          <w:iCs w:val="0"/>
          <w:color w:val="auto"/>
          <w:szCs w:val="21"/>
          <w:highlight w:val="none"/>
          <w:u w:val="single"/>
        </w:rPr>
        <w:t>（中型企业、小型企业、微型企业）</w:t>
      </w:r>
      <w:r>
        <w:rPr>
          <w:rFonts w:hint="eastAsia" w:ascii="宋体" w:hAnsi="宋体" w:eastAsia="宋体" w:cs="Times New Roman"/>
          <w:i w:val="0"/>
          <w:iCs w:val="0"/>
          <w:color w:val="auto"/>
          <w:szCs w:val="21"/>
          <w:highlight w:val="none"/>
          <w:lang w:eastAsia="zh-CN"/>
        </w:rPr>
        <w:t>。</w:t>
      </w:r>
    </w:p>
    <w:p w14:paraId="69980C61">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以上企业，不属于大企业的分支机构，不存在控股股东为大企业的情形，也不存在与大企业的负责人为同一人的情形。</w:t>
      </w:r>
    </w:p>
    <w:p w14:paraId="6B5640F1">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本企业对上述声明内容的真实性负责。如有虚假，将依法承担相应责任。</w:t>
      </w:r>
    </w:p>
    <w:p w14:paraId="60D48807">
      <w:pPr>
        <w:adjustRightInd w:val="0"/>
        <w:snapToGrid w:val="0"/>
        <w:spacing w:line="288" w:lineRule="auto"/>
        <w:ind w:firstLine="495" w:firstLineChars="236"/>
        <w:rPr>
          <w:rFonts w:ascii="宋体" w:hAnsi="宋体" w:eastAsia="宋体" w:cs="Times New Roman"/>
          <w:i w:val="0"/>
          <w:iCs w:val="0"/>
          <w:color w:val="auto"/>
          <w:szCs w:val="21"/>
          <w:highlight w:val="none"/>
        </w:rPr>
      </w:pPr>
      <w:r>
        <w:rPr>
          <w:rFonts w:ascii="宋体" w:hAnsi="宋体" w:eastAsia="宋体" w:cs="Times New Roman"/>
          <w:i w:val="0"/>
          <w:iCs w:val="0"/>
          <w:color w:val="auto"/>
          <w:szCs w:val="21"/>
          <w:highlight w:val="none"/>
        </w:rPr>
        <w:t>企业名称（盖章）：</w:t>
      </w:r>
    </w:p>
    <w:p w14:paraId="7A77874C">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14:paraId="6BC8370E">
      <w:pPr>
        <w:adjustRightInd w:val="0"/>
        <w:snapToGrid w:val="0"/>
        <w:spacing w:line="288" w:lineRule="auto"/>
        <w:ind w:firstLine="495" w:firstLineChars="236"/>
        <w:rPr>
          <w:rFonts w:ascii="宋体" w:hAnsi="宋体" w:eastAsia="宋体" w:cs="Times New Roman"/>
          <w:color w:val="auto"/>
          <w:szCs w:val="21"/>
          <w:highlight w:val="none"/>
        </w:rPr>
      </w:pPr>
    </w:p>
    <w:p w14:paraId="36566C5D">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6CD05369">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1.标的名称，按照【招标文件】中明确的标的填写；</w:t>
      </w:r>
    </w:p>
    <w:p w14:paraId="3C39F1DE">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2.所属行业，按照【招标文件】中明确的标的“所属行业”填写；</w:t>
      </w:r>
    </w:p>
    <w:p w14:paraId="58D7AC44">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r>
        <w:rPr>
          <w:rFonts w:hint="eastAsia" w:ascii="宋体" w:hAnsi="宋体" w:eastAsia="宋体" w:cs="宋体"/>
          <w:i w:val="0"/>
          <w:iCs w:val="0"/>
          <w:color w:val="auto"/>
          <w:sz w:val="21"/>
          <w:szCs w:val="21"/>
          <w:highlight w:val="none"/>
        </w:rPr>
        <w:t>承建（承接）企业</w:t>
      </w:r>
      <w:r>
        <w:rPr>
          <w:rFonts w:hint="eastAsia" w:ascii="宋体" w:hAnsi="宋体" w:eastAsia="宋体" w:cs="宋体"/>
          <w:i w:val="0"/>
          <w:iCs w:val="0"/>
          <w:color w:val="auto"/>
          <w:sz w:val="21"/>
          <w:szCs w:val="21"/>
          <w:highlight w:val="none"/>
          <w:lang w:eastAsia="zh-CN"/>
        </w:rPr>
        <w:t>，工程由中小企业承建，即工程施工单位为中小企业（服务由中小企业承接，即提供服务的人员为中小企业依照《中华人民共和国劳动合同法》订立劳动合同的从业人员）</w:t>
      </w:r>
      <w:r>
        <w:rPr>
          <w:rFonts w:hint="eastAsia" w:ascii="宋体" w:hAnsi="宋体" w:eastAsia="宋体" w:cs="宋体"/>
          <w:i w:val="0"/>
          <w:iCs w:val="0"/>
          <w:color w:val="auto"/>
          <w:sz w:val="21"/>
          <w:szCs w:val="21"/>
          <w:highlight w:val="none"/>
          <w:lang w:val="en-US" w:eastAsia="zh-CN"/>
        </w:rPr>
        <w:t>；</w:t>
      </w:r>
    </w:p>
    <w:p w14:paraId="59DE7FE5">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4</w:t>
      </w:r>
      <w:r>
        <w:rPr>
          <w:rFonts w:hint="eastAsia" w:ascii="宋体" w:hAnsi="宋体" w:eastAsia="宋体" w:cs="宋体"/>
          <w:i w:val="0"/>
          <w:iCs w:val="0"/>
          <w:color w:val="auto"/>
          <w:sz w:val="21"/>
          <w:szCs w:val="21"/>
          <w:highlight w:val="none"/>
        </w:rPr>
        <w:t>.从业人员、营业收入、资产总额填报上一年度数据，无上一年度数据的新成立企业可不填报。</w:t>
      </w:r>
    </w:p>
    <w:p w14:paraId="4CC389E8">
      <w:pPr>
        <w:keepNext w:val="0"/>
        <w:keepLines w:val="0"/>
        <w:pageBreakBefore w:val="0"/>
        <w:widowControl w:val="0"/>
        <w:kinsoku/>
        <w:wordWrap/>
        <w:overflowPunct/>
        <w:topLinePunct w:val="0"/>
        <w:autoSpaceDE/>
        <w:bidi w:val="0"/>
        <w:adjustRightInd w:val="0"/>
        <w:snapToGrid w:val="0"/>
        <w:spacing w:line="288" w:lineRule="auto"/>
        <w:ind w:firstLine="495" w:firstLineChars="236"/>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5.企业类型（包括新成立企业），按照《中小企业划型标准规定》（工信部联企业〔2011〕300号）规定和【招标文件】中明确的标的“所属行业”，选择“中型企业、小型企业、微型企业”其中之一；</w:t>
      </w:r>
    </w:p>
    <w:p w14:paraId="6410714F">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宋体"/>
          <w:i w:val="0"/>
          <w:iCs w:val="0"/>
          <w:color w:val="auto"/>
          <w:sz w:val="21"/>
          <w:szCs w:val="21"/>
          <w:highlight w:val="none"/>
          <w:lang w:val="en-US" w:eastAsia="zh-CN"/>
        </w:rPr>
        <w:t>6.</w:t>
      </w:r>
      <w:r>
        <w:rPr>
          <w:rFonts w:hint="eastAsia" w:ascii="宋体" w:hAnsi="宋体" w:eastAsia="宋体" w:cs="宋体"/>
          <w:i w:val="0"/>
          <w:iCs w:val="0"/>
          <w:color w:val="auto"/>
          <w:sz w:val="21"/>
          <w:szCs w:val="21"/>
          <w:highlight w:val="none"/>
        </w:rPr>
        <w:t>招标文件中明确的标的是能够独立发挥功能的产品，配件、辅料不作为标的，不需要在《中小企业声明函》里填列。</w:t>
      </w:r>
    </w:p>
    <w:p w14:paraId="2F6C5995">
      <w:pPr>
        <w:adjustRightInd w:val="0"/>
        <w:snapToGrid w:val="0"/>
        <w:spacing w:line="288" w:lineRule="auto"/>
        <w:jc w:val="center"/>
        <w:outlineLvl w:val="2"/>
        <w:rPr>
          <w:rFonts w:ascii="宋体" w:hAnsi="宋体" w:eastAsia="宋体" w:cs="宋体"/>
          <w:color w:val="auto"/>
          <w:kern w:val="0"/>
          <w:szCs w:val="21"/>
          <w:highlight w:val="none"/>
        </w:rPr>
      </w:pPr>
      <w:r>
        <w:rPr>
          <w:rFonts w:ascii="宋体" w:hAnsi="宋体" w:eastAsia="宋体" w:cs="Times New Roman"/>
          <w:b/>
          <w:bCs/>
          <w:color w:val="auto"/>
          <w:szCs w:val="21"/>
          <w:highlight w:val="none"/>
        </w:rPr>
        <w:br w:type="page"/>
      </w:r>
      <w:r>
        <w:rPr>
          <w:rFonts w:hint="eastAsia" w:ascii="宋体" w:hAnsi="宋体" w:eastAsia="宋体" w:cs="宋体"/>
          <w:b/>
          <w:color w:val="auto"/>
          <w:spacing w:val="-6"/>
          <w:szCs w:val="21"/>
          <w:highlight w:val="none"/>
          <w:lang w:val="en-US" w:eastAsia="zh-CN"/>
        </w:rPr>
        <w:t>2</w:t>
      </w:r>
      <w:r>
        <w:rPr>
          <w:rFonts w:hint="eastAsia" w:ascii="宋体" w:hAnsi="宋体" w:eastAsia="宋体" w:cs="宋体"/>
          <w:b/>
          <w:color w:val="auto"/>
          <w:spacing w:val="-6"/>
          <w:szCs w:val="21"/>
          <w:highlight w:val="none"/>
        </w:rPr>
        <w:t>）属于监狱企业的证明文件（若属于监狱企业）</w:t>
      </w:r>
    </w:p>
    <w:p w14:paraId="27285BD2">
      <w:pPr>
        <w:adjustRightInd w:val="0"/>
        <w:snapToGrid w:val="0"/>
        <w:spacing w:line="288" w:lineRule="auto"/>
        <w:rPr>
          <w:rFonts w:ascii="宋体" w:hAnsi="宋体" w:eastAsia="宋体" w:cs="宋体"/>
          <w:color w:val="auto"/>
          <w:kern w:val="0"/>
          <w:szCs w:val="21"/>
          <w:highlight w:val="none"/>
        </w:rPr>
      </w:pPr>
    </w:p>
    <w:p w14:paraId="52CBCAD8">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14:paraId="1B8E0FCA">
      <w:pPr>
        <w:adjustRightInd w:val="0"/>
        <w:snapToGrid w:val="0"/>
        <w:spacing w:line="288" w:lineRule="auto"/>
        <w:rPr>
          <w:rFonts w:ascii="宋体" w:hAnsi="宋体" w:eastAsia="宋体"/>
          <w:color w:val="auto"/>
          <w:szCs w:val="21"/>
          <w:highlight w:val="none"/>
        </w:rPr>
      </w:pPr>
    </w:p>
    <w:p w14:paraId="76406EC0">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484FAD05">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120444BA">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14:paraId="591EC4B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3E26BA6D">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lang w:val="en-US" w:eastAsia="zh-CN"/>
        </w:rPr>
        <w:t>3</w:t>
      </w:r>
      <w:r>
        <w:rPr>
          <w:rFonts w:hint="eastAsia" w:ascii="宋体" w:hAnsi="宋体" w:eastAsia="宋体" w:cs="宋体"/>
          <w:b/>
          <w:color w:val="auto"/>
          <w:spacing w:val="-6"/>
          <w:szCs w:val="21"/>
          <w:highlight w:val="none"/>
        </w:rPr>
        <w:t>）残疾人福利性单位声明函（若属于残疾人福利性单位）</w:t>
      </w:r>
    </w:p>
    <w:p w14:paraId="519502FC">
      <w:pPr>
        <w:adjustRightInd w:val="0"/>
        <w:snapToGrid w:val="0"/>
        <w:spacing w:line="288" w:lineRule="auto"/>
        <w:rPr>
          <w:rFonts w:ascii="宋体" w:hAnsi="宋体" w:eastAsia="宋体" w:cs="Times New Roman"/>
          <w:b/>
          <w:color w:val="auto"/>
          <w:spacing w:val="6"/>
          <w:szCs w:val="21"/>
          <w:highlight w:val="none"/>
        </w:rPr>
      </w:pPr>
    </w:p>
    <w:p w14:paraId="2AE3CA01">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由本单位承担工程/提供服务），或者提供其他残疾人福利性单位制造的货物（不包括使用非残疾人福利性单位注册商标的货物）。</w:t>
      </w:r>
    </w:p>
    <w:p w14:paraId="31A34653">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14:paraId="33C6A100">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14:paraId="41C1A203">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14:paraId="589FFDC4">
      <w:pPr>
        <w:adjustRightInd w:val="0"/>
        <w:snapToGrid w:val="0"/>
        <w:spacing w:line="288" w:lineRule="auto"/>
        <w:rPr>
          <w:rFonts w:ascii="宋体" w:hAnsi="宋体" w:eastAsia="宋体"/>
          <w:color w:val="auto"/>
          <w:szCs w:val="21"/>
          <w:highlight w:val="none"/>
        </w:rPr>
      </w:pPr>
    </w:p>
    <w:p w14:paraId="51E61365">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14:paraId="6B3436F0">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14:paraId="1724C5D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14:paraId="317E4F0A">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14:paraId="6315696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14:paraId="54C0737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14:paraId="79880327">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36C5D706">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32D0306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14:paraId="59AB73DB">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14:paraId="3FD2E9ED">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14:paraId="472589BA">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AD74AAF">
      <w:pPr>
        <w:adjustRightInd w:val="0"/>
        <w:snapToGrid w:val="0"/>
        <w:spacing w:line="288" w:lineRule="auto"/>
        <w:jc w:val="left"/>
        <w:outlineLvl w:val="2"/>
        <w:rPr>
          <w:rFonts w:hint="eastAsia" w:ascii="宋体" w:hAnsi="宋体" w:eastAsia="宋体" w:cs="宋体"/>
          <w:b/>
          <w:color w:val="auto"/>
          <w:spacing w:val="-6"/>
          <w:szCs w:val="21"/>
          <w:highlight w:val="none"/>
          <w:lang w:val="en-US" w:eastAsia="zh-CN"/>
        </w:rPr>
      </w:pPr>
      <w:r>
        <w:rPr>
          <w:rFonts w:hint="eastAsia" w:ascii="宋体" w:hAnsi="宋体" w:eastAsia="宋体" w:cs="宋体"/>
          <w:b/>
          <w:color w:val="auto"/>
          <w:spacing w:val="-6"/>
          <w:szCs w:val="21"/>
          <w:highlight w:val="none"/>
          <w:lang w:val="en-US" w:eastAsia="zh-CN"/>
        </w:rPr>
        <w:t>4）联合协议</w:t>
      </w:r>
    </w:p>
    <w:p w14:paraId="3EEE9B2E">
      <w:pPr>
        <w:rPr>
          <w:rFonts w:hint="eastAsia" w:ascii="宋体" w:hAnsi="宋体" w:eastAsia="宋体" w:cs="宋体"/>
          <w:b/>
          <w:color w:val="auto"/>
          <w:spacing w:val="-6"/>
          <w:szCs w:val="21"/>
          <w:highlight w:val="none"/>
          <w:lang w:val="en-US" w:eastAsia="zh-CN"/>
        </w:rPr>
      </w:pPr>
      <w:r>
        <w:rPr>
          <w:rFonts w:hint="eastAsia" w:ascii="宋体" w:hAnsi="宋体" w:eastAsia="宋体" w:cs="宋体"/>
          <w:b/>
          <w:color w:val="auto"/>
          <w:spacing w:val="-6"/>
          <w:szCs w:val="21"/>
          <w:highlight w:val="none"/>
          <w:lang w:val="en-US" w:eastAsia="zh-CN"/>
        </w:rPr>
        <w:br w:type="page"/>
      </w:r>
    </w:p>
    <w:p w14:paraId="491CAB50">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14:paraId="1154B1F3">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414A91">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14:paraId="5614A046">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4869C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14:paraId="195725A9">
      <w:pPr>
        <w:adjustRightInd w:val="0"/>
        <w:snapToGrid w:val="0"/>
        <w:spacing w:line="288" w:lineRule="auto"/>
        <w:rPr>
          <w:rFonts w:ascii="宋体" w:hAnsi="宋体" w:eastAsia="宋体" w:cs="Times New Roman"/>
          <w:color w:val="auto"/>
          <w:spacing w:val="-6"/>
          <w:szCs w:val="21"/>
          <w:highlight w:val="none"/>
        </w:rPr>
      </w:pPr>
    </w:p>
    <w:p w14:paraId="42C9782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14:paraId="7C4DBB87">
      <w:pPr>
        <w:adjustRightInd w:val="0"/>
        <w:snapToGrid w:val="0"/>
        <w:spacing w:line="288" w:lineRule="auto"/>
        <w:ind w:firstLine="396" w:firstLineChars="200"/>
        <w:rPr>
          <w:rFonts w:ascii="宋体" w:hAnsi="宋体" w:eastAsia="宋体" w:cs="Times New Roman"/>
          <w:color w:val="auto"/>
          <w:spacing w:val="-6"/>
          <w:szCs w:val="21"/>
          <w:highlight w:val="none"/>
        </w:rPr>
      </w:pPr>
    </w:p>
    <w:p w14:paraId="275A0BFC">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杭州电子科技大学装备类仿真推演试验报告及方案</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QSZBB250074ZFGK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14:paraId="39E4A3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14:paraId="39C1F81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14:paraId="11A2DE5A">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14:paraId="574EB414">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14:paraId="285836E6">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14:paraId="791FC69E">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6BE98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13BA8F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14:paraId="347F4CC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3364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9A3196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14:paraId="6D8C72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27B1A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EDBCF1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14:paraId="0375DF8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1BC8F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6776D7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14:paraId="1B9448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54D42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2FB7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14:paraId="35356A0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3117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BD111B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14:paraId="2CC9806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14:paraId="6D444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1BCD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14:paraId="5C89049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14:paraId="69CF19CB">
      <w:pPr>
        <w:adjustRightInd w:val="0"/>
        <w:snapToGrid w:val="0"/>
        <w:spacing w:line="288" w:lineRule="auto"/>
        <w:rPr>
          <w:rFonts w:ascii="宋体" w:hAnsi="宋体" w:eastAsia="宋体" w:cs="Times New Roman"/>
          <w:color w:val="auto"/>
          <w:spacing w:val="-6"/>
          <w:szCs w:val="21"/>
          <w:highlight w:val="none"/>
        </w:rPr>
      </w:pPr>
    </w:p>
    <w:p w14:paraId="260DE583">
      <w:pPr>
        <w:adjustRightInd w:val="0"/>
        <w:snapToGrid w:val="0"/>
        <w:spacing w:line="288" w:lineRule="auto"/>
        <w:rPr>
          <w:rFonts w:ascii="宋体" w:hAnsi="宋体" w:eastAsia="宋体" w:cs="Times New Roman"/>
          <w:color w:val="auto"/>
          <w:spacing w:val="-6"/>
          <w:szCs w:val="21"/>
          <w:highlight w:val="none"/>
        </w:rPr>
      </w:pPr>
    </w:p>
    <w:p w14:paraId="318AB8CC">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490DE82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7270A2D6">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17BDE006">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14:paraId="691ED2CB">
      <w:pPr>
        <w:adjustRightInd w:val="0"/>
        <w:snapToGrid w:val="0"/>
        <w:spacing w:line="288" w:lineRule="auto"/>
        <w:rPr>
          <w:rFonts w:ascii="宋体" w:hAnsi="宋体" w:eastAsia="宋体" w:cs="Times New Roman"/>
          <w:b/>
          <w:bCs/>
          <w:color w:val="auto"/>
          <w:spacing w:val="-6"/>
          <w:szCs w:val="21"/>
          <w:highlight w:val="none"/>
        </w:rPr>
      </w:pPr>
    </w:p>
    <w:p w14:paraId="66F419B9">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14:paraId="3E15F18B">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杭州电子科技大学装备类仿真推演试验报告及方案</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QSZBB250074ZFGK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14:paraId="3255C4DF">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14:paraId="0694CD6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14:paraId="2E1519A2">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14:paraId="111C08ED">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2024年7月（含）</w:t>
      </w:r>
      <w:r>
        <w:rPr>
          <w:rFonts w:hint="eastAsia" w:ascii="宋体" w:hAnsi="宋体" w:eastAsia="宋体" w:cs="Times New Roman"/>
          <w:color w:val="auto"/>
          <w:spacing w:val="-6"/>
          <w:szCs w:val="21"/>
          <w:highlight w:val="none"/>
          <w:u w:val="single"/>
        </w:rPr>
        <w:t>以后任意一月）。</w:t>
      </w:r>
    </w:p>
    <w:p w14:paraId="2E89BE72">
      <w:pPr>
        <w:adjustRightInd w:val="0"/>
        <w:snapToGrid w:val="0"/>
        <w:spacing w:line="288" w:lineRule="auto"/>
        <w:rPr>
          <w:rFonts w:ascii="宋体" w:hAnsi="宋体" w:eastAsia="宋体" w:cs="Times New Roman"/>
          <w:color w:val="auto"/>
          <w:spacing w:val="-6"/>
          <w:szCs w:val="21"/>
          <w:highlight w:val="none"/>
        </w:rPr>
      </w:pPr>
    </w:p>
    <w:p w14:paraId="279324C9">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2A81CE9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6AD7AE31">
      <w:pPr>
        <w:adjustRightInd w:val="0"/>
        <w:snapToGrid w:val="0"/>
        <w:spacing w:line="288" w:lineRule="auto"/>
        <w:rPr>
          <w:rFonts w:ascii="宋体" w:hAnsi="宋体" w:eastAsia="宋体" w:cs="Times New Roman"/>
          <w:color w:val="auto"/>
          <w:szCs w:val="21"/>
          <w:highlight w:val="none"/>
        </w:rPr>
      </w:pPr>
    </w:p>
    <w:p w14:paraId="244DAF51">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14:paraId="0C8AE6BA">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14:paraId="4A0FAE34">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14:paraId="03C683F9">
      <w:pPr>
        <w:adjustRightInd w:val="0"/>
        <w:snapToGrid w:val="0"/>
        <w:spacing w:line="288" w:lineRule="auto"/>
        <w:rPr>
          <w:rFonts w:ascii="宋体" w:hAnsi="宋体" w:eastAsia="宋体" w:cs="Times New Roman"/>
          <w:color w:val="auto"/>
          <w:szCs w:val="21"/>
          <w:highlight w:val="none"/>
        </w:rPr>
      </w:pPr>
    </w:p>
    <w:p w14:paraId="60691A99">
      <w:pPr>
        <w:adjustRightInd w:val="0"/>
        <w:snapToGrid w:val="0"/>
        <w:spacing w:line="288" w:lineRule="auto"/>
        <w:rPr>
          <w:rFonts w:ascii="宋体" w:hAnsi="宋体" w:eastAsia="宋体" w:cs="Times New Roman"/>
          <w:color w:val="auto"/>
          <w:szCs w:val="21"/>
          <w:highlight w:val="none"/>
        </w:rPr>
      </w:pPr>
    </w:p>
    <w:p w14:paraId="6543E901">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14:paraId="6EF78BB6">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14:paraId="3A614672">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4DC2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86825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14:paraId="021FBB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14:paraId="7C366133">
      <w:pPr>
        <w:adjustRightInd w:val="0"/>
        <w:snapToGrid w:val="0"/>
        <w:spacing w:line="288" w:lineRule="auto"/>
        <w:rPr>
          <w:rFonts w:ascii="Times New Roman" w:hAnsi="Times New Roman" w:eastAsia="宋体" w:cs="Times New Roman"/>
          <w:color w:val="auto"/>
          <w:szCs w:val="21"/>
          <w:highlight w:val="none"/>
        </w:rPr>
      </w:pPr>
    </w:p>
    <w:p w14:paraId="0347B038">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14:paraId="1972D3BB">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2024年7月（含）</w:t>
      </w:r>
      <w:r>
        <w:rPr>
          <w:rFonts w:hint="eastAsia" w:ascii="宋体" w:hAnsi="宋体" w:eastAsia="宋体" w:cs="Times New Roman"/>
          <w:b/>
          <w:bCs/>
          <w:color w:val="auto"/>
          <w:szCs w:val="21"/>
          <w:highlight w:val="none"/>
        </w:rPr>
        <w:t>以后任意一月）</w:t>
      </w:r>
    </w:p>
    <w:p w14:paraId="63FFED4C">
      <w:pPr>
        <w:rPr>
          <w:rFonts w:ascii="Times New Roman" w:hAnsi="Times New Roman" w:eastAsia="宋体" w:cs="Times New Roman"/>
          <w:color w:val="auto"/>
          <w:szCs w:val="21"/>
          <w:highlight w:val="none"/>
        </w:rPr>
      </w:pPr>
    </w:p>
    <w:p w14:paraId="7DA4A075">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4E9E916A">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48F6B9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2D7DDCB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7631307B">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12C1D5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7119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3BBB953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14:paraId="2591702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4C7F91D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17F3F7C4">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5D25764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14:paraId="12EB7CF1">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14:paraId="7D17DD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DFD1F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DA8E03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672C86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095473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2CF7614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0FA9B3A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D5A708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0AEDBCE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1E033C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A93444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29F55B9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7FE38675">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6BCDFA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68FBA38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5D884C8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725F59F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1FF00A2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26EB1E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37D1272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5F99329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784B40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2A2FD85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4C7991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29A9227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2C33BF3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36D2969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4050C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B1DA9DC">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775249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3BBE50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3121A25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AB7CFD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7D1474E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54102D1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14:paraId="2E668750">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14:paraId="36B7CE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C8B46A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EB8343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14:paraId="513E620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14:paraId="7EA50AF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14:paraId="1CC8CE4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14:paraId="10700FB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14:paraId="072E80B6">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14:paraId="4BDD67E3">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7BB882B0">
      <w:pPr>
        <w:adjustRightInd w:val="0"/>
        <w:snapToGrid w:val="0"/>
        <w:spacing w:line="288" w:lineRule="auto"/>
        <w:rPr>
          <w:rFonts w:ascii="宋体" w:hAnsi="宋体" w:eastAsia="宋体" w:cs="Times New Roman"/>
          <w:color w:val="auto"/>
          <w:szCs w:val="21"/>
          <w:highlight w:val="none"/>
        </w:rPr>
      </w:pPr>
    </w:p>
    <w:p w14:paraId="0A2D736E">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14:paraId="3C37947B">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14:paraId="7D568621">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14:paraId="759C3A06">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14:paraId="7CEAE8DD">
      <w:pPr>
        <w:adjustRightInd w:val="0"/>
        <w:snapToGrid w:val="0"/>
        <w:spacing w:line="288" w:lineRule="auto"/>
        <w:rPr>
          <w:rFonts w:ascii="宋体" w:hAnsi="宋体" w:eastAsia="宋体" w:cs="Times New Roman"/>
          <w:color w:val="auto"/>
          <w:spacing w:val="-6"/>
          <w:szCs w:val="21"/>
          <w:highlight w:val="none"/>
        </w:rPr>
      </w:pPr>
    </w:p>
    <w:p w14:paraId="6E3DE3F5">
      <w:pPr>
        <w:adjustRightInd w:val="0"/>
        <w:snapToGrid w:val="0"/>
        <w:spacing w:line="288" w:lineRule="auto"/>
        <w:rPr>
          <w:rFonts w:ascii="宋体" w:hAnsi="宋体" w:eastAsia="宋体" w:cs="Times New Roman"/>
          <w:color w:val="auto"/>
          <w:spacing w:val="-6"/>
          <w:szCs w:val="21"/>
          <w:highlight w:val="none"/>
        </w:rPr>
      </w:pPr>
    </w:p>
    <w:p w14:paraId="1F46849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1B927567">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0EE8409D">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14:paraId="7C1B9CC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14:paraId="418B24E0">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6B5CE839">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装备类仿真推演试验报告及方案</w:t>
      </w:r>
    </w:p>
    <w:p w14:paraId="1F7E0C6C">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QSZBB250074ZFGK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4C096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EC78B3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6D1621A7">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9D890D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714779BC">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14:paraId="42A6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35573262">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14:paraId="11997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28F143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4DBA1ECB">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702CD0E8">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602EFA5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1EFB7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E673463">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50C29B5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3887E5E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376258A4">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24841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CD4482A">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7061C4FE">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14:paraId="2E789987">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14:paraId="2374EA9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14:paraId="5CB29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7F200DDD">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14:paraId="552B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A5FBA6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14:paraId="3CD1517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4AB6CD2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69A44C64">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59EA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613ADED">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14:paraId="703322C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5AC095DC">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9819366">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14:paraId="72CCC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1FB23E9">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14:paraId="43458E62">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14:paraId="1BB8933B">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14:paraId="4EFFEE27">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bl>
    <w:p w14:paraId="49E53099">
      <w:pPr>
        <w:adjustRightInd w:val="0"/>
        <w:snapToGrid w:val="0"/>
        <w:spacing w:line="288" w:lineRule="auto"/>
        <w:rPr>
          <w:rFonts w:ascii="宋体" w:hAnsi="宋体" w:eastAsia="宋体" w:cs="Times New Roman"/>
          <w:b/>
          <w:bCs/>
          <w:color w:val="auto"/>
          <w:spacing w:val="-6"/>
          <w:szCs w:val="21"/>
          <w:highlight w:val="none"/>
        </w:rPr>
      </w:pPr>
    </w:p>
    <w:p w14:paraId="59B65B82">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1423DF90">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14:paraId="7791B2E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14:paraId="76F72310">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14:paraId="00CE40A6">
      <w:pPr>
        <w:adjustRightInd w:val="0"/>
        <w:snapToGrid w:val="0"/>
        <w:spacing w:line="288" w:lineRule="auto"/>
        <w:rPr>
          <w:rFonts w:ascii="宋体" w:hAnsi="宋体" w:eastAsia="宋体" w:cs="Times New Roman"/>
          <w:color w:val="auto"/>
          <w:spacing w:val="-6"/>
          <w:szCs w:val="21"/>
          <w:highlight w:val="none"/>
        </w:rPr>
      </w:pPr>
    </w:p>
    <w:p w14:paraId="40D95B4E">
      <w:pPr>
        <w:adjustRightInd w:val="0"/>
        <w:snapToGrid w:val="0"/>
        <w:spacing w:line="288" w:lineRule="auto"/>
        <w:rPr>
          <w:rFonts w:ascii="宋体" w:hAnsi="宋体" w:eastAsia="宋体" w:cs="Times New Roman"/>
          <w:color w:val="auto"/>
          <w:spacing w:val="-6"/>
          <w:szCs w:val="21"/>
          <w:highlight w:val="none"/>
        </w:rPr>
      </w:pPr>
    </w:p>
    <w:p w14:paraId="48C4EFBE">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00C54355">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3AB450C2">
      <w:pPr>
        <w:adjustRightInd w:val="0"/>
        <w:snapToGrid w:val="0"/>
        <w:spacing w:line="288" w:lineRule="auto"/>
        <w:jc w:val="left"/>
        <w:outlineLvl w:val="2"/>
        <w:rPr>
          <w:rFonts w:hint="eastAsia" w:ascii="宋体" w:hAnsi="宋体" w:eastAsia="宋体" w:cs="宋体"/>
          <w:b/>
          <w:color w:val="auto"/>
          <w:spacing w:val="-6"/>
          <w:szCs w:val="21"/>
          <w:highlight w:val="none"/>
          <w:lang w:val="en-US" w:eastAsia="zh-CN"/>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服务</w:t>
      </w:r>
      <w:r>
        <w:rPr>
          <w:rFonts w:hint="eastAsia" w:ascii="宋体" w:hAnsi="宋体" w:eastAsia="宋体" w:cs="宋体"/>
          <w:b/>
          <w:color w:val="auto"/>
          <w:spacing w:val="-6"/>
          <w:szCs w:val="21"/>
          <w:highlight w:val="none"/>
        </w:rPr>
        <w:t>方</w:t>
      </w:r>
      <w:r>
        <w:rPr>
          <w:rFonts w:hint="eastAsia" w:ascii="宋体" w:hAnsi="宋体" w:eastAsia="宋体" w:cs="宋体"/>
          <w:b/>
          <w:color w:val="auto"/>
          <w:spacing w:val="-6"/>
          <w:szCs w:val="21"/>
          <w:highlight w:val="none"/>
          <w:lang w:val="en-US" w:eastAsia="zh-CN"/>
        </w:rPr>
        <w:t>案</w:t>
      </w:r>
    </w:p>
    <w:p w14:paraId="619B5759">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6</w:t>
      </w:r>
      <w:r>
        <w:rPr>
          <w:rFonts w:hint="eastAsia" w:ascii="宋体" w:hAnsi="宋体" w:eastAsia="宋体" w:cs="宋体"/>
          <w:b/>
          <w:color w:val="auto"/>
          <w:spacing w:val="-6"/>
          <w:szCs w:val="21"/>
          <w:highlight w:val="none"/>
        </w:rPr>
        <w:t>）投标人需要说明的其他文件和材料。</w:t>
      </w:r>
    </w:p>
    <w:p w14:paraId="0145D06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6DC66217">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14:paraId="2553AF0C">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14:paraId="192C6F11">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14:paraId="60A68CE1">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14:paraId="1D023D44">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装备类仿真推演试验报告及方案</w:t>
      </w:r>
    </w:p>
    <w:p w14:paraId="4ADB52CD">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QSZBB250074ZFGK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13BB86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6E3A581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2378106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49B4B4D">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bookmarkStart w:id="58" w:name="_Hlk177717733"/>
            <w:r>
              <w:rPr>
                <w:rFonts w:hint="eastAsia" w:ascii="宋体" w:hAnsi="宋体" w:eastAsia="宋体" w:cs="宋体"/>
                <w:b/>
                <w:bCs/>
                <w:color w:val="auto"/>
                <w:sz w:val="21"/>
                <w:szCs w:val="21"/>
                <w:highlight w:val="none"/>
              </w:rPr>
              <w:t>规格型号</w:t>
            </w:r>
          </w:p>
          <w:p w14:paraId="6654D31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或具体服务</w:t>
            </w:r>
            <w:bookmarkEnd w:id="58"/>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417818E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53" w:type="dxa"/>
            <w:tcBorders>
              <w:top w:val="single" w:color="auto" w:sz="4" w:space="0"/>
              <w:left w:val="single" w:color="auto" w:sz="4" w:space="0"/>
              <w:bottom w:val="single" w:color="auto" w:sz="4" w:space="0"/>
              <w:right w:val="single" w:color="auto" w:sz="4" w:space="0"/>
            </w:tcBorders>
            <w:shd w:val="clear" w:color="auto" w:fill="auto"/>
            <w:vAlign w:val="center"/>
          </w:tcPr>
          <w:p w14:paraId="40252C1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c>
          <w:tcPr>
            <w:tcW w:w="1194" w:type="dxa"/>
            <w:tcBorders>
              <w:top w:val="single" w:color="auto" w:sz="4" w:space="0"/>
              <w:left w:val="single" w:color="auto" w:sz="4" w:space="0"/>
              <w:bottom w:val="single" w:color="auto" w:sz="4" w:space="0"/>
              <w:right w:val="single" w:color="auto" w:sz="4" w:space="0"/>
            </w:tcBorders>
            <w:shd w:val="clear" w:color="auto" w:fill="auto"/>
            <w:vAlign w:val="center"/>
          </w:tcPr>
          <w:p w14:paraId="628EFB4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★制造商</w:t>
            </w:r>
          </w:p>
        </w:tc>
        <w:tc>
          <w:tcPr>
            <w:tcW w:w="1012" w:type="dxa"/>
            <w:tcBorders>
              <w:top w:val="single" w:color="auto" w:sz="4" w:space="0"/>
              <w:left w:val="single" w:color="auto" w:sz="4" w:space="0"/>
              <w:bottom w:val="single" w:color="auto" w:sz="4" w:space="0"/>
              <w:right w:val="single" w:color="auto" w:sz="4" w:space="0"/>
            </w:tcBorders>
            <w:shd w:val="clear" w:color="auto" w:fill="auto"/>
            <w:vAlign w:val="center"/>
          </w:tcPr>
          <w:p w14:paraId="1D56876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★产地</w:t>
            </w:r>
          </w:p>
        </w:tc>
        <w:tc>
          <w:tcPr>
            <w:tcW w:w="1114" w:type="dxa"/>
            <w:tcBorders>
              <w:top w:val="single" w:color="auto" w:sz="4" w:space="0"/>
              <w:left w:val="single" w:color="auto" w:sz="4" w:space="0"/>
              <w:bottom w:val="single" w:color="auto" w:sz="4" w:space="0"/>
              <w:right w:val="single" w:color="auto" w:sz="4" w:space="0"/>
            </w:tcBorders>
            <w:shd w:val="clear" w:color="auto" w:fill="auto"/>
            <w:vAlign w:val="center"/>
          </w:tcPr>
          <w:p w14:paraId="5C2A087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单价</w:t>
            </w:r>
          </w:p>
          <w:p w14:paraId="33843E8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c>
          <w:tcPr>
            <w:tcW w:w="1086" w:type="dxa"/>
            <w:tcBorders>
              <w:top w:val="single" w:color="auto" w:sz="4" w:space="0"/>
              <w:left w:val="single" w:color="auto" w:sz="4" w:space="0"/>
              <w:bottom w:val="single" w:color="auto" w:sz="4" w:space="0"/>
              <w:right w:val="single" w:color="auto" w:sz="4" w:space="0"/>
            </w:tcBorders>
            <w:shd w:val="clear" w:color="auto" w:fill="auto"/>
            <w:vAlign w:val="center"/>
          </w:tcPr>
          <w:p w14:paraId="10798A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合计</w:t>
            </w:r>
          </w:p>
          <w:p w14:paraId="733055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（元）</w:t>
            </w:r>
          </w:p>
        </w:tc>
      </w:tr>
      <w:tr w14:paraId="1E9B28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29791D2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57A18D1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6C4B0E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0757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85C89B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B36FD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4BFDFA1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26F6411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0B9DB86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A31B9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126EC1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676C3D9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BBCD1B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C62F5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7A8154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FE270F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025298C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0D6D42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B220DA8">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5500336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70237A5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42B9DE3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AD53D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FB19F2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05AAC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B86D09">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1B5AD07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7BAAFE0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592869E">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1F24B7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2A356BFE">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★以下（联合体</w:t>
            </w:r>
            <w:r>
              <w:rPr>
                <w:rFonts w:hint="eastAsia" w:ascii="宋体" w:hAnsi="宋体" w:eastAsia="宋体" w:cs="宋体"/>
                <w:b/>
                <w:bCs/>
                <w:color w:val="auto"/>
                <w:sz w:val="21"/>
                <w:szCs w:val="21"/>
                <w:highlight w:val="none"/>
                <w:lang w:val="en-US" w:eastAsia="zh-CN"/>
              </w:rPr>
              <w:t>其他</w:t>
            </w:r>
            <w:r>
              <w:rPr>
                <w:rFonts w:hint="eastAsia" w:ascii="宋体" w:hAnsi="宋体" w:eastAsia="宋体" w:cs="宋体"/>
                <w:b/>
                <w:bCs/>
                <w:color w:val="auto"/>
                <w:sz w:val="21"/>
                <w:szCs w:val="21"/>
                <w:highlight w:val="none"/>
              </w:rPr>
              <w:t>成员）承担的部分：</w:t>
            </w:r>
          </w:p>
        </w:tc>
      </w:tr>
      <w:tr w14:paraId="3EE42E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06407FE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AE84AB5">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5C78C2AC">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260E3F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9BC47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E7195D2">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9AEC20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1C96BD21">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3EB5599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002E76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shd w:val="clear" w:color="auto" w:fill="auto"/>
            <w:vAlign w:val="center"/>
          </w:tcPr>
          <w:p w14:paraId="68AEDEC8">
            <w:pPr>
              <w:keepNext w:val="0"/>
              <w:keepLines w:val="0"/>
              <w:suppressLineNumbers w:val="0"/>
              <w:adjustRightInd w:val="0"/>
              <w:snapToGrid w:val="0"/>
              <w:spacing w:before="0" w:beforeAutospacing="0" w:after="0" w:afterAutospacing="0" w:line="360" w:lineRule="auto"/>
              <w:ind w:left="0" w:right="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★以下（分包单位）承担的部分：</w:t>
            </w:r>
          </w:p>
        </w:tc>
      </w:tr>
      <w:tr w14:paraId="7F2613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14:paraId="5274124F">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14:paraId="3ED33F07">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841B8C0">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0B0F0F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5F101F3">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65138F26">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12" w:type="dxa"/>
            <w:tcBorders>
              <w:top w:val="single" w:color="auto" w:sz="4" w:space="0"/>
              <w:left w:val="single" w:color="auto" w:sz="4" w:space="0"/>
              <w:bottom w:val="single" w:color="auto" w:sz="4" w:space="0"/>
              <w:right w:val="single" w:color="auto" w:sz="4" w:space="0"/>
            </w:tcBorders>
            <w:vAlign w:val="center"/>
          </w:tcPr>
          <w:p w14:paraId="7CA6B38A">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114" w:type="dxa"/>
            <w:tcBorders>
              <w:top w:val="single" w:color="auto" w:sz="4" w:space="0"/>
              <w:left w:val="single" w:color="auto" w:sz="4" w:space="0"/>
              <w:bottom w:val="single" w:color="auto" w:sz="4" w:space="0"/>
              <w:right w:val="single" w:color="auto" w:sz="4" w:space="0"/>
            </w:tcBorders>
            <w:vAlign w:val="center"/>
          </w:tcPr>
          <w:p w14:paraId="3EECD784">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c>
          <w:tcPr>
            <w:tcW w:w="1086" w:type="dxa"/>
            <w:tcBorders>
              <w:top w:val="single" w:color="auto" w:sz="4" w:space="0"/>
              <w:left w:val="single" w:color="auto" w:sz="4" w:space="0"/>
              <w:bottom w:val="single" w:color="auto" w:sz="4" w:space="0"/>
              <w:right w:val="single" w:color="auto" w:sz="4" w:space="0"/>
            </w:tcBorders>
            <w:vAlign w:val="center"/>
          </w:tcPr>
          <w:p w14:paraId="7F7B148B">
            <w:pPr>
              <w:keepNext w:val="0"/>
              <w:keepLines w:val="0"/>
              <w:suppressLineNumbers w:val="0"/>
              <w:adjustRightInd w:val="0"/>
              <w:snapToGrid w:val="0"/>
              <w:spacing w:before="0" w:beforeAutospacing="0" w:after="0" w:afterAutospacing="0" w:line="360" w:lineRule="auto"/>
              <w:ind w:left="0" w:right="0"/>
              <w:jc w:val="center"/>
              <w:rPr>
                <w:rFonts w:hint="eastAsia" w:ascii="宋体" w:hAnsi="宋体" w:eastAsia="宋体" w:cs="宋体"/>
                <w:b/>
                <w:bCs/>
                <w:color w:val="auto"/>
                <w:sz w:val="21"/>
                <w:szCs w:val="21"/>
                <w:highlight w:val="none"/>
              </w:rPr>
            </w:pPr>
          </w:p>
        </w:tc>
      </w:tr>
      <w:tr w14:paraId="62BCFC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74DC7D80">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14:paraId="59577BD1">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0C631DF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14:paraId="2DD61A79">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14:paraId="5FEFE13F">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14:paraId="76081A6A">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14:paraId="3D76638D">
      <w:pPr>
        <w:adjustRightInd w:val="0"/>
        <w:snapToGrid w:val="0"/>
        <w:spacing w:line="288" w:lineRule="auto"/>
        <w:rPr>
          <w:rFonts w:ascii="宋体" w:hAnsi="宋体" w:eastAsia="宋体" w:cs="Times New Roman"/>
          <w:color w:val="auto"/>
          <w:spacing w:val="-6"/>
          <w:szCs w:val="21"/>
          <w:highlight w:val="none"/>
        </w:rPr>
      </w:pPr>
    </w:p>
    <w:p w14:paraId="42BE46DF">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14:paraId="7760D6D1">
      <w:pPr>
        <w:adjustRightInd w:val="0"/>
        <w:snapToGrid w:val="0"/>
        <w:spacing w:line="288" w:lineRule="auto"/>
        <w:rPr>
          <w:rFonts w:hint="default"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1.开标一览表应按照本招标文件“第三章 投标人须知”关于“投标报价”的规定填写；</w:t>
      </w:r>
    </w:p>
    <w:p w14:paraId="11678105">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2.</w:t>
      </w:r>
      <w:r>
        <w:rPr>
          <w:rFonts w:hint="eastAsia" w:ascii="宋体" w:hAnsi="宋体" w:eastAsia="宋体" w:cs="宋体"/>
          <w:b w:val="0"/>
          <w:bCs w:val="0"/>
          <w:color w:val="auto"/>
          <w:szCs w:val="21"/>
          <w:highlight w:val="none"/>
        </w:rPr>
        <w:t>服务项目不涉及提供货物的，规格型号、品牌、制造商、产地的可不填写；</w:t>
      </w:r>
    </w:p>
    <w:p w14:paraId="56EF55DE">
      <w:pPr>
        <w:adjustRightInd w:val="0"/>
        <w:snapToGrid w:val="0"/>
        <w:spacing w:line="288" w:lineRule="auto"/>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t>★</w:t>
      </w:r>
      <w:r>
        <w:rPr>
          <w:rFonts w:hint="eastAsia" w:ascii="宋体" w:hAnsi="宋体" w:eastAsia="宋体" w:cs="宋体"/>
          <w:b w:val="0"/>
          <w:bCs w:val="0"/>
          <w:color w:val="auto"/>
          <w:szCs w:val="21"/>
          <w:highlight w:val="none"/>
          <w:lang w:val="en-US" w:eastAsia="zh-CN"/>
        </w:rPr>
        <w:t>3.</w:t>
      </w:r>
      <w:r>
        <w:rPr>
          <w:rFonts w:hint="eastAsia" w:ascii="宋体" w:hAnsi="宋体" w:eastAsia="宋体" w:cs="宋体"/>
          <w:b w:val="0"/>
          <w:bCs w:val="0"/>
          <w:color w:val="auto"/>
          <w:szCs w:val="21"/>
          <w:highlight w:val="none"/>
        </w:rPr>
        <w:t>联合体其他成员承担的部分、分包单位承担的部分，应在表中列明。</w:t>
      </w:r>
    </w:p>
    <w:p w14:paraId="426939ED">
      <w:pPr>
        <w:adjustRightInd w:val="0"/>
        <w:snapToGrid w:val="0"/>
        <w:spacing w:line="288" w:lineRule="auto"/>
        <w:rPr>
          <w:rFonts w:ascii="宋体" w:hAnsi="宋体" w:eastAsia="宋体" w:cs="Times New Roman"/>
          <w:color w:val="auto"/>
          <w:szCs w:val="21"/>
          <w:highlight w:val="none"/>
        </w:rPr>
      </w:pPr>
    </w:p>
    <w:p w14:paraId="3753EC28">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14:paraId="54382564">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14:paraId="2F53AD4E">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14:paraId="45DE1389">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14:paraId="00A23AF3">
      <w:pPr>
        <w:snapToGrid w:val="0"/>
        <w:spacing w:line="288" w:lineRule="auto"/>
        <w:rPr>
          <w:rFonts w:ascii="宋体" w:hAnsi="宋体" w:eastAsia="宋体" w:cs="仿宋_GB2312"/>
          <w:color w:val="auto"/>
          <w:szCs w:val="21"/>
          <w:highlight w:val="none"/>
          <w:u w:val="single"/>
        </w:rPr>
      </w:pPr>
    </w:p>
    <w:p w14:paraId="06230838">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14:paraId="636754DF">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14:paraId="2558DC45">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14:paraId="0E8AB62E">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14:paraId="5DCA2BD2">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14:paraId="41F9735D">
      <w:pPr>
        <w:snapToGrid w:val="0"/>
        <w:spacing w:line="288" w:lineRule="auto"/>
        <w:rPr>
          <w:rFonts w:ascii="宋体" w:hAnsi="宋体" w:eastAsia="宋体" w:cs="宋体"/>
          <w:b/>
          <w:bCs/>
          <w:color w:val="auto"/>
          <w:szCs w:val="21"/>
          <w:highlight w:val="none"/>
        </w:rPr>
      </w:pPr>
    </w:p>
    <w:p w14:paraId="299B8C33">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6888A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2" w:hRule="atLeast"/>
        </w:trPr>
        <w:tc>
          <w:tcPr>
            <w:tcW w:w="4814" w:type="dxa"/>
            <w:vAlign w:val="top"/>
          </w:tcPr>
          <w:p w14:paraId="31FDF98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Cs w:val="21"/>
                <w:highlight w:val="none"/>
                <w:vertAlign w:val="baseline"/>
              </w:rPr>
            </w:pPr>
          </w:p>
        </w:tc>
        <w:tc>
          <w:tcPr>
            <w:tcW w:w="4814" w:type="dxa"/>
          </w:tcPr>
          <w:p w14:paraId="6E2B4F3D">
            <w:pPr>
              <w:keepNext w:val="0"/>
              <w:keepLines w:val="0"/>
              <w:suppressLineNumbers w:val="0"/>
              <w:snapToGrid w:val="0"/>
              <w:spacing w:before="0" w:beforeAutospacing="0" w:after="0" w:afterAutospacing="0" w:line="288" w:lineRule="auto"/>
              <w:ind w:left="0" w:right="0"/>
              <w:rPr>
                <w:rFonts w:hint="eastAsia" w:ascii="宋体" w:hAnsi="宋体" w:eastAsia="宋体" w:cs="宋体"/>
                <w:color w:val="auto"/>
                <w:spacing w:val="0"/>
                <w:kern w:val="2"/>
                <w:szCs w:val="21"/>
                <w:highlight w:val="none"/>
                <w:vertAlign w:val="baseline"/>
              </w:rPr>
            </w:pPr>
          </w:p>
        </w:tc>
      </w:tr>
    </w:tbl>
    <w:p w14:paraId="4F8710BE">
      <w:pPr>
        <w:snapToGrid w:val="0"/>
        <w:spacing w:line="288" w:lineRule="auto"/>
        <w:rPr>
          <w:rFonts w:ascii="宋体" w:hAnsi="宋体" w:eastAsia="宋体" w:cs="宋体"/>
          <w:color w:val="auto"/>
          <w:szCs w:val="21"/>
          <w:highlight w:val="none"/>
        </w:rPr>
      </w:pPr>
    </w:p>
    <w:p w14:paraId="325C4AE2">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14:paraId="2F2EDBDE">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14:paraId="13BB3A51">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14:paraId="21C534A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14:paraId="19FA3C5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14:paraId="16CBBD6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5E9EDDF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14:paraId="325F83B6">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提供的服务全部由小微企业承接，其合同份额占到合同总金额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p>
    <w:p w14:paraId="0A37C968">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14:paraId="5F22D95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14:paraId="7032868B">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14:paraId="52B2E0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14:paraId="74ED52E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w:t>
      </w:r>
      <w:r>
        <w:rPr>
          <w:rFonts w:hint="eastAsia" w:ascii="宋体" w:hAnsi="宋体" w:eastAsia="宋体" w:cs="仿宋_GB2312"/>
          <w:color w:val="auto"/>
          <w:kern w:val="0"/>
          <w:szCs w:val="21"/>
          <w:highlight w:val="none"/>
          <w:lang w:val="zh-CN"/>
        </w:rPr>
        <w:t>采购代理机构</w:t>
      </w:r>
      <w:r>
        <w:rPr>
          <w:rFonts w:ascii="宋体" w:hAnsi="宋体" w:eastAsia="宋体" w:cs="仿宋_GB2312"/>
          <w:color w:val="auto"/>
          <w:kern w:val="0"/>
          <w:szCs w:val="21"/>
          <w:highlight w:val="none"/>
          <w:lang w:val="zh-CN"/>
        </w:rPr>
        <w:t>后，联合体各方不得以任何形式对上述内容进行修改或撤销。</w:t>
      </w:r>
    </w:p>
    <w:p w14:paraId="58BFEBD7">
      <w:pPr>
        <w:snapToGrid w:val="0"/>
        <w:spacing w:line="288" w:lineRule="auto"/>
        <w:ind w:firstLine="422" w:firstLineChars="201"/>
        <w:rPr>
          <w:rFonts w:ascii="宋体" w:hAnsi="宋体" w:eastAsia="宋体" w:cs="仿宋_GB2312"/>
          <w:color w:val="auto"/>
          <w:kern w:val="0"/>
          <w:szCs w:val="21"/>
          <w:highlight w:val="none"/>
          <w:lang w:val="zh-CN"/>
        </w:rPr>
      </w:pPr>
    </w:p>
    <w:p w14:paraId="50157048">
      <w:pPr>
        <w:snapToGrid w:val="0"/>
        <w:spacing w:line="288" w:lineRule="auto"/>
        <w:ind w:firstLine="422" w:firstLineChars="201"/>
        <w:rPr>
          <w:rFonts w:ascii="宋体" w:hAnsi="宋体" w:eastAsia="宋体" w:cs="仿宋_GB2312"/>
          <w:color w:val="auto"/>
          <w:kern w:val="0"/>
          <w:szCs w:val="21"/>
          <w:highlight w:val="none"/>
          <w:lang w:val="zh-CN"/>
        </w:rPr>
      </w:pPr>
    </w:p>
    <w:p w14:paraId="27595E15">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14:paraId="082CD6C1">
      <w:pPr>
        <w:snapToGrid w:val="0"/>
        <w:spacing w:line="288" w:lineRule="auto"/>
        <w:ind w:firstLine="424" w:firstLineChars="201"/>
        <w:rPr>
          <w:rFonts w:ascii="宋体" w:hAnsi="宋体" w:eastAsia="宋体" w:cs="仿宋_GB2312"/>
          <w:b/>
          <w:bCs/>
          <w:color w:val="auto"/>
          <w:kern w:val="0"/>
          <w:szCs w:val="21"/>
          <w:highlight w:val="none"/>
          <w:lang w:val="zh-CN"/>
        </w:rPr>
      </w:pPr>
    </w:p>
    <w:p w14:paraId="191C763B">
      <w:pPr>
        <w:snapToGrid w:val="0"/>
        <w:spacing w:line="288" w:lineRule="auto"/>
        <w:ind w:firstLine="424" w:firstLineChars="201"/>
        <w:rPr>
          <w:rFonts w:ascii="宋体" w:hAnsi="宋体" w:eastAsia="宋体" w:cs="Times New Roman"/>
          <w:b/>
          <w:bCs/>
          <w:color w:val="auto"/>
          <w:szCs w:val="21"/>
          <w:highlight w:val="none"/>
        </w:rPr>
      </w:pPr>
    </w:p>
    <w:p w14:paraId="77AF9BF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40A150CD">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14:paraId="6520CE76">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14:paraId="635F132D">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14:paraId="6086E937">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14:paraId="4176A19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14:paraId="11039BB1">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14:paraId="45171D96">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14:paraId="462FF8F2">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14:paraId="12206815">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14:paraId="7D2D87A3">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14:paraId="18634A49">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15C1F584">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14:paraId="01937A83">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7B13FE09">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14:paraId="71D04AC4">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2E752B5">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14:paraId="3DB426F7">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14:paraId="2A4D2BCD">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14:paraId="31C593C3">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w:t>
      </w:r>
      <w:r>
        <w:rPr>
          <w:rFonts w:hint="eastAsia" w:ascii="宋体" w:hAnsi="宋体" w:eastAsia="宋体" w:cs="仿宋_GB2312"/>
          <w:color w:val="auto"/>
          <w:kern w:val="0"/>
          <w:szCs w:val="21"/>
          <w:highlight w:val="none"/>
          <w:u w:val="single"/>
          <w:lang w:val="en-US" w:eastAsia="zh-CN"/>
        </w:rPr>
        <w:t>服务</w:t>
      </w:r>
      <w:r>
        <w:rPr>
          <w:rFonts w:hint="eastAsia" w:ascii="宋体" w:hAnsi="宋体" w:eastAsia="宋体" w:cs="仿宋_GB2312"/>
          <w:color w:val="auto"/>
          <w:kern w:val="0"/>
          <w:szCs w:val="21"/>
          <w:highlight w:val="none"/>
          <w:u w:val="single"/>
        </w:rPr>
        <w:t>全部由小微企业</w:t>
      </w:r>
      <w:r>
        <w:rPr>
          <w:rFonts w:hint="eastAsia" w:ascii="宋体" w:hAnsi="宋体" w:eastAsia="宋体" w:cs="仿宋_GB2312"/>
          <w:color w:val="auto"/>
          <w:kern w:val="0"/>
          <w:szCs w:val="21"/>
          <w:highlight w:val="none"/>
          <w:u w:val="single"/>
          <w:lang w:val="en-US" w:eastAsia="zh-CN"/>
        </w:rPr>
        <w:t>承接</w:t>
      </w:r>
      <w:r>
        <w:rPr>
          <w:rFonts w:hint="eastAsia" w:ascii="宋体" w:hAnsi="宋体" w:eastAsia="宋体" w:cs="仿宋_GB2312"/>
          <w:color w:val="auto"/>
          <w:kern w:val="0"/>
          <w:szCs w:val="21"/>
          <w:highlight w:val="none"/>
          <w:u w:val="single"/>
        </w:rPr>
        <w:t>，</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p>
    <w:p w14:paraId="3155885C">
      <w:pPr>
        <w:snapToGrid w:val="0"/>
        <w:spacing w:line="288" w:lineRule="auto"/>
        <w:rPr>
          <w:rFonts w:ascii="宋体" w:hAnsi="宋体" w:eastAsia="宋体" w:cs="仿宋_GB2312"/>
          <w:color w:val="auto"/>
          <w:kern w:val="0"/>
          <w:szCs w:val="21"/>
          <w:highlight w:val="none"/>
          <w:lang w:val="zh-CN"/>
        </w:rPr>
      </w:pPr>
    </w:p>
    <w:p w14:paraId="1D16F0E5">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14:paraId="42AADEC1">
      <w:pPr>
        <w:snapToGrid w:val="0"/>
        <w:spacing w:line="288" w:lineRule="auto"/>
        <w:ind w:firstLine="424" w:firstLineChars="201"/>
        <w:rPr>
          <w:rFonts w:ascii="宋体" w:hAnsi="宋体" w:eastAsia="宋体" w:cs="仿宋_GB2312"/>
          <w:b/>
          <w:bCs/>
          <w:color w:val="auto"/>
          <w:kern w:val="0"/>
          <w:szCs w:val="21"/>
          <w:highlight w:val="none"/>
          <w:lang w:val="zh-CN"/>
        </w:rPr>
      </w:pPr>
    </w:p>
    <w:p w14:paraId="0EFAAFAF">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14:paraId="169493F1">
      <w:pPr>
        <w:snapToGrid w:val="0"/>
        <w:spacing w:line="288" w:lineRule="auto"/>
        <w:rPr>
          <w:rFonts w:ascii="宋体" w:hAnsi="宋体" w:eastAsia="宋体" w:cs="仿宋_GB2312"/>
          <w:b/>
          <w:bCs/>
          <w:color w:val="auto"/>
          <w:kern w:val="0"/>
          <w:szCs w:val="21"/>
          <w:highlight w:val="none"/>
          <w:lang w:val="zh-CN"/>
        </w:rPr>
      </w:pPr>
    </w:p>
    <w:p w14:paraId="4F6AC4DF">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14:paraId="6BCF6A0F">
      <w:pPr>
        <w:rPr>
          <w:rFonts w:ascii="等线" w:hAnsi="等线" w:eastAsia="等线" w:cs="Times New Roman"/>
          <w:color w:val="auto"/>
          <w:highlight w:val="none"/>
        </w:rPr>
      </w:pPr>
    </w:p>
    <w:p w14:paraId="650A653D">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3C3F5">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C33A67">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E77A5">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8C3D0A">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47C88743"/>
    <w:multiLevelType w:val="singleLevel"/>
    <w:tmpl w:val="47C88743"/>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5D34727"/>
    <w:rsid w:val="05D9297D"/>
    <w:rsid w:val="07650D44"/>
    <w:rsid w:val="07DB5C37"/>
    <w:rsid w:val="08931933"/>
    <w:rsid w:val="0A8F0E99"/>
    <w:rsid w:val="0B4A1776"/>
    <w:rsid w:val="0BD50265"/>
    <w:rsid w:val="0BEC010D"/>
    <w:rsid w:val="0C786503"/>
    <w:rsid w:val="0D1A04C9"/>
    <w:rsid w:val="0DA43FD6"/>
    <w:rsid w:val="0DCB77B4"/>
    <w:rsid w:val="0FF539C8"/>
    <w:rsid w:val="10757130"/>
    <w:rsid w:val="112B34AD"/>
    <w:rsid w:val="11FF5827"/>
    <w:rsid w:val="18090C43"/>
    <w:rsid w:val="18FB5F15"/>
    <w:rsid w:val="1B321622"/>
    <w:rsid w:val="1E452027"/>
    <w:rsid w:val="1EEB1A56"/>
    <w:rsid w:val="1F9C38D3"/>
    <w:rsid w:val="20767551"/>
    <w:rsid w:val="212705BE"/>
    <w:rsid w:val="21AC2FA2"/>
    <w:rsid w:val="21DB64E2"/>
    <w:rsid w:val="221C4C30"/>
    <w:rsid w:val="22A70B6C"/>
    <w:rsid w:val="22AD65CC"/>
    <w:rsid w:val="23C14303"/>
    <w:rsid w:val="23FF4622"/>
    <w:rsid w:val="25A217AC"/>
    <w:rsid w:val="27432BC1"/>
    <w:rsid w:val="27F0275A"/>
    <w:rsid w:val="28580092"/>
    <w:rsid w:val="28BC23D4"/>
    <w:rsid w:val="2AA10ED5"/>
    <w:rsid w:val="2ADA0518"/>
    <w:rsid w:val="2C921974"/>
    <w:rsid w:val="2DBE14C9"/>
    <w:rsid w:val="2E2B31E3"/>
    <w:rsid w:val="2ED77388"/>
    <w:rsid w:val="2F380CDF"/>
    <w:rsid w:val="2F6A64D8"/>
    <w:rsid w:val="30616EA9"/>
    <w:rsid w:val="31A44D82"/>
    <w:rsid w:val="32BE120D"/>
    <w:rsid w:val="330C0EF9"/>
    <w:rsid w:val="33506DE6"/>
    <w:rsid w:val="34004E73"/>
    <w:rsid w:val="35194EAC"/>
    <w:rsid w:val="35A54CED"/>
    <w:rsid w:val="37534CA7"/>
    <w:rsid w:val="37D824F1"/>
    <w:rsid w:val="38EB4FAF"/>
    <w:rsid w:val="39B918B5"/>
    <w:rsid w:val="3B0C4DFA"/>
    <w:rsid w:val="3C4D26C6"/>
    <w:rsid w:val="3C607484"/>
    <w:rsid w:val="3D044EFC"/>
    <w:rsid w:val="3DB45CCB"/>
    <w:rsid w:val="3E6946AD"/>
    <w:rsid w:val="3EB60CB3"/>
    <w:rsid w:val="3EC436F9"/>
    <w:rsid w:val="3F740895"/>
    <w:rsid w:val="3FB93DC6"/>
    <w:rsid w:val="402A691C"/>
    <w:rsid w:val="422E66F3"/>
    <w:rsid w:val="4275164D"/>
    <w:rsid w:val="430A3262"/>
    <w:rsid w:val="43496876"/>
    <w:rsid w:val="43DF2AD7"/>
    <w:rsid w:val="44265D88"/>
    <w:rsid w:val="46A824B9"/>
    <w:rsid w:val="46BB170B"/>
    <w:rsid w:val="47510906"/>
    <w:rsid w:val="495D70F7"/>
    <w:rsid w:val="497349FC"/>
    <w:rsid w:val="498C1364"/>
    <w:rsid w:val="4B7D5F80"/>
    <w:rsid w:val="4BF40741"/>
    <w:rsid w:val="4C5E019B"/>
    <w:rsid w:val="4D030151"/>
    <w:rsid w:val="4E7B3CEF"/>
    <w:rsid w:val="4F64249F"/>
    <w:rsid w:val="4F6E1200"/>
    <w:rsid w:val="4FEE189E"/>
    <w:rsid w:val="500B7C38"/>
    <w:rsid w:val="52FC5FC0"/>
    <w:rsid w:val="5345653C"/>
    <w:rsid w:val="53F038EA"/>
    <w:rsid w:val="549F2962"/>
    <w:rsid w:val="54E01333"/>
    <w:rsid w:val="59BA69E3"/>
    <w:rsid w:val="5A661DF4"/>
    <w:rsid w:val="5ACF0178"/>
    <w:rsid w:val="5C3E17F9"/>
    <w:rsid w:val="5C483ABC"/>
    <w:rsid w:val="5D052980"/>
    <w:rsid w:val="5D3A6920"/>
    <w:rsid w:val="5D8135CC"/>
    <w:rsid w:val="5DF10A2F"/>
    <w:rsid w:val="5ED57F57"/>
    <w:rsid w:val="5EF534F9"/>
    <w:rsid w:val="600446EC"/>
    <w:rsid w:val="600D2EE6"/>
    <w:rsid w:val="61D4087B"/>
    <w:rsid w:val="621760F6"/>
    <w:rsid w:val="62246B60"/>
    <w:rsid w:val="628A2B7E"/>
    <w:rsid w:val="644F1ACD"/>
    <w:rsid w:val="64751744"/>
    <w:rsid w:val="67060D39"/>
    <w:rsid w:val="67FF1998"/>
    <w:rsid w:val="680D1D99"/>
    <w:rsid w:val="69431270"/>
    <w:rsid w:val="6A7F4F75"/>
    <w:rsid w:val="6ACA16F9"/>
    <w:rsid w:val="6B16774A"/>
    <w:rsid w:val="6C467142"/>
    <w:rsid w:val="6CB03B45"/>
    <w:rsid w:val="6EA80CDD"/>
    <w:rsid w:val="6ECE2681"/>
    <w:rsid w:val="6ED12033"/>
    <w:rsid w:val="72340F9C"/>
    <w:rsid w:val="763243C9"/>
    <w:rsid w:val="774152C9"/>
    <w:rsid w:val="78D07C81"/>
    <w:rsid w:val="793070F8"/>
    <w:rsid w:val="79D825C1"/>
    <w:rsid w:val="7B5D131E"/>
    <w:rsid w:val="7BBA1FEC"/>
    <w:rsid w:val="7D950234"/>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49</Pages>
  <Words>26966</Words>
  <Characters>28583</Characters>
  <Lines>1</Lines>
  <Paragraphs>1</Paragraphs>
  <TotalTime>13</TotalTime>
  <ScaleCrop>false</ScaleCrop>
  <LinksUpToDate>false</LinksUpToDate>
  <CharactersWithSpaces>28948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yubin</cp:lastModifiedBy>
  <cp:lastPrinted>2022-10-31T00:58:00Z</cp:lastPrinted>
  <dcterms:modified xsi:type="dcterms:W3CDTF">2025-07-24T03:26:29Z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