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数字化改革系统建设</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数字化改革系统建设</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QSZB-Z(F)-B23424(CS)</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[2023]72007号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widowControl/>
        <w:jc w:val="left"/>
        <w:rPr>
          <w:color w:val="auto"/>
          <w:highlight w:val="none"/>
        </w:rPr>
      </w:pPr>
    </w:p>
    <w:p>
      <w:pPr>
        <w:widowControl/>
        <w:jc w:val="left"/>
        <w:rPr>
          <w:color w:val="auto"/>
          <w:highlight w:val="none"/>
        </w:rPr>
        <w:sectPr>
          <w:headerReference r:id="rId3" w:type="default"/>
          <w:footerReference r:id="rId4" w:type="default"/>
          <w:pgSz w:w="11906" w:h="16838"/>
          <w:pgMar w:top="1247" w:right="1247" w:bottom="1247" w:left="1247" w:header="142" w:footer="725" w:gutter="0"/>
          <w:pgBorders>
            <w:top w:val="none" w:sz="0" w:space="0"/>
            <w:left w:val="none" w:sz="0" w:space="0"/>
            <w:bottom w:val="none" w:sz="0" w:space="0"/>
            <w:right w:val="none" w:sz="0" w:space="0"/>
          </w:pgBorders>
          <w:pgNumType w:start="1"/>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数字化改革系统建设</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2023年11月29日9:00:00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790"/>
      <w:bookmarkStart w:id="1" w:name="_Toc28359002"/>
      <w:bookmarkStart w:id="2" w:name="_Toc35393621"/>
      <w:bookmarkStart w:id="3" w:name="_Toc28359079"/>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QSZB-Z(F)-B23424(CS)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数字化改革系统建设</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1500000元</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最高限价：1500000元</w:t>
      </w:r>
    </w:p>
    <w:p>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lang w:val="en-US" w:eastAsia="zh-CN"/>
        </w:rPr>
        <w:t>自合同签订之日起60日内交付</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3522"/>
        <w:gridCol w:w="830"/>
        <w:gridCol w:w="830"/>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eastAsia="zh-CN"/>
              </w:rPr>
            </w:pPr>
            <w:r>
              <w:rPr>
                <w:rFonts w:hint="eastAsia"/>
                <w:bCs/>
                <w:color w:val="auto"/>
                <w:sz w:val="21"/>
                <w:szCs w:val="21"/>
                <w:highlight w:val="none"/>
                <w:lang w:eastAsia="zh-CN"/>
              </w:rPr>
              <w:t>数字化改革系统建设</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项</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r>
    </w:tbl>
    <w:p>
      <w:pPr>
        <w:adjustRightInd w:val="0"/>
        <w:snapToGrid w:val="0"/>
        <w:spacing w:line="288" w:lineRule="auto"/>
        <w:rPr>
          <w:b/>
          <w:color w:val="auto"/>
          <w:sz w:val="21"/>
          <w:szCs w:val="21"/>
          <w:highlight w:val="none"/>
        </w:rPr>
      </w:pPr>
      <w:bookmarkStart w:id="5" w:name="_Toc28359003"/>
      <w:bookmarkStart w:id="6" w:name="_Toc35393622"/>
      <w:bookmarkStart w:id="7" w:name="_Toc35393791"/>
      <w:bookmarkStart w:id="8" w:name="_Toc28359080"/>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rPr>
          <w:rFonts w:cs="Times New Roman"/>
          <w:bCs/>
          <w:color w:val="auto"/>
          <w:sz w:val="21"/>
          <w:szCs w:val="21"/>
          <w:highlight w:val="none"/>
        </w:rPr>
      </w:pPr>
      <w:bookmarkStart w:id="9" w:name="_Toc28359081"/>
      <w:bookmarkStart w:id="10" w:name="_Toc28359004"/>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2.落实政府采购政策需满足的资格要求：本项目整体专门面向中小企业采购。服务由中小企业承接，即提供服务的人员为中小企业依照《中华人民共和国劳动合同法》订立劳动合同的从业人员）</w:t>
      </w:r>
      <w:r>
        <w:rPr>
          <w:rFonts w:hint="eastAsia" w:cs="Times New Roman"/>
          <w:color w:val="auto"/>
          <w:sz w:val="21"/>
          <w:szCs w:val="21"/>
          <w:highlight w:val="none"/>
          <w:lang w:eastAsia="zh-CN"/>
        </w:rPr>
        <w:t>。</w:t>
      </w:r>
      <w:r>
        <w:rPr>
          <w:rFonts w:hint="eastAsia" w:cs="Times New Roman"/>
          <w:color w:val="auto"/>
          <w:sz w:val="21"/>
          <w:szCs w:val="21"/>
          <w:highlight w:val="none"/>
        </w:rPr>
        <w:t>监狱企业、残疾人福利性单位视同小型、微型企业</w:t>
      </w:r>
      <w:r>
        <w:rPr>
          <w:rFonts w:hint="eastAsia" w:cs="Times New Roman"/>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05"/>
      <w:bookmarkStart w:id="14" w:name="_Toc35393624"/>
      <w:bookmarkStart w:id="15" w:name="_Toc35393793"/>
      <w:bookmarkStart w:id="16" w:name="_Toc28359082"/>
      <w:r>
        <w:rPr>
          <w:rFonts w:hint="eastAsia"/>
          <w:color w:val="auto"/>
          <w:sz w:val="21"/>
          <w:szCs w:val="21"/>
          <w:highlight w:val="none"/>
        </w:rPr>
        <w:t>时间：</w:t>
      </w:r>
      <w:r>
        <w:rPr>
          <w:rFonts w:hint="eastAsia"/>
          <w:color w:val="auto"/>
          <w:sz w:val="21"/>
          <w:szCs w:val="21"/>
          <w:highlight w:val="none"/>
          <w:lang w:eastAsia="zh-CN"/>
        </w:rPr>
        <w:t>2023年</w:t>
      </w:r>
      <w:r>
        <w:rPr>
          <w:rFonts w:hint="eastAsia"/>
          <w:color w:val="auto"/>
          <w:sz w:val="21"/>
          <w:szCs w:val="21"/>
          <w:highlight w:val="none"/>
          <w:lang w:val="en-US" w:eastAsia="zh-CN"/>
        </w:rPr>
        <w:t>11</w:t>
      </w:r>
      <w:r>
        <w:rPr>
          <w:rFonts w:hint="eastAsia"/>
          <w:color w:val="auto"/>
          <w:sz w:val="21"/>
          <w:szCs w:val="21"/>
          <w:highlight w:val="none"/>
        </w:rPr>
        <w:t>月</w:t>
      </w:r>
      <w:r>
        <w:rPr>
          <w:rFonts w:hint="eastAsia"/>
          <w:color w:val="auto"/>
          <w:sz w:val="21"/>
          <w:szCs w:val="21"/>
          <w:highlight w:val="none"/>
          <w:lang w:val="en-US" w:eastAsia="zh-CN"/>
        </w:rPr>
        <w:t>17</w:t>
      </w:r>
      <w:r>
        <w:rPr>
          <w:rFonts w:hint="eastAsia"/>
          <w:color w:val="auto"/>
          <w:sz w:val="21"/>
          <w:szCs w:val="21"/>
          <w:highlight w:val="none"/>
        </w:rPr>
        <w:t>日至</w:t>
      </w:r>
      <w:r>
        <w:rPr>
          <w:rFonts w:hint="eastAsia"/>
          <w:color w:val="auto"/>
          <w:sz w:val="21"/>
          <w:szCs w:val="21"/>
          <w:highlight w:val="none"/>
          <w:lang w:eastAsia="zh-CN"/>
        </w:rPr>
        <w:t>2023年11月29日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2023年11月29日9:00:00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28359084"/>
      <w:bookmarkStart w:id="18" w:name="_Toc28359007"/>
      <w:bookmarkStart w:id="19" w:name="_Toc35393625"/>
      <w:bookmarkStart w:id="20" w:name="_Toc3539379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2023年11月29日9:00:00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/杭州市西湖区玉古路173号中田大厦21楼（求是招标会议室1）</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28359008"/>
      <w:bookmarkStart w:id="25" w:name="_Toc35393627"/>
      <w:bookmarkStart w:id="26" w:name="_Toc28359085"/>
      <w:bookmarkStart w:id="27" w:name="_Toc35393796"/>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w:t>
      </w:r>
      <w:r>
        <w:rPr>
          <w:rFonts w:hint="eastAsia" w:cs="Times New Roman"/>
          <w:color w:val="auto"/>
          <w:sz w:val="21"/>
          <w:szCs w:val="21"/>
          <w:highlight w:val="none"/>
        </w:rPr>
        <w:t>支持科技创新、</w:t>
      </w:r>
      <w:r>
        <w:rPr>
          <w:rFonts w:cs="Times New Roman"/>
          <w:color w:val="auto"/>
          <w:sz w:val="21"/>
          <w:szCs w:val="21"/>
          <w:highlight w:val="none"/>
        </w:rPr>
        <w:t>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刘</w:t>
      </w:r>
      <w:r>
        <w:rPr>
          <w:rFonts w:hint="eastAsia"/>
          <w:color w:val="auto"/>
          <w:sz w:val="21"/>
          <w:szCs w:val="21"/>
          <w:highlight w:val="none"/>
        </w:rPr>
        <w:t>老师</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项目联系方式（询问）：0571-86878568</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eastAsia="zh-CN"/>
        </w:rPr>
        <w:t>陈应俭、俞炳</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eastAsia="zh-CN"/>
        </w:rPr>
        <w:t>胡沁梦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rFonts w:cs="Times New Roman"/>
          <w:color w:val="auto"/>
          <w:sz w:val="21"/>
          <w:szCs w:val="21"/>
          <w:highlight w:val="none"/>
        </w:rPr>
      </w:pP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3.同级政府采购监督管理部门</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名称：浙江省财政厅政府采购监管处、浙江省政府采购行政裁决服务中心（杭州）</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地址：杭州市上城区四季青街道新业路市民之家G03办公室</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传真：/</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联系人：朱女士、王女士</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监督投诉电话：0571-85252453</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政策咨询：何一平、冯华，0571-87058424、87055741</w:t>
      </w:r>
    </w:p>
    <w:p>
      <w:pPr>
        <w:adjustRightInd w:val="0"/>
        <w:snapToGrid w:val="0"/>
        <w:spacing w:line="288" w:lineRule="auto"/>
        <w:ind w:firstLine="425" w:firstLineChars="215"/>
        <w:rPr>
          <w:rFonts w:cs="Times New Roman"/>
          <w:color w:val="auto"/>
          <w:spacing w:val="-6"/>
          <w:sz w:val="21"/>
          <w:szCs w:val="21"/>
          <w:highlight w:val="none"/>
        </w:rPr>
      </w:pPr>
      <w:r>
        <w:rPr>
          <w:rFonts w:hint="eastAsia" w:cs="Times New Roman"/>
          <w:color w:val="auto"/>
          <w:spacing w:val="-6"/>
          <w:sz w:val="21"/>
          <w:szCs w:val="21"/>
          <w:highlight w:val="none"/>
        </w:rPr>
        <w:t>预算金额未达100万元的采购项目，由采购人处理采购争议。</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9" w:name="_Hlk45005599"/>
            <w:r>
              <w:rPr>
                <w:rFonts w:hint="eastAsia"/>
                <w:b/>
                <w:bCs/>
                <w:color w:val="auto"/>
                <w:sz w:val="21"/>
                <w:szCs w:val="21"/>
                <w:highlight w:val="none"/>
              </w:rPr>
              <w:t>序号</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w:t>
            </w:r>
            <w:r>
              <w:rPr>
                <w:rFonts w:hint="eastAsia" w:ascii="宋体" w:eastAsia="宋体"/>
                <w:color w:val="auto"/>
                <w:sz w:val="21"/>
                <w:szCs w:val="21"/>
                <w:highlight w:val="none"/>
                <w:lang w:val="en-US" w:eastAsia="zh-CN"/>
              </w:rPr>
              <w:t>资格</w:t>
            </w:r>
            <w:r>
              <w:rPr>
                <w:rFonts w:hint="eastAsia"/>
                <w:color w:val="auto"/>
                <w:sz w:val="21"/>
                <w:szCs w:val="21"/>
                <w:highlight w:val="none"/>
              </w:rPr>
              <w:t>文件”</w:t>
            </w:r>
          </w:p>
          <w:p>
            <w:pPr>
              <w:keepNext w:val="0"/>
              <w:keepLines w:val="0"/>
              <w:suppressLineNumbers w:val="0"/>
              <w:adjustRightInd w:val="0"/>
              <w:snapToGrid w:val="0"/>
              <w:spacing w:before="0" w:beforeAutospacing="0" w:after="0" w:afterAutospacing="0" w:line="288" w:lineRule="auto"/>
              <w:ind w:left="0" w:right="0"/>
              <w:jc w:val="left"/>
              <w:rPr>
                <w:rFonts w:hint="eastAsia" w:eastAsia="宋体" w:cs="Times New Roman"/>
                <w:b/>
                <w:bCs/>
                <w:color w:val="auto"/>
                <w:sz w:val="21"/>
                <w:szCs w:val="21"/>
                <w:highlight w:val="none"/>
                <w:lang w:eastAsia="zh-CN"/>
              </w:rPr>
            </w:pPr>
            <w:r>
              <w:rPr>
                <w:rFonts w:hint="eastAsia" w:cs="Times New Roman"/>
                <w:b/>
                <w:bCs/>
                <w:color w:val="auto"/>
                <w:sz w:val="21"/>
                <w:szCs w:val="21"/>
                <w:highlight w:val="none"/>
              </w:rPr>
              <w:t>本项目属性为：</w:t>
            </w:r>
            <w:r>
              <w:rPr>
                <w:rFonts w:hint="eastAsia" w:cs="Times New Roman"/>
                <w:b/>
                <w:bCs/>
                <w:color w:val="auto"/>
                <w:sz w:val="21"/>
                <w:szCs w:val="21"/>
                <w:highlight w:val="none"/>
                <w:lang w:val="en-US" w:eastAsia="zh-CN"/>
              </w:rPr>
              <w:t>服务</w:t>
            </w:r>
          </w:p>
          <w:p>
            <w:pPr>
              <w:keepNext w:val="0"/>
              <w:keepLines w:val="0"/>
              <w:suppressLineNumbers w:val="0"/>
              <w:adjustRightInd w:val="0"/>
              <w:snapToGrid w:val="0"/>
              <w:spacing w:before="0" w:beforeAutospacing="0" w:after="0" w:afterAutospacing="0" w:line="288" w:lineRule="auto"/>
              <w:ind w:left="0" w:right="0"/>
              <w:jc w:val="left"/>
              <w:rPr>
                <w:rFonts w:hint="eastAsia" w:cs="Times New Roman"/>
                <w:b/>
                <w:bCs/>
                <w:color w:val="auto"/>
                <w:sz w:val="21"/>
                <w:szCs w:val="21"/>
                <w:highlight w:val="none"/>
              </w:rPr>
            </w:pPr>
            <w:r>
              <w:rPr>
                <w:rFonts w:hint="eastAsia" w:cs="Times New Roman"/>
                <w:b/>
                <w:bCs/>
                <w:color w:val="auto"/>
                <w:sz w:val="21"/>
                <w:szCs w:val="21"/>
                <w:highlight w:val="none"/>
              </w:rPr>
              <w:t>采购标的对应的中小企业划分标准所属行业：软件和信息技术服务业</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提供材料详见磋商文件第六章“资格文件”</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cs="Times New Roman"/>
                <w:b/>
                <w:color w:val="auto"/>
                <w:spacing w:val="-6"/>
                <w:sz w:val="21"/>
                <w:szCs w:val="21"/>
                <w:highlight w:val="none"/>
              </w:rPr>
            </w:pPr>
            <w:r>
              <w:rPr>
                <w:rFonts w:hint="eastAsia" w:ascii="宋体" w:hAnsi="宋体" w:eastAsia="宋体" w:cs="Times New Roman"/>
                <w:b/>
                <w:color w:val="auto"/>
                <w:spacing w:val="-6"/>
                <w:kern w:val="2"/>
                <w:sz w:val="21"/>
                <w:szCs w:val="21"/>
                <w:highlight w:val="none"/>
                <w:lang w:val="en-US" w:eastAsia="zh-CN"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1.合同签订后一周内，成交供应商向采购人提交合同总价1%的履约保证金，履约保证金在合同履约期间无违约情形的，项目验收结束后，于一周内退还（不计息）；</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30" w:name="_Hlk45005608"/>
            <w:r>
              <w:rPr>
                <w:rFonts w:hint="eastAsia"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1.合同生效以及具备实施条件后7个工作日内，且供应商已向采购人提交银行、保险公司等金融机构出具的预付款保函的，采购人向供应商支付合同总价的</w:t>
            </w:r>
            <w:r>
              <w:rPr>
                <w:rFonts w:hint="eastAsia"/>
                <w:color w:val="auto"/>
                <w:spacing w:val="-6"/>
                <w:kern w:val="0"/>
                <w:sz w:val="21"/>
                <w:szCs w:val="21"/>
                <w:highlight w:val="none"/>
                <w:lang w:val="en-US" w:eastAsia="zh-CN"/>
              </w:rPr>
              <w:t>2</w:t>
            </w:r>
            <w:r>
              <w:rPr>
                <w:rFonts w:hint="eastAsia"/>
                <w:color w:val="auto"/>
                <w:spacing w:val="-6"/>
                <w:kern w:val="0"/>
                <w:sz w:val="21"/>
                <w:szCs w:val="21"/>
                <w:highlight w:val="none"/>
              </w:rPr>
              <w:t>0%；</w:t>
            </w:r>
            <w:r>
              <w:rPr>
                <w:rFonts w:hint="eastAsia"/>
                <w:color w:val="auto"/>
                <w:spacing w:val="-6"/>
                <w:kern w:val="0"/>
                <w:sz w:val="21"/>
                <w:szCs w:val="21"/>
                <w:highlight w:val="none"/>
                <w:lang w:val="en-US" w:eastAsia="zh-CN"/>
              </w:rPr>
              <w:t>项目内容交付</w:t>
            </w:r>
            <w:r>
              <w:rPr>
                <w:rFonts w:hint="eastAsia"/>
                <w:color w:val="auto"/>
                <w:spacing w:val="-6"/>
                <w:kern w:val="0"/>
                <w:sz w:val="21"/>
                <w:szCs w:val="21"/>
                <w:highlight w:val="none"/>
              </w:rPr>
              <w:t>并经采购人验收合格后，采购人在收到发票后7个工作日内，向供应商支付合同总价的</w:t>
            </w:r>
            <w:r>
              <w:rPr>
                <w:rFonts w:hint="eastAsia"/>
                <w:color w:val="auto"/>
                <w:spacing w:val="-6"/>
                <w:kern w:val="0"/>
                <w:sz w:val="21"/>
                <w:szCs w:val="21"/>
                <w:highlight w:val="none"/>
                <w:lang w:val="en-US" w:eastAsia="zh-CN"/>
              </w:rPr>
              <w:t>8</w:t>
            </w:r>
            <w:r>
              <w:rPr>
                <w:rFonts w:hint="eastAsia"/>
                <w:color w:val="auto"/>
                <w:spacing w:val="-6"/>
                <w:kern w:val="0"/>
                <w:sz w:val="21"/>
                <w:szCs w:val="21"/>
                <w:highlight w:val="none"/>
              </w:rPr>
              <w:t>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2.在签订合同时，供应商明确表示无需预付款或者主动要求降低预付款比例的，可降低预付款比例（预付款保函同步调整）。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lang w:val="en-US" w:eastAsia="zh-CN"/>
              </w:rPr>
              <w:t>3</w:t>
            </w:r>
            <w:r>
              <w:rPr>
                <w:rFonts w:hint="eastAsia"/>
                <w:color w:val="auto"/>
                <w:spacing w:val="-6"/>
                <w:kern w:val="0"/>
                <w:sz w:val="21"/>
                <w:szCs w:val="21"/>
                <w:highlight w:val="none"/>
              </w:rPr>
              <w:t>.供应商明确表示无需预付款时，付款方式按以下要求执行：</w:t>
            </w:r>
            <w:r>
              <w:rPr>
                <w:rFonts w:hint="eastAsia"/>
                <w:color w:val="auto"/>
                <w:spacing w:val="-6"/>
                <w:kern w:val="0"/>
                <w:sz w:val="21"/>
                <w:szCs w:val="21"/>
                <w:highlight w:val="none"/>
                <w:lang w:val="en-US" w:eastAsia="zh-CN"/>
              </w:rPr>
              <w:t>项目内容</w:t>
            </w:r>
            <w:r>
              <w:rPr>
                <w:rFonts w:hint="eastAsia"/>
                <w:color w:val="auto"/>
                <w:spacing w:val="-6"/>
                <w:kern w:val="0"/>
                <w:sz w:val="21"/>
                <w:szCs w:val="21"/>
                <w:highlight w:val="none"/>
              </w:rPr>
              <w:t>经采购人初步验收后5个工作日内，采购人向供应商支付合同总价的75%；项目内容</w:t>
            </w:r>
            <w:r>
              <w:rPr>
                <w:rFonts w:hint="eastAsia"/>
                <w:color w:val="auto"/>
                <w:spacing w:val="-6"/>
                <w:kern w:val="0"/>
                <w:sz w:val="21"/>
                <w:szCs w:val="21"/>
                <w:highlight w:val="none"/>
                <w:lang w:val="en-US" w:eastAsia="zh-CN"/>
              </w:rPr>
              <w:t>交付</w:t>
            </w:r>
            <w:r>
              <w:rPr>
                <w:rFonts w:hint="eastAsia"/>
                <w:color w:val="auto"/>
                <w:spacing w:val="-6"/>
                <w:kern w:val="0"/>
                <w:sz w:val="21"/>
                <w:szCs w:val="21"/>
                <w:highlight w:val="none"/>
              </w:rPr>
              <w:t>并经采购人验收合格后，采购人向供应商支付合同总价的25%。</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lang w:val="en-US" w:eastAsia="zh-CN"/>
              </w:rPr>
              <w:t>注：供应商</w:t>
            </w:r>
            <w:r>
              <w:rPr>
                <w:rFonts w:hint="eastAsia"/>
                <w:color w:val="auto"/>
                <w:spacing w:val="-6"/>
                <w:kern w:val="0"/>
                <w:sz w:val="21"/>
                <w:szCs w:val="21"/>
                <w:highlight w:val="none"/>
              </w:rPr>
              <w:t>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30"/>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08"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31"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highlight w:val="none"/>
                <w:lang w:eastAsia="zh-CN"/>
              </w:rPr>
            </w:pPr>
            <w:r>
              <w:rPr>
                <w:rFonts w:hint="eastAsia" w:eastAsia="宋体"/>
                <w:color w:val="auto"/>
                <w:sz w:val="21"/>
                <w:szCs w:val="21"/>
                <w:highlight w:val="none"/>
                <w:lang w:eastAsia="zh-CN"/>
              </w:rPr>
              <w:t>自合同签订之日起</w:t>
            </w:r>
            <w:r>
              <w:rPr>
                <w:rFonts w:hint="eastAsia"/>
                <w:color w:val="auto"/>
                <w:sz w:val="21"/>
                <w:szCs w:val="21"/>
                <w:highlight w:val="none"/>
                <w:lang w:val="en-US" w:eastAsia="zh-CN"/>
              </w:rPr>
              <w:t>60</w:t>
            </w:r>
            <w:r>
              <w:rPr>
                <w:rFonts w:hint="eastAsia" w:eastAsia="宋体"/>
                <w:color w:val="auto"/>
                <w:sz w:val="21"/>
                <w:szCs w:val="21"/>
                <w:highlight w:val="none"/>
                <w:lang w:eastAsia="zh-CN"/>
              </w:rPr>
              <w:t>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37"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采购人指定地点</w:t>
            </w:r>
          </w:p>
        </w:tc>
      </w:tr>
      <w:bookmarkEnd w:id="31"/>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22"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.在质保期内，供应商应对</w:t>
            </w:r>
            <w:r>
              <w:rPr>
                <w:rFonts w:hint="eastAsia"/>
                <w:color w:val="auto"/>
                <w:sz w:val="21"/>
                <w:szCs w:val="21"/>
                <w:highlight w:val="none"/>
                <w:lang w:val="en-US" w:eastAsia="zh-CN"/>
              </w:rPr>
              <w:t>合同内容</w:t>
            </w:r>
            <w:r>
              <w:rPr>
                <w:rFonts w:hint="eastAsia"/>
                <w:color w:val="auto"/>
                <w:sz w:val="21"/>
                <w:szCs w:val="21"/>
                <w:highlight w:val="none"/>
              </w:rPr>
              <w:t>出现的质量问题负责处理解决并承担一切费用。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2</w:t>
            </w:r>
            <w:r>
              <w:rPr>
                <w:rFonts w:hint="default"/>
                <w:color w:val="auto"/>
                <w:sz w:val="21"/>
                <w:szCs w:val="21"/>
                <w:highlight w:val="none"/>
              </w:rPr>
              <w:t>.</w:t>
            </w:r>
            <w:r>
              <w:rPr>
                <w:rFonts w:hint="eastAsia"/>
                <w:color w:val="auto"/>
                <w:sz w:val="21"/>
                <w:szCs w:val="21"/>
                <w:highlight w:val="none"/>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eastAsia"/>
                <w:color w:val="auto"/>
                <w:sz w:val="21"/>
                <w:szCs w:val="21"/>
                <w:highlight w:val="none"/>
                <w:lang w:val="en-US" w:eastAsia="zh-CN"/>
              </w:rPr>
              <w:t>3</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eastAsia"/>
                <w:color w:val="auto"/>
                <w:sz w:val="21"/>
                <w:szCs w:val="21"/>
                <w:highlight w:val="none"/>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2.1合同、磋商文件、响应文件；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2.2供应商提供的技术规格、经采购人认可的合同</w:t>
            </w:r>
            <w:r>
              <w:rPr>
                <w:rFonts w:hint="eastAsia"/>
                <w:color w:val="auto"/>
                <w:sz w:val="21"/>
                <w:szCs w:val="21"/>
                <w:highlight w:val="none"/>
                <w:lang w:eastAsia="zh-CN"/>
              </w:rPr>
              <w:t>内容</w:t>
            </w:r>
            <w:r>
              <w:rPr>
                <w:rFonts w:hint="eastAsia"/>
                <w:color w:val="auto"/>
                <w:sz w:val="21"/>
                <w:szCs w:val="21"/>
                <w:highlight w:val="none"/>
              </w:rPr>
              <w:t>的有效检验文件；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2.3供应商响应文件中提供的经采购人认可的合同</w:t>
            </w:r>
            <w:r>
              <w:rPr>
                <w:rFonts w:hint="eastAsia"/>
                <w:color w:val="auto"/>
                <w:sz w:val="21"/>
                <w:szCs w:val="21"/>
                <w:highlight w:val="none"/>
                <w:lang w:eastAsia="zh-CN"/>
              </w:rPr>
              <w:t>内容</w:t>
            </w:r>
            <w:r>
              <w:rPr>
                <w:rFonts w:hint="eastAsia"/>
                <w:color w:val="auto"/>
                <w:sz w:val="21"/>
                <w:szCs w:val="21"/>
                <w:highlight w:val="none"/>
              </w:rPr>
              <w:t>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.验收合格的条件：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.1所供</w:t>
            </w:r>
            <w:r>
              <w:rPr>
                <w:rFonts w:hint="eastAsia"/>
                <w:color w:val="auto"/>
                <w:sz w:val="21"/>
                <w:szCs w:val="21"/>
                <w:highlight w:val="none"/>
                <w:lang w:eastAsia="zh-CN"/>
              </w:rPr>
              <w:t>内容</w:t>
            </w:r>
            <w:r>
              <w:rPr>
                <w:rFonts w:hint="eastAsia"/>
                <w:color w:val="auto"/>
                <w:sz w:val="21"/>
                <w:szCs w:val="21"/>
                <w:highlight w:val="none"/>
              </w:rPr>
              <w:t>符合</w:t>
            </w:r>
            <w:r>
              <w:rPr>
                <w:rFonts w:hint="eastAsia"/>
                <w:color w:val="auto"/>
                <w:sz w:val="21"/>
                <w:szCs w:val="21"/>
                <w:highlight w:val="none"/>
                <w:lang w:val="en-US" w:eastAsia="zh-CN"/>
              </w:rPr>
              <w:t>相关</w:t>
            </w:r>
            <w:r>
              <w:rPr>
                <w:rFonts w:hint="eastAsia"/>
                <w:color w:val="auto"/>
                <w:sz w:val="21"/>
                <w:szCs w:val="21"/>
                <w:highlight w:val="none"/>
              </w:rPr>
              <w:t>标准和合同的要求；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.3合同中规定的所有</w:t>
            </w:r>
            <w:r>
              <w:rPr>
                <w:rFonts w:hint="eastAsia"/>
                <w:color w:val="auto"/>
                <w:sz w:val="21"/>
                <w:szCs w:val="21"/>
                <w:highlight w:val="none"/>
                <w:lang w:eastAsia="zh-CN"/>
              </w:rPr>
              <w:t>内容</w:t>
            </w:r>
            <w:r>
              <w:rPr>
                <w:rFonts w:hint="eastAsia"/>
                <w:color w:val="auto"/>
                <w:sz w:val="21"/>
                <w:szCs w:val="21"/>
                <w:highlight w:val="none"/>
              </w:rPr>
              <w:t>和材料均已交付；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.4所供</w:t>
            </w:r>
            <w:r>
              <w:rPr>
                <w:rFonts w:hint="eastAsia"/>
                <w:color w:val="auto"/>
                <w:sz w:val="21"/>
                <w:szCs w:val="21"/>
                <w:highlight w:val="none"/>
                <w:lang w:eastAsia="zh-CN"/>
              </w:rPr>
              <w:t>内容</w:t>
            </w:r>
            <w:r>
              <w:rPr>
                <w:rFonts w:hint="eastAsia"/>
                <w:color w:val="auto"/>
                <w:sz w:val="21"/>
                <w:szCs w:val="21"/>
                <w:highlight w:val="none"/>
              </w:rPr>
              <w:t>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.5所有相关的技术文件及资料均已提交并得到接受</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供应商应按磋商文件规定的</w:t>
            </w:r>
            <w:r>
              <w:rPr>
                <w:rFonts w:hint="eastAsia"/>
                <w:color w:val="auto"/>
                <w:sz w:val="21"/>
                <w:szCs w:val="21"/>
                <w:highlight w:val="none"/>
                <w:lang w:val="en-US" w:eastAsia="zh-CN"/>
              </w:rPr>
              <w:t>合同内容</w:t>
            </w:r>
            <w:r>
              <w:rPr>
                <w:rFonts w:hint="eastAsia"/>
                <w:color w:val="auto"/>
                <w:sz w:val="21"/>
                <w:szCs w:val="21"/>
                <w:highlight w:val="none"/>
              </w:rPr>
              <w:t>、技术要求、质量标准向采购人提供</w:t>
            </w:r>
            <w:r>
              <w:rPr>
                <w:rFonts w:hint="eastAsia"/>
                <w:color w:val="auto"/>
                <w:sz w:val="21"/>
                <w:szCs w:val="21"/>
                <w:highlight w:val="none"/>
                <w:lang w:val="en-US" w:eastAsia="zh-CN"/>
              </w:rPr>
              <w:t>服务</w:t>
            </w:r>
            <w:r>
              <w:rPr>
                <w:rFonts w:hint="eastAsia"/>
                <w:color w:val="auto"/>
                <w:sz w:val="21"/>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质保期内</w:t>
            </w:r>
            <w:r>
              <w:rPr>
                <w:rFonts w:hint="eastAsia"/>
                <w:color w:val="auto"/>
                <w:sz w:val="21"/>
                <w:szCs w:val="21"/>
                <w:highlight w:val="none"/>
              </w:rPr>
              <w:t>供应商应及时免费提供合同</w:t>
            </w:r>
            <w:r>
              <w:rPr>
                <w:rFonts w:hint="eastAsia"/>
                <w:color w:val="auto"/>
                <w:sz w:val="21"/>
                <w:szCs w:val="21"/>
                <w:highlight w:val="none"/>
                <w:lang w:val="en-US" w:eastAsia="zh-CN"/>
              </w:rPr>
              <w:t>内容</w:t>
            </w:r>
            <w:r>
              <w:rPr>
                <w:rFonts w:hint="eastAsia"/>
                <w:color w:val="auto"/>
                <w:sz w:val="21"/>
                <w:szCs w:val="21"/>
                <w:highlight w:val="none"/>
              </w:rPr>
              <w:t>的升级，免费提供新功能和应用的资料。</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.安装调试：</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.4安装标准：符合我国国家有关技术规范要求和技术标准，所有的软件必须保证同时安装到位；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.5供应商免费提供合同</w:t>
            </w:r>
            <w:r>
              <w:rPr>
                <w:rFonts w:hint="eastAsia"/>
                <w:color w:val="auto"/>
                <w:sz w:val="21"/>
                <w:szCs w:val="21"/>
                <w:highlight w:val="none"/>
                <w:lang w:val="en-US" w:eastAsia="zh-CN"/>
              </w:rPr>
              <w:t>内容</w:t>
            </w:r>
            <w:r>
              <w:rPr>
                <w:rFonts w:hint="eastAsia"/>
                <w:color w:val="auto"/>
                <w:sz w:val="21"/>
                <w:szCs w:val="21"/>
                <w:highlight w:val="none"/>
              </w:rPr>
              <w:t>的安装服务；</w:t>
            </w:r>
          </w:p>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highlight w:val="none"/>
                <w:lang w:eastAsia="zh-CN"/>
              </w:rPr>
            </w:pPr>
            <w:r>
              <w:rPr>
                <w:rFonts w:hint="default"/>
                <w:color w:val="auto"/>
                <w:sz w:val="21"/>
                <w:szCs w:val="21"/>
                <w:highlight w:val="none"/>
              </w:rPr>
              <w:t>3</w:t>
            </w:r>
            <w:r>
              <w:rPr>
                <w:rFonts w:hint="eastAsia"/>
                <w:color w:val="auto"/>
                <w:sz w:val="21"/>
                <w:szCs w:val="21"/>
                <w:highlight w:val="none"/>
              </w:rPr>
              <w:t>.6供应商在响应文件中应提供安装调试计划、对安装场地和环境的要求</w:t>
            </w:r>
            <w:r>
              <w:rPr>
                <w:rFonts w:hint="eastAsia"/>
                <w:color w:val="auto"/>
                <w:sz w:val="21"/>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w:t>
            </w:r>
            <w:r>
              <w:rPr>
                <w:rFonts w:hint="eastAsia"/>
                <w:color w:val="auto"/>
                <w:sz w:val="21"/>
                <w:szCs w:val="21"/>
                <w:highlight w:val="none"/>
                <w:lang w:val="en-US" w:eastAsia="zh-CN"/>
              </w:rPr>
              <w:t>交付</w:t>
            </w:r>
            <w:r>
              <w:rPr>
                <w:rFonts w:hint="eastAsia"/>
                <w:color w:val="auto"/>
                <w:sz w:val="21"/>
                <w:szCs w:val="21"/>
                <w:highlight w:val="none"/>
              </w:rPr>
              <w:t>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5</w:t>
            </w:r>
            <w:r>
              <w:rPr>
                <w:rFonts w:hint="default"/>
                <w:color w:val="auto"/>
                <w:sz w:val="21"/>
                <w:szCs w:val="21"/>
                <w:highlight w:val="none"/>
              </w:rPr>
              <w:t>.</w:t>
            </w:r>
            <w:r>
              <w:rPr>
                <w:rFonts w:hint="eastAsia" w:cs="Times New Roman"/>
                <w:color w:val="auto"/>
                <w:spacing w:val="-6"/>
                <w:sz w:val="21"/>
                <w:szCs w:val="21"/>
                <w:highlight w:val="none"/>
              </w:rPr>
              <w:t>供应商应保证所提供的</w:t>
            </w:r>
            <w:r>
              <w:rPr>
                <w:rFonts w:hint="eastAsia" w:cs="Times New Roman"/>
                <w:color w:val="auto"/>
                <w:spacing w:val="-6"/>
                <w:sz w:val="21"/>
                <w:szCs w:val="21"/>
                <w:highlight w:val="none"/>
                <w:lang w:val="en-US" w:eastAsia="zh-CN"/>
              </w:rPr>
              <w:t>合同内容</w:t>
            </w:r>
            <w:r>
              <w:rPr>
                <w:rFonts w:hint="eastAsia" w:cs="Times New Roman"/>
                <w:color w:val="auto"/>
                <w:spacing w:val="-6"/>
                <w:sz w:val="21"/>
                <w:szCs w:val="21"/>
                <w:highlight w:val="none"/>
              </w:rPr>
              <w:t>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highlight w:val="none"/>
                <w:lang w:eastAsia="zh-CN"/>
              </w:rPr>
            </w:pPr>
            <w:r>
              <w:rPr>
                <w:rFonts w:hint="eastAsia"/>
                <w:color w:val="auto"/>
                <w:sz w:val="21"/>
                <w:szCs w:val="21"/>
                <w:highlight w:val="none"/>
                <w:lang w:val="en-US" w:eastAsia="zh-CN"/>
              </w:rPr>
              <w:t>3.</w:t>
            </w:r>
            <w:r>
              <w:rPr>
                <w:rFonts w:hint="eastAsia"/>
                <w:color w:val="auto"/>
                <w:sz w:val="21"/>
                <w:szCs w:val="21"/>
                <w:highlight w:val="none"/>
              </w:rPr>
              <w:t>上述内容的实现方式、时间、地点、人数应在响应文件中详细说明</w:t>
            </w:r>
            <w:r>
              <w:rPr>
                <w:rFonts w:hint="eastAsia"/>
                <w:color w:val="auto"/>
                <w:sz w:val="21"/>
                <w:szCs w:val="21"/>
                <w:highlight w:val="none"/>
                <w:lang w:eastAsia="zh-CN"/>
              </w:rPr>
              <w:t>。</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bookmarkStart w:id="32" w:name="_Hlk97039652"/>
      <w:r>
        <w:rPr>
          <w:rFonts w:hint="eastAsia"/>
          <w:color w:val="auto"/>
          <w:sz w:val="21"/>
          <w:szCs w:val="21"/>
          <w:highlight w:val="none"/>
        </w:rPr>
        <w:t>如技术要求中未注明需执行的国家相关标准、行业标准、地方标准或者其他标准、规范的，执行最新标准、规范。</w:t>
      </w:r>
      <w:bookmarkEnd w:id="32"/>
    </w:p>
    <w:p>
      <w:pPr>
        <w:adjustRightInd w:val="0"/>
        <w:snapToGrid w:val="0"/>
        <w:spacing w:line="288" w:lineRule="auto"/>
        <w:rPr>
          <w:rFonts w:hint="default" w:eastAsia="宋体"/>
          <w:b/>
          <w:bCs/>
          <w:color w:val="auto"/>
          <w:sz w:val="21"/>
          <w:szCs w:val="21"/>
          <w:highlight w:val="none"/>
          <w:lang w:val="en-US" w:eastAsia="zh-CN"/>
        </w:rPr>
      </w:pPr>
      <w:r>
        <w:rPr>
          <w:b/>
          <w:bCs/>
          <w:color w:val="auto"/>
          <w:sz w:val="21"/>
          <w:szCs w:val="21"/>
          <w:highlight w:val="none"/>
        </w:rPr>
        <w:t>2</w:t>
      </w:r>
      <w:r>
        <w:rPr>
          <w:rFonts w:hint="eastAsia"/>
          <w:b/>
          <w:bCs/>
          <w:color w:val="auto"/>
          <w:sz w:val="21"/>
          <w:szCs w:val="21"/>
          <w:highlight w:val="none"/>
        </w:rPr>
        <w:t>.需实现的功能或者目标：</w:t>
      </w:r>
      <w:r>
        <w:rPr>
          <w:rFonts w:hint="eastAsia"/>
          <w:b/>
          <w:bCs/>
          <w:color w:val="auto"/>
          <w:sz w:val="21"/>
          <w:szCs w:val="21"/>
          <w:highlight w:val="none"/>
          <w:lang w:val="en-US" w:eastAsia="zh-CN"/>
        </w:rPr>
        <w:t>满足数字化改革系统建设的需求。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p>
      <w:pPr>
        <w:keepNext w:val="0"/>
        <w:keepLines w:val="0"/>
        <w:pageBreakBefore w:val="0"/>
        <w:numPr>
          <w:ilvl w:val="0"/>
          <w:numId w:val="0"/>
        </w:numPr>
        <w:kinsoku/>
        <w:wordWrap/>
        <w:overflowPunct/>
        <w:topLinePunct w:val="0"/>
        <w:autoSpaceDE/>
        <w:autoSpaceDN/>
        <w:bidi w:val="0"/>
        <w:spacing w:line="288" w:lineRule="auto"/>
        <w:ind w:right="0" w:rightChars="0" w:firstLine="422" w:firstLineChars="200"/>
        <w:jc w:val="left"/>
        <w:outlineLvl w:val="9"/>
        <w:rPr>
          <w:rFonts w:hint="eastAsia" w:ascii="宋体" w:hAnsi="宋体" w:eastAsia="宋体" w:cs="宋体"/>
          <w:b/>
          <w:bCs/>
          <w:color w:val="1C1917"/>
          <w:sz w:val="21"/>
          <w:szCs w:val="21"/>
          <w:highlight w:val="none"/>
          <w:shd w:val="clear" w:color="auto" w:fill="FFFFFF"/>
          <w:lang w:eastAsia="zh-CN"/>
        </w:rPr>
      </w:pPr>
      <w:r>
        <w:rPr>
          <w:rFonts w:hint="eastAsia" w:cs="宋体"/>
          <w:b/>
          <w:bCs/>
          <w:color w:val="1C1917"/>
          <w:sz w:val="21"/>
          <w:szCs w:val="21"/>
          <w:highlight w:val="none"/>
          <w:shd w:val="clear" w:color="auto" w:fill="FFFFFF"/>
          <w:lang w:eastAsia="zh-CN"/>
        </w:rPr>
        <w:t>（</w:t>
      </w:r>
      <w:r>
        <w:rPr>
          <w:rFonts w:hint="eastAsia" w:cs="宋体"/>
          <w:b/>
          <w:bCs/>
          <w:color w:val="1C1917"/>
          <w:sz w:val="21"/>
          <w:szCs w:val="21"/>
          <w:highlight w:val="none"/>
          <w:shd w:val="clear" w:color="auto" w:fill="FFFFFF"/>
          <w:lang w:val="en-US" w:eastAsia="zh-CN"/>
        </w:rPr>
        <w:t>一</w:t>
      </w:r>
      <w:r>
        <w:rPr>
          <w:rFonts w:hint="eastAsia" w:cs="宋体"/>
          <w:b/>
          <w:bCs/>
          <w:color w:val="1C1917"/>
          <w:sz w:val="21"/>
          <w:szCs w:val="21"/>
          <w:highlight w:val="none"/>
          <w:shd w:val="clear" w:color="auto" w:fill="FFFFFF"/>
          <w:lang w:eastAsia="zh-CN"/>
        </w:rPr>
        <w:t>）</w:t>
      </w:r>
      <w:r>
        <w:rPr>
          <w:rFonts w:hint="eastAsia" w:ascii="宋体" w:hAnsi="宋体" w:eastAsia="宋体" w:cs="宋体"/>
          <w:b/>
          <w:bCs/>
          <w:color w:val="1C1917"/>
          <w:sz w:val="21"/>
          <w:szCs w:val="21"/>
          <w:highlight w:val="none"/>
          <w:shd w:val="clear" w:color="auto" w:fill="FFFFFF"/>
        </w:rPr>
        <w:t>杭电钉统一门户系统</w:t>
      </w:r>
      <w:r>
        <w:rPr>
          <w:rFonts w:hint="eastAsia" w:cs="宋体"/>
          <w:b/>
          <w:bCs/>
          <w:color w:val="1C1917"/>
          <w:sz w:val="21"/>
          <w:szCs w:val="21"/>
          <w:highlight w:val="none"/>
          <w:shd w:val="clear" w:color="auto" w:fill="FFFFFF"/>
          <w:lang w:eastAsia="zh-CN"/>
        </w:rPr>
        <w:t>：</w:t>
      </w:r>
    </w:p>
    <w:p>
      <w:pPr>
        <w:keepNext w:val="0"/>
        <w:keepLines w:val="0"/>
        <w:pageBreakBefore w:val="0"/>
        <w:kinsoku/>
        <w:wordWrap/>
        <w:overflowPunct/>
        <w:topLinePunct w:val="0"/>
        <w:autoSpaceDE/>
        <w:autoSpaceDN/>
        <w:bidi w:val="0"/>
        <w:spacing w:line="288" w:lineRule="auto"/>
        <w:ind w:left="0" w:leftChars="0" w:right="0" w:firstLine="420" w:firstLineChars="20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本次建设的项目</w:t>
      </w:r>
      <w:r>
        <w:rPr>
          <w:rFonts w:hint="eastAsia" w:cs="宋体"/>
          <w:color w:val="1C1917"/>
          <w:sz w:val="21"/>
          <w:szCs w:val="21"/>
          <w:highlight w:val="none"/>
          <w:shd w:val="clear" w:color="auto" w:fill="FFFFFF"/>
          <w:lang w:val="en-US" w:eastAsia="zh-CN"/>
        </w:rPr>
        <w:t>内容</w:t>
      </w:r>
      <w:r>
        <w:rPr>
          <w:rFonts w:hint="eastAsia" w:ascii="宋体" w:hAnsi="宋体" w:eastAsia="宋体" w:cs="宋体"/>
          <w:color w:val="1C1917"/>
          <w:sz w:val="21"/>
          <w:szCs w:val="21"/>
          <w:highlight w:val="none"/>
          <w:shd w:val="clear" w:color="auto" w:fill="FFFFFF"/>
        </w:rPr>
        <w:t>拟基于“一个入口、一网通办、一站式”服务理念，旨在建设一个通用的、“随需应变”的高灵活性智慧校园移动门户，全方位提供PC门户及移动门户建设，继续升级打造一站式服务平台。对校园业务的梳理、优化、建设，进行业务服务治理，完成与门户进一步融合，打造个人事务更加便捷化、个人数据更加集中化、交互方式更加智能化的多终端统一的智慧校园移动门户，以更好满足</w:t>
      </w:r>
      <w:r>
        <w:rPr>
          <w:rFonts w:hint="eastAsia" w:cs="宋体"/>
          <w:color w:val="1C1917"/>
          <w:sz w:val="21"/>
          <w:szCs w:val="21"/>
          <w:highlight w:val="none"/>
          <w:shd w:val="clear" w:color="auto" w:fill="FFFFFF"/>
          <w:lang w:val="en-US" w:eastAsia="zh-CN"/>
        </w:rPr>
        <w:t>采购人</w:t>
      </w:r>
      <w:r>
        <w:rPr>
          <w:rFonts w:hint="eastAsia" w:ascii="宋体" w:hAnsi="宋体" w:eastAsia="宋体" w:cs="宋体"/>
          <w:color w:val="1C1917"/>
          <w:sz w:val="21"/>
          <w:szCs w:val="21"/>
          <w:highlight w:val="none"/>
          <w:shd w:val="clear" w:color="auto" w:fill="FFFFFF"/>
        </w:rPr>
        <w:t>师生服务需求，提升学校全局信息化服务能力。</w:t>
      </w:r>
    </w:p>
    <w:tbl>
      <w:tblPr>
        <w:tblStyle w:val="11"/>
        <w:tblW w:w="9442" w:type="dxa"/>
        <w:tblInd w:w="0" w:type="dxa"/>
        <w:tblLayout w:type="fixed"/>
        <w:tblCellMar>
          <w:top w:w="15" w:type="dxa"/>
          <w:left w:w="15" w:type="dxa"/>
          <w:bottom w:w="15" w:type="dxa"/>
          <w:right w:w="15" w:type="dxa"/>
        </w:tblCellMar>
      </w:tblPr>
      <w:tblGrid>
        <w:gridCol w:w="1113"/>
        <w:gridCol w:w="8329"/>
      </w:tblGrid>
      <w:tr>
        <w:tblPrEx>
          <w:tblLayout w:type="fixed"/>
          <w:tblCellMar>
            <w:top w:w="15" w:type="dxa"/>
            <w:left w:w="15" w:type="dxa"/>
            <w:bottom w:w="15" w:type="dxa"/>
            <w:right w:w="15" w:type="dxa"/>
          </w:tblCellMar>
        </w:tblPrEx>
        <w:trPr>
          <w:trHeight w:val="417" w:hRule="atLeast"/>
        </w:trPr>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分类</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功能需求描述</w:t>
            </w:r>
          </w:p>
        </w:tc>
      </w:tr>
      <w:tr>
        <w:tblPrEx>
          <w:tblLayout w:type="fixed"/>
          <w:tblCellMar>
            <w:top w:w="15" w:type="dxa"/>
            <w:left w:w="15" w:type="dxa"/>
            <w:bottom w:w="15" w:type="dxa"/>
            <w:right w:w="15" w:type="dxa"/>
          </w:tblCellMar>
        </w:tblPrEx>
        <w:trPr>
          <w:trHeight w:val="620" w:hRule="atLeast"/>
        </w:trPr>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总体技术要求</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color w:val="000000"/>
                <w:kern w:val="2"/>
                <w:position w:val="-6"/>
                <w:sz w:val="21"/>
                <w:szCs w:val="21"/>
                <w:highlight w:val="none"/>
                <w:lang w:val="en-US" w:eastAsia="zh-CN" w:bidi="ar-SA"/>
              </w:rPr>
            </w:pPr>
            <w:r>
              <w:rPr>
                <w:rFonts w:hint="eastAsia" w:ascii="宋体" w:hAnsi="宋体" w:eastAsia="宋体" w:cs="宋体"/>
                <w:color w:val="000000"/>
                <w:kern w:val="2"/>
                <w:position w:val="-6"/>
                <w:sz w:val="21"/>
                <w:szCs w:val="21"/>
                <w:highlight w:val="none"/>
                <w:lang w:val="en-US" w:eastAsia="zh-CN" w:bidi="ar-SA"/>
              </w:rPr>
              <w:t>▲1.作为智慧校园的移动端访问入口，系统的稳定性决定了校园网内的信息资源和应用系统能否被访问。为保障系统稳定高效运行，系统须采用Docker容器云技术进行部署安装，并通过管理控制台实现系统的统一部署、编排、监控等运维管理，并提供可视化运维管理界面，方便运维人员操作。</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color w:val="000000"/>
                <w:kern w:val="2"/>
                <w:position w:val="-6"/>
                <w:sz w:val="21"/>
                <w:szCs w:val="21"/>
                <w:highlight w:val="none"/>
                <w:lang w:val="en-US" w:eastAsia="zh-CN" w:bidi="ar-SA"/>
              </w:rPr>
            </w:pPr>
            <w:r>
              <w:rPr>
                <w:rFonts w:hint="eastAsia" w:ascii="宋体" w:hAnsi="宋体" w:eastAsia="宋体" w:cs="宋体"/>
                <w:color w:val="000000"/>
                <w:kern w:val="2"/>
                <w:position w:val="-6"/>
                <w:sz w:val="21"/>
                <w:szCs w:val="21"/>
                <w:highlight w:val="none"/>
                <w:lang w:val="en-US" w:eastAsia="zh-CN" w:bidi="ar-SA"/>
              </w:rPr>
              <w:t>▲2.支持提供远程容器运行管理服务，对系统进行全局配置、一键部署、在线升级、在线还原及执行容器重启操作。</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color w:val="000000"/>
                <w:kern w:val="2"/>
                <w:position w:val="-6"/>
                <w:sz w:val="21"/>
                <w:szCs w:val="21"/>
                <w:highlight w:val="none"/>
                <w:lang w:val="en-US" w:eastAsia="zh-CN" w:bidi="ar-SA"/>
              </w:rPr>
            </w:pPr>
            <w:r>
              <w:rPr>
                <w:rFonts w:hint="eastAsia" w:ascii="宋体" w:hAnsi="宋体" w:eastAsia="宋体" w:cs="宋体"/>
                <w:color w:val="000000"/>
                <w:kern w:val="2"/>
                <w:position w:val="-6"/>
                <w:sz w:val="21"/>
                <w:szCs w:val="21"/>
                <w:highlight w:val="none"/>
                <w:lang w:val="en-US" w:eastAsia="zh-CN" w:bidi="ar-SA"/>
              </w:rPr>
              <w:t>▲3.遵守一个服务中台理念的原则，本次项目须围绕学校融合门户统一应用中心进行建设，提供接入标准，支持上架第三方的事项、流程及应用等。</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color w:val="000000"/>
                <w:kern w:val="2"/>
                <w:position w:val="-6"/>
                <w:sz w:val="21"/>
                <w:szCs w:val="21"/>
                <w:highlight w:val="none"/>
                <w:lang w:val="en-US" w:eastAsia="zh-CN" w:bidi="ar-SA"/>
              </w:rPr>
            </w:pPr>
            <w:r>
              <w:rPr>
                <w:rFonts w:hint="eastAsia" w:ascii="宋体" w:hAnsi="宋体" w:eastAsia="宋体" w:cs="宋体"/>
                <w:color w:val="000000"/>
                <w:kern w:val="2"/>
                <w:position w:val="-6"/>
                <w:sz w:val="21"/>
                <w:szCs w:val="21"/>
                <w:highlight w:val="none"/>
                <w:lang w:val="en-US" w:eastAsia="zh-CN" w:bidi="ar-SA"/>
              </w:rPr>
              <w:t>▲4.系统须支持跨平台的部署，平台均可运行于Ubuntu、Linux、Unix、Windows等高安全性操作系统，支持国产化操作系统部署运行。</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color w:val="000000"/>
                <w:kern w:val="2"/>
                <w:position w:val="-6"/>
                <w:sz w:val="21"/>
                <w:szCs w:val="21"/>
                <w:highlight w:val="none"/>
                <w:lang w:val="en-US" w:eastAsia="zh-CN" w:bidi="ar-SA"/>
              </w:rPr>
            </w:pPr>
            <w:r>
              <w:rPr>
                <w:rFonts w:hint="eastAsia" w:ascii="宋体" w:hAnsi="宋体" w:eastAsia="宋体" w:cs="宋体"/>
                <w:color w:val="000000"/>
                <w:kern w:val="2"/>
                <w:position w:val="-6"/>
                <w:sz w:val="21"/>
                <w:szCs w:val="21"/>
                <w:highlight w:val="none"/>
                <w:lang w:val="en-US" w:eastAsia="zh-CN" w:bidi="ar-SA"/>
              </w:rPr>
              <w:t>5.应保证系统页面的兼容性，支持各大主流浏览器。提供的平台和系统均需要基于B/S架构，支持多种浏览器，包括但不限于Edge、Firefox、Chrome、Safari等。</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color w:val="000000"/>
                <w:kern w:val="2"/>
                <w:position w:val="-6"/>
                <w:sz w:val="21"/>
                <w:szCs w:val="21"/>
                <w:highlight w:val="none"/>
                <w:lang w:val="en-US" w:eastAsia="zh-CN" w:bidi="ar-SA"/>
              </w:rPr>
            </w:pPr>
            <w:r>
              <w:rPr>
                <w:rFonts w:hint="eastAsia" w:ascii="宋体" w:hAnsi="宋体" w:eastAsia="宋体" w:cs="宋体"/>
                <w:color w:val="000000"/>
                <w:kern w:val="2"/>
                <w:position w:val="-6"/>
                <w:sz w:val="21"/>
                <w:szCs w:val="21"/>
                <w:highlight w:val="none"/>
                <w:lang w:val="en-US" w:eastAsia="zh-CN" w:bidi="ar-SA"/>
              </w:rPr>
              <w:t>6.平台应支持IPv4/Ipv6双协议栈、由SSL+HTTP协议构建的可进行加密传输、身份认证的https网络协议。</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color w:val="000000"/>
                <w:kern w:val="2"/>
                <w:position w:val="-6"/>
                <w:sz w:val="21"/>
                <w:szCs w:val="21"/>
                <w:highlight w:val="none"/>
                <w:lang w:val="en-US" w:eastAsia="zh-CN" w:bidi="ar-SA"/>
              </w:rPr>
            </w:pPr>
            <w:r>
              <w:rPr>
                <w:rFonts w:hint="eastAsia" w:ascii="宋体" w:hAnsi="宋体" w:eastAsia="宋体" w:cs="宋体"/>
                <w:color w:val="000000"/>
                <w:kern w:val="2"/>
                <w:position w:val="-6"/>
                <w:sz w:val="21"/>
                <w:szCs w:val="21"/>
                <w:highlight w:val="none"/>
                <w:lang w:val="en-US" w:eastAsia="zh-CN" w:bidi="ar-SA"/>
              </w:rPr>
              <w:t>▲7.移动门户和流程服务须采用HTML5响应式网页设计，兼容Android／iOS操作系统的主流移动浏览器；自动适应屏幕宽度，支持PC、PAD、手机等多种终端灵活接入，以备后期建设扩展用户终端访问方式。</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color w:val="000000"/>
                <w:kern w:val="2"/>
                <w:position w:val="-6"/>
                <w:sz w:val="21"/>
                <w:szCs w:val="21"/>
                <w:highlight w:val="none"/>
                <w:lang w:val="en-US" w:eastAsia="zh-CN" w:bidi="ar-SA"/>
              </w:rPr>
            </w:pPr>
            <w:r>
              <w:rPr>
                <w:rFonts w:hint="eastAsia" w:ascii="宋体" w:hAnsi="宋体" w:eastAsia="宋体" w:cs="宋体"/>
                <w:color w:val="000000"/>
                <w:kern w:val="2"/>
                <w:position w:val="-6"/>
                <w:sz w:val="21"/>
                <w:szCs w:val="21"/>
                <w:highlight w:val="none"/>
                <w:lang w:val="en-US" w:eastAsia="zh-CN" w:bidi="ar-SA"/>
              </w:rPr>
              <w:t>8.校内资源与系统的安全性保障：各系统要能够为用户提供安全的信息资源和业务数据的获取，保障信息传输的安全可靠、保障信息不被非法用户窃取、保障用户的合法身份不被盗用。</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kern w:val="2"/>
                <w:position w:val="-6"/>
                <w:sz w:val="21"/>
                <w:szCs w:val="21"/>
                <w:highlight w:val="none"/>
                <w:lang w:val="en-US" w:eastAsia="zh-CN" w:bidi="ar-SA"/>
              </w:rPr>
              <w:t>9.安全等保与系统修复：系统上线前供应商应无条件配合采购人做好软件系统上线之前统安全等级保护测试等。在系统运行期间，无条件完成各种安全漏洞的修复，确保采购人业务数据的安全性。</w:t>
            </w:r>
          </w:p>
        </w:tc>
      </w:tr>
      <w:tr>
        <w:tblPrEx>
          <w:tblLayout w:type="fixed"/>
          <w:tblCellMar>
            <w:top w:w="15" w:type="dxa"/>
            <w:left w:w="15" w:type="dxa"/>
            <w:bottom w:w="15" w:type="dxa"/>
            <w:right w:w="15" w:type="dxa"/>
          </w:tblCellMar>
        </w:tblPrEx>
        <w:trPr>
          <w:trHeight w:val="620" w:hRule="atLeast"/>
        </w:trPr>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专业钉门户</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1.统一身份认证：协调学校统一身份认证，支持移动平台免登录，通过桥接统一身份认证与专业钉APP的身份认证集成。</w:t>
            </w:r>
          </w:p>
          <w:p>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2.统一通讯录：基于学校提供的组织机构和人员数据，形成统一通讯录，与专业钉APP通讯录接口集成，将用户组织架构和用户数据实时对接到专业钉APP的通讯录进行展示。</w:t>
            </w:r>
          </w:p>
          <w:p>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3.工作台设计：支持为学校提供专业钉原生移动工作台设计，设计规范包括信息展示的规范、信息交互设计、通用组件交互设计、功能模块交互设计等。功能包括常用应用、卡片、快速通道、个人中心等。</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4.快速通道：包括应用收藏（收藏至首页）、热门应用（应用使用频率TOP8）、推荐应用（管理员默认绑定）等功能。</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5.个人卡片：包括待办&amp;个人课表等。提供服务快速通道，包括：访客预约、通行码、云盘、车辆入校，通道排序可支持编辑调整。</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6.个人中心：个人信息管理更新、个人信息展示、个人名片转发。</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7.应用中心：按照应用逻辑关系将校内应用进行上架，并可以实现检索。</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服务一致性：提供专业钉移动工作台，支持基于学校的专业钉APP账户完成建设。功能要与PC门户系统功能保持同步，提供一致性的服务体验，即需要提供事务检索、热门推荐、在线办理、事务跟踪、个人收藏等功能。</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9.资讯整合：支持聚合学校资讯，通过专业钉工作台门户即可浏览部门院系下栏目的新闻、资讯、通知等。</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10.应用整合：完成移动应用的整合，面向用户提供基于专业钉工作台的智能移动服务，诸如域名申请、网络账号申请、临时卡开通等服务。</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11.个性化功能：支持根据用户的身份提供个性化功能，每个用户登录专业钉门户工作台一站式办事大厅界面后，获取个性化的功能服务，根据身份显示不同的应用模块。</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12.消息推送：基于专业钉APP提供消息推送功能，事务办理过程中面向申请人员及办理人员的各种提醒通知，要能通过专业钉APP主动推送给用户。</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13.消息中心：提供消息中心功能，支持集成邮箱系统、工作流系统等以展示当前登录人员的相关消息，如待办信息、邮件消息等。</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14.事务中心：提供事务中心，展示与个人相关的待办列表、已办列表、流程追踪列表、流程办结列表、通知公告列表等信息并提供办理通道。</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val="0"/>
              <w:spacing w:before="0" w:beforeLines="0" w:beforeAutospacing="0" w:after="0" w:afterLines="0" w:afterAutospacing="0" w:line="240" w:lineRule="auto"/>
              <w:ind w:left="0" w:leftChars="0" w:right="0" w:rightChars="0"/>
              <w:jc w:val="left"/>
              <w:outlineLvl w:val="9"/>
              <w:rPr>
                <w:rFonts w:hint="eastAsia" w:ascii="宋体" w:hAnsi="宋体" w:eastAsia="宋体" w:cs="宋体"/>
                <w:kern w:val="2"/>
                <w:sz w:val="21"/>
                <w:szCs w:val="21"/>
                <w:highlight w:val="none"/>
                <w:lang w:val="en-US" w:eastAsia="zh-Hans" w:bidi="ar-SA"/>
              </w:rPr>
            </w:pPr>
            <w:r>
              <w:rPr>
                <w:rFonts w:hint="eastAsia" w:ascii="宋体" w:hAnsi="宋体" w:eastAsia="宋体" w:cs="宋体"/>
                <w:kern w:val="2"/>
                <w:sz w:val="21"/>
                <w:szCs w:val="21"/>
                <w:highlight w:val="none"/>
                <w:lang w:val="en-US" w:eastAsia="zh-CN" w:bidi="ar-SA"/>
              </w:rPr>
              <w:t>15.事务收藏：根据当前登录人员的身份去查询该用户收藏的事务信息，并展示在首页或者其页面，用户可以通过展示的事务进入事务的办理中心进行业务办理，亦可进入事务的详情页进行评价评分、收藏或取消收藏及与该事务相关的咨询操作。</w:t>
            </w:r>
          </w:p>
        </w:tc>
      </w:tr>
    </w:tbl>
    <w:p>
      <w:pPr>
        <w:keepNext w:val="0"/>
        <w:keepLines w:val="0"/>
        <w:pageBreakBefore w:val="0"/>
        <w:kinsoku/>
        <w:wordWrap/>
        <w:overflowPunct/>
        <w:topLinePunct w:val="0"/>
        <w:autoSpaceDE/>
        <w:autoSpaceDN/>
        <w:bidi w:val="0"/>
        <w:spacing w:line="288" w:lineRule="auto"/>
        <w:ind w:left="0" w:leftChars="0" w:right="0" w:firstLine="420" w:firstLineChars="200"/>
        <w:jc w:val="left"/>
        <w:outlineLvl w:val="9"/>
        <w:rPr>
          <w:rFonts w:hint="eastAsia" w:ascii="宋体" w:hAnsi="宋体" w:eastAsia="宋体" w:cs="宋体"/>
          <w:sz w:val="21"/>
          <w:szCs w:val="21"/>
          <w:highlight w:val="none"/>
          <w:lang w:eastAsia="zh-Hans"/>
        </w:rPr>
      </w:pPr>
    </w:p>
    <w:p>
      <w:pPr>
        <w:keepNext w:val="0"/>
        <w:keepLines w:val="0"/>
        <w:pageBreakBefore w:val="0"/>
        <w:numPr>
          <w:ilvl w:val="0"/>
          <w:numId w:val="0"/>
        </w:numPr>
        <w:kinsoku/>
        <w:wordWrap/>
        <w:overflowPunct/>
        <w:topLinePunct w:val="0"/>
        <w:autoSpaceDE/>
        <w:autoSpaceDN/>
        <w:bidi w:val="0"/>
        <w:spacing w:line="288" w:lineRule="auto"/>
        <w:ind w:right="0" w:rightChars="0" w:firstLine="422" w:firstLineChars="200"/>
        <w:jc w:val="left"/>
        <w:outlineLvl w:val="9"/>
        <w:rPr>
          <w:rFonts w:hint="eastAsia" w:ascii="宋体" w:hAnsi="宋体" w:eastAsia="宋体" w:cs="宋体"/>
          <w:b/>
          <w:bCs/>
          <w:color w:val="1C1917"/>
          <w:sz w:val="21"/>
          <w:szCs w:val="21"/>
          <w:highlight w:val="none"/>
          <w:shd w:val="clear" w:color="auto" w:fill="FFFFFF"/>
          <w:lang w:eastAsia="zh-CN"/>
        </w:rPr>
      </w:pPr>
      <w:r>
        <w:rPr>
          <w:rFonts w:hint="eastAsia" w:cs="宋体"/>
          <w:b/>
          <w:bCs/>
          <w:color w:val="1C1917"/>
          <w:sz w:val="21"/>
          <w:szCs w:val="21"/>
          <w:highlight w:val="none"/>
          <w:shd w:val="clear" w:color="auto" w:fill="FFFFFF"/>
          <w:lang w:eastAsia="zh-CN"/>
        </w:rPr>
        <w:t>（</w:t>
      </w:r>
      <w:r>
        <w:rPr>
          <w:rFonts w:hint="eastAsia" w:cs="宋体"/>
          <w:b/>
          <w:bCs/>
          <w:color w:val="1C1917"/>
          <w:sz w:val="21"/>
          <w:szCs w:val="21"/>
          <w:highlight w:val="none"/>
          <w:shd w:val="clear" w:color="auto" w:fill="FFFFFF"/>
          <w:lang w:val="en-US" w:eastAsia="zh-CN"/>
        </w:rPr>
        <w:t>二</w:t>
      </w:r>
      <w:r>
        <w:rPr>
          <w:rFonts w:hint="eastAsia" w:cs="宋体"/>
          <w:b/>
          <w:bCs/>
          <w:color w:val="1C1917"/>
          <w:sz w:val="21"/>
          <w:szCs w:val="21"/>
          <w:highlight w:val="none"/>
          <w:shd w:val="clear" w:color="auto" w:fill="FFFFFF"/>
          <w:lang w:eastAsia="zh-CN"/>
        </w:rPr>
        <w:t>）</w:t>
      </w:r>
      <w:r>
        <w:rPr>
          <w:rFonts w:hint="eastAsia" w:ascii="宋体" w:hAnsi="宋体" w:eastAsia="宋体" w:cs="宋体"/>
          <w:b/>
          <w:bCs/>
          <w:color w:val="1C1917"/>
          <w:sz w:val="21"/>
          <w:szCs w:val="21"/>
          <w:highlight w:val="none"/>
          <w:shd w:val="clear" w:color="auto" w:fill="FFFFFF"/>
        </w:rPr>
        <w:t>统一人像平台</w:t>
      </w:r>
      <w:r>
        <w:rPr>
          <w:rFonts w:hint="eastAsia" w:cs="宋体"/>
          <w:b/>
          <w:bCs/>
          <w:color w:val="1C1917"/>
          <w:sz w:val="21"/>
          <w:szCs w:val="21"/>
          <w:highlight w:val="none"/>
          <w:shd w:val="clear" w:color="auto" w:fill="FFFFFF"/>
          <w:lang w:eastAsia="zh-CN"/>
        </w:rPr>
        <w:t>：</w:t>
      </w:r>
    </w:p>
    <w:p>
      <w:pPr>
        <w:keepNext w:val="0"/>
        <w:keepLines w:val="0"/>
        <w:pageBreakBefore w:val="0"/>
        <w:kinsoku/>
        <w:wordWrap/>
        <w:overflowPunct/>
        <w:topLinePunct w:val="0"/>
        <w:autoSpaceDE/>
        <w:autoSpaceDN/>
        <w:bidi w:val="0"/>
        <w:spacing w:line="288" w:lineRule="auto"/>
        <w:ind w:left="0" w:leftChars="0" w:right="0" w:firstLine="420" w:firstLineChars="20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建立学校统一的人员图像资源库,解决部门间人像数据隔离的问题,方便合理应用人像信息。</w:t>
      </w:r>
    </w:p>
    <w:tbl>
      <w:tblPr>
        <w:tblStyle w:val="11"/>
        <w:tblW w:w="9442" w:type="dxa"/>
        <w:tblInd w:w="0" w:type="dxa"/>
        <w:tblLayout w:type="fixed"/>
        <w:tblCellMar>
          <w:top w:w="15" w:type="dxa"/>
          <w:left w:w="15" w:type="dxa"/>
          <w:bottom w:w="15" w:type="dxa"/>
          <w:right w:w="15" w:type="dxa"/>
        </w:tblCellMar>
      </w:tblPr>
      <w:tblGrid>
        <w:gridCol w:w="1139"/>
        <w:gridCol w:w="1140"/>
        <w:gridCol w:w="7163"/>
      </w:tblGrid>
      <w:tr>
        <w:tblPrEx>
          <w:tblLayout w:type="fixed"/>
          <w:tblCellMar>
            <w:top w:w="15" w:type="dxa"/>
            <w:left w:w="15" w:type="dxa"/>
            <w:bottom w:w="15" w:type="dxa"/>
            <w:right w:w="15" w:type="dxa"/>
          </w:tblCellMar>
        </w:tblPrEx>
        <w:trPr>
          <w:trHeight w:val="415" w:hRule="atLeast"/>
        </w:trPr>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模块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功能</w:t>
            </w:r>
          </w:p>
        </w:tc>
        <w:tc>
          <w:tcPr>
            <w:tcW w:w="71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功能需求描述</w:t>
            </w:r>
          </w:p>
        </w:tc>
      </w:tr>
      <w:tr>
        <w:tblPrEx>
          <w:tblLayout w:type="fixed"/>
          <w:tblCellMar>
            <w:top w:w="15" w:type="dxa"/>
            <w:left w:w="15" w:type="dxa"/>
            <w:bottom w:w="15" w:type="dxa"/>
            <w:right w:w="15" w:type="dxa"/>
          </w:tblCellMar>
        </w:tblPrEx>
        <w:trPr>
          <w:trHeight w:val="620" w:hRule="atLeast"/>
        </w:trPr>
        <w:tc>
          <w:tcPr>
            <w:tcW w:w="1139" w:type="dxa"/>
            <w:vMerge w:val="restart"/>
            <w:tcBorders>
              <w:top w:val="single" w:color="000000" w:sz="4" w:space="0"/>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人像授权</w:t>
            </w: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用户授权</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1.</w:t>
            </w:r>
            <w:r>
              <w:rPr>
                <w:rFonts w:hint="eastAsia" w:ascii="宋体" w:hAnsi="宋体" w:eastAsia="宋体" w:cs="宋体"/>
                <w:sz w:val="21"/>
                <w:szCs w:val="21"/>
                <w:highlight w:val="none"/>
              </w:rPr>
              <w:t>对人像的采集、分发、使用进行全面化授权管理，并对使用应用的使用权限做到范围控制，保证人像数据使用的精准性与安全性。</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2.</w:t>
            </w:r>
            <w:r>
              <w:rPr>
                <w:rFonts w:hint="eastAsia" w:ascii="宋体" w:hAnsi="宋体" w:eastAsia="宋体" w:cs="宋体"/>
                <w:sz w:val="21"/>
                <w:szCs w:val="21"/>
                <w:highlight w:val="none"/>
                <w:lang w:eastAsia="zh-Hans"/>
              </w:rPr>
              <w:t>支持</w:t>
            </w:r>
            <w:r>
              <w:rPr>
                <w:rFonts w:hint="eastAsia" w:ascii="宋体" w:hAnsi="宋体" w:eastAsia="宋体" w:cs="宋体"/>
                <w:sz w:val="21"/>
                <w:szCs w:val="21"/>
                <w:highlight w:val="none"/>
              </w:rPr>
              <w:t>用户首次登录弹出授权告知，未经用户授权不得进行人像采集，不得进行人像、特征值下发。用户授权后可随时取消授权，当取消授权后，人像管理平台会同时关闭人像数据下发</w:t>
            </w:r>
            <w:r>
              <w:rPr>
                <w:rFonts w:hint="eastAsia" w:ascii="宋体" w:hAnsi="宋体" w:eastAsia="宋体" w:cs="宋体"/>
                <w:sz w:val="21"/>
                <w:szCs w:val="21"/>
                <w:highlight w:val="none"/>
                <w:lang w:eastAsia="zh-Hans"/>
              </w:rPr>
              <w:t>功能</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Hans"/>
              </w:rPr>
              <w:t>并</w:t>
            </w:r>
            <w:r>
              <w:rPr>
                <w:rFonts w:hint="eastAsia" w:ascii="宋体" w:hAnsi="宋体" w:eastAsia="宋体" w:cs="宋体"/>
                <w:sz w:val="21"/>
                <w:szCs w:val="21"/>
                <w:highlight w:val="none"/>
              </w:rPr>
              <w:t>告知已获取数据的第三方系统删除相关用户的数据，</w:t>
            </w:r>
            <w:r>
              <w:rPr>
                <w:rFonts w:hint="eastAsia" w:ascii="宋体" w:hAnsi="宋体" w:eastAsia="宋体" w:cs="宋体"/>
                <w:sz w:val="21"/>
                <w:szCs w:val="21"/>
                <w:highlight w:val="none"/>
                <w:lang w:eastAsia="zh-Hans"/>
              </w:rPr>
              <w:t>同时支持</w:t>
            </w:r>
            <w:r>
              <w:rPr>
                <w:rFonts w:hint="eastAsia" w:ascii="宋体" w:hAnsi="宋体" w:eastAsia="宋体" w:cs="宋体"/>
                <w:sz w:val="21"/>
                <w:szCs w:val="21"/>
                <w:highlight w:val="none"/>
              </w:rPr>
              <w:t>获取第三方系统删除数据的回执。</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授权</w:t>
            </w:r>
            <w:r>
              <w:rPr>
                <w:rFonts w:hint="eastAsia" w:ascii="宋体" w:hAnsi="宋体" w:eastAsia="宋体" w:cs="宋体"/>
                <w:sz w:val="21"/>
                <w:szCs w:val="21"/>
                <w:highlight w:val="none"/>
                <w:lang w:eastAsia="zh-Hans"/>
              </w:rPr>
              <w:t>条款管理</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1.</w:t>
            </w:r>
            <w:r>
              <w:rPr>
                <w:rFonts w:hint="eastAsia" w:ascii="宋体" w:hAnsi="宋体" w:eastAsia="宋体" w:cs="宋体"/>
                <w:sz w:val="21"/>
                <w:szCs w:val="21"/>
                <w:highlight w:val="none"/>
                <w:lang w:eastAsia="zh-Hans"/>
              </w:rPr>
              <w:t>授权条款管理，支持文本输入发布用户协议、隐私协议等。协议发布后支持用户在采集端重新授权。</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2.</w:t>
            </w:r>
            <w:r>
              <w:rPr>
                <w:rFonts w:hint="eastAsia" w:ascii="宋体" w:hAnsi="宋体" w:eastAsia="宋体" w:cs="宋体"/>
                <w:sz w:val="21"/>
                <w:szCs w:val="21"/>
                <w:highlight w:val="none"/>
                <w:lang w:eastAsia="zh-Hans"/>
              </w:rPr>
              <w:t>若协议发生更改后发布，系统支持发送协议变更信息给用户。</w:t>
            </w:r>
          </w:p>
        </w:tc>
      </w:tr>
      <w:tr>
        <w:tblPrEx>
          <w:tblLayout w:type="fixed"/>
          <w:tblCellMar>
            <w:top w:w="15" w:type="dxa"/>
            <w:left w:w="15" w:type="dxa"/>
            <w:bottom w:w="15" w:type="dxa"/>
            <w:right w:w="15" w:type="dxa"/>
          </w:tblCellMar>
        </w:tblPrEx>
        <w:trPr>
          <w:trHeight w:val="90" w:hRule="atLeast"/>
        </w:trPr>
        <w:tc>
          <w:tcPr>
            <w:tcW w:w="113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人像采集</w:t>
            </w: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移动端采集</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1.</w:t>
            </w:r>
            <w:r>
              <w:rPr>
                <w:rFonts w:hint="eastAsia" w:ascii="宋体" w:hAnsi="宋体" w:eastAsia="宋体" w:cs="宋体"/>
                <w:sz w:val="21"/>
                <w:szCs w:val="21"/>
                <w:highlight w:val="none"/>
              </w:rPr>
              <w:t>采集页面以H5方式挂载到微信公众号、企业微信、钉钉、APP等载体内，调用摄像头进行拍照上传，拍照页面需展现虚线框来定位人脸位置。</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2.</w:t>
            </w:r>
            <w:r>
              <w:rPr>
                <w:rFonts w:hint="eastAsia" w:ascii="宋体" w:hAnsi="宋体" w:eastAsia="宋体" w:cs="宋体"/>
                <w:sz w:val="21"/>
                <w:szCs w:val="21"/>
                <w:highlight w:val="none"/>
                <w:lang w:eastAsia="zh-Hans"/>
              </w:rPr>
              <w:t>对</w:t>
            </w:r>
            <w:r>
              <w:rPr>
                <w:rFonts w:hint="eastAsia" w:ascii="宋体" w:hAnsi="宋体" w:eastAsia="宋体" w:cs="宋体"/>
                <w:sz w:val="21"/>
                <w:szCs w:val="21"/>
                <w:highlight w:val="none"/>
              </w:rPr>
              <w:t>采集页面的手机号与证件号进行脱敏显示。</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color w:val="FF0000"/>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3.手机端拍摄后系统支持对照片进行缩放、旋转、更换背景为纯色等编辑操作。</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4.</w:t>
            </w:r>
            <w:r>
              <w:rPr>
                <w:rFonts w:hint="eastAsia" w:ascii="宋体" w:hAnsi="宋体" w:eastAsia="宋体" w:cs="宋体"/>
                <w:sz w:val="21"/>
                <w:szCs w:val="21"/>
                <w:highlight w:val="none"/>
              </w:rPr>
              <w:t>内部人员可通过身份认证系统登录后采集。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5.</w:t>
            </w:r>
            <w:r>
              <w:rPr>
                <w:rFonts w:hint="eastAsia" w:ascii="宋体" w:hAnsi="宋体" w:eastAsia="宋体" w:cs="宋体"/>
                <w:sz w:val="21"/>
                <w:szCs w:val="21"/>
                <w:highlight w:val="none"/>
              </w:rPr>
              <w:t>校外人员可通过采集配置管理中的采集二维码或采集链接，输入手机号、验证码和数据库内信息比对，比对成功后登录进行人像采集。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6.</w:t>
            </w:r>
            <w:r>
              <w:rPr>
                <w:rFonts w:hint="eastAsia" w:ascii="宋体" w:hAnsi="宋体" w:eastAsia="宋体" w:cs="宋体"/>
                <w:sz w:val="21"/>
                <w:szCs w:val="21"/>
                <w:highlight w:val="none"/>
              </w:rPr>
              <w:t>采集结束后，页面列表展现是否符合各个算法厂商要求。</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7.</w:t>
            </w:r>
            <w:r>
              <w:rPr>
                <w:rFonts w:hint="eastAsia" w:ascii="宋体" w:hAnsi="宋体" w:eastAsia="宋体" w:cs="宋体"/>
                <w:sz w:val="21"/>
                <w:szCs w:val="21"/>
                <w:highlight w:val="none"/>
                <w:lang w:eastAsia="zh-Hans"/>
              </w:rPr>
              <w:t>系统支持</w:t>
            </w:r>
            <w:r>
              <w:rPr>
                <w:rFonts w:hint="eastAsia" w:ascii="宋体" w:hAnsi="宋体" w:eastAsia="宋体" w:cs="宋体"/>
                <w:sz w:val="21"/>
                <w:szCs w:val="21"/>
                <w:highlight w:val="none"/>
              </w:rPr>
              <w:t>常见问题查询和应急上传</w:t>
            </w:r>
            <w:r>
              <w:rPr>
                <w:rFonts w:hint="eastAsia" w:ascii="宋体" w:hAnsi="宋体" w:eastAsia="宋体" w:cs="宋体"/>
                <w:sz w:val="21"/>
                <w:szCs w:val="21"/>
                <w:highlight w:val="none"/>
                <w:lang w:eastAsia="zh-Hans"/>
              </w:rPr>
              <w:t>功能。</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8.</w:t>
            </w:r>
            <w:r>
              <w:rPr>
                <w:rFonts w:hint="eastAsia" w:ascii="宋体" w:hAnsi="宋体" w:eastAsia="宋体" w:cs="宋体"/>
                <w:sz w:val="21"/>
                <w:szCs w:val="21"/>
                <w:highlight w:val="none"/>
              </w:rPr>
              <w:t>若遇到采集失败的问题，可以通过常见问题列表查看对应处理办法。</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9.</w:t>
            </w:r>
            <w:r>
              <w:rPr>
                <w:rFonts w:hint="eastAsia" w:ascii="宋体" w:hAnsi="宋体" w:eastAsia="宋体" w:cs="宋体"/>
                <w:sz w:val="21"/>
                <w:szCs w:val="21"/>
                <w:highlight w:val="none"/>
              </w:rPr>
              <w:t>若遇到手机拍照出现横向底片的情况，可以通过应急上传功能</w:t>
            </w:r>
            <w:r>
              <w:rPr>
                <w:rFonts w:hint="eastAsia" w:ascii="宋体" w:hAnsi="宋体" w:eastAsia="宋体" w:cs="宋体"/>
                <w:sz w:val="21"/>
                <w:szCs w:val="21"/>
                <w:highlight w:val="none"/>
                <w:lang w:eastAsia="zh-Hans"/>
              </w:rPr>
              <w:t>可</w:t>
            </w:r>
            <w:r>
              <w:rPr>
                <w:rFonts w:hint="eastAsia" w:ascii="宋体" w:hAnsi="宋体" w:eastAsia="宋体" w:cs="宋体"/>
                <w:sz w:val="21"/>
                <w:szCs w:val="21"/>
                <w:highlight w:val="none"/>
              </w:rPr>
              <w:t>直接调用相机的拍摄功能和选择手机相册照片上传。</w:t>
            </w:r>
          </w:p>
        </w:tc>
      </w:tr>
      <w:tr>
        <w:tblPrEx>
          <w:tblLayout w:type="fixed"/>
          <w:tblCellMar>
            <w:top w:w="15" w:type="dxa"/>
            <w:left w:w="15" w:type="dxa"/>
            <w:bottom w:w="15" w:type="dxa"/>
            <w:right w:w="15" w:type="dxa"/>
          </w:tblCellMar>
        </w:tblPrEx>
        <w:trPr>
          <w:trHeight w:val="1236" w:hRule="atLeast"/>
        </w:trPr>
        <w:tc>
          <w:tcPr>
            <w:tcW w:w="1139" w:type="dxa"/>
            <w:vMerge w:val="restart"/>
            <w:tcBorders>
              <w:top w:val="single" w:color="000000" w:sz="4" w:space="0"/>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人像核验</w:t>
            </w:r>
          </w:p>
        </w:tc>
        <w:tc>
          <w:tcPr>
            <w:tcW w:w="1140"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底片质量核验</w:t>
            </w:r>
          </w:p>
        </w:tc>
        <w:tc>
          <w:tcPr>
            <w:tcW w:w="7163"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系统支持以下底片质量检测，并进行可视化设置：</w:t>
            </w:r>
            <w:r>
              <w:rPr>
                <w:rFonts w:hint="eastAsia" w:ascii="宋体" w:hAnsi="宋体" w:eastAsia="宋体" w:cs="宋体"/>
                <w:spacing w:val="0"/>
                <w:kern w:val="2"/>
                <w:sz w:val="21"/>
                <w:szCs w:val="21"/>
                <w:highlight w:val="none"/>
                <w:lang w:val="en-US" w:eastAsia="zh-Hans" w:bidi="ar-SA"/>
              </w:rPr>
              <w:t>人脸真人检测、是否戴眼镜检测、左右眼睛睁合检测、戴口罩检测、人脸上下左右倾斜角度检测、人脸照片中占比及位置检测、人脸面部光线检测、面部遮挡检测、面部溢出照片检测分析。</w:t>
            </w:r>
          </w:p>
        </w:tc>
      </w:tr>
      <w:tr>
        <w:tblPrEx>
          <w:tblLayout w:type="fixed"/>
          <w:tblCellMar>
            <w:top w:w="15" w:type="dxa"/>
            <w:left w:w="15" w:type="dxa"/>
            <w:bottom w:w="15" w:type="dxa"/>
            <w:right w:w="15" w:type="dxa"/>
          </w:tblCellMar>
        </w:tblPrEx>
        <w:trPr>
          <w:trHeight w:val="1564" w:hRule="atLeast"/>
        </w:trPr>
        <w:tc>
          <w:tcPr>
            <w:tcW w:w="1139" w:type="dxa"/>
            <w:vMerge w:val="continue"/>
            <w:tcBorders>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可信身核验</w:t>
            </w:r>
          </w:p>
        </w:tc>
        <w:tc>
          <w:tcPr>
            <w:tcW w:w="7163"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1.</w:t>
            </w:r>
            <w:r>
              <w:rPr>
                <w:rFonts w:hint="eastAsia" w:ascii="宋体" w:hAnsi="宋体" w:eastAsia="宋体" w:cs="宋体"/>
                <w:sz w:val="21"/>
                <w:szCs w:val="21"/>
                <w:highlight w:val="none"/>
              </w:rPr>
              <w:t>系统支持为每个用户保存一张代表本人真实身份的可信身份底片。可信身份底片可通过系统导入现有人像照片获得或通过调用公共可信身份核验系统核验后获得。</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2.</w:t>
            </w:r>
            <w:r>
              <w:rPr>
                <w:rFonts w:hint="eastAsia" w:ascii="宋体" w:hAnsi="宋体" w:eastAsia="宋体" w:cs="宋体"/>
                <w:sz w:val="21"/>
                <w:szCs w:val="21"/>
                <w:highlight w:val="none"/>
              </w:rPr>
              <w:t>用户第一次采集人像时，若系统已导入了现有的人像照片，则该照片作为可信身份底片，那么用户采集照片则与该照片1:1核验身份。若系统没有导入现有的人像照片，则需通过调用公共可信身份核验系统核验身份，核验通过，该照片作为可信身份底片，用于以后的照片的采集与修改。</w:t>
            </w:r>
          </w:p>
        </w:tc>
      </w:tr>
      <w:tr>
        <w:tblPrEx>
          <w:tblLayout w:type="fixed"/>
          <w:tblCellMar>
            <w:top w:w="15" w:type="dxa"/>
            <w:left w:w="15" w:type="dxa"/>
            <w:bottom w:w="15" w:type="dxa"/>
            <w:right w:w="15" w:type="dxa"/>
          </w:tblCellMar>
        </w:tblPrEx>
        <w:trPr>
          <w:trHeight w:val="1401" w:hRule="atLeast"/>
        </w:trPr>
        <w:tc>
          <w:tcPr>
            <w:tcW w:w="1139" w:type="dxa"/>
            <w:vMerge w:val="continue"/>
            <w:tcBorders>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算法厂家核验</w:t>
            </w:r>
          </w:p>
        </w:tc>
        <w:tc>
          <w:tcPr>
            <w:tcW w:w="7163"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1.</w:t>
            </w:r>
            <w:r>
              <w:rPr>
                <w:rFonts w:hint="eastAsia" w:ascii="宋体" w:hAnsi="宋体" w:eastAsia="宋体" w:cs="宋体"/>
                <w:sz w:val="21"/>
                <w:szCs w:val="21"/>
                <w:highlight w:val="none"/>
                <w:lang w:eastAsia="zh-Hans"/>
              </w:rPr>
              <w:t>将</w:t>
            </w:r>
            <w:r>
              <w:rPr>
                <w:rFonts w:hint="eastAsia" w:ascii="宋体" w:hAnsi="宋体" w:eastAsia="宋体" w:cs="宋体"/>
                <w:sz w:val="21"/>
                <w:szCs w:val="21"/>
                <w:highlight w:val="none"/>
              </w:rPr>
              <w:t>采集的底片，进</w:t>
            </w:r>
            <w:r>
              <w:rPr>
                <w:rFonts w:hint="eastAsia" w:ascii="宋体" w:hAnsi="宋体" w:eastAsia="宋体" w:cs="宋体"/>
                <w:sz w:val="21"/>
                <w:szCs w:val="21"/>
                <w:highlight w:val="none"/>
                <w:lang w:eastAsia="zh-Hans"/>
              </w:rPr>
              <w:t>行各算法厂商的</w:t>
            </w:r>
            <w:r>
              <w:rPr>
                <w:rFonts w:hint="eastAsia" w:ascii="宋体" w:hAnsi="宋体" w:eastAsia="宋体" w:cs="宋体"/>
                <w:sz w:val="21"/>
                <w:szCs w:val="21"/>
                <w:highlight w:val="none"/>
              </w:rPr>
              <w:t>算法</w:t>
            </w:r>
            <w:r>
              <w:rPr>
                <w:rFonts w:hint="eastAsia" w:ascii="宋体" w:hAnsi="宋体" w:eastAsia="宋体" w:cs="宋体"/>
                <w:sz w:val="21"/>
                <w:szCs w:val="21"/>
                <w:highlight w:val="none"/>
                <w:lang w:eastAsia="zh-Hans"/>
              </w:rPr>
              <w:t>质量</w:t>
            </w:r>
            <w:r>
              <w:rPr>
                <w:rFonts w:hint="eastAsia" w:ascii="宋体" w:hAnsi="宋体" w:eastAsia="宋体" w:cs="宋体"/>
                <w:sz w:val="21"/>
                <w:szCs w:val="21"/>
                <w:highlight w:val="none"/>
              </w:rPr>
              <w:t>核验</w:t>
            </w:r>
            <w:r>
              <w:rPr>
                <w:rFonts w:hint="eastAsia" w:ascii="宋体" w:hAnsi="宋体" w:eastAsia="宋体" w:cs="宋体"/>
                <w:sz w:val="21"/>
                <w:szCs w:val="21"/>
                <w:highlight w:val="none"/>
                <w:lang w:eastAsia="zh-Hans"/>
              </w:rPr>
              <w:t>。</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2.</w:t>
            </w:r>
            <w:r>
              <w:rPr>
                <w:rFonts w:hint="eastAsia" w:ascii="宋体" w:hAnsi="宋体" w:eastAsia="宋体" w:cs="宋体"/>
                <w:sz w:val="21"/>
                <w:szCs w:val="21"/>
                <w:highlight w:val="none"/>
              </w:rPr>
              <w:t>系统支持根据每个算法厂家对底片的质量要求</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对采集的底片进行二次处理，通过智能算法处理</w:t>
            </w:r>
            <w:r>
              <w:rPr>
                <w:rFonts w:hint="eastAsia" w:ascii="宋体" w:hAnsi="宋体" w:eastAsia="宋体" w:cs="宋体"/>
                <w:sz w:val="21"/>
                <w:szCs w:val="21"/>
                <w:highlight w:val="none"/>
                <w:lang w:eastAsia="zh-Hans"/>
              </w:rPr>
              <w:t>获得</w:t>
            </w:r>
            <w:r>
              <w:rPr>
                <w:rFonts w:hint="eastAsia" w:ascii="宋体" w:hAnsi="宋体" w:eastAsia="宋体" w:cs="宋体"/>
                <w:sz w:val="21"/>
                <w:szCs w:val="21"/>
                <w:highlight w:val="none"/>
              </w:rPr>
              <w:t>满足每个算法厂家底片要求的算法匹配底片</w:t>
            </w:r>
            <w:r>
              <w:rPr>
                <w:rFonts w:hint="eastAsia" w:ascii="宋体" w:hAnsi="宋体" w:eastAsia="宋体" w:cs="宋体"/>
                <w:sz w:val="21"/>
                <w:szCs w:val="21"/>
                <w:highlight w:val="none"/>
                <w:lang w:eastAsia="zh-Hans"/>
              </w:rPr>
              <w:t>。同时</w:t>
            </w:r>
            <w:r>
              <w:rPr>
                <w:rFonts w:hint="eastAsia" w:ascii="宋体" w:hAnsi="宋体" w:eastAsia="宋体" w:cs="宋体"/>
                <w:sz w:val="21"/>
                <w:szCs w:val="21"/>
                <w:highlight w:val="none"/>
              </w:rPr>
              <w:t>支持算法厂家对匹配的底片进行质量核验。</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3.</w:t>
            </w:r>
            <w:r>
              <w:rPr>
                <w:rFonts w:hint="eastAsia" w:ascii="宋体" w:hAnsi="宋体" w:eastAsia="宋体" w:cs="宋体"/>
                <w:sz w:val="21"/>
                <w:szCs w:val="21"/>
                <w:highlight w:val="none"/>
              </w:rPr>
              <w:t>核验通过与否的最终结果返回到采集端展示，没核验通过的算法底片，用户可重新采集。</w:t>
            </w:r>
          </w:p>
        </w:tc>
      </w:tr>
      <w:tr>
        <w:tblPrEx>
          <w:tblLayout w:type="fixed"/>
          <w:tblCellMar>
            <w:top w:w="15" w:type="dxa"/>
            <w:left w:w="15" w:type="dxa"/>
            <w:bottom w:w="15" w:type="dxa"/>
            <w:right w:w="15" w:type="dxa"/>
          </w:tblCellMar>
        </w:tblPrEx>
        <w:trPr>
          <w:trHeight w:val="620" w:hRule="atLeast"/>
        </w:trPr>
        <w:tc>
          <w:tcPr>
            <w:tcW w:w="1139" w:type="dxa"/>
            <w:vMerge w:val="continue"/>
            <w:tcBorders>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特征值采集</w:t>
            </w:r>
          </w:p>
        </w:tc>
        <w:tc>
          <w:tcPr>
            <w:tcW w:w="7163"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平台</w:t>
            </w:r>
            <w:r>
              <w:rPr>
                <w:rFonts w:hint="eastAsia" w:ascii="宋体" w:hAnsi="宋体" w:eastAsia="宋体" w:cs="宋体"/>
                <w:sz w:val="21"/>
                <w:szCs w:val="21"/>
                <w:highlight w:val="none"/>
                <w:lang w:eastAsia="zh-Hans"/>
              </w:rPr>
              <w:t>支持将</w:t>
            </w:r>
            <w:r>
              <w:rPr>
                <w:rFonts w:hint="eastAsia" w:ascii="宋体" w:hAnsi="宋体" w:eastAsia="宋体" w:cs="宋体"/>
                <w:sz w:val="21"/>
                <w:szCs w:val="21"/>
                <w:highlight w:val="none"/>
              </w:rPr>
              <w:t>符合厂家要求的底片，通过厂家提供的特征值提取方法</w:t>
            </w:r>
            <w:r>
              <w:rPr>
                <w:rFonts w:hint="eastAsia" w:ascii="宋体" w:hAnsi="宋体" w:eastAsia="宋体" w:cs="宋体"/>
                <w:sz w:val="21"/>
                <w:szCs w:val="21"/>
                <w:highlight w:val="none"/>
                <w:lang w:eastAsia="zh-Hans"/>
              </w:rPr>
              <w:t>或接口</w:t>
            </w:r>
            <w:r>
              <w:rPr>
                <w:rFonts w:hint="eastAsia" w:ascii="宋体" w:hAnsi="宋体" w:eastAsia="宋体" w:cs="宋体"/>
                <w:sz w:val="21"/>
                <w:szCs w:val="21"/>
                <w:highlight w:val="none"/>
              </w:rPr>
              <w:t>，获得厂家独有的人脸特征值</w:t>
            </w:r>
            <w:r>
              <w:rPr>
                <w:rFonts w:hint="eastAsia" w:ascii="宋体" w:hAnsi="宋体" w:eastAsia="宋体" w:cs="宋体"/>
                <w:sz w:val="21"/>
                <w:szCs w:val="21"/>
                <w:highlight w:val="none"/>
                <w:lang w:eastAsia="zh-Hans"/>
              </w:rPr>
              <w:t>，并进行加密存储</w:t>
            </w:r>
            <w:r>
              <w:rPr>
                <w:rFonts w:hint="eastAsia" w:ascii="宋体" w:hAnsi="宋体" w:eastAsia="宋体" w:cs="宋体"/>
                <w:sz w:val="21"/>
                <w:szCs w:val="21"/>
                <w:highlight w:val="none"/>
              </w:rPr>
              <w:t>。</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auto"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采集核验管理</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baseline"/>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1.</w:t>
            </w:r>
            <w:r>
              <w:rPr>
                <w:rFonts w:hint="eastAsia" w:ascii="宋体" w:hAnsi="宋体" w:eastAsia="宋体" w:cs="宋体"/>
                <w:sz w:val="21"/>
                <w:szCs w:val="21"/>
                <w:highlight w:val="none"/>
              </w:rPr>
              <w:t>支持绑定第三方算法引擎，支持多算法版本的绑定和管理，支持查看绑定信息（IP/端口、appkey、appsecret、嗅探算法工作状态、绑定时间等)</w:t>
            </w:r>
            <w:r>
              <w:rPr>
                <w:rFonts w:hint="eastAsia" w:ascii="宋体" w:hAnsi="宋体" w:eastAsia="宋体" w:cs="宋体"/>
                <w:sz w:val="21"/>
                <w:szCs w:val="21"/>
                <w:highlight w:val="none"/>
                <w:lang w:eastAsia="zh-Hans"/>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baseline"/>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2.</w:t>
            </w:r>
            <w:r>
              <w:rPr>
                <w:rFonts w:hint="eastAsia" w:ascii="宋体" w:hAnsi="宋体" w:eastAsia="宋体" w:cs="宋体"/>
                <w:sz w:val="21"/>
                <w:szCs w:val="21"/>
                <w:highlight w:val="none"/>
              </w:rPr>
              <w:t>支持对绑定的所有算法进行健康状态检测，可以实时显示人脸算法系统的健康状况。</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baseline"/>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3.</w:t>
            </w:r>
            <w:r>
              <w:rPr>
                <w:rFonts w:hint="eastAsia" w:ascii="宋体" w:hAnsi="宋体" w:eastAsia="宋体" w:cs="宋体"/>
                <w:sz w:val="21"/>
                <w:szCs w:val="21"/>
                <w:highlight w:val="none"/>
              </w:rPr>
              <w:t>自动核验管理</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系统中未核验的人像数据实现每天自动</w:t>
            </w:r>
            <w:r>
              <w:rPr>
                <w:rFonts w:hint="eastAsia" w:ascii="宋体" w:hAnsi="宋体" w:eastAsia="宋体" w:cs="宋体"/>
                <w:sz w:val="21"/>
                <w:szCs w:val="21"/>
                <w:highlight w:val="none"/>
                <w:lang w:eastAsia="zh-Hans"/>
              </w:rPr>
              <w:t>检测</w:t>
            </w:r>
            <w:r>
              <w:rPr>
                <w:rFonts w:hint="eastAsia" w:ascii="宋体" w:hAnsi="宋体" w:eastAsia="宋体" w:cs="宋体"/>
                <w:sz w:val="21"/>
                <w:szCs w:val="21"/>
                <w:highlight w:val="none"/>
              </w:rPr>
              <w:t>核验。</w:t>
            </w:r>
            <w:r>
              <w:rPr>
                <w:rFonts w:hint="eastAsia" w:ascii="宋体" w:hAnsi="宋体" w:eastAsia="宋体" w:cs="宋体"/>
                <w:sz w:val="21"/>
                <w:szCs w:val="21"/>
                <w:highlight w:val="none"/>
                <w:lang w:eastAsia="zh-Hans"/>
              </w:rPr>
              <w:t>支持</w:t>
            </w:r>
            <w:r>
              <w:rPr>
                <w:rFonts w:hint="eastAsia" w:ascii="宋体" w:hAnsi="宋体" w:eastAsia="宋体" w:cs="宋体"/>
                <w:sz w:val="21"/>
                <w:szCs w:val="21"/>
                <w:highlight w:val="none"/>
              </w:rPr>
              <w:t>管理员设置核验的数据（数据来源）、核验频率以及核验算法</w:t>
            </w:r>
            <w:r>
              <w:rPr>
                <w:rFonts w:hint="eastAsia" w:ascii="宋体" w:hAnsi="宋体" w:eastAsia="宋体" w:cs="宋体"/>
                <w:sz w:val="21"/>
                <w:szCs w:val="21"/>
                <w:highlight w:val="none"/>
                <w:lang w:eastAsia="zh-Hans"/>
              </w:rPr>
              <w:t>等。</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baseline"/>
              <w:outlineLvl w:val="9"/>
              <w:rPr>
                <w:rFonts w:hint="eastAsia" w:ascii="宋体" w:hAnsi="宋体" w:eastAsia="宋体" w:cs="宋体"/>
                <w:sz w:val="21"/>
                <w:szCs w:val="21"/>
                <w:highlight w:val="none"/>
              </w:rPr>
            </w:pPr>
            <w:r>
              <w:rPr>
                <w:rFonts w:hint="eastAsia" w:cs="宋体"/>
                <w:sz w:val="21"/>
                <w:szCs w:val="21"/>
                <w:highlight w:val="none"/>
                <w:lang w:val="en-US" w:eastAsia="zh-CN"/>
              </w:rPr>
              <w:t>4.</w:t>
            </w:r>
            <w:r>
              <w:rPr>
                <w:rFonts w:hint="eastAsia" w:ascii="宋体" w:hAnsi="宋体" w:eastAsia="宋体" w:cs="宋体"/>
                <w:sz w:val="21"/>
                <w:szCs w:val="21"/>
                <w:highlight w:val="none"/>
              </w:rPr>
              <w:t>新增算法自动核验：在</w:t>
            </w:r>
            <w:r>
              <w:rPr>
                <w:rFonts w:hint="eastAsia" w:ascii="宋体" w:hAnsi="宋体" w:eastAsia="宋体" w:cs="宋体"/>
                <w:sz w:val="21"/>
                <w:szCs w:val="21"/>
                <w:highlight w:val="none"/>
                <w:lang w:eastAsia="zh-Hans"/>
              </w:rPr>
              <w:t>系统</w:t>
            </w:r>
            <w:r>
              <w:rPr>
                <w:rFonts w:hint="eastAsia" w:ascii="宋体" w:hAnsi="宋体" w:eastAsia="宋体" w:cs="宋体"/>
                <w:sz w:val="21"/>
                <w:szCs w:val="21"/>
                <w:highlight w:val="none"/>
              </w:rPr>
              <w:t>新增算法平台后</w:t>
            </w:r>
            <w:r>
              <w:rPr>
                <w:rFonts w:hint="eastAsia" w:ascii="宋体" w:hAnsi="宋体" w:eastAsia="宋体" w:cs="宋体"/>
                <w:sz w:val="21"/>
                <w:szCs w:val="21"/>
                <w:highlight w:val="none"/>
                <w:lang w:eastAsia="zh-Hans"/>
              </w:rPr>
              <w:t>，系统</w:t>
            </w:r>
            <w:r>
              <w:rPr>
                <w:rFonts w:hint="eastAsia" w:ascii="宋体" w:hAnsi="宋体" w:eastAsia="宋体" w:cs="宋体"/>
                <w:sz w:val="21"/>
                <w:szCs w:val="21"/>
                <w:highlight w:val="none"/>
              </w:rPr>
              <w:t>自动用已入库的底片自动匹配新增算法进行质量核验。</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baseline"/>
              <w:outlineLvl w:val="9"/>
              <w:rPr>
                <w:rFonts w:hint="eastAsia" w:ascii="宋体" w:hAnsi="宋体" w:eastAsia="宋体" w:cs="宋体"/>
                <w:sz w:val="21"/>
                <w:szCs w:val="21"/>
                <w:highlight w:val="none"/>
              </w:rPr>
            </w:pPr>
            <w:r>
              <w:rPr>
                <w:rFonts w:hint="eastAsia" w:cs="宋体"/>
                <w:sz w:val="21"/>
                <w:szCs w:val="21"/>
                <w:highlight w:val="none"/>
                <w:lang w:val="en-US" w:eastAsia="zh-CN"/>
              </w:rPr>
              <w:t>5.</w:t>
            </w:r>
            <w:r>
              <w:rPr>
                <w:rFonts w:hint="eastAsia" w:ascii="宋体" w:hAnsi="宋体" w:eastAsia="宋体" w:cs="宋体"/>
                <w:sz w:val="21"/>
                <w:szCs w:val="21"/>
                <w:highlight w:val="none"/>
              </w:rPr>
              <w:t>支持新建自动核验策略包括：任务名称、数据来源、是否只自动核验一次（是：核验过一次的不再次核验、否：重复核验）、核验状态、执行频率、是否开启核验、选择核验算法平台等。</w:t>
            </w:r>
          </w:p>
        </w:tc>
      </w:tr>
      <w:tr>
        <w:tblPrEx>
          <w:tblLayout w:type="fixed"/>
          <w:tblCellMar>
            <w:top w:w="15" w:type="dxa"/>
            <w:left w:w="15" w:type="dxa"/>
            <w:bottom w:w="15" w:type="dxa"/>
            <w:right w:w="15" w:type="dxa"/>
          </w:tblCellMar>
        </w:tblPrEx>
        <w:trPr>
          <w:trHeight w:val="90" w:hRule="atLeast"/>
        </w:trPr>
        <w:tc>
          <w:tcPr>
            <w:tcW w:w="1139" w:type="dxa"/>
            <w:tcBorders>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人像存储</w:t>
            </w:r>
          </w:p>
        </w:tc>
        <w:tc>
          <w:tcPr>
            <w:tcW w:w="1140" w:type="dxa"/>
            <w:tcBorders>
              <w:top w:val="single" w:color="auto"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人像存储</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Hans" w:bidi="ar-SA"/>
              </w:rPr>
            </w:pPr>
            <w:r>
              <w:rPr>
                <w:rFonts w:hint="eastAsia" w:ascii="宋体" w:hAnsi="宋体" w:eastAsia="宋体" w:cs="宋体"/>
                <w:kern w:val="2"/>
                <w:sz w:val="21"/>
                <w:szCs w:val="21"/>
                <w:highlight w:val="none"/>
                <w:lang w:val="en-US" w:eastAsia="zh-CN" w:bidi="ar-SA"/>
              </w:rPr>
              <w:t>1.人像存储符合国标要求，将人员的个人信息和生物特征信息进行逻辑或物理方法隔离存储。通过创建独立的人员</w:t>
            </w:r>
            <w:r>
              <w:rPr>
                <w:rFonts w:hint="eastAsia" w:ascii="宋体" w:hAnsi="宋体" w:eastAsia="宋体" w:cs="宋体"/>
                <w:kern w:val="2"/>
                <w:sz w:val="21"/>
                <w:szCs w:val="21"/>
                <w:highlight w:val="none"/>
                <w:lang w:val="en-US" w:eastAsia="zh-Hans" w:bidi="ar-SA"/>
              </w:rPr>
              <w:t>基础信息库</w:t>
            </w:r>
            <w:r>
              <w:rPr>
                <w:rFonts w:hint="eastAsia" w:ascii="宋体" w:hAnsi="宋体" w:eastAsia="宋体" w:cs="宋体"/>
                <w:kern w:val="2"/>
                <w:sz w:val="21"/>
                <w:szCs w:val="21"/>
                <w:highlight w:val="none"/>
                <w:lang w:val="en-US" w:eastAsia="zh-CN" w:bidi="ar-SA"/>
              </w:rPr>
              <w:t>（个人基本信息）</w:t>
            </w:r>
            <w:r>
              <w:rPr>
                <w:rFonts w:hint="eastAsia" w:ascii="宋体" w:hAnsi="宋体" w:eastAsia="宋体" w:cs="宋体"/>
                <w:kern w:val="2"/>
                <w:sz w:val="21"/>
                <w:szCs w:val="21"/>
                <w:highlight w:val="none"/>
                <w:lang w:val="en-US" w:eastAsia="zh-Hans" w:bidi="ar-SA"/>
              </w:rPr>
              <w:t>、</w:t>
            </w:r>
            <w:r>
              <w:rPr>
                <w:rFonts w:hint="eastAsia" w:ascii="宋体" w:hAnsi="宋体" w:eastAsia="宋体" w:cs="宋体"/>
                <w:kern w:val="2"/>
                <w:sz w:val="21"/>
                <w:szCs w:val="21"/>
                <w:highlight w:val="none"/>
                <w:lang w:val="en-US" w:eastAsia="zh-CN" w:bidi="ar-SA"/>
              </w:rPr>
              <w:t>个人</w:t>
            </w:r>
            <w:r>
              <w:rPr>
                <w:rFonts w:hint="eastAsia" w:ascii="宋体" w:hAnsi="宋体" w:eastAsia="宋体" w:cs="宋体"/>
                <w:kern w:val="2"/>
                <w:sz w:val="21"/>
                <w:szCs w:val="21"/>
                <w:highlight w:val="none"/>
                <w:lang w:val="en-US" w:eastAsia="zh-Hans" w:bidi="ar-SA"/>
              </w:rPr>
              <w:t>敏感信息库</w:t>
            </w:r>
            <w:r>
              <w:rPr>
                <w:rFonts w:hint="eastAsia" w:ascii="宋体" w:hAnsi="宋体" w:eastAsia="宋体" w:cs="宋体"/>
                <w:kern w:val="2"/>
                <w:sz w:val="21"/>
                <w:szCs w:val="21"/>
                <w:highlight w:val="none"/>
                <w:lang w:val="en-US" w:eastAsia="zh-CN" w:bidi="ar-SA"/>
              </w:rPr>
              <w:t>（手机号、身份证号等）</w:t>
            </w:r>
            <w:r>
              <w:rPr>
                <w:rFonts w:hint="eastAsia" w:ascii="宋体" w:hAnsi="宋体" w:eastAsia="宋体" w:cs="宋体"/>
                <w:kern w:val="2"/>
                <w:sz w:val="21"/>
                <w:szCs w:val="21"/>
                <w:highlight w:val="none"/>
                <w:lang w:val="en-US" w:eastAsia="zh-Hans" w:bidi="ar-SA"/>
              </w:rPr>
              <w:t>、生物样本信息库</w:t>
            </w:r>
            <w:r>
              <w:rPr>
                <w:rFonts w:hint="eastAsia" w:ascii="宋体" w:hAnsi="宋体" w:eastAsia="宋体" w:cs="宋体"/>
                <w:kern w:val="2"/>
                <w:sz w:val="21"/>
                <w:szCs w:val="21"/>
                <w:highlight w:val="none"/>
                <w:lang w:val="en-US" w:eastAsia="zh-CN" w:bidi="ar-SA"/>
              </w:rPr>
              <w:t>（各种底片数据）</w:t>
            </w:r>
            <w:r>
              <w:rPr>
                <w:rFonts w:hint="eastAsia" w:ascii="宋体" w:hAnsi="宋体" w:eastAsia="宋体" w:cs="宋体"/>
                <w:kern w:val="2"/>
                <w:sz w:val="21"/>
                <w:szCs w:val="21"/>
                <w:highlight w:val="none"/>
                <w:lang w:val="en-US" w:eastAsia="zh-Hans" w:bidi="ar-SA"/>
              </w:rPr>
              <w:t>、生物</w:t>
            </w:r>
            <w:r>
              <w:rPr>
                <w:rFonts w:hint="eastAsia" w:ascii="宋体" w:hAnsi="宋体" w:eastAsia="宋体" w:cs="宋体"/>
                <w:kern w:val="2"/>
                <w:sz w:val="21"/>
                <w:szCs w:val="21"/>
                <w:highlight w:val="none"/>
                <w:lang w:val="en-US" w:eastAsia="zh-CN" w:bidi="ar-SA"/>
              </w:rPr>
              <w:t>特征值</w:t>
            </w:r>
            <w:r>
              <w:rPr>
                <w:rFonts w:hint="eastAsia" w:ascii="宋体" w:hAnsi="宋体" w:eastAsia="宋体" w:cs="宋体"/>
                <w:kern w:val="2"/>
                <w:sz w:val="21"/>
                <w:szCs w:val="21"/>
                <w:highlight w:val="none"/>
                <w:lang w:val="en-US" w:eastAsia="zh-Hans" w:bidi="ar-SA"/>
              </w:rPr>
              <w:t>信息库</w:t>
            </w:r>
            <w:r>
              <w:rPr>
                <w:rFonts w:hint="eastAsia" w:ascii="宋体" w:hAnsi="宋体" w:eastAsia="宋体" w:cs="宋体"/>
                <w:kern w:val="2"/>
                <w:sz w:val="21"/>
                <w:szCs w:val="21"/>
                <w:highlight w:val="none"/>
                <w:lang w:val="en-US" w:eastAsia="zh-CN" w:bidi="ar-SA"/>
              </w:rPr>
              <w:t>（特征值数据）来</w:t>
            </w:r>
            <w:r>
              <w:rPr>
                <w:rFonts w:hint="eastAsia" w:ascii="宋体" w:hAnsi="宋体" w:eastAsia="宋体" w:cs="宋体"/>
                <w:kern w:val="2"/>
                <w:sz w:val="21"/>
                <w:szCs w:val="21"/>
                <w:highlight w:val="none"/>
                <w:lang w:val="en-US" w:eastAsia="zh-Hans" w:bidi="ar-SA"/>
              </w:rPr>
              <w:t>实现信息库独立部署及访问，保障生物信息数据安全。</w:t>
            </w:r>
          </w:p>
          <w:p>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敏感信息、生物样本信息、生物特征值这些个人隐私数据全部通过国密的方式加密存储。当个人隐私数据被非法篡改的时候，系统可以在读取数据时发现篡改痕迹，阻止被篡改数据流出，并进行告警通知安全员。</w:t>
            </w:r>
          </w:p>
          <w:p>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3.系统需要对加解密使用的密钥进行高安全级别保存</w:t>
            </w:r>
          </w:p>
          <w:p>
            <w:pPr>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4.系统支持为每个算法厂家保存符合其要求的人像底片。</w:t>
            </w:r>
          </w:p>
        </w:tc>
      </w:tr>
      <w:tr>
        <w:tblPrEx>
          <w:tblLayout w:type="fixed"/>
          <w:tblCellMar>
            <w:top w:w="15" w:type="dxa"/>
            <w:left w:w="15" w:type="dxa"/>
            <w:bottom w:w="15" w:type="dxa"/>
            <w:right w:w="15" w:type="dxa"/>
          </w:tblCellMar>
        </w:tblPrEx>
        <w:trPr>
          <w:trHeight w:val="90" w:hRule="atLeast"/>
        </w:trPr>
        <w:tc>
          <w:tcPr>
            <w:tcW w:w="1139" w:type="dxa"/>
            <w:vMerge w:val="restart"/>
            <w:tcBorders>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综合统计和查询</w:t>
            </w: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采集情况综合统计</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后台可对人像的</w:t>
            </w:r>
            <w:r>
              <w:rPr>
                <w:rFonts w:hint="eastAsia" w:ascii="宋体" w:hAnsi="宋体" w:eastAsia="宋体" w:cs="宋体"/>
                <w:sz w:val="21"/>
                <w:szCs w:val="21"/>
                <w:highlight w:val="none"/>
                <w:lang w:eastAsia="zh-Hans"/>
              </w:rPr>
              <w:t>采集</w:t>
            </w:r>
            <w:r>
              <w:rPr>
                <w:rFonts w:hint="eastAsia" w:ascii="宋体" w:hAnsi="宋体" w:eastAsia="宋体" w:cs="宋体"/>
                <w:sz w:val="21"/>
                <w:szCs w:val="21"/>
                <w:highlight w:val="none"/>
              </w:rPr>
              <w:t>及人像核验状态进行</w:t>
            </w:r>
            <w:r>
              <w:rPr>
                <w:rFonts w:hint="eastAsia" w:ascii="宋体" w:hAnsi="宋体" w:eastAsia="宋体" w:cs="宋体"/>
                <w:sz w:val="21"/>
                <w:szCs w:val="21"/>
                <w:highlight w:val="none"/>
                <w:lang w:eastAsia="zh-Hans"/>
              </w:rPr>
              <w:t>统计。</w:t>
            </w:r>
            <w:r>
              <w:rPr>
                <w:rFonts w:hint="eastAsia" w:ascii="宋体" w:hAnsi="宋体" w:eastAsia="宋体" w:cs="宋体"/>
                <w:sz w:val="21"/>
                <w:szCs w:val="21"/>
                <w:highlight w:val="none"/>
              </w:rPr>
              <w:t>支持树形组织结构</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可统计部门下的各个子部门按照条件的数据查询</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查询结果</w:t>
            </w:r>
            <w:r>
              <w:rPr>
                <w:rFonts w:hint="eastAsia" w:ascii="宋体" w:hAnsi="宋体" w:eastAsia="宋体" w:cs="宋体"/>
                <w:sz w:val="21"/>
                <w:szCs w:val="21"/>
                <w:highlight w:val="none"/>
                <w:lang w:eastAsia="zh-Hans"/>
              </w:rPr>
              <w:t>包括：总人数、全平台通过人数、全平台通过率、未通过全平台核验人数、未核验人数、平台核验失败人数、无人像人数、全部授权人数、未授权人数、取消授权人数、</w:t>
            </w:r>
            <w:r>
              <w:rPr>
                <w:rFonts w:hint="eastAsia" w:ascii="宋体" w:hAnsi="宋体" w:eastAsia="宋体" w:cs="宋体"/>
                <w:sz w:val="21"/>
                <w:szCs w:val="21"/>
                <w:highlight w:val="none"/>
              </w:rPr>
              <w:t>可信身份核验</w:t>
            </w:r>
            <w:r>
              <w:rPr>
                <w:rFonts w:hint="eastAsia" w:ascii="宋体" w:hAnsi="宋体" w:eastAsia="宋体" w:cs="宋体"/>
                <w:sz w:val="21"/>
                <w:szCs w:val="21"/>
                <w:highlight w:val="none"/>
                <w:lang w:eastAsia="zh-Hans"/>
              </w:rPr>
              <w:t>通过人数、</w:t>
            </w:r>
            <w:r>
              <w:rPr>
                <w:rFonts w:hint="eastAsia" w:ascii="宋体" w:hAnsi="宋体" w:eastAsia="宋体" w:cs="宋体"/>
                <w:sz w:val="21"/>
                <w:szCs w:val="21"/>
                <w:highlight w:val="none"/>
              </w:rPr>
              <w:t>可信身份核验</w:t>
            </w:r>
            <w:r>
              <w:rPr>
                <w:rFonts w:hint="eastAsia" w:ascii="宋体" w:hAnsi="宋体" w:eastAsia="宋体" w:cs="宋体"/>
                <w:sz w:val="21"/>
                <w:szCs w:val="21"/>
                <w:highlight w:val="none"/>
                <w:lang w:eastAsia="zh-Hans"/>
              </w:rPr>
              <w:t>失败人数、其他</w:t>
            </w:r>
            <w:r>
              <w:rPr>
                <w:rFonts w:hint="eastAsia" w:ascii="宋体" w:hAnsi="宋体" w:eastAsia="宋体" w:cs="宋体"/>
                <w:sz w:val="21"/>
                <w:szCs w:val="21"/>
                <w:highlight w:val="none"/>
              </w:rPr>
              <w:t>算法平台</w:t>
            </w:r>
            <w:r>
              <w:rPr>
                <w:rFonts w:hint="eastAsia" w:ascii="宋体" w:hAnsi="宋体" w:eastAsia="宋体" w:cs="宋体"/>
                <w:sz w:val="21"/>
                <w:szCs w:val="21"/>
                <w:highlight w:val="none"/>
                <w:lang w:eastAsia="zh-Hans"/>
              </w:rPr>
              <w:t>核验通过及失败人数统计等。支持点击统计查看详细人员列表数据。</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底片管理</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ascii="宋体" w:hAnsi="宋体" w:eastAsia="宋体" w:cs="宋体"/>
                <w:sz w:val="21"/>
                <w:szCs w:val="21"/>
                <w:highlight w:val="none"/>
                <w:lang w:eastAsia="zh-Hans"/>
              </w:rPr>
              <w:t>1</w:t>
            </w:r>
            <w:r>
              <w:rPr>
                <w:rFonts w:hint="eastAsia" w:cs="宋体"/>
                <w:sz w:val="21"/>
                <w:szCs w:val="21"/>
                <w:highlight w:val="none"/>
                <w:lang w:val="en-US" w:eastAsia="zh-CN"/>
              </w:rPr>
              <w:t>.</w:t>
            </w:r>
            <w:r>
              <w:rPr>
                <w:rFonts w:hint="eastAsia" w:ascii="宋体" w:hAnsi="宋体" w:eastAsia="宋体" w:cs="宋体"/>
                <w:sz w:val="21"/>
                <w:szCs w:val="21"/>
                <w:highlight w:val="none"/>
                <w:lang w:eastAsia="zh-Hans"/>
              </w:rPr>
              <w:t>支持对人像数据进行综合管理，列表数据内容包括</w:t>
            </w:r>
            <w:r>
              <w:rPr>
                <w:rFonts w:hint="eastAsia" w:ascii="宋体" w:hAnsi="宋体" w:eastAsia="宋体" w:cs="宋体"/>
                <w:sz w:val="21"/>
                <w:szCs w:val="21"/>
                <w:highlight w:val="none"/>
              </w:rPr>
              <w:t>不限于</w:t>
            </w:r>
            <w:r>
              <w:rPr>
                <w:rFonts w:hint="eastAsia" w:ascii="宋体" w:hAnsi="宋体" w:eastAsia="宋体" w:cs="宋体"/>
                <w:sz w:val="21"/>
                <w:szCs w:val="21"/>
                <w:highlight w:val="none"/>
                <w:lang w:eastAsia="zh-Hans"/>
              </w:rPr>
              <w:t>：人像、学工号、姓名、部门/学院、电话、人员类型、人像来源、核验状态、授权状态、</w:t>
            </w:r>
            <w:r>
              <w:rPr>
                <w:rFonts w:hint="eastAsia" w:ascii="宋体" w:hAnsi="宋体" w:eastAsia="宋体" w:cs="宋体"/>
                <w:sz w:val="21"/>
                <w:szCs w:val="21"/>
                <w:highlight w:val="none"/>
              </w:rPr>
              <w:t>权限范围</w:t>
            </w:r>
            <w:r>
              <w:rPr>
                <w:rFonts w:hint="eastAsia" w:ascii="宋体" w:hAnsi="宋体" w:eastAsia="宋体" w:cs="宋体"/>
                <w:sz w:val="21"/>
                <w:szCs w:val="21"/>
                <w:highlight w:val="none"/>
                <w:lang w:eastAsia="zh-Hans"/>
              </w:rPr>
              <w:t>、操作（查看、下发人像（选择第三方应用系统将人像数据手动下发到第三方应用平台））。支持按照</w:t>
            </w:r>
            <w:r>
              <w:rPr>
                <w:rFonts w:hint="eastAsia" w:ascii="宋体" w:hAnsi="宋体" w:eastAsia="宋体" w:cs="宋体"/>
                <w:sz w:val="21"/>
                <w:szCs w:val="21"/>
                <w:highlight w:val="none"/>
              </w:rPr>
              <w:t>搜索(学号/工号/姓名)、部门/学院、人像来源、人员类型、核验状态、授权状态、权限范围、时间等</w:t>
            </w:r>
            <w:r>
              <w:rPr>
                <w:rFonts w:hint="eastAsia" w:ascii="宋体" w:hAnsi="宋体" w:eastAsia="宋体" w:cs="宋体"/>
                <w:sz w:val="21"/>
                <w:szCs w:val="21"/>
                <w:highlight w:val="none"/>
                <w:lang w:eastAsia="zh-Hans"/>
              </w:rPr>
              <w:t>字段类型进行筛选搜索。支持以上列表字段显示/隐藏控制，支持人像数据批量核验（可选择核验对象、1:1</w:t>
            </w:r>
            <w:r>
              <w:rPr>
                <w:rFonts w:hint="eastAsia" w:ascii="宋体" w:hAnsi="宋体" w:eastAsia="宋体" w:cs="宋体"/>
                <w:sz w:val="21"/>
                <w:szCs w:val="21"/>
                <w:highlight w:val="none"/>
              </w:rPr>
              <w:t>身份识别对比</w:t>
            </w:r>
            <w:r>
              <w:rPr>
                <w:rFonts w:hint="eastAsia" w:ascii="宋体" w:hAnsi="宋体" w:eastAsia="宋体" w:cs="宋体"/>
                <w:sz w:val="21"/>
                <w:szCs w:val="21"/>
                <w:highlight w:val="none"/>
                <w:lang w:eastAsia="zh-Hans"/>
              </w:rPr>
              <w:t>算法、质量比对算法进行人像数据批量核验）、导出</w:t>
            </w:r>
            <w:r>
              <w:rPr>
                <w:rFonts w:hint="eastAsia" w:ascii="宋体" w:hAnsi="宋体" w:eastAsia="宋体" w:cs="宋体"/>
                <w:sz w:val="21"/>
                <w:szCs w:val="21"/>
                <w:highlight w:val="none"/>
              </w:rPr>
              <w:t>数据</w:t>
            </w:r>
            <w:r>
              <w:rPr>
                <w:rFonts w:hint="eastAsia" w:ascii="宋体" w:hAnsi="宋体" w:eastAsia="宋体" w:cs="宋体"/>
                <w:sz w:val="21"/>
                <w:szCs w:val="21"/>
                <w:highlight w:val="none"/>
                <w:lang w:eastAsia="zh-Hans"/>
              </w:rPr>
              <w:t>（支持按照</w:t>
            </w:r>
            <w:r>
              <w:rPr>
                <w:rFonts w:hint="eastAsia" w:ascii="宋体" w:hAnsi="宋体" w:eastAsia="宋体" w:cs="宋体"/>
                <w:sz w:val="21"/>
                <w:szCs w:val="21"/>
                <w:highlight w:val="none"/>
              </w:rPr>
              <w:t>组织机构</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导出对象（人员类型）</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更过导出对象(核验状态)、更多导出人像（算法平台/人像类型）</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导出文件(人像压缩包/Excel表格)</w:t>
            </w:r>
            <w:r>
              <w:rPr>
                <w:rFonts w:hint="eastAsia" w:ascii="宋体" w:hAnsi="宋体" w:eastAsia="宋体" w:cs="宋体"/>
                <w:sz w:val="21"/>
                <w:szCs w:val="21"/>
                <w:highlight w:val="none"/>
                <w:lang w:eastAsia="zh-Hans"/>
              </w:rPr>
              <w:t>进行人像数据导出）、导入</w:t>
            </w:r>
            <w:r>
              <w:rPr>
                <w:rFonts w:hint="eastAsia" w:ascii="宋体" w:hAnsi="宋体" w:eastAsia="宋体" w:cs="宋体"/>
                <w:sz w:val="21"/>
                <w:szCs w:val="21"/>
                <w:highlight w:val="none"/>
              </w:rPr>
              <w:t>人像</w:t>
            </w:r>
            <w:r>
              <w:rPr>
                <w:rFonts w:hint="eastAsia" w:ascii="宋体" w:hAnsi="宋体" w:eastAsia="宋体" w:cs="宋体"/>
                <w:sz w:val="21"/>
                <w:szCs w:val="21"/>
                <w:highlight w:val="none"/>
                <w:lang w:eastAsia="zh-Hans"/>
              </w:rPr>
              <w:t>（支持按照导入模板</w:t>
            </w:r>
            <w:r>
              <w:rPr>
                <w:rFonts w:hint="eastAsia" w:ascii="宋体" w:hAnsi="宋体" w:eastAsia="宋体" w:cs="宋体"/>
                <w:sz w:val="21"/>
                <w:szCs w:val="21"/>
                <w:highlight w:val="none"/>
              </w:rPr>
              <w:t>（学工号命名的jpg格式图片的zip压缩包，压缩包大小不能超过300M）</w:t>
            </w:r>
            <w:r>
              <w:rPr>
                <w:rFonts w:hint="eastAsia" w:ascii="宋体" w:hAnsi="宋体" w:eastAsia="宋体" w:cs="宋体"/>
                <w:sz w:val="21"/>
                <w:szCs w:val="21"/>
                <w:highlight w:val="none"/>
                <w:lang w:eastAsia="zh-Hans"/>
              </w:rPr>
              <w:t>进行人像照片导入到系统）功能。</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ascii="宋体" w:hAnsi="宋体" w:eastAsia="宋体" w:cs="宋体"/>
                <w:sz w:val="21"/>
                <w:szCs w:val="21"/>
                <w:highlight w:val="none"/>
                <w:lang w:eastAsia="zh-Hans"/>
              </w:rPr>
              <w:t>2</w:t>
            </w:r>
            <w:r>
              <w:rPr>
                <w:rFonts w:hint="eastAsia" w:cs="宋体"/>
                <w:sz w:val="21"/>
                <w:szCs w:val="21"/>
                <w:highlight w:val="none"/>
                <w:lang w:val="en-US" w:eastAsia="zh-CN"/>
              </w:rPr>
              <w:t>.</w:t>
            </w:r>
            <w:r>
              <w:rPr>
                <w:rFonts w:hint="eastAsia" w:ascii="宋体" w:hAnsi="宋体" w:eastAsia="宋体" w:cs="宋体"/>
                <w:sz w:val="21"/>
                <w:szCs w:val="21"/>
                <w:highlight w:val="none"/>
              </w:rPr>
              <w:t>支持</w:t>
            </w:r>
            <w:r>
              <w:rPr>
                <w:rFonts w:hint="eastAsia" w:ascii="宋体" w:hAnsi="宋体" w:eastAsia="宋体" w:cs="宋体"/>
                <w:sz w:val="21"/>
                <w:szCs w:val="21"/>
                <w:highlight w:val="none"/>
                <w:lang w:eastAsia="zh-Hans"/>
              </w:rPr>
              <w:t>查看人员详细信息，包括</w:t>
            </w:r>
            <w:r>
              <w:rPr>
                <w:rFonts w:hint="eastAsia" w:ascii="宋体" w:hAnsi="宋体" w:eastAsia="宋体" w:cs="宋体"/>
                <w:sz w:val="21"/>
                <w:szCs w:val="21"/>
                <w:highlight w:val="none"/>
              </w:rPr>
              <w:t>不限于</w:t>
            </w:r>
            <w:r>
              <w:rPr>
                <w:rFonts w:hint="eastAsia" w:ascii="宋体" w:hAnsi="宋体" w:eastAsia="宋体" w:cs="宋体"/>
                <w:sz w:val="21"/>
                <w:szCs w:val="21"/>
                <w:highlight w:val="none"/>
                <w:lang w:eastAsia="zh-Hans"/>
              </w:rPr>
              <w:t>：个人信息（学工号、姓名、性别、人员类型、组织机构、</w:t>
            </w:r>
            <w:r>
              <w:rPr>
                <w:rFonts w:hint="eastAsia" w:ascii="宋体" w:hAnsi="宋体" w:eastAsia="宋体" w:cs="宋体"/>
                <w:sz w:val="21"/>
                <w:szCs w:val="21"/>
                <w:highlight w:val="none"/>
              </w:rPr>
              <w:t>证件类型、证件号</w:t>
            </w:r>
            <w:r>
              <w:rPr>
                <w:rFonts w:hint="eastAsia" w:ascii="宋体" w:hAnsi="宋体" w:eastAsia="宋体" w:cs="宋体"/>
                <w:sz w:val="21"/>
                <w:szCs w:val="21"/>
                <w:highlight w:val="none"/>
                <w:lang w:eastAsia="zh-Hans"/>
              </w:rPr>
              <w:t>、电话）、人像授权及删除（授权状态、平台底片）、身份人像（人像照片、底片名称、获取时间、</w:t>
            </w:r>
            <w:r>
              <w:rPr>
                <w:rFonts w:hint="eastAsia" w:ascii="宋体" w:hAnsi="宋体" w:eastAsia="宋体" w:cs="宋体"/>
                <w:sz w:val="21"/>
                <w:szCs w:val="21"/>
                <w:highlight w:val="none"/>
              </w:rPr>
              <w:t>底片</w:t>
            </w:r>
            <w:r>
              <w:rPr>
                <w:rFonts w:hint="eastAsia" w:ascii="宋体" w:hAnsi="宋体" w:eastAsia="宋体" w:cs="宋体"/>
                <w:sz w:val="21"/>
                <w:szCs w:val="21"/>
                <w:highlight w:val="none"/>
                <w:lang w:eastAsia="zh-Hans"/>
              </w:rPr>
              <w:t>来源、算法平台、</w:t>
            </w:r>
            <w:r>
              <w:rPr>
                <w:rFonts w:hint="eastAsia" w:ascii="宋体" w:hAnsi="宋体" w:eastAsia="宋体" w:cs="宋体"/>
                <w:sz w:val="21"/>
                <w:szCs w:val="21"/>
                <w:highlight w:val="none"/>
              </w:rPr>
              <w:t>第三方应用系统、</w:t>
            </w:r>
            <w:r>
              <w:rPr>
                <w:rFonts w:hint="eastAsia" w:ascii="宋体" w:hAnsi="宋体" w:eastAsia="宋体" w:cs="宋体"/>
                <w:sz w:val="21"/>
                <w:szCs w:val="21"/>
                <w:highlight w:val="none"/>
                <w:lang w:eastAsia="zh-Hans"/>
              </w:rPr>
              <w:t>核验状态、操作（上传照片、下发人像、更换照片））等功能。</w:t>
            </w:r>
          </w:p>
        </w:tc>
      </w:tr>
      <w:tr>
        <w:tblPrEx>
          <w:tblLayout w:type="fixed"/>
          <w:tblCellMar>
            <w:top w:w="15" w:type="dxa"/>
            <w:left w:w="15" w:type="dxa"/>
            <w:bottom w:w="15" w:type="dxa"/>
            <w:right w:w="15" w:type="dxa"/>
          </w:tblCellMar>
        </w:tblPrEx>
        <w:trPr>
          <w:trHeight w:val="90" w:hRule="atLeast"/>
        </w:trPr>
        <w:tc>
          <w:tcPr>
            <w:tcW w:w="1139" w:type="dxa"/>
            <w:vMerge w:val="restart"/>
            <w:tcBorders>
              <w:top w:val="single" w:color="000000" w:sz="4" w:space="0"/>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人像分发系统</w:t>
            </w: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第三方应用管理</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baseline"/>
              <w:outlineLvl w:val="9"/>
              <w:rPr>
                <w:rFonts w:hint="eastAsia" w:ascii="宋体" w:hAnsi="宋体" w:eastAsia="宋体" w:cs="宋体"/>
                <w:sz w:val="21"/>
                <w:szCs w:val="21"/>
                <w:highlight w:val="none"/>
              </w:rPr>
            </w:pPr>
            <w:r>
              <w:rPr>
                <w:rFonts w:hint="eastAsia" w:cs="宋体"/>
                <w:sz w:val="21"/>
                <w:szCs w:val="21"/>
                <w:highlight w:val="none"/>
                <w:lang w:val="en-US" w:eastAsia="zh-CN"/>
              </w:rPr>
              <w:t>1.</w:t>
            </w:r>
            <w:r>
              <w:rPr>
                <w:rFonts w:hint="eastAsia" w:ascii="宋体" w:hAnsi="宋体" w:eastAsia="宋体" w:cs="宋体"/>
                <w:sz w:val="21"/>
                <w:szCs w:val="21"/>
                <w:highlight w:val="none"/>
              </w:rPr>
              <w:t>支持第三方应用绑定系统获取人像数据，绑定内容包括不限于：应用名称、应用介绍、算法平台、数据类型、展示照(需要/不需要)、水印类型、是否主动推送、权限范围（组织机构选择/用户群组选择）、组织机构、权限控制（打开开关允许应用持续获取接口数据）、保密协议(未签订/已签订)、传输加密类型。</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baseline"/>
              <w:outlineLvl w:val="9"/>
              <w:rPr>
                <w:rFonts w:hint="eastAsia" w:ascii="宋体" w:hAnsi="宋体" w:eastAsia="宋体" w:cs="宋体"/>
                <w:sz w:val="21"/>
                <w:szCs w:val="21"/>
                <w:highlight w:val="none"/>
              </w:rPr>
            </w:pPr>
            <w:r>
              <w:rPr>
                <w:rFonts w:hint="eastAsia" w:cs="宋体"/>
                <w:sz w:val="21"/>
                <w:szCs w:val="21"/>
                <w:highlight w:val="none"/>
                <w:lang w:val="en-US" w:eastAsia="zh-CN"/>
              </w:rPr>
              <w:t>2.</w:t>
            </w:r>
            <w:r>
              <w:rPr>
                <w:rFonts w:hint="eastAsia" w:ascii="宋体" w:hAnsi="宋体" w:eastAsia="宋体" w:cs="宋体"/>
                <w:sz w:val="21"/>
                <w:szCs w:val="21"/>
                <w:highlight w:val="none"/>
              </w:rPr>
              <w:t>支持IP白名单控制，支持单个IP及IP段添加，创建后系统会生成AgentId、AgentSecret信息。</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baseline"/>
              <w:outlineLvl w:val="9"/>
              <w:rPr>
                <w:rFonts w:hint="eastAsia" w:ascii="宋体" w:hAnsi="宋体" w:eastAsia="宋体" w:cs="宋体"/>
                <w:sz w:val="21"/>
                <w:szCs w:val="21"/>
                <w:highlight w:val="none"/>
              </w:rPr>
            </w:pPr>
            <w:r>
              <w:rPr>
                <w:rFonts w:hint="eastAsia" w:cs="宋体"/>
                <w:sz w:val="21"/>
                <w:szCs w:val="21"/>
                <w:highlight w:val="none"/>
                <w:lang w:val="en-US" w:eastAsia="zh-CN"/>
              </w:rPr>
              <w:t>3.</w:t>
            </w:r>
            <w:r>
              <w:rPr>
                <w:rFonts w:hint="eastAsia" w:ascii="宋体" w:hAnsi="宋体" w:eastAsia="宋体" w:cs="宋体"/>
                <w:sz w:val="21"/>
                <w:szCs w:val="21"/>
                <w:highlight w:val="none"/>
              </w:rPr>
              <w:t>支持对第三方系统获取数据的配置，可以可视化配置下发对应需要算法的base64照片或特征值（base64照片和特征值二选一）。</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baseline"/>
              <w:outlineLvl w:val="9"/>
              <w:rPr>
                <w:rFonts w:hint="eastAsia" w:ascii="宋体" w:hAnsi="宋体" w:eastAsia="宋体" w:cs="宋体"/>
                <w:color w:val="FF0000"/>
                <w:sz w:val="21"/>
                <w:szCs w:val="21"/>
                <w:highlight w:val="none"/>
              </w:rPr>
            </w:pPr>
            <w:r>
              <w:rPr>
                <w:rFonts w:hint="eastAsia" w:cs="宋体"/>
                <w:sz w:val="21"/>
                <w:szCs w:val="21"/>
                <w:highlight w:val="none"/>
                <w:lang w:val="en-US" w:eastAsia="zh-CN"/>
              </w:rPr>
              <w:t>4.</w:t>
            </w:r>
            <w:r>
              <w:rPr>
                <w:rFonts w:hint="eastAsia" w:ascii="宋体" w:hAnsi="宋体" w:eastAsia="宋体" w:cs="宋体"/>
                <w:sz w:val="21"/>
                <w:szCs w:val="21"/>
                <w:highlight w:val="none"/>
              </w:rPr>
              <w:t>支持第三方系统的获取数据范围，数据范围可以选择组织机构和创建的用户群组，支持查询第三方系统可获取的人员数量和详细列表。</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5.</w:t>
            </w:r>
            <w:r>
              <w:rPr>
                <w:rFonts w:hint="eastAsia" w:ascii="宋体" w:hAnsi="宋体" w:eastAsia="宋体" w:cs="宋体"/>
                <w:sz w:val="21"/>
                <w:szCs w:val="21"/>
                <w:highlight w:val="none"/>
              </w:rPr>
              <w:t>支持预览第三方获取数据的详细数据，可展示待下发、已下发、已删除、删除未收到回执的数据，且支持一键下发（差异下发、指定下发、删除指令再下发）。</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传输加密机制</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所有系统请求的数据皆为加密后的数据，数据到达系统本地后，通过获取到的专属的解密方法，对数据进行解密，才能还原人像底片。对传输数据过程中进行篡改检测。</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丰富的分发API接口</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FF0000"/>
                <w:sz w:val="21"/>
                <w:szCs w:val="21"/>
                <w:highlight w:val="none"/>
              </w:rPr>
            </w:pPr>
            <w:r>
              <w:rPr>
                <w:rFonts w:hint="eastAsia" w:cs="宋体"/>
                <w:sz w:val="21"/>
                <w:szCs w:val="21"/>
                <w:highlight w:val="none"/>
                <w:lang w:val="en-US" w:eastAsia="zh-CN"/>
              </w:rPr>
              <w:t>1.</w:t>
            </w:r>
            <w:r>
              <w:rPr>
                <w:rFonts w:hint="eastAsia" w:ascii="宋体" w:hAnsi="宋体" w:eastAsia="宋体" w:cs="宋体"/>
                <w:sz w:val="21"/>
                <w:szCs w:val="21"/>
                <w:highlight w:val="none"/>
              </w:rPr>
              <w:t>数据异动接口：可以通过异动接口，实时对注册的第三方系统提供更新的信息列表，便于快速提供更新数据。</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2.</w:t>
            </w:r>
            <w:r>
              <w:rPr>
                <w:rFonts w:hint="eastAsia" w:ascii="宋体" w:hAnsi="宋体" w:eastAsia="宋体" w:cs="宋体"/>
                <w:sz w:val="21"/>
                <w:szCs w:val="21"/>
                <w:highlight w:val="none"/>
              </w:rPr>
              <w:t>全量更新接口：可以一次性全量获取数据。</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3.</w:t>
            </w:r>
            <w:r>
              <w:rPr>
                <w:rFonts w:hint="eastAsia" w:ascii="宋体" w:hAnsi="宋体" w:eastAsia="宋体" w:cs="宋体"/>
                <w:sz w:val="21"/>
                <w:szCs w:val="21"/>
                <w:highlight w:val="none"/>
              </w:rPr>
              <w:t>时间段更新接口：按照时间段提供更新的数据。</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4.</w:t>
            </w:r>
            <w:r>
              <w:rPr>
                <w:rFonts w:hint="eastAsia" w:ascii="宋体" w:hAnsi="宋体" w:eastAsia="宋体" w:cs="宋体"/>
                <w:sz w:val="21"/>
                <w:szCs w:val="21"/>
                <w:highlight w:val="none"/>
              </w:rPr>
              <w:t>增量更新接口：配合异动接口，提供增量的数据。</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5.</w:t>
            </w:r>
            <w:r>
              <w:rPr>
                <w:rFonts w:hint="eastAsia" w:ascii="宋体" w:hAnsi="宋体" w:eastAsia="宋体" w:cs="宋体"/>
                <w:sz w:val="21"/>
                <w:szCs w:val="21"/>
                <w:highlight w:val="none"/>
              </w:rPr>
              <w:t>差异接口：根据第三方目前的获取情况，提供差异数据。</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eastAsia="zh-Hans"/>
              </w:rPr>
              <w:t>第三方接入</w:t>
            </w:r>
            <w:r>
              <w:rPr>
                <w:rFonts w:hint="eastAsia" w:ascii="宋体" w:hAnsi="宋体" w:eastAsia="宋体" w:cs="宋体"/>
                <w:sz w:val="21"/>
                <w:szCs w:val="21"/>
                <w:highlight w:val="none"/>
              </w:rPr>
              <w:t>开发</w:t>
            </w:r>
            <w:r>
              <w:rPr>
                <w:rFonts w:hint="eastAsia" w:ascii="宋体" w:hAnsi="宋体" w:eastAsia="宋体" w:cs="宋体"/>
                <w:sz w:val="21"/>
                <w:szCs w:val="21"/>
                <w:highlight w:val="none"/>
                <w:lang w:eastAsia="zh-Hans"/>
              </w:rPr>
              <w:t>SDK</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eastAsia="zh-Hans"/>
              </w:rPr>
              <w:t>系统封装好现成的</w:t>
            </w:r>
            <w:r>
              <w:rPr>
                <w:rFonts w:hint="eastAsia" w:ascii="宋体" w:hAnsi="宋体" w:eastAsia="宋体" w:cs="宋体"/>
                <w:sz w:val="21"/>
                <w:szCs w:val="21"/>
                <w:highlight w:val="none"/>
              </w:rPr>
              <w:t>API接口开发</w:t>
            </w:r>
            <w:r>
              <w:rPr>
                <w:rFonts w:hint="eastAsia" w:ascii="宋体" w:hAnsi="宋体" w:eastAsia="宋体" w:cs="宋体"/>
                <w:sz w:val="21"/>
                <w:szCs w:val="21"/>
                <w:highlight w:val="none"/>
                <w:lang w:eastAsia="zh-Hans"/>
              </w:rPr>
              <w:t>SDK，支持第三方直接引入SDK获取底片数据。提供SDK使用文档。</w:t>
            </w:r>
          </w:p>
        </w:tc>
      </w:tr>
      <w:tr>
        <w:tblPrEx>
          <w:tblLayout w:type="fixed"/>
          <w:tblCellMar>
            <w:top w:w="15" w:type="dxa"/>
            <w:left w:w="15" w:type="dxa"/>
            <w:bottom w:w="15" w:type="dxa"/>
            <w:right w:w="15" w:type="dxa"/>
          </w:tblCellMar>
        </w:tblPrEx>
        <w:trPr>
          <w:trHeight w:val="90" w:hRule="atLeast"/>
        </w:trPr>
        <w:tc>
          <w:tcPr>
            <w:tcW w:w="1139" w:type="dxa"/>
            <w:tcBorders>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人像销毁</w:t>
            </w: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人像销毁</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1.</w:t>
            </w:r>
            <w:r>
              <w:rPr>
                <w:rFonts w:hint="eastAsia" w:ascii="宋体" w:hAnsi="宋体" w:eastAsia="宋体" w:cs="宋体"/>
                <w:sz w:val="21"/>
                <w:szCs w:val="21"/>
                <w:highlight w:val="none"/>
                <w:lang w:eastAsia="zh-Hans"/>
              </w:rPr>
              <w:t>若用户不想继续使用</w:t>
            </w:r>
            <w:r>
              <w:rPr>
                <w:rFonts w:hint="eastAsia" w:ascii="宋体" w:hAnsi="宋体" w:eastAsia="宋体" w:cs="宋体"/>
                <w:sz w:val="21"/>
                <w:szCs w:val="21"/>
                <w:highlight w:val="none"/>
              </w:rPr>
              <w:t>人脸</w:t>
            </w:r>
            <w:r>
              <w:rPr>
                <w:rFonts w:hint="eastAsia" w:ascii="宋体" w:hAnsi="宋体" w:eastAsia="宋体" w:cs="宋体"/>
                <w:sz w:val="21"/>
                <w:szCs w:val="21"/>
                <w:highlight w:val="none"/>
                <w:lang w:eastAsia="zh-Hans"/>
              </w:rPr>
              <w:t>识别服务</w:t>
            </w:r>
            <w:r>
              <w:rPr>
                <w:rFonts w:hint="eastAsia" w:ascii="宋体" w:hAnsi="宋体" w:eastAsia="宋体" w:cs="宋体"/>
                <w:sz w:val="21"/>
                <w:szCs w:val="21"/>
                <w:highlight w:val="none"/>
              </w:rPr>
              <w:t>，支持用户在移动端</w:t>
            </w:r>
            <w:r>
              <w:rPr>
                <w:rFonts w:hint="eastAsia" w:ascii="宋体" w:hAnsi="宋体" w:eastAsia="宋体" w:cs="宋体"/>
                <w:sz w:val="21"/>
                <w:szCs w:val="21"/>
                <w:highlight w:val="none"/>
                <w:lang w:eastAsia="zh-Hans"/>
              </w:rPr>
              <w:t>一键取消授权。用户取消授权后系统会</w:t>
            </w:r>
            <w:r>
              <w:rPr>
                <w:rFonts w:hint="eastAsia" w:ascii="宋体" w:hAnsi="宋体" w:eastAsia="宋体" w:cs="宋体"/>
                <w:sz w:val="21"/>
                <w:szCs w:val="21"/>
                <w:highlight w:val="none"/>
              </w:rPr>
              <w:t>执行销毁任务，</w:t>
            </w:r>
            <w:r>
              <w:rPr>
                <w:rFonts w:hint="eastAsia" w:ascii="宋体" w:hAnsi="宋体" w:eastAsia="宋体" w:cs="宋体"/>
                <w:sz w:val="21"/>
                <w:szCs w:val="21"/>
                <w:highlight w:val="none"/>
                <w:lang w:eastAsia="zh-Hans"/>
              </w:rPr>
              <w:t>系统</w:t>
            </w:r>
            <w:r>
              <w:rPr>
                <w:rFonts w:hint="eastAsia" w:ascii="宋体" w:hAnsi="宋体" w:eastAsia="宋体" w:cs="宋体"/>
                <w:sz w:val="21"/>
                <w:szCs w:val="21"/>
                <w:highlight w:val="none"/>
              </w:rPr>
              <w:t>应</w:t>
            </w:r>
            <w:r>
              <w:rPr>
                <w:rFonts w:hint="eastAsia" w:ascii="宋体" w:hAnsi="宋体" w:eastAsia="宋体" w:cs="宋体"/>
                <w:sz w:val="21"/>
                <w:szCs w:val="21"/>
                <w:highlight w:val="none"/>
                <w:lang w:eastAsia="zh-Hans"/>
              </w:rPr>
              <w:t>在7个工作日内</w:t>
            </w:r>
            <w:r>
              <w:rPr>
                <w:rFonts w:hint="eastAsia" w:ascii="宋体" w:hAnsi="宋体" w:eastAsia="宋体" w:cs="宋体"/>
                <w:sz w:val="21"/>
                <w:szCs w:val="21"/>
                <w:highlight w:val="none"/>
              </w:rPr>
              <w:t>在人像库内对</w:t>
            </w:r>
            <w:r>
              <w:rPr>
                <w:rFonts w:hint="eastAsia" w:ascii="宋体" w:hAnsi="宋体" w:eastAsia="宋体" w:cs="宋体"/>
                <w:sz w:val="21"/>
                <w:szCs w:val="21"/>
                <w:highlight w:val="none"/>
                <w:lang w:eastAsia="zh-Hans"/>
              </w:rPr>
              <w:t>用户底片删除</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Hans"/>
              </w:rPr>
              <w:t>并</w:t>
            </w:r>
            <w:r>
              <w:rPr>
                <w:rFonts w:hint="eastAsia" w:ascii="宋体" w:hAnsi="宋体" w:eastAsia="宋体" w:cs="宋体"/>
                <w:sz w:val="21"/>
                <w:szCs w:val="21"/>
                <w:highlight w:val="none"/>
              </w:rPr>
              <w:t>对调用过</w:t>
            </w:r>
            <w:r>
              <w:rPr>
                <w:rFonts w:hint="eastAsia" w:ascii="宋体" w:hAnsi="宋体" w:eastAsia="宋体" w:cs="宋体"/>
                <w:sz w:val="21"/>
                <w:szCs w:val="21"/>
                <w:highlight w:val="none"/>
                <w:lang w:eastAsia="zh-Hans"/>
              </w:rPr>
              <w:t>此</w:t>
            </w:r>
            <w:r>
              <w:rPr>
                <w:rFonts w:hint="eastAsia" w:ascii="宋体" w:hAnsi="宋体" w:eastAsia="宋体" w:cs="宋体"/>
                <w:sz w:val="21"/>
                <w:szCs w:val="21"/>
                <w:highlight w:val="none"/>
              </w:rPr>
              <w:t>用户数据的第三方应用发送人像销毁指令，第三方应用</w:t>
            </w:r>
            <w:r>
              <w:rPr>
                <w:rFonts w:hint="eastAsia" w:ascii="宋体" w:hAnsi="宋体" w:eastAsia="宋体" w:cs="宋体"/>
                <w:sz w:val="21"/>
                <w:szCs w:val="21"/>
                <w:highlight w:val="none"/>
                <w:lang w:eastAsia="zh-Hans"/>
              </w:rPr>
              <w:t>删除数据后给到平台消息回执。</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2.</w:t>
            </w:r>
            <w:r>
              <w:rPr>
                <w:rFonts w:hint="eastAsia" w:ascii="宋体" w:hAnsi="宋体" w:eastAsia="宋体" w:cs="宋体"/>
                <w:sz w:val="21"/>
                <w:szCs w:val="21"/>
                <w:highlight w:val="none"/>
              </w:rPr>
              <w:t>通过其他约定的方法，自动执行定期销毁任务，销毁特定人员数据。</w:t>
            </w:r>
          </w:p>
        </w:tc>
      </w:tr>
      <w:tr>
        <w:tblPrEx>
          <w:tblLayout w:type="fixed"/>
          <w:tblCellMar>
            <w:top w:w="15" w:type="dxa"/>
            <w:left w:w="15" w:type="dxa"/>
            <w:bottom w:w="15" w:type="dxa"/>
            <w:right w:w="15" w:type="dxa"/>
          </w:tblCellMar>
        </w:tblPrEx>
        <w:trPr>
          <w:trHeight w:val="90" w:hRule="atLeast"/>
        </w:trPr>
        <w:tc>
          <w:tcPr>
            <w:tcW w:w="1139" w:type="dxa"/>
            <w:vMerge w:val="restart"/>
            <w:tcBorders>
              <w:top w:val="single" w:color="000000" w:sz="4" w:space="0"/>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eastAsia="zh-Hans"/>
              </w:rPr>
            </w:pPr>
            <w:r>
              <w:rPr>
                <w:rFonts w:hint="eastAsia" w:ascii="宋体" w:hAnsi="宋体" w:eastAsia="宋体" w:cs="宋体"/>
                <w:sz w:val="21"/>
                <w:szCs w:val="21"/>
                <w:highlight w:val="none"/>
                <w:lang w:eastAsia="zh-Hans"/>
              </w:rPr>
              <w:t>人像溯源</w:t>
            </w: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数据同步日志</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ascii="宋体" w:hAnsi="宋体" w:eastAsia="宋体" w:cs="宋体"/>
                <w:sz w:val="21"/>
                <w:szCs w:val="21"/>
                <w:highlight w:val="none"/>
                <w:lang w:eastAsia="zh-Hans"/>
              </w:rPr>
              <w:t>记录每天数据同步任务的执行结果，记录字段包括</w:t>
            </w:r>
            <w:r>
              <w:rPr>
                <w:rFonts w:hint="eastAsia" w:ascii="宋体" w:hAnsi="宋体" w:eastAsia="宋体" w:cs="宋体"/>
                <w:sz w:val="21"/>
                <w:szCs w:val="21"/>
                <w:highlight w:val="none"/>
              </w:rPr>
              <w:t>不限于</w:t>
            </w:r>
            <w:r>
              <w:rPr>
                <w:rFonts w:hint="eastAsia" w:ascii="宋体" w:hAnsi="宋体" w:eastAsia="宋体" w:cs="宋体"/>
                <w:sz w:val="21"/>
                <w:szCs w:val="21"/>
                <w:highlight w:val="none"/>
                <w:lang w:eastAsia="zh-Hans"/>
              </w:rPr>
              <w:t>：同步开始时间、更新数据量、新增数据量、同步成功数据量、同步失败数据量、同步失败原因、同步耗时、数据类型、操作，支持按照数据类型、失败原因、同步时间搜索。</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ascii="宋体" w:hAnsi="宋体" w:eastAsia="宋体" w:cs="宋体"/>
                <w:sz w:val="21"/>
                <w:szCs w:val="21"/>
                <w:highlight w:val="none"/>
                <w:lang w:eastAsia="zh-Hans"/>
              </w:rPr>
              <w:t>支持查看此次数据同步任务详细信息，包括</w:t>
            </w:r>
            <w:r>
              <w:rPr>
                <w:rFonts w:hint="eastAsia" w:ascii="宋体" w:hAnsi="宋体" w:eastAsia="宋体" w:cs="宋体"/>
                <w:sz w:val="21"/>
                <w:szCs w:val="21"/>
                <w:highlight w:val="none"/>
              </w:rPr>
              <w:t>不限于</w:t>
            </w:r>
            <w:r>
              <w:rPr>
                <w:rFonts w:hint="eastAsia" w:ascii="宋体" w:hAnsi="宋体" w:eastAsia="宋体" w:cs="宋体"/>
                <w:sz w:val="21"/>
                <w:szCs w:val="21"/>
                <w:highlight w:val="none"/>
                <w:lang w:eastAsia="zh-Hans"/>
              </w:rPr>
              <w:t>：部门编号/学工号、部门名称/用户姓名、同步状态、同步失败原因、数据类型、同步时间，支持部门编号/学工号、部门名称/用户姓名、同步状态搜索。</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eastAsia="zh-Hans"/>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用户授权日志</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000000"/>
                <w:kern w:val="0"/>
                <w:sz w:val="21"/>
                <w:szCs w:val="21"/>
                <w:highlight w:val="none"/>
                <w:lang w:eastAsia="zh-Hans"/>
              </w:rPr>
            </w:pPr>
            <w:r>
              <w:rPr>
                <w:rFonts w:hint="eastAsia" w:ascii="宋体" w:hAnsi="宋体" w:eastAsia="宋体" w:cs="宋体"/>
                <w:sz w:val="21"/>
                <w:szCs w:val="21"/>
                <w:highlight w:val="none"/>
                <w:lang w:eastAsia="zh-Hans"/>
              </w:rPr>
              <w:t>系统记录用户每次授权、取消授权、恢复授权删除授权等行为</w:t>
            </w:r>
            <w:r>
              <w:rPr>
                <w:rFonts w:hint="eastAsia" w:ascii="宋体" w:hAnsi="宋体" w:eastAsia="宋体" w:cs="宋体"/>
                <w:sz w:val="21"/>
                <w:szCs w:val="21"/>
                <w:highlight w:val="none"/>
              </w:rPr>
              <w:t>日志</w:t>
            </w:r>
            <w:r>
              <w:rPr>
                <w:rFonts w:hint="eastAsia" w:ascii="宋体" w:hAnsi="宋体" w:eastAsia="宋体" w:cs="宋体"/>
                <w:sz w:val="21"/>
                <w:szCs w:val="21"/>
                <w:highlight w:val="none"/>
                <w:lang w:eastAsia="zh-Hans"/>
              </w:rPr>
              <w:t>。</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自动核验日志</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000000"/>
                <w:kern w:val="0"/>
                <w:sz w:val="21"/>
                <w:szCs w:val="21"/>
                <w:highlight w:val="none"/>
                <w:lang w:eastAsia="zh-Hans"/>
              </w:rPr>
            </w:pPr>
            <w:r>
              <w:rPr>
                <w:rFonts w:hint="eastAsia" w:ascii="宋体" w:hAnsi="宋体" w:eastAsia="宋体" w:cs="宋体"/>
                <w:sz w:val="21"/>
                <w:szCs w:val="21"/>
                <w:highlight w:val="none"/>
                <w:lang w:eastAsia="zh-Hans"/>
              </w:rPr>
              <w:t>记录系统每次自动核验人员的状态结果信息。记录字段包括</w:t>
            </w:r>
            <w:r>
              <w:rPr>
                <w:rFonts w:hint="eastAsia" w:ascii="宋体" w:hAnsi="宋体" w:eastAsia="宋体" w:cs="宋体"/>
                <w:sz w:val="21"/>
                <w:szCs w:val="21"/>
                <w:highlight w:val="none"/>
              </w:rPr>
              <w:t>不限于</w:t>
            </w:r>
            <w:r>
              <w:rPr>
                <w:rFonts w:hint="eastAsia" w:ascii="宋体" w:hAnsi="宋体" w:eastAsia="宋体" w:cs="宋体"/>
                <w:sz w:val="21"/>
                <w:szCs w:val="21"/>
                <w:highlight w:val="none"/>
                <w:lang w:eastAsia="zh-Hans"/>
              </w:rPr>
              <w:t>：学工号、用户姓名、学工号、算法平台、核验结果、</w:t>
            </w:r>
            <w:r>
              <w:rPr>
                <w:rFonts w:hint="eastAsia" w:ascii="宋体" w:hAnsi="宋体" w:eastAsia="宋体" w:cs="宋体"/>
                <w:sz w:val="21"/>
                <w:szCs w:val="21"/>
                <w:highlight w:val="none"/>
              </w:rPr>
              <w:t>操作</w:t>
            </w:r>
            <w:r>
              <w:rPr>
                <w:rFonts w:hint="eastAsia" w:ascii="宋体" w:hAnsi="宋体" w:eastAsia="宋体" w:cs="宋体"/>
                <w:sz w:val="21"/>
                <w:szCs w:val="21"/>
                <w:highlight w:val="none"/>
                <w:lang w:eastAsia="zh-Hans"/>
              </w:rPr>
              <w:t>核验时间。支持按照</w:t>
            </w:r>
            <w:r>
              <w:rPr>
                <w:rFonts w:hint="eastAsia" w:ascii="宋体" w:hAnsi="宋体" w:eastAsia="宋体" w:cs="宋体"/>
                <w:sz w:val="21"/>
                <w:szCs w:val="21"/>
                <w:highlight w:val="none"/>
              </w:rPr>
              <w:t>姓名或</w:t>
            </w:r>
            <w:r>
              <w:rPr>
                <w:rFonts w:hint="eastAsia" w:ascii="宋体" w:hAnsi="宋体" w:eastAsia="宋体" w:cs="宋体"/>
                <w:sz w:val="21"/>
                <w:szCs w:val="21"/>
                <w:highlight w:val="none"/>
                <w:lang w:eastAsia="zh-Hans"/>
              </w:rPr>
              <w:t>学工号、</w:t>
            </w:r>
            <w:r>
              <w:rPr>
                <w:rFonts w:hint="eastAsia" w:ascii="宋体" w:hAnsi="宋体" w:eastAsia="宋体" w:cs="宋体"/>
                <w:sz w:val="21"/>
                <w:szCs w:val="21"/>
                <w:highlight w:val="none"/>
              </w:rPr>
              <w:t>核验</w:t>
            </w:r>
            <w:r>
              <w:rPr>
                <w:rFonts w:hint="eastAsia" w:ascii="宋体" w:hAnsi="宋体" w:eastAsia="宋体" w:cs="宋体"/>
                <w:sz w:val="21"/>
                <w:szCs w:val="21"/>
                <w:highlight w:val="none"/>
                <w:lang w:eastAsia="zh-Hans"/>
              </w:rPr>
              <w:t>算法平台、核验时间进行筛选搜索。</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可信身份核验日志</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000000"/>
                <w:kern w:val="0"/>
                <w:sz w:val="21"/>
                <w:szCs w:val="21"/>
                <w:highlight w:val="none"/>
                <w:lang w:eastAsia="zh-Hans"/>
              </w:rPr>
            </w:pPr>
            <w:r>
              <w:rPr>
                <w:rFonts w:hint="eastAsia" w:ascii="宋体" w:hAnsi="宋体" w:eastAsia="宋体" w:cs="宋体"/>
                <w:sz w:val="21"/>
                <w:szCs w:val="21"/>
                <w:highlight w:val="none"/>
                <w:lang w:eastAsia="zh-Hans"/>
              </w:rPr>
              <w:t>主要记录用户通过公安核验的事件日志结果，记录字段包括</w:t>
            </w:r>
            <w:r>
              <w:rPr>
                <w:rFonts w:hint="eastAsia" w:ascii="宋体" w:hAnsi="宋体" w:eastAsia="宋体" w:cs="宋体"/>
                <w:sz w:val="21"/>
                <w:szCs w:val="21"/>
                <w:highlight w:val="none"/>
              </w:rPr>
              <w:t>不限于</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时间、</w:t>
            </w:r>
            <w:r>
              <w:rPr>
                <w:rFonts w:hint="eastAsia" w:ascii="宋体" w:hAnsi="宋体" w:eastAsia="宋体" w:cs="宋体"/>
                <w:sz w:val="21"/>
                <w:szCs w:val="21"/>
                <w:highlight w:val="none"/>
                <w:lang w:eastAsia="zh-Hans"/>
              </w:rPr>
              <w:t>核验次数、核验成功次数、核验失败次数、核验时间、核验花费、操作，支持按照时间搜索。支持查看此次核验人员详细信息，包括</w:t>
            </w:r>
            <w:r>
              <w:rPr>
                <w:rFonts w:hint="eastAsia" w:ascii="宋体" w:hAnsi="宋体" w:eastAsia="宋体" w:cs="宋体"/>
                <w:sz w:val="21"/>
                <w:szCs w:val="21"/>
                <w:highlight w:val="none"/>
              </w:rPr>
              <w:t>不限于</w:t>
            </w:r>
            <w:r>
              <w:rPr>
                <w:rFonts w:hint="eastAsia" w:ascii="宋体" w:hAnsi="宋体" w:eastAsia="宋体" w:cs="宋体"/>
                <w:sz w:val="21"/>
                <w:szCs w:val="21"/>
                <w:highlight w:val="none"/>
                <w:lang w:eastAsia="zh-Hans"/>
              </w:rPr>
              <w:t>：姓名、学工号</w:t>
            </w:r>
            <w:r>
              <w:rPr>
                <w:rFonts w:hint="eastAsia" w:ascii="宋体" w:hAnsi="宋体" w:eastAsia="宋体" w:cs="宋体"/>
                <w:sz w:val="21"/>
                <w:szCs w:val="21"/>
                <w:highlight w:val="none"/>
              </w:rPr>
              <w:t>/学号</w:t>
            </w:r>
            <w:r>
              <w:rPr>
                <w:rFonts w:hint="eastAsia" w:ascii="宋体" w:hAnsi="宋体" w:eastAsia="宋体" w:cs="宋体"/>
                <w:sz w:val="21"/>
                <w:szCs w:val="21"/>
                <w:highlight w:val="none"/>
                <w:lang w:eastAsia="zh-Hans"/>
              </w:rPr>
              <w:t>、部门、核验状态</w:t>
            </w:r>
            <w:r>
              <w:rPr>
                <w:rFonts w:hint="eastAsia" w:ascii="宋体" w:hAnsi="宋体" w:eastAsia="宋体" w:cs="宋体"/>
                <w:sz w:val="21"/>
                <w:szCs w:val="21"/>
                <w:highlight w:val="none"/>
              </w:rPr>
              <w:t>结果</w:t>
            </w:r>
            <w:r>
              <w:rPr>
                <w:rFonts w:hint="eastAsia" w:ascii="宋体" w:hAnsi="宋体" w:eastAsia="宋体" w:cs="宋体"/>
                <w:sz w:val="21"/>
                <w:szCs w:val="21"/>
                <w:highlight w:val="none"/>
                <w:lang w:eastAsia="zh-Hans"/>
              </w:rPr>
              <w:t>、核验花费、核验时间，支持姓名、学工号搜索。</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人像分发日志</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1.</w:t>
            </w:r>
            <w:r>
              <w:rPr>
                <w:rFonts w:hint="eastAsia" w:ascii="宋体" w:hAnsi="宋体" w:eastAsia="宋体" w:cs="宋体"/>
                <w:sz w:val="21"/>
                <w:szCs w:val="21"/>
                <w:highlight w:val="none"/>
                <w:lang w:eastAsia="zh-Hans"/>
              </w:rPr>
              <w:t>记录人像分发到第三方系统的操作事件记录，</w:t>
            </w:r>
            <w:r>
              <w:rPr>
                <w:rFonts w:hint="eastAsia" w:ascii="宋体" w:hAnsi="宋体" w:eastAsia="宋体" w:cs="宋体"/>
                <w:sz w:val="21"/>
                <w:szCs w:val="21"/>
                <w:highlight w:val="none"/>
              </w:rPr>
              <w:t>支持</w:t>
            </w:r>
            <w:r>
              <w:rPr>
                <w:rFonts w:hint="eastAsia" w:ascii="宋体" w:hAnsi="宋体" w:eastAsia="宋体" w:cs="宋体"/>
                <w:sz w:val="21"/>
                <w:szCs w:val="21"/>
                <w:highlight w:val="none"/>
                <w:lang w:eastAsia="zh-Hans"/>
              </w:rPr>
              <w:t>批次查询</w:t>
            </w:r>
            <w:r>
              <w:rPr>
                <w:rFonts w:hint="eastAsia" w:ascii="宋体" w:hAnsi="宋体" w:eastAsia="宋体" w:cs="宋体"/>
                <w:sz w:val="21"/>
                <w:szCs w:val="21"/>
                <w:highlight w:val="none"/>
              </w:rPr>
              <w:t>批量下发日志和</w:t>
            </w:r>
            <w:r>
              <w:rPr>
                <w:rFonts w:hint="eastAsia" w:ascii="宋体" w:hAnsi="宋体" w:eastAsia="宋体" w:cs="宋体"/>
                <w:sz w:val="21"/>
                <w:szCs w:val="21"/>
                <w:highlight w:val="none"/>
                <w:lang w:eastAsia="zh-Hans"/>
              </w:rPr>
              <w:t>全员查询</w:t>
            </w:r>
            <w:r>
              <w:rPr>
                <w:rFonts w:hint="eastAsia" w:ascii="宋体" w:hAnsi="宋体" w:eastAsia="宋体" w:cs="宋体"/>
                <w:sz w:val="21"/>
                <w:szCs w:val="21"/>
                <w:highlight w:val="none"/>
              </w:rPr>
              <w:t>实时下发日志</w:t>
            </w:r>
            <w:r>
              <w:rPr>
                <w:rFonts w:hint="eastAsia" w:ascii="宋体" w:hAnsi="宋体" w:eastAsia="宋体" w:cs="宋体"/>
                <w:sz w:val="21"/>
                <w:szCs w:val="21"/>
                <w:highlight w:val="none"/>
                <w:lang w:eastAsia="zh-Hans"/>
              </w:rPr>
              <w:t>。</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2.</w:t>
            </w:r>
            <w:r>
              <w:rPr>
                <w:rFonts w:hint="eastAsia" w:ascii="宋体" w:hAnsi="宋体" w:eastAsia="宋体" w:cs="宋体"/>
                <w:sz w:val="21"/>
                <w:szCs w:val="21"/>
                <w:highlight w:val="none"/>
              </w:rPr>
              <w:t>批量下发日志</w:t>
            </w:r>
            <w:r>
              <w:rPr>
                <w:rFonts w:hint="eastAsia" w:ascii="宋体" w:hAnsi="宋体" w:eastAsia="宋体" w:cs="宋体"/>
                <w:sz w:val="21"/>
                <w:szCs w:val="21"/>
                <w:highlight w:val="none"/>
                <w:lang w:eastAsia="zh-Hans"/>
              </w:rPr>
              <w:t>批次查询记录字段包括</w:t>
            </w:r>
            <w:r>
              <w:rPr>
                <w:rFonts w:hint="eastAsia" w:ascii="宋体" w:hAnsi="宋体" w:eastAsia="宋体" w:cs="宋体"/>
                <w:sz w:val="21"/>
                <w:szCs w:val="21"/>
                <w:highlight w:val="none"/>
              </w:rPr>
              <w:t>不限于</w:t>
            </w:r>
            <w:r>
              <w:rPr>
                <w:rFonts w:hint="eastAsia" w:ascii="宋体" w:hAnsi="宋体" w:eastAsia="宋体" w:cs="宋体"/>
                <w:sz w:val="21"/>
                <w:szCs w:val="21"/>
                <w:highlight w:val="none"/>
                <w:lang w:eastAsia="zh-Hans"/>
              </w:rPr>
              <w:t>：获取方、批次号、获取数据量、获取数据时间、消耗时间、操作。</w:t>
            </w:r>
            <w:r>
              <w:rPr>
                <w:rFonts w:hint="eastAsia" w:ascii="宋体" w:hAnsi="宋体" w:eastAsia="宋体" w:cs="宋体"/>
                <w:sz w:val="21"/>
                <w:szCs w:val="21"/>
                <w:highlight w:val="none"/>
              </w:rPr>
              <w:t>支持根据批次号、获取方、时间进行搜索查看。</w:t>
            </w:r>
            <w:r>
              <w:rPr>
                <w:rFonts w:hint="eastAsia" w:ascii="宋体" w:hAnsi="宋体" w:eastAsia="宋体" w:cs="宋体"/>
                <w:sz w:val="21"/>
                <w:szCs w:val="21"/>
                <w:highlight w:val="none"/>
                <w:lang w:eastAsia="zh-Hans"/>
              </w:rPr>
              <w:t>详细统计可查看此次批量下发人员的详细信息包括</w:t>
            </w:r>
            <w:r>
              <w:rPr>
                <w:rFonts w:hint="eastAsia" w:ascii="宋体" w:hAnsi="宋体" w:eastAsia="宋体" w:cs="宋体"/>
                <w:sz w:val="21"/>
                <w:szCs w:val="21"/>
                <w:highlight w:val="none"/>
              </w:rPr>
              <w:t>不限于</w:t>
            </w:r>
            <w:r>
              <w:rPr>
                <w:rFonts w:hint="eastAsia" w:ascii="宋体" w:hAnsi="宋体" w:eastAsia="宋体" w:cs="宋体"/>
                <w:sz w:val="21"/>
                <w:szCs w:val="21"/>
                <w:highlight w:val="none"/>
                <w:lang w:eastAsia="zh-Hans"/>
              </w:rPr>
              <w:t>：姓名、</w:t>
            </w:r>
            <w:r>
              <w:rPr>
                <w:rFonts w:hint="eastAsia" w:ascii="宋体" w:hAnsi="宋体" w:eastAsia="宋体" w:cs="宋体"/>
                <w:sz w:val="21"/>
                <w:szCs w:val="21"/>
                <w:highlight w:val="none"/>
              </w:rPr>
              <w:t>工号/学号</w:t>
            </w:r>
            <w:r>
              <w:rPr>
                <w:rFonts w:hint="eastAsia" w:ascii="宋体" w:hAnsi="宋体" w:eastAsia="宋体" w:cs="宋体"/>
                <w:sz w:val="21"/>
                <w:szCs w:val="21"/>
                <w:highlight w:val="none"/>
                <w:lang w:eastAsia="zh-Hans"/>
              </w:rPr>
              <w:t>账号、部门、获取系统</w:t>
            </w:r>
            <w:r>
              <w:rPr>
                <w:rFonts w:hint="eastAsia" w:ascii="宋体" w:hAnsi="宋体" w:eastAsia="宋体" w:cs="宋体"/>
                <w:sz w:val="21"/>
                <w:szCs w:val="21"/>
                <w:highlight w:val="none"/>
              </w:rPr>
              <w:t>、应用ID、批次号、</w:t>
            </w:r>
            <w:r>
              <w:rPr>
                <w:rFonts w:hint="eastAsia" w:ascii="宋体" w:hAnsi="宋体" w:eastAsia="宋体" w:cs="宋体"/>
                <w:sz w:val="21"/>
                <w:szCs w:val="21"/>
                <w:highlight w:val="none"/>
                <w:lang w:eastAsia="zh-Hans"/>
              </w:rPr>
              <w:t>获取时间。支持输入姓名、</w:t>
            </w:r>
            <w:r>
              <w:rPr>
                <w:rFonts w:hint="eastAsia" w:ascii="宋体" w:hAnsi="宋体" w:eastAsia="宋体" w:cs="宋体"/>
                <w:sz w:val="21"/>
                <w:szCs w:val="21"/>
                <w:highlight w:val="none"/>
              </w:rPr>
              <w:t>工号/学号</w:t>
            </w:r>
            <w:r>
              <w:rPr>
                <w:rFonts w:hint="eastAsia" w:ascii="宋体" w:hAnsi="宋体" w:eastAsia="宋体" w:cs="宋体"/>
                <w:sz w:val="21"/>
                <w:szCs w:val="21"/>
                <w:highlight w:val="none"/>
                <w:lang w:eastAsia="zh-Hans"/>
              </w:rPr>
              <w:t>账号、</w:t>
            </w:r>
            <w:r>
              <w:rPr>
                <w:rFonts w:hint="eastAsia" w:ascii="宋体" w:hAnsi="宋体" w:eastAsia="宋体" w:cs="宋体"/>
                <w:sz w:val="21"/>
                <w:szCs w:val="21"/>
                <w:highlight w:val="none"/>
              </w:rPr>
              <w:t>部门</w:t>
            </w:r>
            <w:r>
              <w:rPr>
                <w:rFonts w:hint="eastAsia" w:ascii="宋体" w:hAnsi="宋体" w:eastAsia="宋体" w:cs="宋体"/>
                <w:sz w:val="21"/>
                <w:szCs w:val="21"/>
                <w:highlight w:val="none"/>
                <w:lang w:eastAsia="zh-Hans"/>
              </w:rPr>
              <w:t>时间段搜索。支持对批次号进行溯源，查看底片所有的授权、核验、下发与销毁记录。</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000000"/>
                <w:kern w:val="0"/>
                <w:sz w:val="21"/>
                <w:szCs w:val="21"/>
                <w:highlight w:val="none"/>
                <w:lang w:eastAsia="zh-Hans"/>
              </w:rPr>
            </w:pPr>
            <w:r>
              <w:rPr>
                <w:rFonts w:hint="eastAsia" w:cs="宋体"/>
                <w:sz w:val="21"/>
                <w:szCs w:val="21"/>
                <w:highlight w:val="none"/>
                <w:lang w:val="en-US" w:eastAsia="zh-CN"/>
              </w:rPr>
              <w:t>3.</w:t>
            </w:r>
            <w:r>
              <w:rPr>
                <w:rFonts w:hint="eastAsia" w:ascii="宋体" w:hAnsi="宋体" w:eastAsia="宋体" w:cs="宋体"/>
                <w:sz w:val="21"/>
                <w:szCs w:val="21"/>
                <w:highlight w:val="none"/>
                <w:lang w:eastAsia="zh-Hans"/>
              </w:rPr>
              <w:t>实时下发日志全员查询记录字段包括</w:t>
            </w:r>
            <w:r>
              <w:rPr>
                <w:rFonts w:hint="eastAsia" w:ascii="宋体" w:hAnsi="宋体" w:eastAsia="宋体" w:cs="宋体"/>
                <w:sz w:val="21"/>
                <w:szCs w:val="21"/>
                <w:highlight w:val="none"/>
              </w:rPr>
              <w:t>不限于</w:t>
            </w:r>
            <w:r>
              <w:rPr>
                <w:rFonts w:hint="eastAsia" w:ascii="宋体" w:hAnsi="宋体" w:eastAsia="宋体" w:cs="宋体"/>
                <w:sz w:val="21"/>
                <w:szCs w:val="21"/>
                <w:highlight w:val="none"/>
                <w:lang w:eastAsia="zh-Hans"/>
              </w:rPr>
              <w:t>：姓名、工号/学号账号、批次号、部门、获取系统、获取时间。支持输入姓名、工号/学号账号、批次号、时间段搜索。支持对批次号进行溯源，查看底片所有的授权、核验、下发与销毁记录。</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底图删除日志</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ascii="宋体" w:hAnsi="宋体" w:eastAsia="宋体" w:cs="宋体"/>
                <w:sz w:val="21"/>
                <w:szCs w:val="21"/>
                <w:highlight w:val="none"/>
                <w:lang w:eastAsia="zh-Hans"/>
              </w:rPr>
              <w:t>记录用户底片在第三方系统的删除情况，记录内容包括</w:t>
            </w:r>
            <w:r>
              <w:rPr>
                <w:rFonts w:hint="eastAsia" w:ascii="宋体" w:hAnsi="宋体" w:eastAsia="宋体" w:cs="宋体"/>
                <w:sz w:val="21"/>
                <w:szCs w:val="21"/>
                <w:highlight w:val="none"/>
              </w:rPr>
              <w:t>不限于</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学工</w:t>
            </w:r>
            <w:r>
              <w:rPr>
                <w:rFonts w:hint="eastAsia" w:ascii="宋体" w:hAnsi="宋体" w:eastAsia="宋体" w:cs="宋体"/>
                <w:sz w:val="21"/>
                <w:szCs w:val="21"/>
                <w:highlight w:val="none"/>
                <w:lang w:eastAsia="zh-Hans"/>
              </w:rPr>
              <w:t>号、用户姓名、账号、第三方应用、操作结果、操作时间。支持账号、姓名</w:t>
            </w:r>
            <w:r>
              <w:rPr>
                <w:rFonts w:hint="eastAsia" w:ascii="宋体" w:hAnsi="宋体" w:eastAsia="宋体" w:cs="宋体"/>
                <w:sz w:val="21"/>
                <w:szCs w:val="21"/>
                <w:highlight w:val="none"/>
              </w:rPr>
              <w:t>姓名或者学工号</w:t>
            </w:r>
            <w:r>
              <w:rPr>
                <w:rFonts w:hint="eastAsia" w:ascii="宋体" w:hAnsi="宋体" w:eastAsia="宋体" w:cs="宋体"/>
                <w:sz w:val="21"/>
                <w:szCs w:val="21"/>
                <w:highlight w:val="none"/>
                <w:lang w:eastAsia="zh-Hans"/>
              </w:rPr>
              <w:t>及第三方系统</w:t>
            </w:r>
            <w:r>
              <w:rPr>
                <w:rFonts w:hint="eastAsia" w:ascii="宋体" w:hAnsi="宋体" w:eastAsia="宋体" w:cs="宋体"/>
                <w:sz w:val="21"/>
                <w:szCs w:val="21"/>
                <w:highlight w:val="none"/>
              </w:rPr>
              <w:t>应用</w:t>
            </w:r>
            <w:r>
              <w:rPr>
                <w:rFonts w:hint="eastAsia" w:ascii="宋体" w:hAnsi="宋体" w:eastAsia="宋体" w:cs="宋体"/>
                <w:sz w:val="21"/>
                <w:szCs w:val="21"/>
                <w:highlight w:val="none"/>
                <w:lang w:eastAsia="zh-Hans"/>
              </w:rPr>
              <w:t>筛选搜索。</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水印解析</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ascii="宋体" w:hAnsi="宋体" w:eastAsia="宋体" w:cs="宋体"/>
                <w:sz w:val="21"/>
                <w:szCs w:val="21"/>
                <w:highlight w:val="none"/>
                <w:lang w:eastAsia="zh-Hans"/>
              </w:rPr>
              <w:t>下发到第三方的底片上的透明水印，</w:t>
            </w:r>
            <w:r>
              <w:rPr>
                <w:rFonts w:hint="eastAsia" w:ascii="宋体" w:hAnsi="宋体" w:eastAsia="宋体" w:cs="宋体"/>
                <w:sz w:val="21"/>
                <w:szCs w:val="21"/>
                <w:highlight w:val="none"/>
              </w:rPr>
              <w:t>支持</w:t>
            </w:r>
            <w:r>
              <w:rPr>
                <w:rFonts w:hint="eastAsia" w:ascii="宋体" w:hAnsi="宋体" w:eastAsia="宋体" w:cs="宋体"/>
                <w:sz w:val="21"/>
                <w:szCs w:val="21"/>
                <w:highlight w:val="none"/>
                <w:lang w:eastAsia="zh-Hans"/>
              </w:rPr>
              <w:t>进行水印解析，结合</w:t>
            </w:r>
            <w:r>
              <w:rPr>
                <w:rFonts w:hint="eastAsia" w:ascii="宋体" w:hAnsi="宋体" w:eastAsia="宋体" w:cs="宋体"/>
                <w:sz w:val="21"/>
                <w:szCs w:val="21"/>
                <w:highlight w:val="none"/>
              </w:rPr>
              <w:t>人像分发日志中的底片</w:t>
            </w:r>
            <w:r>
              <w:rPr>
                <w:rFonts w:hint="eastAsia" w:cs="宋体"/>
                <w:sz w:val="21"/>
                <w:szCs w:val="21"/>
                <w:highlight w:val="none"/>
                <w:lang w:val="en-US" w:eastAsia="zh-CN"/>
              </w:rPr>
              <w:t>溯源</w:t>
            </w:r>
            <w:r>
              <w:rPr>
                <w:rFonts w:hint="eastAsia" w:ascii="宋体" w:hAnsi="宋体" w:eastAsia="宋体" w:cs="宋体"/>
                <w:sz w:val="21"/>
                <w:szCs w:val="21"/>
                <w:highlight w:val="none"/>
              </w:rPr>
              <w:t>功能，可以实现对底片的整个生命周期的溯源。</w:t>
            </w:r>
          </w:p>
        </w:tc>
      </w:tr>
      <w:tr>
        <w:tblPrEx>
          <w:tblLayout w:type="fixed"/>
          <w:tblCellMar>
            <w:top w:w="15" w:type="dxa"/>
            <w:left w:w="15" w:type="dxa"/>
            <w:bottom w:w="15" w:type="dxa"/>
            <w:right w:w="15" w:type="dxa"/>
          </w:tblCellMar>
        </w:tblPrEx>
        <w:trPr>
          <w:trHeight w:val="90" w:hRule="atLeast"/>
        </w:trPr>
        <w:tc>
          <w:tcPr>
            <w:tcW w:w="1139"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eastAsia="zh-Hans"/>
              </w:rPr>
              <w:t>任务中心</w:t>
            </w: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eastAsia="zh-Hans"/>
              </w:rPr>
              <w:t>核验任务</w:t>
            </w:r>
            <w:r>
              <w:rPr>
                <w:rFonts w:hint="eastAsia" w:ascii="宋体" w:hAnsi="宋体" w:eastAsia="宋体" w:cs="宋体"/>
                <w:sz w:val="21"/>
                <w:szCs w:val="21"/>
                <w:highlight w:val="none"/>
              </w:rPr>
              <w:t>中心</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1.</w:t>
            </w:r>
            <w:r>
              <w:rPr>
                <w:rFonts w:hint="eastAsia" w:ascii="宋体" w:hAnsi="宋体" w:eastAsia="宋体" w:cs="宋体"/>
                <w:sz w:val="21"/>
                <w:szCs w:val="21"/>
                <w:highlight w:val="none"/>
              </w:rPr>
              <w:t>执行</w:t>
            </w:r>
            <w:r>
              <w:rPr>
                <w:rFonts w:hint="eastAsia" w:ascii="宋体" w:hAnsi="宋体" w:eastAsia="宋体" w:cs="宋体"/>
                <w:sz w:val="21"/>
                <w:szCs w:val="21"/>
                <w:highlight w:val="none"/>
                <w:lang w:eastAsia="zh-Hans"/>
              </w:rPr>
              <w:t>批量</w:t>
            </w:r>
            <w:r>
              <w:rPr>
                <w:rFonts w:hint="eastAsia" w:ascii="宋体" w:hAnsi="宋体" w:eastAsia="宋体" w:cs="宋体"/>
                <w:sz w:val="21"/>
                <w:szCs w:val="21"/>
                <w:highlight w:val="none"/>
              </w:rPr>
              <w:t>算法</w:t>
            </w:r>
            <w:r>
              <w:rPr>
                <w:rFonts w:hint="eastAsia" w:ascii="宋体" w:hAnsi="宋体" w:eastAsia="宋体" w:cs="宋体"/>
                <w:sz w:val="21"/>
                <w:szCs w:val="21"/>
                <w:highlight w:val="none"/>
                <w:lang w:eastAsia="zh-Hans"/>
              </w:rPr>
              <w:t>核验</w:t>
            </w:r>
            <w:r>
              <w:rPr>
                <w:rFonts w:hint="eastAsia" w:ascii="宋体" w:hAnsi="宋体" w:eastAsia="宋体" w:cs="宋体"/>
                <w:sz w:val="21"/>
                <w:szCs w:val="21"/>
                <w:highlight w:val="none"/>
              </w:rPr>
              <w:t>任务后</w:t>
            </w:r>
            <w:r>
              <w:rPr>
                <w:rFonts w:hint="eastAsia" w:ascii="宋体" w:hAnsi="宋体" w:eastAsia="宋体" w:cs="宋体"/>
                <w:sz w:val="21"/>
                <w:szCs w:val="21"/>
                <w:highlight w:val="none"/>
                <w:lang w:eastAsia="zh-Hans"/>
              </w:rPr>
              <w:t>，核验进度与结果会进入核验任务页面进行执行、记录、展示。</w:t>
            </w:r>
            <w:r>
              <w:rPr>
                <w:rFonts w:hint="eastAsia" w:ascii="宋体" w:hAnsi="宋体" w:eastAsia="宋体" w:cs="宋体"/>
                <w:sz w:val="21"/>
                <w:szCs w:val="21"/>
                <w:highlight w:val="none"/>
              </w:rPr>
              <w:t>核验状态</w:t>
            </w:r>
            <w:r>
              <w:rPr>
                <w:rFonts w:hint="eastAsia" w:ascii="宋体" w:hAnsi="宋体" w:eastAsia="宋体" w:cs="宋体"/>
                <w:sz w:val="21"/>
                <w:szCs w:val="21"/>
                <w:highlight w:val="none"/>
                <w:lang w:eastAsia="zh-Hans"/>
              </w:rPr>
              <w:t>包括核验中、核验完成。</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2.</w:t>
            </w:r>
            <w:r>
              <w:rPr>
                <w:rFonts w:hint="eastAsia" w:ascii="宋体" w:hAnsi="宋体" w:eastAsia="宋体" w:cs="宋体"/>
                <w:sz w:val="21"/>
                <w:szCs w:val="21"/>
                <w:highlight w:val="none"/>
                <w:lang w:eastAsia="zh-Hans"/>
              </w:rPr>
              <w:t>核验中：</w:t>
            </w:r>
            <w:r>
              <w:rPr>
                <w:rFonts w:hint="eastAsia" w:ascii="宋体" w:hAnsi="宋体" w:eastAsia="宋体" w:cs="宋体"/>
                <w:sz w:val="21"/>
                <w:szCs w:val="21"/>
                <w:highlight w:val="none"/>
              </w:rPr>
              <w:t>需要</w:t>
            </w:r>
            <w:r>
              <w:rPr>
                <w:rFonts w:hint="eastAsia" w:ascii="宋体" w:hAnsi="宋体" w:eastAsia="宋体" w:cs="宋体"/>
                <w:sz w:val="21"/>
                <w:szCs w:val="21"/>
                <w:highlight w:val="none"/>
                <w:lang w:eastAsia="zh-Hans"/>
              </w:rPr>
              <w:t>记录批量核验的核验过程及进度，列表字段包括：类型、名称、创建时间、核验数据、生成进度、核验排队、状态。</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3.</w:t>
            </w:r>
            <w:r>
              <w:rPr>
                <w:rFonts w:hint="eastAsia" w:ascii="宋体" w:hAnsi="宋体" w:eastAsia="宋体" w:cs="宋体"/>
                <w:sz w:val="21"/>
                <w:szCs w:val="21"/>
                <w:highlight w:val="none"/>
                <w:lang w:eastAsia="zh-Hans"/>
              </w:rPr>
              <w:t>核验完成：</w:t>
            </w:r>
            <w:r>
              <w:rPr>
                <w:rFonts w:hint="eastAsia" w:ascii="宋体" w:hAnsi="宋体" w:eastAsia="宋体" w:cs="宋体"/>
                <w:sz w:val="21"/>
                <w:szCs w:val="21"/>
                <w:highlight w:val="none"/>
              </w:rPr>
              <w:t>需要记录</w:t>
            </w:r>
            <w:r>
              <w:rPr>
                <w:rFonts w:hint="eastAsia" w:ascii="宋体" w:hAnsi="宋体" w:eastAsia="宋体" w:cs="宋体"/>
                <w:sz w:val="21"/>
                <w:szCs w:val="21"/>
                <w:highlight w:val="none"/>
                <w:lang w:eastAsia="zh-Hans"/>
              </w:rPr>
              <w:t>类型、名称、创建时间、核验数据、核验成功、核验失败、状态、下载次数、操作。</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4.</w:t>
            </w:r>
            <w:r>
              <w:rPr>
                <w:rFonts w:hint="eastAsia" w:ascii="宋体" w:hAnsi="宋体" w:eastAsia="宋体" w:cs="宋体"/>
                <w:sz w:val="21"/>
                <w:szCs w:val="21"/>
                <w:highlight w:val="none"/>
                <w:lang w:eastAsia="zh-Hans"/>
              </w:rPr>
              <w:t>支持按照时间搜索。</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导出任务中心</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1.</w:t>
            </w:r>
            <w:r>
              <w:rPr>
                <w:rFonts w:hint="eastAsia" w:ascii="宋体" w:hAnsi="宋体" w:eastAsia="宋体" w:cs="宋体"/>
                <w:sz w:val="21"/>
                <w:szCs w:val="21"/>
                <w:highlight w:val="none"/>
              </w:rPr>
              <w:t>执行</w:t>
            </w:r>
            <w:r>
              <w:rPr>
                <w:rFonts w:hint="eastAsia" w:ascii="宋体" w:hAnsi="宋体" w:eastAsia="宋体" w:cs="宋体"/>
                <w:sz w:val="21"/>
                <w:szCs w:val="21"/>
                <w:highlight w:val="none"/>
                <w:lang w:eastAsia="zh-Hans"/>
              </w:rPr>
              <w:t>人像数据导出</w:t>
            </w:r>
            <w:r>
              <w:rPr>
                <w:rFonts w:hint="eastAsia" w:ascii="宋体" w:hAnsi="宋体" w:eastAsia="宋体" w:cs="宋体"/>
                <w:sz w:val="21"/>
                <w:szCs w:val="21"/>
                <w:highlight w:val="none"/>
              </w:rPr>
              <w:t>任务后</w:t>
            </w:r>
            <w:r>
              <w:rPr>
                <w:rFonts w:hint="eastAsia" w:ascii="宋体" w:hAnsi="宋体" w:eastAsia="宋体" w:cs="宋体"/>
                <w:sz w:val="21"/>
                <w:szCs w:val="21"/>
                <w:highlight w:val="none"/>
                <w:lang w:eastAsia="zh-Hans"/>
              </w:rPr>
              <w:t>，导出进度与结果会进入导出任务页面进行执行、记录、展示</w:t>
            </w:r>
            <w:r>
              <w:rPr>
                <w:rFonts w:hint="eastAsia" w:ascii="宋体" w:hAnsi="宋体" w:eastAsia="宋体" w:cs="宋体"/>
                <w:sz w:val="21"/>
                <w:szCs w:val="21"/>
                <w:highlight w:val="none"/>
              </w:rPr>
              <w:t>，支持导出和下载。</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2.</w:t>
            </w:r>
            <w:r>
              <w:rPr>
                <w:rFonts w:hint="eastAsia" w:ascii="宋体" w:hAnsi="宋体" w:eastAsia="宋体" w:cs="宋体"/>
                <w:sz w:val="21"/>
                <w:szCs w:val="21"/>
                <w:highlight w:val="none"/>
                <w:lang w:eastAsia="zh-Hans"/>
              </w:rPr>
              <w:t>导出</w:t>
            </w:r>
            <w:r>
              <w:rPr>
                <w:rFonts w:hint="eastAsia" w:ascii="宋体" w:hAnsi="宋体" w:eastAsia="宋体" w:cs="宋体"/>
                <w:sz w:val="21"/>
                <w:szCs w:val="21"/>
                <w:highlight w:val="none"/>
              </w:rPr>
              <w:t>需要</w:t>
            </w:r>
            <w:r>
              <w:rPr>
                <w:rFonts w:hint="eastAsia" w:ascii="宋体" w:hAnsi="宋体" w:eastAsia="宋体" w:cs="宋体"/>
                <w:sz w:val="21"/>
                <w:szCs w:val="21"/>
                <w:highlight w:val="none"/>
                <w:lang w:eastAsia="zh-Hans"/>
              </w:rPr>
              <w:t>记录列表字段包括：类型、名称、数据条数、创建时间、生成进度、生成排队、状态。</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3.</w:t>
            </w:r>
            <w:r>
              <w:rPr>
                <w:rFonts w:hint="eastAsia" w:ascii="宋体" w:hAnsi="宋体" w:eastAsia="宋体" w:cs="宋体"/>
                <w:sz w:val="21"/>
                <w:szCs w:val="21"/>
                <w:highlight w:val="none"/>
                <w:lang w:eastAsia="zh-Hans"/>
              </w:rPr>
              <w:t>下载</w:t>
            </w:r>
            <w:r>
              <w:rPr>
                <w:rFonts w:hint="eastAsia" w:ascii="宋体" w:hAnsi="宋体" w:eastAsia="宋体" w:cs="宋体"/>
                <w:sz w:val="21"/>
                <w:szCs w:val="21"/>
                <w:highlight w:val="none"/>
              </w:rPr>
              <w:t>需要支持</w:t>
            </w:r>
            <w:r>
              <w:rPr>
                <w:rFonts w:hint="eastAsia" w:ascii="宋体" w:hAnsi="宋体" w:eastAsia="宋体" w:cs="宋体"/>
                <w:sz w:val="21"/>
                <w:szCs w:val="21"/>
                <w:highlight w:val="none"/>
                <w:lang w:eastAsia="zh-Hans"/>
              </w:rPr>
              <w:t>列表字段包括：类型、名称、数据条数、创建时间、状态、下载次数、操作。</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4.</w:t>
            </w:r>
            <w:r>
              <w:rPr>
                <w:rFonts w:hint="eastAsia" w:ascii="宋体" w:hAnsi="宋体" w:eastAsia="宋体" w:cs="宋体"/>
                <w:sz w:val="21"/>
                <w:szCs w:val="21"/>
                <w:highlight w:val="none"/>
                <w:lang w:eastAsia="zh-Hans"/>
              </w:rPr>
              <w:t>支持按照类型、时间搜索。</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导入任务中心</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1.</w:t>
            </w:r>
            <w:r>
              <w:rPr>
                <w:rFonts w:hint="eastAsia" w:ascii="宋体" w:hAnsi="宋体" w:eastAsia="宋体" w:cs="宋体"/>
                <w:sz w:val="21"/>
                <w:szCs w:val="21"/>
                <w:highlight w:val="none"/>
              </w:rPr>
              <w:t>执行</w:t>
            </w:r>
            <w:r>
              <w:rPr>
                <w:rFonts w:hint="eastAsia" w:ascii="宋体" w:hAnsi="宋体" w:eastAsia="宋体" w:cs="宋体"/>
                <w:sz w:val="21"/>
                <w:szCs w:val="21"/>
                <w:highlight w:val="none"/>
                <w:lang w:eastAsia="zh-Hans"/>
              </w:rPr>
              <w:t>人像数据导入</w:t>
            </w:r>
            <w:r>
              <w:rPr>
                <w:rFonts w:hint="eastAsia" w:ascii="宋体" w:hAnsi="宋体" w:eastAsia="宋体" w:cs="宋体"/>
                <w:sz w:val="21"/>
                <w:szCs w:val="21"/>
                <w:highlight w:val="none"/>
              </w:rPr>
              <w:t>任务后</w:t>
            </w:r>
            <w:r>
              <w:rPr>
                <w:rFonts w:hint="eastAsia" w:ascii="宋体" w:hAnsi="宋体" w:eastAsia="宋体" w:cs="宋体"/>
                <w:sz w:val="21"/>
                <w:szCs w:val="21"/>
                <w:highlight w:val="none"/>
                <w:lang w:eastAsia="zh-Hans"/>
              </w:rPr>
              <w:t>，导入进度与结果会进入导入任务页面进行执行、记录、展示。</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CN"/>
              </w:rPr>
            </w:pPr>
            <w:r>
              <w:rPr>
                <w:rFonts w:hint="eastAsia" w:cs="宋体"/>
                <w:sz w:val="21"/>
                <w:szCs w:val="21"/>
                <w:highlight w:val="none"/>
                <w:lang w:val="en-US" w:eastAsia="zh-CN"/>
              </w:rPr>
              <w:t>2.</w:t>
            </w:r>
            <w:r>
              <w:rPr>
                <w:rFonts w:hint="eastAsia" w:ascii="宋体" w:hAnsi="宋体" w:eastAsia="宋体" w:cs="宋体"/>
                <w:sz w:val="21"/>
                <w:szCs w:val="21"/>
                <w:highlight w:val="none"/>
                <w:lang w:eastAsia="zh-Hans"/>
              </w:rPr>
              <w:t>导入中</w:t>
            </w:r>
            <w:r>
              <w:rPr>
                <w:rFonts w:hint="eastAsia" w:ascii="宋体" w:hAnsi="宋体" w:eastAsia="宋体" w:cs="宋体"/>
                <w:sz w:val="21"/>
                <w:szCs w:val="21"/>
                <w:highlight w:val="none"/>
              </w:rPr>
              <w:t>需要</w:t>
            </w:r>
            <w:r>
              <w:rPr>
                <w:rFonts w:hint="eastAsia" w:ascii="宋体" w:hAnsi="宋体" w:eastAsia="宋体" w:cs="宋体"/>
                <w:sz w:val="21"/>
                <w:szCs w:val="21"/>
                <w:highlight w:val="none"/>
                <w:lang w:eastAsia="zh-Hans"/>
              </w:rPr>
              <w:t>记录列表字段包括</w:t>
            </w:r>
            <w:r>
              <w:rPr>
                <w:rFonts w:hint="eastAsia" w:ascii="宋体" w:hAnsi="宋体" w:eastAsia="宋体" w:cs="宋体"/>
                <w:sz w:val="21"/>
                <w:szCs w:val="21"/>
                <w:highlight w:val="none"/>
              </w:rPr>
              <w:t>不限于</w:t>
            </w:r>
            <w:r>
              <w:rPr>
                <w:rFonts w:hint="eastAsia" w:ascii="宋体" w:hAnsi="宋体" w:eastAsia="宋体" w:cs="宋体"/>
                <w:sz w:val="21"/>
                <w:szCs w:val="21"/>
                <w:highlight w:val="none"/>
                <w:lang w:eastAsia="zh-Hans"/>
              </w:rPr>
              <w:t>：类型、名称、创建时间、生成进度、导入排队、状态</w:t>
            </w:r>
            <w:r>
              <w:rPr>
                <w:rFonts w:hint="eastAsia" w:cs="宋体"/>
                <w:sz w:val="21"/>
                <w:szCs w:val="21"/>
                <w:highlight w:val="none"/>
                <w:lang w:eastAsia="zh-CN"/>
              </w:rPr>
              <w:t>。</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3.</w:t>
            </w:r>
            <w:r>
              <w:rPr>
                <w:rFonts w:hint="eastAsia" w:ascii="宋体" w:hAnsi="宋体" w:eastAsia="宋体" w:cs="宋体"/>
                <w:sz w:val="21"/>
                <w:szCs w:val="21"/>
                <w:highlight w:val="none"/>
                <w:lang w:eastAsia="zh-Hans"/>
              </w:rPr>
              <w:t>导入完成</w:t>
            </w:r>
            <w:r>
              <w:rPr>
                <w:rFonts w:hint="eastAsia" w:ascii="宋体" w:hAnsi="宋体" w:eastAsia="宋体" w:cs="宋体"/>
                <w:sz w:val="21"/>
                <w:szCs w:val="21"/>
                <w:highlight w:val="none"/>
              </w:rPr>
              <w:t>需记录</w:t>
            </w:r>
            <w:r>
              <w:rPr>
                <w:rFonts w:hint="eastAsia" w:ascii="宋体" w:hAnsi="宋体" w:eastAsia="宋体" w:cs="宋体"/>
                <w:sz w:val="21"/>
                <w:szCs w:val="21"/>
                <w:highlight w:val="none"/>
                <w:lang w:eastAsia="zh-Hans"/>
              </w:rPr>
              <w:t>类型、名称、创建时间、导入数据、导入成功、导入失败、状态、下载次数、</w:t>
            </w:r>
            <w:r>
              <w:rPr>
                <w:rFonts w:hint="eastAsia" w:ascii="宋体" w:hAnsi="宋体" w:eastAsia="宋体" w:cs="宋体"/>
                <w:sz w:val="21"/>
                <w:szCs w:val="21"/>
                <w:highlight w:val="none"/>
              </w:rPr>
              <w:t>核验状态、操作。</w:t>
            </w:r>
          </w:p>
        </w:tc>
      </w:tr>
      <w:tr>
        <w:tblPrEx>
          <w:tblLayout w:type="fixed"/>
          <w:tblCellMar>
            <w:top w:w="15" w:type="dxa"/>
            <w:left w:w="15" w:type="dxa"/>
            <w:bottom w:w="15" w:type="dxa"/>
            <w:right w:w="15" w:type="dxa"/>
          </w:tblCellMar>
        </w:tblPrEx>
        <w:trPr>
          <w:trHeight w:val="90" w:hRule="atLeast"/>
        </w:trPr>
        <w:tc>
          <w:tcPr>
            <w:tcW w:w="1139"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安全设置</w:t>
            </w: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综合管理配置</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1.</w:t>
            </w:r>
            <w:r>
              <w:rPr>
                <w:rFonts w:hint="eastAsia" w:ascii="宋体" w:hAnsi="宋体" w:eastAsia="宋体" w:cs="宋体"/>
                <w:sz w:val="21"/>
                <w:szCs w:val="21"/>
                <w:highlight w:val="none"/>
              </w:rPr>
              <w:t>账号登录配置：设置账号登录超时、同时登录人数限制、登录踢人策略等。保障账号登录的安全性。</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2.</w:t>
            </w:r>
            <w:r>
              <w:rPr>
                <w:rFonts w:hint="eastAsia" w:ascii="宋体" w:hAnsi="宋体" w:eastAsia="宋体" w:cs="宋体"/>
                <w:sz w:val="21"/>
                <w:szCs w:val="21"/>
                <w:highlight w:val="none"/>
              </w:rPr>
              <w:t>短信平台配置：系统支持短信平台绑定，绑定短信平台的账号、密码经过脱敏加密处理。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3.</w:t>
            </w:r>
            <w:r>
              <w:rPr>
                <w:rFonts w:hint="eastAsia" w:ascii="宋体" w:hAnsi="宋体" w:eastAsia="宋体" w:cs="宋体"/>
                <w:sz w:val="21"/>
                <w:szCs w:val="21"/>
                <w:highlight w:val="none"/>
              </w:rPr>
              <w:t>IP白名单管理</w:t>
            </w:r>
            <w:r>
              <w:rPr>
                <w:rFonts w:hint="eastAsia" w:cs="宋体"/>
                <w:sz w:val="21"/>
                <w:szCs w:val="21"/>
                <w:highlight w:val="none"/>
                <w:lang w:eastAsia="zh-CN"/>
              </w:rPr>
              <w:t>：</w:t>
            </w:r>
            <w:r>
              <w:rPr>
                <w:rFonts w:hint="eastAsia" w:ascii="宋体" w:hAnsi="宋体" w:eastAsia="宋体" w:cs="宋体"/>
                <w:sz w:val="21"/>
                <w:szCs w:val="21"/>
                <w:highlight w:val="none"/>
              </w:rPr>
              <w:t>可设置访问的IP名单。</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4.</w:t>
            </w:r>
            <w:r>
              <w:rPr>
                <w:rFonts w:hint="eastAsia" w:ascii="宋体" w:hAnsi="宋体" w:eastAsia="宋体" w:cs="宋体"/>
                <w:sz w:val="21"/>
                <w:szCs w:val="21"/>
                <w:highlight w:val="none"/>
              </w:rPr>
              <w:t>修改账户名管理：支持绑定指定手机号进行修改用户名控制，只有通过绑定手机号验证后才允许修改用户名。</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5.</w:t>
            </w:r>
            <w:r>
              <w:rPr>
                <w:rFonts w:hint="eastAsia" w:ascii="宋体" w:hAnsi="宋体" w:eastAsia="宋体" w:cs="宋体"/>
                <w:sz w:val="21"/>
                <w:szCs w:val="21"/>
                <w:highlight w:val="none"/>
              </w:rPr>
              <w:t>手机验证码登录：支持开启或管理手机验证码登录。</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6.</w:t>
            </w:r>
            <w:r>
              <w:rPr>
                <w:rFonts w:hint="eastAsia" w:ascii="宋体" w:hAnsi="宋体" w:eastAsia="宋体" w:cs="宋体"/>
                <w:sz w:val="21"/>
                <w:szCs w:val="21"/>
                <w:highlight w:val="none"/>
              </w:rPr>
              <w:t>密码安全配置</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超时未修改密码提醒开启与关闭。</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7.</w:t>
            </w:r>
            <w:r>
              <w:rPr>
                <w:rFonts w:hint="eastAsia" w:ascii="宋体" w:hAnsi="宋体" w:eastAsia="宋体" w:cs="宋体"/>
                <w:sz w:val="21"/>
                <w:szCs w:val="21"/>
                <w:highlight w:val="none"/>
              </w:rPr>
              <w:t>钉钉参数配置</w:t>
            </w:r>
            <w:r>
              <w:rPr>
                <w:rFonts w:hint="eastAsia" w:ascii="宋体" w:hAnsi="宋体" w:eastAsia="宋体" w:cs="宋体"/>
                <w:sz w:val="21"/>
                <w:szCs w:val="21"/>
                <w:highlight w:val="none"/>
                <w:lang w:eastAsia="zh-Hans"/>
              </w:rPr>
              <w:t>及</w:t>
            </w:r>
            <w:r>
              <w:rPr>
                <w:rFonts w:hint="eastAsia" w:ascii="宋体" w:hAnsi="宋体" w:eastAsia="宋体" w:cs="宋体"/>
                <w:sz w:val="21"/>
                <w:szCs w:val="21"/>
                <w:highlight w:val="none"/>
              </w:rPr>
              <w:t>微信参数配置</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在钉钉或企业微信中挂载移动端采集入口的应用信息。</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8.</w:t>
            </w:r>
            <w:r>
              <w:rPr>
                <w:rFonts w:hint="eastAsia" w:ascii="宋体" w:hAnsi="宋体" w:eastAsia="宋体" w:cs="宋体"/>
                <w:sz w:val="21"/>
                <w:szCs w:val="21"/>
                <w:highlight w:val="none"/>
              </w:rPr>
              <w:t>IP黑名单管理：可对同一个IP在一定时间内访问页面次数进行限制管理。 支持IP锁定解锁等操作。</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9.</w:t>
            </w:r>
            <w:r>
              <w:rPr>
                <w:rFonts w:hint="eastAsia" w:ascii="宋体" w:hAnsi="宋体" w:eastAsia="宋体" w:cs="宋体"/>
                <w:sz w:val="21"/>
                <w:szCs w:val="21"/>
                <w:highlight w:val="none"/>
              </w:rPr>
              <w:t>数据脱敏配置：对手机号、身份证号的导出可通过配置实现敏感信息的数据脱敏。</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eastAsia="zh-Hans"/>
              </w:rPr>
              <w:t>账号黑名单管理</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ascii="宋体" w:hAnsi="宋体" w:eastAsia="宋体" w:cs="宋体"/>
                <w:sz w:val="21"/>
                <w:szCs w:val="21"/>
                <w:highlight w:val="none"/>
              </w:rPr>
              <w:t>账号黑名单管理：可对账号连续登入错误次数进行设置，对账号进行禁止登录锁定时间设置，支持管理对账号进行加入及解除。</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eastAsia="zh-Hans"/>
              </w:rPr>
            </w:pPr>
            <w:r>
              <w:rPr>
                <w:rFonts w:hint="eastAsia" w:ascii="宋体" w:hAnsi="宋体" w:eastAsia="宋体" w:cs="宋体"/>
                <w:sz w:val="21"/>
                <w:szCs w:val="21"/>
                <w:highlight w:val="none"/>
                <w:lang w:eastAsia="zh-Hans"/>
              </w:rPr>
              <w:t>IP黑名单管理</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可对同一个IP在一定时间内访问页面次数进行限制管理。支持IP锁定解锁等操作。</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eastAsia="zh-Hans"/>
              </w:rPr>
              <w:t>泄漏提醒</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当发生个人信息泄漏时，可导入人员名单，并编辑消息内容，提醒当事人。</w:t>
            </w:r>
          </w:p>
        </w:tc>
      </w:tr>
      <w:tr>
        <w:tblPrEx>
          <w:tblLayout w:type="fixed"/>
          <w:tblCellMar>
            <w:top w:w="15" w:type="dxa"/>
            <w:left w:w="15" w:type="dxa"/>
            <w:bottom w:w="15" w:type="dxa"/>
            <w:right w:w="15" w:type="dxa"/>
          </w:tblCellMar>
        </w:tblPrEx>
        <w:trPr>
          <w:trHeight w:val="90" w:hRule="atLeast"/>
        </w:trPr>
        <w:tc>
          <w:tcPr>
            <w:tcW w:w="1139"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日志管理</w:t>
            </w: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登录日志</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ascii="宋体" w:hAnsi="宋体" w:eastAsia="宋体" w:cs="宋体"/>
                <w:sz w:val="21"/>
                <w:szCs w:val="21"/>
                <w:highlight w:val="none"/>
              </w:rPr>
              <w:t>可对系统的登录日志进行搜索</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导出等操作，可查看用户的登录系统情况。日志内容被篡改，则不显示该日志。</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系统日志</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可对系统的操作日志进行搜索</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导出等操作，查看详细，等操作，可查看用户在系统的操作情况。日志内容被篡改，则不显示该日志。</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业务日志</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可对系统的业务日志进行搜索</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导出等操作</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可查看系统的业务情况。日志内容被篡改，则不显示该日志。</w:t>
            </w:r>
          </w:p>
        </w:tc>
      </w:tr>
      <w:tr>
        <w:tblPrEx>
          <w:tblLayout w:type="fixed"/>
          <w:tblCellMar>
            <w:top w:w="15" w:type="dxa"/>
            <w:left w:w="15" w:type="dxa"/>
            <w:bottom w:w="15" w:type="dxa"/>
            <w:right w:w="15" w:type="dxa"/>
          </w:tblCellMar>
        </w:tblPrEx>
        <w:trPr>
          <w:trHeight w:val="90" w:hRule="atLeast"/>
        </w:trPr>
        <w:tc>
          <w:tcPr>
            <w:tcW w:w="1139"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用户管理</w:t>
            </w:r>
          </w:p>
        </w:tc>
        <w:tc>
          <w:tcPr>
            <w:tcW w:w="1140"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部门管理</w:t>
            </w:r>
          </w:p>
        </w:tc>
        <w:tc>
          <w:tcPr>
            <w:tcW w:w="7163"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1.</w:t>
            </w:r>
            <w:r>
              <w:rPr>
                <w:rFonts w:hint="eastAsia" w:ascii="宋体" w:hAnsi="宋体" w:eastAsia="宋体" w:cs="宋体"/>
                <w:sz w:val="21"/>
                <w:szCs w:val="21"/>
                <w:highlight w:val="none"/>
              </w:rPr>
              <w:t>可对部门进行分类筛选搜索，按名称、状态搜索展示，新增部门修改部门信息，展开\折叠。编辑部门，删除等功能。</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2.</w:t>
            </w:r>
            <w:r>
              <w:rPr>
                <w:rFonts w:hint="eastAsia" w:ascii="宋体" w:hAnsi="宋体" w:eastAsia="宋体" w:cs="宋体"/>
                <w:sz w:val="21"/>
                <w:szCs w:val="21"/>
                <w:highlight w:val="none"/>
              </w:rPr>
              <w:t>新增主/子部门：点击新增按钮，填写好相关部门信息点击确定新增即可。</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3.</w:t>
            </w:r>
            <w:r>
              <w:rPr>
                <w:rFonts w:hint="eastAsia" w:ascii="宋体" w:hAnsi="宋体" w:eastAsia="宋体" w:cs="宋体"/>
                <w:sz w:val="21"/>
                <w:szCs w:val="21"/>
                <w:highlight w:val="none"/>
              </w:rPr>
              <w:t>修改部门：选中需要修改的部门，修改部门相关信息点击确定修改即可。</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4.</w:t>
            </w:r>
            <w:r>
              <w:rPr>
                <w:rFonts w:hint="eastAsia" w:ascii="宋体" w:hAnsi="宋体" w:eastAsia="宋体" w:cs="宋体"/>
                <w:sz w:val="21"/>
                <w:szCs w:val="21"/>
                <w:highlight w:val="none"/>
              </w:rPr>
              <w:t>编辑部门：点击部门后方编辑，编辑好相关信息点击确定即可。</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5.</w:t>
            </w:r>
            <w:r>
              <w:rPr>
                <w:rFonts w:hint="eastAsia" w:ascii="宋体" w:hAnsi="宋体" w:eastAsia="宋体" w:cs="宋体"/>
                <w:sz w:val="21"/>
                <w:szCs w:val="21"/>
                <w:highlight w:val="none"/>
              </w:rPr>
              <w:t>删除部门：选中需要删除部门点击删除部门确定删除即可。</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用户管理</w:t>
            </w:r>
          </w:p>
        </w:tc>
        <w:tc>
          <w:tcPr>
            <w:tcW w:w="7163"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1.</w:t>
            </w:r>
            <w:r>
              <w:rPr>
                <w:rFonts w:hint="eastAsia" w:ascii="宋体" w:hAnsi="宋体" w:eastAsia="宋体" w:cs="宋体"/>
                <w:sz w:val="21"/>
                <w:szCs w:val="21"/>
                <w:highlight w:val="none"/>
                <w:lang w:eastAsia="zh-Hans"/>
              </w:rPr>
              <w:t>支持对</w:t>
            </w:r>
            <w:r>
              <w:rPr>
                <w:rFonts w:hint="eastAsia" w:ascii="宋体" w:hAnsi="宋体" w:eastAsia="宋体" w:cs="宋体"/>
                <w:sz w:val="21"/>
                <w:szCs w:val="21"/>
                <w:highlight w:val="none"/>
              </w:rPr>
              <w:t>组织机构人员数据</w:t>
            </w:r>
            <w:r>
              <w:rPr>
                <w:rFonts w:hint="eastAsia" w:ascii="宋体" w:hAnsi="宋体" w:eastAsia="宋体" w:cs="宋体"/>
                <w:sz w:val="21"/>
                <w:szCs w:val="21"/>
                <w:highlight w:val="none"/>
                <w:lang w:eastAsia="zh-Hans"/>
              </w:rPr>
              <w:t>进行管理，支持对人员信息的增删改查管理</w:t>
            </w:r>
            <w:r>
              <w:rPr>
                <w:rFonts w:hint="eastAsia" w:ascii="宋体" w:hAnsi="宋体" w:eastAsia="宋体" w:cs="宋体"/>
                <w:sz w:val="21"/>
                <w:szCs w:val="21"/>
                <w:highlight w:val="none"/>
              </w:rPr>
              <w:t>。</w:t>
            </w:r>
            <w:r>
              <w:rPr>
                <w:rFonts w:hint="eastAsia" w:ascii="宋体" w:hAnsi="宋体" w:eastAsia="宋体" w:cs="宋体"/>
                <w:sz w:val="21"/>
                <w:szCs w:val="21"/>
                <w:highlight w:val="none"/>
              </w:rPr>
              <w:br w:type="textWrapping"/>
            </w:r>
            <w:r>
              <w:rPr>
                <w:rFonts w:hint="eastAsia" w:cs="宋体"/>
                <w:sz w:val="21"/>
                <w:szCs w:val="21"/>
                <w:highlight w:val="none"/>
                <w:lang w:val="en-US" w:eastAsia="zh-CN"/>
              </w:rPr>
              <w:t>2.</w:t>
            </w:r>
            <w:r>
              <w:rPr>
                <w:rFonts w:hint="eastAsia" w:ascii="宋体" w:hAnsi="宋体" w:eastAsia="宋体" w:cs="宋体"/>
                <w:sz w:val="21"/>
                <w:szCs w:val="21"/>
                <w:highlight w:val="none"/>
                <w:lang w:eastAsia="zh-Hans"/>
              </w:rPr>
              <w:t>建设功能包括但不限于：用户搜索：支持</w:t>
            </w:r>
            <w:r>
              <w:rPr>
                <w:rFonts w:hint="eastAsia" w:ascii="宋体" w:hAnsi="宋体" w:eastAsia="宋体" w:cs="宋体"/>
                <w:sz w:val="21"/>
                <w:szCs w:val="21"/>
                <w:highlight w:val="none"/>
              </w:rPr>
              <w:t>学工号/姓名</w:t>
            </w:r>
            <w:r>
              <w:rPr>
                <w:rFonts w:hint="eastAsia" w:ascii="宋体" w:hAnsi="宋体" w:eastAsia="宋体" w:cs="宋体"/>
                <w:sz w:val="21"/>
                <w:szCs w:val="21"/>
                <w:highlight w:val="none"/>
                <w:lang w:eastAsia="zh-Hans"/>
              </w:rPr>
              <w:t>、数据来源、人员类型搜索。</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3.</w:t>
            </w:r>
            <w:r>
              <w:rPr>
                <w:rFonts w:hint="eastAsia" w:ascii="宋体" w:hAnsi="宋体" w:eastAsia="宋体" w:cs="宋体"/>
                <w:sz w:val="21"/>
                <w:szCs w:val="21"/>
                <w:highlight w:val="none"/>
                <w:lang w:eastAsia="zh-Hans"/>
              </w:rPr>
              <w:t>新增用户：输入：</w:t>
            </w:r>
            <w:r>
              <w:rPr>
                <w:rFonts w:hint="eastAsia" w:ascii="宋体" w:hAnsi="宋体" w:eastAsia="宋体" w:cs="宋体"/>
                <w:sz w:val="21"/>
                <w:szCs w:val="21"/>
                <w:highlight w:val="none"/>
              </w:rPr>
              <w:t>登录</w:t>
            </w:r>
            <w:r>
              <w:rPr>
                <w:rFonts w:hint="eastAsia" w:ascii="宋体" w:hAnsi="宋体" w:eastAsia="宋体" w:cs="宋体"/>
                <w:sz w:val="21"/>
                <w:szCs w:val="21"/>
                <w:highlight w:val="none"/>
                <w:lang w:eastAsia="zh-Hans"/>
              </w:rPr>
              <w:t>账号、用户名称、归属部门、</w:t>
            </w:r>
            <w:r>
              <w:rPr>
                <w:rFonts w:hint="eastAsia" w:ascii="宋体" w:hAnsi="宋体" w:eastAsia="宋体" w:cs="宋体"/>
                <w:sz w:val="21"/>
                <w:szCs w:val="21"/>
                <w:highlight w:val="none"/>
              </w:rPr>
              <w:t>用户</w:t>
            </w:r>
            <w:r>
              <w:rPr>
                <w:rFonts w:hint="eastAsia" w:ascii="宋体" w:hAnsi="宋体" w:eastAsia="宋体" w:cs="宋体"/>
                <w:sz w:val="21"/>
                <w:szCs w:val="21"/>
                <w:highlight w:val="none"/>
                <w:lang w:eastAsia="zh-Hans"/>
              </w:rPr>
              <w:t>性别、手机号</w:t>
            </w:r>
            <w:r>
              <w:rPr>
                <w:rFonts w:hint="eastAsia" w:ascii="宋体" w:hAnsi="宋体" w:eastAsia="宋体" w:cs="宋体"/>
                <w:sz w:val="21"/>
                <w:szCs w:val="21"/>
                <w:highlight w:val="none"/>
              </w:rPr>
              <w:t>码</w:t>
            </w:r>
            <w:r>
              <w:rPr>
                <w:rFonts w:hint="eastAsia" w:ascii="宋体" w:hAnsi="宋体" w:eastAsia="宋体" w:cs="宋体"/>
                <w:sz w:val="21"/>
                <w:szCs w:val="21"/>
                <w:highlight w:val="none"/>
                <w:lang w:eastAsia="zh-Hans"/>
              </w:rPr>
              <w:t>、</w:t>
            </w:r>
            <w:r>
              <w:rPr>
                <w:rFonts w:hint="eastAsia" w:cs="宋体"/>
                <w:sz w:val="21"/>
                <w:szCs w:val="21"/>
                <w:highlight w:val="none"/>
                <w:lang w:val="en-US" w:eastAsia="zh-CN"/>
              </w:rPr>
              <w:t>4.</w:t>
            </w:r>
            <w:r>
              <w:rPr>
                <w:rFonts w:hint="eastAsia" w:ascii="宋体" w:hAnsi="宋体" w:eastAsia="宋体" w:cs="宋体"/>
                <w:sz w:val="21"/>
                <w:szCs w:val="21"/>
                <w:highlight w:val="none"/>
                <w:lang w:eastAsia="zh-Hans"/>
              </w:rPr>
              <w:t>邮箱、人员类型、</w:t>
            </w:r>
            <w:r>
              <w:rPr>
                <w:rFonts w:hint="eastAsia" w:ascii="宋体" w:hAnsi="宋体" w:eastAsia="宋体" w:cs="宋体"/>
                <w:sz w:val="21"/>
                <w:szCs w:val="21"/>
                <w:highlight w:val="none"/>
              </w:rPr>
              <w:t>证件类型、</w:t>
            </w:r>
            <w:r>
              <w:rPr>
                <w:rFonts w:hint="eastAsia" w:ascii="宋体" w:hAnsi="宋体" w:eastAsia="宋体" w:cs="宋体"/>
                <w:sz w:val="21"/>
                <w:szCs w:val="21"/>
                <w:highlight w:val="none"/>
                <w:lang w:eastAsia="zh-Hans"/>
              </w:rPr>
              <w:t>身份证号、登录密码、用户状态、备注。</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5.</w:t>
            </w:r>
            <w:r>
              <w:rPr>
                <w:rFonts w:hint="eastAsia" w:ascii="宋体" w:hAnsi="宋体" w:eastAsia="宋体" w:cs="宋体"/>
                <w:sz w:val="21"/>
                <w:szCs w:val="21"/>
                <w:highlight w:val="none"/>
                <w:lang w:eastAsia="zh-Hans"/>
              </w:rPr>
              <w:t>编辑用户：选择人员数据点击编辑按钮，可对用户的 账号、用户名称、归属部门、</w:t>
            </w:r>
            <w:r>
              <w:rPr>
                <w:rFonts w:hint="eastAsia" w:ascii="宋体" w:hAnsi="宋体" w:eastAsia="宋体" w:cs="宋体"/>
                <w:sz w:val="21"/>
                <w:szCs w:val="21"/>
                <w:highlight w:val="none"/>
              </w:rPr>
              <w:t>用户</w:t>
            </w:r>
            <w:r>
              <w:rPr>
                <w:rFonts w:hint="eastAsia" w:ascii="宋体" w:hAnsi="宋体" w:eastAsia="宋体" w:cs="宋体"/>
                <w:sz w:val="21"/>
                <w:szCs w:val="21"/>
                <w:highlight w:val="none"/>
                <w:lang w:eastAsia="zh-Hans"/>
              </w:rPr>
              <w:t>性别、人员类型、手机号</w:t>
            </w:r>
            <w:r>
              <w:rPr>
                <w:rFonts w:hint="eastAsia" w:ascii="宋体" w:hAnsi="宋体" w:eastAsia="宋体" w:cs="宋体"/>
                <w:sz w:val="21"/>
                <w:szCs w:val="21"/>
                <w:highlight w:val="none"/>
              </w:rPr>
              <w:t>码</w:t>
            </w:r>
            <w:r>
              <w:rPr>
                <w:rFonts w:hint="eastAsia" w:ascii="宋体" w:hAnsi="宋体" w:eastAsia="宋体" w:cs="宋体"/>
                <w:sz w:val="21"/>
                <w:szCs w:val="21"/>
                <w:highlight w:val="none"/>
                <w:lang w:eastAsia="zh-Hans"/>
              </w:rPr>
              <w:t>、邮箱、</w:t>
            </w:r>
            <w:r>
              <w:rPr>
                <w:rFonts w:hint="eastAsia" w:ascii="宋体" w:hAnsi="宋体" w:eastAsia="宋体" w:cs="宋体"/>
                <w:sz w:val="21"/>
                <w:szCs w:val="21"/>
                <w:highlight w:val="none"/>
              </w:rPr>
              <w:t>证件类型、用户状态、</w:t>
            </w:r>
            <w:r>
              <w:rPr>
                <w:rFonts w:hint="eastAsia" w:ascii="宋体" w:hAnsi="宋体" w:eastAsia="宋体" w:cs="宋体"/>
                <w:sz w:val="21"/>
                <w:szCs w:val="21"/>
                <w:highlight w:val="none"/>
                <w:lang w:eastAsia="zh-Hans"/>
              </w:rPr>
              <w:t>人员类型、身份证号、登录密码、用户状态、备注等信息进行修改。</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6.</w:t>
            </w:r>
            <w:r>
              <w:rPr>
                <w:rFonts w:hint="eastAsia" w:ascii="宋体" w:hAnsi="宋体" w:eastAsia="宋体" w:cs="宋体"/>
                <w:sz w:val="21"/>
                <w:szCs w:val="21"/>
                <w:highlight w:val="none"/>
              </w:rPr>
              <w:t>可以对用户数据的模板导入与导出。</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角色管理</w:t>
            </w:r>
          </w:p>
        </w:tc>
        <w:tc>
          <w:tcPr>
            <w:tcW w:w="7163"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1.</w:t>
            </w:r>
            <w:r>
              <w:rPr>
                <w:rFonts w:hint="eastAsia" w:ascii="宋体" w:hAnsi="宋体" w:eastAsia="宋体" w:cs="宋体"/>
                <w:sz w:val="21"/>
                <w:szCs w:val="21"/>
                <w:highlight w:val="none"/>
                <w:lang w:eastAsia="zh-Hans"/>
              </w:rPr>
              <w:t>系统支持对角色的功能权限、数据权限进行管理。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2.</w:t>
            </w:r>
            <w:r>
              <w:rPr>
                <w:rFonts w:hint="eastAsia" w:ascii="宋体" w:hAnsi="宋体" w:eastAsia="宋体" w:cs="宋体"/>
                <w:sz w:val="21"/>
                <w:szCs w:val="21"/>
                <w:highlight w:val="none"/>
              </w:rPr>
              <w:t>可对</w:t>
            </w:r>
            <w:r>
              <w:rPr>
                <w:rFonts w:hint="eastAsia" w:ascii="宋体" w:hAnsi="宋体" w:eastAsia="宋体" w:cs="宋体"/>
                <w:sz w:val="21"/>
                <w:szCs w:val="21"/>
                <w:highlight w:val="none"/>
                <w:lang w:eastAsia="zh-Hans"/>
              </w:rPr>
              <w:t>后台</w:t>
            </w:r>
            <w:r>
              <w:rPr>
                <w:rFonts w:hint="eastAsia" w:ascii="宋体" w:hAnsi="宋体" w:eastAsia="宋体" w:cs="宋体"/>
                <w:sz w:val="21"/>
                <w:szCs w:val="21"/>
                <w:highlight w:val="none"/>
              </w:rPr>
              <w:t>操作权限进行配置</w:t>
            </w:r>
            <w:r>
              <w:rPr>
                <w:rFonts w:hint="eastAsia" w:ascii="宋体" w:hAnsi="宋体" w:eastAsia="宋体" w:cs="宋体"/>
                <w:sz w:val="21"/>
                <w:szCs w:val="21"/>
                <w:highlight w:val="none"/>
                <w:lang w:eastAsia="zh-Hans"/>
              </w:rPr>
              <w:t>。</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3.</w:t>
            </w:r>
            <w:r>
              <w:rPr>
                <w:rFonts w:hint="eastAsia" w:ascii="宋体" w:hAnsi="宋体" w:eastAsia="宋体" w:cs="宋体"/>
                <w:sz w:val="21"/>
                <w:szCs w:val="21"/>
                <w:highlight w:val="none"/>
                <w:lang w:eastAsia="zh-Hans"/>
              </w:rPr>
              <w:t>可对角色所拥有的数据权限进行设置可对角色进行搜索（角色名称、角色状态、创建时间）、新增、修改、删除等操作。</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4.</w:t>
            </w:r>
            <w:r>
              <w:rPr>
                <w:rFonts w:hint="eastAsia" w:ascii="宋体" w:hAnsi="宋体" w:eastAsia="宋体" w:cs="宋体"/>
                <w:sz w:val="21"/>
                <w:szCs w:val="21"/>
                <w:highlight w:val="none"/>
                <w:lang w:eastAsia="zh-Hans"/>
              </w:rPr>
              <w:t>可对该角色进行人员</w:t>
            </w:r>
            <w:r>
              <w:rPr>
                <w:rFonts w:hint="eastAsia" w:ascii="宋体" w:hAnsi="宋体" w:eastAsia="宋体" w:cs="宋体"/>
                <w:sz w:val="21"/>
                <w:szCs w:val="21"/>
                <w:highlight w:val="none"/>
              </w:rPr>
              <w:t>授权</w:t>
            </w:r>
            <w:r>
              <w:rPr>
                <w:rFonts w:hint="eastAsia" w:ascii="宋体" w:hAnsi="宋体" w:eastAsia="宋体" w:cs="宋体"/>
                <w:sz w:val="21"/>
                <w:szCs w:val="21"/>
                <w:highlight w:val="none"/>
                <w:lang w:eastAsia="zh-Hans"/>
              </w:rPr>
              <w:t>。</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5.</w:t>
            </w:r>
            <w:r>
              <w:rPr>
                <w:rFonts w:hint="eastAsia" w:ascii="宋体" w:hAnsi="宋体" w:eastAsia="宋体" w:cs="宋体"/>
                <w:sz w:val="21"/>
                <w:szCs w:val="21"/>
                <w:highlight w:val="none"/>
                <w:lang w:eastAsia="zh-Hans"/>
              </w:rPr>
              <w:t>可对已存在的角色进行</w:t>
            </w:r>
            <w:r>
              <w:rPr>
                <w:rFonts w:hint="eastAsia" w:ascii="宋体" w:hAnsi="宋体" w:eastAsia="宋体" w:cs="宋体"/>
                <w:sz w:val="21"/>
                <w:szCs w:val="21"/>
                <w:highlight w:val="none"/>
              </w:rPr>
              <w:t>编辑和</w:t>
            </w:r>
            <w:r>
              <w:rPr>
                <w:rFonts w:hint="eastAsia" w:ascii="宋体" w:hAnsi="宋体" w:eastAsia="宋体" w:cs="宋体"/>
                <w:sz w:val="21"/>
                <w:szCs w:val="21"/>
                <w:highlight w:val="none"/>
                <w:lang w:eastAsia="zh-Hans"/>
              </w:rPr>
              <w:t>删除操作。</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eastAsia="zh-Hans"/>
              </w:rPr>
              <w:t>用户群组</w:t>
            </w:r>
          </w:p>
        </w:tc>
        <w:tc>
          <w:tcPr>
            <w:tcW w:w="7163"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1.</w:t>
            </w:r>
            <w:r>
              <w:rPr>
                <w:rFonts w:hint="eastAsia" w:ascii="宋体" w:hAnsi="宋体" w:eastAsia="宋体" w:cs="宋体"/>
                <w:sz w:val="21"/>
                <w:szCs w:val="21"/>
                <w:highlight w:val="none"/>
                <w:lang w:eastAsia="zh-Hans"/>
              </w:rPr>
              <w:t>系统支持通过选择人员、人员类型及导入的方式进行群组创建。支持在配置算法平台以及第三方应用权限时快速选择人员。</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2.</w:t>
            </w:r>
            <w:r>
              <w:rPr>
                <w:rFonts w:hint="eastAsia" w:ascii="宋体" w:hAnsi="宋体" w:eastAsia="宋体" w:cs="宋体"/>
                <w:sz w:val="21"/>
                <w:szCs w:val="21"/>
                <w:highlight w:val="none"/>
                <w:lang w:eastAsia="zh-Hans"/>
              </w:rPr>
              <w:t>管理字段包括但不限于：用户组名称、用户组状态、备注、操作</w:t>
            </w:r>
            <w:r>
              <w:rPr>
                <w:rFonts w:hint="eastAsia" w:ascii="宋体" w:hAnsi="宋体" w:eastAsia="宋体" w:cs="宋体"/>
                <w:sz w:val="21"/>
                <w:szCs w:val="21"/>
                <w:highlight w:val="none"/>
              </w:rPr>
              <w:t>。</w:t>
            </w:r>
          </w:p>
        </w:tc>
      </w:tr>
      <w:tr>
        <w:tblPrEx>
          <w:tblLayout w:type="fixed"/>
          <w:tblCellMar>
            <w:top w:w="15" w:type="dxa"/>
            <w:left w:w="15" w:type="dxa"/>
            <w:bottom w:w="15" w:type="dxa"/>
            <w:right w:w="15" w:type="dxa"/>
          </w:tblCellMar>
        </w:tblPrEx>
        <w:trPr>
          <w:trHeight w:val="90" w:hRule="atLeast"/>
        </w:trPr>
        <w:tc>
          <w:tcPr>
            <w:tcW w:w="1139" w:type="dxa"/>
            <w:vMerge w:val="continue"/>
            <w:tcBorders>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40"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eastAsia="zh-Hans"/>
              </w:rPr>
              <w:t>菜单管理</w:t>
            </w:r>
          </w:p>
        </w:tc>
        <w:tc>
          <w:tcPr>
            <w:tcW w:w="7163"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eastAsia="zh-Hans"/>
              </w:rPr>
              <w:t>系统支持对系统菜单进行显示、排序等自定义化调整设置。</w:t>
            </w:r>
          </w:p>
        </w:tc>
      </w:tr>
      <w:tr>
        <w:tblPrEx>
          <w:tblLayout w:type="fixed"/>
          <w:tblCellMar>
            <w:top w:w="15" w:type="dxa"/>
            <w:left w:w="15" w:type="dxa"/>
            <w:bottom w:w="15" w:type="dxa"/>
            <w:right w:w="15" w:type="dxa"/>
          </w:tblCellMar>
        </w:tblPrEx>
        <w:trPr>
          <w:trHeight w:val="90" w:hRule="atLeast"/>
        </w:trPr>
        <w:tc>
          <w:tcPr>
            <w:tcW w:w="1139"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安全标准</w:t>
            </w:r>
          </w:p>
        </w:tc>
        <w:tc>
          <w:tcPr>
            <w:tcW w:w="1140"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等级保护三级角色</w:t>
            </w:r>
          </w:p>
        </w:tc>
        <w:tc>
          <w:tcPr>
            <w:tcW w:w="7163"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1.根据三级等保建设要求设置初始化角色：系统审计员、系统管理员、安全管理员、应用管理员、审计管理员。</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2.系统管理员（配置）：主要负责系统的资源和运行进行配置、控制和管理，包括用户身份、系统资源配置、系统加载和启动、系统运行的异常处理、数据和设备的备份与恢复等。</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3.审计管理员（审计）：主要负责对审计记录进行分析，并根据分析结果进行处理，包括根据安全审计策略对审计记录进行存储、管理和查询等。</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4.安全管理员（授权）：主要对系统中的安全策略进行配置，包括安全参数的设置，主体、客体进行统一安全标记，对主体进行授权，配置可信验证策略等。</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kern w:val="2"/>
                <w:sz w:val="21"/>
                <w:szCs w:val="21"/>
                <w:highlight w:val="none"/>
                <w:lang w:val="en-US" w:eastAsia="zh-CN" w:bidi="ar-SA"/>
              </w:rPr>
              <w:t>5.</w:t>
            </w:r>
            <w:r>
              <w:rPr>
                <w:rFonts w:hint="eastAsia" w:ascii="宋体" w:hAnsi="宋体" w:eastAsia="宋体" w:cs="宋体"/>
                <w:kern w:val="2"/>
                <w:sz w:val="21"/>
                <w:szCs w:val="21"/>
                <w:highlight w:val="none"/>
                <w:lang w:val="en-US" w:eastAsia="zh-CN" w:bidi="ar-SA"/>
              </w:rPr>
              <w:t>应用管理员：</w:t>
            </w:r>
            <w:r>
              <w:rPr>
                <w:rFonts w:hint="eastAsia" w:ascii="宋体" w:hAnsi="宋体" w:eastAsia="宋体" w:cs="宋体"/>
                <w:sz w:val="21"/>
                <w:szCs w:val="21"/>
                <w:highlight w:val="none"/>
              </w:rPr>
              <w:t>主要负责系统具体业务流程功能的使用。</w:t>
            </w:r>
          </w:p>
        </w:tc>
      </w:tr>
      <w:tr>
        <w:tblPrEx>
          <w:tblLayout w:type="fixed"/>
          <w:tblCellMar>
            <w:top w:w="15" w:type="dxa"/>
            <w:left w:w="15" w:type="dxa"/>
            <w:bottom w:w="15" w:type="dxa"/>
            <w:right w:w="15" w:type="dxa"/>
          </w:tblCellMar>
        </w:tblPrEx>
        <w:trPr>
          <w:trHeight w:val="90" w:hRule="atLeast"/>
        </w:trPr>
        <w:tc>
          <w:tcPr>
            <w:tcW w:w="1139" w:type="dxa"/>
            <w:tcBorders>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系统监控</w:t>
            </w:r>
          </w:p>
        </w:tc>
        <w:tc>
          <w:tcPr>
            <w:tcW w:w="1140"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系统监控</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1.</w:t>
            </w:r>
            <w:r>
              <w:rPr>
                <w:rFonts w:hint="eastAsia" w:ascii="宋体" w:hAnsi="宋体" w:eastAsia="宋体" w:cs="宋体"/>
                <w:sz w:val="21"/>
                <w:szCs w:val="21"/>
                <w:highlight w:val="none"/>
              </w:rPr>
              <w:t>在线用户监控</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对当前系统中正在使用系统的用户进行监控。支持会话编号、登录名称、部门名称、主机、登陆地点、浏览器、操作系统、会话状态、登录时间、最后访问时间历史进行等信息展示</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支持登录地址、操作人登录名称搜索及强制下线（强退）等操作。</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2.</w:t>
            </w:r>
            <w:r>
              <w:rPr>
                <w:rFonts w:hint="eastAsia" w:ascii="宋体" w:hAnsi="宋体" w:eastAsia="宋体" w:cs="宋体"/>
                <w:sz w:val="21"/>
                <w:szCs w:val="21"/>
                <w:highlight w:val="none"/>
              </w:rPr>
              <w:t>定时任务监控</w:t>
            </w:r>
            <w:r>
              <w:rPr>
                <w:rFonts w:hint="eastAsia" w:ascii="宋体" w:hAnsi="宋体" w:eastAsia="宋体" w:cs="宋体"/>
                <w:sz w:val="21"/>
                <w:szCs w:val="21"/>
                <w:highlight w:val="none"/>
                <w:lang w:eastAsia="zh-Hans"/>
              </w:rPr>
              <w:t>：支持</w:t>
            </w:r>
            <w:r>
              <w:rPr>
                <w:rFonts w:hint="eastAsia" w:ascii="宋体" w:hAnsi="宋体" w:eastAsia="宋体" w:cs="宋体"/>
                <w:sz w:val="21"/>
                <w:szCs w:val="21"/>
                <w:highlight w:val="none"/>
              </w:rPr>
              <w:t>在线添加、修改、删除</w:t>
            </w:r>
            <w:r>
              <w:rPr>
                <w:rFonts w:hint="eastAsia" w:ascii="宋体" w:hAnsi="宋体" w:eastAsia="宋体" w:cs="宋体"/>
                <w:sz w:val="21"/>
                <w:szCs w:val="21"/>
                <w:highlight w:val="none"/>
                <w:lang w:eastAsia="zh-Hans"/>
              </w:rPr>
              <w:t>定时</w:t>
            </w:r>
            <w:r>
              <w:rPr>
                <w:rFonts w:hint="eastAsia" w:ascii="宋体" w:hAnsi="宋体" w:eastAsia="宋体" w:cs="宋体"/>
                <w:sz w:val="21"/>
                <w:szCs w:val="21"/>
                <w:highlight w:val="none"/>
              </w:rPr>
              <w:t>任务</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通过调用目标字符串执行调用任务，例如新闻、公告推送等。</w:t>
            </w:r>
            <w:r>
              <w:rPr>
                <w:rFonts w:hint="eastAsia" w:ascii="宋体" w:hAnsi="宋体" w:eastAsia="宋体" w:cs="宋体"/>
                <w:sz w:val="21"/>
                <w:szCs w:val="21"/>
                <w:highlight w:val="none"/>
                <w:lang w:eastAsia="zh-Hans"/>
              </w:rPr>
              <w:t>同时记录</w:t>
            </w:r>
            <w:r>
              <w:rPr>
                <w:rFonts w:hint="eastAsia" w:ascii="宋体" w:hAnsi="宋体" w:eastAsia="宋体" w:cs="宋体"/>
                <w:sz w:val="21"/>
                <w:szCs w:val="21"/>
                <w:highlight w:val="none"/>
              </w:rPr>
              <w:t>执行结果日志</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支持</w:t>
            </w:r>
            <w:r>
              <w:rPr>
                <w:rFonts w:hint="eastAsia" w:ascii="宋体" w:hAnsi="宋体" w:eastAsia="宋体" w:cs="宋体"/>
                <w:sz w:val="21"/>
                <w:szCs w:val="21"/>
                <w:highlight w:val="none"/>
                <w:lang w:eastAsia="zh-Hans"/>
              </w:rPr>
              <w:t>日志</w:t>
            </w:r>
            <w:r>
              <w:rPr>
                <w:rFonts w:hint="eastAsia" w:ascii="宋体" w:hAnsi="宋体" w:eastAsia="宋体" w:cs="宋体"/>
                <w:sz w:val="21"/>
                <w:szCs w:val="21"/>
                <w:highlight w:val="none"/>
              </w:rPr>
              <w:t>导出，详细调用日志查看等功能。</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3.</w:t>
            </w:r>
            <w:r>
              <w:rPr>
                <w:rFonts w:hint="eastAsia" w:ascii="宋体" w:hAnsi="宋体" w:eastAsia="宋体" w:cs="宋体"/>
                <w:sz w:val="21"/>
                <w:szCs w:val="21"/>
                <w:highlight w:val="none"/>
              </w:rPr>
              <w:t>服务器监控</w:t>
            </w:r>
            <w:r>
              <w:rPr>
                <w:rFonts w:hint="eastAsia" w:ascii="宋体" w:hAnsi="宋体" w:eastAsia="宋体" w:cs="宋体"/>
                <w:sz w:val="21"/>
                <w:szCs w:val="21"/>
                <w:highlight w:val="none"/>
                <w:lang w:eastAsia="zh-Hans"/>
              </w:rPr>
              <w:t>：</w:t>
            </w:r>
            <w:r>
              <w:rPr>
                <w:rFonts w:hint="eastAsia" w:ascii="宋体" w:hAnsi="宋体" w:eastAsia="宋体" w:cs="宋体"/>
                <w:sz w:val="21"/>
                <w:szCs w:val="21"/>
                <w:highlight w:val="none"/>
              </w:rPr>
              <w:t>可对系统的服务进行随时监控，展示系统服务的详细信息。包括CPU、内存、服务器、虚拟机、磁盘监控等。</w:t>
            </w:r>
          </w:p>
        </w:tc>
      </w:tr>
      <w:tr>
        <w:tblPrEx>
          <w:tblLayout w:type="fixed"/>
          <w:tblCellMar>
            <w:top w:w="15" w:type="dxa"/>
            <w:left w:w="15" w:type="dxa"/>
            <w:bottom w:w="15" w:type="dxa"/>
            <w:right w:w="15" w:type="dxa"/>
          </w:tblCellMar>
        </w:tblPrEx>
        <w:trPr>
          <w:trHeight w:val="90" w:hRule="atLeast"/>
        </w:trPr>
        <w:tc>
          <w:tcPr>
            <w:tcW w:w="1139"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eastAsia="zh-Hans"/>
              </w:rPr>
              <w:t>帮助中心</w:t>
            </w:r>
          </w:p>
        </w:tc>
        <w:tc>
          <w:tcPr>
            <w:tcW w:w="1140"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eastAsia="zh-Hans"/>
              </w:rPr>
              <w:t>帮助中心</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eastAsia="zh-Hans"/>
              </w:rPr>
              <w:t>可通过自定义编辑实现对采集端帮助中心的内容控制管理，支持图文输入建设多帮助文档，支持按照帮助文档名称搜索。</w:t>
            </w:r>
          </w:p>
        </w:tc>
      </w:tr>
      <w:tr>
        <w:tblPrEx>
          <w:tblLayout w:type="fixed"/>
          <w:tblCellMar>
            <w:top w:w="15" w:type="dxa"/>
            <w:left w:w="15" w:type="dxa"/>
            <w:bottom w:w="15" w:type="dxa"/>
            <w:right w:w="15" w:type="dxa"/>
          </w:tblCellMar>
        </w:tblPrEx>
        <w:trPr>
          <w:trHeight w:val="471" w:hRule="atLeast"/>
        </w:trPr>
        <w:tc>
          <w:tcPr>
            <w:tcW w:w="1139"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个人中心</w:t>
            </w:r>
          </w:p>
        </w:tc>
        <w:tc>
          <w:tcPr>
            <w:tcW w:w="1140"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个人中心</w:t>
            </w:r>
          </w:p>
        </w:tc>
        <w:tc>
          <w:tcPr>
            <w:tcW w:w="71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1.</w:t>
            </w:r>
            <w:r>
              <w:rPr>
                <w:rFonts w:hint="eastAsia" w:ascii="宋体" w:hAnsi="宋体" w:eastAsia="宋体" w:cs="宋体"/>
                <w:sz w:val="21"/>
                <w:szCs w:val="21"/>
                <w:highlight w:val="none"/>
              </w:rPr>
              <w:t>个人信息：包含个人资料（头像、登录名称、手机号、所属部门、邮箱地址、创建时间）及基本资料（用户名称、手机号、邮箱、性别修改等）</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CN"/>
              </w:rPr>
            </w:pPr>
            <w:r>
              <w:rPr>
                <w:rFonts w:hint="eastAsia" w:cs="宋体"/>
                <w:sz w:val="21"/>
                <w:szCs w:val="21"/>
                <w:highlight w:val="none"/>
                <w:lang w:val="en-US" w:eastAsia="zh-CN"/>
              </w:rPr>
              <w:t>2.</w:t>
            </w:r>
            <w:r>
              <w:rPr>
                <w:rFonts w:hint="eastAsia" w:ascii="宋体" w:hAnsi="宋体" w:eastAsia="宋体" w:cs="宋体"/>
                <w:sz w:val="21"/>
                <w:szCs w:val="21"/>
                <w:highlight w:val="none"/>
              </w:rPr>
              <w:t>支持密码修改</w:t>
            </w:r>
            <w:r>
              <w:rPr>
                <w:rFonts w:hint="eastAsia" w:cs="宋体"/>
                <w:sz w:val="21"/>
                <w:szCs w:val="21"/>
                <w:highlight w:val="none"/>
                <w:lang w:eastAsia="zh-CN"/>
              </w:rPr>
              <w:t>。</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3.</w:t>
            </w:r>
            <w:r>
              <w:rPr>
                <w:rFonts w:hint="eastAsia" w:ascii="宋体" w:hAnsi="宋体" w:eastAsia="宋体" w:cs="宋体"/>
                <w:sz w:val="21"/>
                <w:szCs w:val="21"/>
                <w:highlight w:val="none"/>
              </w:rPr>
              <w:t>支持退出登录。</w:t>
            </w:r>
          </w:p>
        </w:tc>
      </w:tr>
    </w:tbl>
    <w:p>
      <w:pPr>
        <w:keepNext w:val="0"/>
        <w:keepLines w:val="0"/>
        <w:pageBreakBefore w:val="0"/>
        <w:numPr>
          <w:ilvl w:val="0"/>
          <w:numId w:val="0"/>
        </w:numPr>
        <w:kinsoku/>
        <w:wordWrap/>
        <w:overflowPunct/>
        <w:topLinePunct w:val="0"/>
        <w:autoSpaceDE/>
        <w:autoSpaceDN/>
        <w:bidi w:val="0"/>
        <w:spacing w:line="288" w:lineRule="auto"/>
        <w:ind w:right="0"/>
        <w:jc w:val="left"/>
        <w:outlineLvl w:val="9"/>
        <w:rPr>
          <w:rFonts w:hint="eastAsia" w:ascii="宋体" w:hAnsi="宋体" w:eastAsia="宋体" w:cs="宋体"/>
          <w:b/>
          <w:bCs/>
          <w:color w:val="1C1917"/>
          <w:sz w:val="21"/>
          <w:szCs w:val="21"/>
          <w:highlight w:val="none"/>
          <w:shd w:val="clear" w:color="auto" w:fill="FFFFFF"/>
        </w:rPr>
      </w:pPr>
    </w:p>
    <w:p>
      <w:pPr>
        <w:keepNext w:val="0"/>
        <w:keepLines w:val="0"/>
        <w:pageBreakBefore w:val="0"/>
        <w:numPr>
          <w:ilvl w:val="0"/>
          <w:numId w:val="0"/>
        </w:numPr>
        <w:kinsoku/>
        <w:wordWrap/>
        <w:overflowPunct/>
        <w:topLinePunct w:val="0"/>
        <w:autoSpaceDE/>
        <w:autoSpaceDN/>
        <w:bidi w:val="0"/>
        <w:spacing w:line="288" w:lineRule="auto"/>
        <w:ind w:right="0" w:rightChars="0" w:firstLine="422" w:firstLineChars="200"/>
        <w:jc w:val="left"/>
        <w:outlineLvl w:val="9"/>
        <w:rPr>
          <w:rFonts w:hint="eastAsia" w:ascii="宋体" w:hAnsi="宋体" w:eastAsia="宋体" w:cs="宋体"/>
          <w:b/>
          <w:bCs/>
          <w:color w:val="1C1917"/>
          <w:sz w:val="21"/>
          <w:szCs w:val="21"/>
          <w:highlight w:val="none"/>
          <w:shd w:val="clear" w:color="auto" w:fill="FFFFFF"/>
        </w:rPr>
      </w:pPr>
      <w:r>
        <w:rPr>
          <w:rFonts w:hint="eastAsia" w:cs="宋体"/>
          <w:b/>
          <w:bCs/>
          <w:color w:val="1C1917"/>
          <w:sz w:val="21"/>
          <w:szCs w:val="21"/>
          <w:highlight w:val="none"/>
          <w:shd w:val="clear" w:color="auto" w:fill="FFFFFF"/>
          <w:lang w:eastAsia="zh-CN"/>
        </w:rPr>
        <w:t>（</w:t>
      </w:r>
      <w:r>
        <w:rPr>
          <w:rFonts w:hint="eastAsia" w:cs="宋体"/>
          <w:b/>
          <w:bCs/>
          <w:color w:val="1C1917"/>
          <w:sz w:val="21"/>
          <w:szCs w:val="21"/>
          <w:highlight w:val="none"/>
          <w:shd w:val="clear" w:color="auto" w:fill="FFFFFF"/>
          <w:lang w:val="en-US" w:eastAsia="zh-CN"/>
        </w:rPr>
        <w:t>三</w:t>
      </w:r>
      <w:r>
        <w:rPr>
          <w:rFonts w:hint="eastAsia" w:cs="宋体"/>
          <w:b/>
          <w:bCs/>
          <w:color w:val="1C1917"/>
          <w:sz w:val="21"/>
          <w:szCs w:val="21"/>
          <w:highlight w:val="none"/>
          <w:shd w:val="clear" w:color="auto" w:fill="FFFFFF"/>
          <w:lang w:eastAsia="zh-CN"/>
        </w:rPr>
        <w:t>）</w:t>
      </w:r>
      <w:r>
        <w:rPr>
          <w:rFonts w:hint="eastAsia" w:ascii="宋体" w:hAnsi="宋体" w:eastAsia="宋体" w:cs="宋体"/>
          <w:b/>
          <w:bCs/>
          <w:color w:val="1C1917"/>
          <w:sz w:val="21"/>
          <w:szCs w:val="21"/>
          <w:highlight w:val="none"/>
          <w:shd w:val="clear" w:color="auto" w:fill="FFFFFF"/>
        </w:rPr>
        <w:t>精准育人平台</w:t>
      </w:r>
      <w:r>
        <w:rPr>
          <w:rFonts w:hint="eastAsia" w:cs="宋体"/>
          <w:b/>
          <w:bCs/>
          <w:color w:val="1C1917"/>
          <w:sz w:val="21"/>
          <w:szCs w:val="21"/>
          <w:highlight w:val="none"/>
          <w:shd w:val="clear" w:color="auto" w:fill="FFFFFF"/>
          <w:lang w:eastAsia="zh-CN"/>
        </w:rPr>
        <w:t>：</w:t>
      </w:r>
    </w:p>
    <w:tbl>
      <w:tblPr>
        <w:tblStyle w:val="11"/>
        <w:tblW w:w="9442" w:type="dxa"/>
        <w:tblInd w:w="0" w:type="dxa"/>
        <w:tblLayout w:type="fixed"/>
        <w:tblCellMar>
          <w:top w:w="15" w:type="dxa"/>
          <w:left w:w="15" w:type="dxa"/>
          <w:bottom w:w="15" w:type="dxa"/>
          <w:right w:w="15" w:type="dxa"/>
        </w:tblCellMar>
      </w:tblPr>
      <w:tblGrid>
        <w:gridCol w:w="1165"/>
        <w:gridCol w:w="1116"/>
        <w:gridCol w:w="7161"/>
      </w:tblGrid>
      <w:tr>
        <w:tblPrEx>
          <w:tblLayout w:type="fixed"/>
          <w:tblCellMar>
            <w:top w:w="15" w:type="dxa"/>
            <w:left w:w="15" w:type="dxa"/>
            <w:bottom w:w="15" w:type="dxa"/>
            <w:right w:w="15" w:type="dxa"/>
          </w:tblCellMar>
        </w:tblPrEx>
        <w:trPr>
          <w:trHeight w:val="389" w:hRule="atLeast"/>
        </w:trPr>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分类</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功能</w:t>
            </w:r>
          </w:p>
        </w:tc>
        <w:tc>
          <w:tcPr>
            <w:tcW w:w="71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功能需求描述</w:t>
            </w:r>
          </w:p>
        </w:tc>
      </w:tr>
      <w:tr>
        <w:tblPrEx>
          <w:tblLayout w:type="fixed"/>
          <w:tblCellMar>
            <w:top w:w="15" w:type="dxa"/>
            <w:left w:w="15" w:type="dxa"/>
            <w:bottom w:w="15" w:type="dxa"/>
            <w:right w:w="15" w:type="dxa"/>
          </w:tblCellMar>
        </w:tblPrEx>
        <w:trPr>
          <w:trHeight w:val="620" w:hRule="atLeast"/>
        </w:trPr>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学风数据管理</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对全校本科生考勤数据，平时成绩数据，期末成绩数据进行归总和分类</w:t>
            </w:r>
          </w:p>
        </w:tc>
        <w:tc>
          <w:tcPr>
            <w:tcW w:w="71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支持从不同的数据源中获取数据，并对外部数据进行处理集成存储，建立自己的数据库。</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可以对接收到的数据建立模型处理分析，对学生的旷课时长、挂科课程数、受到退学警告、试读、延长学年等数据进行分析。并按照不同的标准将学生分类归档，打上数据标签。</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支持教务和学工能够执行复杂的数据查询（单独字段、多字段、多表查询等）、导入导出的功能。</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支持对学生数据监控，当学生数据达到扶助标准，能够使用多种渠道对帮扶人员（专业教师、辅导员、帮扶学生）进行提醒和预警。</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可以实现自动将需扶助学生的数据与帮扶人员建立关系。</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支持非教务系统的学业过程数据导入（如：创新学分、劳动教育学分、体质健康测试、阳光长跑），对未达标学生进行提醒和预警。</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支持历史数据保存的功能，将学生在读期间的数据进行整体管理和分析。</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建立对外的数据接口，方便学工系统调用此维度的数据进行的学生评价或者教职工评价。</w:t>
            </w:r>
          </w:p>
        </w:tc>
      </w:tr>
      <w:tr>
        <w:tblPrEx>
          <w:tblLayout w:type="fixed"/>
          <w:tblCellMar>
            <w:top w:w="15" w:type="dxa"/>
            <w:left w:w="15" w:type="dxa"/>
            <w:bottom w:w="15" w:type="dxa"/>
            <w:right w:w="15" w:type="dxa"/>
          </w:tblCellMar>
        </w:tblPrEx>
        <w:trPr>
          <w:trHeight w:val="620" w:hRule="atLeast"/>
        </w:trPr>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学业困难帮扶</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为教职工提供集成统一的助学功能，实现一站式管理</w:t>
            </w:r>
          </w:p>
        </w:tc>
        <w:tc>
          <w:tcPr>
            <w:tcW w:w="71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支持教职工管理自己对应的扶助学生，并且可以看到学生的各项详细情况。</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需要建立一个总览清单界面，在教职工进入这个页面，可以看到当前学期需要做的扶助工作（包括但不限于学生谈心谈话、沟通学生家长、沟通任课老师、帮助学生完成试读申请），以及支持教职工在完成相关工作后上传扶助记录。</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在清单界面的对应工作提供相关文件下载以及上传功能（如各类通知书、告知书、申请表等）。</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val="en-US" w:eastAsia="zh-Hans"/>
              </w:rPr>
            </w:pPr>
            <w:r>
              <w:rPr>
                <w:rFonts w:hint="eastAsia" w:ascii="宋体" w:hAnsi="宋体" w:eastAsia="宋体" w:cs="宋体"/>
                <w:sz w:val="21"/>
                <w:szCs w:val="21"/>
                <w:highlight w:val="none"/>
                <w:lang w:val="en-US" w:eastAsia="zh-CN"/>
              </w:rPr>
              <w:t>4</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支持对教职工使用短信、消息通知等手段提醒教职工完成扶助工作。</w:t>
            </w:r>
          </w:p>
        </w:tc>
      </w:tr>
      <w:tr>
        <w:tblPrEx>
          <w:tblLayout w:type="fixed"/>
          <w:tblCellMar>
            <w:top w:w="15" w:type="dxa"/>
            <w:left w:w="15" w:type="dxa"/>
            <w:bottom w:w="15" w:type="dxa"/>
            <w:right w:w="15" w:type="dxa"/>
          </w:tblCellMar>
        </w:tblPrEx>
        <w:trPr>
          <w:trHeight w:val="620" w:hRule="atLeast"/>
        </w:trPr>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学风</w:t>
            </w:r>
            <w:r>
              <w:rPr>
                <w:rFonts w:hint="eastAsia" w:ascii="宋体" w:hAnsi="宋体" w:eastAsia="宋体" w:cs="宋体"/>
                <w:sz w:val="21"/>
                <w:szCs w:val="21"/>
                <w:highlight w:val="none"/>
                <w:lang w:val="en-US" w:eastAsia="zh-Hans"/>
              </w:rPr>
              <w:t>评价</w:t>
            </w:r>
            <w:r>
              <w:rPr>
                <w:rFonts w:hint="eastAsia" w:ascii="宋体" w:hAnsi="宋体" w:eastAsia="宋体" w:cs="宋体"/>
                <w:sz w:val="21"/>
                <w:szCs w:val="21"/>
                <w:highlight w:val="none"/>
                <w:lang w:val="en-US" w:eastAsia="zh-CN"/>
              </w:rPr>
              <w:t>提升</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Hans"/>
              </w:rPr>
            </w:pPr>
            <w:r>
              <w:rPr>
                <w:rFonts w:hint="eastAsia" w:ascii="宋体" w:hAnsi="宋体" w:eastAsia="宋体" w:cs="宋体"/>
                <w:sz w:val="21"/>
                <w:szCs w:val="21"/>
                <w:highlight w:val="none"/>
                <w:lang w:val="en-US" w:eastAsia="zh-CN"/>
              </w:rPr>
              <w:t>对教职工的工作情况进行管理</w:t>
            </w:r>
          </w:p>
        </w:tc>
        <w:tc>
          <w:tcPr>
            <w:tcW w:w="71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val="en-US" w:eastAsia="zh-Hans"/>
              </w:rPr>
            </w:pPr>
            <w:r>
              <w:rPr>
                <w:rFonts w:hint="eastAsia" w:ascii="宋体" w:hAnsi="宋体" w:eastAsia="宋体" w:cs="宋体"/>
                <w:sz w:val="21"/>
                <w:szCs w:val="21"/>
                <w:highlight w:val="none"/>
                <w:lang w:val="en-US" w:eastAsia="zh-CN"/>
              </w:rPr>
              <w:t>建立教职工完成工作数据模型，包括帮扶完成度、学生学业提升度、按照学院和个人进行排序</w:t>
            </w:r>
            <w:r>
              <w:rPr>
                <w:rFonts w:hint="eastAsia" w:cs="宋体"/>
                <w:sz w:val="21"/>
                <w:szCs w:val="21"/>
                <w:highlight w:val="none"/>
                <w:lang w:val="en-US" w:eastAsia="zh-CN"/>
              </w:rPr>
              <w:t>。</w:t>
            </w:r>
          </w:p>
        </w:tc>
      </w:tr>
      <w:tr>
        <w:tblPrEx>
          <w:tblLayout w:type="fixed"/>
          <w:tblCellMar>
            <w:top w:w="15" w:type="dxa"/>
            <w:left w:w="15" w:type="dxa"/>
            <w:bottom w:w="15" w:type="dxa"/>
            <w:right w:w="15" w:type="dxa"/>
          </w:tblCellMar>
        </w:tblPrEx>
        <w:trPr>
          <w:trHeight w:val="620" w:hRule="atLeast"/>
        </w:trPr>
        <w:tc>
          <w:tcPr>
            <w:tcW w:w="116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数据</w:t>
            </w:r>
            <w:r>
              <w:rPr>
                <w:rFonts w:hint="eastAsia" w:ascii="宋体" w:hAnsi="宋体" w:eastAsia="宋体" w:cs="宋体"/>
                <w:sz w:val="21"/>
                <w:szCs w:val="21"/>
                <w:highlight w:val="none"/>
                <w:lang w:val="en-US" w:eastAsia="zh-Hans"/>
              </w:rPr>
              <w:t>可视化</w:t>
            </w:r>
          </w:p>
        </w:tc>
        <w:tc>
          <w:tcPr>
            <w:tcW w:w="111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Hans"/>
              </w:rPr>
              <w:t>提供数据可视化</w:t>
            </w:r>
          </w:p>
        </w:tc>
        <w:tc>
          <w:tcPr>
            <w:tcW w:w="716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val="en-US" w:eastAsia="zh-Hans"/>
              </w:rPr>
            </w:pPr>
            <w:r>
              <w:rPr>
                <w:rFonts w:hint="eastAsia" w:ascii="宋体" w:hAnsi="宋体" w:eastAsia="宋体" w:cs="宋体"/>
                <w:sz w:val="21"/>
                <w:szCs w:val="21"/>
                <w:highlight w:val="none"/>
                <w:lang w:val="en-US" w:eastAsia="zh-CN"/>
              </w:rPr>
              <w:t>支持将本科生学习状态数据转化为图表、图形、地图或仪表盘等可视元素，以便教职工更容易理解和分析数据。</w:t>
            </w:r>
          </w:p>
        </w:tc>
      </w:tr>
    </w:tbl>
    <w:p>
      <w:pPr>
        <w:keepNext w:val="0"/>
        <w:keepLines w:val="0"/>
        <w:pageBreakBefore w:val="0"/>
        <w:kinsoku/>
        <w:wordWrap/>
        <w:overflowPunct/>
        <w:topLinePunct w:val="0"/>
        <w:autoSpaceDE/>
        <w:autoSpaceDN/>
        <w:bidi w:val="0"/>
        <w:spacing w:line="288" w:lineRule="auto"/>
        <w:ind w:right="0"/>
        <w:jc w:val="left"/>
        <w:outlineLvl w:val="9"/>
        <w:rPr>
          <w:rFonts w:hint="eastAsia" w:ascii="宋体" w:hAnsi="宋体" w:eastAsia="宋体" w:cs="宋体"/>
          <w:sz w:val="21"/>
          <w:szCs w:val="21"/>
          <w:highlight w:val="none"/>
        </w:rPr>
      </w:pPr>
    </w:p>
    <w:p>
      <w:pPr>
        <w:keepNext w:val="0"/>
        <w:keepLines w:val="0"/>
        <w:pageBreakBefore w:val="0"/>
        <w:numPr>
          <w:ilvl w:val="0"/>
          <w:numId w:val="0"/>
        </w:numPr>
        <w:kinsoku/>
        <w:wordWrap/>
        <w:overflowPunct/>
        <w:topLinePunct w:val="0"/>
        <w:autoSpaceDE/>
        <w:autoSpaceDN/>
        <w:bidi w:val="0"/>
        <w:spacing w:line="288" w:lineRule="auto"/>
        <w:ind w:leftChars="200" w:right="0" w:rightChars="0"/>
        <w:jc w:val="left"/>
        <w:outlineLvl w:val="9"/>
        <w:rPr>
          <w:rFonts w:hint="eastAsia" w:ascii="宋体" w:hAnsi="宋体" w:eastAsia="宋体" w:cs="宋体"/>
          <w:b/>
          <w:bCs/>
          <w:color w:val="1C1917"/>
          <w:sz w:val="21"/>
          <w:szCs w:val="21"/>
          <w:highlight w:val="none"/>
          <w:shd w:val="clear" w:color="auto" w:fill="FFFFFF"/>
          <w:lang w:eastAsia="zh-CN"/>
        </w:rPr>
      </w:pPr>
      <w:r>
        <w:rPr>
          <w:rFonts w:hint="eastAsia" w:cs="宋体"/>
          <w:b/>
          <w:bCs/>
          <w:color w:val="1C1917"/>
          <w:sz w:val="21"/>
          <w:szCs w:val="21"/>
          <w:highlight w:val="none"/>
          <w:shd w:val="clear" w:color="auto" w:fill="FFFFFF"/>
          <w:lang w:eastAsia="zh-CN"/>
        </w:rPr>
        <w:t>（</w:t>
      </w:r>
      <w:r>
        <w:rPr>
          <w:rFonts w:hint="eastAsia" w:cs="宋体"/>
          <w:b/>
          <w:bCs/>
          <w:color w:val="1C1917"/>
          <w:sz w:val="21"/>
          <w:szCs w:val="21"/>
          <w:highlight w:val="none"/>
          <w:shd w:val="clear" w:color="auto" w:fill="FFFFFF"/>
          <w:lang w:val="en-US" w:eastAsia="zh-CN"/>
        </w:rPr>
        <w:t>四</w:t>
      </w:r>
      <w:r>
        <w:rPr>
          <w:rFonts w:hint="eastAsia" w:cs="宋体"/>
          <w:b/>
          <w:bCs/>
          <w:color w:val="1C1917"/>
          <w:sz w:val="21"/>
          <w:szCs w:val="21"/>
          <w:highlight w:val="none"/>
          <w:shd w:val="clear" w:color="auto" w:fill="FFFFFF"/>
          <w:lang w:eastAsia="zh-CN"/>
        </w:rPr>
        <w:t>）</w:t>
      </w:r>
      <w:r>
        <w:rPr>
          <w:rFonts w:hint="eastAsia" w:ascii="宋体" w:hAnsi="宋体" w:eastAsia="宋体" w:cs="宋体"/>
          <w:b/>
          <w:bCs/>
          <w:color w:val="1C1917"/>
          <w:sz w:val="21"/>
          <w:szCs w:val="21"/>
          <w:highlight w:val="none"/>
          <w:shd w:val="clear" w:color="auto" w:fill="FFFFFF"/>
        </w:rPr>
        <w:t>组织机构与身份治理</w:t>
      </w:r>
      <w:r>
        <w:rPr>
          <w:rFonts w:hint="eastAsia" w:cs="宋体"/>
          <w:b/>
          <w:bCs/>
          <w:color w:val="1C1917"/>
          <w:sz w:val="21"/>
          <w:szCs w:val="21"/>
          <w:highlight w:val="none"/>
          <w:shd w:val="clear" w:color="auto" w:fill="FFFFFF"/>
          <w:lang w:eastAsia="zh-CN"/>
        </w:rPr>
        <w:t>：</w:t>
      </w:r>
    </w:p>
    <w:p>
      <w:pPr>
        <w:keepNext w:val="0"/>
        <w:keepLines w:val="0"/>
        <w:pageBreakBefore w:val="0"/>
        <w:kinsoku/>
        <w:wordWrap/>
        <w:overflowPunct/>
        <w:topLinePunct w:val="0"/>
        <w:autoSpaceDE/>
        <w:autoSpaceDN/>
        <w:bidi w:val="0"/>
        <w:spacing w:line="288" w:lineRule="auto"/>
        <w:ind w:left="0" w:leftChars="0" w:right="0" w:firstLine="420" w:firstLineChars="200"/>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配合人事部门重新构建组织机构库和人员库,确保学校组织机构变更和人员异动的及时更新，保证组织机构信息和人员信息的一致性。</w:t>
      </w:r>
    </w:p>
    <w:tbl>
      <w:tblPr>
        <w:tblStyle w:val="11"/>
        <w:tblW w:w="9442" w:type="dxa"/>
        <w:tblInd w:w="0" w:type="dxa"/>
        <w:tblLayout w:type="fixed"/>
        <w:tblCellMar>
          <w:top w:w="15" w:type="dxa"/>
          <w:left w:w="15" w:type="dxa"/>
          <w:bottom w:w="15" w:type="dxa"/>
          <w:right w:w="15" w:type="dxa"/>
        </w:tblCellMar>
      </w:tblPr>
      <w:tblGrid>
        <w:gridCol w:w="1325"/>
        <w:gridCol w:w="8117"/>
      </w:tblGrid>
      <w:tr>
        <w:tblPrEx>
          <w:tblLayout w:type="fixed"/>
          <w:tblCellMar>
            <w:top w:w="15" w:type="dxa"/>
            <w:left w:w="15" w:type="dxa"/>
            <w:bottom w:w="15" w:type="dxa"/>
            <w:right w:w="15" w:type="dxa"/>
          </w:tblCellMar>
        </w:tblPrEx>
        <w:trPr>
          <w:trHeight w:val="690" w:hRule="atLeast"/>
        </w:trPr>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分类</w:t>
            </w:r>
          </w:p>
        </w:tc>
        <w:tc>
          <w:tcPr>
            <w:tcW w:w="8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功能需求描述</w:t>
            </w:r>
          </w:p>
        </w:tc>
      </w:tr>
      <w:tr>
        <w:tblPrEx>
          <w:tblLayout w:type="fixed"/>
          <w:tblCellMar>
            <w:top w:w="15" w:type="dxa"/>
            <w:left w:w="15" w:type="dxa"/>
            <w:bottom w:w="15" w:type="dxa"/>
            <w:right w:w="15" w:type="dxa"/>
          </w:tblCellMar>
        </w:tblPrEx>
        <w:trPr>
          <w:trHeight w:val="620" w:hRule="atLeast"/>
        </w:trPr>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Hans"/>
              </w:rPr>
            </w:pPr>
            <w:r>
              <w:rPr>
                <w:rFonts w:hint="eastAsia" w:ascii="宋体" w:hAnsi="宋体" w:eastAsia="宋体" w:cs="宋体"/>
                <w:sz w:val="21"/>
                <w:szCs w:val="21"/>
                <w:highlight w:val="none"/>
              </w:rPr>
              <w:t>组织中心</w:t>
            </w:r>
          </w:p>
        </w:tc>
        <w:tc>
          <w:tcPr>
            <w:tcW w:w="8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1.平台采用基于k8s容器化部署，以保证平台并发能力随时无感知扩容。</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2.为落实信息安全管理法规，落实校园实名制，要求系统支持强制个人信息完善，可要求账号强制绑定手机号的实名制信息。</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3.可以配置手机安全认证策略，包括手机验证码配置、定时验证用户手机号码是否在用、导入或同步号码信息是否提示用户确认。</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4.基于安全考虑，支持密码存储加密，加密方式包括SH256，MD5、AES，同时支持敏感数据脱敏，管理后台页面的敏感数据身份证号、手机号中间几位显示为*号，点击"查看"时检查管理员权限才能查看完整信息。</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5.具备完整的身份日志管理功能，包括认证时间、访问系统、认证类型、认证方式、IP、终端、学工号、姓名、用户类型等。</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6.具备平台操作日志审计功能，包含业务名称，操作对象、操作人、操作时间等。</w:t>
            </w:r>
          </w:p>
        </w:tc>
      </w:tr>
      <w:tr>
        <w:tblPrEx>
          <w:tblLayout w:type="fixed"/>
          <w:tblCellMar>
            <w:top w:w="15" w:type="dxa"/>
            <w:left w:w="15" w:type="dxa"/>
            <w:bottom w:w="15" w:type="dxa"/>
            <w:right w:w="15" w:type="dxa"/>
          </w:tblCellMar>
        </w:tblPrEx>
        <w:trPr>
          <w:trHeight w:val="620" w:hRule="atLeast"/>
        </w:trPr>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Hans"/>
              </w:rPr>
            </w:pPr>
            <w:r>
              <w:rPr>
                <w:rFonts w:hint="eastAsia" w:ascii="宋体" w:hAnsi="宋体" w:eastAsia="宋体" w:cs="宋体"/>
                <w:sz w:val="21"/>
                <w:szCs w:val="21"/>
                <w:highlight w:val="none"/>
              </w:rPr>
              <w:t>数据同步</w:t>
            </w:r>
          </w:p>
        </w:tc>
        <w:tc>
          <w:tcPr>
            <w:tcW w:w="8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1.支持对外数据同步，包括但不限于API、消息、应用自定义对接参数等多种方式；</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▲2.支持LDAP数据同步，以支持对外提供LDAP协议数据支撑；支持一键启用或禁用数据同步服务，支持一键全量覆盖。</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Hans" w:bidi="ar-SA"/>
              </w:rPr>
            </w:pPr>
            <w:r>
              <w:rPr>
                <w:rFonts w:hint="eastAsia" w:ascii="宋体" w:hAnsi="宋体" w:eastAsia="宋体" w:cs="宋体"/>
                <w:spacing w:val="0"/>
                <w:kern w:val="2"/>
                <w:sz w:val="21"/>
                <w:szCs w:val="21"/>
                <w:highlight w:val="none"/>
                <w:lang w:val="en-US" w:eastAsia="zh-CN" w:bidi="ar-SA"/>
              </w:rPr>
              <w:t>▲3.支持LDAP中不同节点关联到身份标签或角色，当人员信息发生时，可实现自动同步到LDAP节点。</w:t>
            </w:r>
          </w:p>
        </w:tc>
      </w:tr>
      <w:tr>
        <w:tblPrEx>
          <w:tblLayout w:type="fixed"/>
          <w:tblCellMar>
            <w:top w:w="15" w:type="dxa"/>
            <w:left w:w="15" w:type="dxa"/>
            <w:bottom w:w="15" w:type="dxa"/>
            <w:right w:w="15" w:type="dxa"/>
          </w:tblCellMar>
        </w:tblPrEx>
        <w:trPr>
          <w:trHeight w:val="620" w:hRule="atLeast"/>
        </w:trPr>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系统</w:t>
            </w:r>
            <w:r>
              <w:rPr>
                <w:rFonts w:hint="eastAsia" w:cs="宋体"/>
                <w:sz w:val="21"/>
                <w:szCs w:val="21"/>
                <w:highlight w:val="none"/>
                <w:lang w:val="en-US" w:eastAsia="zh-CN"/>
              </w:rPr>
              <w:t>集成</w:t>
            </w:r>
          </w:p>
        </w:tc>
        <w:tc>
          <w:tcPr>
            <w:tcW w:w="8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jc w:val="left"/>
              <w:outlineLvl w:val="9"/>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▲1.支持数据转换配置中的用户数据转换，如定义性别码的数据项名为“XBM”，定义用户数据转换规则。</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▲2.支持数据转换配置中的组织数据转换，如定义党政组织架构的数据返回编码为“4425.0”，定义组织数据转换规则。</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▲3.支持图形化可视化的应用/接口访问管理，支持一键启用或禁用单点登录配置、认证API调用配置、应用角色配置、数据转换配置等；数据对外同步图形化配置。</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▲4.支持配置单点登录时，支持不同类型的用户返回不同的配置信息，图形化配置认证后获取的信息；如获取教职工类别码为“JZGLBM”。</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▲5.支持图形化的委托鉴权的资源配置，将对外提供服务的接口、数据结构、功能列表注册上来即可使用平台提供的鉴权服务。</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Hans" w:bidi="ar-SA"/>
              </w:rPr>
            </w:pPr>
            <w:r>
              <w:rPr>
                <w:rFonts w:hint="eastAsia" w:ascii="宋体" w:hAnsi="宋体" w:eastAsia="宋体" w:cs="宋体"/>
                <w:spacing w:val="0"/>
                <w:kern w:val="2"/>
                <w:sz w:val="21"/>
                <w:szCs w:val="21"/>
                <w:highlight w:val="none"/>
                <w:lang w:val="en-US" w:eastAsia="zh-CN" w:bidi="ar-SA"/>
              </w:rPr>
              <w:t>▲6.支持图形化配置使用的外部资源，配置应用所需的服务接口与业务数据；支持配置使用时效、资源服务与接口资源。</w:t>
            </w:r>
          </w:p>
        </w:tc>
      </w:tr>
      <w:tr>
        <w:tblPrEx>
          <w:tblLayout w:type="fixed"/>
          <w:tblCellMar>
            <w:top w:w="15" w:type="dxa"/>
            <w:left w:w="15" w:type="dxa"/>
            <w:bottom w:w="15" w:type="dxa"/>
            <w:right w:w="15" w:type="dxa"/>
          </w:tblCellMar>
        </w:tblPrEx>
        <w:trPr>
          <w:trHeight w:val="620" w:hRule="atLeast"/>
        </w:trPr>
        <w:tc>
          <w:tcPr>
            <w:tcW w:w="132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组织数据标准</w:t>
            </w:r>
          </w:p>
        </w:tc>
        <w:tc>
          <w:tcPr>
            <w:tcW w:w="811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1.支持组织元数据的管理和扩展。支持内置多种组织类型、组织属性、组织编码规则，可自定义和扩展组织类型、组织属性和组织编码规则，组织属性可设置约束关系、唯一性关系，可设置不同值空间类型内容，比如字符串、数值、时间、关系等。</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2.支持岗位元数据的管理和扩展。支持内置多种岗位类型、岗位属性、岗位编码规则，可自定义和扩展岗位类型、岗位属性和岗位编码规则，岗位属性可设置约束关系、唯一性关系，可设置不同值空间类型内容，比如字符串、数值、时间、关系等。</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Hans" w:bidi="ar-SA"/>
              </w:rPr>
            </w:pPr>
            <w:r>
              <w:rPr>
                <w:rFonts w:hint="eastAsia" w:ascii="宋体" w:hAnsi="宋体" w:eastAsia="宋体" w:cs="宋体"/>
                <w:spacing w:val="0"/>
                <w:kern w:val="2"/>
                <w:sz w:val="21"/>
                <w:szCs w:val="21"/>
                <w:highlight w:val="none"/>
                <w:lang w:val="en-US" w:eastAsia="zh-CN" w:bidi="ar-SA"/>
              </w:rPr>
              <w:t>▲3.支持关系元数据的管理和扩展。支持内置多种关系类型、关系、关系属性、岗位编码规则，如：部门与部门的上下级关系、合署关系、挂靠关系；部门与岗位的归属关系；岗位与岗位的上下级关系；部门-岗位-身份的三元担任关系；人与人的家属关系；组织与身份的分管关系；部门与身份的负责、分管关系等，可自定义和扩展关系、关系属性和关系编码规则，关系属性可设置不同值空间类型内容，比如字符串、数值、时间等。</w:t>
            </w:r>
          </w:p>
        </w:tc>
      </w:tr>
      <w:tr>
        <w:tblPrEx>
          <w:tblLayout w:type="fixed"/>
          <w:tblCellMar>
            <w:top w:w="15" w:type="dxa"/>
            <w:left w:w="15" w:type="dxa"/>
            <w:bottom w:w="15" w:type="dxa"/>
            <w:right w:w="15" w:type="dxa"/>
          </w:tblCellMar>
        </w:tblPrEx>
        <w:trPr>
          <w:trHeight w:val="620" w:hRule="atLeast"/>
        </w:trPr>
        <w:tc>
          <w:tcPr>
            <w:tcW w:w="132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组织权限分级管理</w:t>
            </w:r>
          </w:p>
        </w:tc>
        <w:tc>
          <w:tcPr>
            <w:tcW w:w="811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▲1.支持组织数据管理权限逐级下发，支持对部门数据、岗位数据、人员数据、界面功能按钮及字段数据进行权限控制。</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▲2.支持根据指定通用岗位统一设置权限，比如给所有二级单位的信息化接口人配置对应二级部门内的组织数据管理权限。</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3.支持通过岗位进行权限下发，支持人员调离岗位后权限自动回收，人员调入岗位后权限自动下发。</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▲4.支持根据规则快速圈定数据范围，支持内置多种规则，如：所在二级部门、所在部门及下级部门、整个组织等，支持部门数据、岗位数据、人员数据增加后，权限自动增加。</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5.支持对部门类型、岗位类型、身份类型的新增权限控制，可根据不同的授权对象配置不同的部门类型、岗位类型、身份类型的新增权限。</w:t>
            </w:r>
          </w:p>
        </w:tc>
      </w:tr>
      <w:tr>
        <w:tblPrEx>
          <w:tblLayout w:type="fixed"/>
          <w:tblCellMar>
            <w:top w:w="15" w:type="dxa"/>
            <w:left w:w="15" w:type="dxa"/>
            <w:bottom w:w="15" w:type="dxa"/>
            <w:right w:w="15" w:type="dxa"/>
          </w:tblCellMar>
        </w:tblPrEx>
        <w:trPr>
          <w:trHeight w:val="620" w:hRule="atLeast"/>
        </w:trPr>
        <w:tc>
          <w:tcPr>
            <w:tcW w:w="132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组织数据管理</w:t>
            </w:r>
          </w:p>
        </w:tc>
        <w:tc>
          <w:tcPr>
            <w:tcW w:w="811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▲1.支持组织数据分级管理，不同权限的管理员可管理的组织数据范围不同。</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2.支持对组织数据：部门、岗位、人员、关系数据进行增删改查操作。</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3.支持自定义通用岗位数据，当部门下需要建立相同的岗位时，可以在部门下快速引用通用岗位来创建部门下岗位；也可以在其他功能中需要快速圈定相同岗位提供能力，比如需要将所有科室科长同步到应用系统或统计学校班级辅导员有多少人。</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▲4.支持快速在多个部门下建立相同的岗位，比如在所有部门内建立班级辅导员岗位。</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5.支持批量将部门人员调整至指定部门下，调整时可以选择是否需要保留原部门。</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▲6.支持对同层部门进行排序，可支持默认排序、规则排序和手动排序，默认同层级部门根据部门名称首字母进行排序，规则排序可以通过脚本自定义规则，手动排序管理员可在界面上手动拖拽进行排序。</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7.支持在成员名单中展示部门下所有人员，并按顺序展示，默认顺序先按部门层级从上至下排序，同层部门按部门顺序，同部门再按岗位顺序，通岗位按用户名称首字母进行排序；成员名单中顺序可在页面上手动调整。</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8.支持调整部门上下级关系，可支持单个和批量两种方式。</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9.支持多种用户开户方式，可支持单个页面开户，批量execl导入开户，用户自主申请开户三种开户方式。</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▲10.支持人员名单导出，导出人员范围可通过条件进行过滤，过滤条件支持用户属性、非在校标签，用户属性范围支持可配置；导出的人员字段可在后台进行配置。</w:t>
            </w:r>
          </w:p>
        </w:tc>
      </w:tr>
      <w:tr>
        <w:tblPrEx>
          <w:tblLayout w:type="fixed"/>
          <w:tblCellMar>
            <w:top w:w="15" w:type="dxa"/>
            <w:left w:w="15" w:type="dxa"/>
            <w:bottom w:w="15" w:type="dxa"/>
            <w:right w:w="15" w:type="dxa"/>
          </w:tblCellMar>
        </w:tblPrEx>
        <w:trPr>
          <w:trHeight w:val="620" w:hRule="atLeast"/>
        </w:trPr>
        <w:tc>
          <w:tcPr>
            <w:tcW w:w="132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组织数据采集</w:t>
            </w:r>
          </w:p>
        </w:tc>
        <w:tc>
          <w:tcPr>
            <w:tcW w:w="811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▲1.支持为数据采集指定权威源，可从数据中心、业务系统、应用系统等进行采集，支持建立一数一源规范，同一条数据中不同字段可来源不同的数据源。</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2.支持采集清洗数据使用正则表达式，支持源字段与目标字段可视化映射配置，支持前后缀清洗、添加、多源内容合并同一目的字段、转化为固定值或字典值。</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3.支持不同类型数据的采集和execl导入，可支持的数据类型：部门数据、通用岗位数据、岗位数据、部门-岗位-人员归属关系数据及人与人的关系数据。</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4.采集和execl导入部门数据时支持数据源中不同的数据结构，可支持部门结构表和来自人员数据的多部门等格式。</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5.采集和导入execl部门-岗位-人员关系数据时支持数据源中不同的数据结构，可支持人员所在的部门全路径分字段、人员所在部门全路径一个字段和仅包含用户所在部门编号等格式。</w:t>
            </w:r>
          </w:p>
        </w:tc>
      </w:tr>
      <w:tr>
        <w:tblPrEx>
          <w:tblLayout w:type="fixed"/>
          <w:tblCellMar>
            <w:top w:w="15" w:type="dxa"/>
            <w:left w:w="15" w:type="dxa"/>
            <w:bottom w:w="15" w:type="dxa"/>
            <w:right w:w="15" w:type="dxa"/>
          </w:tblCellMar>
        </w:tblPrEx>
        <w:trPr>
          <w:trHeight w:val="620" w:hRule="atLeast"/>
        </w:trPr>
        <w:tc>
          <w:tcPr>
            <w:tcW w:w="132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岗位空缺管理</w:t>
            </w:r>
          </w:p>
        </w:tc>
        <w:tc>
          <w:tcPr>
            <w:tcW w:w="811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1.支持当对外同步的组织数据包中出现岗位空缺时，进行监控并提醒对应管理员进行及时调整，保证了各业务系统中数据的正确性。</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2.支持多种岗位空缺条件，内置岗位空缺条件有岗位中人员空缺、岗位被删除、岗位状态变成失效及岗位中人员非在校，还可以通过自定义脚本快速补充其他岗位空缺条件。</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3.▲支持多种岗位空缺监控范围的选择，分别为指定岗位和通用岗位。</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4.支持多种岗位空缺通知人的选择，分别为指定人和指定岗位。</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5.支持通过短信和邮箱进行通知，通知内容可自定义。</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6.为保证空缺岗位能够及时处理，可配置如下三种保障措施：①支持当岗位空缺后未及时处理持续通知，可配置未处理时连续通知多少天就不在进行通知，②支持在通知完成后指定天数未处理时通知上级领导，③支持通知上级领导时是否需要同时通知IT管理员。</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7.当管理员收到岗位空缺提示时，支持移动端和PC端对空缺岗位的调整。</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8.PC端岗位空缺名单支持多种身份人员处理，分别是IT管理员、二级部门管理员、被通知人，每种身份人员处理范围不同，IT管理员可处理所有岗位空缺数据，二级部门管理员可处理所管理的二级部门下的岗位空缺名单，被通知人只能处理发送通知了的空缺岗位。</w:t>
            </w:r>
          </w:p>
        </w:tc>
      </w:tr>
    </w:tbl>
    <w:p>
      <w:pPr>
        <w:keepNext w:val="0"/>
        <w:keepLines w:val="0"/>
        <w:pageBreakBefore w:val="0"/>
        <w:widowControl w:val="0"/>
        <w:kinsoku/>
        <w:wordWrap/>
        <w:overflowPunct/>
        <w:topLinePunct w:val="0"/>
        <w:autoSpaceDE/>
        <w:autoSpaceDN/>
        <w:bidi w:val="0"/>
        <w:spacing w:before="0" w:beforeLines="0" w:after="0" w:afterLines="0" w:line="288" w:lineRule="auto"/>
        <w:ind w:left="0" w:leftChars="0" w:right="0" w:firstLine="420" w:firstLineChars="200"/>
        <w:jc w:val="left"/>
        <w:outlineLvl w:val="9"/>
        <w:rPr>
          <w:rFonts w:hint="eastAsia" w:ascii="宋体" w:hAnsi="宋体" w:eastAsia="宋体" w:cs="宋体"/>
          <w:kern w:val="2"/>
          <w:sz w:val="21"/>
          <w:szCs w:val="21"/>
          <w:highlight w:val="none"/>
          <w:lang w:val="en-US" w:eastAsia="zh-CN" w:bidi="ar-SA"/>
        </w:rPr>
      </w:pPr>
    </w:p>
    <w:p>
      <w:pPr>
        <w:keepNext w:val="0"/>
        <w:keepLines w:val="0"/>
        <w:pageBreakBefore w:val="0"/>
        <w:numPr>
          <w:ilvl w:val="0"/>
          <w:numId w:val="0"/>
        </w:numPr>
        <w:kinsoku/>
        <w:wordWrap/>
        <w:overflowPunct/>
        <w:topLinePunct w:val="0"/>
        <w:autoSpaceDE/>
        <w:autoSpaceDN/>
        <w:bidi w:val="0"/>
        <w:spacing w:line="288" w:lineRule="auto"/>
        <w:ind w:right="0" w:rightChars="0" w:firstLine="422" w:firstLineChars="200"/>
        <w:jc w:val="left"/>
        <w:outlineLvl w:val="9"/>
        <w:rPr>
          <w:rFonts w:hint="eastAsia" w:ascii="宋体" w:hAnsi="宋体" w:eastAsia="宋体" w:cs="宋体"/>
          <w:b/>
          <w:bCs/>
          <w:color w:val="1C1917"/>
          <w:sz w:val="21"/>
          <w:szCs w:val="21"/>
          <w:highlight w:val="none"/>
          <w:shd w:val="clear" w:color="auto" w:fill="FFFFFF"/>
          <w:lang w:eastAsia="zh-CN"/>
        </w:rPr>
      </w:pPr>
      <w:r>
        <w:rPr>
          <w:rFonts w:hint="eastAsia" w:cs="宋体"/>
          <w:b/>
          <w:bCs/>
          <w:color w:val="1C1917"/>
          <w:sz w:val="21"/>
          <w:szCs w:val="21"/>
          <w:highlight w:val="none"/>
          <w:shd w:val="clear" w:color="auto" w:fill="FFFFFF"/>
          <w:lang w:eastAsia="zh-CN"/>
        </w:rPr>
        <w:t>（</w:t>
      </w:r>
      <w:r>
        <w:rPr>
          <w:rFonts w:hint="eastAsia" w:cs="宋体"/>
          <w:b/>
          <w:bCs/>
          <w:color w:val="1C1917"/>
          <w:sz w:val="21"/>
          <w:szCs w:val="21"/>
          <w:highlight w:val="none"/>
          <w:shd w:val="clear" w:color="auto" w:fill="FFFFFF"/>
          <w:lang w:val="en-US" w:eastAsia="zh-CN"/>
        </w:rPr>
        <w:t>五</w:t>
      </w:r>
      <w:r>
        <w:rPr>
          <w:rFonts w:hint="eastAsia" w:cs="宋体"/>
          <w:b/>
          <w:bCs/>
          <w:color w:val="1C1917"/>
          <w:sz w:val="21"/>
          <w:szCs w:val="21"/>
          <w:highlight w:val="none"/>
          <w:shd w:val="clear" w:color="auto" w:fill="FFFFFF"/>
          <w:lang w:eastAsia="zh-CN"/>
        </w:rPr>
        <w:t>）</w:t>
      </w:r>
      <w:r>
        <w:rPr>
          <w:rFonts w:hint="eastAsia" w:ascii="宋体" w:hAnsi="宋体" w:eastAsia="宋体" w:cs="宋体"/>
          <w:b/>
          <w:bCs/>
          <w:color w:val="1C1917"/>
          <w:sz w:val="21"/>
          <w:szCs w:val="21"/>
          <w:highlight w:val="none"/>
          <w:shd w:val="clear" w:color="auto" w:fill="FFFFFF"/>
        </w:rPr>
        <w:t>数据安全治理平台</w:t>
      </w:r>
      <w:r>
        <w:rPr>
          <w:rFonts w:hint="eastAsia" w:cs="宋体"/>
          <w:b/>
          <w:bCs/>
          <w:color w:val="1C1917"/>
          <w:sz w:val="21"/>
          <w:szCs w:val="21"/>
          <w:highlight w:val="none"/>
          <w:shd w:val="clear" w:color="auto" w:fill="FFFFFF"/>
          <w:lang w:eastAsia="zh-CN"/>
        </w:rPr>
        <w:t>：</w:t>
      </w:r>
    </w:p>
    <w:p>
      <w:pPr>
        <w:keepNext w:val="0"/>
        <w:keepLines w:val="0"/>
        <w:pageBreakBefore w:val="0"/>
        <w:kinsoku/>
        <w:wordWrap/>
        <w:overflowPunct/>
        <w:topLinePunct w:val="0"/>
        <w:autoSpaceDE/>
        <w:autoSpaceDN/>
        <w:bidi w:val="0"/>
        <w:spacing w:line="288" w:lineRule="auto"/>
        <w:ind w:left="0" w:leftChars="0" w:right="0" w:firstLine="420" w:firstLineChars="20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构建学校统一的数据安全</w:t>
      </w:r>
      <w:r>
        <w:rPr>
          <w:rFonts w:hint="eastAsia" w:ascii="宋体" w:hAnsi="宋体" w:eastAsia="宋体" w:cs="宋体"/>
          <w:color w:val="1C1917"/>
          <w:sz w:val="21"/>
          <w:szCs w:val="21"/>
          <w:highlight w:val="none"/>
          <w:shd w:val="clear" w:color="auto" w:fill="FFFFFF"/>
          <w:lang w:val="en-US" w:eastAsia="zh-CN"/>
        </w:rPr>
        <w:t>治理</w:t>
      </w:r>
      <w:r>
        <w:rPr>
          <w:rFonts w:hint="eastAsia" w:ascii="宋体" w:hAnsi="宋体" w:eastAsia="宋体" w:cs="宋体"/>
          <w:color w:val="1C1917"/>
          <w:sz w:val="21"/>
          <w:szCs w:val="21"/>
          <w:highlight w:val="none"/>
          <w:shd w:val="clear" w:color="auto" w:fill="FFFFFF"/>
        </w:rPr>
        <w:t>平台,</w:t>
      </w:r>
      <w:r>
        <w:rPr>
          <w:rFonts w:hint="eastAsia" w:ascii="宋体" w:hAnsi="宋体" w:eastAsia="宋体" w:cs="宋体"/>
          <w:i w:val="0"/>
          <w:iCs w:val="0"/>
          <w:caps w:val="0"/>
          <w:color w:val="1C1917"/>
          <w:spacing w:val="0"/>
          <w:sz w:val="21"/>
          <w:szCs w:val="21"/>
          <w:highlight w:val="none"/>
          <w:shd w:val="clear" w:fill="FFFFFF"/>
          <w:lang w:val="en-US" w:eastAsia="zh-CN"/>
        </w:rPr>
        <w:t>学校可通过数据安全治理服务能力，提升信息化综合管理水平，推进数据安全保护能力，</w:t>
      </w:r>
      <w:r>
        <w:rPr>
          <w:rFonts w:hint="eastAsia" w:ascii="宋体" w:hAnsi="宋体" w:eastAsia="宋体" w:cs="宋体"/>
          <w:color w:val="1C1917"/>
          <w:sz w:val="21"/>
          <w:szCs w:val="21"/>
          <w:highlight w:val="none"/>
          <w:shd w:val="clear" w:color="auto" w:fill="FFFFFF"/>
        </w:rPr>
        <w:t>加强对各类系统和数据资产的安全监控和风险管理。</w:t>
      </w:r>
    </w:p>
    <w:tbl>
      <w:tblPr>
        <w:tblStyle w:val="11"/>
        <w:tblW w:w="9442" w:type="dxa"/>
        <w:jc w:val="center"/>
        <w:tblInd w:w="0" w:type="dxa"/>
        <w:tblLayout w:type="fixed"/>
        <w:tblCellMar>
          <w:top w:w="15" w:type="dxa"/>
          <w:left w:w="15" w:type="dxa"/>
          <w:bottom w:w="15" w:type="dxa"/>
          <w:right w:w="15" w:type="dxa"/>
        </w:tblCellMar>
      </w:tblPr>
      <w:tblGrid>
        <w:gridCol w:w="965"/>
        <w:gridCol w:w="8477"/>
      </w:tblGrid>
      <w:tr>
        <w:tblPrEx>
          <w:tblLayout w:type="fixed"/>
          <w:tblCellMar>
            <w:top w:w="15" w:type="dxa"/>
            <w:left w:w="15" w:type="dxa"/>
            <w:bottom w:w="15" w:type="dxa"/>
            <w:right w:w="15" w:type="dxa"/>
          </w:tblCellMar>
        </w:tblPrEx>
        <w:trPr>
          <w:trHeight w:val="690" w:hRule="atLeast"/>
          <w:jc w:val="center"/>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分类</w:t>
            </w:r>
          </w:p>
        </w:tc>
        <w:tc>
          <w:tcPr>
            <w:tcW w:w="8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功能需求描述</w:t>
            </w:r>
          </w:p>
        </w:tc>
      </w:tr>
      <w:tr>
        <w:tblPrEx>
          <w:tblLayout w:type="fixed"/>
          <w:tblCellMar>
            <w:top w:w="15" w:type="dxa"/>
            <w:left w:w="15" w:type="dxa"/>
            <w:bottom w:w="15" w:type="dxa"/>
            <w:right w:w="15" w:type="dxa"/>
          </w:tblCellMar>
        </w:tblPrEx>
        <w:trPr>
          <w:trHeight w:val="620" w:hRule="atLeast"/>
          <w:jc w:val="center"/>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r>
              <w:rPr>
                <w:rFonts w:hint="eastAsia" w:ascii="宋体" w:hAnsi="宋体" w:eastAsia="宋体" w:cs="宋体"/>
                <w:color w:val="1C1917"/>
                <w:sz w:val="21"/>
                <w:szCs w:val="21"/>
                <w:highlight w:val="none"/>
                <w:shd w:val="clear" w:color="auto" w:fill="FFFFFF"/>
                <w:lang w:val="en-US" w:eastAsia="zh-CN"/>
              </w:rPr>
              <w:t>总体技术要求</w:t>
            </w:r>
          </w:p>
        </w:tc>
        <w:tc>
          <w:tcPr>
            <w:tcW w:w="8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lang w:val="en-US" w:eastAsia="zh-CN"/>
              </w:rPr>
              <w:t>通过实时记录学校业务系统及人员访问数据库行为，形成细粒度的审计报告，对风险行为和攻击行为进行实时告警，提供服务配套数据库审计软件服务工具，要求支持审计数据库实例无限制</w:t>
            </w:r>
            <w:r>
              <w:rPr>
                <w:rFonts w:hint="eastAsia" w:cs="宋体"/>
                <w:color w:val="1C1917"/>
                <w:sz w:val="21"/>
                <w:szCs w:val="21"/>
                <w:highlight w:val="none"/>
                <w:shd w:val="clear" w:color="auto" w:fill="FFFFFF"/>
                <w:lang w:val="en-US" w:eastAsia="zh-CN"/>
              </w:rPr>
              <w:t>。</w:t>
            </w:r>
          </w:p>
        </w:tc>
      </w:tr>
      <w:tr>
        <w:tblPrEx>
          <w:tblLayout w:type="fixed"/>
          <w:tblCellMar>
            <w:top w:w="15" w:type="dxa"/>
            <w:left w:w="15" w:type="dxa"/>
            <w:bottom w:w="15" w:type="dxa"/>
            <w:right w:w="15" w:type="dxa"/>
          </w:tblCellMar>
        </w:tblPrEx>
        <w:trPr>
          <w:trHeight w:val="620" w:hRule="atLeast"/>
          <w:jc w:val="center"/>
        </w:trPr>
        <w:tc>
          <w:tcPr>
            <w:tcW w:w="9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r>
              <w:rPr>
                <w:rFonts w:hint="eastAsia" w:ascii="宋体" w:hAnsi="宋体" w:eastAsia="宋体" w:cs="宋体"/>
                <w:color w:val="1C1917"/>
                <w:sz w:val="21"/>
                <w:szCs w:val="21"/>
                <w:highlight w:val="none"/>
                <w:shd w:val="clear" w:color="auto" w:fill="FFFFFF"/>
                <w:lang w:val="en-US" w:eastAsia="zh-CN"/>
              </w:rPr>
              <w:t>部署要求</w:t>
            </w:r>
          </w:p>
        </w:tc>
        <w:tc>
          <w:tcPr>
            <w:tcW w:w="8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eastAsia="zh-Hans"/>
              </w:rPr>
            </w:pPr>
            <w:r>
              <w:rPr>
                <w:rFonts w:hint="eastAsia" w:ascii="宋体" w:hAnsi="宋体" w:eastAsia="宋体" w:cs="宋体"/>
                <w:color w:val="1C1917"/>
                <w:sz w:val="21"/>
                <w:szCs w:val="21"/>
                <w:highlight w:val="none"/>
                <w:shd w:val="clear" w:color="auto" w:fill="FFFFFF"/>
                <w:lang w:val="en-US" w:eastAsia="zh-CN"/>
              </w:rPr>
              <w:t>服务工具要求支持在数据库服务器中安装Agent插件，解决业务系统在云环境、虚拟化环境内部流量无法镜像场景下数据库的审计</w:t>
            </w:r>
            <w:r>
              <w:rPr>
                <w:rFonts w:hint="eastAsia" w:cs="宋体"/>
                <w:color w:val="1C1917"/>
                <w:sz w:val="21"/>
                <w:szCs w:val="21"/>
                <w:highlight w:val="none"/>
                <w:shd w:val="clear" w:color="auto" w:fill="FFFFFF"/>
                <w:lang w:val="en-US" w:eastAsia="zh-CN"/>
              </w:rPr>
              <w:t>。</w:t>
            </w:r>
          </w:p>
        </w:tc>
      </w:tr>
      <w:tr>
        <w:tblPrEx>
          <w:tblLayout w:type="fixed"/>
          <w:tblCellMar>
            <w:top w:w="15" w:type="dxa"/>
            <w:left w:w="15" w:type="dxa"/>
            <w:bottom w:w="15" w:type="dxa"/>
            <w:right w:w="15" w:type="dxa"/>
          </w:tblCellMar>
        </w:tblPrEx>
        <w:trPr>
          <w:trHeight w:val="620" w:hRule="atLeast"/>
          <w:jc w:val="center"/>
        </w:trPr>
        <w:tc>
          <w:tcPr>
            <w:tcW w:w="9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r>
              <w:rPr>
                <w:rFonts w:hint="eastAsia" w:ascii="宋体" w:hAnsi="宋体" w:eastAsia="宋体" w:cs="宋体"/>
                <w:color w:val="1C1917"/>
                <w:sz w:val="21"/>
                <w:szCs w:val="21"/>
                <w:highlight w:val="none"/>
                <w:shd w:val="clear" w:color="auto" w:fill="FFFFFF"/>
                <w:lang w:val="en-US" w:eastAsia="zh-CN"/>
              </w:rPr>
              <w:t>数据库协议支持要求</w:t>
            </w:r>
          </w:p>
        </w:tc>
        <w:tc>
          <w:tcPr>
            <w:tcW w:w="8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eastAsia="zh-Hans"/>
              </w:rPr>
            </w:pPr>
            <w:r>
              <w:rPr>
                <w:rFonts w:hint="eastAsia" w:ascii="宋体" w:hAnsi="宋体" w:eastAsia="宋体" w:cs="宋体"/>
                <w:color w:val="1C1917"/>
                <w:sz w:val="21"/>
                <w:szCs w:val="21"/>
                <w:highlight w:val="none"/>
                <w:shd w:val="clear" w:color="auto" w:fill="FFFFFF"/>
                <w:lang w:val="en-US" w:eastAsia="zh-CN"/>
              </w:rPr>
              <w:t>服务工具要求支持Oracle（包括21C及其他版本）、Clickhouse、MySQL、SQL Server、Sybase ASE、DB2、Informix、Cache（包括2021及其他版本）、PostgreSQL（14及其他版本）、Vastbase、Teradata、MariaDB、Hana、LibrA、Sybase IQ、TiDB、Vertica、PolarDB、PolarDB-X、Percona-MySQL、Percona-MongoDB主流数据库协议审计，适配学校业务系统主流数据库。</w:t>
            </w:r>
          </w:p>
        </w:tc>
      </w:tr>
      <w:tr>
        <w:tblPrEx>
          <w:tblLayout w:type="fixed"/>
          <w:tblCellMar>
            <w:top w:w="15" w:type="dxa"/>
            <w:left w:w="15" w:type="dxa"/>
            <w:bottom w:w="15" w:type="dxa"/>
            <w:right w:w="15" w:type="dxa"/>
          </w:tblCellMar>
        </w:tblPrEx>
        <w:trPr>
          <w:trHeight w:val="620" w:hRule="atLeast"/>
          <w:jc w:val="center"/>
        </w:trPr>
        <w:tc>
          <w:tcPr>
            <w:tcW w:w="965"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eastAsia="zh-Hans"/>
              </w:rPr>
            </w:pPr>
            <w:r>
              <w:rPr>
                <w:rFonts w:hint="eastAsia" w:ascii="宋体" w:hAnsi="宋体" w:eastAsia="宋体" w:cs="宋体"/>
                <w:color w:val="1C1917"/>
                <w:sz w:val="21"/>
                <w:szCs w:val="21"/>
                <w:highlight w:val="none"/>
                <w:shd w:val="clear" w:color="auto" w:fill="FFFFFF"/>
                <w:lang w:val="en-US" w:eastAsia="zh-CN"/>
              </w:rPr>
              <w:t>服务工具要求支持达梦（DM8及其他版本）、南大通用(GBase）、高斯（GaussDB）、人大金仓（KingbaseV8、V7及其他版本）、K-DB、神舟通用（Oscar）、OceanBase、瀚高（HighGo DB)等国产数据库的审计，适配学校业务系统国产数据库改造要求</w:t>
            </w:r>
            <w:r>
              <w:rPr>
                <w:rFonts w:hint="eastAsia" w:cs="宋体"/>
                <w:color w:val="1C1917"/>
                <w:sz w:val="21"/>
                <w:szCs w:val="21"/>
                <w:highlight w:val="none"/>
                <w:shd w:val="clear" w:color="auto" w:fill="FFFFFF"/>
                <w:lang w:val="en-US" w:eastAsia="zh-CN"/>
              </w:rPr>
              <w:t>。</w:t>
            </w:r>
          </w:p>
        </w:tc>
      </w:tr>
      <w:tr>
        <w:tblPrEx>
          <w:tblLayout w:type="fixed"/>
          <w:tblCellMar>
            <w:top w:w="15" w:type="dxa"/>
            <w:left w:w="15" w:type="dxa"/>
            <w:bottom w:w="15" w:type="dxa"/>
            <w:right w:w="15" w:type="dxa"/>
          </w:tblCellMar>
        </w:tblPrEx>
        <w:trPr>
          <w:trHeight w:val="620" w:hRule="atLeast"/>
          <w:jc w:val="center"/>
        </w:trPr>
        <w:tc>
          <w:tcPr>
            <w:tcW w:w="96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r>
              <w:rPr>
                <w:rFonts w:hint="eastAsia" w:ascii="宋体" w:hAnsi="宋体" w:eastAsia="宋体" w:cs="宋体"/>
                <w:color w:val="1C1917"/>
                <w:sz w:val="21"/>
                <w:szCs w:val="21"/>
                <w:highlight w:val="none"/>
                <w:shd w:val="clear" w:color="auto" w:fill="FFFFFF"/>
                <w:lang w:val="en-US" w:eastAsia="zh-CN"/>
              </w:rPr>
              <w:t>数据可见性要求</w:t>
            </w: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eastAsia="zh-CN"/>
              </w:rPr>
            </w:pPr>
            <w:r>
              <w:rPr>
                <w:rFonts w:hint="eastAsia" w:ascii="宋体" w:hAnsi="宋体" w:eastAsia="宋体" w:cs="宋体"/>
                <w:color w:val="1C1917"/>
                <w:sz w:val="21"/>
                <w:szCs w:val="21"/>
                <w:highlight w:val="none"/>
                <w:shd w:val="clear" w:color="auto" w:fill="FFFFFF"/>
                <w:lang w:val="en-US" w:eastAsia="zh-CN"/>
              </w:rPr>
              <w:t>服务工具要求提供单独的SQL性能分析功能，单独展示SQL性能指标（包括整体平均耗时、高峰时平均耗时、低谷时平均耗时、最大单次执行时长、慢SQL数量与占比、慢SQL操作类型），以时间维度展示平均耗时趋势，且可与历史情况对比</w:t>
            </w:r>
            <w:r>
              <w:rPr>
                <w:rFonts w:hint="eastAsia" w:cs="宋体"/>
                <w:color w:val="FF0000"/>
                <w:sz w:val="21"/>
                <w:szCs w:val="21"/>
                <w:highlight w:val="none"/>
                <w:lang w:eastAsia="zh-CN"/>
              </w:rPr>
              <w:t>。</w:t>
            </w:r>
          </w:p>
        </w:tc>
      </w:tr>
      <w:tr>
        <w:tblPrEx>
          <w:tblLayout w:type="fixed"/>
          <w:tblCellMar>
            <w:top w:w="15" w:type="dxa"/>
            <w:left w:w="15" w:type="dxa"/>
            <w:bottom w:w="15" w:type="dxa"/>
            <w:right w:w="15" w:type="dxa"/>
          </w:tblCellMar>
        </w:tblPrEx>
        <w:trPr>
          <w:trHeight w:val="620" w:hRule="atLeast"/>
          <w:jc w:val="center"/>
        </w:trPr>
        <w:tc>
          <w:tcPr>
            <w:tcW w:w="965" w:type="dxa"/>
            <w:vMerge w:val="restart"/>
            <w:tcBorders>
              <w:top w:val="single" w:color="000000" w:sz="4" w:space="0"/>
              <w:left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审计要求</w:t>
            </w: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服务工具要求支持数据库操作表、视图、索引、存储过程等</w:t>
            </w:r>
            <w:r>
              <w:rPr>
                <w:rFonts w:hint="eastAsia" w:ascii="宋体" w:hAnsi="宋体" w:eastAsia="宋体" w:cs="宋体"/>
                <w:spacing w:val="0"/>
                <w:kern w:val="2"/>
                <w:sz w:val="21"/>
                <w:szCs w:val="21"/>
                <w:highlight w:val="none"/>
                <w:lang w:val="en-US" w:eastAsia="zh-CN" w:bidi="ar-SA"/>
              </w:rPr>
              <w:fldChar w:fldCharType="begin"/>
            </w:r>
            <w:r>
              <w:rPr>
                <w:rFonts w:hint="eastAsia" w:ascii="宋体" w:hAnsi="宋体" w:eastAsia="宋体" w:cs="宋体"/>
                <w:spacing w:val="0"/>
                <w:kern w:val="2"/>
                <w:sz w:val="21"/>
                <w:szCs w:val="21"/>
                <w:highlight w:val="none"/>
                <w:lang w:val="en-US" w:eastAsia="zh-CN" w:bidi="ar-SA"/>
              </w:rPr>
              <w:instrText xml:space="preserve"> HYPERLINK \l "_支持各种对象的SQL审计_1" </w:instrText>
            </w:r>
            <w:r>
              <w:rPr>
                <w:rFonts w:hint="eastAsia" w:ascii="宋体" w:hAnsi="宋体" w:eastAsia="宋体" w:cs="宋体"/>
                <w:spacing w:val="0"/>
                <w:kern w:val="2"/>
                <w:sz w:val="21"/>
                <w:szCs w:val="21"/>
                <w:highlight w:val="none"/>
                <w:lang w:val="en-US" w:eastAsia="zh-CN" w:bidi="ar-SA"/>
              </w:rPr>
              <w:fldChar w:fldCharType="separate"/>
            </w:r>
            <w:r>
              <w:rPr>
                <w:rFonts w:hint="eastAsia" w:ascii="宋体" w:hAnsi="宋体" w:eastAsia="宋体" w:cs="宋体"/>
                <w:spacing w:val="0"/>
                <w:kern w:val="2"/>
                <w:sz w:val="21"/>
                <w:szCs w:val="21"/>
                <w:highlight w:val="none"/>
                <w:lang w:val="en-US" w:eastAsia="zh-CN" w:bidi="ar-SA"/>
              </w:rPr>
              <w:t>各种对象的所有SQL操作审计</w:t>
            </w:r>
            <w:r>
              <w:rPr>
                <w:rFonts w:hint="eastAsia" w:ascii="宋体" w:hAnsi="宋体" w:eastAsia="宋体" w:cs="宋体"/>
                <w:spacing w:val="0"/>
                <w:kern w:val="2"/>
                <w:sz w:val="21"/>
                <w:szCs w:val="21"/>
                <w:highlight w:val="none"/>
                <w:lang w:val="en-US" w:eastAsia="zh-CN" w:bidi="ar-SA"/>
              </w:rPr>
              <w:fldChar w:fldCharType="end"/>
            </w:r>
            <w:r>
              <w:rPr>
                <w:rFonts w:hint="eastAsia" w:ascii="宋体" w:hAnsi="宋体" w:eastAsia="宋体" w:cs="宋体"/>
                <w:spacing w:val="0"/>
                <w:kern w:val="2"/>
                <w:sz w:val="21"/>
                <w:szCs w:val="21"/>
                <w:highlight w:val="none"/>
                <w:lang w:val="en-US" w:eastAsia="zh-CN" w:bidi="ar-SA"/>
              </w:rPr>
              <w:t>功能</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620" w:hRule="atLeast"/>
          <w:jc w:val="center"/>
        </w:trPr>
        <w:tc>
          <w:tcPr>
            <w:tcW w:w="965" w:type="dxa"/>
            <w:vMerge w:val="continue"/>
            <w:tcBorders>
              <w:left w:val="single" w:color="000000" w:sz="4" w:space="0"/>
              <w:right w:val="single" w:color="000000" w:sz="4" w:space="0"/>
            </w:tcBorders>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服务工具要求支持在双向审计场景下根据以往审计命中情况设置结果集存储策略，设置保存行数与最大保存长度</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620" w:hRule="atLeast"/>
          <w:jc w:val="center"/>
        </w:trPr>
        <w:tc>
          <w:tcPr>
            <w:tcW w:w="965" w:type="dxa"/>
            <w:vMerge w:val="continue"/>
            <w:tcBorders>
              <w:left w:val="single" w:color="000000" w:sz="4" w:space="0"/>
              <w:right w:val="single" w:color="000000" w:sz="4" w:space="0"/>
            </w:tcBorders>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服务工具要求支持在本地直连数据库场景下的审计，通过本地Agent捕获本地数据库客户端程序中实际响应的SQL指令，实现对本地人员的数据库操作行为的审计，能够审计主流数据库如Oracle、PostgreSQL、MySQL、SQL Server、DB2等</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401" w:hRule="atLeast"/>
          <w:jc w:val="center"/>
        </w:trPr>
        <w:tc>
          <w:tcPr>
            <w:tcW w:w="965" w:type="dxa"/>
            <w:vMerge w:val="continue"/>
            <w:tcBorders>
              <w:left w:val="single" w:color="000000" w:sz="4" w:space="0"/>
              <w:bottom w:val="single" w:color="000000" w:sz="4" w:space="0"/>
              <w:right w:val="single" w:color="000000" w:sz="4" w:space="0"/>
            </w:tcBorders>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服务工具要求支持超长SQL语句（如SQL语句长度≥4M）审计</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620" w:hRule="atLeast"/>
          <w:jc w:val="center"/>
        </w:trPr>
        <w:tc>
          <w:tcPr>
            <w:tcW w:w="965" w:type="dxa"/>
            <w:vMerge w:val="restart"/>
            <w:tcBorders>
              <w:top w:val="single" w:color="000000" w:sz="4" w:space="0"/>
              <w:left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安全审计要求</w:t>
            </w: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服务工具要求支持安全审计规则，规则类型有SQL注入、账号安全、数据泄露和违规操作等，安全规则数量不少于900条，并可依据规则进行邮件告警</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620" w:hRule="atLeast"/>
          <w:jc w:val="center"/>
        </w:trPr>
        <w:tc>
          <w:tcPr>
            <w:tcW w:w="965" w:type="dxa"/>
            <w:vMerge w:val="continue"/>
            <w:tcBorders>
              <w:left w:val="single" w:color="000000" w:sz="4" w:space="0"/>
              <w:right w:val="single" w:color="000000" w:sz="4" w:space="0"/>
            </w:tcBorders>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服务工具要求支持安全规则遍历匹配功能，针对某个操作，将全部安全规则进行匹配，并返回所有匹配的告警结果</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400" w:hRule="atLeast"/>
          <w:jc w:val="center"/>
        </w:trPr>
        <w:tc>
          <w:tcPr>
            <w:tcW w:w="965" w:type="dxa"/>
            <w:vMerge w:val="continue"/>
            <w:tcBorders>
              <w:left w:val="single" w:color="000000" w:sz="4" w:space="0"/>
              <w:bottom w:val="single" w:color="000000" w:sz="4" w:space="0"/>
              <w:right w:val="single" w:color="000000" w:sz="4" w:space="0"/>
            </w:tcBorders>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服务工具要求支持安全规则通过规则包进行单独升级功能</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620" w:hRule="atLeast"/>
          <w:jc w:val="center"/>
        </w:trPr>
        <w:tc>
          <w:tcPr>
            <w:tcW w:w="965" w:type="dxa"/>
            <w:vMerge w:val="restart"/>
            <w:tcBorders>
              <w:top w:val="single" w:color="000000" w:sz="4" w:space="0"/>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查询分析要求</w:t>
            </w: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服务工具要求支持在审计日志中一键添加过滤规则，在告警规则中一键添加信任规则或规则白名单功能</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620" w:hRule="atLeast"/>
          <w:jc w:val="center"/>
        </w:trPr>
        <w:tc>
          <w:tcPr>
            <w:tcW w:w="965" w:type="dxa"/>
            <w:vMerge w:val="continue"/>
            <w:tcBorders>
              <w:left w:val="single" w:color="000000" w:sz="4" w:space="0"/>
              <w:right w:val="single" w:color="000000" w:sz="4" w:space="0"/>
            </w:tcBorders>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服务工具要求支持设置日志检索条件时，检索条件可根据历史信息自动弹出，即输入检索条件时能够智能联想查询条件</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620" w:hRule="atLeast"/>
          <w:jc w:val="center"/>
        </w:trPr>
        <w:tc>
          <w:tcPr>
            <w:tcW w:w="965" w:type="dxa"/>
            <w:vMerge w:val="continue"/>
            <w:tcBorders>
              <w:left w:val="single" w:color="000000" w:sz="4" w:space="0"/>
              <w:right w:val="single" w:color="000000" w:sz="4" w:space="0"/>
            </w:tcBorders>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服务工具要求支持告警分析功能，告警分析可按照“客户端IP+数据库账号”的组合对SQL模板维度进行排行，可在功能页面中一键添加到白名单、一键添加到信任规则</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620" w:hRule="atLeast"/>
          <w:jc w:val="center"/>
        </w:trPr>
        <w:tc>
          <w:tcPr>
            <w:tcW w:w="965" w:type="dxa"/>
            <w:vMerge w:val="continue"/>
            <w:tcBorders>
              <w:left w:val="single" w:color="000000" w:sz="4" w:space="0"/>
              <w:right w:val="single" w:color="000000" w:sz="4" w:space="0"/>
            </w:tcBorders>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日志查询时分析筛选功能，根据查询条件自动分析出存在的数据库账号、客户端IP、客户端工具、操作系统用户名、服务端IP、操作类型、数据库名/实例名、表名、主机名、执行状态、执行时长、影响行数等，并可在以上各个维度中灵活筛选分析</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620" w:hRule="atLeast"/>
          <w:jc w:val="center"/>
        </w:trPr>
        <w:tc>
          <w:tcPr>
            <w:tcW w:w="965" w:type="dxa"/>
            <w:vMerge w:val="continue"/>
            <w:tcBorders>
              <w:left w:val="single" w:color="000000" w:sz="4" w:space="0"/>
              <w:bottom w:val="single" w:color="000000" w:sz="4" w:space="0"/>
              <w:right w:val="single" w:color="000000" w:sz="4" w:space="0"/>
            </w:tcBorders>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服务工具要求支持历史会话中的审计记录直接导出功能，通过“查询分析”按钮跳转至审计日志页面进行进一步的分析筛选</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620" w:hRule="atLeast"/>
          <w:jc w:val="center"/>
        </w:trPr>
        <w:tc>
          <w:tcPr>
            <w:tcW w:w="96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模型分析要求</w:t>
            </w: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服务工具要求支持按照客户端工具名、数据库用户名、客户端IP、操作系统用户名、客户端主机名、数据库名、操作类型、服务器IP等配置行为模型，并可查看相应模型产生的告警日志</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385" w:hRule="atLeast"/>
          <w:jc w:val="center"/>
        </w:trPr>
        <w:tc>
          <w:tcPr>
            <w:tcW w:w="965" w:type="dxa"/>
            <w:vMerge w:val="restart"/>
            <w:tcBorders>
              <w:top w:val="single" w:color="000000" w:sz="4" w:space="0"/>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报表功能要求</w:t>
            </w: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服务工具要求内置</w:t>
            </w:r>
            <w:r>
              <w:rPr>
                <w:rFonts w:hint="eastAsia" w:ascii="宋体" w:hAnsi="宋体" w:eastAsia="宋体" w:cs="宋体"/>
                <w:spacing w:val="0"/>
                <w:kern w:val="2"/>
                <w:sz w:val="21"/>
                <w:szCs w:val="21"/>
                <w:highlight w:val="none"/>
                <w:lang w:val="en-US" w:eastAsia="zh-CN" w:bidi="ar-SA"/>
              </w:rPr>
              <w:fldChar w:fldCharType="begin"/>
            </w:r>
            <w:r>
              <w:rPr>
                <w:rFonts w:hint="eastAsia" w:ascii="宋体" w:hAnsi="宋体" w:eastAsia="宋体" w:cs="宋体"/>
                <w:spacing w:val="0"/>
                <w:kern w:val="2"/>
                <w:sz w:val="21"/>
                <w:szCs w:val="21"/>
                <w:highlight w:val="none"/>
                <w:lang w:val="en-US" w:eastAsia="zh-CN" w:bidi="ar-SA"/>
              </w:rPr>
              <w:instrText xml:space="preserve"> HYPERLINK \l "_内置多种报表模板" </w:instrText>
            </w:r>
            <w:r>
              <w:rPr>
                <w:rFonts w:hint="eastAsia" w:ascii="宋体" w:hAnsi="宋体" w:eastAsia="宋体" w:cs="宋体"/>
                <w:spacing w:val="0"/>
                <w:kern w:val="2"/>
                <w:sz w:val="21"/>
                <w:szCs w:val="21"/>
                <w:highlight w:val="none"/>
                <w:lang w:val="en-US" w:eastAsia="zh-CN" w:bidi="ar-SA"/>
              </w:rPr>
              <w:fldChar w:fldCharType="separate"/>
            </w:r>
            <w:r>
              <w:rPr>
                <w:rFonts w:hint="eastAsia" w:ascii="宋体" w:hAnsi="宋体" w:eastAsia="宋体" w:cs="宋体"/>
                <w:spacing w:val="0"/>
                <w:kern w:val="2"/>
                <w:sz w:val="21"/>
                <w:szCs w:val="21"/>
                <w:highlight w:val="none"/>
                <w:lang w:val="en-US" w:eastAsia="zh-CN" w:bidi="ar-SA"/>
              </w:rPr>
              <w:t>多种报表模板库</w:t>
            </w:r>
            <w:r>
              <w:rPr>
                <w:rFonts w:hint="eastAsia" w:ascii="宋体" w:hAnsi="宋体" w:eastAsia="宋体" w:cs="宋体"/>
                <w:spacing w:val="0"/>
                <w:kern w:val="2"/>
                <w:sz w:val="21"/>
                <w:szCs w:val="21"/>
                <w:highlight w:val="none"/>
                <w:lang w:val="en-US" w:eastAsia="zh-CN" w:bidi="ar-SA"/>
              </w:rPr>
              <w:fldChar w:fldCharType="end"/>
            </w:r>
            <w:r>
              <w:rPr>
                <w:rFonts w:hint="eastAsia" w:ascii="宋体" w:hAnsi="宋体" w:eastAsia="宋体" w:cs="宋体"/>
                <w:spacing w:val="0"/>
                <w:kern w:val="2"/>
                <w:sz w:val="21"/>
                <w:szCs w:val="21"/>
                <w:highlight w:val="none"/>
                <w:lang w:val="en-US" w:eastAsia="zh-CN" w:bidi="ar-SA"/>
              </w:rPr>
              <w:t>，报表类型不少于20种</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620" w:hRule="atLeast"/>
          <w:jc w:val="center"/>
        </w:trPr>
        <w:tc>
          <w:tcPr>
            <w:tcW w:w="965" w:type="dxa"/>
            <w:vMerge w:val="continue"/>
            <w:tcBorders>
              <w:left w:val="single" w:color="000000" w:sz="4" w:space="0"/>
              <w:bottom w:val="single" w:color="000000" w:sz="4" w:space="0"/>
              <w:right w:val="single" w:color="000000" w:sz="4" w:space="0"/>
            </w:tcBorders>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自定义报表功能，报表统计维度包括告警名称、告警等级、操作类型、操作系统用户名、数据库名/实例名、主机名、数据库账号、客户端IP、客户端工具、数据库类型、客户端端口等，统计指标来自审计日志、告警日志、会话日志等不少于29种，根据以上条件进行灵活选择后生成报表</w:t>
            </w:r>
            <w:r>
              <w:rPr>
                <w:rFonts w:hint="eastAsia" w:cs="宋体"/>
                <w:color w:val="FF0000"/>
                <w:sz w:val="21"/>
                <w:szCs w:val="21"/>
                <w:highlight w:val="none"/>
                <w:lang w:eastAsia="zh-CN"/>
              </w:rPr>
              <w:t>。</w:t>
            </w:r>
          </w:p>
        </w:tc>
      </w:tr>
      <w:tr>
        <w:tblPrEx>
          <w:tblLayout w:type="fixed"/>
          <w:tblCellMar>
            <w:top w:w="15" w:type="dxa"/>
            <w:left w:w="15" w:type="dxa"/>
            <w:bottom w:w="15" w:type="dxa"/>
            <w:right w:w="15" w:type="dxa"/>
          </w:tblCellMar>
        </w:tblPrEx>
        <w:trPr>
          <w:trHeight w:val="620" w:hRule="atLeast"/>
          <w:jc w:val="center"/>
        </w:trPr>
        <w:tc>
          <w:tcPr>
            <w:tcW w:w="965" w:type="dxa"/>
            <w:vMerge w:val="restart"/>
            <w:tcBorders>
              <w:top w:val="single" w:color="000000" w:sz="4" w:space="0"/>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Agent管理要求</w:t>
            </w: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服务工具要求支持在审计功能页面直接升级或回退已安装在数据库服务器上的Agent，显示相应的升级/回退进度和结果，且升级或回退不需要输入数据库服务器的账号、密码</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620" w:hRule="atLeast"/>
          <w:jc w:val="center"/>
        </w:trPr>
        <w:tc>
          <w:tcPr>
            <w:tcW w:w="965" w:type="dxa"/>
            <w:vMerge w:val="continue"/>
            <w:tcBorders>
              <w:left w:val="single" w:color="000000" w:sz="4" w:space="0"/>
              <w:bottom w:val="single" w:color="000000" w:sz="4" w:space="0"/>
              <w:right w:val="single" w:color="000000" w:sz="4" w:space="0"/>
            </w:tcBorders>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服务工具要求支持监控Agent的转发速率和Agent所在数据库服务器的CPU、内存利用率，可设置CPU、内存利用率的上限阈值，超阈值时Agent将自动停止转发数据，避免部署agent影响数据库业务</w:t>
            </w:r>
            <w:r>
              <w:rPr>
                <w:rFonts w:hint="eastAsia" w:cs="宋体"/>
                <w:spacing w:val="0"/>
                <w:kern w:val="2"/>
                <w:sz w:val="21"/>
                <w:szCs w:val="21"/>
                <w:highlight w:val="none"/>
                <w:lang w:val="en-US" w:eastAsia="zh-CN" w:bidi="ar-SA"/>
              </w:rPr>
              <w:t>。</w:t>
            </w:r>
          </w:p>
        </w:tc>
      </w:tr>
      <w:tr>
        <w:tblPrEx>
          <w:tblLayout w:type="fixed"/>
          <w:tblCellMar>
            <w:top w:w="15" w:type="dxa"/>
            <w:left w:w="15" w:type="dxa"/>
            <w:bottom w:w="15" w:type="dxa"/>
            <w:right w:w="15" w:type="dxa"/>
          </w:tblCellMar>
        </w:tblPrEx>
        <w:trPr>
          <w:trHeight w:val="620" w:hRule="atLeast"/>
          <w:jc w:val="center"/>
        </w:trPr>
        <w:tc>
          <w:tcPr>
            <w:tcW w:w="965" w:type="dxa"/>
            <w:vMerge w:val="restart"/>
            <w:tcBorders>
              <w:top w:val="single" w:color="000000" w:sz="4" w:space="0"/>
              <w:left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维护性要求</w:t>
            </w: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服务工具要求支持运维终端，可实现日志查看与下载、监控日志、设备状态检测、查看系统资源使用、查看共享内存使用、查看Kafka消费情况、执行SQL语句、执行常用命令、特权运维等，方便日常维护</w:t>
            </w:r>
          </w:p>
        </w:tc>
      </w:tr>
      <w:tr>
        <w:tblPrEx>
          <w:tblLayout w:type="fixed"/>
          <w:tblCellMar>
            <w:top w:w="15" w:type="dxa"/>
            <w:left w:w="15" w:type="dxa"/>
            <w:bottom w:w="15" w:type="dxa"/>
            <w:right w:w="15" w:type="dxa"/>
          </w:tblCellMar>
        </w:tblPrEx>
        <w:trPr>
          <w:trHeight w:val="620" w:hRule="atLeast"/>
          <w:jc w:val="center"/>
        </w:trPr>
        <w:tc>
          <w:tcPr>
            <w:tcW w:w="965" w:type="dxa"/>
            <w:vMerge w:val="continue"/>
            <w:tcBorders>
              <w:left w:val="single" w:color="000000" w:sz="4" w:space="0"/>
              <w:bottom w:val="single" w:color="000000" w:sz="4" w:space="0"/>
              <w:right w:val="single" w:color="000000" w:sz="4" w:space="0"/>
            </w:tcBorders>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p>
        </w:tc>
        <w:tc>
          <w:tcPr>
            <w:tcW w:w="847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服务工具要求系统引擎管理，可查看引擎运行状态，并支持调整引擎运行参数，用于软件平台调优</w:t>
            </w:r>
          </w:p>
        </w:tc>
      </w:tr>
    </w:tbl>
    <w:p>
      <w:pPr>
        <w:keepNext w:val="0"/>
        <w:keepLines w:val="0"/>
        <w:pageBreakBefore w:val="0"/>
        <w:kinsoku/>
        <w:wordWrap/>
        <w:overflowPunct/>
        <w:topLinePunct w:val="0"/>
        <w:autoSpaceDE/>
        <w:autoSpaceDN/>
        <w:bidi w:val="0"/>
        <w:spacing w:line="288" w:lineRule="auto"/>
        <w:ind w:left="0" w:leftChars="0" w:right="0" w:firstLine="422" w:firstLineChars="200"/>
        <w:jc w:val="left"/>
        <w:outlineLvl w:val="9"/>
        <w:rPr>
          <w:rFonts w:hint="eastAsia" w:ascii="宋体" w:hAnsi="宋体" w:eastAsia="宋体" w:cs="宋体"/>
          <w:b/>
          <w:bCs/>
          <w:color w:val="1C1917"/>
          <w:sz w:val="21"/>
          <w:szCs w:val="21"/>
          <w:highlight w:val="none"/>
          <w:shd w:val="clear" w:color="auto" w:fill="FFFFFF"/>
          <w:lang w:eastAsia="zh-Hans"/>
        </w:rPr>
      </w:pPr>
    </w:p>
    <w:p>
      <w:pPr>
        <w:keepNext w:val="0"/>
        <w:keepLines w:val="0"/>
        <w:pageBreakBefore w:val="0"/>
        <w:numPr>
          <w:ilvl w:val="0"/>
          <w:numId w:val="0"/>
        </w:numPr>
        <w:kinsoku/>
        <w:wordWrap/>
        <w:overflowPunct/>
        <w:topLinePunct w:val="0"/>
        <w:autoSpaceDE/>
        <w:autoSpaceDN/>
        <w:bidi w:val="0"/>
        <w:spacing w:line="288" w:lineRule="auto"/>
        <w:ind w:right="0" w:rightChars="0" w:firstLine="422" w:firstLineChars="200"/>
        <w:jc w:val="left"/>
        <w:outlineLvl w:val="9"/>
        <w:rPr>
          <w:rFonts w:hint="eastAsia" w:ascii="宋体" w:hAnsi="宋体" w:eastAsia="宋体" w:cs="宋体"/>
          <w:b/>
          <w:bCs/>
          <w:color w:val="1C1917"/>
          <w:sz w:val="21"/>
          <w:szCs w:val="21"/>
          <w:highlight w:val="none"/>
          <w:shd w:val="clear" w:color="auto" w:fill="FFFFFF"/>
        </w:rPr>
      </w:pPr>
      <w:r>
        <w:rPr>
          <w:rFonts w:hint="eastAsia" w:cs="宋体"/>
          <w:b/>
          <w:bCs/>
          <w:color w:val="1C1917"/>
          <w:sz w:val="21"/>
          <w:szCs w:val="21"/>
          <w:highlight w:val="none"/>
          <w:shd w:val="clear" w:color="auto" w:fill="FFFFFF"/>
          <w:lang w:eastAsia="zh-CN"/>
        </w:rPr>
        <w:t>（</w:t>
      </w:r>
      <w:r>
        <w:rPr>
          <w:rFonts w:hint="eastAsia" w:cs="宋体"/>
          <w:b/>
          <w:bCs/>
          <w:color w:val="1C1917"/>
          <w:sz w:val="21"/>
          <w:szCs w:val="21"/>
          <w:highlight w:val="none"/>
          <w:shd w:val="clear" w:color="auto" w:fill="FFFFFF"/>
          <w:lang w:val="en-US" w:eastAsia="zh-CN"/>
        </w:rPr>
        <w:t>六</w:t>
      </w:r>
      <w:r>
        <w:rPr>
          <w:rFonts w:hint="eastAsia" w:cs="宋体"/>
          <w:b/>
          <w:bCs/>
          <w:color w:val="1C1917"/>
          <w:sz w:val="21"/>
          <w:szCs w:val="21"/>
          <w:highlight w:val="none"/>
          <w:shd w:val="clear" w:color="auto" w:fill="FFFFFF"/>
          <w:lang w:eastAsia="zh-CN"/>
        </w:rPr>
        <w:t>）</w:t>
      </w:r>
      <w:r>
        <w:rPr>
          <w:rFonts w:hint="eastAsia" w:ascii="宋体" w:hAnsi="宋体" w:eastAsia="宋体" w:cs="宋体"/>
          <w:b/>
          <w:bCs/>
          <w:color w:val="1C1917"/>
          <w:sz w:val="21"/>
          <w:szCs w:val="21"/>
          <w:highlight w:val="none"/>
          <w:shd w:val="clear" w:color="auto" w:fill="FFFFFF"/>
        </w:rPr>
        <w:t>党宣系统</w:t>
      </w:r>
    </w:p>
    <w:p>
      <w:pPr>
        <w:keepNext w:val="0"/>
        <w:keepLines w:val="0"/>
        <w:pageBreakBefore w:val="0"/>
        <w:kinsoku/>
        <w:wordWrap/>
        <w:overflowPunct/>
        <w:topLinePunct w:val="0"/>
        <w:autoSpaceDE/>
        <w:autoSpaceDN/>
        <w:bidi w:val="0"/>
        <w:spacing w:line="288" w:lineRule="auto"/>
        <w:ind w:left="0" w:leftChars="0" w:right="0" w:firstLine="420" w:firstLineChars="20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打造新形态的党员学习平台,进行党员理论学习及其他党务工作的数字化管理。</w:t>
      </w:r>
    </w:p>
    <w:tbl>
      <w:tblPr>
        <w:tblStyle w:val="11"/>
        <w:tblW w:w="9442" w:type="dxa"/>
        <w:tblInd w:w="0" w:type="dxa"/>
        <w:tblLayout w:type="fixed"/>
        <w:tblCellMar>
          <w:top w:w="15" w:type="dxa"/>
          <w:left w:w="15" w:type="dxa"/>
          <w:bottom w:w="15" w:type="dxa"/>
          <w:right w:w="15" w:type="dxa"/>
        </w:tblCellMar>
      </w:tblPr>
      <w:tblGrid>
        <w:gridCol w:w="799"/>
        <w:gridCol w:w="1429"/>
        <w:gridCol w:w="7214"/>
      </w:tblGrid>
      <w:tr>
        <w:tblPrEx>
          <w:tblLayout w:type="fixed"/>
          <w:tblCellMar>
            <w:top w:w="15" w:type="dxa"/>
            <w:left w:w="15" w:type="dxa"/>
            <w:bottom w:w="15" w:type="dxa"/>
            <w:right w:w="15" w:type="dxa"/>
          </w:tblCellMar>
        </w:tblPrEx>
        <w:trPr>
          <w:trHeight w:val="690" w:hRule="atLeast"/>
        </w:trPr>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分类</w:t>
            </w:r>
          </w:p>
        </w:tc>
        <w:tc>
          <w:tcPr>
            <w:tcW w:w="14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功能项</w:t>
            </w:r>
          </w:p>
        </w:tc>
        <w:tc>
          <w:tcPr>
            <w:tcW w:w="7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功能需求描述</w:t>
            </w:r>
          </w:p>
        </w:tc>
      </w:tr>
      <w:tr>
        <w:tblPrEx>
          <w:tblLayout w:type="fixed"/>
          <w:tblCellMar>
            <w:top w:w="15" w:type="dxa"/>
            <w:left w:w="15" w:type="dxa"/>
            <w:bottom w:w="15" w:type="dxa"/>
            <w:right w:w="15" w:type="dxa"/>
          </w:tblCellMar>
        </w:tblPrEx>
        <w:trPr>
          <w:trHeight w:val="620" w:hRule="atLeast"/>
        </w:trPr>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数据可视化</w:t>
            </w:r>
          </w:p>
        </w:tc>
        <w:tc>
          <w:tcPr>
            <w:tcW w:w="14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提供数据可视化首页</w:t>
            </w:r>
          </w:p>
        </w:tc>
        <w:tc>
          <w:tcPr>
            <w:tcW w:w="721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eastAsia="zh-CN"/>
              </w:rPr>
            </w:pPr>
            <w:r>
              <w:rPr>
                <w:rFonts w:hint="eastAsia" w:ascii="宋体" w:hAnsi="宋体" w:eastAsia="宋体" w:cs="宋体"/>
                <w:color w:val="1C1917"/>
                <w:sz w:val="21"/>
                <w:szCs w:val="21"/>
                <w:highlight w:val="none"/>
                <w:shd w:val="clear" w:color="auto" w:fill="FFFFFF"/>
              </w:rPr>
              <w:t>1</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展示学习任务和中心组数量</w:t>
            </w:r>
            <w:r>
              <w:rPr>
                <w:rFonts w:hint="eastAsia" w:cs="宋体"/>
                <w:color w:val="1C1917"/>
                <w:sz w:val="21"/>
                <w:szCs w:val="21"/>
                <w:highlight w:val="none"/>
                <w:shd w:val="clear" w:color="auto" w:fill="FFFFFF"/>
                <w:lang w:eastAsia="zh-CN"/>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2</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将各中心组学习任务完成的数据用柱状图进行可视化展示。</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3</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根据任务完成情况计算学习任务完成率和达标率，排序后用进度条展示。</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4</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对于进入红黄榜的未完成任务进行预警展示。</w:t>
            </w:r>
          </w:p>
        </w:tc>
      </w:tr>
      <w:tr>
        <w:tblPrEx>
          <w:tblLayout w:type="fixed"/>
          <w:tblCellMar>
            <w:top w:w="15" w:type="dxa"/>
            <w:left w:w="15" w:type="dxa"/>
            <w:bottom w:w="15" w:type="dxa"/>
            <w:right w:w="15" w:type="dxa"/>
          </w:tblCellMar>
        </w:tblPrEx>
        <w:trPr>
          <w:trHeight w:val="620" w:hRule="atLeast"/>
        </w:trPr>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学习任务管理</w:t>
            </w:r>
          </w:p>
        </w:tc>
        <w:tc>
          <w:tcPr>
            <w:tcW w:w="14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提供学习任务的创建、上报、管理和预警功能</w:t>
            </w:r>
          </w:p>
        </w:tc>
        <w:tc>
          <w:tcPr>
            <w:tcW w:w="721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1</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提供管理员对学习任务的发布、删除和修改功能。管理员可以设定学习任务的红黄榜时间和学习形式。</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2</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中心组能够对管理员下发的学习任务进行查看，并根据自己的学习形式进行上报。</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3</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管理员能够对中心组上报的信息进行管理。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4</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管理员可以设置学习任务主题类别是否可见。</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5</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提供关于学习主题的查询功能。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color w:val="1C1917"/>
                <w:sz w:val="21"/>
                <w:szCs w:val="21"/>
                <w:highlight w:val="none"/>
                <w:shd w:val="clear" w:color="auto" w:fill="FFFFFF"/>
              </w:rPr>
              <w:t>6</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提供中心组在规定的红黄榜时间内未进行学习上报时进行预警的功能，包括在首页展示预警信息、任务栏消息推送以及预警监督页面的显示。</w:t>
            </w:r>
          </w:p>
        </w:tc>
      </w:tr>
      <w:tr>
        <w:tblPrEx>
          <w:tblLayout w:type="fixed"/>
          <w:tblCellMar>
            <w:top w:w="15" w:type="dxa"/>
            <w:left w:w="15" w:type="dxa"/>
            <w:bottom w:w="15" w:type="dxa"/>
            <w:right w:w="15" w:type="dxa"/>
          </w:tblCellMar>
        </w:tblPrEx>
        <w:trPr>
          <w:trHeight w:val="620" w:hRule="atLeast"/>
        </w:trPr>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理论材料下发管理</w:t>
            </w:r>
          </w:p>
        </w:tc>
        <w:tc>
          <w:tcPr>
            <w:tcW w:w="14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提供理论材料的管理功能</w:t>
            </w:r>
          </w:p>
        </w:tc>
        <w:tc>
          <w:tcPr>
            <w:tcW w:w="7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1</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提供管理员理论材料信息的发布、删除和附件管理功能。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color w:val="1C1917"/>
                <w:sz w:val="21"/>
                <w:szCs w:val="21"/>
                <w:highlight w:val="none"/>
                <w:shd w:val="clear" w:color="auto" w:fill="FFFFFF"/>
              </w:rPr>
              <w:t>2</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中心组可以查看材料信息并下载附件。</w:t>
            </w:r>
          </w:p>
        </w:tc>
      </w:tr>
      <w:tr>
        <w:tblPrEx>
          <w:tblLayout w:type="fixed"/>
          <w:tblCellMar>
            <w:top w:w="15" w:type="dxa"/>
            <w:left w:w="15" w:type="dxa"/>
            <w:bottom w:w="15" w:type="dxa"/>
            <w:right w:w="15" w:type="dxa"/>
          </w:tblCellMar>
        </w:tblPrEx>
        <w:trPr>
          <w:trHeight w:val="620" w:hRule="atLeast"/>
        </w:trPr>
        <w:tc>
          <w:tcPr>
            <w:tcW w:w="79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巡听旁听</w:t>
            </w:r>
          </w:p>
        </w:tc>
        <w:tc>
          <w:tcPr>
            <w:tcW w:w="142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提供巡听旁听信息的管理功能</w:t>
            </w:r>
          </w:p>
        </w:tc>
        <w:tc>
          <w:tcPr>
            <w:tcW w:w="7214"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1.提供管理员对巡听信息的管理，包括新增、删除、修改以及对附件的管理。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2.提供中心组成员对巡听信息的查看和附件下载功能。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color w:val="1C1917"/>
                <w:sz w:val="21"/>
                <w:szCs w:val="21"/>
                <w:highlight w:val="none"/>
                <w:shd w:val="clear" w:color="auto" w:fill="FFFFFF"/>
              </w:rPr>
              <w:t>3.提供关于中心组名称和学习主题的查询功能。</w:t>
            </w:r>
          </w:p>
        </w:tc>
      </w:tr>
      <w:tr>
        <w:tblPrEx>
          <w:tblLayout w:type="fixed"/>
          <w:tblCellMar>
            <w:top w:w="15" w:type="dxa"/>
            <w:left w:w="15" w:type="dxa"/>
            <w:bottom w:w="15" w:type="dxa"/>
            <w:right w:w="15" w:type="dxa"/>
          </w:tblCellMar>
        </w:tblPrEx>
        <w:trPr>
          <w:trHeight w:val="620" w:hRule="atLeast"/>
        </w:trPr>
        <w:tc>
          <w:tcPr>
            <w:tcW w:w="79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成果上报</w:t>
            </w:r>
          </w:p>
        </w:tc>
        <w:tc>
          <w:tcPr>
            <w:tcW w:w="142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提供对成果信息的管理功能</w:t>
            </w:r>
          </w:p>
        </w:tc>
        <w:tc>
          <w:tcPr>
            <w:tcW w:w="7214"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1</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管理员可以对所有中心组的成果信息进行管理，包括新增、删除、修改以及对附件的管理。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2</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中心组仅可查看和管理自己的成果信息。，包括新增、删除、修改以及对附件的管理。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3</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管理员能够关于中心组名称和成果类型进行查询。</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color w:val="1C1917"/>
                <w:sz w:val="21"/>
                <w:szCs w:val="21"/>
                <w:highlight w:val="none"/>
                <w:shd w:val="clear" w:color="auto" w:fill="FFFFFF"/>
              </w:rPr>
              <w:t>4</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中心组仅能够关于成果类型进行查询。</w:t>
            </w:r>
          </w:p>
        </w:tc>
      </w:tr>
      <w:tr>
        <w:tblPrEx>
          <w:tblLayout w:type="fixed"/>
          <w:tblCellMar>
            <w:top w:w="15" w:type="dxa"/>
            <w:left w:w="15" w:type="dxa"/>
            <w:bottom w:w="15" w:type="dxa"/>
            <w:right w:w="15" w:type="dxa"/>
          </w:tblCellMar>
        </w:tblPrEx>
        <w:trPr>
          <w:trHeight w:val="620" w:hRule="atLeast"/>
        </w:trPr>
        <w:tc>
          <w:tcPr>
            <w:tcW w:w="79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信息维护</w:t>
            </w:r>
          </w:p>
        </w:tc>
        <w:tc>
          <w:tcPr>
            <w:tcW w:w="142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提供对中心组内人员信息的维护功能</w:t>
            </w:r>
          </w:p>
        </w:tc>
        <w:tc>
          <w:tcPr>
            <w:tcW w:w="7214"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1</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中心组可以对自己支部内成员信息进行管理，包括新增、删除和修改功能。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2</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管理员可以对所有中心组成员进行管理，包括新增、删除和修改功能。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3</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提供关于成员名称的查询功能。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color w:val="1C1917"/>
                <w:sz w:val="21"/>
                <w:szCs w:val="21"/>
                <w:highlight w:val="none"/>
                <w:shd w:val="clear" w:color="auto" w:fill="FFFFFF"/>
              </w:rPr>
              <w:t>4</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提供根据优先级显示成员的功能，序号越大优先级越低，序号0优先级最高。</w:t>
            </w:r>
          </w:p>
        </w:tc>
      </w:tr>
      <w:tr>
        <w:tblPrEx>
          <w:tblLayout w:type="fixed"/>
          <w:tblCellMar>
            <w:top w:w="15" w:type="dxa"/>
            <w:left w:w="15" w:type="dxa"/>
            <w:bottom w:w="15" w:type="dxa"/>
            <w:right w:w="15" w:type="dxa"/>
          </w:tblCellMar>
        </w:tblPrEx>
        <w:trPr>
          <w:trHeight w:val="620" w:hRule="atLeast"/>
        </w:trPr>
        <w:tc>
          <w:tcPr>
            <w:tcW w:w="79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用户管理</w:t>
            </w:r>
          </w:p>
        </w:tc>
        <w:tc>
          <w:tcPr>
            <w:tcW w:w="142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提供对用户信息的管理</w:t>
            </w:r>
          </w:p>
        </w:tc>
        <w:tc>
          <w:tcPr>
            <w:tcW w:w="7214"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1</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提供对用户信息的创建、删除和修改功能。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color w:val="1C1917"/>
                <w:sz w:val="21"/>
                <w:szCs w:val="21"/>
                <w:highlight w:val="none"/>
                <w:shd w:val="clear" w:color="auto" w:fill="FFFFFF"/>
              </w:rPr>
              <w:t>2</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管理员可以增设管理员用户和中心组用户，用户与工号绑定，用来确定谁能够以该用户的身份登录。对于管理员，需要在管理范围中选择`管理员`;对于中心组用户，需要在管理范围中选择具体的中心组名称。如果要更换某个中心组用户的使用者，只需要更换其对应的工号即可。</w:t>
            </w:r>
          </w:p>
        </w:tc>
      </w:tr>
      <w:tr>
        <w:tblPrEx>
          <w:tblLayout w:type="fixed"/>
          <w:tblCellMar>
            <w:top w:w="15" w:type="dxa"/>
            <w:left w:w="15" w:type="dxa"/>
            <w:bottom w:w="15" w:type="dxa"/>
            <w:right w:w="15" w:type="dxa"/>
          </w:tblCellMar>
        </w:tblPrEx>
        <w:trPr>
          <w:trHeight w:val="620" w:hRule="atLeast"/>
        </w:trPr>
        <w:tc>
          <w:tcPr>
            <w:tcW w:w="79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部门管理</w:t>
            </w:r>
          </w:p>
        </w:tc>
        <w:tc>
          <w:tcPr>
            <w:tcW w:w="142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rPr>
              <w:t>提供对用户所属部门的管理</w:t>
            </w:r>
          </w:p>
        </w:tc>
        <w:tc>
          <w:tcPr>
            <w:tcW w:w="7214"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1</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将部门划分为杭电管理员和中心组管理员，管理员角色归属于杭电管理员，中心组角色归属于中心组管理员。</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color w:val="1C1917"/>
                <w:sz w:val="21"/>
                <w:szCs w:val="21"/>
                <w:highlight w:val="none"/>
                <w:shd w:val="clear" w:color="auto" w:fill="FFFFFF"/>
              </w:rPr>
              <w:t>2</w:t>
            </w:r>
            <w:r>
              <w:rPr>
                <w:rFonts w:hint="eastAsia" w:cs="宋体"/>
                <w:color w:val="1C1917"/>
                <w:sz w:val="21"/>
                <w:szCs w:val="21"/>
                <w:highlight w:val="none"/>
                <w:shd w:val="clear" w:color="auto" w:fill="FFFFFF"/>
                <w:lang w:val="en-US" w:eastAsia="zh-CN"/>
              </w:rPr>
              <w:t>.</w:t>
            </w:r>
            <w:r>
              <w:rPr>
                <w:rFonts w:hint="eastAsia" w:ascii="宋体" w:hAnsi="宋体" w:eastAsia="宋体" w:cs="宋体"/>
                <w:color w:val="1C1917"/>
                <w:sz w:val="21"/>
                <w:szCs w:val="21"/>
                <w:highlight w:val="none"/>
                <w:shd w:val="clear" w:color="auto" w:fill="FFFFFF"/>
              </w:rPr>
              <w:t>管理员可以关于部门对用户角色进行筛选。</w:t>
            </w:r>
          </w:p>
        </w:tc>
      </w:tr>
    </w:tbl>
    <w:p>
      <w:pPr>
        <w:keepNext w:val="0"/>
        <w:keepLines w:val="0"/>
        <w:pageBreakBefore w:val="0"/>
        <w:kinsoku/>
        <w:wordWrap/>
        <w:overflowPunct/>
        <w:topLinePunct w:val="0"/>
        <w:autoSpaceDE/>
        <w:autoSpaceDN/>
        <w:bidi w:val="0"/>
        <w:spacing w:line="288" w:lineRule="auto"/>
        <w:ind w:left="0" w:leftChars="0" w:right="0" w:firstLine="420" w:firstLineChars="200"/>
        <w:jc w:val="left"/>
        <w:outlineLvl w:val="9"/>
        <w:rPr>
          <w:rFonts w:hint="eastAsia" w:ascii="宋体" w:hAnsi="宋体" w:eastAsia="宋体" w:cs="宋体"/>
          <w:color w:val="1C1917"/>
          <w:sz w:val="21"/>
          <w:szCs w:val="21"/>
          <w:highlight w:val="none"/>
          <w:shd w:val="clear" w:color="auto" w:fill="FFFFFF"/>
        </w:rPr>
      </w:pPr>
    </w:p>
    <w:p>
      <w:pPr>
        <w:keepNext w:val="0"/>
        <w:keepLines w:val="0"/>
        <w:pageBreakBefore w:val="0"/>
        <w:kinsoku/>
        <w:wordWrap/>
        <w:overflowPunct/>
        <w:topLinePunct w:val="0"/>
        <w:autoSpaceDE/>
        <w:autoSpaceDN/>
        <w:bidi w:val="0"/>
        <w:spacing w:line="288" w:lineRule="auto"/>
        <w:ind w:left="0" w:leftChars="0" w:right="0" w:firstLine="422" w:firstLineChars="200"/>
        <w:jc w:val="left"/>
        <w:outlineLvl w:val="9"/>
        <w:rPr>
          <w:rFonts w:hint="eastAsia" w:ascii="宋体" w:hAnsi="宋体" w:eastAsia="宋体" w:cs="宋体"/>
          <w:b/>
          <w:bCs/>
          <w:color w:val="1C1917"/>
          <w:sz w:val="21"/>
          <w:szCs w:val="21"/>
          <w:highlight w:val="none"/>
          <w:shd w:val="clear" w:color="auto" w:fill="FFFFFF"/>
          <w:lang w:eastAsia="zh-CN"/>
        </w:rPr>
      </w:pPr>
      <w:r>
        <w:rPr>
          <w:rFonts w:hint="eastAsia" w:cs="宋体"/>
          <w:b/>
          <w:bCs/>
          <w:color w:val="1C1917"/>
          <w:sz w:val="21"/>
          <w:szCs w:val="21"/>
          <w:highlight w:val="none"/>
          <w:shd w:val="clear" w:color="auto" w:fill="FFFFFF"/>
          <w:lang w:eastAsia="zh-CN"/>
        </w:rPr>
        <w:t>（</w:t>
      </w:r>
      <w:r>
        <w:rPr>
          <w:rFonts w:hint="eastAsia" w:cs="宋体"/>
          <w:b/>
          <w:bCs/>
          <w:color w:val="1C1917"/>
          <w:sz w:val="21"/>
          <w:szCs w:val="21"/>
          <w:highlight w:val="none"/>
          <w:shd w:val="clear" w:color="auto" w:fill="FFFFFF"/>
          <w:lang w:val="en-US" w:eastAsia="zh-CN"/>
        </w:rPr>
        <w:t>七</w:t>
      </w:r>
      <w:r>
        <w:rPr>
          <w:rFonts w:hint="eastAsia" w:cs="宋体"/>
          <w:b/>
          <w:bCs/>
          <w:color w:val="1C1917"/>
          <w:sz w:val="21"/>
          <w:szCs w:val="21"/>
          <w:highlight w:val="none"/>
          <w:shd w:val="clear" w:color="auto" w:fill="FFFFFF"/>
          <w:lang w:eastAsia="zh-CN"/>
        </w:rPr>
        <w:t>）</w:t>
      </w:r>
      <w:r>
        <w:rPr>
          <w:rFonts w:hint="eastAsia" w:ascii="宋体" w:hAnsi="宋体" w:eastAsia="宋体" w:cs="宋体"/>
          <w:b/>
          <w:bCs/>
          <w:color w:val="1C1917"/>
          <w:sz w:val="21"/>
          <w:szCs w:val="21"/>
          <w:highlight w:val="none"/>
          <w:shd w:val="clear" w:color="auto" w:fill="FFFFFF"/>
        </w:rPr>
        <w:t>新生数据处理平台</w:t>
      </w:r>
      <w:r>
        <w:rPr>
          <w:rFonts w:hint="eastAsia" w:cs="宋体"/>
          <w:b/>
          <w:bCs/>
          <w:color w:val="1C1917"/>
          <w:sz w:val="21"/>
          <w:szCs w:val="21"/>
          <w:highlight w:val="none"/>
          <w:shd w:val="clear" w:color="auto" w:fill="FFFFFF"/>
          <w:lang w:eastAsia="zh-CN"/>
        </w:rPr>
        <w:t>：</w:t>
      </w:r>
    </w:p>
    <w:p>
      <w:pPr>
        <w:keepNext w:val="0"/>
        <w:keepLines w:val="0"/>
        <w:pageBreakBefore w:val="0"/>
        <w:kinsoku/>
        <w:wordWrap/>
        <w:overflowPunct/>
        <w:topLinePunct w:val="0"/>
        <w:autoSpaceDE/>
        <w:autoSpaceDN/>
        <w:bidi w:val="0"/>
        <w:spacing w:line="288" w:lineRule="auto"/>
        <w:ind w:left="0" w:leftChars="0" w:right="0" w:firstLine="420" w:firstLineChars="20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实现新生数据的数字化收集和处理,取代重复性高且效率较低的人工处理方式,降低数据处理压力。</w:t>
      </w:r>
    </w:p>
    <w:tbl>
      <w:tblPr>
        <w:tblStyle w:val="11"/>
        <w:tblW w:w="9442" w:type="dxa"/>
        <w:tblInd w:w="0" w:type="dxa"/>
        <w:tblLayout w:type="fixed"/>
        <w:tblCellMar>
          <w:top w:w="15" w:type="dxa"/>
          <w:left w:w="15" w:type="dxa"/>
          <w:bottom w:w="15" w:type="dxa"/>
          <w:right w:w="15" w:type="dxa"/>
        </w:tblCellMar>
      </w:tblPr>
      <w:tblGrid>
        <w:gridCol w:w="2322"/>
        <w:gridCol w:w="7120"/>
      </w:tblGrid>
      <w:tr>
        <w:tblPrEx>
          <w:tblLayout w:type="fixed"/>
          <w:tblCellMar>
            <w:top w:w="15" w:type="dxa"/>
            <w:left w:w="15" w:type="dxa"/>
            <w:bottom w:w="15" w:type="dxa"/>
            <w:right w:w="15" w:type="dxa"/>
          </w:tblCellMar>
        </w:tblPrEx>
        <w:trPr>
          <w:trHeight w:val="346" w:hRule="atLeast"/>
        </w:trPr>
        <w:tc>
          <w:tcPr>
            <w:tcW w:w="23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分类</w:t>
            </w:r>
          </w:p>
        </w:tc>
        <w:tc>
          <w:tcPr>
            <w:tcW w:w="7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功能需求描述</w:t>
            </w:r>
          </w:p>
        </w:tc>
      </w:tr>
      <w:tr>
        <w:tblPrEx>
          <w:tblLayout w:type="fixed"/>
          <w:tblCellMar>
            <w:top w:w="15" w:type="dxa"/>
            <w:left w:w="15" w:type="dxa"/>
            <w:bottom w:w="15" w:type="dxa"/>
            <w:right w:w="15" w:type="dxa"/>
          </w:tblCellMar>
        </w:tblPrEx>
        <w:trPr>
          <w:trHeight w:val="620" w:hRule="atLeast"/>
        </w:trPr>
        <w:tc>
          <w:tcPr>
            <w:tcW w:w="23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color w:val="1C1917"/>
                <w:sz w:val="21"/>
                <w:szCs w:val="21"/>
                <w:highlight w:val="none"/>
                <w:shd w:val="clear" w:color="auto" w:fill="FFFFFF"/>
              </w:rPr>
              <w:t>数据收集</w:t>
            </w:r>
          </w:p>
        </w:tc>
        <w:tc>
          <w:tcPr>
            <w:tcW w:w="7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color w:val="1C1917"/>
                <w:sz w:val="21"/>
                <w:szCs w:val="21"/>
                <w:highlight w:val="none"/>
                <w:shd w:val="clear" w:color="auto" w:fill="FFFFFF"/>
              </w:rPr>
            </w:pPr>
            <w:r>
              <w:rPr>
                <w:rFonts w:hint="eastAsia" w:cs="宋体"/>
                <w:color w:val="1C1917"/>
                <w:sz w:val="21"/>
                <w:szCs w:val="21"/>
                <w:highlight w:val="none"/>
                <w:shd w:val="clear" w:color="auto" w:fill="FFFFFF"/>
                <w:lang w:val="en-US" w:eastAsia="zh-CN"/>
              </w:rPr>
              <w:t>1.</w:t>
            </w:r>
            <w:r>
              <w:rPr>
                <w:rFonts w:hint="eastAsia" w:ascii="宋体" w:hAnsi="宋体" w:eastAsia="宋体" w:cs="宋体"/>
                <w:color w:val="1C1917"/>
                <w:sz w:val="21"/>
                <w:szCs w:val="21"/>
                <w:highlight w:val="none"/>
                <w:shd w:val="clear" w:color="auto" w:fill="FFFFFF"/>
              </w:rPr>
              <w:t>开发一个用户友好的数据收集工具，能够支持多种数据格式，便于收集高校新生各类资料，包括个人信息、成绩单、照片等。</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2.允许一次性批量上传多个文件（支持压缩包形式），以便将各类资料整合在一个数据平台上，提高数据收集的效率。</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val="en-US" w:eastAsia="zh-CN"/>
              </w:rPr>
            </w:pPr>
            <w:r>
              <w:rPr>
                <w:rFonts w:hint="eastAsia" w:ascii="宋体" w:hAnsi="宋体" w:eastAsia="宋体" w:cs="宋体"/>
                <w:color w:val="1C1917"/>
                <w:sz w:val="21"/>
                <w:szCs w:val="21"/>
                <w:highlight w:val="none"/>
                <w:shd w:val="clear" w:color="auto" w:fill="FFFFFF"/>
              </w:rPr>
              <w:t>3.设计数据质量检验算法，确保新生提交的数据格式正确、完整，提供必要的校正和反馈机制，以确保数据的准确性。</w:t>
            </w:r>
          </w:p>
        </w:tc>
      </w:tr>
      <w:tr>
        <w:tblPrEx>
          <w:tblLayout w:type="fixed"/>
          <w:tblCellMar>
            <w:top w:w="15" w:type="dxa"/>
            <w:left w:w="15" w:type="dxa"/>
            <w:bottom w:w="15" w:type="dxa"/>
            <w:right w:w="15" w:type="dxa"/>
          </w:tblCellMar>
        </w:tblPrEx>
        <w:trPr>
          <w:trHeight w:val="620" w:hRule="atLeast"/>
        </w:trPr>
        <w:tc>
          <w:tcPr>
            <w:tcW w:w="23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val="en-US" w:eastAsia="zh-CN"/>
              </w:rPr>
            </w:pPr>
            <w:r>
              <w:rPr>
                <w:rFonts w:hint="eastAsia" w:ascii="宋体" w:hAnsi="宋体" w:eastAsia="宋体" w:cs="宋体"/>
                <w:color w:val="1C1917"/>
                <w:sz w:val="21"/>
                <w:szCs w:val="21"/>
                <w:highlight w:val="none"/>
                <w:shd w:val="clear" w:color="auto" w:fill="FFFFFF"/>
              </w:rPr>
              <w:t>数据处理与整合</w:t>
            </w:r>
          </w:p>
        </w:tc>
        <w:tc>
          <w:tcPr>
            <w:tcW w:w="7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color w:val="1C1917"/>
                <w:sz w:val="21"/>
                <w:szCs w:val="21"/>
                <w:highlight w:val="none"/>
                <w:shd w:val="clear" w:color="auto" w:fill="FFFFFF"/>
              </w:rPr>
            </w:pPr>
            <w:r>
              <w:rPr>
                <w:rFonts w:hint="eastAsia" w:cs="宋体"/>
                <w:color w:val="1C1917"/>
                <w:sz w:val="21"/>
                <w:szCs w:val="21"/>
                <w:highlight w:val="none"/>
                <w:shd w:val="clear" w:color="auto" w:fill="FFFFFF"/>
                <w:lang w:val="en-US" w:eastAsia="zh-CN"/>
              </w:rPr>
              <w:t>1.</w:t>
            </w:r>
            <w:r>
              <w:rPr>
                <w:rFonts w:hint="eastAsia" w:ascii="宋体" w:hAnsi="宋体" w:eastAsia="宋体" w:cs="宋体"/>
                <w:color w:val="1C1917"/>
                <w:sz w:val="21"/>
                <w:szCs w:val="21"/>
                <w:highlight w:val="none"/>
                <w:shd w:val="clear" w:color="auto" w:fill="FFFFFF"/>
              </w:rPr>
              <w:t>利用自动化技术，将收集到的数据按照类型、格式等自动分类与整理，便于后续处理和管理。</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color w:val="1C1917"/>
                <w:sz w:val="21"/>
                <w:szCs w:val="21"/>
                <w:highlight w:val="none"/>
                <w:shd w:val="clear" w:color="auto" w:fill="FFFFFF"/>
              </w:rPr>
            </w:pPr>
            <w:r>
              <w:rPr>
                <w:rFonts w:hint="eastAsia" w:cs="宋体"/>
                <w:color w:val="1C1917"/>
                <w:sz w:val="21"/>
                <w:szCs w:val="21"/>
                <w:highlight w:val="none"/>
                <w:shd w:val="clear" w:color="auto" w:fill="FFFFFF"/>
                <w:lang w:val="en-US" w:eastAsia="zh-CN"/>
              </w:rPr>
              <w:t>2.</w:t>
            </w:r>
            <w:r>
              <w:rPr>
                <w:rFonts w:hint="eastAsia" w:ascii="宋体" w:hAnsi="宋体" w:eastAsia="宋体" w:cs="宋体"/>
                <w:color w:val="1C1917"/>
                <w:sz w:val="21"/>
                <w:szCs w:val="21"/>
                <w:highlight w:val="none"/>
                <w:shd w:val="clear" w:color="auto" w:fill="FFFFFF"/>
              </w:rPr>
              <w:t>对各类数据进行格式与标准的统一，以确保数据在平台上的一致性，便于后续的分析和应用。</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color w:val="1C1917"/>
                <w:sz w:val="21"/>
                <w:szCs w:val="21"/>
                <w:highlight w:val="none"/>
                <w:shd w:val="clear" w:color="auto" w:fill="FFFFFF"/>
              </w:rPr>
            </w:pPr>
            <w:r>
              <w:rPr>
                <w:rFonts w:hint="eastAsia" w:cs="宋体"/>
                <w:color w:val="1C1917"/>
                <w:sz w:val="21"/>
                <w:szCs w:val="21"/>
                <w:highlight w:val="none"/>
                <w:shd w:val="clear" w:color="auto" w:fill="FFFFFF"/>
                <w:lang w:val="en-US" w:eastAsia="zh-CN"/>
              </w:rPr>
              <w:t>3.</w:t>
            </w:r>
            <w:r>
              <w:rPr>
                <w:rFonts w:hint="eastAsia" w:ascii="宋体" w:hAnsi="宋体" w:eastAsia="宋体" w:cs="宋体"/>
                <w:color w:val="1C1917"/>
                <w:sz w:val="21"/>
                <w:szCs w:val="21"/>
                <w:highlight w:val="none"/>
                <w:shd w:val="clear" w:color="auto" w:fill="FFFFFF"/>
              </w:rPr>
              <w:t>将不同来源的数据进行关联与整合，形成全面的学生档案，以便于综合分析和管理。</w:t>
            </w:r>
          </w:p>
          <w:p>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1C1917"/>
                <w:sz w:val="21"/>
                <w:szCs w:val="21"/>
                <w:highlight w:val="none"/>
                <w:shd w:val="clear" w:color="auto" w:fill="FFFFFF"/>
                <w:lang w:val="en-US" w:eastAsia="zh-CN"/>
              </w:rPr>
              <w:t>4.</w:t>
            </w:r>
            <w:r>
              <w:rPr>
                <w:rFonts w:hint="eastAsia" w:ascii="宋体" w:hAnsi="宋体" w:eastAsia="宋体" w:cs="宋体"/>
                <w:color w:val="1C1917"/>
                <w:sz w:val="21"/>
                <w:szCs w:val="21"/>
                <w:highlight w:val="none"/>
                <w:shd w:val="clear" w:color="auto" w:fill="FFFFFF"/>
              </w:rPr>
              <w:t>实现自动化将整理好的学生数据按需推送至相应业务部门，确保数据的及时性和准确性，提升工作效率</w:t>
            </w:r>
            <w:r>
              <w:rPr>
                <w:rFonts w:hint="eastAsia" w:ascii="宋体" w:hAnsi="宋体" w:eastAsia="宋体" w:cs="宋体"/>
                <w:color w:val="1C1917"/>
                <w:sz w:val="21"/>
                <w:szCs w:val="21"/>
                <w:highlight w:val="none"/>
                <w:shd w:val="clear" w:color="auto" w:fill="FFFFFF"/>
                <w:lang w:eastAsia="zh-CN"/>
              </w:rPr>
              <w:t>。</w:t>
            </w:r>
          </w:p>
        </w:tc>
      </w:tr>
      <w:tr>
        <w:tblPrEx>
          <w:tblLayout w:type="fixed"/>
          <w:tblCellMar>
            <w:top w:w="15" w:type="dxa"/>
            <w:left w:w="15" w:type="dxa"/>
            <w:bottom w:w="15" w:type="dxa"/>
            <w:right w:w="15" w:type="dxa"/>
          </w:tblCellMar>
        </w:tblPrEx>
        <w:trPr>
          <w:trHeight w:val="620" w:hRule="atLeast"/>
        </w:trPr>
        <w:tc>
          <w:tcPr>
            <w:tcW w:w="23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color w:val="1C1917"/>
                <w:sz w:val="21"/>
                <w:szCs w:val="21"/>
                <w:highlight w:val="none"/>
                <w:shd w:val="clear" w:color="auto" w:fill="FFFFFF"/>
              </w:rPr>
              <w:t>数据标准设定</w:t>
            </w:r>
          </w:p>
        </w:tc>
        <w:tc>
          <w:tcPr>
            <w:tcW w:w="7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ascii="宋体" w:hAnsi="宋体" w:eastAsia="宋体" w:cs="宋体"/>
                <w:color w:val="1C1917"/>
                <w:sz w:val="21"/>
                <w:szCs w:val="21"/>
                <w:highlight w:val="none"/>
                <w:shd w:val="clear" w:color="auto" w:fill="FFFFFF"/>
              </w:rPr>
              <w:t>设定统一的数据标准与规范，包括数据命名规则、单位规范等，以确保所有数据在平台上的一致性，便于后续的分析和应用。</w:t>
            </w:r>
          </w:p>
        </w:tc>
      </w:tr>
      <w:tr>
        <w:tblPrEx>
          <w:tblLayout w:type="fixed"/>
          <w:tblCellMar>
            <w:top w:w="15" w:type="dxa"/>
            <w:left w:w="15" w:type="dxa"/>
            <w:bottom w:w="15" w:type="dxa"/>
            <w:right w:w="15" w:type="dxa"/>
          </w:tblCellMar>
        </w:tblPrEx>
        <w:trPr>
          <w:trHeight w:val="620" w:hRule="atLeast"/>
        </w:trPr>
        <w:tc>
          <w:tcPr>
            <w:tcW w:w="23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r>
              <w:rPr>
                <w:rFonts w:hint="eastAsia" w:ascii="宋体" w:hAnsi="宋体" w:eastAsia="宋体" w:cs="宋体"/>
                <w:color w:val="1C1917"/>
                <w:sz w:val="21"/>
                <w:szCs w:val="21"/>
                <w:highlight w:val="none"/>
                <w:shd w:val="clear" w:color="auto" w:fill="FFFFFF"/>
              </w:rPr>
              <w:t>提供数据可视化界面</w:t>
            </w:r>
          </w:p>
        </w:tc>
        <w:tc>
          <w:tcPr>
            <w:tcW w:w="7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cs="宋体"/>
                <w:color w:val="1C1917"/>
                <w:sz w:val="21"/>
                <w:szCs w:val="21"/>
                <w:highlight w:val="none"/>
                <w:shd w:val="clear" w:color="auto" w:fill="FFFFFF"/>
                <w:lang w:val="en-US" w:eastAsia="zh-CN"/>
              </w:rPr>
              <w:t>1.</w:t>
            </w:r>
            <w:r>
              <w:rPr>
                <w:rFonts w:hint="eastAsia" w:ascii="宋体" w:hAnsi="宋体" w:eastAsia="宋体" w:cs="宋体"/>
                <w:color w:val="1C1917"/>
                <w:sz w:val="21"/>
                <w:szCs w:val="21"/>
                <w:highlight w:val="none"/>
                <w:shd w:val="clear" w:color="auto" w:fill="FFFFFF"/>
              </w:rPr>
              <w:t>设计用户友好的数据可视化界面，以图表、表格等形式直观地展示新生数据，方便相关人员快速获取信息。</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ascii="宋体" w:hAnsi="宋体" w:eastAsia="宋体" w:cs="宋体"/>
                <w:color w:val="1C1917"/>
                <w:sz w:val="21"/>
                <w:szCs w:val="21"/>
                <w:highlight w:val="none"/>
                <w:shd w:val="clear" w:color="auto" w:fill="FFFFFF"/>
              </w:rPr>
              <w:t>2.允许用户通过设定查询条件，动态地筛选、查看特定的新生数据，以满足不同部门对数据的特定需求。</w:t>
            </w:r>
          </w:p>
        </w:tc>
      </w:tr>
    </w:tbl>
    <w:p>
      <w:pPr>
        <w:keepNext w:val="0"/>
        <w:keepLines w:val="0"/>
        <w:pageBreakBefore w:val="0"/>
        <w:widowControl w:val="0"/>
        <w:kinsoku/>
        <w:wordWrap/>
        <w:overflowPunct/>
        <w:topLinePunct w:val="0"/>
        <w:autoSpaceDE/>
        <w:autoSpaceDN/>
        <w:bidi w:val="0"/>
        <w:spacing w:before="0" w:beforeLines="0" w:after="0" w:afterLines="0" w:line="288" w:lineRule="auto"/>
        <w:ind w:left="0" w:leftChars="0" w:right="0" w:firstLine="420" w:firstLineChars="200"/>
        <w:jc w:val="left"/>
        <w:outlineLvl w:val="9"/>
        <w:rPr>
          <w:rFonts w:hint="eastAsia" w:ascii="宋体" w:hAnsi="宋体" w:eastAsia="宋体" w:cs="宋体"/>
          <w:kern w:val="2"/>
          <w:sz w:val="21"/>
          <w:szCs w:val="21"/>
          <w:highlight w:val="none"/>
          <w:lang w:val="en-US" w:eastAsia="zh-CN" w:bidi="ar-SA"/>
        </w:rPr>
      </w:pPr>
    </w:p>
    <w:p>
      <w:pPr>
        <w:keepNext w:val="0"/>
        <w:keepLines w:val="0"/>
        <w:pageBreakBefore w:val="0"/>
        <w:numPr>
          <w:ilvl w:val="0"/>
          <w:numId w:val="0"/>
        </w:numPr>
        <w:kinsoku/>
        <w:wordWrap/>
        <w:overflowPunct/>
        <w:topLinePunct w:val="0"/>
        <w:autoSpaceDE/>
        <w:autoSpaceDN/>
        <w:bidi w:val="0"/>
        <w:spacing w:line="288" w:lineRule="auto"/>
        <w:ind w:right="0" w:rightChars="0" w:firstLine="422" w:firstLineChars="200"/>
        <w:jc w:val="left"/>
        <w:outlineLvl w:val="9"/>
        <w:rPr>
          <w:rFonts w:hint="eastAsia" w:ascii="宋体" w:hAnsi="宋体" w:eastAsia="宋体" w:cs="宋体"/>
          <w:b/>
          <w:bCs/>
          <w:color w:val="1C1917"/>
          <w:sz w:val="21"/>
          <w:szCs w:val="21"/>
          <w:highlight w:val="none"/>
          <w:shd w:val="clear" w:color="auto" w:fill="FFFFFF"/>
        </w:rPr>
      </w:pPr>
      <w:r>
        <w:rPr>
          <w:rFonts w:hint="eastAsia" w:cs="宋体"/>
          <w:b/>
          <w:bCs/>
          <w:color w:val="1C1917"/>
          <w:sz w:val="21"/>
          <w:szCs w:val="21"/>
          <w:highlight w:val="none"/>
          <w:shd w:val="clear" w:color="auto" w:fill="FFFFFF"/>
          <w:lang w:eastAsia="zh-CN"/>
        </w:rPr>
        <w:t>（</w:t>
      </w:r>
      <w:r>
        <w:rPr>
          <w:rFonts w:hint="eastAsia" w:cs="宋体"/>
          <w:b/>
          <w:bCs/>
          <w:color w:val="1C1917"/>
          <w:sz w:val="21"/>
          <w:szCs w:val="21"/>
          <w:highlight w:val="none"/>
          <w:shd w:val="clear" w:color="auto" w:fill="FFFFFF"/>
          <w:lang w:val="en-US" w:eastAsia="zh-CN"/>
        </w:rPr>
        <w:t>八</w:t>
      </w:r>
      <w:r>
        <w:rPr>
          <w:rFonts w:hint="eastAsia" w:cs="宋体"/>
          <w:b/>
          <w:bCs/>
          <w:color w:val="1C1917"/>
          <w:sz w:val="21"/>
          <w:szCs w:val="21"/>
          <w:highlight w:val="none"/>
          <w:shd w:val="clear" w:color="auto" w:fill="FFFFFF"/>
          <w:lang w:eastAsia="zh-CN"/>
        </w:rPr>
        <w:t>）</w:t>
      </w:r>
      <w:r>
        <w:rPr>
          <w:rFonts w:hint="eastAsia" w:ascii="宋体" w:hAnsi="宋体" w:eastAsia="宋体" w:cs="宋体"/>
          <w:b/>
          <w:bCs/>
          <w:color w:val="1C1917"/>
          <w:sz w:val="21"/>
          <w:szCs w:val="21"/>
          <w:highlight w:val="none"/>
          <w:shd w:val="clear" w:color="auto" w:fill="FFFFFF"/>
        </w:rPr>
        <w:t>智慧教室驾驶舱</w:t>
      </w:r>
    </w:p>
    <w:p>
      <w:pPr>
        <w:keepNext w:val="0"/>
        <w:keepLines w:val="0"/>
        <w:pageBreakBefore w:val="0"/>
        <w:numPr>
          <w:ilvl w:val="0"/>
          <w:numId w:val="0"/>
        </w:numPr>
        <w:kinsoku/>
        <w:wordWrap/>
        <w:overflowPunct/>
        <w:topLinePunct w:val="0"/>
        <w:autoSpaceDE/>
        <w:autoSpaceDN/>
        <w:bidi w:val="0"/>
        <w:spacing w:line="288" w:lineRule="auto"/>
        <w:ind w:left="0" w:leftChars="0" w:right="0" w:firstLine="420" w:firstLineChars="200"/>
        <w:jc w:val="left"/>
        <w:outlineLvl w:val="9"/>
        <w:rPr>
          <w:rFonts w:hint="eastAsia" w:ascii="宋体" w:hAnsi="宋体" w:eastAsia="宋体" w:cs="宋体"/>
          <w:color w:val="1C1917"/>
          <w:kern w:val="2"/>
          <w:sz w:val="21"/>
          <w:szCs w:val="21"/>
          <w:highlight w:val="none"/>
          <w:shd w:val="clear" w:color="auto" w:fill="FFFFFF"/>
          <w:lang w:val="en-US" w:eastAsia="zh-CN" w:bidi="ar-SA"/>
        </w:rPr>
      </w:pPr>
      <w:r>
        <w:rPr>
          <w:rFonts w:hint="eastAsia" w:ascii="宋体" w:hAnsi="宋体" w:eastAsia="宋体" w:cs="宋体"/>
          <w:color w:val="1C1917"/>
          <w:kern w:val="2"/>
          <w:sz w:val="21"/>
          <w:szCs w:val="21"/>
          <w:highlight w:val="none"/>
          <w:shd w:val="clear" w:color="auto" w:fill="FFFFFF"/>
          <w:lang w:val="en-US" w:eastAsia="zh-Hans" w:bidi="ar-SA"/>
        </w:rPr>
        <w:t>在具备智慧教学空间管理平台的基础上，</w:t>
      </w:r>
      <w:r>
        <w:rPr>
          <w:rFonts w:hint="eastAsia" w:ascii="宋体" w:hAnsi="宋体" w:eastAsia="宋体" w:cs="宋体"/>
          <w:color w:val="1C1917"/>
          <w:kern w:val="2"/>
          <w:sz w:val="21"/>
          <w:szCs w:val="21"/>
          <w:highlight w:val="none"/>
          <w:shd w:val="clear" w:color="auto" w:fill="FFFFFF"/>
          <w:lang w:val="en-US" w:eastAsia="zh-CN" w:bidi="ar-SA"/>
        </w:rPr>
        <w:t>依托于学校数据中心，</w:t>
      </w:r>
      <w:r>
        <w:rPr>
          <w:rFonts w:hint="eastAsia" w:ascii="宋体" w:hAnsi="宋体" w:eastAsia="宋体" w:cs="宋体"/>
          <w:color w:val="1C1917"/>
          <w:kern w:val="2"/>
          <w:sz w:val="21"/>
          <w:szCs w:val="21"/>
          <w:highlight w:val="none"/>
          <w:shd w:val="clear" w:color="auto" w:fill="FFFFFF"/>
          <w:lang w:val="en-US" w:eastAsia="zh-Hans" w:bidi="ar-SA"/>
        </w:rPr>
        <w:t>汇集资产管理平台、智慧教学空间管理平台和智慧课堂在线学习平台的数据，设计智慧教室驾驶舱的各项统计分析指标。要求各项指标能够快速适应学校的业务需求变化，在不修改源代码的情况下，通过变更后台指标体系的业务逻辑，重新计算指标系数。</w:t>
      </w:r>
    </w:p>
    <w:tbl>
      <w:tblPr>
        <w:tblStyle w:val="11"/>
        <w:tblW w:w="9442" w:type="dxa"/>
        <w:tblInd w:w="0" w:type="dxa"/>
        <w:tblLayout w:type="fixed"/>
        <w:tblCellMar>
          <w:top w:w="15" w:type="dxa"/>
          <w:left w:w="15" w:type="dxa"/>
          <w:bottom w:w="15" w:type="dxa"/>
          <w:right w:w="15" w:type="dxa"/>
        </w:tblCellMar>
      </w:tblPr>
      <w:tblGrid>
        <w:gridCol w:w="1120"/>
        <w:gridCol w:w="989"/>
        <w:gridCol w:w="7333"/>
      </w:tblGrid>
      <w:tr>
        <w:tblPrEx>
          <w:tblLayout w:type="fixed"/>
          <w:tblCellMar>
            <w:top w:w="15" w:type="dxa"/>
            <w:left w:w="15" w:type="dxa"/>
            <w:bottom w:w="15" w:type="dxa"/>
            <w:right w:w="15" w:type="dxa"/>
          </w:tblCellMar>
        </w:tblPrEx>
        <w:trPr>
          <w:trHeight w:val="690" w:hRule="atLeast"/>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分类</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功能</w:t>
            </w:r>
          </w:p>
        </w:tc>
        <w:tc>
          <w:tcPr>
            <w:tcW w:w="73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功能需求描述</w:t>
            </w:r>
          </w:p>
        </w:tc>
      </w:tr>
      <w:tr>
        <w:tblPrEx>
          <w:tblLayout w:type="fixed"/>
          <w:tblCellMar>
            <w:top w:w="15" w:type="dxa"/>
            <w:left w:w="15" w:type="dxa"/>
            <w:bottom w:w="15" w:type="dxa"/>
            <w:right w:w="15" w:type="dxa"/>
          </w:tblCellMar>
        </w:tblPrEx>
        <w:trPr>
          <w:trHeight w:val="2224" w:hRule="atLeast"/>
        </w:trPr>
        <w:tc>
          <w:tcPr>
            <w:tcW w:w="11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教室资产分析</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资产概览</w:t>
            </w:r>
          </w:p>
        </w:tc>
        <w:tc>
          <w:tcPr>
            <w:tcW w:w="73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rPr>
            </w:pPr>
            <w:r>
              <w:rPr>
                <w:rFonts w:hint="eastAsia" w:cs="宋体"/>
                <w:sz w:val="21"/>
                <w:szCs w:val="21"/>
                <w:highlight w:val="none"/>
                <w:lang w:val="en-US" w:eastAsia="zh-CN"/>
              </w:rPr>
              <w:t>1.</w:t>
            </w:r>
            <w:r>
              <w:rPr>
                <w:rFonts w:hint="eastAsia" w:ascii="宋体" w:hAnsi="宋体" w:eastAsia="宋体" w:cs="宋体"/>
                <w:sz w:val="21"/>
                <w:szCs w:val="21"/>
                <w:highlight w:val="none"/>
              </w:rPr>
              <w:t>支持本校所有校区所有教室的资产概览，可按资产类型统计资产总量、资产品牌、采购来源、维保信息、分布位置、故障类型、故障率等，可以通过列表查看统计数据详情；具体不同类型资产的必填字段字段可以进行自己根据用户需求进行增删改。</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cs="宋体"/>
                <w:sz w:val="21"/>
                <w:szCs w:val="21"/>
                <w:highlight w:val="none"/>
                <w:lang w:val="en-US" w:eastAsia="zh-CN"/>
              </w:rPr>
              <w:t>2.</w:t>
            </w:r>
            <w:r>
              <w:rPr>
                <w:rFonts w:hint="eastAsia" w:ascii="宋体" w:hAnsi="宋体" w:eastAsia="宋体" w:cs="宋体"/>
                <w:sz w:val="21"/>
                <w:szCs w:val="21"/>
                <w:highlight w:val="none"/>
              </w:rPr>
              <w:t>支持手动录入、修改、删除与表格一键导入等方式添加资产信息，资产可绑定教室位置。支持</w:t>
            </w:r>
            <w:r>
              <w:rPr>
                <w:rFonts w:hint="eastAsia" w:cs="宋体"/>
                <w:sz w:val="21"/>
                <w:szCs w:val="21"/>
                <w:highlight w:val="none"/>
                <w:lang w:val="en-US" w:eastAsia="zh-CN"/>
              </w:rPr>
              <w:t>对</w:t>
            </w:r>
            <w:r>
              <w:rPr>
                <w:rFonts w:hint="eastAsia" w:ascii="宋体" w:hAnsi="宋体" w:eastAsia="宋体" w:cs="宋体"/>
                <w:sz w:val="21"/>
                <w:szCs w:val="21"/>
                <w:highlight w:val="none"/>
              </w:rPr>
              <w:t>资产信息</w:t>
            </w:r>
            <w:r>
              <w:rPr>
                <w:rFonts w:hint="eastAsia" w:cs="宋体"/>
                <w:sz w:val="21"/>
                <w:szCs w:val="21"/>
                <w:highlight w:val="none"/>
                <w:lang w:val="en-US" w:eastAsia="zh-CN"/>
              </w:rPr>
              <w:t>进行</w:t>
            </w:r>
            <w:r>
              <w:rPr>
                <w:rFonts w:hint="eastAsia" w:ascii="宋体" w:hAnsi="宋体" w:eastAsia="宋体" w:cs="宋体"/>
                <w:sz w:val="21"/>
                <w:szCs w:val="21"/>
                <w:highlight w:val="none"/>
              </w:rPr>
              <w:t>自动同步；支持资产信息模糊化或精确化分类搜索查询、批量或分项导出。</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生命周期统计</w:t>
            </w:r>
          </w:p>
        </w:tc>
        <w:tc>
          <w:tcPr>
            <w:tcW w:w="73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tabs>
                <w:tab w:val="left" w:pos="1052"/>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按资产类型和资产位置，查看资产设备生命周期统计，提供条形图、柱状图、环形图等进行资产生命周期展示；支持按资产生命周期查看资产类型、资产品牌、分布位置等分布；支持按资产类型、资产品牌、分布位置等查看资产生命周期分布。</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资产使用分析</w:t>
            </w: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按资产类型、资产位置等条件，查看资产使用统计分析，提供条形图、柱状图、环形图等进行资产使用时间的展示，包括各资产使用时间的消耗量分布、剩余量分布等；支持按资产品牌进行对比分析；重点关注即将到期资产的位置分析；重点关注投影仪灯时的使用时长分析。</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p>
        </w:tc>
        <w:tc>
          <w:tcPr>
            <w:tcW w:w="9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资产故障分析</w:t>
            </w: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支持按资产类型、资产位置等条件，查看资产故障统计分析，提供条形图、柱状图、环形图等进行资产故障的展示，包括故障类型分布、故障发生时间分布、故障时长分布等展示。</w:t>
            </w:r>
          </w:p>
        </w:tc>
      </w:tr>
      <w:tr>
        <w:tblPrEx>
          <w:tblLayout w:type="fixed"/>
          <w:tblCellMar>
            <w:top w:w="15" w:type="dxa"/>
            <w:left w:w="15" w:type="dxa"/>
            <w:bottom w:w="15" w:type="dxa"/>
            <w:right w:w="15" w:type="dxa"/>
          </w:tblCellMar>
        </w:tblPrEx>
        <w:trPr>
          <w:trHeight w:val="620" w:hRule="atLeast"/>
        </w:trPr>
        <w:tc>
          <w:tcPr>
            <w:tcW w:w="1120"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sz w:val="21"/>
                <w:szCs w:val="21"/>
                <w:highlight w:val="none"/>
                <w:lang w:eastAsia="zh-Hans"/>
              </w:rPr>
              <w:t>教室运行分析</w:t>
            </w:r>
          </w:p>
        </w:tc>
        <w:tc>
          <w:tcPr>
            <w:tcW w:w="9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教室概览</w:t>
            </w: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w:t>
            </w:r>
            <w:r>
              <w:rPr>
                <w:rFonts w:hint="eastAsia" w:cs="宋体"/>
                <w:sz w:val="21"/>
                <w:szCs w:val="21"/>
                <w:highlight w:val="none"/>
                <w:lang w:val="en-US" w:eastAsia="zh-CN"/>
              </w:rPr>
              <w:t>展示</w:t>
            </w:r>
            <w:r>
              <w:rPr>
                <w:rFonts w:hint="eastAsia" w:ascii="宋体" w:hAnsi="宋体" w:eastAsia="宋体" w:cs="宋体"/>
                <w:sz w:val="21"/>
                <w:szCs w:val="21"/>
                <w:highlight w:val="none"/>
                <w:lang w:eastAsia="zh-Hans"/>
              </w:rPr>
              <w:t>学校名称、校区、教学楼、楼号、教室编号、教室名称等教室基础信息。支持教室概览和教室设备概览，可按教学楼统计教室总量、设备总量、教室类型、使用率、使用时长等，可通过列表查看统计数据详情。</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教室使用分析</w:t>
            </w: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支持教室使用分析，按教学楼、教室类型、教室容量、教室使用状态统计教室分布。</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设备使用分析</w:t>
            </w: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支持实时教室设备使用分析，</w:t>
            </w:r>
            <w:r>
              <w:rPr>
                <w:rFonts w:hint="eastAsia" w:cs="宋体"/>
                <w:sz w:val="21"/>
                <w:szCs w:val="21"/>
                <w:highlight w:val="none"/>
                <w:lang w:val="en-US" w:eastAsia="zh-CN"/>
              </w:rPr>
              <w:t>支持</w:t>
            </w:r>
            <w:r>
              <w:rPr>
                <w:rFonts w:hint="eastAsia" w:ascii="宋体" w:hAnsi="宋体" w:eastAsia="宋体" w:cs="宋体"/>
                <w:sz w:val="21"/>
                <w:szCs w:val="21"/>
                <w:highlight w:val="none"/>
                <w:lang w:eastAsia="zh-Hans"/>
              </w:rPr>
              <w:t>将中控纳管至本驾驶舱平台。按教学楼、教室类型、设备使用状态统计设备分布。</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p>
        </w:tc>
        <w:tc>
          <w:tcPr>
            <w:tcW w:w="9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运行告警详查</w:t>
            </w: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支持按教室、设备查看故障告警记录，可查看该教室及设备的详细运行记录，在界面中可通过直播视频详细远程巡检该教室的当前使用情况。</w:t>
            </w:r>
          </w:p>
        </w:tc>
      </w:tr>
      <w:tr>
        <w:tblPrEx>
          <w:tblLayout w:type="fixed"/>
          <w:tblCellMar>
            <w:top w:w="15" w:type="dxa"/>
            <w:left w:w="15" w:type="dxa"/>
            <w:bottom w:w="15" w:type="dxa"/>
            <w:right w:w="15" w:type="dxa"/>
          </w:tblCellMar>
        </w:tblPrEx>
        <w:trPr>
          <w:trHeight w:val="620" w:hRule="atLeast"/>
        </w:trPr>
        <w:tc>
          <w:tcPr>
            <w:tcW w:w="1120"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sz w:val="21"/>
                <w:szCs w:val="21"/>
                <w:highlight w:val="none"/>
                <w:lang w:eastAsia="zh-Hans"/>
              </w:rPr>
              <w:t>教室运维分析</w:t>
            </w:r>
          </w:p>
        </w:tc>
        <w:tc>
          <w:tcPr>
            <w:tcW w:w="9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运维概览</w:t>
            </w: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告警工单概览，可按教学楼、教室、设备统计告警工单量、告警设备量、未处理工单量等，可通过列表查看统计数据详情。支持运维工单处理进度展示，包含提交中、处理中、已完成等状态的工单统计；支持工单详细信息查询，支持工单编辑、回复处理结果等。</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工单分布统计</w:t>
            </w: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支持按教学楼、教室、设备、工单类型查看告警工单分布，支持按告警工单类型查看设备分布等。</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工单处理统计</w:t>
            </w: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支持按工单的处理进度查看工单分布及设备分布。</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p>
        </w:tc>
        <w:tc>
          <w:tcPr>
            <w:tcW w:w="9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工单告警详查</w:t>
            </w: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可按告警工单查看教室和设备的运行情况，可查看该教室及设备的详细运行记录，在界面中可通过直播视频详细远程巡检该教室的当前使用情况。</w:t>
            </w:r>
          </w:p>
        </w:tc>
      </w:tr>
      <w:tr>
        <w:tblPrEx>
          <w:tblLayout w:type="fixed"/>
          <w:tblCellMar>
            <w:top w:w="15" w:type="dxa"/>
            <w:left w:w="15" w:type="dxa"/>
            <w:bottom w:w="15" w:type="dxa"/>
            <w:right w:w="15" w:type="dxa"/>
          </w:tblCellMar>
        </w:tblPrEx>
        <w:trPr>
          <w:trHeight w:val="620" w:hRule="atLeast"/>
        </w:trPr>
        <w:tc>
          <w:tcPr>
            <w:tcW w:w="112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lang w:eastAsia="zh-Hans"/>
              </w:rPr>
            </w:pPr>
            <w:r>
              <w:rPr>
                <w:rFonts w:hint="eastAsia" w:ascii="宋体" w:hAnsi="宋体" w:eastAsia="宋体" w:cs="宋体"/>
                <w:sz w:val="21"/>
                <w:szCs w:val="21"/>
                <w:highlight w:val="none"/>
                <w:lang w:eastAsia="zh-Hans"/>
              </w:rPr>
              <w:t>智慧课堂</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分析</w:t>
            </w:r>
          </w:p>
        </w:tc>
        <w:tc>
          <w:tcPr>
            <w:tcW w:w="9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直点播分析</w:t>
            </w: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cs="宋体"/>
                <w:sz w:val="21"/>
                <w:szCs w:val="21"/>
                <w:highlight w:val="none"/>
                <w:lang w:val="en-US" w:eastAsia="zh-CN"/>
              </w:rPr>
              <w:t>可</w:t>
            </w:r>
            <w:r>
              <w:rPr>
                <w:rFonts w:hint="eastAsia" w:ascii="宋体" w:hAnsi="宋体" w:eastAsia="宋体" w:cs="宋体"/>
                <w:sz w:val="21"/>
                <w:szCs w:val="21"/>
                <w:highlight w:val="none"/>
                <w:lang w:eastAsia="zh-Hans"/>
              </w:rPr>
              <w:t>实现智慧教室项目中教学视频的生产、存储等情况进行数据监测，例如：</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ascii="宋体" w:hAnsi="宋体" w:eastAsia="宋体" w:cs="宋体"/>
                <w:sz w:val="21"/>
                <w:szCs w:val="21"/>
                <w:highlight w:val="none"/>
                <w:lang w:eastAsia="zh-Hans"/>
              </w:rPr>
              <w:t>1.课表同步：按日统计周课表的同步情况，自动同步学校课表排课信息，支持添加或导入教务课表，可以设置按课表时间自动开启教室多媒体系统，完成无人值守的全自动管理。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Hans"/>
              </w:rPr>
              <w:t>2.存储空间：统计分析教学视频存储的使用情况</w:t>
            </w:r>
            <w:r>
              <w:rPr>
                <w:rFonts w:hint="eastAsia" w:cs="宋体"/>
                <w:sz w:val="21"/>
                <w:szCs w:val="21"/>
                <w:highlight w:val="none"/>
                <w:lang w:eastAsia="zh-CN"/>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Hans"/>
              </w:rPr>
              <w:t>3.直点播统计：统计直点播课程的生成数和观看数，并分析数据变化趋势</w:t>
            </w:r>
            <w:r>
              <w:rPr>
                <w:rFonts w:hint="eastAsia" w:cs="宋体"/>
                <w:sz w:val="21"/>
                <w:szCs w:val="21"/>
                <w:highlight w:val="none"/>
                <w:lang w:eastAsia="zh-CN"/>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ascii="宋体" w:hAnsi="宋体" w:eastAsia="宋体" w:cs="宋体"/>
                <w:sz w:val="21"/>
                <w:szCs w:val="21"/>
                <w:highlight w:val="none"/>
                <w:lang w:eastAsia="zh-Hans"/>
              </w:rPr>
              <w:t>4.观看信息统计：最新直点播观看记录，课程观看热度的时间分布，热门课程排名等。</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sz w:val="21"/>
                <w:szCs w:val="21"/>
                <w:highlight w:val="none"/>
                <w:lang w:eastAsia="zh-Hans"/>
              </w:rPr>
            </w:pPr>
            <w:r>
              <w:rPr>
                <w:rFonts w:hint="eastAsia" w:ascii="宋体" w:hAnsi="宋体" w:eastAsia="宋体" w:cs="宋体"/>
                <w:sz w:val="21"/>
                <w:szCs w:val="21"/>
                <w:highlight w:val="none"/>
                <w:lang w:eastAsia="zh-Hans"/>
              </w:rPr>
              <w:t>5.课程录制：从教室、教学班、授课老师等多维度统计课程录制情况。</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6.课程下载率：统计课程下载排名。</w:t>
            </w:r>
          </w:p>
        </w:tc>
      </w:tr>
      <w:tr>
        <w:tblPrEx>
          <w:tblLayout w:type="fixed"/>
          <w:tblCellMar>
            <w:top w:w="15" w:type="dxa"/>
            <w:left w:w="15" w:type="dxa"/>
            <w:bottom w:w="15" w:type="dxa"/>
            <w:right w:w="15" w:type="dxa"/>
          </w:tblCellMar>
        </w:tblPrEx>
        <w:trPr>
          <w:trHeight w:val="620" w:hRule="atLeast"/>
        </w:trPr>
        <w:tc>
          <w:tcPr>
            <w:tcW w:w="1120"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sz w:val="21"/>
                <w:szCs w:val="21"/>
                <w:highlight w:val="none"/>
                <w:lang w:eastAsia="zh-Hans"/>
              </w:rPr>
              <w:t>智慧教室大屏</w:t>
            </w:r>
          </w:p>
        </w:tc>
        <w:tc>
          <w:tcPr>
            <w:tcW w:w="989"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sz w:val="21"/>
                <w:szCs w:val="21"/>
                <w:highlight w:val="none"/>
                <w:lang w:eastAsia="zh-Hans"/>
              </w:rPr>
              <w:t>大屏展示</w:t>
            </w: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将不同业务系统数据整合到同一个可视化页面展示；教室使用信息、教室设备使用时长、教室设备报警信息、IC卡刷卡记录、扫码信息、运维工单记录、故障类型报警分析、设备资产生命周期分析、直点播分析等多种数据，在同一界面以图表形式展示。</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支持智慧教室数据概览，包括教学楼、教室、教师数、课程数、告警数、直点播资源数等，支持分布统计。</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支持教室使用情况分析，查看教室容量分布、教室使用状态分布、教室开启方式分布、最新开启记录等。</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支持教室设备使用情况分析，按教学楼、教室等查看教室设备使用时长分布、设备使用状态分布等；重点关注投影仪灯时的使用时长分析。</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支持教室故障告警情况分析，查看故障类型分布、工单处理状态分布、最新告警信息等。</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支持教室资产生命周期分析，查看不同生命周期的资产分布等。</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支持智慧课堂直点播对比分析，查看热点课程、热点视频资源等。</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sz w:val="21"/>
                <w:szCs w:val="21"/>
                <w:highlight w:val="none"/>
                <w:lang w:eastAsia="zh-Hans"/>
              </w:rPr>
              <w:t>自定义配置</w:t>
            </w: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内置数据分析模型，分析模型可不断积累，可自定义大屏的展示界面，按展示场景进行随意选用和切换。</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p>
        </w:tc>
        <w:tc>
          <w:tcPr>
            <w:tcW w:w="989"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支持展现数据、显示位置等功能自定义配置；根据不同展示场景配置不同的数据大屏，多种数据大屏一键切换。</w:t>
            </w:r>
          </w:p>
        </w:tc>
      </w:tr>
      <w:tr>
        <w:tblPrEx>
          <w:tblLayout w:type="fixed"/>
          <w:tblCellMar>
            <w:top w:w="15" w:type="dxa"/>
            <w:left w:w="15" w:type="dxa"/>
            <w:bottom w:w="15" w:type="dxa"/>
            <w:right w:w="15" w:type="dxa"/>
          </w:tblCellMar>
        </w:tblPrEx>
        <w:trPr>
          <w:trHeight w:val="620" w:hRule="atLeast"/>
        </w:trPr>
        <w:tc>
          <w:tcPr>
            <w:tcW w:w="1120"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sz w:val="21"/>
                <w:szCs w:val="21"/>
                <w:highlight w:val="none"/>
                <w:lang w:eastAsia="zh-Hans"/>
              </w:rPr>
              <w:t>其他</w:t>
            </w:r>
          </w:p>
        </w:tc>
        <w:tc>
          <w:tcPr>
            <w:tcW w:w="989"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sz w:val="21"/>
                <w:szCs w:val="21"/>
                <w:highlight w:val="none"/>
                <w:lang w:eastAsia="zh-Hans"/>
              </w:rPr>
              <w:t>信息配置</w:t>
            </w: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数据库所有表或视图数据可通过手动配置形式生成列表，列表的查询条件可灵活配置，可从数据来源表中选择任意一个或多个字段组成查询条件。</w:t>
            </w:r>
          </w:p>
        </w:tc>
      </w:tr>
      <w:tr>
        <w:tblPrEx>
          <w:tblLayout w:type="fixed"/>
          <w:tblCellMar>
            <w:top w:w="15" w:type="dxa"/>
            <w:left w:w="15" w:type="dxa"/>
            <w:bottom w:w="15" w:type="dxa"/>
            <w:right w:w="15" w:type="dxa"/>
          </w:tblCellMar>
        </w:tblPrEx>
        <w:trPr>
          <w:trHeight w:val="39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Hans"/>
              </w:rPr>
            </w:pP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系统包含用户管理、日志管理、权限管理等基础能力。</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ascii="宋体" w:hAnsi="宋体" w:eastAsia="宋体" w:cs="宋体"/>
                <w:sz w:val="21"/>
                <w:szCs w:val="21"/>
                <w:highlight w:val="none"/>
                <w:lang w:eastAsia="zh-Hans"/>
              </w:rPr>
              <w:t>需具备多用户、多角色管理，具备用户名称、登录编号、登录密码、权限角色、手机号、性别、头像等基础信息设置。</w:t>
            </w:r>
          </w:p>
        </w:tc>
      </w:tr>
      <w:tr>
        <w:tblPrEx>
          <w:tblLayout w:type="fixed"/>
          <w:tblCellMar>
            <w:top w:w="15" w:type="dxa"/>
            <w:left w:w="15" w:type="dxa"/>
            <w:bottom w:w="15" w:type="dxa"/>
            <w:right w:w="15" w:type="dxa"/>
          </w:tblCellMar>
        </w:tblPrEx>
        <w:trPr>
          <w:trHeight w:val="620" w:hRule="atLeast"/>
        </w:trPr>
        <w:tc>
          <w:tcPr>
            <w:tcW w:w="1120"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98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CN"/>
              </w:rPr>
            </w:pPr>
            <w:r>
              <w:rPr>
                <w:rFonts w:hint="eastAsia" w:ascii="宋体" w:hAnsi="宋体" w:eastAsia="宋体" w:cs="宋体"/>
                <w:sz w:val="21"/>
                <w:szCs w:val="21"/>
                <w:highlight w:val="none"/>
                <w:lang w:eastAsia="zh-Hans"/>
              </w:rPr>
              <w:t>数据</w:t>
            </w:r>
            <w:r>
              <w:rPr>
                <w:rFonts w:hint="eastAsia" w:cs="宋体"/>
                <w:sz w:val="21"/>
                <w:szCs w:val="21"/>
                <w:highlight w:val="none"/>
                <w:lang w:val="en-US" w:eastAsia="zh-CN"/>
              </w:rPr>
              <w:t>集成</w:t>
            </w:r>
          </w:p>
        </w:tc>
        <w:tc>
          <w:tcPr>
            <w:tcW w:w="73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Hans"/>
              </w:rPr>
            </w:pPr>
            <w:r>
              <w:rPr>
                <w:rFonts w:hint="eastAsia" w:cs="宋体"/>
                <w:sz w:val="21"/>
                <w:szCs w:val="21"/>
                <w:highlight w:val="none"/>
                <w:lang w:val="en-US" w:eastAsia="zh-CN"/>
              </w:rPr>
              <w:t>通过</w:t>
            </w:r>
            <w:r>
              <w:rPr>
                <w:rFonts w:hint="eastAsia" w:ascii="宋体" w:hAnsi="宋体" w:eastAsia="宋体" w:cs="宋体"/>
                <w:sz w:val="21"/>
                <w:szCs w:val="21"/>
                <w:highlight w:val="none"/>
                <w:lang w:eastAsia="zh-Hans"/>
              </w:rPr>
              <w:t>统一身份认证，可实现单点登录</w:t>
            </w:r>
            <w:r>
              <w:rPr>
                <w:rFonts w:hint="eastAsia" w:cs="宋体"/>
                <w:sz w:val="21"/>
                <w:szCs w:val="21"/>
                <w:highlight w:val="none"/>
                <w:lang w:eastAsia="zh-CN"/>
              </w:rPr>
              <w:t>（</w:t>
            </w:r>
            <w:r>
              <w:rPr>
                <w:rFonts w:hint="eastAsia" w:ascii="宋体" w:hAnsi="宋体" w:eastAsia="宋体" w:cs="宋体"/>
                <w:sz w:val="21"/>
                <w:szCs w:val="21"/>
                <w:highlight w:val="none"/>
                <w:lang w:eastAsia="zh-Hans"/>
              </w:rPr>
              <w:t>包括数字校园在内的第三方应用</w:t>
            </w:r>
            <w:r>
              <w:rPr>
                <w:rFonts w:hint="eastAsia" w:cs="宋体"/>
                <w:sz w:val="21"/>
                <w:szCs w:val="21"/>
                <w:highlight w:val="none"/>
                <w:lang w:eastAsia="zh-CN"/>
              </w:rPr>
              <w:t>）</w:t>
            </w:r>
            <w:r>
              <w:rPr>
                <w:rFonts w:hint="eastAsia" w:ascii="宋体" w:hAnsi="宋体" w:eastAsia="宋体" w:cs="宋体"/>
                <w:sz w:val="21"/>
                <w:szCs w:val="21"/>
                <w:highlight w:val="none"/>
                <w:lang w:eastAsia="zh-Hans"/>
              </w:rPr>
              <w:t>，通过统一身份认证，只需一个用户名密码就可以完成多个应用系统/平台的登录操作。</w:t>
            </w:r>
          </w:p>
        </w:tc>
      </w:tr>
    </w:tbl>
    <w:p>
      <w:pPr>
        <w:keepNext w:val="0"/>
        <w:keepLines w:val="0"/>
        <w:pageBreakBefore w:val="0"/>
        <w:widowControl w:val="0"/>
        <w:kinsoku/>
        <w:wordWrap/>
        <w:overflowPunct/>
        <w:topLinePunct w:val="0"/>
        <w:autoSpaceDE/>
        <w:autoSpaceDN/>
        <w:bidi w:val="0"/>
        <w:spacing w:before="0" w:beforeLines="0" w:after="0" w:afterLines="0" w:line="288" w:lineRule="auto"/>
        <w:ind w:left="0" w:leftChars="0" w:right="0" w:firstLine="404" w:firstLineChars="200"/>
        <w:jc w:val="left"/>
        <w:outlineLvl w:val="9"/>
        <w:rPr>
          <w:rFonts w:hint="eastAsia" w:ascii="宋体" w:hAnsi="宋体" w:eastAsia="宋体" w:cs="宋体"/>
          <w:spacing w:val="-4"/>
          <w:kern w:val="2"/>
          <w:sz w:val="21"/>
          <w:szCs w:val="21"/>
          <w:highlight w:val="none"/>
          <w:lang w:val="en-US" w:eastAsia="zh-Hans" w:bidi="ar-SA"/>
        </w:rPr>
      </w:pPr>
    </w:p>
    <w:p>
      <w:pPr>
        <w:keepNext w:val="0"/>
        <w:keepLines w:val="0"/>
        <w:pageBreakBefore w:val="0"/>
        <w:numPr>
          <w:ilvl w:val="0"/>
          <w:numId w:val="0"/>
        </w:numPr>
        <w:kinsoku/>
        <w:wordWrap/>
        <w:overflowPunct/>
        <w:topLinePunct w:val="0"/>
        <w:autoSpaceDE/>
        <w:autoSpaceDN/>
        <w:bidi w:val="0"/>
        <w:spacing w:line="288" w:lineRule="auto"/>
        <w:ind w:right="0" w:rightChars="0" w:firstLine="422" w:firstLineChars="200"/>
        <w:jc w:val="left"/>
        <w:outlineLvl w:val="9"/>
        <w:rPr>
          <w:rFonts w:hint="eastAsia" w:ascii="宋体" w:hAnsi="宋体" w:eastAsia="宋体" w:cs="宋体"/>
          <w:b/>
          <w:bCs/>
          <w:color w:val="1C1917"/>
          <w:sz w:val="21"/>
          <w:szCs w:val="21"/>
          <w:highlight w:val="none"/>
          <w:shd w:val="clear" w:color="auto" w:fill="FFFFFF"/>
          <w:lang w:eastAsia="zh-CN"/>
        </w:rPr>
      </w:pPr>
      <w:r>
        <w:rPr>
          <w:rFonts w:hint="eastAsia" w:cs="宋体"/>
          <w:b/>
          <w:bCs/>
          <w:color w:val="1C1917"/>
          <w:sz w:val="21"/>
          <w:szCs w:val="21"/>
          <w:highlight w:val="none"/>
          <w:shd w:val="clear" w:color="auto" w:fill="FFFFFF"/>
          <w:lang w:eastAsia="zh-CN"/>
        </w:rPr>
        <w:t>（</w:t>
      </w:r>
      <w:r>
        <w:rPr>
          <w:rFonts w:hint="eastAsia" w:cs="宋体"/>
          <w:b/>
          <w:bCs/>
          <w:color w:val="1C1917"/>
          <w:sz w:val="21"/>
          <w:szCs w:val="21"/>
          <w:highlight w:val="none"/>
          <w:shd w:val="clear" w:color="auto" w:fill="FFFFFF"/>
          <w:lang w:val="en-US" w:eastAsia="zh-CN"/>
        </w:rPr>
        <w:t>九</w:t>
      </w:r>
      <w:r>
        <w:rPr>
          <w:rFonts w:hint="eastAsia" w:cs="宋体"/>
          <w:b/>
          <w:bCs/>
          <w:color w:val="1C1917"/>
          <w:sz w:val="21"/>
          <w:szCs w:val="21"/>
          <w:highlight w:val="none"/>
          <w:shd w:val="clear" w:color="auto" w:fill="FFFFFF"/>
          <w:lang w:eastAsia="zh-CN"/>
        </w:rPr>
        <w:t>）</w:t>
      </w:r>
      <w:r>
        <w:rPr>
          <w:rFonts w:hint="eastAsia" w:ascii="宋体" w:hAnsi="宋体" w:eastAsia="宋体" w:cs="宋体"/>
          <w:b/>
          <w:bCs/>
          <w:color w:val="1C1917"/>
          <w:sz w:val="21"/>
          <w:szCs w:val="21"/>
          <w:highlight w:val="none"/>
          <w:shd w:val="clear" w:color="auto" w:fill="FFFFFF"/>
        </w:rPr>
        <w:t>导学评价系统</w:t>
      </w:r>
      <w:r>
        <w:rPr>
          <w:rFonts w:hint="eastAsia" w:cs="宋体"/>
          <w:b/>
          <w:bCs/>
          <w:color w:val="1C1917"/>
          <w:sz w:val="21"/>
          <w:szCs w:val="21"/>
          <w:highlight w:val="none"/>
          <w:shd w:val="clear" w:color="auto" w:fill="FFFFFF"/>
          <w:lang w:eastAsia="zh-CN"/>
        </w:rPr>
        <w:t>：</w:t>
      </w:r>
    </w:p>
    <w:p>
      <w:pPr>
        <w:keepNext w:val="0"/>
        <w:keepLines w:val="0"/>
        <w:pageBreakBefore w:val="0"/>
        <w:widowControl w:val="0"/>
        <w:kinsoku/>
        <w:wordWrap/>
        <w:overflowPunct/>
        <w:topLinePunct w:val="0"/>
        <w:autoSpaceDE/>
        <w:autoSpaceDN/>
        <w:bidi w:val="0"/>
        <w:spacing w:before="0" w:beforeLines="0" w:after="0" w:afterLines="0" w:line="288" w:lineRule="auto"/>
        <w:ind w:left="0" w:leftChars="0" w:right="0" w:firstLine="420" w:firstLineChars="20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1C1917"/>
          <w:kern w:val="2"/>
          <w:sz w:val="21"/>
          <w:szCs w:val="21"/>
          <w:highlight w:val="none"/>
          <w:shd w:val="clear" w:color="auto" w:fill="FFFFFF"/>
          <w:lang w:val="en-US" w:eastAsia="zh-CN" w:bidi="ar-SA"/>
        </w:rPr>
        <w:t>在一期系统基础上,增加导师对学生更多维度评价分析,提高导学工作精细化水平。</w:t>
      </w:r>
    </w:p>
    <w:tbl>
      <w:tblPr>
        <w:tblStyle w:val="11"/>
        <w:tblW w:w="9442" w:type="dxa"/>
        <w:tblInd w:w="0" w:type="dxa"/>
        <w:tblLayout w:type="fixed"/>
        <w:tblCellMar>
          <w:top w:w="15" w:type="dxa"/>
          <w:left w:w="15" w:type="dxa"/>
          <w:bottom w:w="15" w:type="dxa"/>
          <w:right w:w="15" w:type="dxa"/>
        </w:tblCellMar>
      </w:tblPr>
      <w:tblGrid>
        <w:gridCol w:w="2066"/>
        <w:gridCol w:w="7376"/>
      </w:tblGrid>
      <w:tr>
        <w:tblPrEx>
          <w:tblLayout w:type="fixed"/>
          <w:tblCellMar>
            <w:top w:w="15" w:type="dxa"/>
            <w:left w:w="15" w:type="dxa"/>
            <w:bottom w:w="15" w:type="dxa"/>
            <w:right w:w="15" w:type="dxa"/>
          </w:tblCellMar>
        </w:tblPrEx>
        <w:trPr>
          <w:trHeight w:val="90" w:hRule="atLeast"/>
        </w:trPr>
        <w:tc>
          <w:tcPr>
            <w:tcW w:w="20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分类</w:t>
            </w:r>
          </w:p>
        </w:tc>
        <w:tc>
          <w:tcPr>
            <w:tcW w:w="73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功能需求描述</w:t>
            </w:r>
          </w:p>
        </w:tc>
      </w:tr>
      <w:tr>
        <w:tblPrEx>
          <w:tblLayout w:type="fixed"/>
          <w:tblCellMar>
            <w:top w:w="15" w:type="dxa"/>
            <w:left w:w="15" w:type="dxa"/>
            <w:bottom w:w="15" w:type="dxa"/>
            <w:right w:w="15" w:type="dxa"/>
          </w:tblCellMar>
        </w:tblPrEx>
        <w:trPr>
          <w:trHeight w:val="620" w:hRule="atLeast"/>
        </w:trPr>
        <w:tc>
          <w:tcPr>
            <w:tcW w:w="20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评价指标体系</w:t>
            </w:r>
          </w:p>
        </w:tc>
        <w:tc>
          <w:tcPr>
            <w:tcW w:w="73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color w:val="1C1917"/>
                <w:sz w:val="21"/>
                <w:szCs w:val="21"/>
                <w:highlight w:val="none"/>
                <w:shd w:val="clear" w:color="auto" w:fill="FFFFFF"/>
              </w:rPr>
            </w:pPr>
            <w:r>
              <w:rPr>
                <w:rFonts w:hint="eastAsia" w:cs="宋体"/>
                <w:color w:val="1C1917"/>
                <w:sz w:val="21"/>
                <w:szCs w:val="21"/>
                <w:highlight w:val="none"/>
                <w:shd w:val="clear" w:color="auto" w:fill="FFFFFF"/>
                <w:lang w:val="en-US" w:eastAsia="zh-CN"/>
              </w:rPr>
              <w:t>1.设计</w:t>
            </w:r>
            <w:r>
              <w:rPr>
                <w:rFonts w:hint="eastAsia" w:ascii="宋体" w:hAnsi="宋体" w:eastAsia="宋体" w:cs="宋体"/>
                <w:color w:val="1C1917"/>
                <w:sz w:val="21"/>
                <w:szCs w:val="21"/>
                <w:highlight w:val="none"/>
                <w:shd w:val="clear" w:color="auto" w:fill="FFFFFF"/>
              </w:rPr>
              <w:t>研究生对导师的评价指标,如导师的学术水平、指导风格、师德师能等。</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color w:val="1C1917"/>
                <w:sz w:val="21"/>
                <w:szCs w:val="21"/>
                <w:highlight w:val="none"/>
                <w:shd w:val="clear" w:color="auto" w:fill="FFFFFF"/>
              </w:rPr>
            </w:pPr>
            <w:r>
              <w:rPr>
                <w:rFonts w:hint="eastAsia" w:cs="宋体"/>
                <w:color w:val="1C1917"/>
                <w:sz w:val="21"/>
                <w:szCs w:val="21"/>
                <w:highlight w:val="none"/>
                <w:shd w:val="clear" w:color="auto" w:fill="FFFFFF"/>
                <w:lang w:val="en-US" w:eastAsia="zh-CN"/>
              </w:rPr>
              <w:t>2.</w:t>
            </w:r>
            <w:r>
              <w:rPr>
                <w:rFonts w:hint="eastAsia" w:ascii="宋体" w:hAnsi="宋体" w:eastAsia="宋体" w:cs="宋体"/>
                <w:color w:val="1C1917"/>
                <w:sz w:val="21"/>
                <w:szCs w:val="21"/>
                <w:highlight w:val="none"/>
                <w:shd w:val="clear" w:color="auto" w:fill="FFFFFF"/>
              </w:rPr>
              <w:t>设计客观评价指标，如教学/学术成果产出、研究生毕业质量等，量化导师的导学成果。</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cs="宋体"/>
                <w:color w:val="1C1917"/>
                <w:sz w:val="21"/>
                <w:szCs w:val="21"/>
                <w:highlight w:val="none"/>
                <w:shd w:val="clear" w:color="auto" w:fill="FFFFFF"/>
                <w:lang w:val="en-US" w:eastAsia="zh-CN"/>
              </w:rPr>
              <w:t>3.</w:t>
            </w:r>
            <w:r>
              <w:rPr>
                <w:rFonts w:hint="eastAsia" w:ascii="宋体" w:hAnsi="宋体" w:eastAsia="宋体" w:cs="宋体"/>
                <w:color w:val="1C1917"/>
                <w:sz w:val="21"/>
                <w:szCs w:val="21"/>
                <w:highlight w:val="none"/>
                <w:shd w:val="clear" w:color="auto" w:fill="FFFFFF"/>
              </w:rPr>
              <w:t>设计评价指标的权重设置，支持动态调整指标权重。</w:t>
            </w:r>
          </w:p>
        </w:tc>
      </w:tr>
      <w:tr>
        <w:tblPrEx>
          <w:tblLayout w:type="fixed"/>
          <w:tblCellMar>
            <w:top w:w="15" w:type="dxa"/>
            <w:left w:w="15" w:type="dxa"/>
            <w:bottom w:w="15" w:type="dxa"/>
            <w:right w:w="15" w:type="dxa"/>
          </w:tblCellMar>
        </w:tblPrEx>
        <w:trPr>
          <w:trHeight w:val="372" w:hRule="atLeast"/>
        </w:trPr>
        <w:tc>
          <w:tcPr>
            <w:tcW w:w="20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问卷设计</w:t>
            </w:r>
          </w:p>
        </w:tc>
        <w:tc>
          <w:tcPr>
            <w:tcW w:w="73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color w:val="1C1917"/>
                <w:sz w:val="21"/>
                <w:szCs w:val="21"/>
                <w:highlight w:val="none"/>
                <w:shd w:val="clear" w:color="auto" w:fill="FFFFFF"/>
                <w:lang w:eastAsia="zh-Hans"/>
              </w:rPr>
            </w:pPr>
            <w:r>
              <w:rPr>
                <w:rFonts w:hint="eastAsia" w:cs="宋体"/>
                <w:color w:val="1C1917"/>
                <w:sz w:val="21"/>
                <w:szCs w:val="21"/>
                <w:highlight w:val="none"/>
                <w:shd w:val="clear" w:color="auto" w:fill="FFFFFF"/>
                <w:lang w:val="en-US" w:eastAsia="zh-CN"/>
              </w:rPr>
              <w:t>1.</w:t>
            </w:r>
            <w:r>
              <w:rPr>
                <w:rFonts w:hint="eastAsia" w:ascii="宋体" w:hAnsi="宋体" w:eastAsia="宋体" w:cs="宋体"/>
                <w:color w:val="1C1917"/>
                <w:sz w:val="21"/>
                <w:szCs w:val="21"/>
                <w:highlight w:val="none"/>
                <w:shd w:val="clear" w:color="auto" w:fill="FFFFFF"/>
              </w:rPr>
              <w:t>提供灵活的问卷设计工具，允许根据需求随时调整评价内容，以保持问卷的实用性和针对性。</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sz w:val="21"/>
                <w:szCs w:val="21"/>
                <w:highlight w:val="none"/>
                <w:lang w:eastAsia="zh-Hans"/>
              </w:rPr>
            </w:pPr>
            <w:r>
              <w:rPr>
                <w:rFonts w:hint="eastAsia" w:cs="宋体"/>
                <w:color w:val="1C1917"/>
                <w:sz w:val="21"/>
                <w:szCs w:val="21"/>
                <w:highlight w:val="none"/>
                <w:shd w:val="clear" w:color="auto" w:fill="FFFFFF"/>
                <w:lang w:val="en-US" w:eastAsia="zh-CN"/>
              </w:rPr>
              <w:t>2.</w:t>
            </w:r>
            <w:r>
              <w:rPr>
                <w:rFonts w:hint="eastAsia" w:ascii="宋体" w:hAnsi="宋体" w:eastAsia="宋体" w:cs="宋体"/>
                <w:color w:val="1C1917"/>
                <w:sz w:val="21"/>
                <w:szCs w:val="21"/>
                <w:highlight w:val="none"/>
                <w:shd w:val="clear" w:color="auto" w:fill="FFFFFF"/>
              </w:rPr>
              <w:t>问卷填写数据自动导入研究生管理系统，确保数据的及时性和准确性。</w:t>
            </w:r>
          </w:p>
        </w:tc>
      </w:tr>
      <w:tr>
        <w:tblPrEx>
          <w:tblLayout w:type="fixed"/>
          <w:tblCellMar>
            <w:top w:w="15" w:type="dxa"/>
            <w:left w:w="15" w:type="dxa"/>
            <w:bottom w:w="15" w:type="dxa"/>
            <w:right w:w="15" w:type="dxa"/>
          </w:tblCellMar>
        </w:tblPrEx>
        <w:trPr>
          <w:trHeight w:val="620" w:hRule="atLeast"/>
        </w:trPr>
        <w:tc>
          <w:tcPr>
            <w:tcW w:w="20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评价结果展示</w:t>
            </w:r>
          </w:p>
        </w:tc>
        <w:tc>
          <w:tcPr>
            <w:tcW w:w="73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color w:val="1C1917"/>
                <w:sz w:val="21"/>
                <w:szCs w:val="21"/>
                <w:highlight w:val="none"/>
                <w:shd w:val="clear" w:color="auto" w:fill="FFFFFF"/>
              </w:rPr>
            </w:pPr>
            <w:r>
              <w:rPr>
                <w:rFonts w:hint="eastAsia" w:cs="宋体"/>
                <w:color w:val="1C1917"/>
                <w:sz w:val="21"/>
                <w:szCs w:val="21"/>
                <w:highlight w:val="none"/>
                <w:shd w:val="clear" w:color="auto" w:fill="FFFFFF"/>
                <w:lang w:val="en-US" w:eastAsia="zh-CN"/>
              </w:rPr>
              <w:t>1.</w:t>
            </w:r>
            <w:r>
              <w:rPr>
                <w:rFonts w:hint="eastAsia" w:ascii="宋体" w:hAnsi="宋体" w:eastAsia="宋体" w:cs="宋体"/>
                <w:color w:val="1C1917"/>
                <w:sz w:val="21"/>
                <w:szCs w:val="21"/>
                <w:highlight w:val="none"/>
                <w:shd w:val="clear" w:color="auto" w:fill="FFFFFF"/>
              </w:rPr>
              <w:t>记录导师每年的评价数据，以便进行历年表现的对比分析，发现导师在教育质量上的成长和变化趋势。</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CN"/>
              </w:rPr>
            </w:pPr>
            <w:r>
              <w:rPr>
                <w:rFonts w:hint="eastAsia" w:cs="宋体"/>
                <w:color w:val="1C1917"/>
                <w:sz w:val="21"/>
                <w:szCs w:val="21"/>
                <w:highlight w:val="none"/>
                <w:shd w:val="clear" w:color="auto" w:fill="FFFFFF"/>
                <w:lang w:val="en-US" w:eastAsia="zh-CN"/>
              </w:rPr>
              <w:t>2.</w:t>
            </w:r>
            <w:r>
              <w:rPr>
                <w:rFonts w:hint="eastAsia" w:ascii="宋体" w:hAnsi="宋体" w:eastAsia="宋体" w:cs="宋体"/>
                <w:color w:val="1C1917"/>
                <w:sz w:val="21"/>
                <w:szCs w:val="21"/>
                <w:highlight w:val="none"/>
                <w:shd w:val="clear" w:color="auto" w:fill="FFFFFF"/>
              </w:rPr>
              <w:t>根据导师历年评价数据绘制个人发展曲线图，直观展示导师的教育质量变化趋势，为导师个人发展提供参考依据。</w:t>
            </w:r>
          </w:p>
        </w:tc>
      </w:tr>
      <w:tr>
        <w:tblPrEx>
          <w:tblLayout w:type="fixed"/>
          <w:tblCellMar>
            <w:top w:w="15" w:type="dxa"/>
            <w:left w:w="15" w:type="dxa"/>
            <w:bottom w:w="15" w:type="dxa"/>
            <w:right w:w="15" w:type="dxa"/>
          </w:tblCellMar>
        </w:tblPrEx>
        <w:trPr>
          <w:trHeight w:val="620" w:hRule="atLeast"/>
        </w:trPr>
        <w:tc>
          <w:tcPr>
            <w:tcW w:w="20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数据集成</w:t>
            </w:r>
          </w:p>
        </w:tc>
        <w:tc>
          <w:tcPr>
            <w:tcW w:w="73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cs="宋体"/>
                <w:color w:val="1C1917"/>
                <w:sz w:val="21"/>
                <w:szCs w:val="21"/>
                <w:highlight w:val="none"/>
                <w:shd w:val="clear" w:color="auto" w:fill="FFFFFF"/>
                <w:lang w:val="en-US" w:eastAsia="zh-CN"/>
              </w:rPr>
              <w:t>通过人事等数据集成，</w:t>
            </w:r>
            <w:r>
              <w:rPr>
                <w:rFonts w:hint="eastAsia" w:ascii="宋体" w:hAnsi="宋体" w:eastAsia="宋体" w:cs="宋体"/>
                <w:color w:val="1C1917"/>
                <w:sz w:val="21"/>
                <w:szCs w:val="21"/>
                <w:highlight w:val="none"/>
                <w:shd w:val="clear" w:color="auto" w:fill="FFFFFF"/>
              </w:rPr>
              <w:t>确保评价数据的一致性和准确性，提高数据处理的效率和质量。</w:t>
            </w:r>
          </w:p>
        </w:tc>
      </w:tr>
      <w:tr>
        <w:tblPrEx>
          <w:tblLayout w:type="fixed"/>
          <w:tblCellMar>
            <w:top w:w="15" w:type="dxa"/>
            <w:left w:w="15" w:type="dxa"/>
            <w:bottom w:w="15" w:type="dxa"/>
            <w:right w:w="15" w:type="dxa"/>
          </w:tblCellMar>
        </w:tblPrEx>
        <w:trPr>
          <w:trHeight w:val="513" w:hRule="atLeast"/>
        </w:trPr>
        <w:tc>
          <w:tcPr>
            <w:tcW w:w="20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用户体验优化</w:t>
            </w:r>
          </w:p>
        </w:tc>
        <w:tc>
          <w:tcPr>
            <w:tcW w:w="73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设计直观友好的界面，包括直观的数据展示、易于操作的功能模块等，提升用户体验，使评价过程顺畅高效。</w:t>
            </w:r>
          </w:p>
        </w:tc>
      </w:tr>
      <w:tr>
        <w:tblPrEx>
          <w:tblLayout w:type="fixed"/>
          <w:tblCellMar>
            <w:top w:w="15" w:type="dxa"/>
            <w:left w:w="15" w:type="dxa"/>
            <w:bottom w:w="15" w:type="dxa"/>
            <w:right w:w="15" w:type="dxa"/>
          </w:tblCellMar>
        </w:tblPrEx>
        <w:trPr>
          <w:trHeight w:val="287" w:hRule="atLeast"/>
        </w:trPr>
        <w:tc>
          <w:tcPr>
            <w:tcW w:w="20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数据安全</w:t>
            </w:r>
          </w:p>
        </w:tc>
        <w:tc>
          <w:tcPr>
            <w:tcW w:w="73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采用高级的数据加密技术，实施严格的权限控制机制，确保评价数据的安全性，防止数据泄露和恶意篡改。</w:t>
            </w:r>
          </w:p>
        </w:tc>
      </w:tr>
    </w:tbl>
    <w:p>
      <w:pPr>
        <w:keepNext w:val="0"/>
        <w:keepLines w:val="0"/>
        <w:pageBreakBefore w:val="0"/>
        <w:kinsoku/>
        <w:wordWrap/>
        <w:overflowPunct/>
        <w:topLinePunct w:val="0"/>
        <w:autoSpaceDE/>
        <w:autoSpaceDN/>
        <w:bidi w:val="0"/>
        <w:snapToGrid w:val="0"/>
        <w:spacing w:line="288" w:lineRule="auto"/>
        <w:ind w:left="0" w:leftChars="0" w:right="0" w:firstLine="420" w:firstLineChars="200"/>
        <w:jc w:val="left"/>
        <w:outlineLvl w:val="9"/>
        <w:rPr>
          <w:rFonts w:hint="eastAsia" w:ascii="宋体" w:hAnsi="宋体" w:eastAsia="宋体" w:cs="宋体"/>
          <w:sz w:val="21"/>
          <w:szCs w:val="21"/>
          <w:highlight w:val="none"/>
        </w:rPr>
      </w:pPr>
    </w:p>
    <w:p>
      <w:pPr>
        <w:keepNext w:val="0"/>
        <w:keepLines w:val="0"/>
        <w:pageBreakBefore w:val="0"/>
        <w:numPr>
          <w:ilvl w:val="0"/>
          <w:numId w:val="0"/>
        </w:numPr>
        <w:kinsoku/>
        <w:wordWrap/>
        <w:overflowPunct/>
        <w:topLinePunct w:val="0"/>
        <w:autoSpaceDE/>
        <w:autoSpaceDN/>
        <w:bidi w:val="0"/>
        <w:spacing w:line="288" w:lineRule="auto"/>
        <w:ind w:right="0" w:rightChars="0" w:firstLine="422" w:firstLineChars="200"/>
        <w:jc w:val="left"/>
        <w:outlineLvl w:val="9"/>
        <w:rPr>
          <w:rFonts w:hint="eastAsia" w:ascii="宋体" w:hAnsi="宋体" w:eastAsia="宋体" w:cs="宋体"/>
          <w:b/>
          <w:bCs/>
          <w:color w:val="1C1917"/>
          <w:sz w:val="21"/>
          <w:szCs w:val="21"/>
          <w:highlight w:val="none"/>
          <w:shd w:val="clear" w:color="auto" w:fill="FFFFFF"/>
        </w:rPr>
      </w:pPr>
      <w:r>
        <w:rPr>
          <w:rFonts w:hint="eastAsia" w:cs="宋体"/>
          <w:b/>
          <w:bCs/>
          <w:color w:val="1C1917"/>
          <w:sz w:val="21"/>
          <w:szCs w:val="21"/>
          <w:highlight w:val="none"/>
          <w:shd w:val="clear" w:color="auto" w:fill="FFFFFF"/>
          <w:lang w:eastAsia="zh-CN"/>
        </w:rPr>
        <w:t>（</w:t>
      </w:r>
      <w:r>
        <w:rPr>
          <w:rFonts w:hint="eastAsia" w:cs="宋体"/>
          <w:b/>
          <w:bCs/>
          <w:color w:val="1C1917"/>
          <w:sz w:val="21"/>
          <w:szCs w:val="21"/>
          <w:highlight w:val="none"/>
          <w:shd w:val="clear" w:color="auto" w:fill="FFFFFF"/>
          <w:lang w:val="en-US" w:eastAsia="zh-CN"/>
        </w:rPr>
        <w:t>十</w:t>
      </w:r>
      <w:r>
        <w:rPr>
          <w:rFonts w:hint="eastAsia" w:cs="宋体"/>
          <w:b/>
          <w:bCs/>
          <w:color w:val="1C1917"/>
          <w:sz w:val="21"/>
          <w:szCs w:val="21"/>
          <w:highlight w:val="none"/>
          <w:shd w:val="clear" w:color="auto" w:fill="FFFFFF"/>
          <w:lang w:eastAsia="zh-CN"/>
        </w:rPr>
        <w:t>）</w:t>
      </w:r>
      <w:r>
        <w:rPr>
          <w:rFonts w:hint="eastAsia" w:ascii="宋体" w:hAnsi="宋体" w:eastAsia="宋体" w:cs="宋体"/>
          <w:b/>
          <w:bCs/>
          <w:color w:val="1C1917"/>
          <w:sz w:val="21"/>
          <w:szCs w:val="21"/>
          <w:highlight w:val="none"/>
          <w:shd w:val="clear" w:color="auto" w:fill="FFFFFF"/>
        </w:rPr>
        <w:t>智慧党建系统</w:t>
      </w:r>
      <w:r>
        <w:rPr>
          <w:rFonts w:hint="eastAsia" w:cs="宋体"/>
          <w:b/>
          <w:bCs/>
          <w:color w:val="1C1917"/>
          <w:sz w:val="21"/>
          <w:szCs w:val="21"/>
          <w:highlight w:val="none"/>
          <w:shd w:val="clear" w:color="auto" w:fill="FFFFFF"/>
          <w:lang w:eastAsia="zh-CN"/>
        </w:rPr>
        <w:t>：</w:t>
      </w:r>
    </w:p>
    <w:tbl>
      <w:tblPr>
        <w:tblStyle w:val="11"/>
        <w:tblW w:w="9442" w:type="dxa"/>
        <w:tblInd w:w="0" w:type="dxa"/>
        <w:tblLayout w:type="fixed"/>
        <w:tblCellMar>
          <w:top w:w="15" w:type="dxa"/>
          <w:left w:w="15" w:type="dxa"/>
          <w:bottom w:w="15" w:type="dxa"/>
          <w:right w:w="15" w:type="dxa"/>
        </w:tblCellMar>
      </w:tblPr>
      <w:tblGrid>
        <w:gridCol w:w="1136"/>
        <w:gridCol w:w="1136"/>
        <w:gridCol w:w="7170"/>
      </w:tblGrid>
      <w:tr>
        <w:tblPrEx>
          <w:tblLayout w:type="fixed"/>
          <w:tblCellMar>
            <w:top w:w="15" w:type="dxa"/>
            <w:left w:w="15" w:type="dxa"/>
            <w:bottom w:w="15" w:type="dxa"/>
            <w:right w:w="15" w:type="dxa"/>
          </w:tblCellMar>
        </w:tblPrEx>
        <w:trPr>
          <w:trHeight w:val="690" w:hRule="atLeast"/>
        </w:trPr>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分类</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功能</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功能需求描述</w:t>
            </w:r>
          </w:p>
        </w:tc>
      </w:tr>
      <w:tr>
        <w:tblPrEx>
          <w:tblLayout w:type="fixed"/>
          <w:tblCellMar>
            <w:top w:w="15" w:type="dxa"/>
            <w:left w:w="15" w:type="dxa"/>
            <w:bottom w:w="15" w:type="dxa"/>
            <w:right w:w="15" w:type="dxa"/>
          </w:tblCellMar>
        </w:tblPrEx>
        <w:trPr>
          <w:trHeight w:val="620" w:hRule="atLeast"/>
        </w:trPr>
        <w:tc>
          <w:tcPr>
            <w:tcW w:w="113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组织管理</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组织层级</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eastAsia="zh-CN"/>
              </w:rPr>
            </w:pPr>
            <w:r>
              <w:rPr>
                <w:rFonts w:hint="eastAsia" w:ascii="宋体" w:hAnsi="宋体" w:eastAsia="宋体" w:cs="宋体"/>
                <w:color w:val="1C1917"/>
                <w:sz w:val="21"/>
                <w:szCs w:val="21"/>
                <w:highlight w:val="none"/>
                <w:shd w:val="clear" w:color="auto" w:fill="FFFFFF"/>
              </w:rPr>
              <w:t>1.以树形结构维护层级，如一级党委、二级党委、党支部组织维护</w:t>
            </w:r>
            <w:r>
              <w:rPr>
                <w:rFonts w:hint="eastAsia" w:ascii="宋体" w:hAnsi="宋体" w:eastAsia="宋体" w:cs="宋体"/>
                <w:color w:val="1C1917"/>
                <w:sz w:val="21"/>
                <w:szCs w:val="21"/>
                <w:highlight w:val="none"/>
                <w:shd w:val="clear" w:color="auto" w:fill="FFFFFF"/>
                <w:lang w:eastAsia="zh-CN"/>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eastAsia="zh-CN"/>
              </w:rPr>
            </w:pPr>
            <w:r>
              <w:rPr>
                <w:rFonts w:hint="eastAsia" w:ascii="宋体" w:hAnsi="宋体" w:eastAsia="宋体" w:cs="宋体"/>
                <w:color w:val="1C1917"/>
                <w:sz w:val="21"/>
                <w:szCs w:val="21"/>
                <w:highlight w:val="none"/>
                <w:shd w:val="clear" w:color="auto" w:fill="FFFFFF"/>
              </w:rPr>
              <w:t>2.组织维护信息包括党组织联系人、联系方式、建立党组织的日期等</w:t>
            </w:r>
            <w:r>
              <w:rPr>
                <w:rFonts w:hint="eastAsia" w:cs="宋体"/>
                <w:color w:val="1C1917"/>
                <w:sz w:val="21"/>
                <w:szCs w:val="21"/>
                <w:highlight w:val="none"/>
                <w:shd w:val="clear" w:color="auto" w:fill="FFFFFF"/>
                <w:lang w:eastAsia="zh-CN"/>
              </w:rPr>
              <w:t>。</w:t>
            </w:r>
          </w:p>
        </w:tc>
      </w:tr>
      <w:tr>
        <w:tblPrEx>
          <w:tblLayout w:type="fixed"/>
          <w:tblCellMar>
            <w:top w:w="15" w:type="dxa"/>
            <w:left w:w="15" w:type="dxa"/>
            <w:bottom w:w="15" w:type="dxa"/>
            <w:right w:w="15" w:type="dxa"/>
          </w:tblCellMar>
        </w:tblPrEx>
        <w:trPr>
          <w:trHeight w:val="372" w:hRule="atLeast"/>
        </w:trPr>
        <w:tc>
          <w:tcPr>
            <w:tcW w:w="113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数据关联</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eastAsia="zh-CN"/>
              </w:rPr>
            </w:pPr>
            <w:r>
              <w:rPr>
                <w:rFonts w:hint="eastAsia" w:ascii="宋体" w:hAnsi="宋体" w:eastAsia="宋体" w:cs="宋体"/>
                <w:color w:val="1C1917"/>
                <w:sz w:val="21"/>
                <w:szCs w:val="21"/>
                <w:highlight w:val="none"/>
                <w:shd w:val="clear" w:color="auto" w:fill="FFFFFF"/>
                <w:lang w:eastAsia="zh-Hans"/>
              </w:rPr>
              <w:t>支持维护二级党委与学院/部门的数据绑定关联关系</w:t>
            </w:r>
            <w:r>
              <w:rPr>
                <w:rFonts w:hint="eastAsia" w:ascii="宋体" w:hAnsi="宋体" w:eastAsia="宋体" w:cs="宋体"/>
                <w:color w:val="1C1917"/>
                <w:sz w:val="21"/>
                <w:szCs w:val="21"/>
                <w:highlight w:val="none"/>
                <w:shd w:val="clear" w:color="auto" w:fill="FFFFFF"/>
                <w:lang w:eastAsia="zh-CN"/>
              </w:rPr>
              <w:t>。</w:t>
            </w:r>
          </w:p>
        </w:tc>
      </w:tr>
      <w:tr>
        <w:tblPrEx>
          <w:tblLayout w:type="fixed"/>
          <w:tblCellMar>
            <w:top w:w="15" w:type="dxa"/>
            <w:left w:w="15" w:type="dxa"/>
            <w:bottom w:w="15" w:type="dxa"/>
            <w:right w:w="15" w:type="dxa"/>
          </w:tblCellMar>
        </w:tblPrEx>
        <w:trPr>
          <w:trHeight w:val="620" w:hRule="atLeast"/>
        </w:trPr>
        <w:tc>
          <w:tcPr>
            <w:tcW w:w="113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成员数、正式党员、预备党员、发展对象列表</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eastAsia="zh-CN"/>
              </w:rPr>
            </w:pPr>
            <w:r>
              <w:rPr>
                <w:rFonts w:hint="eastAsia" w:ascii="宋体" w:hAnsi="宋体" w:eastAsia="宋体" w:cs="宋体"/>
                <w:color w:val="1C1917"/>
                <w:sz w:val="21"/>
                <w:szCs w:val="21"/>
                <w:highlight w:val="none"/>
                <w:shd w:val="clear" w:color="auto" w:fill="FFFFFF"/>
                <w:lang w:eastAsia="zh-Hans"/>
              </w:rPr>
              <w:t>支持查看各类数据，支持编辑组织是否活跃状态</w:t>
            </w:r>
            <w:r>
              <w:rPr>
                <w:rFonts w:hint="eastAsia" w:cs="宋体"/>
                <w:color w:val="1C1917"/>
                <w:sz w:val="21"/>
                <w:szCs w:val="21"/>
                <w:highlight w:val="none"/>
                <w:shd w:val="clear" w:color="auto" w:fill="FFFFFF"/>
                <w:lang w:eastAsia="zh-CN"/>
              </w:rPr>
              <w:t>。</w:t>
            </w:r>
          </w:p>
        </w:tc>
      </w:tr>
      <w:tr>
        <w:tblPrEx>
          <w:tblLayout w:type="fixed"/>
          <w:tblCellMar>
            <w:top w:w="15" w:type="dxa"/>
            <w:left w:w="15" w:type="dxa"/>
            <w:bottom w:w="15" w:type="dxa"/>
            <w:right w:w="15" w:type="dxa"/>
          </w:tblCellMar>
        </w:tblPrEx>
        <w:trPr>
          <w:trHeight w:val="620" w:hRule="atLeast"/>
        </w:trPr>
        <w:tc>
          <w:tcPr>
            <w:tcW w:w="113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rPr>
            </w:pPr>
            <w:r>
              <w:rPr>
                <w:rFonts w:hint="eastAsia" w:ascii="宋体" w:hAnsi="宋体" w:eastAsia="宋体" w:cs="宋体"/>
                <w:color w:val="1C1917"/>
                <w:sz w:val="21"/>
                <w:szCs w:val="21"/>
                <w:highlight w:val="none"/>
                <w:shd w:val="clear" w:color="auto" w:fill="FFFFFF"/>
              </w:rPr>
              <w:t>发展党员数据关联</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eastAsia="zh-CN"/>
              </w:rPr>
            </w:pPr>
            <w:r>
              <w:rPr>
                <w:rFonts w:hint="eastAsia" w:ascii="宋体" w:hAnsi="宋体" w:eastAsia="宋体" w:cs="宋体"/>
                <w:color w:val="1C1917"/>
                <w:sz w:val="21"/>
                <w:szCs w:val="21"/>
                <w:highlight w:val="none"/>
                <w:shd w:val="clear" w:color="auto" w:fill="FFFFFF"/>
                <w:lang w:eastAsia="zh-Hans"/>
              </w:rPr>
              <w:t>发展对象确认后，自动带入发展支部书记所在支部</w:t>
            </w:r>
            <w:r>
              <w:rPr>
                <w:rFonts w:hint="eastAsia" w:cs="宋体"/>
                <w:color w:val="1C1917"/>
                <w:sz w:val="21"/>
                <w:szCs w:val="21"/>
                <w:highlight w:val="none"/>
                <w:shd w:val="clear" w:color="auto" w:fill="FFFFFF"/>
                <w:lang w:eastAsia="zh-CN"/>
              </w:rPr>
              <w:t>。</w:t>
            </w:r>
          </w:p>
        </w:tc>
      </w:tr>
      <w:tr>
        <w:tblPrEx>
          <w:tblLayout w:type="fixed"/>
          <w:tblCellMar>
            <w:top w:w="15" w:type="dxa"/>
            <w:left w:w="15" w:type="dxa"/>
            <w:bottom w:w="15" w:type="dxa"/>
            <w:right w:w="15" w:type="dxa"/>
          </w:tblCellMar>
        </w:tblPrEx>
        <w:trPr>
          <w:trHeight w:val="278" w:hRule="atLeast"/>
        </w:trPr>
        <w:tc>
          <w:tcPr>
            <w:tcW w:w="113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r>
              <w:rPr>
                <w:rFonts w:hint="eastAsia" w:ascii="宋体" w:hAnsi="宋体" w:eastAsia="宋体" w:cs="宋体"/>
                <w:color w:val="1C1917"/>
                <w:sz w:val="21"/>
                <w:szCs w:val="21"/>
                <w:highlight w:val="none"/>
                <w:shd w:val="clear" w:color="auto" w:fill="FFFFFF"/>
                <w:lang w:eastAsia="zh-Hans"/>
              </w:rPr>
              <w:t>筛选、查询</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支持查询、筛选组织</w:t>
            </w:r>
            <w:r>
              <w:rPr>
                <w:rFonts w:hint="eastAsia" w:cs="宋体"/>
                <w:color w:val="1C1917"/>
                <w:sz w:val="21"/>
                <w:szCs w:val="21"/>
                <w:highlight w:val="none"/>
                <w:shd w:val="clear" w:color="auto" w:fill="FFFFFF"/>
                <w:lang w:val="en-US" w:eastAsia="zh-CN"/>
              </w:rPr>
              <w:t>。</w:t>
            </w:r>
          </w:p>
        </w:tc>
      </w:tr>
      <w:tr>
        <w:tblPrEx>
          <w:tblLayout w:type="fixed"/>
          <w:tblCellMar>
            <w:top w:w="15" w:type="dxa"/>
            <w:left w:w="15" w:type="dxa"/>
            <w:bottom w:w="15" w:type="dxa"/>
            <w:right w:w="15" w:type="dxa"/>
          </w:tblCellMar>
        </w:tblPrEx>
        <w:trPr>
          <w:trHeight w:val="328" w:hRule="atLeast"/>
        </w:trPr>
        <w:tc>
          <w:tcPr>
            <w:tcW w:w="113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成员管理</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r>
              <w:rPr>
                <w:rFonts w:hint="eastAsia" w:ascii="宋体" w:hAnsi="宋体" w:eastAsia="宋体" w:cs="宋体"/>
                <w:color w:val="1C1917"/>
                <w:sz w:val="21"/>
                <w:szCs w:val="21"/>
                <w:highlight w:val="none"/>
                <w:shd w:val="clear" w:color="auto" w:fill="FFFFFF"/>
                <w:lang w:eastAsia="zh-Hans"/>
              </w:rPr>
              <w:t>成员概览</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以树形结构展示组织名称、成员总数</w:t>
            </w:r>
            <w:r>
              <w:rPr>
                <w:rFonts w:hint="eastAsia" w:cs="宋体"/>
                <w:color w:val="1C1917"/>
                <w:sz w:val="21"/>
                <w:szCs w:val="21"/>
                <w:highlight w:val="none"/>
                <w:shd w:val="clear" w:color="auto" w:fill="FFFFFF"/>
                <w:lang w:val="en-US" w:eastAsia="zh-CN"/>
              </w:rPr>
              <w:t>。</w:t>
            </w:r>
          </w:p>
        </w:tc>
      </w:tr>
      <w:tr>
        <w:tblPrEx>
          <w:tblLayout w:type="fixed"/>
          <w:tblCellMar>
            <w:top w:w="15" w:type="dxa"/>
            <w:left w:w="15" w:type="dxa"/>
            <w:bottom w:w="15" w:type="dxa"/>
            <w:right w:w="15" w:type="dxa"/>
          </w:tblCellMar>
        </w:tblPrEx>
        <w:trPr>
          <w:trHeight w:val="620" w:hRule="atLeast"/>
        </w:trPr>
        <w:tc>
          <w:tcPr>
            <w:tcW w:w="113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r>
              <w:rPr>
                <w:rFonts w:hint="eastAsia" w:ascii="宋体" w:hAnsi="宋体" w:eastAsia="宋体" w:cs="宋体"/>
                <w:color w:val="1C1917"/>
                <w:sz w:val="21"/>
                <w:szCs w:val="21"/>
                <w:highlight w:val="none"/>
                <w:shd w:val="clear" w:color="auto" w:fill="FFFFFF"/>
                <w:lang w:eastAsia="zh-Hans"/>
              </w:rPr>
              <w:t>成员详情</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1.展示姓名、学工号、政治面貌、状态、人员类型、所属党委、所属支部、职位。</w:t>
            </w:r>
          </w:p>
        </w:tc>
      </w:tr>
      <w:tr>
        <w:tblPrEx>
          <w:tblLayout w:type="fixed"/>
          <w:tblCellMar>
            <w:top w:w="15" w:type="dxa"/>
            <w:left w:w="15" w:type="dxa"/>
            <w:bottom w:w="15" w:type="dxa"/>
            <w:right w:w="15" w:type="dxa"/>
          </w:tblCellMar>
        </w:tblPrEx>
        <w:trPr>
          <w:trHeight w:val="620" w:hRule="atLeast"/>
        </w:trPr>
        <w:tc>
          <w:tcPr>
            <w:tcW w:w="113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r>
              <w:rPr>
                <w:rFonts w:hint="eastAsia" w:ascii="宋体" w:hAnsi="宋体" w:eastAsia="宋体" w:cs="宋体"/>
                <w:color w:val="1C1917"/>
                <w:sz w:val="21"/>
                <w:szCs w:val="21"/>
                <w:highlight w:val="none"/>
                <w:shd w:val="clear" w:color="auto" w:fill="FFFFFF"/>
                <w:lang w:eastAsia="zh-Hans"/>
              </w:rPr>
              <w:t>角色管理</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根据不同的角色权限，设定各组织层级的角色，设定后的10分钟，支持同步到系统角色中</w:t>
            </w:r>
            <w:r>
              <w:rPr>
                <w:rFonts w:hint="eastAsia" w:cs="宋体"/>
                <w:color w:val="1C1917"/>
                <w:sz w:val="21"/>
                <w:szCs w:val="21"/>
                <w:highlight w:val="none"/>
                <w:shd w:val="clear" w:color="auto" w:fill="FFFFFF"/>
                <w:lang w:val="en-US" w:eastAsia="zh-CN"/>
              </w:rPr>
              <w:t>。</w:t>
            </w:r>
          </w:p>
        </w:tc>
      </w:tr>
      <w:tr>
        <w:tblPrEx>
          <w:tblLayout w:type="fixed"/>
          <w:tblCellMar>
            <w:top w:w="15" w:type="dxa"/>
            <w:left w:w="15" w:type="dxa"/>
            <w:bottom w:w="15" w:type="dxa"/>
            <w:right w:w="15" w:type="dxa"/>
          </w:tblCellMar>
        </w:tblPrEx>
        <w:trPr>
          <w:trHeight w:val="253" w:hRule="atLeast"/>
        </w:trPr>
        <w:tc>
          <w:tcPr>
            <w:tcW w:w="113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r>
              <w:rPr>
                <w:rFonts w:hint="eastAsia" w:ascii="宋体" w:hAnsi="宋体" w:eastAsia="宋体" w:cs="宋体"/>
                <w:color w:val="1C1917"/>
                <w:sz w:val="21"/>
                <w:szCs w:val="21"/>
                <w:highlight w:val="none"/>
                <w:shd w:val="clear" w:color="auto" w:fill="FFFFFF"/>
                <w:lang w:eastAsia="zh-Hans"/>
              </w:rPr>
              <w:t>成员管理</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eastAsia="zh-CN"/>
              </w:rPr>
            </w:pPr>
            <w:r>
              <w:rPr>
                <w:rFonts w:hint="eastAsia" w:ascii="宋体" w:hAnsi="宋体" w:eastAsia="宋体" w:cs="宋体"/>
                <w:color w:val="1C1917"/>
                <w:sz w:val="21"/>
                <w:szCs w:val="21"/>
                <w:highlight w:val="none"/>
                <w:shd w:val="clear" w:color="auto" w:fill="FFFFFF"/>
                <w:lang w:eastAsia="zh-Hans"/>
              </w:rPr>
              <w:t>支持角色状态、党委、党支部的调整</w:t>
            </w:r>
            <w:r>
              <w:rPr>
                <w:rFonts w:hint="eastAsia" w:cs="宋体"/>
                <w:color w:val="1C1917"/>
                <w:sz w:val="21"/>
                <w:szCs w:val="21"/>
                <w:highlight w:val="none"/>
                <w:shd w:val="clear" w:color="auto" w:fill="FFFFFF"/>
                <w:lang w:eastAsia="zh-CN"/>
              </w:rPr>
              <w:t>。</w:t>
            </w:r>
          </w:p>
        </w:tc>
      </w:tr>
      <w:tr>
        <w:tblPrEx>
          <w:tblLayout w:type="fixed"/>
          <w:tblCellMar>
            <w:top w:w="15" w:type="dxa"/>
            <w:left w:w="15" w:type="dxa"/>
            <w:bottom w:w="15" w:type="dxa"/>
            <w:right w:w="15" w:type="dxa"/>
          </w:tblCellMar>
        </w:tblPrEx>
        <w:trPr>
          <w:trHeight w:val="380" w:hRule="atLeast"/>
        </w:trPr>
        <w:tc>
          <w:tcPr>
            <w:tcW w:w="113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r>
              <w:rPr>
                <w:rFonts w:hint="eastAsia" w:ascii="宋体" w:hAnsi="宋体" w:eastAsia="宋体" w:cs="宋体"/>
                <w:color w:val="1C1917"/>
                <w:sz w:val="21"/>
                <w:szCs w:val="21"/>
                <w:highlight w:val="none"/>
                <w:shd w:val="clear" w:color="auto" w:fill="FFFFFF"/>
                <w:lang w:eastAsia="zh-Hans"/>
              </w:rPr>
              <w:t>筛选、查询</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支持查询、筛选组织</w:t>
            </w:r>
            <w:r>
              <w:rPr>
                <w:rFonts w:hint="eastAsia" w:cs="宋体"/>
                <w:color w:val="1C1917"/>
                <w:sz w:val="21"/>
                <w:szCs w:val="21"/>
                <w:highlight w:val="none"/>
                <w:shd w:val="clear" w:color="auto" w:fill="FFFFFF"/>
                <w:lang w:val="en-US" w:eastAsia="zh-CN"/>
              </w:rPr>
              <w:t>。</w:t>
            </w:r>
          </w:p>
        </w:tc>
      </w:tr>
      <w:tr>
        <w:tblPrEx>
          <w:tblLayout w:type="fixed"/>
          <w:tblCellMar>
            <w:top w:w="15" w:type="dxa"/>
            <w:left w:w="15" w:type="dxa"/>
            <w:bottom w:w="15" w:type="dxa"/>
            <w:right w:w="15" w:type="dxa"/>
          </w:tblCellMar>
        </w:tblPrEx>
        <w:trPr>
          <w:trHeight w:val="620" w:hRule="atLeast"/>
        </w:trPr>
        <w:tc>
          <w:tcPr>
            <w:tcW w:w="113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身份信息</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eastAsia="zh-Hans"/>
              </w:rPr>
            </w:pPr>
            <w:r>
              <w:rPr>
                <w:rFonts w:hint="eastAsia" w:ascii="宋体" w:hAnsi="宋体" w:eastAsia="宋体" w:cs="宋体"/>
                <w:color w:val="1C1917"/>
                <w:sz w:val="21"/>
                <w:szCs w:val="21"/>
                <w:highlight w:val="none"/>
                <w:shd w:val="clear" w:color="auto" w:fill="FFFFFF"/>
                <w:lang w:eastAsia="zh-Hans"/>
              </w:rPr>
              <w:t>支持初始数据导入维护</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1.包括党员、团员等初始信息维护</w:t>
            </w:r>
            <w:r>
              <w:rPr>
                <w:rFonts w:hint="eastAsia" w:cs="宋体"/>
                <w:color w:val="1C1917"/>
                <w:sz w:val="21"/>
                <w:szCs w:val="21"/>
                <w:highlight w:val="none"/>
                <w:shd w:val="clear" w:color="auto" w:fill="FFFFFF"/>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2.在后续支持系统发展数据自动生成</w:t>
            </w:r>
            <w:r>
              <w:rPr>
                <w:rFonts w:hint="eastAsia" w:cs="宋体"/>
                <w:color w:val="1C1917"/>
                <w:sz w:val="21"/>
                <w:szCs w:val="21"/>
                <w:highlight w:val="none"/>
                <w:shd w:val="clear" w:color="auto" w:fill="FFFFFF"/>
                <w:lang w:val="en-US" w:eastAsia="zh-CN"/>
              </w:rPr>
              <w:t>。</w:t>
            </w:r>
          </w:p>
        </w:tc>
      </w:tr>
      <w:tr>
        <w:tblPrEx>
          <w:tblLayout w:type="fixed"/>
          <w:tblCellMar>
            <w:top w:w="15" w:type="dxa"/>
            <w:left w:w="15" w:type="dxa"/>
            <w:bottom w:w="15" w:type="dxa"/>
            <w:right w:w="15" w:type="dxa"/>
          </w:tblCellMar>
        </w:tblPrEx>
        <w:trPr>
          <w:trHeight w:val="620" w:hRule="atLeast"/>
        </w:trPr>
        <w:tc>
          <w:tcPr>
            <w:tcW w:w="113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sz w:val="21"/>
                <w:szCs w:val="21"/>
                <w:highlight w:val="none"/>
              </w:rPr>
            </w:pP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详细字段</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学院/部门、转入支部、姓名、班级、性别、出生年月、民族、递交入党申请书时间、确认为积极分子时间、入党联系人、确定为发展对象时间、入党时间（支部决议成为预备党员时间）、党委审批时间（成为预备党员）、转正时间（支部决议转为正式党员时间）、党委审批时间（转正）、学历等</w:t>
            </w:r>
            <w:r>
              <w:rPr>
                <w:rFonts w:hint="eastAsia" w:cs="宋体"/>
                <w:color w:val="1C1917"/>
                <w:sz w:val="21"/>
                <w:szCs w:val="21"/>
                <w:highlight w:val="none"/>
                <w:shd w:val="clear" w:color="auto" w:fill="FFFFFF"/>
                <w:lang w:val="en-US" w:eastAsia="zh-CN"/>
              </w:rPr>
              <w:t>。</w:t>
            </w:r>
          </w:p>
        </w:tc>
      </w:tr>
      <w:tr>
        <w:tblPrEx>
          <w:tblLayout w:type="fixed"/>
          <w:tblCellMar>
            <w:top w:w="15" w:type="dxa"/>
            <w:left w:w="15" w:type="dxa"/>
            <w:bottom w:w="15" w:type="dxa"/>
            <w:right w:w="15" w:type="dxa"/>
          </w:tblCellMar>
        </w:tblPrEx>
        <w:trPr>
          <w:trHeight w:val="620" w:hRule="atLeast"/>
        </w:trPr>
        <w:tc>
          <w:tcPr>
            <w:tcW w:w="113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角色</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平台同步数据</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副书记、学工办、辅导员（班级的绑定），学院、部门权限</w:t>
            </w:r>
            <w:r>
              <w:rPr>
                <w:rFonts w:hint="eastAsia" w:cs="宋体"/>
                <w:color w:val="1C1917"/>
                <w:sz w:val="21"/>
                <w:szCs w:val="21"/>
                <w:highlight w:val="none"/>
                <w:shd w:val="clear" w:color="auto" w:fill="FFFFFF"/>
                <w:lang w:val="en-US" w:eastAsia="zh-CN"/>
              </w:rPr>
              <w:t>。</w:t>
            </w:r>
          </w:p>
        </w:tc>
      </w:tr>
      <w:tr>
        <w:tblPrEx>
          <w:tblLayout w:type="fixed"/>
          <w:tblCellMar>
            <w:top w:w="15" w:type="dxa"/>
            <w:left w:w="15" w:type="dxa"/>
            <w:bottom w:w="15" w:type="dxa"/>
            <w:right w:w="15" w:type="dxa"/>
          </w:tblCellMar>
        </w:tblPrEx>
        <w:trPr>
          <w:trHeight w:val="303" w:hRule="atLeast"/>
        </w:trPr>
        <w:tc>
          <w:tcPr>
            <w:tcW w:w="113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本平台设置</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组织员、书记，数据权限为党委关联的学院以及支部权限</w:t>
            </w:r>
            <w:r>
              <w:rPr>
                <w:rFonts w:hint="eastAsia" w:cs="宋体"/>
                <w:color w:val="1C1917"/>
                <w:sz w:val="21"/>
                <w:szCs w:val="21"/>
                <w:highlight w:val="none"/>
                <w:shd w:val="clear" w:color="auto" w:fill="FFFFFF"/>
                <w:lang w:val="en-US" w:eastAsia="zh-CN"/>
              </w:rPr>
              <w:t>。</w:t>
            </w:r>
          </w:p>
        </w:tc>
      </w:tr>
      <w:tr>
        <w:tblPrEx>
          <w:tblLayout w:type="fixed"/>
          <w:tblCellMar>
            <w:top w:w="15" w:type="dxa"/>
            <w:left w:w="15" w:type="dxa"/>
            <w:bottom w:w="15" w:type="dxa"/>
            <w:right w:w="15" w:type="dxa"/>
          </w:tblCellMar>
        </w:tblPrEx>
        <w:trPr>
          <w:trHeight w:val="620" w:hRule="atLeast"/>
        </w:trPr>
        <w:tc>
          <w:tcPr>
            <w:tcW w:w="113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根据不同权限展示不同菜单</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1.角色（通过角色配置菜单页面权限的方式）</w:t>
            </w:r>
            <w:r>
              <w:rPr>
                <w:rFonts w:hint="eastAsia" w:cs="宋体"/>
                <w:color w:val="1C1917"/>
                <w:sz w:val="21"/>
                <w:szCs w:val="21"/>
                <w:highlight w:val="none"/>
                <w:shd w:val="clear" w:color="auto" w:fill="FFFFFF"/>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2.党委关联、学院/部门数据范围</w:t>
            </w:r>
            <w:r>
              <w:rPr>
                <w:rFonts w:hint="eastAsia" w:cs="宋体"/>
                <w:color w:val="1C1917"/>
                <w:sz w:val="21"/>
                <w:szCs w:val="21"/>
                <w:highlight w:val="none"/>
                <w:shd w:val="clear" w:color="auto" w:fill="FFFFFF"/>
                <w:lang w:val="en-US" w:eastAsia="zh-CN"/>
              </w:rPr>
              <w:t>。</w:t>
            </w:r>
          </w:p>
        </w:tc>
      </w:tr>
      <w:tr>
        <w:tblPrEx>
          <w:tblLayout w:type="fixed"/>
          <w:tblCellMar>
            <w:top w:w="15" w:type="dxa"/>
            <w:left w:w="15" w:type="dxa"/>
            <w:bottom w:w="15" w:type="dxa"/>
            <w:right w:w="15" w:type="dxa"/>
          </w:tblCellMar>
        </w:tblPrEx>
        <w:trPr>
          <w:trHeight w:val="620" w:hRule="atLeast"/>
        </w:trPr>
        <w:tc>
          <w:tcPr>
            <w:tcW w:w="22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党员发展流程</w:t>
            </w:r>
          </w:p>
        </w:tc>
        <w:tc>
          <w:tcPr>
            <w:tcW w:w="7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color w:val="1C1917"/>
                <w:sz w:val="21"/>
                <w:szCs w:val="21"/>
                <w:highlight w:val="none"/>
                <w:shd w:val="clear" w:color="auto" w:fill="FFFFFF"/>
                <w:lang w:val="en-US" w:eastAsia="zh-CN"/>
              </w:rPr>
            </w:pPr>
            <w:r>
              <w:rPr>
                <w:rFonts w:hint="eastAsia" w:ascii="宋体" w:hAnsi="宋体" w:eastAsia="宋体" w:cs="宋体"/>
                <w:color w:val="1C1917"/>
                <w:sz w:val="21"/>
                <w:szCs w:val="21"/>
                <w:highlight w:val="none"/>
                <w:shd w:val="clear" w:color="auto" w:fill="FFFFFF"/>
                <w:lang w:val="en-US" w:eastAsia="zh-CN"/>
              </w:rPr>
              <w:t>支持党员发展流程数据串联</w:t>
            </w:r>
            <w:r>
              <w:rPr>
                <w:rFonts w:hint="eastAsia" w:cs="宋体"/>
                <w:color w:val="1C1917"/>
                <w:sz w:val="21"/>
                <w:szCs w:val="21"/>
                <w:highlight w:val="none"/>
                <w:shd w:val="clear" w:color="auto" w:fill="FFFFFF"/>
                <w:lang w:val="en-US" w:eastAsia="zh-CN"/>
              </w:rPr>
              <w:t>。</w:t>
            </w:r>
          </w:p>
        </w:tc>
      </w:tr>
    </w:tbl>
    <w:p>
      <w:pPr>
        <w:keepNext w:val="0"/>
        <w:keepLines w:val="0"/>
        <w:pageBreakBefore w:val="0"/>
        <w:kinsoku/>
        <w:wordWrap/>
        <w:overflowPunct/>
        <w:topLinePunct w:val="0"/>
        <w:autoSpaceDE/>
        <w:autoSpaceDN/>
        <w:bidi w:val="0"/>
        <w:snapToGrid w:val="0"/>
        <w:spacing w:line="288" w:lineRule="auto"/>
        <w:ind w:left="0" w:leftChars="0" w:right="0" w:firstLine="420" w:firstLineChars="200"/>
        <w:jc w:val="left"/>
        <w:outlineLvl w:val="9"/>
        <w:rPr>
          <w:rFonts w:hint="eastAsia" w:ascii="宋体" w:hAnsi="宋体" w:eastAsia="宋体" w:cs="宋体"/>
          <w:sz w:val="21"/>
          <w:szCs w:val="21"/>
          <w:highlight w:val="none"/>
        </w:rPr>
      </w:pPr>
    </w:p>
    <w:p>
      <w:pPr>
        <w:keepNext w:val="0"/>
        <w:keepLines w:val="0"/>
        <w:pageBreakBefore w:val="0"/>
        <w:numPr>
          <w:ilvl w:val="0"/>
          <w:numId w:val="0"/>
        </w:numPr>
        <w:kinsoku/>
        <w:wordWrap/>
        <w:overflowPunct/>
        <w:topLinePunct w:val="0"/>
        <w:autoSpaceDE/>
        <w:autoSpaceDN/>
        <w:bidi w:val="0"/>
        <w:spacing w:line="288" w:lineRule="auto"/>
        <w:ind w:right="0" w:rightChars="0" w:firstLine="422" w:firstLineChars="200"/>
        <w:jc w:val="left"/>
        <w:outlineLvl w:val="9"/>
        <w:rPr>
          <w:rFonts w:hint="eastAsia" w:ascii="宋体" w:hAnsi="宋体" w:eastAsia="宋体" w:cs="宋体"/>
          <w:b/>
          <w:bCs/>
          <w:color w:val="1C1917"/>
          <w:sz w:val="21"/>
          <w:szCs w:val="21"/>
          <w:highlight w:val="none"/>
          <w:shd w:val="clear" w:color="auto" w:fill="FFFFFF"/>
          <w:lang w:eastAsia="zh-CN"/>
        </w:rPr>
      </w:pPr>
      <w:r>
        <w:rPr>
          <w:rFonts w:hint="eastAsia" w:cs="宋体"/>
          <w:b/>
          <w:bCs/>
          <w:color w:val="1C1917"/>
          <w:sz w:val="21"/>
          <w:szCs w:val="21"/>
          <w:highlight w:val="none"/>
          <w:shd w:val="clear" w:color="auto" w:fill="FFFFFF"/>
          <w:lang w:eastAsia="zh-CN"/>
        </w:rPr>
        <w:t>（</w:t>
      </w:r>
      <w:r>
        <w:rPr>
          <w:rFonts w:hint="eastAsia" w:cs="宋体"/>
          <w:b/>
          <w:bCs/>
          <w:color w:val="1C1917"/>
          <w:sz w:val="21"/>
          <w:szCs w:val="21"/>
          <w:highlight w:val="none"/>
          <w:shd w:val="clear" w:color="auto" w:fill="FFFFFF"/>
          <w:lang w:val="en-US" w:eastAsia="zh-CN"/>
        </w:rPr>
        <w:t>十一</w:t>
      </w:r>
      <w:r>
        <w:rPr>
          <w:rFonts w:hint="eastAsia" w:cs="宋体"/>
          <w:b/>
          <w:bCs/>
          <w:color w:val="1C1917"/>
          <w:sz w:val="21"/>
          <w:szCs w:val="21"/>
          <w:highlight w:val="none"/>
          <w:shd w:val="clear" w:color="auto" w:fill="FFFFFF"/>
          <w:lang w:eastAsia="zh-CN"/>
        </w:rPr>
        <w:t>）</w:t>
      </w:r>
      <w:r>
        <w:rPr>
          <w:rFonts w:hint="eastAsia" w:ascii="宋体" w:hAnsi="宋体" w:eastAsia="宋体" w:cs="宋体"/>
          <w:b/>
          <w:bCs/>
          <w:color w:val="1C1917"/>
          <w:sz w:val="21"/>
          <w:szCs w:val="21"/>
          <w:highlight w:val="none"/>
          <w:shd w:val="clear" w:color="auto" w:fill="FFFFFF"/>
        </w:rPr>
        <w:t>科研安系统</w:t>
      </w:r>
      <w:r>
        <w:rPr>
          <w:rFonts w:hint="eastAsia" w:cs="宋体"/>
          <w:b/>
          <w:bCs/>
          <w:color w:val="1C1917"/>
          <w:sz w:val="21"/>
          <w:szCs w:val="21"/>
          <w:highlight w:val="none"/>
          <w:shd w:val="clear" w:color="auto" w:fill="FFFFFF"/>
          <w:lang w:eastAsia="zh-CN"/>
        </w:rPr>
        <w:t>：</w:t>
      </w:r>
    </w:p>
    <w:tbl>
      <w:tblPr>
        <w:tblStyle w:val="11"/>
        <w:tblW w:w="9442" w:type="dxa"/>
        <w:tblInd w:w="0" w:type="dxa"/>
        <w:tblLayout w:type="fixed"/>
        <w:tblCellMar>
          <w:top w:w="15" w:type="dxa"/>
          <w:left w:w="15" w:type="dxa"/>
          <w:bottom w:w="15" w:type="dxa"/>
          <w:right w:w="15" w:type="dxa"/>
        </w:tblCellMar>
      </w:tblPr>
      <w:tblGrid>
        <w:gridCol w:w="1376"/>
        <w:gridCol w:w="8066"/>
      </w:tblGrid>
      <w:tr>
        <w:tblPrEx>
          <w:tblLayout w:type="fixed"/>
          <w:tblCellMar>
            <w:top w:w="15" w:type="dxa"/>
            <w:left w:w="15" w:type="dxa"/>
            <w:bottom w:w="15" w:type="dxa"/>
            <w:right w:w="15" w:type="dxa"/>
          </w:tblCellMar>
        </w:tblPrEx>
        <w:trPr>
          <w:trHeight w:val="90" w:hRule="atLeast"/>
        </w:trPr>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分类</w:t>
            </w:r>
          </w:p>
        </w:tc>
        <w:tc>
          <w:tcPr>
            <w:tcW w:w="80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功能需求描述</w:t>
            </w:r>
          </w:p>
        </w:tc>
      </w:tr>
      <w:tr>
        <w:tblPrEx>
          <w:tblLayout w:type="fixed"/>
          <w:tblCellMar>
            <w:top w:w="15" w:type="dxa"/>
            <w:left w:w="15" w:type="dxa"/>
            <w:bottom w:w="15" w:type="dxa"/>
            <w:right w:w="15" w:type="dxa"/>
          </w:tblCellMar>
        </w:tblPrEx>
        <w:trPr>
          <w:trHeight w:val="620" w:hRule="atLeast"/>
        </w:trPr>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aps w:val="0"/>
                <w:color w:val="1C1917"/>
                <w:spacing w:val="0"/>
                <w:sz w:val="21"/>
                <w:szCs w:val="21"/>
                <w:highlight w:val="none"/>
                <w:shd w:val="clear" w:fill="FFFFFF"/>
                <w:lang w:val="en-US" w:eastAsia="zh-CN"/>
              </w:rPr>
              <w:t>预警规则&amp;模型优化</w:t>
            </w:r>
          </w:p>
        </w:tc>
        <w:tc>
          <w:tcPr>
            <w:tcW w:w="80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i w:val="0"/>
                <w:iCs w:val="0"/>
                <w:caps w:val="0"/>
                <w:color w:val="1C1917"/>
                <w:spacing w:val="0"/>
                <w:sz w:val="21"/>
                <w:szCs w:val="21"/>
                <w:highlight w:val="none"/>
                <w:shd w:val="clear" w:fill="FFFFFF"/>
                <w:lang w:val="en-US" w:eastAsia="zh-CN"/>
              </w:rPr>
            </w:pPr>
            <w:r>
              <w:rPr>
                <w:rFonts w:hint="eastAsia" w:cs="宋体"/>
                <w:i w:val="0"/>
                <w:iCs w:val="0"/>
                <w:caps w:val="0"/>
                <w:color w:val="1C1917"/>
                <w:spacing w:val="0"/>
                <w:sz w:val="21"/>
                <w:szCs w:val="21"/>
                <w:highlight w:val="none"/>
                <w:shd w:val="clear" w:fill="FFFFFF"/>
                <w:lang w:val="en-US" w:eastAsia="zh-CN"/>
              </w:rPr>
              <w:t>1.</w:t>
            </w:r>
            <w:r>
              <w:rPr>
                <w:rFonts w:hint="eastAsia" w:ascii="宋体" w:hAnsi="宋体" w:eastAsia="宋体" w:cs="宋体"/>
                <w:i w:val="0"/>
                <w:iCs w:val="0"/>
                <w:caps w:val="0"/>
                <w:color w:val="1C1917"/>
                <w:spacing w:val="0"/>
                <w:sz w:val="21"/>
                <w:szCs w:val="21"/>
                <w:highlight w:val="none"/>
                <w:shd w:val="clear" w:fill="FFFFFF"/>
                <w:lang w:val="en-US" w:eastAsia="zh-CN"/>
              </w:rPr>
              <w:t>用户可以根据具体项目需求，自行设定预警阀值，保障项目稳健推进。</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i w:val="0"/>
                <w:iCs w:val="0"/>
                <w:caps w:val="0"/>
                <w:color w:val="1C1917"/>
                <w:spacing w:val="0"/>
                <w:sz w:val="21"/>
                <w:szCs w:val="21"/>
                <w:highlight w:val="none"/>
                <w:shd w:val="clear" w:fill="FFFFFF"/>
                <w:lang w:val="en-US" w:eastAsia="zh-CN"/>
              </w:rPr>
            </w:pPr>
            <w:r>
              <w:rPr>
                <w:rFonts w:hint="eastAsia" w:cs="宋体"/>
                <w:i w:val="0"/>
                <w:iCs w:val="0"/>
                <w:caps w:val="0"/>
                <w:color w:val="1C1917"/>
                <w:spacing w:val="0"/>
                <w:sz w:val="21"/>
                <w:szCs w:val="21"/>
                <w:highlight w:val="none"/>
                <w:shd w:val="clear" w:fill="FFFFFF"/>
                <w:lang w:val="en-US" w:eastAsia="zh-CN"/>
              </w:rPr>
              <w:t>2.通过</w:t>
            </w:r>
            <w:r>
              <w:rPr>
                <w:rFonts w:hint="eastAsia" w:ascii="宋体" w:hAnsi="宋体" w:eastAsia="宋体" w:cs="宋体"/>
                <w:i w:val="0"/>
                <w:iCs w:val="0"/>
                <w:caps w:val="0"/>
                <w:color w:val="1C1917"/>
                <w:spacing w:val="0"/>
                <w:sz w:val="21"/>
                <w:szCs w:val="21"/>
                <w:highlight w:val="none"/>
                <w:shd w:val="clear" w:fill="FFFFFF"/>
                <w:lang w:val="en-US" w:eastAsia="zh-CN"/>
              </w:rPr>
              <w:t>消息中心，以便用户在关键时刻能够及时收到项目进度和风险的通知。</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i w:val="0"/>
                <w:iCs w:val="0"/>
                <w:caps w:val="0"/>
                <w:color w:val="1C1917"/>
                <w:spacing w:val="0"/>
                <w:sz w:val="21"/>
                <w:szCs w:val="21"/>
                <w:highlight w:val="none"/>
                <w:shd w:val="clear" w:fill="FFFFFF"/>
                <w:lang w:val="en-US" w:eastAsia="zh-CN"/>
              </w:rPr>
            </w:pPr>
            <w:r>
              <w:rPr>
                <w:rFonts w:hint="eastAsia" w:cs="宋体"/>
                <w:i w:val="0"/>
                <w:iCs w:val="0"/>
                <w:caps w:val="0"/>
                <w:color w:val="1C1917"/>
                <w:spacing w:val="0"/>
                <w:sz w:val="21"/>
                <w:szCs w:val="21"/>
                <w:highlight w:val="none"/>
                <w:shd w:val="clear" w:fill="FFFFFF"/>
                <w:lang w:val="en-US" w:eastAsia="zh-CN"/>
              </w:rPr>
              <w:t>3.</w:t>
            </w:r>
            <w:r>
              <w:rPr>
                <w:rFonts w:hint="eastAsia" w:ascii="宋体" w:hAnsi="宋体" w:eastAsia="宋体" w:cs="宋体"/>
                <w:i w:val="0"/>
                <w:iCs w:val="0"/>
                <w:caps w:val="0"/>
                <w:color w:val="1C1917"/>
                <w:spacing w:val="0"/>
                <w:sz w:val="21"/>
                <w:szCs w:val="21"/>
                <w:highlight w:val="none"/>
                <w:shd w:val="clear" w:fill="FFFFFF"/>
                <w:lang w:val="en-US" w:eastAsia="zh-CN"/>
              </w:rPr>
              <w:t>提供预警记录和历史查询功能，使用户能够追溯和分析各阶段的预警情况，为决策提供参考依据。</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i w:val="0"/>
                <w:iCs w:val="0"/>
                <w:caps w:val="0"/>
                <w:color w:val="1C1917"/>
                <w:spacing w:val="0"/>
                <w:sz w:val="21"/>
                <w:szCs w:val="21"/>
                <w:highlight w:val="none"/>
                <w:shd w:val="clear" w:fill="FFFFFF"/>
                <w:lang w:val="en-US" w:eastAsia="zh-CN"/>
              </w:rPr>
            </w:pPr>
            <w:r>
              <w:rPr>
                <w:rFonts w:hint="eastAsia" w:cs="宋体"/>
                <w:i w:val="0"/>
                <w:iCs w:val="0"/>
                <w:caps w:val="0"/>
                <w:color w:val="1C1917"/>
                <w:spacing w:val="0"/>
                <w:sz w:val="21"/>
                <w:szCs w:val="21"/>
                <w:highlight w:val="none"/>
                <w:shd w:val="clear" w:fill="FFFFFF"/>
                <w:lang w:val="en-US" w:eastAsia="zh-CN"/>
              </w:rPr>
              <w:t>3.</w:t>
            </w:r>
            <w:r>
              <w:rPr>
                <w:rFonts w:hint="eastAsia" w:ascii="宋体" w:hAnsi="宋体" w:eastAsia="宋体" w:cs="宋体"/>
                <w:i w:val="0"/>
                <w:iCs w:val="0"/>
                <w:caps w:val="0"/>
                <w:color w:val="1C1917"/>
                <w:spacing w:val="0"/>
                <w:sz w:val="21"/>
                <w:szCs w:val="21"/>
                <w:highlight w:val="none"/>
                <w:shd w:val="clear" w:fill="FFFFFF"/>
                <w:lang w:val="en-US" w:eastAsia="zh-CN"/>
              </w:rPr>
              <w:t>支持多级预警设置，用户可以根据重要性和紧急程度，区分不同级别的预警信息，以便更有针对性地应对不同情况。</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i w:val="0"/>
                <w:iCs w:val="0"/>
                <w:caps w:val="0"/>
                <w:color w:val="1C1917"/>
                <w:spacing w:val="0"/>
                <w:sz w:val="21"/>
                <w:szCs w:val="21"/>
                <w:highlight w:val="none"/>
                <w:shd w:val="clear" w:fill="FFFFFF"/>
                <w:lang w:val="en-US" w:eastAsia="zh-CN"/>
              </w:rPr>
            </w:pPr>
            <w:r>
              <w:rPr>
                <w:rFonts w:hint="eastAsia" w:cs="宋体"/>
                <w:i w:val="0"/>
                <w:iCs w:val="0"/>
                <w:caps w:val="0"/>
                <w:color w:val="1C1917"/>
                <w:spacing w:val="0"/>
                <w:sz w:val="21"/>
                <w:szCs w:val="21"/>
                <w:highlight w:val="none"/>
                <w:shd w:val="clear" w:fill="FFFFFF"/>
                <w:lang w:val="en-US" w:eastAsia="zh-CN"/>
              </w:rPr>
              <w:t>4.</w:t>
            </w:r>
            <w:r>
              <w:rPr>
                <w:rFonts w:hint="eastAsia" w:ascii="宋体" w:hAnsi="宋体" w:eastAsia="宋体" w:cs="宋体"/>
                <w:i w:val="0"/>
                <w:iCs w:val="0"/>
                <w:caps w:val="0"/>
                <w:color w:val="1C1917"/>
                <w:spacing w:val="0"/>
                <w:sz w:val="21"/>
                <w:szCs w:val="21"/>
                <w:highlight w:val="none"/>
                <w:shd w:val="clear" w:fill="FFFFFF"/>
                <w:lang w:val="en-US" w:eastAsia="zh-CN"/>
              </w:rPr>
              <w:t>实现项目进度异常预警，包括项目超规定结题时间24个月蓝色预警、项目超规定结题时间36个月黄色预警，并显示延期结题时间。</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i w:val="0"/>
                <w:iCs w:val="0"/>
                <w:caps w:val="0"/>
                <w:color w:val="1C1917"/>
                <w:spacing w:val="0"/>
                <w:sz w:val="21"/>
                <w:szCs w:val="21"/>
                <w:highlight w:val="none"/>
                <w:shd w:val="clear" w:fill="FFFFFF"/>
                <w:lang w:val="en-US" w:eastAsia="zh-CN"/>
              </w:rPr>
            </w:pPr>
            <w:r>
              <w:rPr>
                <w:rFonts w:hint="eastAsia" w:cs="宋体"/>
                <w:i w:val="0"/>
                <w:iCs w:val="0"/>
                <w:caps w:val="0"/>
                <w:color w:val="1C1917"/>
                <w:spacing w:val="0"/>
                <w:sz w:val="21"/>
                <w:szCs w:val="21"/>
                <w:highlight w:val="none"/>
                <w:shd w:val="clear" w:fill="FFFFFF"/>
                <w:lang w:val="en-US" w:eastAsia="zh-CN"/>
              </w:rPr>
              <w:t>5.</w:t>
            </w:r>
            <w:r>
              <w:rPr>
                <w:rFonts w:hint="eastAsia" w:ascii="宋体" w:hAnsi="宋体" w:eastAsia="宋体" w:cs="宋体"/>
                <w:i w:val="0"/>
                <w:iCs w:val="0"/>
                <w:caps w:val="0"/>
                <w:color w:val="1C1917"/>
                <w:spacing w:val="0"/>
                <w:sz w:val="21"/>
                <w:szCs w:val="21"/>
                <w:highlight w:val="none"/>
                <w:shd w:val="clear" w:fill="FFFFFF"/>
                <w:lang w:val="en-US" w:eastAsia="zh-CN"/>
              </w:rPr>
              <w:t>实现执行异常预警，包括直接费用预算执行异常蓝色预警、直接费用预算执行异常黄色预警以及激励费预算执行异常黄色预警，并计算对应的预算执行率、显示预约单号。</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i w:val="0"/>
                <w:iCs w:val="0"/>
                <w:caps w:val="0"/>
                <w:color w:val="1C1917"/>
                <w:spacing w:val="0"/>
                <w:sz w:val="21"/>
                <w:szCs w:val="21"/>
                <w:highlight w:val="none"/>
                <w:shd w:val="clear" w:fill="FFFFFF"/>
                <w:lang w:val="en-US" w:eastAsia="zh-CN"/>
              </w:rPr>
            </w:pPr>
            <w:r>
              <w:rPr>
                <w:rFonts w:hint="eastAsia" w:cs="宋体"/>
                <w:i w:val="0"/>
                <w:iCs w:val="0"/>
                <w:caps w:val="0"/>
                <w:color w:val="1C1917"/>
                <w:spacing w:val="0"/>
                <w:sz w:val="21"/>
                <w:szCs w:val="21"/>
                <w:highlight w:val="none"/>
                <w:shd w:val="clear" w:fill="FFFFFF"/>
                <w:lang w:val="en-US" w:eastAsia="zh-CN"/>
              </w:rPr>
              <w:t>6.</w:t>
            </w:r>
            <w:r>
              <w:rPr>
                <w:rFonts w:hint="eastAsia" w:ascii="宋体" w:hAnsi="宋体" w:eastAsia="宋体" w:cs="宋体"/>
                <w:i w:val="0"/>
                <w:iCs w:val="0"/>
                <w:caps w:val="0"/>
                <w:color w:val="1C1917"/>
                <w:spacing w:val="0"/>
                <w:sz w:val="21"/>
                <w:szCs w:val="21"/>
                <w:highlight w:val="none"/>
                <w:shd w:val="clear" w:fill="FFFFFF"/>
                <w:lang w:val="en-US" w:eastAsia="zh-CN"/>
              </w:rPr>
              <w:t>实现小额支出异常预警，包括出租车最大限额异常红色预警、小额支出累计金额异常黄色预警、出租车费累计金额异常黄色预警；显示对应预警下的涉及项目，以及每个涉及项目的基本信息（项目基本信息，小额支出累计金额/出租车费总额/出租车最大支出金额，结算笔数，预约单号），显示单条预警下的全部预约单号。</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i w:val="0"/>
                <w:iCs w:val="0"/>
                <w:caps w:val="0"/>
                <w:color w:val="1C1917"/>
                <w:spacing w:val="0"/>
                <w:sz w:val="21"/>
                <w:szCs w:val="21"/>
                <w:highlight w:val="none"/>
                <w:shd w:val="clear" w:fill="FFFFFF"/>
                <w:lang w:val="en-US" w:eastAsia="zh-CN"/>
              </w:rPr>
            </w:pPr>
            <w:r>
              <w:rPr>
                <w:rFonts w:hint="eastAsia" w:cs="宋体"/>
                <w:i w:val="0"/>
                <w:iCs w:val="0"/>
                <w:caps w:val="0"/>
                <w:color w:val="1C1917"/>
                <w:spacing w:val="0"/>
                <w:sz w:val="21"/>
                <w:szCs w:val="21"/>
                <w:highlight w:val="none"/>
                <w:shd w:val="clear" w:fill="FFFFFF"/>
                <w:lang w:val="en-US" w:eastAsia="zh-CN"/>
              </w:rPr>
              <w:t>7.</w:t>
            </w:r>
            <w:r>
              <w:rPr>
                <w:rFonts w:hint="eastAsia" w:ascii="宋体" w:hAnsi="宋体" w:eastAsia="宋体" w:cs="宋体"/>
                <w:i w:val="0"/>
                <w:iCs w:val="0"/>
                <w:caps w:val="0"/>
                <w:color w:val="1C1917"/>
                <w:spacing w:val="0"/>
                <w:sz w:val="21"/>
                <w:szCs w:val="21"/>
                <w:highlight w:val="none"/>
                <w:shd w:val="clear" w:fill="FFFFFF"/>
                <w:lang w:val="en-US" w:eastAsia="zh-CN"/>
              </w:rPr>
              <w:t>实现劳务费发放异常预警，包括专家咨询费发放金额异常蓝色预警、劳务费发放对象异常黄色预警；显示单条预警发放金额、具体发放对象、年龄、酬金流水号等信息。</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i w:val="0"/>
                <w:iCs w:val="0"/>
                <w:caps w:val="0"/>
                <w:color w:val="1C1917"/>
                <w:spacing w:val="0"/>
                <w:sz w:val="21"/>
                <w:szCs w:val="21"/>
                <w:highlight w:val="none"/>
                <w:shd w:val="clear" w:fill="FFFFFF"/>
                <w:lang w:val="en-US" w:eastAsia="zh-CN"/>
              </w:rPr>
            </w:pPr>
            <w:r>
              <w:rPr>
                <w:rFonts w:hint="eastAsia" w:cs="宋体"/>
                <w:i w:val="0"/>
                <w:iCs w:val="0"/>
                <w:caps w:val="0"/>
                <w:color w:val="1C1917"/>
                <w:spacing w:val="0"/>
                <w:sz w:val="21"/>
                <w:szCs w:val="21"/>
                <w:highlight w:val="none"/>
                <w:shd w:val="clear" w:fill="FFFFFF"/>
                <w:lang w:val="en-US" w:eastAsia="zh-CN"/>
              </w:rPr>
              <w:t>8.</w:t>
            </w:r>
            <w:r>
              <w:rPr>
                <w:rFonts w:hint="eastAsia" w:ascii="宋体" w:hAnsi="宋体" w:eastAsia="宋体" w:cs="宋体"/>
                <w:i w:val="0"/>
                <w:iCs w:val="0"/>
                <w:caps w:val="0"/>
                <w:color w:val="1C1917"/>
                <w:spacing w:val="0"/>
                <w:sz w:val="21"/>
                <w:szCs w:val="21"/>
                <w:highlight w:val="none"/>
                <w:shd w:val="clear" w:fill="FFFFFF"/>
                <w:lang w:val="en-US" w:eastAsia="zh-CN"/>
              </w:rPr>
              <w:t>实现采购支出异常预警，包括小额采购支出异常黄色预警、同单位采购支出异常黄色预警；显示显示对应预警下的涉及项目，以及每个涉及项目的基本信息（项目基本信息，小额支出采购金额/同单位采购支出金额，采购笔数，预约单号），显示单条预警下的全部预约单号。</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i w:val="0"/>
                <w:iCs w:val="0"/>
                <w:caps w:val="0"/>
                <w:color w:val="1C1917"/>
                <w:spacing w:val="0"/>
                <w:sz w:val="21"/>
                <w:szCs w:val="21"/>
                <w:highlight w:val="none"/>
                <w:shd w:val="clear" w:fill="FFFFFF"/>
                <w:lang w:val="en-US" w:eastAsia="zh-CN"/>
              </w:rPr>
            </w:pPr>
            <w:r>
              <w:rPr>
                <w:rFonts w:hint="eastAsia" w:cs="宋体"/>
                <w:i w:val="0"/>
                <w:iCs w:val="0"/>
                <w:caps w:val="0"/>
                <w:color w:val="1C1917"/>
                <w:spacing w:val="0"/>
                <w:sz w:val="21"/>
                <w:szCs w:val="21"/>
                <w:highlight w:val="none"/>
                <w:shd w:val="clear" w:fill="FFFFFF"/>
                <w:lang w:val="en-US" w:eastAsia="zh-CN"/>
              </w:rPr>
              <w:t>9.</w:t>
            </w:r>
            <w:r>
              <w:rPr>
                <w:rFonts w:hint="eastAsia" w:ascii="宋体" w:hAnsi="宋体" w:eastAsia="宋体" w:cs="宋体"/>
                <w:i w:val="0"/>
                <w:iCs w:val="0"/>
                <w:caps w:val="0"/>
                <w:color w:val="1C1917"/>
                <w:spacing w:val="0"/>
                <w:sz w:val="21"/>
                <w:szCs w:val="21"/>
                <w:highlight w:val="none"/>
                <w:shd w:val="clear" w:fill="FFFFFF"/>
                <w:lang w:val="en-US" w:eastAsia="zh-CN"/>
              </w:rPr>
              <w:t>实现差旅费预警，包括出差时间异常黄色预警、出差天数异常黄色预警；显示异常出差时间段或异常出差天数；显示单条预警下所有涉及项目的预约单号。</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i w:val="0"/>
                <w:iCs w:val="0"/>
                <w:caps w:val="0"/>
                <w:color w:val="1C1917"/>
                <w:spacing w:val="0"/>
                <w:sz w:val="21"/>
                <w:szCs w:val="21"/>
                <w:highlight w:val="none"/>
                <w:shd w:val="clear" w:fill="FFFFFF"/>
                <w:lang w:val="en-US" w:eastAsia="zh-CN"/>
              </w:rPr>
            </w:pPr>
            <w:r>
              <w:rPr>
                <w:rFonts w:hint="eastAsia" w:ascii="宋体" w:hAnsi="宋体" w:eastAsia="宋体" w:cs="宋体"/>
                <w:i w:val="0"/>
                <w:iCs w:val="0"/>
                <w:caps w:val="0"/>
                <w:color w:val="1C1917"/>
                <w:spacing w:val="0"/>
                <w:sz w:val="21"/>
                <w:szCs w:val="21"/>
                <w:highlight w:val="none"/>
                <w:shd w:val="clear" w:fill="FFFFFF"/>
                <w:lang w:val="en-US" w:eastAsia="zh-CN"/>
              </w:rPr>
              <w:t>1</w:t>
            </w:r>
            <w:r>
              <w:rPr>
                <w:rFonts w:hint="eastAsia" w:cs="宋体"/>
                <w:i w:val="0"/>
                <w:iCs w:val="0"/>
                <w:caps w:val="0"/>
                <w:color w:val="1C1917"/>
                <w:spacing w:val="0"/>
                <w:sz w:val="21"/>
                <w:szCs w:val="21"/>
                <w:highlight w:val="none"/>
                <w:shd w:val="clear" w:fill="FFFFFF"/>
                <w:lang w:val="en-US" w:eastAsia="zh-CN"/>
              </w:rPr>
              <w:t>0.</w:t>
            </w:r>
            <w:r>
              <w:rPr>
                <w:rFonts w:hint="eastAsia" w:ascii="宋体" w:hAnsi="宋体" w:eastAsia="宋体" w:cs="宋体"/>
                <w:i w:val="0"/>
                <w:iCs w:val="0"/>
                <w:caps w:val="0"/>
                <w:color w:val="1C1917"/>
                <w:spacing w:val="0"/>
                <w:sz w:val="21"/>
                <w:szCs w:val="21"/>
                <w:highlight w:val="none"/>
                <w:shd w:val="clear" w:fill="FFFFFF"/>
                <w:lang w:val="en-US" w:eastAsia="zh-CN"/>
              </w:rPr>
              <w:t>实现时候预警信息处理及问题整改，包括5个工作日未核实蓝色预警、整改期限内未按规定整改黄色预警。</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aps w:val="0"/>
                <w:color w:val="1C1917"/>
                <w:spacing w:val="0"/>
                <w:sz w:val="21"/>
                <w:szCs w:val="21"/>
                <w:highlight w:val="none"/>
                <w:shd w:val="clear" w:fill="FFFFFF"/>
                <w:lang w:val="en-US" w:eastAsia="zh-CN"/>
              </w:rPr>
              <w:t>1</w:t>
            </w:r>
            <w:r>
              <w:rPr>
                <w:rFonts w:hint="eastAsia" w:cs="宋体"/>
                <w:i w:val="0"/>
                <w:iCs w:val="0"/>
                <w:caps w:val="0"/>
                <w:color w:val="1C1917"/>
                <w:spacing w:val="0"/>
                <w:sz w:val="21"/>
                <w:szCs w:val="21"/>
                <w:highlight w:val="none"/>
                <w:shd w:val="clear" w:fill="FFFFFF"/>
                <w:lang w:val="en-US" w:eastAsia="zh-CN"/>
              </w:rPr>
              <w:t>1.</w:t>
            </w:r>
            <w:r>
              <w:rPr>
                <w:rFonts w:hint="eastAsia" w:ascii="宋体" w:hAnsi="宋体" w:eastAsia="宋体" w:cs="宋体"/>
                <w:i w:val="0"/>
                <w:iCs w:val="0"/>
                <w:caps w:val="0"/>
                <w:color w:val="1C1917"/>
                <w:spacing w:val="0"/>
                <w:sz w:val="21"/>
                <w:szCs w:val="21"/>
                <w:highlight w:val="none"/>
                <w:shd w:val="clear" w:fill="FFFFFF"/>
                <w:lang w:val="en-US" w:eastAsia="zh-CN"/>
              </w:rPr>
              <w:t>实现上述告警中Excel数据导出功能。</w:t>
            </w:r>
          </w:p>
        </w:tc>
      </w:tr>
      <w:tr>
        <w:tblPrEx>
          <w:tblLayout w:type="fixed"/>
          <w:tblCellMar>
            <w:top w:w="15" w:type="dxa"/>
            <w:left w:w="15" w:type="dxa"/>
            <w:bottom w:w="15" w:type="dxa"/>
            <w:right w:w="15" w:type="dxa"/>
          </w:tblCellMar>
        </w:tblPrEx>
        <w:trPr>
          <w:trHeight w:val="620" w:hRule="atLeast"/>
        </w:trPr>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aps w:val="0"/>
                <w:color w:val="1C1917"/>
                <w:spacing w:val="0"/>
                <w:sz w:val="21"/>
                <w:szCs w:val="21"/>
                <w:highlight w:val="none"/>
                <w:shd w:val="clear" w:fill="FFFFFF"/>
                <w:lang w:val="en-US" w:eastAsia="zh-CN"/>
              </w:rPr>
              <w:t>数据抽取与更新</w:t>
            </w:r>
          </w:p>
        </w:tc>
        <w:tc>
          <w:tcPr>
            <w:tcW w:w="80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Hans" w:bidi="ar-SA"/>
              </w:rPr>
            </w:pPr>
            <w:r>
              <w:rPr>
                <w:rFonts w:hint="eastAsia" w:ascii="宋体" w:hAnsi="宋体" w:eastAsia="宋体" w:cs="宋体"/>
                <w:i w:val="0"/>
                <w:iCs w:val="0"/>
                <w:caps w:val="0"/>
                <w:color w:val="1C1917"/>
                <w:spacing w:val="0"/>
                <w:sz w:val="21"/>
                <w:szCs w:val="21"/>
                <w:highlight w:val="none"/>
                <w:shd w:val="clear" w:fill="FFFFFF"/>
                <w:lang w:val="en-US" w:eastAsia="zh-CN"/>
              </w:rPr>
              <w:t>实现财务、科研相关数据的自动抽取和更新，确保数据的及时性和准确性。</w:t>
            </w:r>
          </w:p>
        </w:tc>
      </w:tr>
      <w:tr>
        <w:tblPrEx>
          <w:tblLayout w:type="fixed"/>
          <w:tblCellMar>
            <w:top w:w="15" w:type="dxa"/>
            <w:left w:w="15" w:type="dxa"/>
            <w:bottom w:w="15" w:type="dxa"/>
            <w:right w:w="15" w:type="dxa"/>
          </w:tblCellMar>
        </w:tblPrEx>
        <w:trPr>
          <w:trHeight w:val="91" w:hRule="atLeast"/>
        </w:trPr>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aps w:val="0"/>
                <w:color w:val="1C1917"/>
                <w:spacing w:val="0"/>
                <w:sz w:val="21"/>
                <w:szCs w:val="21"/>
                <w:highlight w:val="none"/>
                <w:shd w:val="clear" w:fill="FFFFFF"/>
                <w:lang w:val="en-US" w:eastAsia="zh-CN"/>
              </w:rPr>
              <w:t>数据上报</w:t>
            </w:r>
          </w:p>
        </w:tc>
        <w:tc>
          <w:tcPr>
            <w:tcW w:w="80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i w:val="0"/>
                <w:iCs w:val="0"/>
                <w:caps w:val="0"/>
                <w:color w:val="1C1917"/>
                <w:spacing w:val="0"/>
                <w:sz w:val="21"/>
                <w:szCs w:val="21"/>
                <w:highlight w:val="none"/>
                <w:shd w:val="clear" w:fill="FFFFFF"/>
                <w:lang w:val="en-US" w:eastAsia="zh-CN"/>
              </w:rPr>
            </w:pPr>
            <w:r>
              <w:rPr>
                <w:rFonts w:hint="eastAsia" w:cs="宋体"/>
                <w:i w:val="0"/>
                <w:iCs w:val="0"/>
                <w:caps w:val="0"/>
                <w:color w:val="1C1917"/>
                <w:spacing w:val="0"/>
                <w:sz w:val="21"/>
                <w:szCs w:val="21"/>
                <w:highlight w:val="none"/>
                <w:shd w:val="clear" w:fill="FFFFFF"/>
                <w:lang w:val="en-US" w:eastAsia="zh-CN"/>
              </w:rPr>
              <w:t>1.</w:t>
            </w:r>
            <w:r>
              <w:rPr>
                <w:rFonts w:hint="eastAsia" w:ascii="宋体" w:hAnsi="宋体" w:eastAsia="宋体" w:cs="宋体"/>
                <w:i w:val="0"/>
                <w:iCs w:val="0"/>
                <w:caps w:val="0"/>
                <w:color w:val="1C1917"/>
                <w:spacing w:val="0"/>
                <w:sz w:val="21"/>
                <w:szCs w:val="21"/>
                <w:highlight w:val="none"/>
                <w:shd w:val="clear" w:fill="FFFFFF"/>
                <w:lang w:val="en-US" w:eastAsia="zh-CN"/>
              </w:rPr>
              <w:t>提供自动上报至教育魔方系统的功能，减少了用户手动操作的时间成本，确保数据的及时提交。</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i w:val="0"/>
                <w:iCs w:val="0"/>
                <w:caps w:val="0"/>
                <w:color w:val="1C1917"/>
                <w:spacing w:val="0"/>
                <w:sz w:val="21"/>
                <w:szCs w:val="21"/>
                <w:highlight w:val="none"/>
                <w:shd w:val="clear" w:fill="FFFFFF"/>
                <w:lang w:val="en-US" w:eastAsia="zh-CN"/>
              </w:rPr>
            </w:pPr>
            <w:r>
              <w:rPr>
                <w:rFonts w:hint="eastAsia" w:cs="宋体"/>
                <w:i w:val="0"/>
                <w:iCs w:val="0"/>
                <w:caps w:val="0"/>
                <w:color w:val="1C1917"/>
                <w:spacing w:val="0"/>
                <w:sz w:val="21"/>
                <w:szCs w:val="21"/>
                <w:highlight w:val="none"/>
                <w:shd w:val="clear" w:fill="FFFFFF"/>
                <w:lang w:val="en-US" w:eastAsia="zh-CN"/>
              </w:rPr>
              <w:t>2.</w:t>
            </w:r>
            <w:r>
              <w:rPr>
                <w:rFonts w:hint="eastAsia" w:ascii="宋体" w:hAnsi="宋体" w:eastAsia="宋体" w:cs="宋体"/>
                <w:i w:val="0"/>
                <w:iCs w:val="0"/>
                <w:caps w:val="0"/>
                <w:color w:val="1C1917"/>
                <w:spacing w:val="0"/>
                <w:sz w:val="21"/>
                <w:szCs w:val="21"/>
                <w:highlight w:val="none"/>
                <w:shd w:val="clear" w:fill="FFFFFF"/>
                <w:lang w:val="en-US" w:eastAsia="zh-CN"/>
              </w:rPr>
              <w:t>可生成符合教育魔方系统要求的上报数据表格，降低了数据上报过程中的出错风险，保证了上报数据的准确性。</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Hans" w:bidi="ar-SA"/>
              </w:rPr>
            </w:pPr>
            <w:r>
              <w:rPr>
                <w:rFonts w:hint="eastAsia" w:ascii="宋体" w:hAnsi="宋体" w:eastAsia="宋体" w:cs="宋体"/>
                <w:i w:val="0"/>
                <w:iCs w:val="0"/>
                <w:caps w:val="0"/>
                <w:color w:val="1C1917"/>
                <w:spacing w:val="0"/>
                <w:sz w:val="21"/>
                <w:szCs w:val="21"/>
                <w:highlight w:val="none"/>
                <w:shd w:val="clear" w:fill="FFFFFF"/>
                <w:lang w:val="en-US" w:eastAsia="zh-CN"/>
              </w:rPr>
              <w:t>3.提供上报历史记录和审核日志，用户可以追溯和核对每次上报的情况，保证了上报数据的准确性和可追溯性。</w:t>
            </w:r>
          </w:p>
        </w:tc>
      </w:tr>
      <w:tr>
        <w:tblPrEx>
          <w:tblLayout w:type="fixed"/>
          <w:tblCellMar>
            <w:top w:w="15" w:type="dxa"/>
            <w:left w:w="15" w:type="dxa"/>
            <w:bottom w:w="15" w:type="dxa"/>
            <w:right w:w="15" w:type="dxa"/>
          </w:tblCellMar>
        </w:tblPrEx>
        <w:trPr>
          <w:trHeight w:val="620" w:hRule="atLeast"/>
        </w:trPr>
        <w:tc>
          <w:tcPr>
            <w:tcW w:w="137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aps w:val="0"/>
                <w:color w:val="1C1917"/>
                <w:spacing w:val="0"/>
                <w:sz w:val="21"/>
                <w:szCs w:val="21"/>
                <w:highlight w:val="none"/>
                <w:shd w:val="clear" w:fill="FFFFFF"/>
                <w:lang w:val="en-US" w:eastAsia="zh-CN"/>
              </w:rPr>
              <w:t>用户管理</w:t>
            </w:r>
          </w:p>
        </w:tc>
        <w:tc>
          <w:tcPr>
            <w:tcW w:w="806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outlineLvl w:val="9"/>
              <w:rPr>
                <w:rFonts w:hint="eastAsia" w:ascii="宋体" w:hAnsi="宋体" w:eastAsia="宋体" w:cs="宋体"/>
                <w:i w:val="0"/>
                <w:iCs w:val="0"/>
                <w:caps w:val="0"/>
                <w:color w:val="1C1917"/>
                <w:spacing w:val="0"/>
                <w:sz w:val="21"/>
                <w:szCs w:val="21"/>
                <w:highlight w:val="none"/>
                <w:shd w:val="clear" w:fill="FFFFFF"/>
                <w:lang w:val="en-US" w:eastAsia="zh-CN"/>
              </w:rPr>
            </w:pPr>
            <w:r>
              <w:rPr>
                <w:rFonts w:hint="eastAsia" w:cs="宋体"/>
                <w:i w:val="0"/>
                <w:iCs w:val="0"/>
                <w:caps w:val="0"/>
                <w:color w:val="1C1917"/>
                <w:spacing w:val="0"/>
                <w:sz w:val="21"/>
                <w:szCs w:val="21"/>
                <w:highlight w:val="none"/>
                <w:shd w:val="clear" w:fill="FFFFFF"/>
                <w:lang w:val="en-US" w:eastAsia="zh-CN"/>
              </w:rPr>
              <w:t>1.</w:t>
            </w:r>
            <w:r>
              <w:rPr>
                <w:rFonts w:hint="eastAsia" w:ascii="宋体" w:hAnsi="宋体" w:eastAsia="宋体" w:cs="宋体"/>
                <w:i w:val="0"/>
                <w:iCs w:val="0"/>
                <w:caps w:val="0"/>
                <w:color w:val="1C1917"/>
                <w:spacing w:val="0"/>
                <w:sz w:val="21"/>
                <w:szCs w:val="21"/>
                <w:highlight w:val="none"/>
                <w:shd w:val="clear" w:fill="FFFFFF"/>
                <w:lang w:val="en-US" w:eastAsia="zh-CN"/>
              </w:rPr>
              <w:t>实现用户权限的细粒度控制，包括角色分配、权限设置等，提升了系统的灵活性和安全性。</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Hans" w:bidi="ar-SA"/>
              </w:rPr>
            </w:pPr>
            <w:r>
              <w:rPr>
                <w:rFonts w:hint="eastAsia" w:ascii="宋体" w:hAnsi="宋体" w:eastAsia="宋体" w:cs="宋体"/>
                <w:i w:val="0"/>
                <w:iCs w:val="0"/>
                <w:caps w:val="0"/>
                <w:color w:val="1C1917"/>
                <w:spacing w:val="0"/>
                <w:sz w:val="21"/>
                <w:szCs w:val="21"/>
                <w:highlight w:val="none"/>
                <w:shd w:val="clear" w:fill="FFFFFF"/>
                <w:lang w:val="en-US" w:eastAsia="zh-CN"/>
              </w:rPr>
              <w:t>2.允许用户自定义个人信息，包括用户名、联系方式等，提升了用户对个人信息的管理和使用体验。</w:t>
            </w:r>
          </w:p>
        </w:tc>
      </w:tr>
      <w:tr>
        <w:tblPrEx>
          <w:tblLayout w:type="fixed"/>
          <w:tblCellMar>
            <w:top w:w="15" w:type="dxa"/>
            <w:left w:w="15" w:type="dxa"/>
            <w:bottom w:w="15" w:type="dxa"/>
            <w:right w:w="15" w:type="dxa"/>
          </w:tblCellMar>
        </w:tblPrEx>
        <w:trPr>
          <w:trHeight w:val="620" w:hRule="atLeast"/>
        </w:trPr>
        <w:tc>
          <w:tcPr>
            <w:tcW w:w="137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aps w:val="0"/>
                <w:color w:val="1C1917"/>
                <w:spacing w:val="0"/>
                <w:sz w:val="21"/>
                <w:szCs w:val="21"/>
                <w:highlight w:val="none"/>
                <w:shd w:val="clear" w:fill="FFFFFF"/>
                <w:lang w:val="en-US" w:eastAsia="zh-CN"/>
              </w:rPr>
              <w:t>错误订正</w:t>
            </w:r>
          </w:p>
        </w:tc>
        <w:tc>
          <w:tcPr>
            <w:tcW w:w="806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outlineLvl w:val="9"/>
              <w:rPr>
                <w:rFonts w:hint="eastAsia" w:ascii="宋体" w:hAnsi="宋体" w:eastAsia="宋体" w:cs="宋体"/>
                <w:kern w:val="2"/>
                <w:sz w:val="21"/>
                <w:szCs w:val="21"/>
                <w:highlight w:val="none"/>
                <w:lang w:val="en-US" w:eastAsia="zh-Hans" w:bidi="ar-SA"/>
              </w:rPr>
            </w:pPr>
            <w:r>
              <w:rPr>
                <w:rFonts w:hint="eastAsia" w:ascii="宋体" w:hAnsi="宋体" w:eastAsia="宋体" w:cs="宋体"/>
                <w:i w:val="0"/>
                <w:iCs w:val="0"/>
                <w:caps w:val="0"/>
                <w:color w:val="1C1917"/>
                <w:spacing w:val="0"/>
                <w:sz w:val="21"/>
                <w:szCs w:val="21"/>
                <w:highlight w:val="none"/>
                <w:shd w:val="clear" w:fill="FFFFFF"/>
                <w:lang w:val="en-US" w:eastAsia="zh-CN"/>
              </w:rPr>
              <w:t>管理员可对出错数据进行处理和纠正，保证数据的准确性和完整性。</w:t>
            </w:r>
          </w:p>
        </w:tc>
      </w:tr>
    </w:tbl>
    <w:p>
      <w:pPr>
        <w:keepNext w:val="0"/>
        <w:keepLines w:val="0"/>
        <w:pageBreakBefore w:val="0"/>
        <w:kinsoku/>
        <w:wordWrap/>
        <w:overflowPunct/>
        <w:topLinePunct w:val="0"/>
        <w:autoSpaceDE/>
        <w:autoSpaceDN/>
        <w:bidi w:val="0"/>
        <w:snapToGrid w:val="0"/>
        <w:spacing w:line="288" w:lineRule="auto"/>
        <w:ind w:left="0" w:leftChars="0" w:right="0" w:firstLine="420" w:firstLineChars="200"/>
        <w:jc w:val="left"/>
        <w:outlineLvl w:val="9"/>
        <w:rPr>
          <w:rFonts w:hint="eastAsia" w:ascii="宋体" w:hAnsi="宋体" w:eastAsia="宋体" w:cs="宋体"/>
          <w:sz w:val="21"/>
          <w:szCs w:val="21"/>
          <w:highlight w:val="none"/>
        </w:rPr>
      </w:pPr>
    </w:p>
    <w:p>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4.演示：</w:t>
      </w:r>
    </w:p>
    <w:p>
      <w:pPr>
        <w:adjustRightInd w:val="0"/>
        <w:snapToGrid w:val="0"/>
        <w:spacing w:line="288" w:lineRule="auto"/>
        <w:ind w:firstLine="422" w:firstLineChars="200"/>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rPr>
        <w:t>▲4.1 供应商演示内容需为</w:t>
      </w:r>
      <w:r>
        <w:rPr>
          <w:rFonts w:hint="eastAsia" w:ascii="宋体" w:hAnsi="宋体" w:eastAsia="宋体" w:cs="Times New Roman"/>
          <w:b/>
          <w:bCs/>
          <w:color w:val="auto"/>
          <w:sz w:val="21"/>
          <w:szCs w:val="21"/>
          <w:highlight w:val="none"/>
          <w:lang w:val="en-US" w:eastAsia="zh-CN"/>
        </w:rPr>
        <w:t>真人操作DEMO系统录制的视频，未提供演示或未按要求提供演示的响应无效</w:t>
      </w:r>
      <w:r>
        <w:rPr>
          <w:rFonts w:hint="eastAsia" w:ascii="宋体" w:hAnsi="宋体" w:eastAsia="宋体" w:cs="Times New Roman"/>
          <w:b/>
          <w:bCs/>
          <w:color w:val="auto"/>
          <w:sz w:val="21"/>
          <w:szCs w:val="21"/>
          <w:highlight w:val="none"/>
          <w:lang w:eastAsia="zh-CN"/>
        </w:rPr>
        <w:t>。</w:t>
      </w:r>
    </w:p>
    <w:p>
      <w:pPr>
        <w:adjustRightInd w:val="0"/>
        <w:snapToGrid w:val="0"/>
        <w:spacing w:line="288" w:lineRule="auto"/>
        <w:ind w:firstLine="422" w:firstLineChars="200"/>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4.2 演示内容如下：</w:t>
      </w:r>
    </w:p>
    <w:p>
      <w:pPr>
        <w:adjustRightInd w:val="0"/>
        <w:snapToGrid w:val="0"/>
        <w:spacing w:line="288" w:lineRule="auto"/>
        <w:ind w:firstLine="422"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lang w:eastAsia="zh-CN"/>
        </w:rPr>
        <w:t>）统一人像平台：</w:t>
      </w:r>
      <w:r>
        <w:rPr>
          <w:rFonts w:hint="eastAsia" w:ascii="宋体" w:hAnsi="宋体" w:eastAsia="宋体" w:cs="宋体"/>
          <w:b w:val="0"/>
          <w:bCs w:val="0"/>
          <w:sz w:val="21"/>
          <w:szCs w:val="21"/>
          <w:highlight w:val="none"/>
          <w:lang w:val="en-US" w:eastAsia="zh-CN"/>
        </w:rPr>
        <w:t>底片质量核验：系统支持以下底片质量检测，并进行可视化设置：人脸真人检测、是否戴眼镜检测、左右眼睛睁合检测、戴口罩检测、人脸上下左右倾斜角度检测、人脸照片中占比及位置检测、人脸面部光线检测、面部遮挡检测、面部溢出照片检测分析。</w:t>
      </w:r>
    </w:p>
    <w:p>
      <w:pPr>
        <w:adjustRightInd w:val="0"/>
        <w:snapToGrid w:val="0"/>
        <w:spacing w:line="288" w:lineRule="auto"/>
        <w:ind w:firstLine="422" w:firstLineChars="200"/>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（2）组织机构与身份治理：</w:t>
      </w:r>
    </w:p>
    <w:p>
      <w:pPr>
        <w:adjustRightInd w:val="0"/>
        <w:snapToGrid w:val="0"/>
        <w:spacing w:line="288"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组织数据标准：支持岗位元数据的管理和扩展。支持内置多种岗位类型、岗位属性、岗位编码规则，可自定义和扩展岗位类型、岗位属性和岗位编码规则，岗位属性可设置约束关系、唯一性关系，可设置不同值空间类型内容，比如字符串、数值、时间、关系等。</w:t>
      </w:r>
    </w:p>
    <w:p>
      <w:pPr>
        <w:adjustRightInd w:val="0"/>
        <w:snapToGrid w:val="0"/>
        <w:spacing w:line="288"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2）岗位空缺管理：支持当对外同步的组织数据包中出现岗位空缺时，进行监控并提醒对应管理员进行及时调整，保证了各业务系统中数据的正确性。</w:t>
      </w:r>
    </w:p>
    <w:p>
      <w:pPr>
        <w:adjustRightInd w:val="0"/>
        <w:snapToGrid w:val="0"/>
        <w:spacing w:line="288" w:lineRule="auto"/>
        <w:ind w:firstLine="422" w:firstLineChars="200"/>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（3）数据安全治理平台：</w:t>
      </w:r>
    </w:p>
    <w:p>
      <w:pPr>
        <w:adjustRightInd w:val="0"/>
        <w:snapToGrid w:val="0"/>
        <w:spacing w:line="288"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数据可见性要求：服务工具要求提供单独的SQL性能分析功能，单独展示SQL性能指标（包括整体平均耗时、高峰时平均耗时、低谷时平均耗时、最大单次执行时长、慢SQL数量与占比、慢SQL操作类型），以时间维度展示平均耗时趋势，且可与历史情况对比。</w:t>
      </w:r>
    </w:p>
    <w:p>
      <w:pPr>
        <w:adjustRightInd w:val="0"/>
        <w:snapToGrid w:val="0"/>
        <w:spacing w:line="288" w:lineRule="auto"/>
        <w:ind w:firstLine="420" w:firstLineChars="200"/>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报表功能要求：服务工具要求支持自定义报表功能，报表统计维度包括告警名称、告警等级、操作类型、操作系统用户名、数据库名/实例名、主机名、数据库账号、客户端IP、客户端工具、数据库类型、客户端端口等，统计指标来自审计日志、告警日志、会话日志等不少于29种，根据以上条件进行灵活选择后生成报表。</w:t>
      </w:r>
    </w:p>
    <w:p>
      <w:pPr>
        <w:spacing w:line="288" w:lineRule="auto"/>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4.3 演示U盘：</w:t>
      </w:r>
    </w:p>
    <w:p>
      <w:pPr>
        <w:spacing w:line="288" w:lineRule="auto"/>
        <w:ind w:firstLine="420"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（1）根据“电子交易/不见面开评标”原则，供应商需将以上演示及讲解过程录制视频，演示时长不超过1</w:t>
      </w: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分钟以.mp4格式存储于U盘。</w:t>
      </w:r>
    </w:p>
    <w:p>
      <w:pPr>
        <w:spacing w:line="288" w:lineRule="auto"/>
        <w:ind w:firstLine="420"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（2）演示U盘可以EMS或顺丰邮寄形式在响应截止时间前递交，演示U盘应当密封包装并在包装上标注演示U盘、响应项目名称、响应供应商名称并加盖公章。</w:t>
      </w:r>
    </w:p>
    <w:p>
      <w:pPr>
        <w:keepNext w:val="0"/>
        <w:keepLines w:val="0"/>
        <w:pageBreakBefore w:val="0"/>
        <w:kinsoku/>
        <w:wordWrap/>
        <w:overflowPunct/>
        <w:topLinePunct w:val="0"/>
        <w:autoSpaceDE/>
        <w:autoSpaceDN/>
        <w:bidi w:val="0"/>
        <w:adjustRightInd w:val="0"/>
        <w:snapToGrid w:val="0"/>
        <w:spacing w:line="288" w:lineRule="auto"/>
        <w:ind w:left="0" w:leftChars="0" w:right="0" w:firstLine="404" w:firstLineChars="200"/>
        <w:jc w:val="left"/>
        <w:outlineLvl w:val="9"/>
        <w:rPr>
          <w:rFonts w:hint="eastAsia" w:ascii="宋体" w:hAnsi="宋体" w:eastAsia="宋体" w:cs="宋体"/>
          <w:b/>
          <w:bCs/>
          <w:color w:val="auto"/>
          <w:sz w:val="21"/>
          <w:szCs w:val="21"/>
          <w:highlight w:val="none"/>
        </w:rPr>
      </w:pPr>
      <w:r>
        <w:rPr>
          <w:rFonts w:hint="eastAsia" w:ascii="宋体" w:hAnsi="宋体" w:eastAsia="宋体" w:cs="宋体"/>
          <w:bCs/>
          <w:color w:val="auto"/>
          <w:spacing w:val="-4"/>
          <w:sz w:val="21"/>
          <w:szCs w:val="21"/>
          <w:highlight w:val="none"/>
        </w:rPr>
        <w:t>（3）未按磋商文件要求提供演示U盘造成专家无法正常评审的风险由供应商自行承担。</w:t>
      </w: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杭州电子科技大学数字化改革系统建设</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▲1</w:t>
            </w:r>
            <w:r>
              <w:rPr>
                <w:rFonts w:hint="default"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2</w:t>
            </w:r>
            <w:r>
              <w:rPr>
                <w:rFonts w:hint="eastAsia" w:cstheme="minorBidi"/>
                <w:color w:val="auto"/>
                <w:sz w:val="21"/>
                <w:szCs w:val="21"/>
                <w:highlight w:val="none"/>
              </w:rPr>
              <w:t>.</w:t>
            </w:r>
            <w:r>
              <w:rPr>
                <w:rFonts w:hint="default"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hint="default" w:cstheme="minorBidi"/>
                <w:color w:val="auto"/>
                <w:sz w:val="21"/>
                <w:szCs w:val="21"/>
                <w:highlight w:val="none"/>
              </w:rPr>
              <w:t>，须提供</w:t>
            </w:r>
            <w:r>
              <w:rPr>
                <w:rFonts w:hint="default" w:cstheme="minorBidi"/>
                <w:bCs/>
                <w:color w:val="auto"/>
                <w:sz w:val="21"/>
                <w:szCs w:val="21"/>
                <w:highlight w:val="none"/>
              </w:rPr>
              <w:t>授权</w:t>
            </w:r>
            <w:r>
              <w:rPr>
                <w:rFonts w:hint="eastAsia" w:cstheme="minorBidi"/>
                <w:bCs/>
                <w:color w:val="auto"/>
                <w:sz w:val="21"/>
                <w:szCs w:val="21"/>
                <w:highlight w:val="none"/>
              </w:rPr>
              <w:t>委托</w:t>
            </w:r>
            <w:r>
              <w:rPr>
                <w:rFonts w:hint="default"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2023年1月</w:t>
            </w:r>
            <w:r>
              <w:rPr>
                <w:rFonts w:hint="default" w:cstheme="minorBidi"/>
                <w:color w:val="auto"/>
                <w:sz w:val="21"/>
                <w:szCs w:val="21"/>
                <w:highlight w:val="none"/>
              </w:rPr>
              <w:t>（含）以后任意一月）；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3"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kern w:val="0"/>
                      <w:sz w:val="21"/>
                      <w:szCs w:val="21"/>
                      <w:highlight w:val="none"/>
                      <w:lang w:val="en-US" w:eastAsia="zh-CN"/>
                    </w:rPr>
                  </w:pPr>
                  <w:r>
                    <w:rPr>
                      <w:rFonts w:hint="eastAsia"/>
                      <w:color w:val="auto"/>
                      <w:kern w:val="0"/>
                      <w:sz w:val="21"/>
                      <w:szCs w:val="21"/>
                      <w:highlight w:val="none"/>
                      <w:lang w:val="en-US" w:eastAsia="zh-CN"/>
                    </w:rPr>
                    <w:t>100-500部分</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kern w:val="0"/>
                      <w:sz w:val="21"/>
                      <w:szCs w:val="21"/>
                      <w:highlight w:val="none"/>
                      <w:lang w:val="en-US" w:eastAsia="zh-CN"/>
                    </w:rPr>
                  </w:pPr>
                  <w:r>
                    <w:rPr>
                      <w:rFonts w:hint="eastAsia"/>
                      <w:color w:val="auto"/>
                      <w:kern w:val="0"/>
                      <w:sz w:val="21"/>
                      <w:szCs w:val="21"/>
                      <w:highlight w:val="none"/>
                      <w:lang w:val="en-US" w:eastAsia="zh-CN"/>
                    </w:rPr>
                    <w:t>0.56</w:t>
                  </w:r>
                </w:p>
              </w:tc>
            </w:tr>
            <w:bookmarkEnd w:id="33"/>
          </w:tbl>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本项目（是）接受联合体响应。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pPr>
              <w:keepNext w:val="0"/>
              <w:keepLines w:val="0"/>
              <w:widowControl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ascii="宋体" w:hAnsi="宋体" w:eastAsia="宋体" w:cs="宋体"/>
                <w:color w:val="auto"/>
                <w:kern w:val="2"/>
                <w:sz w:val="21"/>
                <w:szCs w:val="21"/>
                <w:highlight w:val="none"/>
                <w:lang w:val="en-US" w:eastAsia="zh-CN" w:bidi="ar"/>
              </w:rPr>
              <w:t>2.本项目</w:t>
            </w:r>
            <w:r>
              <w:rPr>
                <w:rFonts w:hint="eastAsia" w:ascii="宋体" w:hAnsi="宋体" w:eastAsia="宋体" w:cs="宋体"/>
                <w:b/>
                <w:color w:val="auto"/>
                <w:kern w:val="2"/>
                <w:sz w:val="21"/>
                <w:szCs w:val="21"/>
                <w:highlight w:val="none"/>
                <w:u w:val="single"/>
                <w:lang w:val="en-US" w:eastAsia="zh-CN" w:bidi="ar"/>
              </w:rPr>
              <w:t>不允许</w:t>
            </w:r>
            <w:r>
              <w:rPr>
                <w:rFonts w:hint="eastAsia" w:ascii="宋体" w:hAnsi="宋体" w:eastAsia="宋体" w:cs="宋体"/>
                <w:color w:val="auto"/>
                <w:kern w:val="2"/>
                <w:sz w:val="21"/>
                <w:szCs w:val="21"/>
                <w:highlight w:val="none"/>
                <w:lang w:val="en-US" w:eastAsia="zh-CN" w:bidi="ar"/>
              </w:rPr>
              <w:t>分包，不适宜分包的理由是：</w:t>
            </w:r>
            <w:r>
              <w:rPr>
                <w:rFonts w:hint="eastAsia" w:ascii="宋体" w:hAnsi="宋体" w:eastAsia="宋体" w:cs="宋体"/>
                <w:color w:val="auto"/>
                <w:kern w:val="2"/>
                <w:sz w:val="21"/>
                <w:szCs w:val="21"/>
                <w:highlight w:val="none"/>
                <w:u w:val="single"/>
                <w:lang w:val="en-US" w:eastAsia="zh-CN" w:bidi="ar"/>
              </w:rPr>
              <w:t>项目内容整体不可分割。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4"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eastAsia" w:eastAsia="宋体" w:cs="Times New Roman"/>
                <w:color w:val="auto"/>
                <w:sz w:val="21"/>
                <w:szCs w:val="21"/>
                <w:highlight w:val="none"/>
                <w:lang w:eastAsia="zh-CN"/>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lang w:eastAsia="zh-CN"/>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w:t>
            </w:r>
          </w:p>
          <w:p>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中小企业声明函（若属于中小企业）</w:t>
            </w:r>
          </w:p>
          <w:p>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属于监狱企业的证明文件（若属于监狱企业）</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残疾人福利性单位声明函（若属于残疾人福利性单位）</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lang w:eastAsia="zh-CN"/>
              </w:rPr>
              <w:t>采购人将以合同形式有偿取得货物、工程和服务，不接受供应商给予的赠品、回扣或者与采购无关的其他商品、服务</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bookmarkStart w:id="35"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5"/>
    <w:p>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杭州电子科技大学数字化改革系统建设</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rFonts w:cs="Times New Roman"/>
          <w:color w:val="auto"/>
          <w:sz w:val="21"/>
          <w:szCs w:val="21"/>
          <w:highlight w:val="none"/>
        </w:rPr>
      </w:pPr>
      <w:bookmarkStart w:id="36"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6"/>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2023年1月</w:t>
      </w:r>
      <w:r>
        <w:rPr>
          <w:color w:val="auto"/>
          <w:sz w:val="21"/>
          <w:szCs w:val="21"/>
          <w:highlight w:val="none"/>
        </w:rPr>
        <w:t>（含）以后任意一月）；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color w:val="auto"/>
                <w:kern w:val="0"/>
                <w:sz w:val="21"/>
                <w:szCs w:val="21"/>
                <w:highlight w:val="none"/>
              </w:rPr>
            </w:pPr>
            <w:r>
              <w:rPr>
                <w:rFonts w:hint="eastAsia" w:ascii="宋体" w:hAnsi="宋体" w:eastAsia="宋体" w:cs="宋体"/>
                <w:kern w:val="0"/>
                <w:sz w:val="21"/>
                <w:szCs w:val="21"/>
                <w:highlight w:val="none"/>
                <w:lang w:val="en-US" w:eastAsia="zh-CN" w:bidi="ar"/>
              </w:rPr>
              <w:t>100-500部分</w:t>
            </w:r>
          </w:p>
        </w:tc>
        <w:tc>
          <w:tcPr>
            <w:tcW w:w="2338" w:type="dxa"/>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color w:val="auto"/>
                <w:kern w:val="0"/>
                <w:sz w:val="21"/>
                <w:szCs w:val="21"/>
                <w:highlight w:val="none"/>
              </w:rPr>
            </w:pPr>
            <w:r>
              <w:rPr>
                <w:rFonts w:hint="eastAsia" w:ascii="宋体" w:hAnsi="宋体" w:eastAsia="宋体" w:cs="宋体"/>
                <w:kern w:val="0"/>
                <w:sz w:val="21"/>
                <w:szCs w:val="21"/>
                <w:highlight w:val="none"/>
                <w:lang w:val="en-US" w:eastAsia="zh-CN" w:bidi="ar"/>
              </w:rPr>
              <w:t>0.56</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pPr>
        <w:spacing w:line="288" w:lineRule="auto"/>
        <w:ind w:firstLine="420" w:firstLineChars="200"/>
        <w:rPr>
          <w:rFonts w:cs="Times New Roman"/>
          <w:color w:val="auto"/>
          <w:sz w:val="21"/>
          <w:szCs w:val="22"/>
          <w:highlight w:val="none"/>
        </w:rPr>
      </w:pPr>
      <w:bookmarkStart w:id="37" w:name="_Hlk104288918"/>
      <w:r>
        <w:rPr>
          <w:rFonts w:hint="eastAsia" w:cs="Times New Roman"/>
          <w:color w:val="auto"/>
          <w:sz w:val="21"/>
          <w:szCs w:val="22"/>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7"/>
    </w:p>
    <w:p>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pPr>
        <w:keepNext w:val="0"/>
        <w:keepLines w:val="0"/>
        <w:widowControl w:val="0"/>
        <w:suppressLineNumbers w:val="0"/>
        <w:adjustRightInd w:val="0"/>
        <w:snapToGrid w:val="0"/>
        <w:spacing w:before="0" w:beforeAutospacing="0" w:after="0" w:afterAutospacing="0" w:line="288" w:lineRule="auto"/>
        <w:ind w:left="0" w:right="0" w:firstLine="420" w:firstLineChars="200"/>
        <w:jc w:val="both"/>
        <w:rPr>
          <w:rFonts w:hint="eastAsia" w:eastAsia="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
        </w:rPr>
        <w:t>2.本项目</w:t>
      </w:r>
      <w:r>
        <w:rPr>
          <w:rFonts w:hint="eastAsia" w:ascii="宋体" w:hAnsi="宋体" w:eastAsia="宋体" w:cs="宋体"/>
          <w:b/>
          <w:color w:val="auto"/>
          <w:kern w:val="2"/>
          <w:sz w:val="21"/>
          <w:szCs w:val="21"/>
          <w:highlight w:val="none"/>
          <w:u w:val="single"/>
          <w:lang w:val="en-US" w:eastAsia="zh-CN" w:bidi="ar"/>
        </w:rPr>
        <w:t>不允许</w:t>
      </w:r>
      <w:r>
        <w:rPr>
          <w:rFonts w:hint="eastAsia" w:ascii="宋体" w:hAnsi="宋体" w:eastAsia="宋体" w:cs="宋体"/>
          <w:color w:val="auto"/>
          <w:kern w:val="2"/>
          <w:sz w:val="21"/>
          <w:szCs w:val="21"/>
          <w:highlight w:val="none"/>
          <w:lang w:val="en-US" w:eastAsia="zh-CN" w:bidi="ar"/>
        </w:rPr>
        <w:t>分包，不适宜分包的理由是：</w:t>
      </w:r>
      <w:r>
        <w:rPr>
          <w:rFonts w:hint="eastAsia" w:ascii="宋体" w:hAnsi="宋体" w:eastAsia="宋体" w:cs="宋体"/>
          <w:color w:val="auto"/>
          <w:kern w:val="2"/>
          <w:sz w:val="21"/>
          <w:szCs w:val="21"/>
          <w:highlight w:val="none"/>
          <w:u w:val="single"/>
          <w:lang w:val="en-US" w:eastAsia="zh-CN" w:bidi="ar"/>
        </w:rPr>
        <w:t>项目内容整体不可分割。</w:t>
      </w:r>
    </w:p>
    <w:p>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8" w:name="_Hlk92273406"/>
      <w:bookmarkStart w:id="39"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8"/>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9"/>
    <w:p>
      <w:pPr>
        <w:adjustRightInd w:val="0"/>
        <w:snapToGrid w:val="0"/>
        <w:spacing w:line="288" w:lineRule="auto"/>
        <w:outlineLvl w:val="2"/>
        <w:rPr>
          <w:b/>
          <w:color w:val="auto"/>
          <w:spacing w:val="-6"/>
          <w:kern w:val="0"/>
          <w:sz w:val="21"/>
          <w:szCs w:val="21"/>
          <w:highlight w:val="none"/>
        </w:rPr>
      </w:pPr>
      <w:bookmarkStart w:id="40"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41" w:name="_Hlk106875293"/>
    </w:p>
    <w:bookmarkEnd w:id="41"/>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4.支持中小企业发展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lang w:eastAsia="zh-CN"/>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lang w:eastAsia="zh-CN"/>
        </w:rPr>
        <w:t>4%</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40"/>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bookmarkStart w:id="42"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bookmarkEnd w:id="42"/>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3" w:name="_Hlk96329193"/>
      <w:r>
        <w:rPr>
          <w:rFonts w:hint="eastAsia"/>
          <w:color w:val="auto"/>
          <w:sz w:val="21"/>
          <w:szCs w:val="21"/>
          <w:highlight w:val="none"/>
        </w:rPr>
        <w:t>，供应商应写全称。</w:t>
      </w:r>
      <w:bookmarkEnd w:id="43"/>
    </w:p>
    <w:p>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lang w:eastAsia="zh-CN"/>
        </w:rPr>
        <w:t>采购人将以合同形式有偿取得货物、工程和服务，不接受供应商给予的赠品、回扣或者与采购无关的其他商品、服务</w:t>
      </w:r>
      <w:r>
        <w:rPr>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bookmarkStart w:id="44" w:name="_Hlk97039899"/>
      <w:r>
        <w:rPr>
          <w:rFonts w:hint="eastAsia"/>
          <w:color w:val="auto"/>
          <w:sz w:val="21"/>
          <w:szCs w:val="21"/>
          <w:highlight w:val="none"/>
        </w:rPr>
        <w:t>未响应磋商文件“▲”标记条款要求的，响应无效。</w:t>
      </w:r>
    </w:p>
    <w:bookmarkEnd w:id="44"/>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w:t>
      </w:r>
    </w:p>
    <w:p>
      <w:pPr>
        <w:adjustRightInd w:val="0"/>
        <w:snapToGrid w:val="0"/>
        <w:spacing w:line="288" w:lineRule="auto"/>
        <w:ind w:firstLine="420" w:firstLineChars="200"/>
        <w:rPr>
          <w:color w:val="auto"/>
          <w:sz w:val="21"/>
          <w:szCs w:val="21"/>
          <w:highlight w:val="none"/>
        </w:rPr>
      </w:pPr>
      <w:bookmarkStart w:id="45" w:name="_Hlk97039841"/>
      <w:r>
        <w:rPr>
          <w:rFonts w:hint="eastAsia"/>
          <w:color w:val="auto"/>
          <w:sz w:val="21"/>
          <w:szCs w:val="21"/>
          <w:highlight w:val="none"/>
        </w:rPr>
        <w:t>（3）资格文件未按要求签署、盖章。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bookmarkEnd w:id="45"/>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rFonts w:hint="eastAsia"/>
          <w:color w:val="auto"/>
          <w:spacing w:val="-6"/>
          <w:sz w:val="21"/>
          <w:szCs w:val="21"/>
          <w:highlight w:val="none"/>
        </w:rPr>
        <w:t>视为采购人不能接受的附加条件；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w:t>
      </w:r>
    </w:p>
    <w:p>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（3）未按规定提交磋商记录或最后报价的，视为退出磋商，响应无效。</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0" w:firstLineChars="200"/>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2" w:firstLineChars="200"/>
        <w:rPr>
          <w:rFonts w:ascii="宋体" w:hAnsi="宋体" w:eastAsia="宋体" w:cs="宋体"/>
          <w:sz w:val="21"/>
          <w:szCs w:val="21"/>
          <w:highlight w:val="none"/>
        </w:rPr>
      </w:pPr>
      <w:r>
        <w:rPr>
          <w:rFonts w:hint="eastAsia" w:ascii="宋体" w:hAnsi="宋体" w:eastAsia="宋体" w:cs="宋体"/>
          <w:b/>
          <w:bCs/>
          <w:sz w:val="21"/>
          <w:szCs w:val="21"/>
          <w:highlight w:val="none"/>
        </w:rPr>
        <w:t>最后报价出现前后不一致的，按照下列规定修正：</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（一）最后报价内容与响应文件中相应内容不一致的，以最后报价为准；</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（二）大写金额和小写金额不一致的，以大写金额为准；</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（三）单价金额小数点或者百分比有明显错位的，以最后报价的总价为准，并修改单价；</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（四）总价金额与按单价汇总金额不一致的，以单价金额计算结果为准。</w:t>
      </w:r>
    </w:p>
    <w:p>
      <w:pPr>
        <w:adjustRightInd w:val="0"/>
        <w:snapToGrid w:val="0"/>
        <w:spacing w:line="288" w:lineRule="auto"/>
        <w:ind w:firstLine="424" w:firstLineChars="202"/>
        <w:rPr>
          <w:rFonts w:cs="Arial"/>
          <w:kern w:val="0"/>
          <w:sz w:val="21"/>
          <w:szCs w:val="21"/>
          <w:highlight w:val="none"/>
        </w:rPr>
      </w:pPr>
      <w:r>
        <w:rPr>
          <w:rFonts w:hint="eastAsia" w:ascii="宋体" w:hAnsi="宋体" w:eastAsia="宋体" w:cs="宋体"/>
          <w:sz w:val="21"/>
          <w:szCs w:val="21"/>
          <w:highlight w:val="none"/>
        </w:rPr>
        <w:t>同时出现两种以上不一致的，按照前款规定的顺序修正。修正后的报价经供应商电子签名（加盖公章）、法定代表人或授权代表签字确认后产生约束力，供应商不确认的，其响应无效。</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4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6"/>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hint="eastAsia" w:eastAsia="宋体" w:cs="Arial"/>
          <w:color w:val="auto"/>
          <w:kern w:val="0"/>
          <w:sz w:val="21"/>
          <w:szCs w:val="21"/>
          <w:highlight w:val="none"/>
          <w:lang w:eastAsia="zh-CN"/>
        </w:rPr>
      </w:pPr>
      <w:r>
        <w:rPr>
          <w:rFonts w:hint="eastAsia" w:ascii="宋体" w:hAnsi="宋体" w:eastAsia="宋体"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667"/>
        <w:gridCol w:w="7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bookmarkStart w:id="47" w:name="_Hlk117025274"/>
            <w:r>
              <w:rPr>
                <w:rFonts w:hint="eastAsia" w:ascii="宋体" w:hAnsi="宋体" w:eastAsia="宋体" w:cs="宋体"/>
                <w:b/>
                <w:bCs/>
                <w:color w:val="auto"/>
                <w:sz w:val="21"/>
                <w:szCs w:val="21"/>
                <w:highlight w:val="none"/>
              </w:rPr>
              <w:t>评审因素</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最后磋商报价</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val="en-US" w:eastAsia="zh-CN" w:bidi="ar"/>
              </w:rPr>
              <w:t>1</w:t>
            </w:r>
            <w:r>
              <w:rPr>
                <w:rFonts w:hint="eastAsia" w:ascii="宋体" w:hAnsi="宋体" w:eastAsia="宋体" w:cs="宋体"/>
                <w:b/>
                <w:color w:val="auto"/>
                <w:sz w:val="21"/>
                <w:szCs w:val="21"/>
                <w:highlight w:val="none"/>
                <w:lang w:bidi="ar"/>
              </w:rPr>
              <w:t>0</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磋商报价得分=（磋商基准价/最后磋商报价）×</w:t>
            </w: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5" w:hRule="atLeast"/>
        </w:trPr>
        <w:tc>
          <w:tcPr>
            <w:tcW w:w="9493"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lang w:bidi="ar"/>
              </w:rPr>
            </w:pPr>
            <w:r>
              <w:rPr>
                <w:rFonts w:hint="eastAsia"/>
                <w:b/>
                <w:bCs/>
                <w:kern w:val="0"/>
                <w:sz w:val="21"/>
                <w:szCs w:val="21"/>
              </w:rPr>
              <w:t>商务分（</w:t>
            </w:r>
            <w:r>
              <w:rPr>
                <w:rFonts w:hint="eastAsia"/>
                <w:b/>
                <w:bCs/>
                <w:kern w:val="0"/>
                <w:sz w:val="21"/>
                <w:szCs w:val="21"/>
                <w:lang w:val="en-US" w:eastAsia="zh-CN"/>
              </w:rPr>
              <w:t>1</w:t>
            </w:r>
            <w:r>
              <w:rPr>
                <w:rFonts w:hint="eastAsia"/>
                <w:b/>
                <w:bCs/>
                <w:kern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color w:val="auto"/>
                <w:sz w:val="21"/>
                <w:szCs w:val="21"/>
                <w:highlight w:val="none"/>
                <w:lang w:bidi="ar"/>
              </w:rPr>
            </w:pPr>
            <w:r>
              <w:rPr>
                <w:rFonts w:hint="eastAsia" w:ascii="宋体" w:hAnsi="宋体" w:eastAsia="宋体" w:cs="宋体"/>
                <w:b/>
                <w:kern w:val="0"/>
                <w:sz w:val="21"/>
                <w:szCs w:val="21"/>
                <w:lang w:val="en-US" w:eastAsia="zh-CN" w:bidi="ar"/>
              </w:rPr>
              <w:t>业绩</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color w:val="auto"/>
                <w:sz w:val="21"/>
                <w:szCs w:val="21"/>
                <w:highlight w:val="none"/>
                <w:lang w:val="en-US" w:eastAsia="zh-CN" w:bidi="ar"/>
              </w:rPr>
            </w:pPr>
            <w:r>
              <w:rPr>
                <w:rFonts w:hint="eastAsia" w:ascii="宋体" w:hAnsi="宋体" w:eastAsia="宋体" w:cs="宋体"/>
                <w:b/>
                <w:kern w:val="0"/>
                <w:sz w:val="21"/>
                <w:szCs w:val="21"/>
                <w:lang w:val="en-US" w:eastAsia="zh-CN" w:bidi="ar"/>
              </w:rPr>
              <w:t>1</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【客观分】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lang w:bidi="ar"/>
              </w:rPr>
            </w:pPr>
            <w:r>
              <w:rPr>
                <w:rFonts w:hint="eastAsia" w:ascii="宋体" w:hAnsi="宋体" w:eastAsia="宋体" w:cs="宋体"/>
                <w:kern w:val="0"/>
                <w:sz w:val="21"/>
                <w:szCs w:val="21"/>
                <w:lang w:val="en-US" w:eastAsia="zh-CN" w:bidi="ar"/>
              </w:rPr>
              <w:t>供应商自2020年1月1日以来（以合同签订时间为准）同类合同业绩（以提供的合同扫描件为准）：每提供1份合同业绩得0.5分，最高得1分。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技术分（</w:t>
            </w:r>
            <w:r>
              <w:rPr>
                <w:rFonts w:hint="eastAsia" w:ascii="宋体" w:hAnsi="宋体" w:eastAsia="宋体" w:cs="宋体"/>
                <w:b/>
                <w:bCs/>
                <w:color w:val="auto"/>
                <w:sz w:val="21"/>
                <w:szCs w:val="21"/>
                <w:highlight w:val="none"/>
                <w:lang w:val="en-US" w:eastAsia="zh-CN"/>
              </w:rPr>
              <w:t>89</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技术响应程度</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36</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【客观分】不符合（负偏离）技术要求中标注“</w:t>
            </w:r>
            <w:bookmarkStart w:id="48" w:name="_Hlk117025051"/>
            <w:r>
              <w:rPr>
                <w:rFonts w:hint="eastAsia" w:ascii="宋体" w:hAnsi="宋体" w:eastAsia="宋体" w:cs="宋体"/>
                <w:color w:val="auto"/>
                <w:sz w:val="21"/>
                <w:szCs w:val="21"/>
                <w:highlight w:val="none"/>
              </w:rPr>
              <w:t>▲</w:t>
            </w:r>
            <w:bookmarkEnd w:id="48"/>
            <w:r>
              <w:rPr>
                <w:rFonts w:hint="eastAsia" w:ascii="宋体" w:hAnsi="宋体" w:eastAsia="宋体" w:cs="宋体"/>
                <w:color w:val="auto"/>
                <w:sz w:val="21"/>
                <w:szCs w:val="21"/>
                <w:highlight w:val="none"/>
              </w:rPr>
              <w:t>”条款（不可偏离）的响应无效；</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满足磋商文件明确的全部技术条款要求的该项得满分；</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技术条款低于技术要求（负偏离）的，每项扣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负偏离</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需求理解</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主观分</w:t>
            </w:r>
            <w:r>
              <w:rPr>
                <w:rFonts w:hint="eastAsia" w:ascii="宋体" w:hAnsi="宋体" w:eastAsia="宋体" w:cs="宋体"/>
                <w:color w:val="auto"/>
                <w:sz w:val="21"/>
                <w:szCs w:val="21"/>
                <w:highlight w:val="none"/>
                <w:lang w:eastAsia="zh-CN"/>
              </w:rPr>
              <w:t>】响应方对本项目建设背景、项目建设依据、项目建设意义和必要性</w:t>
            </w:r>
            <w:r>
              <w:rPr>
                <w:rFonts w:hint="eastAsia" w:ascii="宋体" w:hAnsi="宋体" w:eastAsia="宋体" w:cs="宋体"/>
                <w:color w:val="auto"/>
                <w:sz w:val="21"/>
                <w:szCs w:val="21"/>
                <w:highlight w:val="none"/>
                <w:lang w:val="en-US" w:eastAsia="zh-CN"/>
              </w:rPr>
              <w:t>的理解透彻，各项内容分析清楚（评分范围：5,4,3,2,1,0）。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restart"/>
            <w:tcBorders>
              <w:top w:val="single" w:color="auto" w:sz="4" w:space="0"/>
              <w:left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技术方案</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【主观分】响应方</w:t>
            </w:r>
            <w:r>
              <w:rPr>
                <w:rFonts w:hint="eastAsia" w:ascii="宋体" w:hAnsi="宋体" w:eastAsia="宋体" w:cs="宋体"/>
                <w:color w:val="auto"/>
                <w:sz w:val="21"/>
                <w:szCs w:val="21"/>
                <w:highlight w:val="none"/>
                <w:lang w:val="en-US" w:eastAsia="zh-CN"/>
              </w:rPr>
              <w:t>针对</w:t>
            </w:r>
            <w:r>
              <w:rPr>
                <w:rFonts w:hint="eastAsia" w:ascii="宋体" w:hAnsi="宋体" w:eastAsia="宋体" w:cs="宋体"/>
                <w:color w:val="auto"/>
                <w:sz w:val="21"/>
                <w:szCs w:val="21"/>
                <w:highlight w:val="none"/>
              </w:rPr>
              <w:t>杭电钉统一门户系统</w:t>
            </w:r>
            <w:r>
              <w:rPr>
                <w:rFonts w:hint="eastAsia" w:ascii="宋体" w:hAnsi="宋体" w:eastAsia="宋体" w:cs="宋体"/>
                <w:color w:val="auto"/>
                <w:sz w:val="21"/>
                <w:szCs w:val="21"/>
                <w:highlight w:val="none"/>
                <w:lang w:val="en-US" w:eastAsia="zh-CN"/>
              </w:rPr>
              <w:t>提供的技术方案情况。技术方案满足采购需求中要求的各项内容，方案内容详实，针对性强，科学合理（评分范围：3,2,1,0）。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【主观分】响应方针对统一人像平台提供的技术方案情况。技术方案满足采购需求中要求的各项内容，方案内容详实，针对性强，科学合理（评分范围：3,2,1,0）。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【主观分】响应方针对精准育人平台提供的技术方案情况。技术方案满足采购需求中要求的各项内容，方案内容详实，针对性强，科学合理（评分范围：3,2,1,0）。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【主观分】响应方针对组织机构与身份治理提供的技术方案情况。技术方案满足采购需求中要求的各项内容，方案内容详实，针对性强，科学合理（评分范围：3,2,1,0）。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【主观分】响应方针对数据安全治理平台提供的技术方案情况。技术方案满足采购需求中要求的各项内容，方案内容详实，针对性强，科学合理（评分范围：3,2,1,0）。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【主观分】响应方针对党宣系统提供的技术方案情况。技术方案满足采购需求中要求的各项内容，方案内容详实，针对性强，科学合理（评分范围：3,2,1,0）。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【主观分】响应方针对新生数据处理平台提供的技术方案情况。技术方案满足采购需求中要求的各项内容，方案内容详实，针对性强，科学合理（评分范围：3,2,1,0）。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【主观分】响应方针对智慧教室驾驶舱提供的技术方案情况。技术方案满足采购需求中要求的各项内容，方案内容详实，针对性强，科学合理（评分范围：3,2,1,0）。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【主观分】响应方针对导学评价系统提供的技术方案情况。技术方案满足采购需求中要求的各项内容，方案内容详实，针对性强，科学合理（评分范围：3,2,1,0）。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【主观分】响应方针对智慧党建系统提供的技术方案情况。技术方案满足采购需求中要求的各项内容，方案内容详实，针对性强，科学合理（评分范围：3,2,1,0）。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【主观分】响应方针对科研安系统提供的技术方案情况。技术方案满足采购需求中要求的各项内容，方案内容详实，针对性强，科学合理（评分范围：3,2,1,0）。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kern w:val="2"/>
                <w:sz w:val="21"/>
                <w:szCs w:val="21"/>
                <w:highlight w:val="none"/>
                <w:lang w:val="en-US" w:eastAsia="zh-CN" w:bidi="ar"/>
              </w:rPr>
              <w:t>售后服务</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【主观分】响应方售后服务方案情况，包括售后服务人员安排、定期巡检、软件调整、升级、质保期后的服务承诺、响应情况、售后服务网点的便利性等相关内容科学合理，内容完整（评分范围：5,4,3,2,1,0）。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kern w:val="2"/>
                <w:sz w:val="21"/>
                <w:szCs w:val="21"/>
                <w:highlight w:val="none"/>
                <w:lang w:val="en-US" w:eastAsia="zh-CN" w:bidi="ar"/>
              </w:rPr>
              <w:t>培训方案</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【主观分】响应方提供的项目培训计划的相关内容，包括培训对象、日程、培训内容等科学合理，内容完整（评分范围：5,4,3,2,1,0）。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kern w:val="2"/>
                <w:sz w:val="21"/>
                <w:szCs w:val="21"/>
                <w:lang w:val="en-US" w:eastAsia="zh-CN" w:bidi="ar-SA"/>
              </w:rPr>
            </w:pPr>
            <w:r>
              <w:rPr>
                <w:rFonts w:hint="eastAsia" w:ascii="宋体" w:hAnsi="宋体" w:eastAsia="宋体" w:cs="宋体"/>
                <w:b/>
                <w:bCs/>
                <w:sz w:val="21"/>
                <w:szCs w:val="21"/>
              </w:rPr>
              <w:t>演示</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kern w:val="2"/>
                <w:sz w:val="21"/>
                <w:szCs w:val="21"/>
                <w:lang w:val="en-US" w:eastAsia="zh-CN" w:bidi="ar-SA"/>
              </w:rPr>
            </w:pPr>
            <w:r>
              <w:rPr>
                <w:rFonts w:hint="eastAsia" w:ascii="宋体" w:hAnsi="宋体" w:eastAsia="宋体" w:cs="宋体"/>
                <w:b/>
                <w:bCs/>
                <w:sz w:val="21"/>
                <w:szCs w:val="21"/>
                <w:lang w:val="en-US"/>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供应商根据第二章 采购需求“4.演示”的要求进行演示（每项评分范围：1,0.5,0）。</w:t>
            </w:r>
          </w:p>
        </w:tc>
      </w:tr>
      <w:bookmarkEnd w:id="47"/>
    </w:tbl>
    <w:p>
      <w:pPr>
        <w:adjustRightInd w:val="0"/>
        <w:snapToGrid w:val="0"/>
        <w:spacing w:line="288" w:lineRule="auto"/>
        <w:rPr>
          <w:rFonts w:cs="Times New Roman"/>
          <w:b/>
          <w:bCs/>
          <w:color w:val="auto"/>
          <w:spacing w:val="-6"/>
          <w:sz w:val="21"/>
          <w:szCs w:val="21"/>
          <w:highlight w:val="none"/>
        </w:rPr>
      </w:pPr>
      <w:r>
        <w:rPr>
          <w:rFonts w:hint="eastAsia"/>
          <w:b/>
          <w:color w:val="auto"/>
          <w:sz w:val="21"/>
          <w:szCs w:val="21"/>
          <w:highlight w:val="none"/>
        </w:rPr>
        <w:t>说明</w:t>
      </w:r>
      <w:r>
        <w:rPr>
          <w:b/>
          <w:color w:val="auto"/>
          <w:sz w:val="21"/>
          <w:szCs w:val="21"/>
          <w:highlight w:val="none"/>
        </w:rPr>
        <w:t>：</w:t>
      </w:r>
      <w:bookmarkStart w:id="49" w:name="_Hlk81817387"/>
      <w:r>
        <w:rPr>
          <w:rFonts w:hint="eastAsia"/>
          <w:b/>
          <w:color w:val="auto"/>
          <w:sz w:val="21"/>
          <w:szCs w:val="21"/>
          <w:highlight w:val="none"/>
        </w:rPr>
        <w:t>本项目专门面向中小企业采购，不再执行价格评审优惠的扶持政策。</w:t>
      </w:r>
    </w:p>
    <w:bookmarkEnd w:id="49"/>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color w:val="auto"/>
          <w:spacing w:val="-6"/>
          <w:sz w:val="21"/>
          <w:szCs w:val="21"/>
          <w:highlight w:val="none"/>
          <w:lang w:eastAsia="zh-CN"/>
        </w:rPr>
        <w:t>QSZB-Z(F)-B23424(CS)</w:t>
      </w: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确认书编号：</w:t>
      </w:r>
      <w:r>
        <w:rPr>
          <w:rFonts w:hint="eastAsia"/>
          <w:color w:val="auto"/>
          <w:spacing w:val="-6"/>
          <w:sz w:val="21"/>
          <w:szCs w:val="21"/>
          <w:highlight w:val="none"/>
          <w:lang w:eastAsia="zh-CN"/>
        </w:rPr>
        <w:t>[2023]72007号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2023</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u w:val="single"/>
          <w:lang w:eastAsia="zh-CN"/>
        </w:rPr>
        <w:t>数字化改革系统建设</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w:t>
      </w:r>
      <w:r>
        <w:rPr>
          <w:rFonts w:hint="eastAsia"/>
          <w:b/>
          <w:color w:val="auto"/>
          <w:spacing w:val="-6"/>
          <w:sz w:val="21"/>
          <w:szCs w:val="21"/>
          <w:highlight w:val="none"/>
          <w:lang w:val="en-US" w:eastAsia="zh-CN"/>
        </w:rPr>
        <w:t>内容</w:t>
      </w:r>
      <w:r>
        <w:rPr>
          <w:rFonts w:hint="eastAsia"/>
          <w:b/>
          <w:color w:val="auto"/>
          <w:spacing w:val="-6"/>
          <w:sz w:val="21"/>
          <w:szCs w:val="21"/>
          <w:highlight w:val="none"/>
        </w:rPr>
        <w:t>清单及合同价格</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以上合同总价包括</w:t>
      </w:r>
      <w:r>
        <w:rPr>
          <w:rFonts w:hint="eastAsia" w:cs="Times New Roman"/>
          <w:color w:val="auto"/>
          <w:spacing w:val="-6"/>
          <w:sz w:val="21"/>
          <w:szCs w:val="21"/>
          <w:highlight w:val="none"/>
          <w:lang w:val="en-US" w:eastAsia="zh-CN"/>
        </w:rPr>
        <w:t>合同履行所涉及的</w:t>
      </w:r>
      <w:r>
        <w:rPr>
          <w:rFonts w:hint="eastAsia" w:cs="Times New Roman"/>
          <w:color w:val="auto"/>
          <w:spacing w:val="-6"/>
          <w:sz w:val="21"/>
          <w:szCs w:val="21"/>
          <w:highlight w:val="none"/>
        </w:rPr>
        <w:t>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1.乙方应按招标文件规定的性能、技术要求、质量标准向甲方提供</w:t>
      </w:r>
      <w:r>
        <w:rPr>
          <w:rFonts w:hint="eastAsia" w:cs="Times New Roman"/>
          <w:color w:val="auto"/>
          <w:spacing w:val="-6"/>
          <w:sz w:val="21"/>
          <w:szCs w:val="21"/>
          <w:highlight w:val="none"/>
          <w:lang w:val="en-US" w:eastAsia="zh-CN"/>
        </w:rPr>
        <w:t>服务</w:t>
      </w:r>
      <w:r>
        <w:rPr>
          <w:rFonts w:hint="eastAsia" w:cs="Times New Roman"/>
          <w:color w:val="auto"/>
          <w:spacing w:val="-6"/>
          <w:sz w:val="21"/>
          <w:szCs w:val="21"/>
          <w:highlight w:val="none"/>
        </w:rPr>
        <w:t>。</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lang w:val="en-US" w:eastAsia="zh-CN"/>
        </w:rPr>
        <w:t>2</w:t>
      </w:r>
      <w:r>
        <w:rPr>
          <w:rFonts w:hint="eastAsia" w:cs="Times New Roman"/>
          <w:color w:val="auto"/>
          <w:spacing w:val="-6"/>
          <w:sz w:val="21"/>
          <w:szCs w:val="21"/>
          <w:highlight w:val="none"/>
        </w:rPr>
        <w:t>.在质保期内，乙方应对</w:t>
      </w:r>
      <w:r>
        <w:rPr>
          <w:rFonts w:hint="eastAsia" w:cs="Times New Roman"/>
          <w:color w:val="auto"/>
          <w:spacing w:val="-6"/>
          <w:sz w:val="21"/>
          <w:szCs w:val="21"/>
          <w:highlight w:val="none"/>
          <w:lang w:val="en-US" w:eastAsia="zh-CN"/>
        </w:rPr>
        <w:t>合同内容</w:t>
      </w:r>
      <w:r>
        <w:rPr>
          <w:rFonts w:hint="eastAsia" w:cs="Times New Roman"/>
          <w:color w:val="auto"/>
          <w:spacing w:val="-6"/>
          <w:sz w:val="21"/>
          <w:szCs w:val="21"/>
          <w:highlight w:val="none"/>
        </w:rPr>
        <w:t>出现的质量问题负责处理解决并承担一切费用。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第三条：技术资料</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1.乙方应按招标文件规定的时间向甲方提供使用</w:t>
      </w:r>
      <w:r>
        <w:rPr>
          <w:rFonts w:hint="eastAsia"/>
          <w:color w:val="auto"/>
          <w:spacing w:val="-6"/>
          <w:sz w:val="21"/>
          <w:szCs w:val="21"/>
          <w:highlight w:val="none"/>
          <w:lang w:eastAsia="zh-CN"/>
        </w:rPr>
        <w:t>合同内容</w:t>
      </w:r>
      <w:r>
        <w:rPr>
          <w:rFonts w:hint="eastAsia"/>
          <w:color w:val="auto"/>
          <w:spacing w:val="-6"/>
          <w:sz w:val="21"/>
          <w:szCs w:val="21"/>
          <w:highlight w:val="none"/>
        </w:rPr>
        <w:t>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hint="eastAsia" w:eastAsia="宋体" w:cs="Times New Roman"/>
          <w:color w:val="auto"/>
          <w:spacing w:val="-6"/>
          <w:sz w:val="21"/>
          <w:szCs w:val="21"/>
          <w:highlight w:val="none"/>
          <w:lang w:val="en-US" w:eastAsia="zh-CN"/>
        </w:rPr>
      </w:pPr>
      <w:r>
        <w:rPr>
          <w:rFonts w:hint="eastAsia"/>
          <w:color w:val="auto"/>
          <w:spacing w:val="-6"/>
          <w:sz w:val="21"/>
          <w:szCs w:val="21"/>
          <w:highlight w:val="none"/>
        </w:rPr>
        <w:t>乙方应保证所提供的</w:t>
      </w:r>
      <w:r>
        <w:rPr>
          <w:rFonts w:hint="eastAsia"/>
          <w:color w:val="auto"/>
          <w:spacing w:val="-6"/>
          <w:sz w:val="21"/>
          <w:szCs w:val="21"/>
          <w:highlight w:val="none"/>
          <w:lang w:eastAsia="zh-CN"/>
        </w:rPr>
        <w:t>合同内容</w:t>
      </w:r>
      <w:r>
        <w:rPr>
          <w:rFonts w:hint="eastAsia"/>
          <w:color w:val="auto"/>
          <w:spacing w:val="-6"/>
          <w:sz w:val="21"/>
          <w:szCs w:val="21"/>
          <w:highlight w:val="none"/>
        </w:rPr>
        <w:t>或其任何一部分均不会侵犯任何第三方的知识产权</w:t>
      </w:r>
      <w:r>
        <w:rPr>
          <w:rFonts w:hint="eastAsia"/>
          <w:color w:val="auto"/>
          <w:spacing w:val="-6"/>
          <w:sz w:val="21"/>
          <w:szCs w:val="21"/>
          <w:highlight w:val="none"/>
          <w:lang w:eastAsia="zh-CN"/>
        </w:rPr>
        <w:t>。</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w:t>
      </w:r>
      <w:r>
        <w:rPr>
          <w:rFonts w:hint="eastAsia"/>
          <w:b/>
          <w:color w:val="auto"/>
          <w:spacing w:val="-6"/>
          <w:sz w:val="21"/>
          <w:szCs w:val="21"/>
          <w:highlight w:val="none"/>
          <w:lang w:val="en-US" w:eastAsia="zh-CN"/>
        </w:rPr>
        <w:t>付</w:t>
      </w:r>
      <w:r>
        <w:rPr>
          <w:rFonts w:hint="eastAsia"/>
          <w:b/>
          <w:color w:val="auto"/>
          <w:spacing w:val="-6"/>
          <w:sz w:val="21"/>
          <w:szCs w:val="21"/>
          <w:highlight w:val="none"/>
        </w:rPr>
        <w:t>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1.交付时间：自合同签订之日起</w:t>
      </w:r>
      <w:r>
        <w:rPr>
          <w:rFonts w:hint="eastAsia" w:cs="Times New Roman"/>
          <w:color w:val="auto"/>
          <w:spacing w:val="-6"/>
          <w:sz w:val="21"/>
          <w:szCs w:val="21"/>
          <w:highlight w:val="none"/>
          <w:lang w:val="en-US" w:eastAsia="zh-CN"/>
        </w:rPr>
        <w:t>60日</w:t>
      </w:r>
      <w:r>
        <w:rPr>
          <w:rFonts w:hint="eastAsia" w:cs="Times New Roman"/>
          <w:color w:val="auto"/>
          <w:spacing w:val="-6"/>
          <w:sz w:val="21"/>
          <w:szCs w:val="21"/>
          <w:highlight w:val="none"/>
        </w:rPr>
        <w:t>内交付。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2.交付地点：甲方指定地点。</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lang w:val="en-US" w:eastAsia="zh-CN"/>
        </w:rPr>
        <w:t>合同内容自</w:t>
      </w:r>
      <w:r>
        <w:rPr>
          <w:rFonts w:hint="eastAsia"/>
          <w:color w:val="auto"/>
          <w:spacing w:val="-6"/>
          <w:sz w:val="21"/>
          <w:szCs w:val="21"/>
          <w:highlight w:val="none"/>
        </w:rPr>
        <w:t>验收合格后起</w:t>
      </w:r>
      <w:r>
        <w:rPr>
          <w:rFonts w:hint="eastAsia"/>
          <w:color w:val="auto"/>
          <w:spacing w:val="-6"/>
          <w:sz w:val="21"/>
          <w:szCs w:val="21"/>
          <w:highlight w:val="none"/>
          <w:lang w:val="en-US" w:eastAsia="zh-CN"/>
        </w:rPr>
        <w:t>质保</w:t>
      </w:r>
      <w:r>
        <w:rPr>
          <w:rFonts w:hint="eastAsia"/>
          <w:color w:val="auto"/>
          <w:spacing w:val="-6"/>
          <w:sz w:val="21"/>
          <w:szCs w:val="21"/>
          <w:highlight w:val="none"/>
          <w:u w:val="single"/>
        </w:rPr>
        <w:t xml:space="preserve">   </w:t>
      </w:r>
      <w:r>
        <w:rPr>
          <w:rFonts w:hint="eastAsia"/>
          <w:color w:val="auto"/>
          <w:spacing w:val="-6"/>
          <w:sz w:val="21"/>
          <w:szCs w:val="21"/>
          <w:highlight w:val="none"/>
        </w:rPr>
        <w:t>年。如在使用过程中发生质量问题，</w:t>
      </w:r>
      <w:r>
        <w:rPr>
          <w:rFonts w:hint="eastAsia"/>
          <w:color w:val="auto"/>
          <w:spacing w:val="-6"/>
          <w:sz w:val="21"/>
          <w:szCs w:val="21"/>
          <w:highlight w:val="none"/>
          <w:lang w:val="en-US" w:eastAsia="zh-CN"/>
        </w:rPr>
        <w:t>乙方</w:t>
      </w:r>
      <w:r>
        <w:rPr>
          <w:rFonts w:hint="eastAsia"/>
          <w:color w:val="auto"/>
          <w:spacing w:val="-6"/>
          <w:sz w:val="21"/>
          <w:szCs w:val="21"/>
          <w:highlight w:val="none"/>
        </w:rPr>
        <w:t>维修响应时间：</w:t>
      </w:r>
      <w:r>
        <w:rPr>
          <w:rFonts w:hint="eastAsia"/>
          <w:color w:val="auto"/>
          <w:spacing w:val="-6"/>
          <w:sz w:val="21"/>
          <w:szCs w:val="21"/>
          <w:highlight w:val="none"/>
          <w:u w:val="single"/>
          <w:lang w:val="en-US" w:eastAsia="zh-CN"/>
        </w:rPr>
        <w:t xml:space="preserve">   </w:t>
      </w:r>
      <w:r>
        <w:rPr>
          <w:rFonts w:hint="eastAsia"/>
          <w:color w:val="auto"/>
          <w:spacing w:val="-6"/>
          <w:sz w:val="21"/>
          <w:szCs w:val="21"/>
          <w:highlight w:val="none"/>
        </w:rPr>
        <w:t>小时以内；电话技术支持时间：</w:t>
      </w:r>
      <w:r>
        <w:rPr>
          <w:rFonts w:hint="eastAsia"/>
          <w:color w:val="auto"/>
          <w:spacing w:val="-6"/>
          <w:sz w:val="21"/>
          <w:szCs w:val="21"/>
          <w:highlight w:val="none"/>
          <w:u w:val="single"/>
          <w:lang w:val="en-US" w:eastAsia="zh-CN"/>
        </w:rPr>
        <w:t xml:space="preserve">   </w:t>
      </w:r>
      <w:r>
        <w:rPr>
          <w:rFonts w:hint="eastAsia"/>
          <w:color w:val="auto"/>
          <w:spacing w:val="-6"/>
          <w:sz w:val="21"/>
          <w:szCs w:val="21"/>
          <w:highlight w:val="none"/>
        </w:rPr>
        <w:t>小时以内；若需上门维修，则在：</w:t>
      </w:r>
      <w:r>
        <w:rPr>
          <w:rFonts w:hint="eastAsia"/>
          <w:color w:val="auto"/>
          <w:spacing w:val="-6"/>
          <w:sz w:val="21"/>
          <w:szCs w:val="21"/>
          <w:highlight w:val="none"/>
          <w:u w:val="single"/>
          <w:lang w:val="en-US" w:eastAsia="zh-CN"/>
        </w:rPr>
        <w:t xml:space="preserve">   </w:t>
      </w:r>
      <w:r>
        <w:rPr>
          <w:rFonts w:hint="eastAsia"/>
          <w:color w:val="auto"/>
          <w:spacing w:val="-6"/>
          <w:sz w:val="21"/>
          <w:szCs w:val="21"/>
          <w:highlight w:val="none"/>
        </w:rPr>
        <w:t>小时内到达现场并进行维修；不超过</w:t>
      </w:r>
      <w:r>
        <w:rPr>
          <w:rFonts w:hint="eastAsia"/>
          <w:color w:val="auto"/>
          <w:spacing w:val="-6"/>
          <w:sz w:val="21"/>
          <w:szCs w:val="21"/>
          <w:highlight w:val="none"/>
          <w:u w:val="single"/>
          <w:lang w:val="en-US" w:eastAsia="zh-CN"/>
        </w:rPr>
        <w:t xml:space="preserve">   </w:t>
      </w:r>
      <w:r>
        <w:rPr>
          <w:rFonts w:hint="eastAsia"/>
          <w:color w:val="auto"/>
          <w:spacing w:val="-6"/>
          <w:sz w:val="21"/>
          <w:szCs w:val="21"/>
          <w:highlight w:val="none"/>
        </w:rPr>
        <w:t>小时解决故障。</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lang w:val="en-US" w:eastAsia="zh-CN"/>
        </w:rPr>
        <w:t>1</w:t>
      </w:r>
      <w:r>
        <w:rPr>
          <w:rFonts w:hint="eastAsia" w:cs="Times New Roman"/>
          <w:color w:val="auto"/>
          <w:spacing w:val="-6"/>
          <w:sz w:val="21"/>
          <w:szCs w:val="21"/>
          <w:highlight w:val="none"/>
        </w:rPr>
        <w:t>.乙方交</w:t>
      </w:r>
      <w:r>
        <w:rPr>
          <w:rFonts w:hint="eastAsia" w:cs="Times New Roman"/>
          <w:color w:val="auto"/>
          <w:spacing w:val="-6"/>
          <w:sz w:val="21"/>
          <w:szCs w:val="21"/>
          <w:highlight w:val="none"/>
          <w:lang w:val="en-US" w:eastAsia="zh-CN"/>
        </w:rPr>
        <w:t>付</w:t>
      </w:r>
      <w:r>
        <w:rPr>
          <w:rFonts w:hint="eastAsia" w:cs="Times New Roman"/>
          <w:color w:val="auto"/>
          <w:spacing w:val="-6"/>
          <w:sz w:val="21"/>
          <w:szCs w:val="21"/>
          <w:highlight w:val="none"/>
        </w:rPr>
        <w:t>前应对</w:t>
      </w:r>
      <w:r>
        <w:rPr>
          <w:rFonts w:hint="eastAsia" w:cs="Times New Roman"/>
          <w:color w:val="auto"/>
          <w:spacing w:val="-6"/>
          <w:sz w:val="21"/>
          <w:szCs w:val="21"/>
          <w:highlight w:val="none"/>
          <w:lang w:val="en-US" w:eastAsia="zh-CN"/>
        </w:rPr>
        <w:t>合同内容</w:t>
      </w:r>
      <w:r>
        <w:rPr>
          <w:rFonts w:hint="eastAsia" w:cs="Times New Roman"/>
          <w:color w:val="auto"/>
          <w:spacing w:val="-6"/>
          <w:sz w:val="21"/>
          <w:szCs w:val="21"/>
          <w:highlight w:val="none"/>
        </w:rPr>
        <w:t>作出全面检查和对验收文件进行整理，并列出清单，作为甲方验收和使用的技术条件依据，检验的结果应随</w:t>
      </w:r>
      <w:r>
        <w:rPr>
          <w:rFonts w:hint="eastAsia" w:cs="Times New Roman"/>
          <w:color w:val="auto"/>
          <w:spacing w:val="-6"/>
          <w:sz w:val="21"/>
          <w:szCs w:val="21"/>
          <w:highlight w:val="none"/>
          <w:lang w:eastAsia="zh-CN"/>
        </w:rPr>
        <w:t>合同内容</w:t>
      </w:r>
      <w:r>
        <w:rPr>
          <w:rFonts w:hint="eastAsia" w:cs="Times New Roman"/>
          <w:color w:val="auto"/>
          <w:spacing w:val="-6"/>
          <w:sz w:val="21"/>
          <w:szCs w:val="21"/>
          <w:highlight w:val="none"/>
        </w:rPr>
        <w:t>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lang w:val="en-US" w:eastAsia="zh-CN"/>
        </w:rPr>
        <w:t>2</w:t>
      </w:r>
      <w:r>
        <w:rPr>
          <w:rFonts w:hint="eastAsia" w:cs="Times New Roman"/>
          <w:color w:val="auto"/>
          <w:spacing w:val="-6"/>
          <w:sz w:val="21"/>
          <w:szCs w:val="21"/>
          <w:highlight w:val="none"/>
        </w:rPr>
        <w:t>.甲方对乙方提供的</w:t>
      </w:r>
      <w:r>
        <w:rPr>
          <w:rFonts w:hint="eastAsia" w:cs="Times New Roman"/>
          <w:color w:val="auto"/>
          <w:spacing w:val="-6"/>
          <w:sz w:val="21"/>
          <w:szCs w:val="21"/>
          <w:highlight w:val="none"/>
          <w:lang w:eastAsia="zh-CN"/>
        </w:rPr>
        <w:t>合同内容</w:t>
      </w:r>
      <w:r>
        <w:rPr>
          <w:rFonts w:hint="eastAsia" w:cs="Times New Roman"/>
          <w:color w:val="auto"/>
          <w:spacing w:val="-6"/>
          <w:sz w:val="21"/>
          <w:szCs w:val="21"/>
          <w:highlight w:val="none"/>
        </w:rPr>
        <w:t>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lang w:val="en-US" w:eastAsia="zh-CN"/>
        </w:rPr>
        <w:t>3</w:t>
      </w:r>
      <w:r>
        <w:rPr>
          <w:rFonts w:hint="eastAsia" w:cs="Times New Roman"/>
          <w:color w:val="auto"/>
          <w:spacing w:val="-6"/>
          <w:sz w:val="21"/>
          <w:szCs w:val="21"/>
          <w:highlight w:val="none"/>
        </w:rPr>
        <w:t>.对技术复杂的</w:t>
      </w:r>
      <w:r>
        <w:rPr>
          <w:rFonts w:hint="eastAsia" w:cs="Times New Roman"/>
          <w:color w:val="auto"/>
          <w:spacing w:val="-6"/>
          <w:sz w:val="21"/>
          <w:szCs w:val="21"/>
          <w:highlight w:val="none"/>
          <w:lang w:eastAsia="zh-CN"/>
        </w:rPr>
        <w:t>合同内容</w:t>
      </w:r>
      <w:r>
        <w:rPr>
          <w:rFonts w:hint="eastAsia" w:cs="Times New Roman"/>
          <w:color w:val="auto"/>
          <w:spacing w:val="-6"/>
          <w:sz w:val="21"/>
          <w:szCs w:val="21"/>
          <w:highlight w:val="none"/>
        </w:rPr>
        <w:t>，甲方应请国家认可的专业检测机构参与初步验收及最终验收，并由其出具质量检测报告。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lang w:val="en-US" w:eastAsia="zh-CN"/>
        </w:rPr>
        <w:t>4</w:t>
      </w:r>
      <w:r>
        <w:rPr>
          <w:rFonts w:hint="eastAsia" w:cs="Times New Roman"/>
          <w:color w:val="auto"/>
          <w:spacing w:val="-6"/>
          <w:sz w:val="21"/>
          <w:szCs w:val="21"/>
          <w:highlight w:val="none"/>
        </w:rPr>
        <w:t>.验收时乙方必须在现场，验收完毕后作出验收结果报告；验收费用由乙方负责。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lang w:val="en-US" w:eastAsia="zh-CN"/>
        </w:rPr>
        <w:t>5</w:t>
      </w:r>
      <w:r>
        <w:rPr>
          <w:rFonts w:hint="eastAsia" w:cs="Times New Roman"/>
          <w:color w:val="auto"/>
          <w:spacing w:val="-6"/>
          <w:sz w:val="21"/>
          <w:szCs w:val="21"/>
          <w:highlight w:val="none"/>
        </w:rPr>
        <w:t>.</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w:t>
      </w:r>
      <w:r>
        <w:rPr>
          <w:rFonts w:hint="eastAsia"/>
          <w:b/>
          <w:color w:val="auto"/>
          <w:spacing w:val="-6"/>
          <w:sz w:val="21"/>
          <w:szCs w:val="21"/>
          <w:highlight w:val="none"/>
          <w:lang w:val="en-US" w:eastAsia="zh-CN"/>
        </w:rPr>
        <w:t>合同</w:t>
      </w:r>
      <w:r>
        <w:rPr>
          <w:rFonts w:hint="eastAsia"/>
          <w:b/>
          <w:color w:val="auto"/>
          <w:spacing w:val="-6"/>
          <w:sz w:val="21"/>
          <w:szCs w:val="21"/>
          <w:highlight w:val="none"/>
        </w:rPr>
        <w:t>款的支付</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1.履约保证金：</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提交方式：支票、汇票、本票或金融机构、担保机构出具的保函等非现金形式或银行转账。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注：履约保证金如采用银行转账方式提交，具体转账信息如下：</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收款单位（户名）：杭州电子科技大学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2.付款方式：</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firstLine="396" w:firstLineChars="200"/>
        <w:jc w:val="left"/>
        <w:textAlignment w:val="auto"/>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eastAsia="zh-CN"/>
        </w:rPr>
        <w:t>（</w:t>
      </w:r>
      <w:r>
        <w:rPr>
          <w:rFonts w:hint="eastAsia" w:ascii="宋体" w:hAnsi="宋体" w:eastAsia="宋体" w:cs="宋体"/>
          <w:color w:val="auto"/>
          <w:spacing w:val="-6"/>
          <w:kern w:val="0"/>
          <w:sz w:val="21"/>
          <w:szCs w:val="21"/>
          <w:highlight w:val="none"/>
          <w:lang w:val="en-US" w:eastAsia="zh-CN"/>
        </w:rPr>
        <w:t>1</w:t>
      </w:r>
      <w:r>
        <w:rPr>
          <w:rFonts w:hint="eastAsia" w:ascii="宋体" w:hAnsi="宋体" w:eastAsia="宋体" w:cs="宋体"/>
          <w:color w:val="auto"/>
          <w:spacing w:val="-6"/>
          <w:kern w:val="0"/>
          <w:sz w:val="21"/>
          <w:szCs w:val="21"/>
          <w:highlight w:val="none"/>
          <w:lang w:eastAsia="zh-CN"/>
        </w:rPr>
        <w:t>）</w:t>
      </w:r>
      <w:r>
        <w:rPr>
          <w:rFonts w:hint="eastAsia" w:ascii="宋体" w:hAnsi="宋体" w:eastAsia="宋体" w:cs="宋体"/>
          <w:color w:val="auto"/>
          <w:spacing w:val="-6"/>
          <w:kern w:val="0"/>
          <w:sz w:val="21"/>
          <w:szCs w:val="21"/>
          <w:highlight w:val="none"/>
        </w:rPr>
        <w:t>合同生效以及具备实施条件后7个工作日内，且</w:t>
      </w:r>
      <w:r>
        <w:rPr>
          <w:rFonts w:hint="eastAsia" w:ascii="宋体" w:hAnsi="宋体" w:eastAsia="宋体" w:cs="宋体"/>
          <w:color w:val="auto"/>
          <w:spacing w:val="-6"/>
          <w:kern w:val="0"/>
          <w:sz w:val="21"/>
          <w:szCs w:val="21"/>
          <w:highlight w:val="none"/>
          <w:lang w:eastAsia="zh-CN"/>
        </w:rPr>
        <w:t>乙方</w:t>
      </w:r>
      <w:r>
        <w:rPr>
          <w:rFonts w:hint="eastAsia" w:ascii="宋体" w:hAnsi="宋体" w:eastAsia="宋体" w:cs="宋体"/>
          <w:color w:val="auto"/>
          <w:spacing w:val="-6"/>
          <w:kern w:val="0"/>
          <w:sz w:val="21"/>
          <w:szCs w:val="21"/>
          <w:highlight w:val="none"/>
        </w:rPr>
        <w:t>已向</w:t>
      </w:r>
      <w:r>
        <w:rPr>
          <w:rFonts w:hint="eastAsia" w:ascii="宋体" w:hAnsi="宋体" w:eastAsia="宋体" w:cs="宋体"/>
          <w:color w:val="auto"/>
          <w:spacing w:val="-6"/>
          <w:kern w:val="0"/>
          <w:sz w:val="21"/>
          <w:szCs w:val="21"/>
          <w:highlight w:val="none"/>
          <w:lang w:eastAsia="zh-CN"/>
        </w:rPr>
        <w:t>甲方</w:t>
      </w:r>
      <w:r>
        <w:rPr>
          <w:rFonts w:hint="eastAsia" w:ascii="宋体" w:hAnsi="宋体" w:eastAsia="宋体" w:cs="宋体"/>
          <w:color w:val="auto"/>
          <w:spacing w:val="-6"/>
          <w:kern w:val="0"/>
          <w:sz w:val="21"/>
          <w:szCs w:val="21"/>
          <w:highlight w:val="none"/>
        </w:rPr>
        <w:t>提交银行、保险公司等金融机构出具的预付款保函的，</w:t>
      </w:r>
      <w:r>
        <w:rPr>
          <w:rFonts w:hint="eastAsia" w:ascii="宋体" w:hAnsi="宋体" w:eastAsia="宋体" w:cs="宋体"/>
          <w:color w:val="auto"/>
          <w:spacing w:val="-6"/>
          <w:kern w:val="0"/>
          <w:sz w:val="21"/>
          <w:szCs w:val="21"/>
          <w:highlight w:val="none"/>
          <w:lang w:eastAsia="zh-CN"/>
        </w:rPr>
        <w:t>甲方</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eastAsia="zh-CN"/>
        </w:rPr>
        <w:t>乙方</w:t>
      </w:r>
      <w:r>
        <w:rPr>
          <w:rFonts w:hint="eastAsia" w:ascii="宋体" w:hAnsi="宋体" w:eastAsia="宋体" w:cs="宋体"/>
          <w:color w:val="auto"/>
          <w:spacing w:val="-6"/>
          <w:kern w:val="0"/>
          <w:sz w:val="21"/>
          <w:szCs w:val="21"/>
          <w:highlight w:val="none"/>
        </w:rPr>
        <w:t>支付合同总价的</w:t>
      </w:r>
      <w:r>
        <w:rPr>
          <w:rFonts w:hint="eastAsia" w:ascii="宋体" w:hAnsi="宋体" w:eastAsia="宋体" w:cs="宋体"/>
          <w:color w:val="auto"/>
          <w:spacing w:val="-6"/>
          <w:kern w:val="0"/>
          <w:sz w:val="21"/>
          <w:szCs w:val="21"/>
          <w:highlight w:val="none"/>
          <w:lang w:val="en-US" w:eastAsia="zh-CN"/>
        </w:rPr>
        <w:t>2</w:t>
      </w:r>
      <w:r>
        <w:rPr>
          <w:rFonts w:hint="eastAsia" w:ascii="宋体" w:hAnsi="宋体" w:eastAsia="宋体" w:cs="宋体"/>
          <w:color w:val="auto"/>
          <w:spacing w:val="-6"/>
          <w:kern w:val="0"/>
          <w:sz w:val="21"/>
          <w:szCs w:val="21"/>
          <w:highlight w:val="none"/>
        </w:rPr>
        <w:t>0%；</w:t>
      </w:r>
      <w:r>
        <w:rPr>
          <w:rFonts w:hint="eastAsia" w:ascii="宋体" w:hAnsi="宋体" w:eastAsia="宋体" w:cs="宋体"/>
          <w:color w:val="auto"/>
          <w:spacing w:val="-6"/>
          <w:kern w:val="0"/>
          <w:sz w:val="21"/>
          <w:szCs w:val="21"/>
          <w:highlight w:val="none"/>
          <w:lang w:val="en-US" w:eastAsia="zh-CN"/>
        </w:rPr>
        <w:t>项目内容交付</w:t>
      </w:r>
      <w:r>
        <w:rPr>
          <w:rFonts w:hint="eastAsia" w:ascii="宋体" w:hAnsi="宋体" w:eastAsia="宋体" w:cs="宋体"/>
          <w:color w:val="auto"/>
          <w:spacing w:val="-6"/>
          <w:kern w:val="0"/>
          <w:sz w:val="21"/>
          <w:szCs w:val="21"/>
          <w:highlight w:val="none"/>
        </w:rPr>
        <w:t>并经</w:t>
      </w:r>
      <w:r>
        <w:rPr>
          <w:rFonts w:hint="eastAsia" w:ascii="宋体" w:hAnsi="宋体" w:eastAsia="宋体" w:cs="宋体"/>
          <w:color w:val="auto"/>
          <w:spacing w:val="-6"/>
          <w:kern w:val="0"/>
          <w:sz w:val="21"/>
          <w:szCs w:val="21"/>
          <w:highlight w:val="none"/>
          <w:lang w:eastAsia="zh-CN"/>
        </w:rPr>
        <w:t>甲方</w:t>
      </w:r>
      <w:r>
        <w:rPr>
          <w:rFonts w:hint="eastAsia" w:ascii="宋体" w:hAnsi="宋体" w:eastAsia="宋体" w:cs="宋体"/>
          <w:color w:val="auto"/>
          <w:spacing w:val="-6"/>
          <w:kern w:val="0"/>
          <w:sz w:val="21"/>
          <w:szCs w:val="21"/>
          <w:highlight w:val="none"/>
        </w:rPr>
        <w:t>验收合格后，</w:t>
      </w:r>
      <w:r>
        <w:rPr>
          <w:rFonts w:hint="eastAsia" w:ascii="宋体" w:hAnsi="宋体" w:eastAsia="宋体" w:cs="宋体"/>
          <w:color w:val="auto"/>
          <w:spacing w:val="-6"/>
          <w:kern w:val="0"/>
          <w:sz w:val="21"/>
          <w:szCs w:val="21"/>
          <w:highlight w:val="none"/>
          <w:lang w:eastAsia="zh-CN"/>
        </w:rPr>
        <w:t>甲方</w:t>
      </w:r>
      <w:r>
        <w:rPr>
          <w:rFonts w:hint="eastAsia" w:ascii="宋体" w:hAnsi="宋体" w:eastAsia="宋体" w:cs="宋体"/>
          <w:color w:val="auto"/>
          <w:spacing w:val="-6"/>
          <w:kern w:val="0"/>
          <w:sz w:val="21"/>
          <w:szCs w:val="21"/>
          <w:highlight w:val="none"/>
        </w:rPr>
        <w:t>在收到发票后7个工作日内，向</w:t>
      </w:r>
      <w:r>
        <w:rPr>
          <w:rFonts w:hint="eastAsia" w:ascii="宋体" w:hAnsi="宋体" w:eastAsia="宋体" w:cs="宋体"/>
          <w:color w:val="auto"/>
          <w:spacing w:val="-6"/>
          <w:kern w:val="0"/>
          <w:sz w:val="21"/>
          <w:szCs w:val="21"/>
          <w:highlight w:val="none"/>
          <w:lang w:eastAsia="zh-CN"/>
        </w:rPr>
        <w:t>乙方</w:t>
      </w:r>
      <w:r>
        <w:rPr>
          <w:rFonts w:hint="eastAsia" w:ascii="宋体" w:hAnsi="宋体" w:eastAsia="宋体" w:cs="宋体"/>
          <w:color w:val="auto"/>
          <w:spacing w:val="-6"/>
          <w:kern w:val="0"/>
          <w:sz w:val="21"/>
          <w:szCs w:val="21"/>
          <w:highlight w:val="none"/>
        </w:rPr>
        <w:t>支付合同总价的</w:t>
      </w:r>
      <w:r>
        <w:rPr>
          <w:rFonts w:hint="eastAsia" w:ascii="宋体" w:hAnsi="宋体" w:eastAsia="宋体" w:cs="宋体"/>
          <w:color w:val="auto"/>
          <w:spacing w:val="-6"/>
          <w:kern w:val="0"/>
          <w:sz w:val="21"/>
          <w:szCs w:val="21"/>
          <w:highlight w:val="none"/>
          <w:lang w:val="en-US" w:eastAsia="zh-CN"/>
        </w:rPr>
        <w:t>8</w:t>
      </w:r>
      <w:r>
        <w:rPr>
          <w:rFonts w:hint="eastAsia" w:ascii="宋体" w:hAnsi="宋体" w:eastAsia="宋体" w:cs="宋体"/>
          <w:color w:val="auto"/>
          <w:spacing w:val="-6"/>
          <w:kern w:val="0"/>
          <w:sz w:val="21"/>
          <w:szCs w:val="21"/>
          <w:highlight w:val="none"/>
        </w:rPr>
        <w:t>0%。</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firstLine="396" w:firstLineChars="200"/>
        <w:jc w:val="left"/>
        <w:textAlignment w:val="auto"/>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eastAsia="zh-CN"/>
        </w:rPr>
        <w:t>（</w:t>
      </w:r>
      <w:r>
        <w:rPr>
          <w:rFonts w:hint="eastAsia" w:ascii="宋体" w:hAnsi="宋体" w:eastAsia="宋体" w:cs="宋体"/>
          <w:color w:val="auto"/>
          <w:spacing w:val="-6"/>
          <w:kern w:val="0"/>
          <w:sz w:val="21"/>
          <w:szCs w:val="21"/>
          <w:highlight w:val="none"/>
          <w:lang w:val="en-US" w:eastAsia="zh-CN"/>
        </w:rPr>
        <w:t>2</w:t>
      </w:r>
      <w:r>
        <w:rPr>
          <w:rFonts w:hint="eastAsia" w:ascii="宋体" w:hAnsi="宋体" w:eastAsia="宋体" w:cs="宋体"/>
          <w:color w:val="auto"/>
          <w:spacing w:val="-6"/>
          <w:kern w:val="0"/>
          <w:sz w:val="21"/>
          <w:szCs w:val="21"/>
          <w:highlight w:val="none"/>
          <w:lang w:eastAsia="zh-CN"/>
        </w:rPr>
        <w:t>）</w:t>
      </w:r>
      <w:r>
        <w:rPr>
          <w:rFonts w:hint="eastAsia" w:ascii="宋体" w:hAnsi="宋体" w:eastAsia="宋体" w:cs="宋体"/>
          <w:color w:val="auto"/>
          <w:spacing w:val="-6"/>
          <w:kern w:val="0"/>
          <w:sz w:val="21"/>
          <w:szCs w:val="21"/>
          <w:highlight w:val="none"/>
        </w:rPr>
        <w:t>在签订合同时，</w:t>
      </w:r>
      <w:r>
        <w:rPr>
          <w:rFonts w:hint="eastAsia" w:ascii="宋体" w:hAnsi="宋体" w:eastAsia="宋体" w:cs="宋体"/>
          <w:color w:val="auto"/>
          <w:spacing w:val="-6"/>
          <w:kern w:val="0"/>
          <w:sz w:val="21"/>
          <w:szCs w:val="21"/>
          <w:highlight w:val="none"/>
          <w:lang w:eastAsia="zh-CN"/>
        </w:rPr>
        <w:t>乙方</w:t>
      </w:r>
      <w:r>
        <w:rPr>
          <w:rFonts w:hint="eastAsia" w:ascii="宋体" w:hAnsi="宋体" w:eastAsia="宋体" w:cs="宋体"/>
          <w:color w:val="auto"/>
          <w:spacing w:val="-6"/>
          <w:kern w:val="0"/>
          <w:sz w:val="21"/>
          <w:szCs w:val="21"/>
          <w:highlight w:val="none"/>
        </w:rPr>
        <w:t>明确表示无需预付款或者主动要求降低预付款比例的，可降低预付款比例（预付款保函同步调整）。</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firstLine="396" w:firstLineChars="200"/>
        <w:jc w:val="left"/>
        <w:textAlignment w:val="auto"/>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rPr>
        <w:t>（3）</w:t>
      </w:r>
      <w:r>
        <w:rPr>
          <w:rFonts w:hint="eastAsia" w:ascii="宋体" w:hAnsi="宋体" w:eastAsia="宋体" w:cs="宋体"/>
          <w:color w:val="auto"/>
          <w:spacing w:val="-6"/>
          <w:kern w:val="0"/>
          <w:sz w:val="21"/>
          <w:szCs w:val="21"/>
          <w:highlight w:val="none"/>
          <w:lang w:eastAsia="zh-CN"/>
        </w:rPr>
        <w:t>乙方</w:t>
      </w:r>
      <w:r>
        <w:rPr>
          <w:rFonts w:hint="eastAsia" w:ascii="宋体" w:hAnsi="宋体" w:eastAsia="宋体" w:cs="宋体"/>
          <w:color w:val="auto"/>
          <w:spacing w:val="-6"/>
          <w:kern w:val="0"/>
          <w:sz w:val="21"/>
          <w:szCs w:val="21"/>
          <w:highlight w:val="none"/>
        </w:rPr>
        <w:t>明确表示无需预付款时，付款方式按以下要求执行：</w:t>
      </w:r>
      <w:r>
        <w:rPr>
          <w:rFonts w:hint="eastAsia" w:ascii="宋体" w:hAnsi="宋体" w:eastAsia="宋体" w:cs="宋体"/>
          <w:color w:val="auto"/>
          <w:spacing w:val="-6"/>
          <w:kern w:val="0"/>
          <w:sz w:val="21"/>
          <w:szCs w:val="21"/>
          <w:highlight w:val="none"/>
          <w:lang w:val="en-US" w:eastAsia="zh-CN"/>
        </w:rPr>
        <w:t>项目内容</w:t>
      </w:r>
      <w:r>
        <w:rPr>
          <w:rFonts w:hint="eastAsia" w:ascii="宋体" w:hAnsi="宋体" w:eastAsia="宋体" w:cs="宋体"/>
          <w:color w:val="auto"/>
          <w:spacing w:val="-6"/>
          <w:kern w:val="0"/>
          <w:sz w:val="21"/>
          <w:szCs w:val="21"/>
          <w:highlight w:val="none"/>
        </w:rPr>
        <w:t>经</w:t>
      </w:r>
      <w:r>
        <w:rPr>
          <w:rFonts w:hint="eastAsia" w:ascii="宋体" w:hAnsi="宋体" w:eastAsia="宋体" w:cs="宋体"/>
          <w:color w:val="auto"/>
          <w:spacing w:val="-6"/>
          <w:kern w:val="0"/>
          <w:sz w:val="21"/>
          <w:szCs w:val="21"/>
          <w:highlight w:val="none"/>
          <w:lang w:eastAsia="zh-CN"/>
        </w:rPr>
        <w:t>甲方</w:t>
      </w:r>
      <w:r>
        <w:rPr>
          <w:rFonts w:hint="eastAsia" w:ascii="宋体" w:hAnsi="宋体" w:eastAsia="宋体" w:cs="宋体"/>
          <w:color w:val="auto"/>
          <w:spacing w:val="-6"/>
          <w:kern w:val="0"/>
          <w:sz w:val="21"/>
          <w:szCs w:val="21"/>
          <w:highlight w:val="none"/>
        </w:rPr>
        <w:t>初步验收后5个工作日内，</w:t>
      </w:r>
      <w:r>
        <w:rPr>
          <w:rFonts w:hint="eastAsia" w:ascii="宋体" w:hAnsi="宋体" w:eastAsia="宋体" w:cs="宋体"/>
          <w:color w:val="auto"/>
          <w:spacing w:val="-6"/>
          <w:kern w:val="0"/>
          <w:sz w:val="21"/>
          <w:szCs w:val="21"/>
          <w:highlight w:val="none"/>
          <w:lang w:eastAsia="zh-CN"/>
        </w:rPr>
        <w:t>甲方</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eastAsia="zh-CN"/>
        </w:rPr>
        <w:t>乙方</w:t>
      </w:r>
      <w:r>
        <w:rPr>
          <w:rFonts w:hint="eastAsia" w:ascii="宋体" w:hAnsi="宋体" w:eastAsia="宋体" w:cs="宋体"/>
          <w:color w:val="auto"/>
          <w:spacing w:val="-6"/>
          <w:kern w:val="0"/>
          <w:sz w:val="21"/>
          <w:szCs w:val="21"/>
          <w:highlight w:val="none"/>
        </w:rPr>
        <w:t>支付合同总价的75%；项目内容</w:t>
      </w:r>
      <w:r>
        <w:rPr>
          <w:rFonts w:hint="eastAsia" w:ascii="宋体" w:hAnsi="宋体" w:eastAsia="宋体" w:cs="宋体"/>
          <w:color w:val="auto"/>
          <w:spacing w:val="-6"/>
          <w:kern w:val="0"/>
          <w:sz w:val="21"/>
          <w:szCs w:val="21"/>
          <w:highlight w:val="none"/>
          <w:lang w:val="en-US" w:eastAsia="zh-CN"/>
        </w:rPr>
        <w:t>交付</w:t>
      </w:r>
      <w:r>
        <w:rPr>
          <w:rFonts w:hint="eastAsia" w:ascii="宋体" w:hAnsi="宋体" w:eastAsia="宋体" w:cs="宋体"/>
          <w:color w:val="auto"/>
          <w:spacing w:val="-6"/>
          <w:kern w:val="0"/>
          <w:sz w:val="21"/>
          <w:szCs w:val="21"/>
          <w:highlight w:val="none"/>
        </w:rPr>
        <w:t>并经</w:t>
      </w:r>
      <w:r>
        <w:rPr>
          <w:rFonts w:hint="eastAsia" w:ascii="宋体" w:hAnsi="宋体" w:eastAsia="宋体" w:cs="宋体"/>
          <w:color w:val="auto"/>
          <w:spacing w:val="-6"/>
          <w:kern w:val="0"/>
          <w:sz w:val="21"/>
          <w:szCs w:val="21"/>
          <w:highlight w:val="none"/>
          <w:lang w:eastAsia="zh-CN"/>
        </w:rPr>
        <w:t>甲方</w:t>
      </w:r>
      <w:r>
        <w:rPr>
          <w:rFonts w:hint="eastAsia" w:ascii="宋体" w:hAnsi="宋体" w:eastAsia="宋体" w:cs="宋体"/>
          <w:color w:val="auto"/>
          <w:spacing w:val="-6"/>
          <w:kern w:val="0"/>
          <w:sz w:val="21"/>
          <w:szCs w:val="21"/>
          <w:highlight w:val="none"/>
        </w:rPr>
        <w:t>验收合格后，</w:t>
      </w:r>
      <w:r>
        <w:rPr>
          <w:rFonts w:hint="eastAsia" w:ascii="宋体" w:hAnsi="宋体" w:eastAsia="宋体" w:cs="宋体"/>
          <w:color w:val="auto"/>
          <w:spacing w:val="-6"/>
          <w:kern w:val="0"/>
          <w:sz w:val="21"/>
          <w:szCs w:val="21"/>
          <w:highlight w:val="none"/>
          <w:lang w:eastAsia="zh-CN"/>
        </w:rPr>
        <w:t>甲方</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eastAsia="zh-CN"/>
        </w:rPr>
        <w:t>乙方</w:t>
      </w:r>
      <w:r>
        <w:rPr>
          <w:rFonts w:hint="eastAsia" w:ascii="宋体" w:hAnsi="宋体" w:eastAsia="宋体" w:cs="宋体"/>
          <w:color w:val="auto"/>
          <w:spacing w:val="-6"/>
          <w:kern w:val="0"/>
          <w:sz w:val="21"/>
          <w:szCs w:val="21"/>
          <w:highlight w:val="none"/>
        </w:rPr>
        <w:t>支付合同总价的25%。</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firstLine="396" w:firstLineChars="200"/>
        <w:jc w:val="left"/>
        <w:textAlignment w:val="auto"/>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rPr>
        <w:t>注：乙方</w:t>
      </w:r>
      <w:r>
        <w:rPr>
          <w:rFonts w:hint="eastAsia" w:ascii="宋体" w:hAnsi="宋体" w:eastAsia="宋体" w:cs="宋体"/>
          <w:color w:val="auto"/>
          <w:spacing w:val="-6"/>
          <w:kern w:val="0"/>
          <w:sz w:val="21"/>
          <w:szCs w:val="21"/>
          <w:highlight w:val="none"/>
        </w:rPr>
        <w:t>需提供增值税专用发票，开票信息如下：</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firstLine="396" w:firstLineChars="200"/>
        <w:jc w:val="left"/>
        <w:textAlignment w:val="auto"/>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抬头：杭州电子科技大学</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firstLine="396" w:firstLineChars="200"/>
        <w:jc w:val="left"/>
        <w:textAlignment w:val="auto"/>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税号：12330000470009026T</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firstLine="396" w:firstLineChars="200"/>
        <w:jc w:val="left"/>
        <w:textAlignment w:val="auto"/>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地址：杭州市下沙高教园区杭州电子科技大学</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firstLine="396" w:firstLineChars="200"/>
        <w:jc w:val="left"/>
        <w:textAlignment w:val="auto"/>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电话：0571-86915020</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88" w:lineRule="auto"/>
        <w:ind w:left="0" w:right="0" w:firstLine="396" w:firstLineChars="200"/>
        <w:jc w:val="left"/>
        <w:textAlignment w:val="auto"/>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开户银行：工行高新支行</w:t>
      </w:r>
    </w:p>
    <w:p>
      <w:pPr>
        <w:keepNext w:val="0"/>
        <w:keepLines w:val="0"/>
        <w:pageBreakBefore w:val="0"/>
        <w:widowControl w:val="0"/>
        <w:kinsoku/>
        <w:wordWrap/>
        <w:overflowPunct/>
        <w:topLinePunct w:val="0"/>
        <w:bidi w:val="0"/>
        <w:snapToGrid w:val="0"/>
        <w:spacing w:line="288" w:lineRule="auto"/>
        <w:ind w:firstLine="396" w:firstLineChars="20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1.</w:t>
      </w:r>
      <w:r>
        <w:rPr>
          <w:rFonts w:hint="eastAsia"/>
          <w:color w:val="auto"/>
          <w:spacing w:val="-6"/>
          <w:sz w:val="21"/>
          <w:szCs w:val="21"/>
          <w:highlight w:val="none"/>
        </w:rPr>
        <w:t>乙方逾期履行合同的，自逾期之日起，向甲方每日偿付合同总价千分之五的滞纳金。</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2.</w:t>
      </w:r>
      <w:r>
        <w:rPr>
          <w:rFonts w:hint="eastAsia"/>
          <w:color w:val="auto"/>
          <w:spacing w:val="-6"/>
          <w:sz w:val="21"/>
          <w:szCs w:val="21"/>
          <w:highlight w:val="none"/>
        </w:rPr>
        <w:t>甲方逾期支付</w:t>
      </w:r>
      <w:r>
        <w:rPr>
          <w:rFonts w:hint="eastAsia"/>
          <w:color w:val="auto"/>
          <w:spacing w:val="-6"/>
          <w:sz w:val="21"/>
          <w:szCs w:val="21"/>
          <w:highlight w:val="none"/>
          <w:lang w:val="en-US" w:eastAsia="zh-CN"/>
        </w:rPr>
        <w:t>合同</w:t>
      </w:r>
      <w:r>
        <w:rPr>
          <w:rFonts w:hint="eastAsia"/>
          <w:color w:val="auto"/>
          <w:spacing w:val="-6"/>
          <w:sz w:val="21"/>
          <w:szCs w:val="21"/>
          <w:highlight w:val="none"/>
        </w:rPr>
        <w:t>款的，自逾期之日起，向乙方每日偿付未付价款千分之五的滞纳金。</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4.本合同未尽事宜，遵照《民法典》有关条文执行。</w:t>
      </w:r>
    </w:p>
    <w:p>
      <w:p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5.本合同一式五份，乙方、采购代理机构各执壹份，甲方执叁份。</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50" w:name="_Hlk71884160"/>
      <w:r>
        <w:rPr>
          <w:rFonts w:hint="eastAsia"/>
          <w:b/>
          <w:bCs/>
          <w:color w:val="auto"/>
          <w:sz w:val="21"/>
          <w:szCs w:val="21"/>
          <w:highlight w:val="none"/>
        </w:rPr>
        <w:t>▲1.资格文件（单独上传）。资格审查要求的资格证明材料（均需加盖公章）。</w:t>
      </w:r>
    </w:p>
    <w:bookmarkEnd w:id="50"/>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ind w:firstLine="420" w:firstLineChars="200"/>
        <w:rPr>
          <w:rFonts w:hint="eastAsia" w:eastAsia="宋体"/>
          <w:color w:val="auto"/>
          <w:sz w:val="21"/>
          <w:szCs w:val="21"/>
          <w:highlight w:val="none"/>
          <w:lang w:eastAsia="zh-CN"/>
        </w:rPr>
      </w:pPr>
      <w:bookmarkStart w:id="51" w:name="_Hlk71884127"/>
      <w:r>
        <w:rPr>
          <w:rFonts w:hint="eastAsia"/>
          <w:color w:val="auto"/>
          <w:sz w:val="21"/>
          <w:szCs w:val="21"/>
          <w:highlight w:val="none"/>
        </w:rPr>
        <w:t>（</w:t>
      </w:r>
      <w:r>
        <w:rPr>
          <w:color w:val="auto"/>
          <w:sz w:val="21"/>
          <w:szCs w:val="21"/>
          <w:highlight w:val="none"/>
        </w:rPr>
        <w:t>2）</w:t>
      </w:r>
      <w:r>
        <w:rPr>
          <w:rFonts w:hint="eastAsia"/>
          <w:color w:val="auto"/>
          <w:sz w:val="21"/>
          <w:szCs w:val="21"/>
          <w:highlight w:val="none"/>
          <w:lang w:eastAsia="zh-CN"/>
        </w:rPr>
        <w:t>符合参加政府采购活动应当具备的一般条件的承诺函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3）落实政府采购政策需满足的资格要求：</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中小企业声明函（若属于中小企业）</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残疾人福利性单位声明函（若属于残疾人福利性单位）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证明材料：无</w:t>
      </w:r>
    </w:p>
    <w:p>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▲联合体响应的，联合体各方均应提供资格文件（</w:t>
      </w:r>
      <w:r>
        <w:rPr>
          <w:bCs/>
          <w:color w:val="auto"/>
          <w:spacing w:val="-6"/>
          <w:sz w:val="21"/>
          <w:szCs w:val="21"/>
          <w:highlight w:val="none"/>
        </w:rPr>
        <w:t>1）、（2）</w:t>
      </w:r>
      <w:r>
        <w:rPr>
          <w:rFonts w:hint="eastAsia"/>
          <w:bCs/>
          <w:color w:val="auto"/>
          <w:spacing w:val="-6"/>
          <w:sz w:val="21"/>
          <w:szCs w:val="21"/>
          <w:highlight w:val="none"/>
        </w:rPr>
        <w:t>材料</w:t>
      </w:r>
      <w:r>
        <w:rPr>
          <w:bCs/>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51"/>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2023年1月</w:t>
      </w:r>
      <w:r>
        <w:rPr>
          <w:color w:val="auto"/>
          <w:sz w:val="21"/>
          <w:szCs w:val="21"/>
          <w:highlight w:val="none"/>
        </w:rPr>
        <w:t>（含）以后任意一月）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w:t>
      </w:r>
      <w:bookmarkStart w:id="52" w:name="_Hlk71884196"/>
      <w:r>
        <w:rPr>
          <w:color w:val="auto"/>
          <w:sz w:val="21"/>
          <w:szCs w:val="21"/>
          <w:highlight w:val="none"/>
        </w:rPr>
        <w:t>技术方案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6</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52"/>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widowControl/>
        <w:jc w:val="left"/>
        <w:rPr>
          <w:color w:val="auto"/>
          <w:sz w:val="21"/>
          <w:szCs w:val="21"/>
          <w:highlight w:val="none"/>
        </w:rPr>
      </w:pPr>
      <w:r>
        <w:rPr>
          <w:color w:val="auto"/>
          <w:sz w:val="21"/>
          <w:szCs w:val="21"/>
          <w:highlight w:val="none"/>
        </w:rPr>
        <w:br w:type="page"/>
      </w:r>
    </w:p>
    <w:p>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53" w:name="_Hlk140130228"/>
      <w:r>
        <w:rPr>
          <w:rFonts w:hint="eastAsia" w:cs="Times New Roman"/>
          <w:b/>
          <w:color w:val="auto"/>
          <w:spacing w:val="-6"/>
          <w:sz w:val="21"/>
          <w:szCs w:val="21"/>
          <w:highlight w:val="none"/>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kern w:val="0"/>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技术</w:t>
            </w:r>
            <w:r>
              <w:rPr>
                <w:rFonts w:hint="default" w:cs="Times New Roman"/>
                <w:b/>
                <w:color w:val="auto"/>
                <w:spacing w:val="-6"/>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53"/>
    <w:p>
      <w:pPr>
        <w:widowControl/>
        <w:jc w:val="left"/>
        <w:rPr>
          <w:b/>
          <w:bCs/>
          <w:color w:val="auto"/>
          <w:sz w:val="21"/>
          <w:szCs w:val="21"/>
          <w:highlight w:val="none"/>
        </w:rPr>
      </w:pPr>
      <w:r>
        <w:rPr>
          <w:b/>
          <w:bCs/>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54" w:name="_Hlk94097338"/>
      <w:r>
        <w:rPr>
          <w:rFonts w:hint="eastAsia"/>
          <w:b/>
          <w:bCs/>
          <w:color w:val="auto"/>
          <w:sz w:val="21"/>
          <w:szCs w:val="21"/>
          <w:highlight w:val="none"/>
        </w:rPr>
        <w:t>资格审查要求的资格证明材料（均需加盖公章）</w:t>
      </w:r>
    </w:p>
    <w:bookmarkEnd w:id="54"/>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t>说明：</w:t>
      </w:r>
    </w:p>
    <w:p>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bookmarkStart w:id="55"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5"/>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69" w:firstLineChars="236"/>
        <w:jc w:val="center"/>
        <w:outlineLvl w:val="2"/>
        <w:rPr>
          <w:rFonts w:ascii="宋体" w:hAnsi="宋体" w:eastAsia="宋体" w:cs="宋体"/>
          <w:b/>
          <w:bCs/>
          <w:color w:val="auto"/>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pPr>
        <w:adjustRightInd w:val="0"/>
        <w:snapToGrid w:val="0"/>
        <w:spacing w:line="288" w:lineRule="auto"/>
        <w:ind w:firstLine="498" w:firstLineChars="236"/>
        <w:jc w:val="center"/>
        <w:outlineLvl w:val="2"/>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中小企业声明函（服务）</w:t>
      </w:r>
      <w:r>
        <w:rPr>
          <w:rFonts w:hint="eastAsia" w:ascii="宋体" w:hAnsi="宋体" w:eastAsia="宋体" w:cs="宋体"/>
          <w:b/>
          <w:bCs/>
          <w:color w:val="auto"/>
          <w:sz w:val="21"/>
          <w:szCs w:val="21"/>
          <w:highlight w:val="none"/>
        </w:rPr>
        <w:t>（若属于中小企业）</w:t>
      </w:r>
    </w:p>
    <w:p>
      <w:pPr>
        <w:adjustRightInd w:val="0"/>
        <w:snapToGrid w:val="0"/>
        <w:spacing w:line="288" w:lineRule="auto"/>
        <w:ind w:firstLine="498" w:firstLineChars="236"/>
        <w:rPr>
          <w:rFonts w:ascii="宋体" w:hAnsi="宋体" w:eastAsia="宋体" w:cs="宋体"/>
          <w:b/>
          <w:color w:val="auto"/>
          <w:sz w:val="21"/>
          <w:szCs w:val="21"/>
          <w:highlight w:val="none"/>
        </w:rPr>
      </w:pPr>
    </w:p>
    <w:p>
      <w:pPr>
        <w:adjustRightInd w:val="0"/>
        <w:snapToGrid w:val="0"/>
        <w:spacing w:line="288" w:lineRule="auto"/>
        <w:ind w:firstLine="495" w:firstLineChars="236"/>
        <w:rPr>
          <w:rFonts w:ascii="宋体" w:hAnsi="宋体" w:eastAsia="宋体" w:cs="宋体"/>
          <w:i w:val="0"/>
          <w:iCs w:val="0"/>
          <w:color w:val="auto"/>
          <w:sz w:val="21"/>
          <w:szCs w:val="21"/>
          <w:highlight w:val="none"/>
        </w:rPr>
      </w:pPr>
      <w:r>
        <w:rPr>
          <w:rFonts w:ascii="宋体" w:hAnsi="宋体" w:eastAsia="宋体" w:cs="宋体"/>
          <w:i w:val="0"/>
          <w:iCs w:val="0"/>
          <w:color w:val="auto"/>
          <w:sz w:val="21"/>
          <w:szCs w:val="21"/>
          <w:highlight w:val="none"/>
        </w:rPr>
        <w:t>本公司（联合体）郑重声明，根据《政府采购促进中小企业发展管理办法》（财库</w:t>
      </w:r>
      <w:r>
        <w:rPr>
          <w:rFonts w:hint="eastAsia" w:ascii="宋体" w:hAnsi="宋体" w:eastAsia="宋体" w:cs="宋体"/>
          <w:i w:val="0"/>
          <w:iCs w:val="0"/>
          <w:color w:val="auto"/>
          <w:sz w:val="21"/>
          <w:szCs w:val="21"/>
          <w:highlight w:val="none"/>
        </w:rPr>
        <w:t>﹝</w:t>
      </w:r>
      <w:r>
        <w:rPr>
          <w:rFonts w:ascii="宋体" w:hAnsi="宋体" w:eastAsia="宋体" w:cs="宋体"/>
          <w:i w:val="0"/>
          <w:iCs w:val="0"/>
          <w:color w:val="auto"/>
          <w:sz w:val="21"/>
          <w:szCs w:val="21"/>
          <w:highlight w:val="none"/>
        </w:rPr>
        <w:t>2020</w:t>
      </w:r>
      <w:r>
        <w:rPr>
          <w:rFonts w:hint="eastAsia" w:ascii="宋体" w:hAnsi="宋体" w:eastAsia="宋体" w:cs="宋体"/>
          <w:i w:val="0"/>
          <w:iCs w:val="0"/>
          <w:color w:val="auto"/>
          <w:sz w:val="21"/>
          <w:szCs w:val="21"/>
          <w:highlight w:val="none"/>
        </w:rPr>
        <w:t>﹞</w:t>
      </w:r>
      <w:r>
        <w:rPr>
          <w:rFonts w:ascii="宋体" w:hAnsi="宋体" w:eastAsia="宋体" w:cs="宋体"/>
          <w:i w:val="0"/>
          <w:iCs w:val="0"/>
          <w:color w:val="auto"/>
          <w:sz w:val="21"/>
          <w:szCs w:val="21"/>
          <w:highlight w:val="none"/>
        </w:rPr>
        <w:t>46 号）的规定，本公司（联合体）参加</w:t>
      </w:r>
      <w:r>
        <w:rPr>
          <w:rFonts w:hint="eastAsia" w:ascii="宋体" w:hAnsi="宋体" w:eastAsia="宋体" w:cs="宋体"/>
          <w:i w:val="0"/>
          <w:iCs w:val="0"/>
          <w:color w:val="auto"/>
          <w:sz w:val="21"/>
          <w:szCs w:val="21"/>
          <w:highlight w:val="none"/>
          <w:u w:val="single"/>
          <w:lang w:val="en-US" w:eastAsia="zh-CN"/>
        </w:rPr>
        <w:t>杭州电子科技大学</w:t>
      </w:r>
      <w:r>
        <w:rPr>
          <w:rFonts w:ascii="宋体" w:hAnsi="宋体" w:eastAsia="宋体" w:cs="宋体"/>
          <w:i w:val="0"/>
          <w:iCs w:val="0"/>
          <w:color w:val="auto"/>
          <w:sz w:val="21"/>
          <w:szCs w:val="21"/>
          <w:highlight w:val="none"/>
        </w:rPr>
        <w:t>的</w:t>
      </w:r>
      <w:r>
        <w:rPr>
          <w:rFonts w:hint="eastAsia" w:ascii="宋体" w:hAnsi="宋体" w:eastAsia="宋体" w:cs="宋体"/>
          <w:i w:val="0"/>
          <w:iCs w:val="0"/>
          <w:color w:val="auto"/>
          <w:sz w:val="21"/>
          <w:szCs w:val="21"/>
          <w:highlight w:val="none"/>
          <w:u w:val="single"/>
          <w:lang w:val="en-US" w:eastAsia="zh-CN"/>
        </w:rPr>
        <w:t>数字化改革系统建设</w:t>
      </w:r>
      <w:r>
        <w:rPr>
          <w:rFonts w:ascii="宋体" w:hAnsi="宋体" w:eastAsia="宋体" w:cs="宋体"/>
          <w:i w:val="0"/>
          <w:iCs w:val="0"/>
          <w:color w:val="auto"/>
          <w:sz w:val="21"/>
          <w:szCs w:val="21"/>
          <w:highlight w:val="none"/>
        </w:rPr>
        <w:t>采购活动，服务全部由符合政策要求的中小企业承接。相关企业（含联合体中的中小企业、签订分包意向协议的中小企业）的具体情况如下：</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rPr>
        <w:t>1</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rPr>
        <w:t>数字化改革系统建设</w:t>
      </w:r>
      <w:r>
        <w:rPr>
          <w:rFonts w:ascii="宋体" w:hAnsi="宋体" w:eastAsia="宋体" w:cs="宋体"/>
          <w:i w:val="0"/>
          <w:iCs w:val="0"/>
          <w:color w:val="auto"/>
          <w:sz w:val="21"/>
          <w:szCs w:val="21"/>
          <w:highlight w:val="none"/>
          <w:u w:val="single"/>
        </w:rPr>
        <w:t>，属于</w:t>
      </w:r>
      <w:r>
        <w:rPr>
          <w:rFonts w:hint="eastAsia" w:ascii="宋体" w:hAnsi="宋体" w:eastAsia="宋体" w:cs="宋体"/>
          <w:i w:val="0"/>
          <w:iCs w:val="0"/>
          <w:color w:val="auto"/>
          <w:sz w:val="21"/>
          <w:szCs w:val="21"/>
          <w:highlight w:val="none"/>
          <w:u w:val="single"/>
          <w:lang w:val="en-US" w:eastAsia="zh-CN"/>
        </w:rPr>
        <w:t>软件和信息技术服务业</w:t>
      </w:r>
      <w:r>
        <w:rPr>
          <w:rFonts w:ascii="宋体" w:hAnsi="宋体" w:eastAsia="宋体" w:cs="宋体"/>
          <w:i w:val="0"/>
          <w:iCs w:val="0"/>
          <w:color w:val="auto"/>
          <w:sz w:val="21"/>
          <w:szCs w:val="21"/>
          <w:highlight w:val="none"/>
          <w:u w:val="single"/>
        </w:rPr>
        <w:t>；</w:t>
      </w:r>
      <w:r>
        <w:rPr>
          <w:rFonts w:ascii="宋体" w:hAnsi="宋体" w:eastAsia="宋体" w:cs="宋体"/>
          <w:i w:val="0"/>
          <w:iCs w:val="0"/>
          <w:color w:val="auto"/>
          <w:sz w:val="21"/>
          <w:szCs w:val="21"/>
          <w:highlight w:val="none"/>
        </w:rPr>
        <w:t>承接企业为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ascii="宋体" w:hAnsi="宋体" w:eastAsia="宋体" w:cs="宋体"/>
          <w:i w:val="0"/>
          <w:iCs w:val="0"/>
          <w:color w:val="auto"/>
          <w:sz w:val="21"/>
          <w:szCs w:val="21"/>
          <w:highlight w:val="none"/>
        </w:rPr>
      </w:pPr>
      <w:r>
        <w:rPr>
          <w:rFonts w:ascii="宋体" w:hAnsi="宋体" w:eastAsia="宋体" w:cs="宋体"/>
          <w:i w:val="0"/>
          <w:iCs w:val="0"/>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宋体"/>
          <w:i w:val="0"/>
          <w:iCs w:val="0"/>
          <w:color w:val="auto"/>
          <w:sz w:val="21"/>
          <w:szCs w:val="21"/>
          <w:highlight w:val="none"/>
        </w:rPr>
      </w:pPr>
      <w:r>
        <w:rPr>
          <w:rFonts w:ascii="宋体" w:hAnsi="宋体" w:eastAsia="宋体" w:cs="宋体"/>
          <w:i w:val="0"/>
          <w:iCs w:val="0"/>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宋体"/>
          <w:i w:val="0"/>
          <w:iCs w:val="0"/>
          <w:color w:val="auto"/>
          <w:sz w:val="21"/>
          <w:szCs w:val="21"/>
          <w:highlight w:val="none"/>
        </w:rPr>
      </w:pPr>
      <w:r>
        <w:rPr>
          <w:rFonts w:ascii="宋体" w:hAnsi="宋体" w:eastAsia="宋体" w:cs="宋体"/>
          <w:i w:val="0"/>
          <w:iCs w:val="0"/>
          <w:color w:val="auto"/>
          <w:sz w:val="21"/>
          <w:szCs w:val="21"/>
          <w:highlight w:val="none"/>
        </w:rPr>
        <w:t>企业名称（盖章）：</w:t>
      </w:r>
    </w:p>
    <w:p>
      <w:pPr>
        <w:adjustRightInd w:val="0"/>
        <w:snapToGrid w:val="0"/>
        <w:spacing w:line="288" w:lineRule="auto"/>
        <w:ind w:firstLine="495" w:firstLineChars="236"/>
        <w:rPr>
          <w:rFonts w:ascii="宋体" w:hAnsi="宋体" w:eastAsia="宋体" w:cs="宋体"/>
          <w:color w:val="auto"/>
          <w:sz w:val="21"/>
          <w:szCs w:val="21"/>
          <w:highlight w:val="none"/>
        </w:rPr>
      </w:pPr>
      <w:r>
        <w:rPr>
          <w:rFonts w:ascii="宋体" w:hAnsi="宋体" w:eastAsia="宋体" w:cs="宋体"/>
          <w:color w:val="auto"/>
          <w:sz w:val="21"/>
          <w:szCs w:val="21"/>
          <w:highlight w:val="none"/>
        </w:rPr>
        <w:t>日期：</w:t>
      </w:r>
    </w:p>
    <w:p>
      <w:pPr>
        <w:adjustRightInd w:val="0"/>
        <w:snapToGrid w:val="0"/>
        <w:spacing w:line="288" w:lineRule="auto"/>
        <w:ind w:firstLine="495" w:firstLineChars="236"/>
        <w:rPr>
          <w:rFonts w:ascii="宋体" w:hAnsi="宋体" w:eastAsia="宋体" w:cs="宋体"/>
          <w:color w:val="auto"/>
          <w:sz w:val="21"/>
          <w:szCs w:val="21"/>
          <w:highlight w:val="none"/>
        </w:rPr>
      </w:pPr>
    </w:p>
    <w:p>
      <w:pPr>
        <w:adjustRightInd w:val="0"/>
        <w:snapToGrid w:val="0"/>
        <w:spacing w:line="288" w:lineRule="auto"/>
        <w:ind w:firstLine="495" w:firstLineChars="2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w:t>
      </w:r>
      <w:r>
        <w:rPr>
          <w:rFonts w:hint="eastAsia" w:ascii="宋体" w:hAnsi="宋体" w:eastAsia="宋体" w:cs="Times New Roman"/>
          <w:color w:val="auto"/>
          <w:sz w:val="21"/>
          <w:szCs w:val="21"/>
          <w:highlight w:val="none"/>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4</w:t>
      </w:r>
      <w:r>
        <w:rPr>
          <w:rFonts w:hint="eastAsia" w:ascii="宋体" w:hAnsi="宋体" w:eastAsia="宋体" w:cs="Times New Roman"/>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s="Times New Roman"/>
          <w:color w:val="auto"/>
          <w:sz w:val="21"/>
          <w:szCs w:val="22"/>
          <w:highlight w:val="none"/>
          <w:u w:val="single"/>
        </w:rPr>
      </w:pPr>
      <w:r>
        <w:rPr>
          <w:rFonts w:ascii="宋体" w:hAnsi="宋体" w:eastAsia="宋体" w:cs="Times New Roman"/>
          <w:color w:val="auto"/>
          <w:sz w:val="21"/>
          <w:szCs w:val="21"/>
          <w:highlight w:val="none"/>
          <w:u w:val="single"/>
        </w:rPr>
        <w:t>5.</w:t>
      </w:r>
      <w:r>
        <w:rPr>
          <w:rFonts w:hint="eastAsia" w:ascii="宋体" w:hAnsi="宋体" w:eastAsia="宋体" w:cs="Times New Roman"/>
          <w:color w:val="auto"/>
          <w:sz w:val="21"/>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s="Times New Roman"/>
          <w:color w:val="auto"/>
          <w:sz w:val="21"/>
          <w:szCs w:val="22"/>
          <w:highlight w:val="none"/>
          <w:u w:val="single"/>
        </w:rPr>
        <w:t>不享受中小企业扶持政策。</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u w:val="single"/>
        </w:rPr>
        <w:t>6</w:t>
      </w:r>
      <w:r>
        <w:rPr>
          <w:rFonts w:ascii="宋体" w:hAnsi="宋体" w:eastAsia="宋体" w:cs="Times New Roman"/>
          <w:color w:val="auto"/>
          <w:sz w:val="21"/>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br w:type="page"/>
      </w:r>
    </w:p>
    <w:p>
      <w:pPr>
        <w:adjustRightInd w:val="0"/>
        <w:snapToGrid w:val="0"/>
        <w:spacing w:line="288" w:lineRule="auto"/>
        <w:jc w:val="center"/>
        <w:outlineLvl w:val="2"/>
        <w:rPr>
          <w:rFonts w:ascii="宋体" w:hAnsi="宋体" w:eastAsia="宋体" w:cs="宋体"/>
          <w:color w:val="auto"/>
          <w:kern w:val="0"/>
          <w:sz w:val="21"/>
          <w:szCs w:val="21"/>
          <w:highlight w:val="none"/>
        </w:rPr>
      </w:pPr>
      <w:r>
        <w:rPr>
          <w:rFonts w:hint="eastAsia" w:ascii="宋体" w:hAnsi="宋体" w:eastAsia="宋体" w:cs="宋体"/>
          <w:b/>
          <w:color w:val="auto"/>
          <w:spacing w:val="-6"/>
          <w:sz w:val="21"/>
          <w:szCs w:val="21"/>
          <w:highlight w:val="none"/>
        </w:rPr>
        <w:t>属于监狱企业的证明文件（若属于监狱企业）</w:t>
      </w:r>
    </w:p>
    <w:p>
      <w:pPr>
        <w:adjustRightInd w:val="0"/>
        <w:snapToGrid w:val="0"/>
        <w:spacing w:line="288" w:lineRule="auto"/>
        <w:rPr>
          <w:rFonts w:ascii="宋体" w:hAnsi="宋体" w:eastAsia="宋体" w:cs="宋体"/>
          <w:color w:val="auto"/>
          <w:kern w:val="0"/>
          <w:sz w:val="21"/>
          <w:szCs w:val="21"/>
          <w:highlight w:val="none"/>
        </w:rPr>
      </w:pPr>
    </w:p>
    <w:p>
      <w:pPr>
        <w:adjustRightInd w:val="0"/>
        <w:snapToGrid w:val="0"/>
        <w:spacing w:line="288" w:lineRule="auto"/>
        <w:ind w:firstLine="373" w:firstLineChars="177"/>
        <w:rPr>
          <w:rFonts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cs="宋体"/>
          <w:color w:val="auto"/>
          <w:sz w:val="21"/>
          <w:szCs w:val="21"/>
          <w:highlight w:val="none"/>
        </w:rPr>
      </w:pPr>
    </w:p>
    <w:p>
      <w:pPr>
        <w:adjustRightInd w:val="0"/>
        <w:snapToGrid w:val="0"/>
        <w:spacing w:line="288"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color w:val="auto"/>
          <w:spacing w:val="-6"/>
          <w:sz w:val="21"/>
          <w:szCs w:val="21"/>
          <w:highlight w:val="none"/>
        </w:rPr>
      </w:pPr>
      <w:r>
        <w:rPr>
          <w:rFonts w:ascii="宋体" w:hAnsi="宋体" w:eastAsia="宋体" w:cs="宋体"/>
          <w:b/>
          <w:color w:val="auto"/>
          <w:spacing w:val="-6"/>
          <w:sz w:val="21"/>
          <w:szCs w:val="21"/>
          <w:highlight w:val="none"/>
        </w:rPr>
        <w:br w:type="page"/>
      </w:r>
    </w:p>
    <w:p>
      <w:pPr>
        <w:adjustRightInd w:val="0"/>
        <w:snapToGrid w:val="0"/>
        <w:spacing w:line="288" w:lineRule="auto"/>
        <w:jc w:val="center"/>
        <w:outlineLvl w:val="2"/>
        <w:rPr>
          <w:rFonts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rPr>
        <w:t>残疾人福利性单位声明函（若属于残疾人福利性单位）</w:t>
      </w:r>
    </w:p>
    <w:p>
      <w:pPr>
        <w:adjustRightInd w:val="0"/>
        <w:snapToGrid w:val="0"/>
        <w:spacing w:line="288" w:lineRule="auto"/>
        <w:rPr>
          <w:rFonts w:ascii="宋体" w:hAnsi="宋体" w:eastAsia="宋体" w:cs="Times New Roman"/>
          <w:b/>
          <w:color w:val="auto"/>
          <w:spacing w:val="6"/>
          <w:sz w:val="21"/>
          <w:szCs w:val="21"/>
          <w:highlight w:val="none"/>
        </w:rPr>
      </w:pPr>
    </w:p>
    <w:p>
      <w:pPr>
        <w:adjustRightInd w:val="0"/>
        <w:snapToGrid w:val="0"/>
        <w:spacing w:line="288" w:lineRule="auto"/>
        <w:ind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 w:val="21"/>
          <w:szCs w:val="21"/>
          <w:highlight w:val="none"/>
        </w:rPr>
        <w:t>〔2017〕 141</w:t>
      </w:r>
      <w:r>
        <w:rPr>
          <w:rFonts w:hint="eastAsia" w:ascii="宋体" w:hAnsi="宋体" w:eastAsia="宋体" w:cs="Times New Roman"/>
          <w:color w:val="auto"/>
          <w:spacing w:val="6"/>
          <w:sz w:val="21"/>
          <w:szCs w:val="21"/>
          <w:highlight w:val="none"/>
        </w:rPr>
        <w:t>号）的规定，</w:t>
      </w:r>
      <w:r>
        <w:rPr>
          <w:rFonts w:hint="eastAsia" w:ascii="宋体" w:hAnsi="宋体" w:eastAsia="宋体" w:cs="Times New Roman"/>
          <w:b/>
          <w:bCs/>
          <w:color w:val="auto"/>
          <w:spacing w:val="6"/>
          <w:sz w:val="21"/>
          <w:szCs w:val="21"/>
          <w:highlight w:val="none"/>
        </w:rPr>
        <w:t>本单位为符合条件的残疾人福利性单位</w:t>
      </w:r>
      <w:r>
        <w:rPr>
          <w:rFonts w:hint="eastAsia" w:ascii="宋体" w:hAnsi="宋体" w:eastAsia="宋体" w:cs="Times New Roman"/>
          <w:color w:val="auto"/>
          <w:spacing w:val="6"/>
          <w:sz w:val="21"/>
          <w:szCs w:val="21"/>
          <w:highlight w:val="none"/>
        </w:rPr>
        <w:t>，且本单位参加______（采购人）单位的______（项目名称）项目采购活动提供本单位</w:t>
      </w:r>
      <w:r>
        <w:rPr>
          <w:rFonts w:hint="eastAsia" w:ascii="宋体" w:hAnsi="宋体" w:eastAsia="宋体" w:cs="Times New Roman"/>
          <w:color w:val="auto"/>
          <w:spacing w:val="6"/>
          <w:sz w:val="21"/>
          <w:szCs w:val="21"/>
          <w:highlight w:val="none"/>
          <w:lang w:val="en-US" w:eastAsia="zh-CN"/>
        </w:rPr>
        <w:t>服务</w:t>
      </w:r>
      <w:r>
        <w:rPr>
          <w:rFonts w:hint="eastAsia" w:ascii="宋体" w:hAnsi="宋体" w:eastAsia="宋体" w:cs="Times New Roman"/>
          <w:color w:val="auto"/>
          <w:spacing w:val="6"/>
          <w:sz w:val="21"/>
          <w:szCs w:val="21"/>
          <w:highlight w:val="none"/>
        </w:rPr>
        <w:t>。</w:t>
      </w:r>
    </w:p>
    <w:p>
      <w:pPr>
        <w:adjustRightInd w:val="0"/>
        <w:snapToGrid w:val="0"/>
        <w:spacing w:line="288" w:lineRule="auto"/>
        <w:ind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日  期：</w:t>
      </w:r>
    </w:p>
    <w:p>
      <w:pPr>
        <w:adjustRightInd w:val="0"/>
        <w:snapToGrid w:val="0"/>
        <w:spacing w:line="288" w:lineRule="auto"/>
        <w:rPr>
          <w:rFonts w:ascii="宋体" w:hAnsi="宋体" w:eastAsia="宋体" w:cs="宋体"/>
          <w:color w:val="auto"/>
          <w:sz w:val="21"/>
          <w:szCs w:val="21"/>
          <w:highlight w:val="none"/>
        </w:rPr>
      </w:pPr>
    </w:p>
    <w:p>
      <w:pPr>
        <w:adjustRightInd w:val="0"/>
        <w:snapToGrid w:val="0"/>
        <w:spacing w:line="288"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一、享受政府采购支持政策的残疾人福利性单位应当同时满足以下条件：</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（一）安置的残疾人占本单位在职职工人数的比例不低于25%（含25%），并且安置的残疾人人数不少于10人（含10人）；</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（二）依法与安置的每位残疾人签订了一年以上（含一年）的劳动合同或服务协议；</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（三）为安置的每位残疾人按月足额缴纳了基本养老保险、基本医疗保险、失业保险、工伤保险和生育保险等社会保险费；</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二、符合条件的残疾人福利性单位在参加政府采购活动时，应当提供财库</w:t>
      </w:r>
      <w:r>
        <w:rPr>
          <w:rFonts w:ascii="宋体" w:hAnsi="宋体" w:eastAsia="宋体" w:cs="宋体"/>
          <w:color w:val="auto"/>
          <w:kern w:val="0"/>
          <w:sz w:val="21"/>
          <w:szCs w:val="21"/>
          <w:highlight w:val="none"/>
          <w:lang w:val="en-US" w:eastAsia="zh-CN" w:bidi="ar-SA"/>
        </w:rPr>
        <w:t>[2017]141号</w:t>
      </w:r>
      <w:r>
        <w:rPr>
          <w:rFonts w:hint="eastAsia" w:ascii="宋体" w:hAnsi="宋体" w:eastAsia="宋体" w:cs="宋体"/>
          <w:color w:val="auto"/>
          <w:kern w:val="0"/>
          <w:sz w:val="21"/>
          <w:szCs w:val="21"/>
          <w:highlight w:val="none"/>
          <w:lang w:val="en-US" w:eastAsia="zh-CN" w:bidi="ar-SA"/>
        </w:rPr>
        <w:t>文件规定的《残疾人福利性单位声明函》，并对声明的真实性负责。</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残疾人福利性单位属于小型、微型企业的，不重复享受政策。</w:t>
      </w:r>
    </w:p>
    <w:p>
      <w:pPr>
        <w:widowControl/>
        <w:adjustRightInd w:val="0"/>
        <w:snapToGrid w:val="0"/>
        <w:spacing w:line="288" w:lineRule="auto"/>
        <w:jc w:val="left"/>
        <w:rPr>
          <w:rFonts w:ascii="宋体" w:hAnsi="宋体" w:eastAsia="宋体" w:cs="Times New Roman"/>
          <w:b/>
          <w:bCs/>
          <w:color w:val="auto"/>
          <w:spacing w:val="-6"/>
          <w:sz w:val="21"/>
          <w:szCs w:val="21"/>
          <w:highlight w:val="none"/>
        </w:rPr>
      </w:pPr>
      <w:r>
        <w:rPr>
          <w:rFonts w:ascii="宋体" w:hAnsi="宋体" w:eastAsia="宋体" w:cs="Times New Roman"/>
          <w:b/>
          <w:bCs/>
          <w:color w:val="auto"/>
          <w:spacing w:val="-6"/>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bookmarkStart w:id="56"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杭州电子科技大学数字化改革系统建设</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QSZB-Z(F)-B23424(CS)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56"/>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bookmarkStart w:id="57" w:name="_Hlk97040154"/>
            <w:r>
              <w:rPr>
                <w:rFonts w:hint="eastAsia" w:cs="Times New Roman"/>
                <w:color w:val="auto"/>
                <w:spacing w:val="-6"/>
                <w:kern w:val="0"/>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bookmarkEnd w:id="57"/>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58"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8"/>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杭州电子科技大学数字化改革系统建设</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QSZB-Z(F)-B23424(CS)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2023年1月</w:t>
      </w:r>
      <w:r>
        <w:rPr>
          <w:rFonts w:hint="eastAsia" w:cs="Times New Roman"/>
          <w:color w:val="auto"/>
          <w:spacing w:val="-6"/>
          <w:sz w:val="21"/>
          <w:szCs w:val="21"/>
          <w:highlight w:val="none"/>
          <w:u w:val="single"/>
        </w:rPr>
        <w:t>（含）以后任意一月）。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2023年1月</w:t>
      </w:r>
      <w:r>
        <w:rPr>
          <w:rFonts w:hint="eastAsia" w:cs="Times New Roman"/>
          <w:b/>
          <w:bCs/>
          <w:color w:val="auto"/>
          <w:sz w:val="21"/>
          <w:szCs w:val="21"/>
          <w:highlight w:val="none"/>
        </w:rPr>
        <w:t>（含）以后任意一月）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数字化改革系统建设</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QSZB-Z(F)-B23424(CS)</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bookmarkStart w:id="59" w:name="_Hlk97040421"/>
            <w:r>
              <w:rPr>
                <w:rFonts w:hint="eastAsia"/>
                <w:b/>
                <w:bCs/>
                <w:color w:val="auto"/>
                <w:kern w:val="0"/>
                <w:sz w:val="21"/>
                <w:szCs w:val="21"/>
                <w:highlight w:val="none"/>
              </w:rPr>
              <w:t>序号</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highlight w:val="none"/>
              </w:rPr>
            </w:pPr>
            <w:r>
              <w:rPr>
                <w:rFonts w:hint="eastAsia"/>
                <w:b/>
                <w:bCs/>
                <w:color w:val="auto"/>
                <w:kern w:val="0"/>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bookmarkEnd w:id="59"/>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w:t>
      </w:r>
      <w:bookmarkStart w:id="60" w:name="_Hlk71885757"/>
      <w:r>
        <w:rPr>
          <w:rFonts w:hint="eastAsia"/>
          <w:b/>
          <w:color w:val="auto"/>
          <w:spacing w:val="-6"/>
          <w:sz w:val="21"/>
          <w:szCs w:val="21"/>
          <w:highlight w:val="none"/>
        </w:rPr>
        <w:t>技术方案</w:t>
      </w: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6</w:t>
      </w:r>
      <w:r>
        <w:rPr>
          <w:rFonts w:hint="eastAsia"/>
          <w:b/>
          <w:color w:val="auto"/>
          <w:spacing w:val="-6"/>
          <w:sz w:val="21"/>
          <w:szCs w:val="21"/>
          <w:highlight w:val="none"/>
        </w:rPr>
        <w:t>）供应商需要说明的其他文件和材料。</w:t>
      </w:r>
      <w:bookmarkEnd w:id="60"/>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数字化改革系统建设</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QSZB-Z(F)-B23424(CS)</w:t>
      </w:r>
    </w:p>
    <w:tbl>
      <w:tblPr>
        <w:tblStyle w:val="11"/>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316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61" w:name="_Hlk97040054"/>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具体服务</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28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color w:val="auto"/>
                <w:spacing w:val="-6"/>
                <w:sz w:val="21"/>
                <w:szCs w:val="21"/>
                <w:highlight w:val="none"/>
              </w:rPr>
              <w:t>说明：</w:t>
            </w:r>
            <w:r>
              <w:rPr>
                <w:rFonts w:hint="eastAsia" w:cs="Times New Roman"/>
                <w:bCs/>
                <w:color w:val="auto"/>
                <w:spacing w:val="-6"/>
                <w:sz w:val="21"/>
                <w:szCs w:val="21"/>
                <w:highlight w:val="none"/>
              </w:rPr>
              <w:t>▲</w:t>
            </w:r>
            <w:r>
              <w:rPr>
                <w:rFonts w:hint="eastAsia" w:cs="Times New Roman"/>
                <w:bCs/>
                <w:color w:val="auto"/>
                <w:spacing w:val="-6"/>
                <w:sz w:val="21"/>
                <w:szCs w:val="21"/>
                <w:highlight w:val="none"/>
                <w:lang w:eastAsia="zh-CN"/>
              </w:rPr>
              <w:t>采购人将以合同形式有偿取得货物、工程和服务，不接受供应商给予的赠品、回扣或者与采购无关的其他商品、服务</w:t>
            </w:r>
            <w:r>
              <w:rPr>
                <w:rFonts w:hint="default" w:cs="Times New Roman"/>
                <w:bCs/>
                <w:color w:val="auto"/>
                <w:spacing w:val="-6"/>
                <w:sz w:val="21"/>
                <w:szCs w:val="21"/>
                <w:highlight w:val="none"/>
              </w:rPr>
              <w:t>。</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bookmarkEnd w:id="61"/>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62" w:name="_Hlk97040072"/>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3.以上表格要求细分项目及报价，服务类项目填写具体服务。</w:t>
      </w:r>
      <w:bookmarkStart w:id="63" w:name="_GoBack"/>
      <w:bookmarkEnd w:id="63"/>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2"/>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ascii="宋体" w:hAnsi="宋体" w:eastAsia="宋体" w:cs="仿宋_GB2312"/>
          <w:b/>
          <w:color w:val="auto"/>
          <w:kern w:val="0"/>
          <w:sz w:val="21"/>
          <w:szCs w:val="21"/>
          <w:highlight w:val="none"/>
          <w:lang w:val="zh-CN"/>
        </w:rPr>
      </w:pPr>
      <w:r>
        <w:rPr>
          <w:rFonts w:hint="eastAsia" w:ascii="宋体" w:hAnsi="宋体" w:eastAsia="宋体" w:cs="仿宋_GB2312"/>
          <w:b/>
          <w:color w:val="auto"/>
          <w:kern w:val="0"/>
          <w:sz w:val="21"/>
          <w:szCs w:val="21"/>
          <w:highlight w:val="none"/>
          <w:lang w:val="zh-CN"/>
        </w:rPr>
        <w:t>附件2</w:t>
      </w:r>
      <w:r>
        <w:rPr>
          <w:rFonts w:ascii="宋体" w:hAnsi="宋体" w:eastAsia="宋体" w:cs="仿宋_GB2312"/>
          <w:b/>
          <w:color w:val="auto"/>
          <w:kern w:val="0"/>
          <w:sz w:val="21"/>
          <w:szCs w:val="21"/>
          <w:highlight w:val="none"/>
          <w:lang w:val="zh-CN"/>
        </w:rPr>
        <w:t>：</w:t>
      </w:r>
      <w:r>
        <w:rPr>
          <w:rFonts w:hint="eastAsia" w:ascii="宋体" w:hAnsi="宋体" w:eastAsia="宋体" w:cs="仿宋_GB2312"/>
          <w:b/>
          <w:color w:val="auto"/>
          <w:kern w:val="0"/>
          <w:sz w:val="21"/>
          <w:szCs w:val="21"/>
          <w:highlight w:val="none"/>
          <w:lang w:val="zh-CN"/>
        </w:rPr>
        <w:t>联合协议</w:t>
      </w:r>
    </w:p>
    <w:p>
      <w:pPr>
        <w:widowControl/>
        <w:snapToGrid w:val="0"/>
        <w:spacing w:line="288" w:lineRule="auto"/>
        <w:ind w:firstLine="424" w:firstLineChars="201"/>
        <w:jc w:val="left"/>
        <w:rPr>
          <w:rFonts w:ascii="宋体" w:hAnsi="宋体" w:eastAsia="宋体" w:cs="仿宋_GB2312"/>
          <w:b/>
          <w:color w:val="auto"/>
          <w:sz w:val="21"/>
          <w:szCs w:val="21"/>
          <w:highlight w:val="none"/>
        </w:rPr>
      </w:pPr>
      <w:r>
        <w:rPr>
          <w:rFonts w:hint="eastAsia" w:ascii="宋体" w:hAnsi="宋体" w:eastAsia="宋体"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u w:val="single"/>
        </w:rPr>
        <w:t>（联合体所有成员名称）</w:t>
      </w:r>
      <w:r>
        <w:rPr>
          <w:rFonts w:hint="eastAsia" w:ascii="宋体" w:hAnsi="宋体" w:eastAsia="宋体" w:cs="仿宋_GB2312"/>
          <w:color w:val="auto"/>
          <w:kern w:val="0"/>
          <w:sz w:val="21"/>
          <w:szCs w:val="21"/>
          <w:highlight w:val="none"/>
        </w:rPr>
        <w:t>自愿</w:t>
      </w:r>
      <w:r>
        <w:rPr>
          <w:rFonts w:hint="eastAsia" w:ascii="宋体" w:hAnsi="宋体" w:eastAsia="宋体" w:cs="仿宋_GB2312"/>
          <w:color w:val="auto"/>
          <w:kern w:val="0"/>
          <w:sz w:val="21"/>
          <w:szCs w:val="21"/>
          <w:highlight w:val="none"/>
          <w:lang w:val="zh-CN"/>
        </w:rPr>
        <w:t>组成一个联合体，以一个供应商的身份</w:t>
      </w:r>
      <w:r>
        <w:rPr>
          <w:rFonts w:hint="eastAsia" w:ascii="宋体" w:hAnsi="宋体" w:eastAsia="宋体" w:cs="仿宋_GB2312"/>
          <w:color w:val="auto"/>
          <w:kern w:val="0"/>
          <w:sz w:val="21"/>
          <w:szCs w:val="21"/>
          <w:highlight w:val="none"/>
        </w:rPr>
        <w:t>参加</w:t>
      </w:r>
      <w:r>
        <w:rPr>
          <w:rFonts w:hint="eastAsia" w:ascii="宋体" w:hAnsi="宋体" w:eastAsia="宋体" w:cs="仿宋_GB2312"/>
          <w:color w:val="auto"/>
          <w:sz w:val="21"/>
          <w:szCs w:val="21"/>
          <w:highlight w:val="none"/>
        </w:rPr>
        <w:t>（项目名称）【招标编号：</w:t>
      </w:r>
      <w:r>
        <w:rPr>
          <w:rFonts w:hint="eastAsia" w:ascii="宋体" w:hAnsi="宋体" w:eastAsia="宋体" w:cs="Times New Roman"/>
          <w:color w:val="auto"/>
          <w:sz w:val="21"/>
          <w:szCs w:val="21"/>
          <w:highlight w:val="none"/>
        </w:rPr>
        <w:t>（采购编号）</w:t>
      </w:r>
      <w:r>
        <w:rPr>
          <w:rFonts w:hint="eastAsia" w:ascii="宋体" w:hAnsi="宋体" w:eastAsia="宋体" w:cs="仿宋_GB2312"/>
          <w:color w:val="auto"/>
          <w:sz w:val="21"/>
          <w:szCs w:val="21"/>
          <w:highlight w:val="none"/>
        </w:rPr>
        <w:t>】</w:t>
      </w:r>
      <w:r>
        <w:rPr>
          <w:rFonts w:hint="eastAsia" w:ascii="宋体" w:hAnsi="宋体" w:eastAsia="宋体" w:cs="仿宋_GB2312"/>
          <w:color w:val="auto"/>
          <w:kern w:val="0"/>
          <w:sz w:val="21"/>
          <w:szCs w:val="21"/>
          <w:highlight w:val="none"/>
          <w:lang w:val="zh-CN"/>
        </w:rPr>
        <w:t>响应。</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一、各方一致决定，</w:t>
      </w:r>
      <w:r>
        <w:rPr>
          <w:rFonts w:hint="eastAsia" w:ascii="宋体" w:hAnsi="宋体" w:eastAsia="宋体" w:cs="仿宋_GB2312"/>
          <w:color w:val="auto"/>
          <w:kern w:val="0"/>
          <w:sz w:val="21"/>
          <w:szCs w:val="21"/>
          <w:highlight w:val="none"/>
          <w:u w:val="single"/>
        </w:rPr>
        <w:t>（某联合体成员名称）</w:t>
      </w:r>
      <w:r>
        <w:rPr>
          <w:rFonts w:hint="eastAsia" w:ascii="宋体" w:hAnsi="宋体" w:eastAsia="宋体" w:cs="仿宋_GB2312"/>
          <w:color w:val="auto"/>
          <w:kern w:val="0"/>
          <w:sz w:val="21"/>
          <w:szCs w:val="21"/>
          <w:highlight w:val="none"/>
        </w:rPr>
        <w:t>为联合体</w:t>
      </w:r>
      <w:r>
        <w:rPr>
          <w:rFonts w:hint="eastAsia" w:ascii="宋体" w:hAnsi="宋体" w:eastAsia="宋体" w:cs="仿宋_GB2312"/>
          <w:color w:val="auto"/>
          <w:kern w:val="0"/>
          <w:sz w:val="21"/>
          <w:szCs w:val="21"/>
          <w:highlight w:val="none"/>
          <w:lang w:val="zh-CN"/>
        </w:rPr>
        <w:t>牵头人</w:t>
      </w:r>
      <w:r>
        <w:rPr>
          <w:rFonts w:hint="eastAsia" w:ascii="宋体" w:hAnsi="宋体" w:eastAsia="宋体" w:cs="Arial"/>
          <w:color w:val="auto"/>
          <w:sz w:val="21"/>
          <w:szCs w:val="21"/>
          <w:highlight w:val="none"/>
        </w:rPr>
        <w:t>，代表所有联合体成员负责响应和合同实施阶段的主办、协调工作</w:t>
      </w:r>
      <w:r>
        <w:rPr>
          <w:rFonts w:hint="eastAsia" w:ascii="宋体" w:hAnsi="宋体" w:eastAsia="宋体" w:cs="仿宋_GB2312"/>
          <w:color w:val="auto"/>
          <w:kern w:val="0"/>
          <w:sz w:val="21"/>
          <w:szCs w:val="21"/>
          <w:highlight w:val="none"/>
          <w:lang w:val="zh-CN"/>
        </w:rPr>
        <w:t>。</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二、</w:t>
      </w:r>
      <w:r>
        <w:rPr>
          <w:rFonts w:hint="eastAsia" w:ascii="宋体" w:hAnsi="宋体" w:eastAsia="宋体" w:cs="Arial"/>
          <w:color w:val="auto"/>
          <w:sz w:val="21"/>
          <w:szCs w:val="21"/>
          <w:highlight w:val="none"/>
        </w:rPr>
        <w:t>所有联合体成员各方签署授权书，授权书载明的</w:t>
      </w:r>
      <w:r>
        <w:rPr>
          <w:rFonts w:hint="eastAsia" w:ascii="宋体" w:hAnsi="宋体" w:eastAsia="宋体"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三、本次联合响应中，分工如下：</w:t>
      </w:r>
      <w:r>
        <w:rPr>
          <w:rFonts w:hint="eastAsia" w:ascii="宋体" w:hAnsi="宋体" w:eastAsia="宋体" w:cs="仿宋_GB2312"/>
          <w:color w:val="auto"/>
          <w:kern w:val="0"/>
          <w:sz w:val="21"/>
          <w:szCs w:val="21"/>
          <w:highlight w:val="none"/>
          <w:u w:val="single"/>
        </w:rPr>
        <w:t>（联合体其中一方成员名称）</w:t>
      </w:r>
      <w:r>
        <w:rPr>
          <w:rFonts w:hint="eastAsia" w:ascii="宋体" w:hAnsi="宋体" w:eastAsia="宋体" w:cs="仿宋_GB2312"/>
          <w:color w:val="auto"/>
          <w:kern w:val="0"/>
          <w:sz w:val="21"/>
          <w:szCs w:val="21"/>
          <w:highlight w:val="none"/>
          <w:lang w:val="zh-CN"/>
        </w:rPr>
        <w:t>承担的工作和义务为：</w:t>
      </w:r>
      <w:r>
        <w:rPr>
          <w:rFonts w:ascii="宋体" w:hAnsi="宋体" w:eastAsia="宋体" w:cs="Times New Roman"/>
          <w:color w:val="auto"/>
          <w:sz w:val="21"/>
          <w:szCs w:val="21"/>
          <w:highlight w:val="none"/>
          <w:u w:val="single"/>
        </w:rPr>
        <w:t xml:space="preserve">             </w:t>
      </w:r>
      <w:r>
        <w:rPr>
          <w:rFonts w:hint="eastAsia" w:ascii="宋体" w:hAnsi="宋体" w:eastAsia="宋体" w:cs="仿宋_GB2312"/>
          <w:color w:val="auto"/>
          <w:kern w:val="0"/>
          <w:sz w:val="21"/>
          <w:szCs w:val="21"/>
          <w:highlight w:val="none"/>
          <w:lang w:val="zh-CN"/>
        </w:rPr>
        <w:t>；</w:t>
      </w:r>
      <w:r>
        <w:rPr>
          <w:rFonts w:ascii="宋体" w:hAnsi="宋体" w:eastAsia="宋体" w:cs="仿宋_GB2312"/>
          <w:color w:val="auto"/>
          <w:kern w:val="0"/>
          <w:sz w:val="21"/>
          <w:szCs w:val="21"/>
          <w:highlight w:val="none"/>
          <w:lang w:val="zh-CN"/>
        </w:rPr>
        <w:t>……。</w:t>
      </w:r>
    </w:p>
    <w:p>
      <w:pPr>
        <w:snapToGrid w:val="0"/>
        <w:spacing w:line="288" w:lineRule="auto"/>
        <w:ind w:firstLine="422" w:firstLineChars="201"/>
        <w:rPr>
          <w:rFonts w:ascii="宋体" w:hAnsi="宋体" w:eastAsia="宋体" w:cs="仿宋_GB2312"/>
          <w:b/>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四、</w:t>
      </w:r>
      <w:r>
        <w:rPr>
          <w:rFonts w:hint="eastAsia" w:ascii="宋体" w:hAnsi="宋体" w:eastAsia="宋体" w:cs="仿宋_GB2312"/>
          <w:color w:val="auto"/>
          <w:kern w:val="0"/>
          <w:sz w:val="21"/>
          <w:szCs w:val="21"/>
          <w:highlight w:val="none"/>
          <w:u w:val="single"/>
        </w:rPr>
        <w:t>（联合体其中一方成员名称）</w:t>
      </w:r>
      <w:r>
        <w:rPr>
          <w:rFonts w:hint="eastAsia" w:ascii="宋体" w:hAnsi="宋体" w:eastAsia="宋体" w:cs="仿宋_GB2312"/>
          <w:color w:val="auto"/>
          <w:kern w:val="0"/>
          <w:sz w:val="21"/>
          <w:szCs w:val="21"/>
          <w:highlight w:val="none"/>
          <w:lang w:val="en-US" w:eastAsia="zh-CN"/>
        </w:rPr>
        <w:t>为符合要求的小微企业并提供服务</w:t>
      </w:r>
      <w:r>
        <w:rPr>
          <w:rFonts w:hint="eastAsia" w:ascii="宋体" w:hAnsi="宋体" w:eastAsia="宋体" w:cs="仿宋_GB2312"/>
          <w:color w:val="auto"/>
          <w:kern w:val="0"/>
          <w:sz w:val="21"/>
          <w:szCs w:val="21"/>
          <w:highlight w:val="none"/>
        </w:rPr>
        <w:t>，其合同份额占到合同总金额</w:t>
      </w:r>
      <w:r>
        <w:rPr>
          <w:rFonts w:ascii="宋体" w:hAnsi="宋体" w:eastAsia="宋体" w:cs="仿宋_GB2312"/>
          <w:color w:val="auto"/>
          <w:kern w:val="0"/>
          <w:sz w:val="21"/>
          <w:szCs w:val="21"/>
          <w:highlight w:val="none"/>
          <w:u w:val="single"/>
        </w:rPr>
        <w:t xml:space="preserve">     </w:t>
      </w:r>
      <w:r>
        <w:rPr>
          <w:rFonts w:ascii="宋体" w:hAnsi="宋体" w:eastAsia="宋体" w:cs="仿宋_GB2312"/>
          <w:color w:val="auto"/>
          <w:kern w:val="0"/>
          <w:sz w:val="21"/>
          <w:szCs w:val="21"/>
          <w:highlight w:val="none"/>
        </w:rPr>
        <w:t>%以上；</w:t>
      </w:r>
      <w:r>
        <w:rPr>
          <w:rFonts w:hint="eastAsia" w:ascii="宋体" w:hAnsi="宋体" w:eastAsia="宋体" w:cs="仿宋_GB2312"/>
          <w:color w:val="auto"/>
          <w:kern w:val="0"/>
          <w:sz w:val="21"/>
          <w:szCs w:val="21"/>
          <w:highlight w:val="none"/>
          <w:lang w:val="zh-CN"/>
        </w:rPr>
        <w:t>……。</w:t>
      </w:r>
      <w:r>
        <w:rPr>
          <w:rFonts w:hint="eastAsia" w:ascii="宋体" w:hAnsi="宋体" w:eastAsia="宋体" w:cs="仿宋_GB2312"/>
          <w:b/>
          <w:color w:val="auto"/>
          <w:kern w:val="0"/>
          <w:sz w:val="21"/>
          <w:szCs w:val="21"/>
          <w:highlight w:val="none"/>
          <w:lang w:val="zh-CN"/>
        </w:rPr>
        <w:t>（未预留份额专门面向中小企业采购的的采购项目，以及预留份额中的非预留部分采购包，接受联合体响应的，联合体其中一方为符合要求的小微企业并提供服务，且其合同份额占到合同总金额</w:t>
      </w:r>
      <w:r>
        <w:rPr>
          <w:rFonts w:ascii="宋体" w:hAnsi="宋体" w:eastAsia="宋体" w:cs="仿宋_GB2312"/>
          <w:b/>
          <w:color w:val="auto"/>
          <w:kern w:val="0"/>
          <w:sz w:val="21"/>
          <w:szCs w:val="21"/>
          <w:highlight w:val="none"/>
          <w:lang w:val="zh-CN"/>
        </w:rPr>
        <w:t>30%以上</w:t>
      </w:r>
      <w:r>
        <w:rPr>
          <w:rFonts w:hint="eastAsia" w:ascii="宋体" w:hAnsi="宋体" w:eastAsia="宋体" w:cs="仿宋_GB2312"/>
          <w:b/>
          <w:color w:val="auto"/>
          <w:kern w:val="0"/>
          <w:sz w:val="21"/>
          <w:szCs w:val="21"/>
          <w:highlight w:val="none"/>
          <w:lang w:val="zh-CN"/>
        </w:rPr>
        <w:t>，对联合体报价给予</w:t>
      </w:r>
      <w:r>
        <w:rPr>
          <w:rFonts w:hint="eastAsia" w:ascii="宋体" w:hAnsi="宋体" w:eastAsia="宋体" w:cs="仿宋_GB2312"/>
          <w:b/>
          <w:color w:val="auto"/>
          <w:kern w:val="0"/>
          <w:sz w:val="21"/>
          <w:szCs w:val="21"/>
          <w:highlight w:val="none"/>
        </w:rPr>
        <w:t>4%</w:t>
      </w:r>
      <w:r>
        <w:rPr>
          <w:rFonts w:ascii="宋体" w:hAnsi="宋体" w:eastAsia="宋体" w:cs="仿宋_GB2312"/>
          <w:b/>
          <w:color w:val="auto"/>
          <w:kern w:val="0"/>
          <w:sz w:val="21"/>
          <w:szCs w:val="21"/>
          <w:highlight w:val="none"/>
          <w:lang w:val="zh-CN"/>
        </w:rPr>
        <w:t>的扣除</w:t>
      </w:r>
      <w:r>
        <w:rPr>
          <w:rFonts w:hint="eastAsia" w:ascii="宋体" w:hAnsi="宋体" w:eastAsia="宋体" w:cs="仿宋_GB2312"/>
          <w:b/>
          <w:color w:val="auto"/>
          <w:kern w:val="0"/>
          <w:sz w:val="21"/>
          <w:szCs w:val="21"/>
          <w:highlight w:val="none"/>
          <w:lang w:val="zh-CN"/>
        </w:rPr>
        <w:t>）</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五、如果成交，</w:t>
      </w:r>
      <w:r>
        <w:rPr>
          <w:rFonts w:hint="eastAsia" w:ascii="宋体" w:hAnsi="宋体" w:eastAsia="宋体"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六、有关本次联合响应的其他事宜：</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ascii="宋体" w:hAnsi="宋体" w:eastAsia="宋体" w:cs="仿宋_GB2312"/>
          <w:color w:val="auto"/>
          <w:kern w:val="0"/>
          <w:sz w:val="21"/>
          <w:szCs w:val="21"/>
          <w:highlight w:val="none"/>
          <w:lang w:val="zh-CN"/>
        </w:rPr>
        <w:t>1、联合体各方不再单独参加或者与其</w:t>
      </w:r>
      <w:r>
        <w:rPr>
          <w:rFonts w:hint="eastAsia" w:ascii="宋体" w:hAnsi="宋体" w:eastAsia="宋体"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ascii="宋体" w:hAnsi="宋体" w:eastAsia="宋体"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ascii="宋体" w:hAnsi="宋体" w:eastAsia="宋体"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ascii="宋体" w:hAnsi="宋体" w:eastAsia="宋体" w:cs="仿宋_GB2312"/>
          <w:color w:val="auto"/>
          <w:kern w:val="0"/>
          <w:sz w:val="21"/>
          <w:szCs w:val="21"/>
          <w:highlight w:val="none"/>
          <w:lang w:val="zh-CN"/>
        </w:rPr>
      </w:pPr>
    </w:p>
    <w:p>
      <w:pPr>
        <w:snapToGrid w:val="0"/>
        <w:spacing w:line="288" w:lineRule="auto"/>
        <w:ind w:firstLine="422" w:firstLineChars="201"/>
        <w:rPr>
          <w:rFonts w:ascii="宋体" w:hAnsi="宋体" w:eastAsia="宋体" w:cs="仿宋_GB2312"/>
          <w:color w:val="auto"/>
          <w:kern w:val="0"/>
          <w:sz w:val="21"/>
          <w:szCs w:val="21"/>
          <w:highlight w:val="none"/>
          <w:lang w:val="zh-CN"/>
        </w:rPr>
      </w:pPr>
    </w:p>
    <w:p>
      <w:pPr>
        <w:snapToGrid w:val="0"/>
        <w:spacing w:line="288" w:lineRule="auto"/>
        <w:ind w:firstLine="424" w:firstLineChars="201"/>
        <w:rPr>
          <w:rFonts w:ascii="宋体" w:hAnsi="宋体" w:eastAsia="宋体" w:cs="仿宋_GB2312"/>
          <w:b/>
          <w:bCs/>
          <w:color w:val="auto"/>
          <w:kern w:val="0"/>
          <w:sz w:val="21"/>
          <w:szCs w:val="21"/>
          <w:highlight w:val="none"/>
          <w:lang w:val="zh-CN"/>
        </w:rPr>
      </w:pPr>
      <w:r>
        <w:rPr>
          <w:rFonts w:hint="eastAsia" w:ascii="宋体" w:hAnsi="宋体" w:eastAsia="宋体" w:cs="仿宋_GB2312"/>
          <w:b/>
          <w:bCs/>
          <w:color w:val="auto"/>
          <w:kern w:val="0"/>
          <w:sz w:val="21"/>
          <w:szCs w:val="21"/>
          <w:highlight w:val="none"/>
          <w:lang w:val="zh-CN"/>
        </w:rPr>
        <w:t>联合体成员名称</w:t>
      </w:r>
      <w:r>
        <w:rPr>
          <w:rFonts w:ascii="宋体" w:hAnsi="宋体" w:eastAsia="宋体" w:cs="仿宋_GB2312"/>
          <w:b/>
          <w:bCs/>
          <w:color w:val="auto"/>
          <w:kern w:val="0"/>
          <w:sz w:val="21"/>
          <w:szCs w:val="21"/>
          <w:highlight w:val="none"/>
          <w:lang w:val="zh-CN"/>
        </w:rPr>
        <w:t>(电子签名/公章)：</w:t>
      </w:r>
    </w:p>
    <w:p>
      <w:pPr>
        <w:snapToGrid w:val="0"/>
        <w:spacing w:line="288" w:lineRule="auto"/>
        <w:ind w:firstLine="424" w:firstLineChars="201"/>
        <w:rPr>
          <w:rFonts w:ascii="宋体" w:hAnsi="宋体" w:eastAsia="宋体" w:cs="仿宋_GB2312"/>
          <w:b/>
          <w:bCs/>
          <w:color w:val="auto"/>
          <w:kern w:val="0"/>
          <w:sz w:val="21"/>
          <w:szCs w:val="21"/>
          <w:highlight w:val="none"/>
          <w:lang w:val="zh-CN"/>
        </w:rPr>
      </w:pPr>
    </w:p>
    <w:p>
      <w:pPr>
        <w:snapToGrid w:val="0"/>
        <w:spacing w:line="288" w:lineRule="auto"/>
        <w:ind w:firstLine="424" w:firstLineChars="201"/>
        <w:rPr>
          <w:rFonts w:ascii="宋体" w:hAnsi="宋体" w:eastAsia="宋体" w:cs="Times New Roman"/>
          <w:b/>
          <w:bCs/>
          <w:color w:val="auto"/>
          <w:sz w:val="21"/>
          <w:szCs w:val="21"/>
          <w:highlight w:val="none"/>
        </w:rPr>
      </w:pPr>
    </w:p>
    <w:p>
      <w:pPr>
        <w:snapToGrid w:val="0"/>
        <w:spacing w:line="288" w:lineRule="auto"/>
        <w:ind w:firstLine="424" w:firstLineChars="201"/>
        <w:rPr>
          <w:rFonts w:ascii="宋体" w:hAnsi="宋体" w:eastAsia="宋体" w:cs="仿宋_GB2312"/>
          <w:b/>
          <w:bCs/>
          <w:color w:val="auto"/>
          <w:kern w:val="0"/>
          <w:sz w:val="21"/>
          <w:szCs w:val="21"/>
          <w:highlight w:val="none"/>
          <w:lang w:val="zh-CN"/>
        </w:rPr>
      </w:pPr>
      <w:r>
        <w:rPr>
          <w:rFonts w:ascii="宋体" w:hAnsi="宋体" w:eastAsia="宋体" w:cs="仿宋_GB2312"/>
          <w:b/>
          <w:bCs/>
          <w:color w:val="auto"/>
          <w:kern w:val="0"/>
          <w:sz w:val="21"/>
          <w:szCs w:val="21"/>
          <w:highlight w:val="none"/>
          <w:lang w:val="zh-CN"/>
        </w:rPr>
        <w:t>日期：  年  月   日</w:t>
      </w:r>
    </w:p>
    <w:p>
      <w:pPr>
        <w:widowControl/>
        <w:jc w:val="left"/>
        <w:rPr>
          <w:rFonts w:ascii="宋体" w:hAnsi="宋体" w:eastAsia="宋体" w:cs="仿宋_GB2312"/>
          <w:b/>
          <w:color w:val="auto"/>
          <w:kern w:val="0"/>
          <w:sz w:val="21"/>
          <w:szCs w:val="21"/>
          <w:highlight w:val="none"/>
        </w:rPr>
      </w:pPr>
      <w:r>
        <w:rPr>
          <w:rFonts w:ascii="宋体" w:hAnsi="宋体" w:eastAsia="宋体" w:cs="仿宋_GB2312"/>
          <w:b/>
          <w:color w:val="auto"/>
          <w:kern w:val="0"/>
          <w:sz w:val="21"/>
          <w:szCs w:val="21"/>
          <w:highlight w:val="none"/>
        </w:rPr>
        <w:br w:type="page"/>
      </w:r>
    </w:p>
    <w:p>
      <w:pPr>
        <w:snapToGrid w:val="0"/>
        <w:spacing w:line="288" w:lineRule="auto"/>
        <w:jc w:val="center"/>
        <w:outlineLvl w:val="2"/>
        <w:rPr>
          <w:rFonts w:ascii="宋体" w:hAnsi="宋体" w:eastAsia="宋体" w:cs="仿宋_GB2312"/>
          <w:b/>
          <w:color w:val="auto"/>
          <w:kern w:val="0"/>
          <w:sz w:val="21"/>
          <w:szCs w:val="21"/>
          <w:highlight w:val="none"/>
        </w:rPr>
      </w:pPr>
      <w:r>
        <w:rPr>
          <w:rFonts w:hint="eastAsia" w:ascii="宋体" w:hAnsi="宋体" w:eastAsia="宋体" w:cs="仿宋_GB2312"/>
          <w:b/>
          <w:color w:val="auto"/>
          <w:kern w:val="0"/>
          <w:sz w:val="21"/>
          <w:szCs w:val="21"/>
          <w:highlight w:val="none"/>
        </w:rPr>
        <w:t>附件3</w:t>
      </w:r>
      <w:r>
        <w:rPr>
          <w:rFonts w:ascii="宋体" w:hAnsi="宋体" w:eastAsia="宋体" w:cs="仿宋_GB2312"/>
          <w:b/>
          <w:color w:val="auto"/>
          <w:kern w:val="0"/>
          <w:sz w:val="21"/>
          <w:szCs w:val="21"/>
          <w:highlight w:val="none"/>
        </w:rPr>
        <w:t>：</w:t>
      </w:r>
      <w:r>
        <w:rPr>
          <w:rFonts w:hint="eastAsia" w:ascii="宋体" w:hAnsi="宋体" w:eastAsia="宋体" w:cs="仿宋_GB2312"/>
          <w:b/>
          <w:color w:val="auto"/>
          <w:kern w:val="0"/>
          <w:sz w:val="21"/>
          <w:szCs w:val="21"/>
          <w:highlight w:val="none"/>
        </w:rPr>
        <w:t>分包意向协议</w:t>
      </w:r>
    </w:p>
    <w:p>
      <w:pPr>
        <w:widowControl/>
        <w:snapToGrid w:val="0"/>
        <w:spacing w:line="288" w:lineRule="auto"/>
        <w:ind w:firstLine="422" w:firstLineChars="201"/>
        <w:jc w:val="left"/>
        <w:rPr>
          <w:rFonts w:ascii="宋体" w:hAnsi="宋体" w:eastAsia="宋体" w:cs="仿宋_GB2312"/>
          <w:color w:val="auto"/>
          <w:sz w:val="21"/>
          <w:szCs w:val="21"/>
          <w:highlight w:val="none"/>
        </w:rPr>
      </w:pPr>
      <w:r>
        <w:rPr>
          <w:rFonts w:hint="eastAsia" w:ascii="宋体" w:hAnsi="宋体" w:eastAsia="宋体" w:cs="仿宋_GB2312"/>
          <w:color w:val="auto"/>
          <w:sz w:val="21"/>
          <w:szCs w:val="21"/>
          <w:highlight w:val="none"/>
        </w:rPr>
        <w:t>（</w:t>
      </w:r>
      <w:r>
        <w:rPr>
          <w:rFonts w:hint="eastAsia" w:ascii="宋体" w:hAnsi="宋体" w:eastAsia="宋体"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ascii="宋体" w:hAnsi="宋体" w:eastAsia="宋体" w:cs="仿宋_GB2312"/>
          <w:color w:val="auto"/>
          <w:sz w:val="21"/>
          <w:szCs w:val="21"/>
          <w:highlight w:val="none"/>
        </w:rPr>
        <w:t>）</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u w:val="single"/>
        </w:rPr>
        <w:t>（供应商名称）</w:t>
      </w:r>
      <w:r>
        <w:rPr>
          <w:rFonts w:hint="eastAsia" w:ascii="宋体" w:hAnsi="宋体" w:eastAsia="宋体" w:cs="仿宋_GB2312"/>
          <w:color w:val="auto"/>
          <w:kern w:val="0"/>
          <w:sz w:val="21"/>
          <w:szCs w:val="21"/>
          <w:highlight w:val="none"/>
          <w:lang w:val="zh-CN"/>
        </w:rPr>
        <w:t>若成为</w:t>
      </w:r>
      <w:r>
        <w:rPr>
          <w:rFonts w:hint="eastAsia" w:ascii="宋体" w:hAnsi="宋体" w:eastAsia="宋体" w:cs="仿宋_GB2312"/>
          <w:color w:val="auto"/>
          <w:sz w:val="21"/>
          <w:szCs w:val="21"/>
          <w:highlight w:val="none"/>
        </w:rPr>
        <w:t>（项目名称）【招标编号：</w:t>
      </w:r>
      <w:r>
        <w:rPr>
          <w:rFonts w:hint="eastAsia" w:ascii="宋体" w:hAnsi="宋体" w:eastAsia="宋体" w:cs="Times New Roman"/>
          <w:color w:val="auto"/>
          <w:sz w:val="21"/>
          <w:szCs w:val="21"/>
          <w:highlight w:val="none"/>
        </w:rPr>
        <w:t>（采购编号）</w:t>
      </w:r>
      <w:r>
        <w:rPr>
          <w:rFonts w:hint="eastAsia" w:ascii="宋体" w:hAnsi="宋体" w:eastAsia="宋体" w:cs="仿宋_GB2312"/>
          <w:color w:val="auto"/>
          <w:sz w:val="21"/>
          <w:szCs w:val="21"/>
          <w:highlight w:val="none"/>
        </w:rPr>
        <w:t>】</w:t>
      </w:r>
      <w:r>
        <w:rPr>
          <w:rFonts w:hint="eastAsia" w:ascii="宋体" w:hAnsi="宋体" w:eastAsia="宋体" w:cs="仿宋_GB2312"/>
          <w:color w:val="auto"/>
          <w:kern w:val="0"/>
          <w:sz w:val="21"/>
          <w:szCs w:val="21"/>
          <w:highlight w:val="none"/>
          <w:lang w:val="zh-CN"/>
        </w:rPr>
        <w:t>的成交供应商，将依法采取分包方式履行合同。</w:t>
      </w:r>
      <w:r>
        <w:rPr>
          <w:rFonts w:hint="eastAsia" w:ascii="宋体" w:hAnsi="宋体" w:eastAsia="宋体" w:cs="仿宋_GB2312"/>
          <w:color w:val="auto"/>
          <w:kern w:val="0"/>
          <w:sz w:val="21"/>
          <w:szCs w:val="21"/>
          <w:highlight w:val="none"/>
          <w:u w:val="single"/>
        </w:rPr>
        <w:t>（供应商名称）</w:t>
      </w:r>
      <w:r>
        <w:rPr>
          <w:rFonts w:hint="eastAsia" w:ascii="宋体" w:hAnsi="宋体" w:eastAsia="宋体" w:cs="仿宋_GB2312"/>
          <w:color w:val="auto"/>
          <w:kern w:val="0"/>
          <w:sz w:val="21"/>
          <w:szCs w:val="21"/>
          <w:highlight w:val="none"/>
        </w:rPr>
        <w:t>与</w:t>
      </w:r>
      <w:r>
        <w:rPr>
          <w:rFonts w:hint="eastAsia" w:ascii="宋体" w:hAnsi="宋体" w:eastAsia="宋体" w:cs="仿宋_GB2312"/>
          <w:color w:val="auto"/>
          <w:kern w:val="0"/>
          <w:sz w:val="21"/>
          <w:szCs w:val="21"/>
          <w:highlight w:val="none"/>
          <w:u w:val="single"/>
        </w:rPr>
        <w:t>（所有分包供应商名称）</w:t>
      </w:r>
      <w:r>
        <w:rPr>
          <w:rFonts w:hint="eastAsia" w:ascii="宋体" w:hAnsi="宋体" w:eastAsia="宋体" w:cs="仿宋_GB2312"/>
          <w:color w:val="auto"/>
          <w:kern w:val="0"/>
          <w:sz w:val="21"/>
          <w:szCs w:val="21"/>
          <w:highlight w:val="none"/>
        </w:rPr>
        <w:t>达成分包意向协议</w:t>
      </w:r>
      <w:r>
        <w:rPr>
          <w:rFonts w:hint="eastAsia" w:ascii="宋体" w:hAnsi="宋体" w:eastAsia="宋体" w:cs="仿宋_GB2312"/>
          <w:color w:val="auto"/>
          <w:kern w:val="0"/>
          <w:sz w:val="21"/>
          <w:szCs w:val="21"/>
          <w:highlight w:val="none"/>
          <w:lang w:val="zh-CN"/>
        </w:rPr>
        <w:t>。</w:t>
      </w:r>
      <w:r>
        <w:rPr>
          <w:rFonts w:ascii="宋体" w:hAnsi="宋体" w:eastAsia="宋体" w:cs="仿宋_GB2312"/>
          <w:color w:val="auto"/>
          <w:kern w:val="0"/>
          <w:sz w:val="21"/>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一、分包标的及数量</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u w:val="single"/>
        </w:rPr>
        <w:t>（供应商名称）</w:t>
      </w:r>
      <w:r>
        <w:rPr>
          <w:rFonts w:hint="eastAsia" w:ascii="宋体" w:hAnsi="宋体" w:eastAsia="宋体" w:cs="仿宋_GB2312"/>
          <w:color w:val="auto"/>
          <w:kern w:val="0"/>
          <w:sz w:val="21"/>
          <w:szCs w:val="21"/>
          <w:highlight w:val="none"/>
          <w:lang w:val="zh-CN"/>
        </w:rPr>
        <w:t>将</w:t>
      </w:r>
      <w:r>
        <w:rPr>
          <w:rFonts w:ascii="宋体" w:hAnsi="宋体" w:eastAsia="宋体" w:cs="Times New Roman"/>
          <w:color w:val="auto"/>
          <w:sz w:val="21"/>
          <w:szCs w:val="21"/>
          <w:highlight w:val="none"/>
          <w:u w:val="single"/>
        </w:rPr>
        <w:t xml:space="preserve">   XX工作内容   </w:t>
      </w:r>
      <w:r>
        <w:rPr>
          <w:rFonts w:hint="eastAsia" w:ascii="宋体" w:hAnsi="宋体" w:eastAsia="宋体" w:cs="Arial"/>
          <w:color w:val="auto"/>
          <w:sz w:val="21"/>
          <w:szCs w:val="21"/>
          <w:highlight w:val="none"/>
        </w:rPr>
        <w:t>分包给</w:t>
      </w:r>
      <w:r>
        <w:rPr>
          <w:rFonts w:hint="eastAsia" w:ascii="宋体" w:hAnsi="宋体" w:eastAsia="宋体" w:cs="仿宋_GB2312"/>
          <w:color w:val="auto"/>
          <w:kern w:val="0"/>
          <w:sz w:val="21"/>
          <w:szCs w:val="21"/>
          <w:highlight w:val="none"/>
          <w:u w:val="single"/>
        </w:rPr>
        <w:t>（某分包供应商名称）</w:t>
      </w:r>
      <w:r>
        <w:rPr>
          <w:rFonts w:hint="eastAsia" w:ascii="宋体" w:hAnsi="宋体" w:eastAsia="宋体" w:cs="仿宋_GB2312"/>
          <w:color w:val="auto"/>
          <w:kern w:val="0"/>
          <w:sz w:val="21"/>
          <w:szCs w:val="21"/>
          <w:highlight w:val="none"/>
          <w:lang w:val="zh-CN"/>
        </w:rPr>
        <w:t>，</w:t>
      </w:r>
      <w:r>
        <w:rPr>
          <w:rFonts w:hint="eastAsia" w:ascii="宋体" w:hAnsi="宋体" w:eastAsia="宋体" w:cs="仿宋_GB2312"/>
          <w:color w:val="auto"/>
          <w:kern w:val="0"/>
          <w:sz w:val="21"/>
          <w:szCs w:val="21"/>
          <w:highlight w:val="none"/>
          <w:u w:val="single"/>
        </w:rPr>
        <w:t>（某分包供应商名称），</w:t>
      </w:r>
      <w:r>
        <w:rPr>
          <w:rFonts w:hint="eastAsia" w:ascii="宋体" w:hAnsi="宋体" w:eastAsia="宋体" w:cs="仿宋_GB2312"/>
          <w:color w:val="auto"/>
          <w:kern w:val="0"/>
          <w:sz w:val="21"/>
          <w:szCs w:val="21"/>
          <w:highlight w:val="none"/>
          <w:lang w:val="zh-CN"/>
        </w:rPr>
        <w:t>具备承</w:t>
      </w:r>
      <w:r>
        <w:rPr>
          <w:rFonts w:hint="eastAsia" w:ascii="宋体" w:hAnsi="宋体" w:eastAsia="宋体" w:cs="仿宋_GB2312"/>
          <w:color w:val="auto"/>
          <w:kern w:val="0"/>
          <w:sz w:val="21"/>
          <w:szCs w:val="21"/>
          <w:highlight w:val="none"/>
        </w:rPr>
        <w:t>担</w:t>
      </w:r>
      <w:r>
        <w:rPr>
          <w:rFonts w:ascii="宋体" w:hAnsi="宋体" w:eastAsia="宋体" w:cs="仿宋_GB2312"/>
          <w:color w:val="auto"/>
          <w:kern w:val="0"/>
          <w:sz w:val="21"/>
          <w:szCs w:val="21"/>
          <w:highlight w:val="none"/>
          <w:u w:val="single"/>
          <w:lang w:val="zh-CN"/>
        </w:rPr>
        <w:t>XX工作内容</w:t>
      </w:r>
      <w:r>
        <w:rPr>
          <w:rFonts w:hint="eastAsia" w:ascii="宋体" w:hAnsi="宋体" w:eastAsia="宋体" w:cs="仿宋_GB2312"/>
          <w:color w:val="auto"/>
          <w:kern w:val="0"/>
          <w:sz w:val="21"/>
          <w:szCs w:val="21"/>
          <w:highlight w:val="none"/>
          <w:lang w:val="zh-CN"/>
        </w:rPr>
        <w:t>相应资质条件且不得再次分包；</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二、分包工作履行期限、地点、方式</w:t>
      </w:r>
    </w:p>
    <w:p>
      <w:pPr>
        <w:snapToGrid w:val="0"/>
        <w:spacing w:line="288" w:lineRule="auto"/>
        <w:ind w:firstLine="422" w:firstLineChars="201"/>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三、质量</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ascii="宋体" w:hAnsi="宋体" w:eastAsia="宋体" w:cs="Times New Roman"/>
          <w:color w:val="auto"/>
          <w:sz w:val="21"/>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四、价款或者报酬</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ascii="宋体" w:hAnsi="宋体" w:eastAsia="宋体" w:cs="Times New Roman"/>
          <w:color w:val="auto"/>
          <w:sz w:val="21"/>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五、违约责任</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ascii="宋体" w:hAnsi="宋体" w:eastAsia="宋体" w:cs="Times New Roman"/>
          <w:color w:val="auto"/>
          <w:sz w:val="21"/>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六、争议解决的办法</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ascii="宋体" w:hAnsi="宋体" w:eastAsia="宋体" w:cs="Times New Roman"/>
          <w:color w:val="auto"/>
          <w:sz w:val="21"/>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七、其他</w:t>
      </w:r>
    </w:p>
    <w:p>
      <w:pPr>
        <w:snapToGrid w:val="0"/>
        <w:spacing w:line="288" w:lineRule="auto"/>
        <w:ind w:firstLine="422" w:firstLineChars="201"/>
        <w:rPr>
          <w:rFonts w:ascii="宋体" w:hAnsi="宋体" w:eastAsia="宋体" w:cs="仿宋_GB2312"/>
          <w:b/>
          <w:color w:val="auto"/>
          <w:kern w:val="0"/>
          <w:sz w:val="21"/>
          <w:szCs w:val="21"/>
          <w:highlight w:val="none"/>
          <w:lang w:val="zh-CN"/>
        </w:rPr>
      </w:pPr>
      <w:r>
        <w:rPr>
          <w:rFonts w:hint="eastAsia" w:ascii="宋体" w:hAnsi="宋体" w:eastAsia="宋体" w:cs="仿宋_GB2312"/>
          <w:color w:val="auto"/>
          <w:kern w:val="0"/>
          <w:sz w:val="21"/>
          <w:szCs w:val="21"/>
          <w:highlight w:val="none"/>
          <w:u w:val="single"/>
        </w:rPr>
        <w:t>（分包供应商名称）为符合要求的小微企业并提供服务，</w:t>
      </w:r>
      <w:r>
        <w:rPr>
          <w:rFonts w:hint="eastAsia" w:ascii="宋体" w:hAnsi="宋体" w:eastAsia="宋体" w:cs="仿宋_GB2312"/>
          <w:color w:val="auto"/>
          <w:kern w:val="0"/>
          <w:sz w:val="21"/>
          <w:szCs w:val="21"/>
          <w:highlight w:val="none"/>
        </w:rPr>
        <w:t>其合同份额占到合同总金额</w:t>
      </w:r>
      <w:r>
        <w:rPr>
          <w:rFonts w:ascii="宋体" w:hAnsi="宋体" w:eastAsia="宋体" w:cs="仿宋_GB2312"/>
          <w:color w:val="auto"/>
          <w:kern w:val="0"/>
          <w:sz w:val="21"/>
          <w:szCs w:val="21"/>
          <w:highlight w:val="none"/>
          <w:u w:val="single"/>
        </w:rPr>
        <w:t xml:space="preserve">     </w:t>
      </w:r>
      <w:r>
        <w:rPr>
          <w:rFonts w:ascii="宋体" w:hAnsi="宋体" w:eastAsia="宋体" w:cs="仿宋_GB2312"/>
          <w:color w:val="auto"/>
          <w:kern w:val="0"/>
          <w:sz w:val="21"/>
          <w:szCs w:val="21"/>
          <w:highlight w:val="none"/>
        </w:rPr>
        <w:t>%以上</w:t>
      </w:r>
      <w:r>
        <w:rPr>
          <w:rFonts w:hint="eastAsia" w:ascii="宋体" w:hAnsi="宋体" w:eastAsia="宋体" w:cs="Times New Roman"/>
          <w:color w:val="auto"/>
          <w:sz w:val="21"/>
          <w:szCs w:val="21"/>
          <w:highlight w:val="none"/>
        </w:rPr>
        <w:t>。</w:t>
      </w:r>
      <w:r>
        <w:rPr>
          <w:rFonts w:hint="eastAsia" w:ascii="宋体" w:hAnsi="宋体" w:eastAsia="宋体" w:cs="仿宋_GB2312"/>
          <w:b/>
          <w:color w:val="auto"/>
          <w:kern w:val="0"/>
          <w:sz w:val="21"/>
          <w:szCs w:val="21"/>
          <w:highlight w:val="none"/>
          <w:lang w:val="zh-CN"/>
        </w:rPr>
        <w:t>（未预留份额专门面向中小企业采购的的采购项目，以及预留份额中的非预留部分采购包，允许分包的，分包供应商为符合要求的小微企业并提供服务，且其合同份额占到合同总金额</w:t>
      </w:r>
      <w:r>
        <w:rPr>
          <w:rFonts w:ascii="宋体" w:hAnsi="宋体" w:eastAsia="宋体" w:cs="仿宋_GB2312"/>
          <w:b/>
          <w:color w:val="auto"/>
          <w:kern w:val="0"/>
          <w:sz w:val="21"/>
          <w:szCs w:val="21"/>
          <w:highlight w:val="none"/>
          <w:lang w:val="zh-CN"/>
        </w:rPr>
        <w:t>30%以上</w:t>
      </w:r>
      <w:r>
        <w:rPr>
          <w:rFonts w:hint="eastAsia" w:ascii="宋体" w:hAnsi="宋体" w:eastAsia="宋体" w:cs="仿宋_GB2312"/>
          <w:b/>
          <w:color w:val="auto"/>
          <w:kern w:val="0"/>
          <w:sz w:val="21"/>
          <w:szCs w:val="21"/>
          <w:highlight w:val="none"/>
          <w:lang w:val="zh-CN"/>
        </w:rPr>
        <w:t>的，对大中型企业的报价给予</w:t>
      </w:r>
      <w:r>
        <w:rPr>
          <w:rFonts w:hint="eastAsia" w:ascii="宋体" w:hAnsi="宋体" w:eastAsia="宋体" w:cs="仿宋_GB2312"/>
          <w:b/>
          <w:color w:val="auto"/>
          <w:kern w:val="0"/>
          <w:sz w:val="21"/>
          <w:szCs w:val="21"/>
          <w:highlight w:val="none"/>
        </w:rPr>
        <w:t>4%</w:t>
      </w:r>
      <w:r>
        <w:rPr>
          <w:rFonts w:ascii="宋体" w:hAnsi="宋体" w:eastAsia="宋体" w:cs="仿宋_GB2312"/>
          <w:b/>
          <w:color w:val="auto"/>
          <w:kern w:val="0"/>
          <w:sz w:val="21"/>
          <w:szCs w:val="21"/>
          <w:highlight w:val="none"/>
          <w:lang w:val="zh-CN"/>
        </w:rPr>
        <w:t>的扣除</w:t>
      </w:r>
      <w:r>
        <w:rPr>
          <w:rFonts w:hint="eastAsia" w:ascii="宋体" w:hAnsi="宋体" w:eastAsia="宋体" w:cs="仿宋_GB2312"/>
          <w:b/>
          <w:color w:val="auto"/>
          <w:kern w:val="0"/>
          <w:sz w:val="21"/>
          <w:szCs w:val="21"/>
          <w:highlight w:val="none"/>
          <w:lang w:val="zh-CN"/>
        </w:rPr>
        <w:t>）</w:t>
      </w:r>
    </w:p>
    <w:p>
      <w:pPr>
        <w:snapToGrid w:val="0"/>
        <w:spacing w:line="288" w:lineRule="auto"/>
        <w:rPr>
          <w:rFonts w:ascii="宋体" w:hAnsi="宋体" w:eastAsia="宋体" w:cs="仿宋_GB2312"/>
          <w:color w:val="auto"/>
          <w:kern w:val="0"/>
          <w:sz w:val="21"/>
          <w:szCs w:val="21"/>
          <w:highlight w:val="none"/>
          <w:lang w:val="zh-CN"/>
        </w:rPr>
      </w:pPr>
    </w:p>
    <w:p>
      <w:pPr>
        <w:snapToGrid w:val="0"/>
        <w:spacing w:line="288" w:lineRule="auto"/>
        <w:ind w:firstLine="422" w:firstLineChars="200"/>
        <w:rPr>
          <w:rFonts w:ascii="宋体" w:hAnsi="宋体" w:eastAsia="宋体" w:cs="仿宋_GB2312"/>
          <w:b/>
          <w:bCs/>
          <w:color w:val="auto"/>
          <w:kern w:val="0"/>
          <w:sz w:val="21"/>
          <w:szCs w:val="21"/>
          <w:highlight w:val="none"/>
          <w:lang w:val="zh-CN"/>
        </w:rPr>
      </w:pPr>
      <w:r>
        <w:rPr>
          <w:rFonts w:hint="eastAsia" w:ascii="宋体" w:hAnsi="宋体" w:eastAsia="宋体" w:cs="仿宋_GB2312"/>
          <w:b/>
          <w:bCs/>
          <w:color w:val="auto"/>
          <w:kern w:val="0"/>
          <w:sz w:val="21"/>
          <w:szCs w:val="21"/>
          <w:highlight w:val="none"/>
          <w:lang w:val="zh-CN"/>
        </w:rPr>
        <w:t>供应商名称（电子签名</w:t>
      </w:r>
      <w:r>
        <w:rPr>
          <w:rFonts w:ascii="宋体" w:hAnsi="宋体" w:eastAsia="宋体" w:cs="仿宋_GB2312"/>
          <w:b/>
          <w:bCs/>
          <w:color w:val="auto"/>
          <w:kern w:val="0"/>
          <w:sz w:val="21"/>
          <w:szCs w:val="21"/>
          <w:highlight w:val="none"/>
          <w:lang w:val="zh-CN"/>
        </w:rPr>
        <w:t>/公章）：</w:t>
      </w:r>
    </w:p>
    <w:p>
      <w:pPr>
        <w:snapToGrid w:val="0"/>
        <w:spacing w:line="288" w:lineRule="auto"/>
        <w:ind w:firstLine="424" w:firstLineChars="201"/>
        <w:rPr>
          <w:rFonts w:ascii="宋体" w:hAnsi="宋体" w:eastAsia="宋体" w:cs="仿宋_GB2312"/>
          <w:b/>
          <w:bCs/>
          <w:color w:val="auto"/>
          <w:kern w:val="0"/>
          <w:sz w:val="21"/>
          <w:szCs w:val="21"/>
          <w:highlight w:val="none"/>
          <w:lang w:val="zh-CN"/>
        </w:rPr>
      </w:pPr>
    </w:p>
    <w:p>
      <w:pPr>
        <w:snapToGrid w:val="0"/>
        <w:spacing w:line="288" w:lineRule="auto"/>
        <w:ind w:firstLine="424" w:firstLineChars="201"/>
        <w:rPr>
          <w:rFonts w:ascii="宋体" w:hAnsi="宋体" w:eastAsia="宋体" w:cs="仿宋_GB2312"/>
          <w:b/>
          <w:bCs/>
          <w:color w:val="auto"/>
          <w:kern w:val="0"/>
          <w:sz w:val="21"/>
          <w:szCs w:val="21"/>
          <w:highlight w:val="none"/>
          <w:lang w:val="zh-CN"/>
        </w:rPr>
      </w:pPr>
      <w:r>
        <w:rPr>
          <w:rFonts w:hint="eastAsia" w:ascii="宋体" w:hAnsi="宋体" w:eastAsia="宋体" w:cs="仿宋_GB2312"/>
          <w:b/>
          <w:bCs/>
          <w:color w:val="auto"/>
          <w:kern w:val="0"/>
          <w:sz w:val="21"/>
          <w:szCs w:val="21"/>
          <w:highlight w:val="none"/>
          <w:lang w:val="zh-CN"/>
        </w:rPr>
        <w:t>分包供应商名称：</w:t>
      </w:r>
    </w:p>
    <w:p>
      <w:pPr>
        <w:snapToGrid w:val="0"/>
        <w:spacing w:line="288" w:lineRule="auto"/>
        <w:rPr>
          <w:rFonts w:ascii="宋体" w:hAnsi="宋体" w:eastAsia="宋体" w:cs="仿宋_GB2312"/>
          <w:b/>
          <w:bCs/>
          <w:color w:val="auto"/>
          <w:kern w:val="0"/>
          <w:sz w:val="21"/>
          <w:szCs w:val="21"/>
          <w:highlight w:val="none"/>
          <w:lang w:val="zh-CN"/>
        </w:rPr>
      </w:pPr>
    </w:p>
    <w:p>
      <w:pPr>
        <w:snapToGrid w:val="0"/>
        <w:spacing w:line="288" w:lineRule="auto"/>
        <w:ind w:firstLine="424" w:firstLineChars="201"/>
        <w:rPr>
          <w:rFonts w:ascii="宋体" w:hAnsi="宋体" w:eastAsia="宋体" w:cs="仿宋_GB2312"/>
          <w:b/>
          <w:bCs/>
          <w:color w:val="auto"/>
          <w:kern w:val="0"/>
          <w:sz w:val="21"/>
          <w:szCs w:val="21"/>
          <w:highlight w:val="none"/>
          <w:lang w:val="zh-CN"/>
        </w:rPr>
      </w:pPr>
      <w:r>
        <w:rPr>
          <w:rFonts w:ascii="宋体" w:hAnsi="宋体" w:eastAsia="宋体" w:cs="仿宋_GB2312"/>
          <w:b/>
          <w:bCs/>
          <w:color w:val="auto"/>
          <w:kern w:val="0"/>
          <w:sz w:val="21"/>
          <w:szCs w:val="21"/>
          <w:highlight w:val="none"/>
          <w:lang w:val="zh-CN"/>
        </w:rPr>
        <w:t>日期：  年  月   日</w:t>
      </w:r>
    </w:p>
    <w:p>
      <w:pPr>
        <w:rPr>
          <w:color w:val="auto"/>
          <w:highlight w:val="none"/>
        </w:rPr>
      </w:pPr>
    </w:p>
    <w:sectPr>
      <w:footerReference r:id="rId5" w:type="default"/>
      <w:pgSz w:w="11906" w:h="16838"/>
      <w:pgMar w:top="1247" w:right="1247" w:bottom="1247" w:left="1247" w:header="142" w:footer="725" w:gutter="0"/>
      <w:pgBorders>
        <w:top w:val="none" w:sz="0" w:space="0"/>
        <w:left w:val="none" w:sz="0" w:space="0"/>
        <w:bottom w:val="none" w:sz="0" w:space="0"/>
        <w:right w:val="none" w:sz="0" w:space="0"/>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5"/>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93F2368"/>
    <w:rsid w:val="0CF34D5B"/>
    <w:rsid w:val="2FDD2449"/>
    <w:rsid w:val="3A01184E"/>
    <w:rsid w:val="408F39E3"/>
    <w:rsid w:val="4A3E7485"/>
    <w:rsid w:val="4A705E01"/>
    <w:rsid w:val="571D0E81"/>
    <w:rsid w:val="57AF1660"/>
    <w:rsid w:val="63C066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annotation text"/>
    <w:basedOn w:val="1"/>
    <w:link w:val="18"/>
    <w:unhideWhenUsed/>
    <w:qFormat/>
    <w:uiPriority w:val="99"/>
    <w:pPr>
      <w:jc w:val="left"/>
    </w:pPr>
    <w:rPr>
      <w:rFonts w:ascii="Times New Roman" w:hAnsi="Times New Roman" w:cs="Times New Roman"/>
      <w:sz w:val="28"/>
    </w:rPr>
  </w:style>
  <w:style w:type="paragraph" w:styleId="3">
    <w:name w:val="Body Text"/>
    <w:basedOn w:val="1"/>
    <w:link w:val="30"/>
    <w:uiPriority w:val="0"/>
    <w:pPr>
      <w:spacing w:after="120"/>
    </w:pPr>
  </w:style>
  <w:style w:type="paragraph" w:styleId="4">
    <w:name w:val="Body Text Indent"/>
    <w:basedOn w:val="1"/>
    <w:link w:val="21"/>
    <w:qFormat/>
    <w:uiPriority w:val="0"/>
    <w:pPr>
      <w:spacing w:line="200" w:lineRule="atLeast"/>
      <w:ind w:firstLine="301"/>
    </w:pPr>
    <w:rPr>
      <w:rFonts w:hAnsi="Courier New" w:cs="Times New Roman"/>
      <w:spacing w:val="-4"/>
      <w:sz w:val="18"/>
      <w:szCs w:val="20"/>
    </w:rPr>
  </w:style>
  <w:style w:type="paragraph" w:styleId="5">
    <w:name w:val="Plain Text"/>
    <w:basedOn w:val="1"/>
    <w:link w:val="31"/>
    <w:semiHidden/>
    <w:unhideWhenUsed/>
    <w:qFormat/>
    <w:uiPriority w:val="99"/>
    <w:rPr>
      <w:rFonts w:hAnsi="Courier New" w:cs="Courier New" w:asciiTheme="minorEastAsia" w:eastAsiaTheme="minorEastAsia"/>
    </w:rPr>
  </w:style>
  <w:style w:type="paragraph" w:styleId="6">
    <w:name w:val="Balloon Text"/>
    <w:basedOn w:val="1"/>
    <w:link w:val="20"/>
    <w:qFormat/>
    <w:uiPriority w:val="0"/>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uiPriority w:val="99"/>
    <w:pPr>
      <w:widowControl/>
      <w:spacing w:before="100" w:beforeAutospacing="1" w:after="100" w:afterAutospacing="1"/>
      <w:jc w:val="left"/>
    </w:pPr>
    <w:rPr>
      <w:kern w:val="0"/>
    </w:rPr>
  </w:style>
  <w:style w:type="paragraph" w:styleId="10">
    <w:name w:val="annotation subject"/>
    <w:basedOn w:val="2"/>
    <w:next w:val="2"/>
    <w:link w:val="28"/>
    <w:semiHidden/>
    <w:unhideWhenUsed/>
    <w:qFormat/>
    <w:uiPriority w:val="0"/>
    <w:rPr>
      <w:rFonts w:ascii="宋体" w:hAnsi="宋体" w:cs="宋体"/>
      <w:b/>
      <w:bCs/>
      <w:sz w:val="24"/>
    </w:rPr>
  </w:style>
  <w:style w:type="table" w:styleId="12">
    <w:name w:val="Table Grid"/>
    <w:basedOn w:val="11"/>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character" w:customStyle="1" w:styleId="18">
    <w:name w:val="批注文字 字符"/>
    <w:basedOn w:val="13"/>
    <w:link w:val="2"/>
    <w:qFormat/>
    <w:uiPriority w:val="99"/>
    <w:rPr>
      <w:rFonts w:ascii="Times New Roman" w:hAnsi="Times New Roman" w:eastAsia="宋体" w:cs="Times New Roman"/>
      <w:sz w:val="28"/>
      <w:szCs w:val="24"/>
    </w:rPr>
  </w:style>
  <w:style w:type="character" w:customStyle="1" w:styleId="19">
    <w:name w:val="正文文本缩进 字符"/>
    <w:basedOn w:val="13"/>
    <w:qFormat/>
    <w:uiPriority w:val="0"/>
    <w:rPr>
      <w:rFonts w:ascii="宋体" w:hAnsi="宋体" w:eastAsia="宋体" w:cs="宋体"/>
      <w:sz w:val="24"/>
      <w:szCs w:val="24"/>
    </w:rPr>
  </w:style>
  <w:style w:type="character" w:customStyle="1" w:styleId="20">
    <w:name w:val="批注框文本 字符"/>
    <w:basedOn w:val="13"/>
    <w:link w:val="6"/>
    <w:qFormat/>
    <w:uiPriority w:val="0"/>
    <w:rPr>
      <w:rFonts w:ascii="宋体" w:hAnsi="宋体" w:eastAsia="宋体" w:cs="宋体"/>
      <w:sz w:val="18"/>
      <w:szCs w:val="18"/>
    </w:rPr>
  </w:style>
  <w:style w:type="character" w:customStyle="1" w:styleId="21">
    <w:name w:val="正文文本缩进 字符1"/>
    <w:link w:val="4"/>
    <w:qFormat/>
    <w:uiPriority w:val="0"/>
    <w:rPr>
      <w:rFonts w:ascii="宋体" w:hAnsi="Courier New" w:eastAsia="宋体" w:cs="Times New Roman"/>
      <w:spacing w:val="-4"/>
      <w:sz w:val="18"/>
      <w:szCs w:val="20"/>
    </w:rPr>
  </w:style>
  <w:style w:type="character" w:customStyle="1" w:styleId="22">
    <w:name w:val="正文文本缩进 字符2"/>
    <w:qFormat/>
    <w:uiPriority w:val="0"/>
    <w:rPr>
      <w:rFonts w:ascii="宋体" w:hAnsi="Courier New"/>
      <w:spacing w:val="-4"/>
      <w:kern w:val="2"/>
      <w:sz w:val="18"/>
    </w:rPr>
  </w:style>
  <w:style w:type="character" w:customStyle="1" w:styleId="23">
    <w:name w:val="未处理的提及1"/>
    <w:basedOn w:val="13"/>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paragraph" w:customStyle="1" w:styleId="25">
    <w:name w:val="纯文本1"/>
    <w:basedOn w:val="1"/>
    <w:next w:val="5"/>
    <w:link w:val="27"/>
    <w:qFormat/>
    <w:uiPriority w:val="99"/>
    <w:pPr>
      <w:spacing w:before="156" w:beforeLines="50" w:after="156" w:afterLines="50" w:line="400" w:lineRule="atLeast"/>
    </w:pPr>
    <w:rPr>
      <w:rFonts w:hAnsi="Courier New" w:cs="Times New Roman"/>
    </w:rPr>
  </w:style>
  <w:style w:type="character" w:customStyle="1" w:styleId="26">
    <w:name w:val="纯文本 字符"/>
    <w:basedOn w:val="13"/>
    <w:qFormat/>
    <w:uiPriority w:val="0"/>
    <w:rPr>
      <w:rFonts w:ascii="宋体" w:hAnsi="Courier New" w:eastAsia="宋体" w:cs="Courier New"/>
      <w:kern w:val="2"/>
      <w:sz w:val="24"/>
      <w:szCs w:val="24"/>
    </w:rPr>
  </w:style>
  <w:style w:type="character" w:customStyle="1" w:styleId="27">
    <w:name w:val="纯文本 字符1"/>
    <w:link w:val="25"/>
    <w:qFormat/>
    <w:uiPriority w:val="99"/>
    <w:rPr>
      <w:rFonts w:ascii="宋体" w:hAnsi="Courier New" w:eastAsia="宋体" w:cs="Times New Roman"/>
      <w:kern w:val="2"/>
      <w:sz w:val="24"/>
      <w:szCs w:val="24"/>
    </w:rPr>
  </w:style>
  <w:style w:type="character" w:customStyle="1" w:styleId="28">
    <w:name w:val="批注主题 字符"/>
    <w:basedOn w:val="18"/>
    <w:link w:val="10"/>
    <w:semiHidden/>
    <w:qFormat/>
    <w:uiPriority w:val="0"/>
    <w:rPr>
      <w:rFonts w:ascii="宋体" w:hAnsi="宋体" w:eastAsia="宋体" w:cs="宋体"/>
      <w:b/>
      <w:bCs/>
      <w:sz w:val="24"/>
      <w:szCs w:val="24"/>
    </w:rPr>
  </w:style>
  <w:style w:type="character" w:customStyle="1" w:styleId="29">
    <w:name w:val="Unresolved Mention"/>
    <w:basedOn w:val="13"/>
    <w:semiHidden/>
    <w:unhideWhenUsed/>
    <w:qFormat/>
    <w:uiPriority w:val="99"/>
    <w:rPr>
      <w:color w:val="605E5C"/>
      <w:shd w:val="clear" w:color="auto" w:fill="E1DFDD"/>
    </w:rPr>
  </w:style>
  <w:style w:type="character" w:customStyle="1" w:styleId="30">
    <w:name w:val="正文文本 字符"/>
    <w:basedOn w:val="13"/>
    <w:link w:val="3"/>
    <w:qFormat/>
    <w:uiPriority w:val="0"/>
    <w:rPr>
      <w:rFonts w:ascii="宋体" w:hAnsi="宋体" w:eastAsia="宋体" w:cs="宋体"/>
      <w:sz w:val="24"/>
      <w:szCs w:val="24"/>
    </w:rPr>
  </w:style>
  <w:style w:type="character" w:customStyle="1" w:styleId="31">
    <w:name w:val="纯文本 字符2"/>
    <w:basedOn w:val="13"/>
    <w:link w:val="5"/>
    <w:semiHidden/>
    <w:qFormat/>
    <w:uiPriority w:val="99"/>
    <w:rPr>
      <w:rFonts w:hAnsi="Courier New" w:cs="Courier New" w:asciiTheme="minorEastAsia"/>
      <w:sz w:val="24"/>
      <w:szCs w:val="24"/>
    </w:rPr>
  </w:style>
  <w:style w:type="table" w:customStyle="1" w:styleId="3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1</Pages>
  <Words>4674</Words>
  <Characters>26646</Characters>
  <Lines>1</Lines>
  <Paragraphs>1</Paragraphs>
  <TotalTime>8</TotalTime>
  <ScaleCrop>false</ScaleCrop>
  <LinksUpToDate>false</LinksUpToDate>
  <CharactersWithSpaces>31258</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浙江求是招标代理有限公司</cp:lastModifiedBy>
  <dcterms:modified xsi:type="dcterms:W3CDTF">2023-11-17T02:05:06Z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