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line="360" w:lineRule="auto"/>
        <w:rPr>
          <w:rFonts w:hint="eastAsia" w:cs="宋体"/>
          <w:bCs/>
          <w:color w:val="auto"/>
          <w:highlight w:val="none"/>
        </w:rPr>
      </w:pPr>
      <w:r>
        <w:rPr>
          <w:rFonts w:hint="eastAsia" w:cs="宋体"/>
          <w:bCs/>
          <w:color w:val="auto"/>
          <w:highlight w:val="none"/>
        </w:rPr>
        <w:t>采购需求</w:t>
      </w:r>
    </w:p>
    <w:p>
      <w:pPr>
        <w:pStyle w:val="5"/>
        <w:rPr>
          <w:rFonts w:ascii="宋体" w:hAnsi="宋体" w:cs="宋体"/>
          <w:color w:val="auto"/>
          <w:szCs w:val="40"/>
          <w:highlight w:val="none"/>
          <w:lang w:val="en-US" w:eastAsia="zh-CN"/>
        </w:rPr>
      </w:pPr>
      <w:bookmarkStart w:id="0" w:name="_Toc18187"/>
      <w:bookmarkStart w:id="1" w:name="_Toc21112"/>
      <w:r>
        <w:rPr>
          <w:rFonts w:hint="eastAsia" w:ascii="宋体" w:hAnsi="宋体" w:cs="宋体"/>
          <w:color w:val="auto"/>
          <w:szCs w:val="40"/>
          <w:highlight w:val="none"/>
        </w:rPr>
        <w:t>一、</w:t>
      </w:r>
      <w:bookmarkEnd w:id="0"/>
      <w:bookmarkEnd w:id="1"/>
      <w:r>
        <w:rPr>
          <w:rFonts w:hint="eastAsia" w:ascii="宋体" w:hAnsi="宋体" w:cs="宋体"/>
          <w:color w:val="auto"/>
          <w:szCs w:val="40"/>
          <w:highlight w:val="none"/>
          <w:lang w:val="en-US" w:eastAsia="zh-CN"/>
        </w:rPr>
        <w:t>货物或产品的说明和具体技术要求</w:t>
      </w:r>
    </w:p>
    <w:p>
      <w:pPr>
        <w:pStyle w:val="11"/>
        <w:widowControl w:val="0"/>
        <w:spacing w:afterLines="0" w:line="44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1.货物（材料）要求</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1.1</w:t>
      </w:r>
      <w:r>
        <w:rPr>
          <w:rFonts w:hint="eastAsia" w:ascii="宋体" w:hAnsi="宋体" w:cs="宋体"/>
          <w:color w:val="auto"/>
          <w:kern w:val="0"/>
          <w:sz w:val="24"/>
          <w:highlight w:val="none"/>
          <w:lang w:val="en-US" w:eastAsia="zh-CN"/>
        </w:rPr>
        <w:t>供应商</w:t>
      </w:r>
      <w:r>
        <w:rPr>
          <w:rFonts w:hint="eastAsia" w:ascii="宋体" w:hAnsi="宋体" w:cs="宋体"/>
          <w:color w:val="auto"/>
          <w:kern w:val="0"/>
          <w:sz w:val="24"/>
          <w:highlight w:val="none"/>
        </w:rPr>
        <w:t>提供的货物必须是厂商原装的、全新的，型号、性能及指标符合国家及招标文件提出的有关技术、质量、安全标准。</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1.2所有货物在开箱检验时必须完好，无破损，配置与装箱单相符。数量、质量及性能不低于本需求书中提出的要求。</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1.3货物外观清洁，标记编号以及盘面显示等字体清晰，明确。铭牌、使用指示、警告指示应以中文或英文及易懂的通用符号来表示；应准确无误地表明货物之型号、规格、制造厂及生产或出厂日期。</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1.4对于影响货物正常工作的必要组成部分，无论在技术规范中指出与否，供应商都应提供并在投标文件中明确列出。</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1.5所有货物提供出厂合格证等质量证明文件，国外生产的必须有合法的进货渠道证明，如海关报关单、原产地证明、商检证明等。</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1.6所有货物到现场安装使用前，采购人将进行抽样检验或试验。</w:t>
      </w:r>
    </w:p>
    <w:p>
      <w:pPr>
        <w:pStyle w:val="11"/>
        <w:widowControl w:val="0"/>
        <w:spacing w:afterLines="0" w:line="44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2.数量调整</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采购人保留在签约时调整部分方案及定购货物数量和服务的权力，供应商应对系统方案中货物和服务明细报价，按投标单价不变的前提下进行调整，双方不得拒绝。</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如遇本次招标没有涉及的货物或服务时，由</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单位提供申请，采购人确认后实施。</w:t>
      </w:r>
    </w:p>
    <w:p>
      <w:pPr>
        <w:pStyle w:val="11"/>
        <w:widowControl w:val="0"/>
        <w:spacing w:afterLines="0" w:line="44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3.安装及调试、验收</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单位应派经采购人认可的有经验和能力、具有相应资质的技术人员，负责系统货物安装工作，在货物安装期间应充分了解货物安装进度要求，解决安装中出现的技术问题。</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3.1</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单位负责货物的安装、调试，并负责调试至验收合格。</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3.2调试所需专用工具设施物料由</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单位自备、自费运到现场，完工后自费搬走。</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3.3安装完成后，进行调试、第三方100%检测，验收按国家有关规范标准（国家无验收规范标准的按双方合同规定的要求）进行，第三方检测的费用由</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单位承担，该费用视为已包含在</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价内。检测内容、清单附后。</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3.4货物的拆箱、调试等各项工作由</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单位负责，但必须在采购人指定人员的参与下进行。在实际实施前必须先经采购人同意方可进行。调试的原始记录须经各方签字后作为验收的文件之一。</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3.5所有的招标货物应按照国家有关技术标准在制造厂检查和试验合格，以表明其安全性能以及货物材料和结构在机械上的完整性。</w:t>
      </w:r>
    </w:p>
    <w:p>
      <w:pPr>
        <w:pStyle w:val="11"/>
        <w:widowControl w:val="0"/>
        <w:spacing w:afterLines="0" w:line="44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4.技术培训</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4.1</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单位须对采购人的技术人员培训。供应商须在投标文件中提供详细的培训计划，包括培训内容、培训时间、培训费用等。</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4.2</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单位提供的负责培训的人员应具备同类货物五年以上的经验。</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4.3技术培训费用应包含在投标总价中。    </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4.4技术培训至少应包括下列内容：</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4.4.1原理、构成和功能的描述。</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4.4.2常见故障的处理或排除。</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4.4.3各部件（货物）的检查、调整和维护。</w:t>
      </w:r>
    </w:p>
    <w:p>
      <w:pPr>
        <w:keepNext w:val="0"/>
        <w:keepLines w:val="0"/>
        <w:pageBreakBefore w:val="0"/>
        <w:widowControl w:val="0"/>
        <w:tabs>
          <w:tab w:val="left" w:pos="136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4.4.4对使用者关于货物基本操作技能的培训。</w:t>
      </w:r>
    </w:p>
    <w:p>
      <w:pPr>
        <w:pStyle w:val="11"/>
        <w:widowControl w:val="0"/>
        <w:spacing w:afterLines="0" w:line="44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5.售后服务</w:t>
      </w:r>
    </w:p>
    <w:p>
      <w:pPr>
        <w:pStyle w:val="7"/>
        <w:keepNext w:val="0"/>
        <w:keepLines w:val="0"/>
        <w:pageBreakBefore w:val="0"/>
        <w:widowControl w:val="0"/>
        <w:kinsoku/>
        <w:wordWrap/>
        <w:overflowPunct/>
        <w:topLinePunct w:val="0"/>
        <w:autoSpaceDE/>
        <w:autoSpaceDN/>
        <w:bidi w:val="0"/>
        <w:adjustRightInd w:val="0"/>
        <w:spacing w:line="360" w:lineRule="auto"/>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5.1</w:t>
      </w:r>
      <w:r>
        <w:rPr>
          <w:rFonts w:hint="eastAsia" w:ascii="宋体" w:hAnsi="宋体" w:cs="宋体"/>
          <w:color w:val="auto"/>
          <w:kern w:val="0"/>
          <w:sz w:val="24"/>
          <w:szCs w:val="22"/>
          <w:highlight w:val="none"/>
          <w:lang w:eastAsia="zh-CN"/>
        </w:rPr>
        <w:t>中标（成交）</w:t>
      </w:r>
      <w:r>
        <w:rPr>
          <w:rFonts w:hint="eastAsia" w:ascii="宋体" w:hAnsi="宋体" w:cs="宋体"/>
          <w:color w:val="auto"/>
          <w:kern w:val="0"/>
          <w:sz w:val="24"/>
          <w:szCs w:val="22"/>
          <w:highlight w:val="none"/>
        </w:rPr>
        <w:t>单位须提供经调试、验收合格后</w:t>
      </w:r>
      <w:r>
        <w:rPr>
          <w:rFonts w:hint="eastAsia" w:ascii="宋体" w:hAnsi="宋体" w:cs="宋体"/>
          <w:color w:val="auto"/>
          <w:kern w:val="0"/>
          <w:sz w:val="24"/>
          <w:szCs w:val="22"/>
          <w:highlight w:val="none"/>
        </w:rPr>
        <w:t>至少</w:t>
      </w:r>
      <w:r>
        <w:rPr>
          <w:rFonts w:hint="eastAsia" w:ascii="宋体" w:hAnsi="宋体" w:cs="宋体"/>
          <w:color w:val="auto"/>
          <w:kern w:val="0"/>
          <w:sz w:val="24"/>
          <w:szCs w:val="22"/>
          <w:highlight w:val="none"/>
          <w:lang w:val="en-US" w:eastAsia="zh-CN"/>
        </w:rPr>
        <w:t>四</w:t>
      </w:r>
      <w:r>
        <w:rPr>
          <w:rFonts w:hint="eastAsia" w:ascii="宋体" w:hAnsi="宋体" w:cs="宋体"/>
          <w:color w:val="auto"/>
          <w:kern w:val="0"/>
          <w:sz w:val="24"/>
          <w:szCs w:val="22"/>
          <w:highlight w:val="none"/>
        </w:rPr>
        <w:t>年的</w:t>
      </w:r>
      <w:r>
        <w:rPr>
          <w:rFonts w:hint="eastAsia" w:ascii="宋体" w:hAnsi="宋体" w:cs="宋体"/>
          <w:color w:val="auto"/>
          <w:kern w:val="0"/>
          <w:sz w:val="24"/>
          <w:szCs w:val="22"/>
          <w:highlight w:val="none"/>
        </w:rPr>
        <w:t>质保期(</w:t>
      </w:r>
      <w:r>
        <w:rPr>
          <w:rFonts w:hint="eastAsia" w:ascii="宋体" w:hAnsi="宋体" w:cs="宋体"/>
          <w:color w:val="auto"/>
          <w:kern w:val="0"/>
          <w:sz w:val="24"/>
          <w:szCs w:val="22"/>
          <w:highlight w:val="none"/>
          <w:lang w:eastAsia="zh-CN"/>
        </w:rPr>
        <w:t>中标（成交）</w:t>
      </w:r>
      <w:r>
        <w:rPr>
          <w:rFonts w:hint="eastAsia" w:ascii="宋体" w:hAnsi="宋体" w:cs="宋体"/>
          <w:color w:val="auto"/>
          <w:kern w:val="0"/>
          <w:sz w:val="24"/>
          <w:szCs w:val="22"/>
          <w:highlight w:val="none"/>
        </w:rPr>
        <w:t>单位可根据自身实力作出更长时间的</w:t>
      </w:r>
      <w:r>
        <w:rPr>
          <w:rFonts w:hint="eastAsia" w:ascii="宋体" w:hAnsi="宋体" w:cs="宋体"/>
          <w:color w:val="auto"/>
          <w:kern w:val="0"/>
          <w:sz w:val="24"/>
          <w:highlight w:val="none"/>
        </w:rPr>
        <w:t>质保承诺)。在此期间，</w:t>
      </w:r>
      <w:r>
        <w:rPr>
          <w:rFonts w:hint="eastAsia" w:ascii="宋体" w:hAnsi="宋体" w:cs="宋体"/>
          <w:color w:val="auto"/>
          <w:kern w:val="0"/>
          <w:sz w:val="24"/>
          <w:szCs w:val="22"/>
          <w:highlight w:val="none"/>
          <w:lang w:eastAsia="zh-CN"/>
        </w:rPr>
        <w:t>中标（成交）</w:t>
      </w:r>
      <w:r>
        <w:rPr>
          <w:rFonts w:hint="eastAsia" w:ascii="宋体" w:hAnsi="宋体" w:cs="宋体"/>
          <w:color w:val="auto"/>
          <w:kern w:val="0"/>
          <w:sz w:val="24"/>
          <w:szCs w:val="22"/>
          <w:highlight w:val="none"/>
        </w:rPr>
        <w:t>单位</w:t>
      </w:r>
      <w:r>
        <w:rPr>
          <w:rFonts w:hint="eastAsia" w:ascii="宋体" w:hAnsi="宋体" w:cs="宋体"/>
          <w:color w:val="auto"/>
          <w:kern w:val="0"/>
          <w:sz w:val="24"/>
          <w:highlight w:val="none"/>
        </w:rPr>
        <w:t>应免费处理因质量发生的故障，并进行正常保养。</w:t>
      </w:r>
    </w:p>
    <w:p>
      <w:pPr>
        <w:keepNext w:val="0"/>
        <w:keepLines w:val="0"/>
        <w:pageBreakBefore w:val="0"/>
        <w:widowControl w:val="0"/>
        <w:tabs>
          <w:tab w:val="left" w:pos="3870"/>
          <w:tab w:val="left" w:pos="408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5.2</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单位必须有可靠的售后服务保障包括但不限于在</w:t>
      </w:r>
      <w:r>
        <w:rPr>
          <w:rFonts w:hint="eastAsia" w:ascii="宋体" w:hAnsi="宋体" w:cs="宋体"/>
          <w:color w:val="auto"/>
          <w:kern w:val="0"/>
          <w:sz w:val="24"/>
          <w:highlight w:val="none"/>
          <w:u w:val="single"/>
          <w:lang w:eastAsia="zh-CN"/>
        </w:rPr>
        <w:t>周边</w:t>
      </w:r>
      <w:r>
        <w:rPr>
          <w:rFonts w:hint="eastAsia" w:ascii="宋体" w:hAnsi="宋体" w:cs="宋体"/>
          <w:color w:val="auto"/>
          <w:kern w:val="0"/>
          <w:sz w:val="24"/>
          <w:highlight w:val="none"/>
        </w:rPr>
        <w:t>有固定的维修服务点，能提供正常的技术、备品备件服务。</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单位在接到采购人通知后，4小时内派人赴现场处理货物质量问题。24小时内不能修复的，则无偿提供备机或备用零件供采购人使用。</w:t>
      </w:r>
    </w:p>
    <w:p>
      <w:pPr>
        <w:pStyle w:val="11"/>
        <w:widowControl w:val="0"/>
        <w:spacing w:afterLines="0" w:line="440" w:lineRule="exact"/>
        <w:ind w:firstLine="0" w:firstLineChars="0"/>
        <w:rPr>
          <w:rFonts w:hint="eastAsia" w:ascii="宋体" w:hAnsi="宋体" w:cs="宋体"/>
          <w:b/>
          <w:color w:val="auto"/>
          <w:szCs w:val="24"/>
          <w:highlight w:val="none"/>
        </w:rPr>
      </w:pPr>
      <w:r>
        <w:rPr>
          <w:rFonts w:hint="eastAsia" w:ascii="宋体" w:hAnsi="宋体" w:cs="宋体"/>
          <w:b/>
          <w:color w:val="auto"/>
          <w:szCs w:val="24"/>
          <w:highlight w:val="none"/>
        </w:rPr>
        <w:t>6. 服务要求</w:t>
      </w:r>
    </w:p>
    <w:p>
      <w:pPr>
        <w:keepNext w:val="0"/>
        <w:keepLines w:val="0"/>
        <w:pageBreakBefore w:val="0"/>
        <w:widowControl w:val="0"/>
        <w:tabs>
          <w:tab w:val="left" w:pos="3870"/>
          <w:tab w:val="left" w:pos="4085"/>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6.1货物保修期内，如出现故障，</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单位在接到电话4小时内到达采购人指定地点，</w:t>
      </w:r>
    </w:p>
    <w:p>
      <w:pPr>
        <w:keepNext w:val="0"/>
        <w:keepLines w:val="0"/>
        <w:pageBreakBefore w:val="0"/>
        <w:widowControl w:val="0"/>
        <w:tabs>
          <w:tab w:val="left" w:pos="3870"/>
          <w:tab w:val="left" w:pos="4085"/>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6.2 </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单位提供的货物，必须符合招标文件及其投标文件规定的要求，如有不符，采购人可以无条件退货，造成的损失由</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单位承担。</w:t>
      </w:r>
    </w:p>
    <w:p>
      <w:pPr>
        <w:keepNext w:val="0"/>
        <w:keepLines w:val="0"/>
        <w:pageBreakBefore w:val="0"/>
        <w:widowControl w:val="0"/>
        <w:tabs>
          <w:tab w:val="left" w:pos="3870"/>
          <w:tab w:val="left" w:pos="4085"/>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6.3 </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单位、供货人名称必须一致，否则作违约处理，其履约保证金或投标保证金不予退还。</w:t>
      </w:r>
    </w:p>
    <w:p>
      <w:pPr>
        <w:snapToGrid w:val="0"/>
        <w:spacing w:line="440" w:lineRule="exact"/>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7. 项目实施人员费用</w:t>
      </w:r>
    </w:p>
    <w:p>
      <w:pPr>
        <w:keepNext w:val="0"/>
        <w:keepLines w:val="0"/>
        <w:pageBreakBefore w:val="0"/>
        <w:widowControl w:val="0"/>
        <w:tabs>
          <w:tab w:val="left" w:pos="3870"/>
          <w:tab w:val="left" w:pos="4085"/>
        </w:tabs>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7.1</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单位应自行承担选派专业人员的住宿、就餐和交通等费用。</w:t>
      </w:r>
    </w:p>
    <w:p>
      <w:pPr>
        <w:keepNext w:val="0"/>
        <w:keepLines w:val="0"/>
        <w:pageBreakBefore w:val="0"/>
        <w:widowControl w:val="0"/>
        <w:tabs>
          <w:tab w:val="left" w:pos="3870"/>
          <w:tab w:val="left" w:pos="4085"/>
        </w:tabs>
        <w:kinsoku/>
        <w:wordWrap/>
        <w:overflowPunct/>
        <w:topLinePunct w:val="0"/>
        <w:autoSpaceDE/>
        <w:autoSpaceDN/>
        <w:bidi w:val="0"/>
        <w:adjustRightInd/>
        <w:snapToGrid w:val="0"/>
        <w:spacing w:line="360" w:lineRule="auto"/>
        <w:ind w:firstLine="480" w:firstLineChars="200"/>
        <w:jc w:val="left"/>
        <w:textAlignment w:val="auto"/>
        <w:rPr>
          <w:rFonts w:ascii="宋体" w:hAnsi="宋体" w:cs="宋体"/>
          <w:color w:val="auto"/>
          <w:kern w:val="0"/>
          <w:sz w:val="24"/>
          <w:highlight w:val="none"/>
        </w:rPr>
      </w:pPr>
      <w:r>
        <w:rPr>
          <w:rFonts w:hint="eastAsia" w:ascii="宋体" w:hAnsi="宋体" w:cs="宋体"/>
          <w:color w:val="auto"/>
          <w:kern w:val="0"/>
          <w:sz w:val="24"/>
          <w:highlight w:val="none"/>
        </w:rPr>
        <w:t>7.2</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单位应当为本合同工程和施工场地内的自有人员、设备及第三方生命财产办理保险并支付保险费用，费用已包含在合同总价内。因</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单位未办理保险所造成招标人、监理人、其他</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人、第三方人员的损失，由</w:t>
      </w:r>
      <w:r>
        <w:rPr>
          <w:rFonts w:hint="eastAsia" w:ascii="宋体" w:hAnsi="宋体" w:cs="宋体"/>
          <w:color w:val="auto"/>
          <w:kern w:val="0"/>
          <w:sz w:val="24"/>
          <w:highlight w:val="none"/>
          <w:lang w:eastAsia="zh-CN"/>
        </w:rPr>
        <w:t>中标（成交）</w:t>
      </w:r>
      <w:r>
        <w:rPr>
          <w:rFonts w:hint="eastAsia" w:ascii="宋体" w:hAnsi="宋体" w:cs="宋体"/>
          <w:color w:val="auto"/>
          <w:kern w:val="0"/>
          <w:sz w:val="24"/>
          <w:highlight w:val="none"/>
        </w:rPr>
        <w:t>单位承担赔偿责任。</w:t>
      </w:r>
    </w:p>
    <w:p>
      <w:pPr>
        <w:pStyle w:val="3"/>
        <w:rPr>
          <w:color w:val="auto"/>
          <w:highlight w:val="none"/>
        </w:rPr>
      </w:pPr>
    </w:p>
    <w:p>
      <w:pPr>
        <w:pStyle w:val="5"/>
        <w:numPr>
          <w:ilvl w:val="0"/>
          <w:numId w:val="1"/>
        </w:numPr>
        <w:rPr>
          <w:rFonts w:hint="eastAsia" w:ascii="宋体" w:hAnsi="宋体" w:cs="宋体"/>
          <w:color w:val="auto"/>
          <w:szCs w:val="24"/>
          <w:highlight w:val="none"/>
          <w:lang w:val="en-US" w:eastAsia="zh-CN"/>
        </w:rPr>
      </w:pPr>
      <w:bookmarkStart w:id="2" w:name="_Toc6282"/>
      <w:bookmarkStart w:id="3" w:name="_Toc4822"/>
      <w:r>
        <w:rPr>
          <w:rFonts w:hint="eastAsia" w:ascii="宋体" w:hAnsi="宋体" w:cs="宋体"/>
          <w:color w:val="auto"/>
          <w:szCs w:val="24"/>
          <w:highlight w:val="none"/>
          <w:lang w:val="en-US" w:eastAsia="zh-CN"/>
        </w:rPr>
        <w:t>具体要求</w:t>
      </w:r>
    </w:p>
    <w:p>
      <w:pPr>
        <w:rPr>
          <w:rFonts w:hint="default"/>
          <w:b/>
          <w:bCs/>
          <w:color w:val="auto"/>
          <w:highlight w:val="none"/>
          <w:lang w:val="en-US" w:eastAsia="zh-CN"/>
        </w:rPr>
      </w:pPr>
      <w:r>
        <w:rPr>
          <w:rFonts w:hint="eastAsia" w:ascii="宋体" w:hAnsi="宋体" w:cs="宋体"/>
          <w:b/>
          <w:bCs/>
          <w:color w:val="auto"/>
          <w:szCs w:val="24"/>
          <w:highlight w:val="none"/>
          <w:lang w:val="en-US" w:eastAsia="zh-CN"/>
        </w:rPr>
        <w:t>1.需求一览表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096"/>
        <w:gridCol w:w="1724"/>
        <w:gridCol w:w="1920"/>
        <w:gridCol w:w="1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r>
              <w:rPr>
                <w:rFonts w:hint="eastAsia"/>
                <w:b/>
                <w:bCs/>
                <w:color w:val="auto"/>
                <w:highlight w:val="none"/>
                <w:vertAlign w:val="baseline"/>
                <w:lang w:val="en-US" w:eastAsia="zh-CN"/>
              </w:rPr>
              <w:t>序号</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r>
              <w:rPr>
                <w:rFonts w:hint="eastAsia"/>
                <w:b/>
                <w:bCs/>
                <w:color w:val="auto"/>
                <w:highlight w:val="none"/>
                <w:vertAlign w:val="baseline"/>
                <w:lang w:val="en-US" w:eastAsia="zh-CN"/>
              </w:rPr>
              <w:t>楼号</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r>
              <w:rPr>
                <w:rFonts w:hint="eastAsia"/>
                <w:b/>
                <w:bCs/>
                <w:color w:val="auto"/>
                <w:highlight w:val="none"/>
                <w:vertAlign w:val="baseline"/>
                <w:lang w:val="en-US" w:eastAsia="zh-CN"/>
              </w:rPr>
              <w:t>总房间数</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r>
              <w:rPr>
                <w:rFonts w:hint="eastAsia"/>
                <w:b/>
                <w:bCs/>
                <w:color w:val="auto"/>
                <w:highlight w:val="none"/>
                <w:vertAlign w:val="baseline"/>
                <w:lang w:val="en-US" w:eastAsia="zh-CN"/>
              </w:rPr>
              <w:t>其中四改五改造</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r>
              <w:rPr>
                <w:rFonts w:hint="eastAsia"/>
                <w:b/>
                <w:bCs/>
                <w:color w:val="auto"/>
                <w:highlight w:val="none"/>
                <w:vertAlign w:val="baseline"/>
                <w:lang w:val="en-US" w:eastAsia="zh-CN"/>
              </w:rPr>
              <w:t>护栏加高房间数</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r>
              <w:rPr>
                <w:rFonts w:hint="eastAsia"/>
                <w:b/>
                <w:bCs/>
                <w:color w:val="auto"/>
                <w:highlight w:val="none"/>
                <w:vertAlign w:val="baseline"/>
                <w:lang w:val="en-US" w:eastAsia="zh-CN"/>
              </w:rPr>
              <w:t>护栏加高床位数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120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120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144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144</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4号楼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310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310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4</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5号楼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334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2021年334间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5</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6号楼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334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334</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1336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6</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8号楼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130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130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520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10号楼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334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2020年167间</w:t>
            </w:r>
          </w:p>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2021年167间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8</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11号楼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334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2020年84间</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2021年250间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9</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12号楼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310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310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10</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13号楼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180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180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11</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14号楼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180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180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12</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15号楼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180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180</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13</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16号楼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168</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168</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14</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18号楼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168</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168</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15</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21号楼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179</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2020年81间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98</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16</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22号楼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120</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2020年120间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17</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27号楼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178</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2020年178间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18</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28号楼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2020年194间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29号楼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20</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30号楼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21</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31号楼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194</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776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22</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32号楼</w:t>
            </w: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646</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olor w:val="auto"/>
                <w:highlight w:val="none"/>
                <w:vertAlign w:val="baseline"/>
                <w:lang w:val="en-US" w:eastAsia="zh-CN"/>
              </w:rPr>
            </w:pPr>
            <w:r>
              <w:rPr>
                <w:rFonts w:hint="eastAsia"/>
                <w:color w:val="auto"/>
                <w:highlight w:val="none"/>
                <w:vertAlign w:val="baseline"/>
                <w:lang w:val="en-US" w:eastAsia="zh-CN"/>
              </w:rPr>
              <w:t>2021年</w:t>
            </w:r>
            <w:r>
              <w:rPr>
                <w:rFonts w:hint="default"/>
                <w:color w:val="auto"/>
                <w:highlight w:val="none"/>
                <w:vertAlign w:val="baseline"/>
                <w:lang w:val="en-US" w:eastAsia="zh-CN"/>
              </w:rPr>
              <w:t>110</w:t>
            </w:r>
            <w:r>
              <w:rPr>
                <w:rFonts w:hint="eastAsia"/>
                <w:color w:val="auto"/>
                <w:highlight w:val="none"/>
                <w:vertAlign w:val="baseline"/>
                <w:lang w:val="en-US" w:eastAsia="zh-CN"/>
              </w:rPr>
              <w:t>间</w:t>
            </w: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5</w:t>
            </w:r>
            <w:r>
              <w:rPr>
                <w:rFonts w:hint="default"/>
                <w:color w:val="auto"/>
                <w:highlight w:val="none"/>
                <w:vertAlign w:val="baseline"/>
                <w:lang w:val="en-US" w:eastAsia="zh-CN"/>
              </w:rPr>
              <w:t>3</w:t>
            </w:r>
            <w:r>
              <w:rPr>
                <w:rFonts w:hint="eastAsia"/>
                <w:color w:val="auto"/>
                <w:highlight w:val="none"/>
                <w:vertAlign w:val="baseline"/>
                <w:lang w:val="en-US" w:eastAsia="zh-CN"/>
              </w:rPr>
              <w:t>6</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2</w:t>
            </w:r>
            <w:r>
              <w:rPr>
                <w:rFonts w:hint="default"/>
                <w:color w:val="auto"/>
                <w:highlight w:val="none"/>
                <w:vertAlign w:val="baseline"/>
                <w:lang w:val="en-US" w:eastAsia="zh-CN"/>
              </w:rPr>
              <w:t>14</w:t>
            </w:r>
            <w:r>
              <w:rPr>
                <w:rFonts w:hint="eastAsia"/>
                <w:color w:val="auto"/>
                <w:highlight w:val="none"/>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9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b/>
                <w:bCs/>
                <w:color w:val="auto"/>
                <w:highlight w:val="none"/>
                <w:vertAlign w:val="baseline"/>
                <w:lang w:val="en-US" w:eastAsia="zh-CN"/>
              </w:rPr>
            </w:pPr>
            <w:r>
              <w:rPr>
                <w:rFonts w:hint="eastAsia"/>
                <w:b/>
                <w:bCs/>
                <w:color w:val="auto"/>
                <w:highlight w:val="none"/>
                <w:vertAlign w:val="baseline"/>
                <w:lang w:val="en-US" w:eastAsia="zh-CN"/>
              </w:rPr>
              <w:t>合计</w:t>
            </w:r>
          </w:p>
        </w:tc>
        <w:tc>
          <w:tcPr>
            <w:tcW w:w="108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p>
        </w:tc>
        <w:tc>
          <w:tcPr>
            <w:tcW w:w="109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b/>
                <w:bCs/>
                <w:color w:val="auto"/>
                <w:highlight w:val="none"/>
                <w:vertAlign w:val="baseline"/>
                <w:lang w:eastAsia="zh-CN"/>
              </w:rPr>
            </w:pPr>
            <w:r>
              <w:rPr>
                <w:rFonts w:hint="default"/>
                <w:b/>
                <w:bCs/>
                <w:color w:val="auto"/>
                <w:highlight w:val="none"/>
                <w:vertAlign w:val="baseline"/>
                <w:lang w:eastAsia="zh-CN"/>
              </w:rPr>
              <w:fldChar w:fldCharType="begin"/>
            </w:r>
            <w:r>
              <w:rPr>
                <w:rFonts w:hint="default"/>
                <w:b/>
                <w:bCs/>
                <w:color w:val="auto"/>
                <w:highlight w:val="none"/>
                <w:vertAlign w:val="baseline"/>
                <w:lang w:eastAsia="zh-CN"/>
              </w:rPr>
              <w:instrText xml:space="preserve"> =SUM(ABOVE) \* MERGEFORMAT </w:instrText>
            </w:r>
            <w:r>
              <w:rPr>
                <w:rFonts w:hint="default"/>
                <w:b/>
                <w:bCs/>
                <w:color w:val="auto"/>
                <w:highlight w:val="none"/>
                <w:vertAlign w:val="baseline"/>
                <w:lang w:eastAsia="zh-CN"/>
              </w:rPr>
              <w:fldChar w:fldCharType="separate"/>
            </w:r>
            <w:r>
              <w:rPr>
                <w:rFonts w:hint="default"/>
                <w:b/>
                <w:bCs/>
                <w:color w:val="auto"/>
                <w:highlight w:val="none"/>
                <w:vertAlign w:val="baseline"/>
                <w:lang w:eastAsia="zh-CN"/>
              </w:rPr>
              <w:t>5125</w:t>
            </w:r>
            <w:r>
              <w:rPr>
                <w:rFonts w:hint="default"/>
                <w:b/>
                <w:bCs/>
                <w:color w:val="auto"/>
                <w:highlight w:val="none"/>
                <w:vertAlign w:val="baseline"/>
                <w:lang w:eastAsia="zh-CN"/>
              </w:rPr>
              <w:fldChar w:fldCharType="end"/>
            </w:r>
            <w:r>
              <w:rPr>
                <w:rFonts w:hint="eastAsia"/>
                <w:b/>
                <w:bCs/>
                <w:color w:val="auto"/>
                <w:highlight w:val="none"/>
                <w:vertAlign w:val="baseline"/>
                <w:lang w:eastAsia="zh-CN"/>
              </w:rPr>
              <w:t>间</w:t>
            </w:r>
          </w:p>
        </w:tc>
        <w:tc>
          <w:tcPr>
            <w:tcW w:w="172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b/>
                <w:bCs/>
                <w:color w:val="auto"/>
                <w:highlight w:val="none"/>
                <w:vertAlign w:val="baseline"/>
                <w:lang w:val="en-US" w:eastAsia="zh-CN"/>
              </w:rPr>
            </w:pPr>
          </w:p>
        </w:tc>
        <w:tc>
          <w:tcPr>
            <w:tcW w:w="192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b/>
                <w:bCs/>
                <w:color w:val="auto"/>
                <w:highlight w:val="none"/>
                <w:vertAlign w:val="baseline"/>
                <w:lang w:eastAsia="zh-CN"/>
              </w:rPr>
            </w:pPr>
            <w:r>
              <w:rPr>
                <w:rFonts w:hint="eastAsia"/>
                <w:b/>
                <w:bCs/>
                <w:color w:val="auto"/>
                <w:highlight w:val="none"/>
                <w:vertAlign w:val="baseline"/>
                <w:lang w:eastAsia="zh-CN"/>
              </w:rPr>
              <w:fldChar w:fldCharType="begin"/>
            </w:r>
            <w:r>
              <w:rPr>
                <w:rFonts w:hint="eastAsia"/>
                <w:b/>
                <w:bCs/>
                <w:color w:val="auto"/>
                <w:highlight w:val="none"/>
                <w:vertAlign w:val="baseline"/>
                <w:lang w:eastAsia="zh-CN"/>
              </w:rPr>
              <w:instrText xml:space="preserve"> =SUM(ABOVE) \* MERGEFORMAT </w:instrText>
            </w:r>
            <w:r>
              <w:rPr>
                <w:rFonts w:hint="eastAsia"/>
                <w:b/>
                <w:bCs/>
                <w:color w:val="auto"/>
                <w:highlight w:val="none"/>
                <w:vertAlign w:val="baseline"/>
                <w:lang w:eastAsia="zh-CN"/>
              </w:rPr>
              <w:fldChar w:fldCharType="separate"/>
            </w:r>
            <w:r>
              <w:rPr>
                <w:rFonts w:hint="eastAsia"/>
                <w:b/>
                <w:bCs/>
                <w:color w:val="auto"/>
                <w:highlight w:val="none"/>
                <w:vertAlign w:val="baseline"/>
                <w:lang w:eastAsia="zh-CN"/>
              </w:rPr>
              <w:t>3440</w:t>
            </w:r>
            <w:r>
              <w:rPr>
                <w:rFonts w:hint="eastAsia"/>
                <w:b/>
                <w:bCs/>
                <w:color w:val="auto"/>
                <w:highlight w:val="none"/>
                <w:vertAlign w:val="baseline"/>
                <w:lang w:eastAsia="zh-CN"/>
              </w:rPr>
              <w:fldChar w:fldCharType="end"/>
            </w:r>
            <w:r>
              <w:rPr>
                <w:rFonts w:hint="eastAsia"/>
                <w:b/>
                <w:bCs/>
                <w:color w:val="auto"/>
                <w:highlight w:val="none"/>
                <w:vertAlign w:val="baseline"/>
                <w:lang w:eastAsia="zh-CN"/>
              </w:rPr>
              <w:t>间</w:t>
            </w:r>
          </w:p>
        </w:tc>
        <w:tc>
          <w:tcPr>
            <w:tcW w:w="1785"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b/>
                <w:bCs/>
                <w:color w:val="auto"/>
                <w:highlight w:val="none"/>
                <w:vertAlign w:val="baseline"/>
                <w:lang w:eastAsia="zh-CN"/>
              </w:rPr>
            </w:pPr>
            <w:r>
              <w:rPr>
                <w:rFonts w:hint="default"/>
                <w:b/>
                <w:bCs/>
                <w:color w:val="auto"/>
                <w:highlight w:val="none"/>
                <w:vertAlign w:val="baseline"/>
                <w:lang w:eastAsia="zh-CN"/>
              </w:rPr>
              <w:fldChar w:fldCharType="begin"/>
            </w:r>
            <w:r>
              <w:rPr>
                <w:rFonts w:hint="default"/>
                <w:b/>
                <w:bCs/>
                <w:color w:val="auto"/>
                <w:highlight w:val="none"/>
                <w:vertAlign w:val="baseline"/>
                <w:lang w:eastAsia="zh-CN"/>
              </w:rPr>
              <w:instrText xml:space="preserve"> =SUM(ABOVE) \* MERGEFORMAT </w:instrText>
            </w:r>
            <w:r>
              <w:rPr>
                <w:rFonts w:hint="default"/>
                <w:b/>
                <w:bCs/>
                <w:color w:val="auto"/>
                <w:highlight w:val="none"/>
                <w:vertAlign w:val="baseline"/>
                <w:lang w:eastAsia="zh-CN"/>
              </w:rPr>
              <w:fldChar w:fldCharType="separate"/>
            </w:r>
            <w:r>
              <w:rPr>
                <w:rFonts w:hint="default"/>
                <w:b/>
                <w:bCs/>
                <w:color w:val="auto"/>
                <w:highlight w:val="none"/>
                <w:vertAlign w:val="baseline"/>
                <w:lang w:eastAsia="zh-CN"/>
              </w:rPr>
              <w:fldChar w:fldCharType="begin"/>
            </w:r>
            <w:r>
              <w:rPr>
                <w:rFonts w:hint="default"/>
                <w:b/>
                <w:bCs/>
                <w:color w:val="auto"/>
                <w:highlight w:val="none"/>
                <w:vertAlign w:val="baseline"/>
                <w:lang w:eastAsia="zh-CN"/>
              </w:rPr>
              <w:instrText xml:space="preserve"> =SUM(ABOVE) \* MERGEFORMAT </w:instrText>
            </w:r>
            <w:r>
              <w:rPr>
                <w:rFonts w:hint="default"/>
                <w:b/>
                <w:bCs/>
                <w:color w:val="auto"/>
                <w:highlight w:val="none"/>
                <w:vertAlign w:val="baseline"/>
                <w:lang w:eastAsia="zh-CN"/>
              </w:rPr>
              <w:fldChar w:fldCharType="separate"/>
            </w:r>
            <w:r>
              <w:rPr>
                <w:rFonts w:hint="default"/>
                <w:b/>
                <w:bCs/>
                <w:color w:val="auto"/>
                <w:highlight w:val="none"/>
                <w:vertAlign w:val="baseline"/>
                <w:lang w:eastAsia="zh-CN"/>
              </w:rPr>
              <w:t>13760</w:t>
            </w:r>
            <w:r>
              <w:rPr>
                <w:rFonts w:hint="default"/>
                <w:b/>
                <w:bCs/>
                <w:color w:val="auto"/>
                <w:highlight w:val="none"/>
                <w:vertAlign w:val="baseline"/>
                <w:lang w:eastAsia="zh-CN"/>
              </w:rPr>
              <w:fldChar w:fldCharType="end"/>
            </w:r>
            <w:r>
              <w:rPr>
                <w:rFonts w:hint="default"/>
                <w:b/>
                <w:bCs/>
                <w:color w:val="auto"/>
                <w:highlight w:val="none"/>
                <w:vertAlign w:val="baseline"/>
                <w:lang w:eastAsia="zh-CN"/>
              </w:rPr>
              <w:fldChar w:fldCharType="end"/>
            </w:r>
            <w:r>
              <w:rPr>
                <w:rFonts w:hint="eastAsia"/>
                <w:b/>
                <w:bCs/>
                <w:color w:val="auto"/>
                <w:highlight w:val="none"/>
                <w:vertAlign w:val="baseline"/>
                <w:lang w:eastAsia="zh-CN"/>
              </w:rPr>
              <w:t>张</w:t>
            </w:r>
          </w:p>
        </w:tc>
      </w:tr>
    </w:tbl>
    <w:p>
      <w:pPr>
        <w:pStyle w:val="2"/>
        <w:rPr>
          <w:rFonts w:hint="default"/>
          <w:color w:val="auto"/>
          <w:highlight w:val="none"/>
          <w:lang w:val="en-US"/>
        </w:rPr>
      </w:pPr>
    </w:p>
    <w:p>
      <w:pPr>
        <w:numPr>
          <w:ilvl w:val="0"/>
          <w:numId w:val="2"/>
        </w:numPr>
        <w:rPr>
          <w:rFonts w:hint="eastAsia" w:ascii="宋体" w:hAnsi="宋体" w:cs="宋体"/>
          <w:b/>
          <w:bCs/>
          <w:color w:val="auto"/>
          <w:szCs w:val="24"/>
          <w:highlight w:val="none"/>
          <w:lang w:val="en-US" w:eastAsia="zh-CN"/>
        </w:rPr>
      </w:pPr>
      <w:r>
        <w:rPr>
          <w:rFonts w:hint="eastAsia" w:ascii="宋体" w:hAnsi="宋体" w:cs="宋体"/>
          <w:b/>
          <w:bCs/>
          <w:color w:val="auto"/>
          <w:szCs w:val="24"/>
          <w:highlight w:val="none"/>
          <w:lang w:val="en-US" w:eastAsia="zh-CN"/>
        </w:rPr>
        <w:t>技术规格及配置</w:t>
      </w:r>
    </w:p>
    <w:p>
      <w:pPr>
        <w:pStyle w:val="2"/>
        <w:numPr>
          <w:ilvl w:val="0"/>
          <w:numId w:val="0"/>
        </w:numPr>
        <w:rPr>
          <w:rFonts w:hint="default"/>
          <w:color w:val="auto"/>
          <w:highlight w:val="none"/>
          <w:lang w:val="en-US" w:eastAsia="zh-CN"/>
        </w:rPr>
      </w:pPr>
    </w:p>
    <w:tbl>
      <w:tblPr>
        <w:tblStyle w:val="8"/>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74"/>
        <w:gridCol w:w="1178"/>
        <w:gridCol w:w="1850"/>
        <w:gridCol w:w="2360"/>
        <w:gridCol w:w="3310"/>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auto"/>
              <w:jc w:val="center"/>
              <w:rPr>
                <w:rFonts w:ascii="宋体" w:hAnsi="宋体"/>
                <w:color w:val="auto"/>
                <w:highlight w:val="none"/>
              </w:rPr>
            </w:pPr>
            <w:r>
              <w:rPr>
                <w:rFonts w:ascii="宋体" w:hAnsi="宋体"/>
                <w:color w:val="auto"/>
                <w:highlight w:val="none"/>
              </w:rPr>
              <w:t>序号</w:t>
            </w:r>
          </w:p>
        </w:tc>
        <w:tc>
          <w:tcPr>
            <w:tcW w:w="1178" w:type="dxa"/>
            <w:noWrap w:val="0"/>
            <w:vAlign w:val="center"/>
          </w:tcPr>
          <w:p>
            <w:pPr>
              <w:spacing w:line="360" w:lineRule="auto"/>
              <w:jc w:val="center"/>
              <w:rPr>
                <w:rFonts w:ascii="宋体" w:hAnsi="宋体"/>
                <w:color w:val="auto"/>
                <w:highlight w:val="none"/>
              </w:rPr>
            </w:pPr>
            <w:r>
              <w:rPr>
                <w:rFonts w:ascii="宋体" w:hAnsi="宋体"/>
                <w:color w:val="auto"/>
                <w:highlight w:val="none"/>
              </w:rPr>
              <w:t>内容</w:t>
            </w:r>
          </w:p>
        </w:tc>
        <w:tc>
          <w:tcPr>
            <w:tcW w:w="1850" w:type="dxa"/>
            <w:tcBorders>
              <w:right w:val="single" w:color="auto" w:sz="4" w:space="0"/>
            </w:tcBorders>
            <w:noWrap w:val="0"/>
            <w:vAlign w:val="center"/>
          </w:tcPr>
          <w:p>
            <w:pPr>
              <w:spacing w:line="360" w:lineRule="auto"/>
              <w:jc w:val="center"/>
              <w:rPr>
                <w:rFonts w:hint="eastAsia" w:ascii="宋体" w:hAnsi="宋体"/>
                <w:color w:val="auto"/>
                <w:highlight w:val="none"/>
              </w:rPr>
            </w:pPr>
            <w:r>
              <w:rPr>
                <w:rFonts w:hint="eastAsia" w:ascii="宋体" w:hAnsi="宋体"/>
                <w:color w:val="auto"/>
                <w:highlight w:val="none"/>
              </w:rPr>
              <w:t>数量</w:t>
            </w:r>
          </w:p>
        </w:tc>
        <w:tc>
          <w:tcPr>
            <w:tcW w:w="5670" w:type="dxa"/>
            <w:gridSpan w:val="2"/>
            <w:tcBorders>
              <w:left w:val="single" w:color="auto" w:sz="4" w:space="0"/>
            </w:tcBorders>
            <w:noWrap w:val="0"/>
            <w:vAlign w:val="center"/>
          </w:tcPr>
          <w:p>
            <w:pPr>
              <w:spacing w:line="360" w:lineRule="auto"/>
              <w:jc w:val="center"/>
              <w:rPr>
                <w:rFonts w:ascii="宋体" w:hAnsi="宋体"/>
                <w:color w:val="auto"/>
                <w:highlight w:val="none"/>
              </w:rPr>
            </w:pPr>
            <w:r>
              <w:rPr>
                <w:rFonts w:hint="eastAsia" w:ascii="宋体" w:hAnsi="宋体"/>
                <w:color w:val="auto"/>
                <w:highlight w:val="none"/>
              </w:rPr>
              <w:t>招标</w:t>
            </w:r>
            <w:r>
              <w:rPr>
                <w:rFonts w:ascii="宋体" w:hAnsi="宋体"/>
                <w:color w:val="auto"/>
                <w:highlight w:val="none"/>
              </w:rPr>
              <w:t>要求</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exact"/>
              <w:jc w:val="center"/>
              <w:rPr>
                <w:rFonts w:ascii="宋体" w:hAnsi="宋体"/>
                <w:color w:val="auto"/>
                <w:highlight w:val="none"/>
              </w:rPr>
            </w:pPr>
            <w:r>
              <w:rPr>
                <w:rFonts w:hint="eastAsia" w:ascii="宋体" w:hAnsi="宋体"/>
                <w:color w:val="auto"/>
                <w:highlight w:val="none"/>
              </w:rPr>
              <w:t>1</w:t>
            </w:r>
          </w:p>
        </w:tc>
        <w:tc>
          <w:tcPr>
            <w:tcW w:w="1178" w:type="dxa"/>
            <w:noWrap w:val="0"/>
            <w:vAlign w:val="center"/>
          </w:tcPr>
          <w:p>
            <w:pPr>
              <w:spacing w:line="360" w:lineRule="exact"/>
              <w:rPr>
                <w:rFonts w:ascii="宋体" w:hAnsi="宋体"/>
                <w:color w:val="auto"/>
                <w:highlight w:val="none"/>
              </w:rPr>
            </w:pPr>
            <w:r>
              <w:rPr>
                <w:rFonts w:hint="eastAsia" w:ascii="宋体" w:hAnsi="宋体"/>
                <w:color w:val="auto"/>
                <w:highlight w:val="none"/>
                <w:lang w:eastAsia="zh-CN"/>
              </w:rPr>
              <w:t>样式</w:t>
            </w:r>
            <w:r>
              <w:rPr>
                <w:rFonts w:hint="eastAsia" w:ascii="宋体" w:hAnsi="宋体"/>
                <w:color w:val="auto"/>
                <w:highlight w:val="none"/>
              </w:rPr>
              <w:t>1</w:t>
            </w:r>
          </w:p>
        </w:tc>
        <w:tc>
          <w:tcPr>
            <w:tcW w:w="1850" w:type="dxa"/>
            <w:tcBorders>
              <w:right w:val="single" w:color="auto" w:sz="4" w:space="0"/>
            </w:tcBorders>
            <w:noWrap w:val="0"/>
            <w:vAlign w:val="center"/>
          </w:tcPr>
          <w:p>
            <w:pPr>
              <w:spacing w:line="360" w:lineRule="exact"/>
              <w:jc w:val="center"/>
              <w:rPr>
                <w:rFonts w:hint="eastAsia" w:ascii="宋体" w:hAnsi="宋体"/>
                <w:color w:val="auto"/>
                <w:highlight w:val="none"/>
              </w:rPr>
            </w:pPr>
            <w:r>
              <w:rPr>
                <w:rFonts w:hint="eastAsia" w:ascii="宋体" w:hAnsi="宋体"/>
                <w:color w:val="auto"/>
                <w:highlight w:val="none"/>
              </w:rPr>
              <w:t>4</w:t>
            </w:r>
            <w:r>
              <w:rPr>
                <w:rFonts w:ascii="宋体" w:hAnsi="宋体"/>
                <w:color w:val="auto"/>
                <w:highlight w:val="none"/>
              </w:rPr>
              <w:t>80</w:t>
            </w:r>
            <w:r>
              <w:rPr>
                <w:rFonts w:hint="eastAsia" w:ascii="宋体" w:hAnsi="宋体"/>
                <w:color w:val="auto"/>
                <w:highlight w:val="none"/>
              </w:rPr>
              <w:t>个</w:t>
            </w:r>
          </w:p>
        </w:tc>
        <w:tc>
          <w:tcPr>
            <w:tcW w:w="2360" w:type="dxa"/>
            <w:tcBorders>
              <w:left w:val="single" w:color="auto" w:sz="4" w:space="0"/>
              <w:right w:val="single" w:color="auto" w:sz="4" w:space="0"/>
            </w:tcBorders>
            <w:noWrap w:val="0"/>
            <w:vAlign w:val="center"/>
          </w:tcPr>
          <w:p>
            <w:pPr>
              <w:spacing w:line="360" w:lineRule="exact"/>
              <w:rPr>
                <w:rFonts w:hint="eastAsia" w:ascii="宋体" w:hAnsi="宋体"/>
                <w:color w:val="auto"/>
                <w:highlight w:val="none"/>
              </w:rPr>
            </w:pPr>
            <w:r>
              <w:rPr>
                <w:rFonts w:hint="eastAsia" w:ascii="宋体" w:hAnsi="宋体"/>
                <w:color w:val="auto"/>
                <w:highlight w:val="none"/>
              </w:rPr>
              <w:t>做法详见附图1</w:t>
            </w:r>
          </w:p>
        </w:tc>
        <w:tc>
          <w:tcPr>
            <w:tcW w:w="3310" w:type="dxa"/>
            <w:vMerge w:val="restart"/>
            <w:tcBorders>
              <w:left w:val="single" w:color="auto" w:sz="4" w:space="0"/>
            </w:tcBorders>
            <w:noWrap w:val="0"/>
            <w:vAlign w:val="center"/>
          </w:tcPr>
          <w:p>
            <w:pPr>
              <w:spacing w:line="360" w:lineRule="exact"/>
              <w:rPr>
                <w:rFonts w:hint="eastAsia" w:ascii="宋体" w:hAnsi="宋体"/>
                <w:color w:val="auto"/>
                <w:highlight w:val="none"/>
              </w:rPr>
            </w:pPr>
            <w:r>
              <w:rPr>
                <w:rFonts w:hint="eastAsia" w:ascii="宋体" w:hAnsi="宋体"/>
                <w:color w:val="auto"/>
                <w:highlight w:val="none"/>
              </w:rPr>
              <w:t>★钢管主材采用优质钢管（直径19mm，壁厚不小于国标1.5mm），床厅套管采用直径35 mm，壁厚不小于国标1.5mm。</w:t>
            </w:r>
          </w:p>
          <w:p>
            <w:pPr>
              <w:spacing w:line="360" w:lineRule="exact"/>
              <w:rPr>
                <w:rFonts w:hint="eastAsia" w:ascii="宋体" w:hAnsi="宋体"/>
                <w:color w:val="auto"/>
                <w:highlight w:val="none"/>
              </w:rPr>
            </w:pPr>
            <w:r>
              <w:rPr>
                <w:rFonts w:hint="eastAsia" w:ascii="宋体" w:hAnsi="宋体"/>
                <w:color w:val="auto"/>
                <w:highlight w:val="none"/>
              </w:rPr>
              <w:t>★所有钢架二氧化碳保护焊接，焊接平整，无虚焊，钢管表面采用抛丸处理，表面静电喷塑，颜色同床主体。</w:t>
            </w:r>
          </w:p>
          <w:p>
            <w:pPr>
              <w:spacing w:line="360" w:lineRule="exact"/>
              <w:rPr>
                <w:rFonts w:hint="eastAsia" w:ascii="宋体" w:hAnsi="宋体"/>
                <w:color w:val="auto"/>
                <w:highlight w:val="none"/>
              </w:rPr>
            </w:pPr>
            <w:r>
              <w:rPr>
                <w:rFonts w:hint="eastAsia" w:ascii="宋体" w:hAnsi="宋体"/>
                <w:color w:val="auto"/>
                <w:highlight w:val="none"/>
              </w:rPr>
              <w:t>★钢管辅材厚度1.5mm。</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exact"/>
              <w:jc w:val="center"/>
              <w:rPr>
                <w:rFonts w:ascii="宋体" w:hAnsi="宋体"/>
                <w:color w:val="auto"/>
                <w:highlight w:val="none"/>
              </w:rPr>
            </w:pPr>
            <w:r>
              <w:rPr>
                <w:rFonts w:hint="eastAsia" w:ascii="宋体" w:hAnsi="宋体"/>
                <w:color w:val="auto"/>
                <w:highlight w:val="none"/>
              </w:rPr>
              <w:t>2</w:t>
            </w:r>
          </w:p>
        </w:tc>
        <w:tc>
          <w:tcPr>
            <w:tcW w:w="1178" w:type="dxa"/>
            <w:noWrap w:val="0"/>
            <w:vAlign w:val="center"/>
          </w:tcPr>
          <w:p>
            <w:pPr>
              <w:spacing w:line="360" w:lineRule="exact"/>
              <w:rPr>
                <w:rFonts w:ascii="宋体" w:hAnsi="宋体"/>
                <w:color w:val="auto"/>
                <w:highlight w:val="none"/>
              </w:rPr>
            </w:pPr>
            <w:r>
              <w:rPr>
                <w:rFonts w:hint="eastAsia" w:ascii="宋体" w:hAnsi="宋体"/>
                <w:color w:val="auto"/>
                <w:highlight w:val="none"/>
                <w:lang w:eastAsia="zh-CN"/>
              </w:rPr>
              <w:t>样式</w:t>
            </w:r>
            <w:r>
              <w:rPr>
                <w:rFonts w:ascii="宋体" w:hAnsi="宋体"/>
                <w:color w:val="auto"/>
                <w:highlight w:val="none"/>
              </w:rPr>
              <w:t>2</w:t>
            </w:r>
          </w:p>
        </w:tc>
        <w:tc>
          <w:tcPr>
            <w:tcW w:w="1850" w:type="dxa"/>
            <w:tcBorders>
              <w:right w:val="single" w:color="auto" w:sz="4" w:space="0"/>
            </w:tcBorders>
            <w:noWrap w:val="0"/>
            <w:vAlign w:val="center"/>
          </w:tcPr>
          <w:p>
            <w:pPr>
              <w:spacing w:line="360" w:lineRule="exact"/>
              <w:jc w:val="center"/>
              <w:rPr>
                <w:rFonts w:hint="eastAsia" w:ascii="宋体" w:hAnsi="宋体"/>
                <w:color w:val="auto"/>
                <w:highlight w:val="none"/>
              </w:rPr>
            </w:pPr>
            <w:r>
              <w:rPr>
                <w:rFonts w:hint="eastAsia" w:ascii="宋体" w:hAnsi="宋体"/>
                <w:color w:val="auto"/>
                <w:highlight w:val="none"/>
              </w:rPr>
              <w:t>2</w:t>
            </w:r>
            <w:r>
              <w:rPr>
                <w:rFonts w:ascii="宋体" w:hAnsi="宋体"/>
                <w:color w:val="auto"/>
                <w:highlight w:val="none"/>
              </w:rPr>
              <w:t>328</w:t>
            </w:r>
            <w:r>
              <w:rPr>
                <w:rFonts w:hint="eastAsia" w:ascii="宋体" w:hAnsi="宋体"/>
                <w:color w:val="auto"/>
                <w:highlight w:val="none"/>
              </w:rPr>
              <w:t>个</w:t>
            </w:r>
          </w:p>
        </w:tc>
        <w:tc>
          <w:tcPr>
            <w:tcW w:w="2360" w:type="dxa"/>
            <w:tcBorders>
              <w:left w:val="single" w:color="auto" w:sz="4" w:space="0"/>
              <w:right w:val="single" w:color="auto" w:sz="4" w:space="0"/>
            </w:tcBorders>
            <w:noWrap w:val="0"/>
            <w:vAlign w:val="center"/>
          </w:tcPr>
          <w:p>
            <w:pPr>
              <w:spacing w:line="360" w:lineRule="exact"/>
              <w:rPr>
                <w:rFonts w:hint="eastAsia" w:ascii="宋体" w:hAnsi="宋体"/>
                <w:color w:val="auto"/>
                <w:highlight w:val="none"/>
              </w:rPr>
            </w:pPr>
            <w:r>
              <w:rPr>
                <w:rFonts w:hint="eastAsia" w:ascii="宋体" w:hAnsi="宋体"/>
                <w:color w:val="auto"/>
                <w:highlight w:val="none"/>
              </w:rPr>
              <w:t>做法详见附图</w:t>
            </w:r>
            <w:r>
              <w:rPr>
                <w:rFonts w:ascii="宋体" w:hAnsi="宋体"/>
                <w:color w:val="auto"/>
                <w:highlight w:val="none"/>
              </w:rPr>
              <w:t>2</w:t>
            </w:r>
          </w:p>
        </w:tc>
        <w:tc>
          <w:tcPr>
            <w:tcW w:w="3310" w:type="dxa"/>
            <w:vMerge w:val="continue"/>
            <w:tcBorders>
              <w:left w:val="single" w:color="auto" w:sz="4" w:space="0"/>
            </w:tcBorders>
            <w:noWrap w:val="0"/>
            <w:vAlign w:val="center"/>
          </w:tcPr>
          <w:p>
            <w:pPr>
              <w:spacing w:line="360" w:lineRule="exact"/>
              <w:rPr>
                <w:rFonts w:hint="eastAsia" w:ascii="宋体" w:hAnsi="宋体"/>
                <w:color w:val="auto"/>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exact"/>
              <w:jc w:val="center"/>
              <w:rPr>
                <w:rFonts w:ascii="宋体" w:hAnsi="宋体"/>
                <w:color w:val="auto"/>
                <w:highlight w:val="none"/>
              </w:rPr>
            </w:pPr>
            <w:r>
              <w:rPr>
                <w:rFonts w:hint="eastAsia" w:ascii="宋体" w:hAnsi="宋体"/>
                <w:color w:val="auto"/>
                <w:highlight w:val="none"/>
              </w:rPr>
              <w:t>3</w:t>
            </w:r>
          </w:p>
        </w:tc>
        <w:tc>
          <w:tcPr>
            <w:tcW w:w="1178" w:type="dxa"/>
            <w:noWrap w:val="0"/>
            <w:vAlign w:val="center"/>
          </w:tcPr>
          <w:p>
            <w:pPr>
              <w:spacing w:line="360" w:lineRule="exact"/>
              <w:rPr>
                <w:color w:val="auto"/>
                <w:highlight w:val="none"/>
              </w:rPr>
            </w:pPr>
            <w:r>
              <w:rPr>
                <w:rFonts w:hint="eastAsia"/>
                <w:color w:val="auto"/>
                <w:highlight w:val="none"/>
                <w:lang w:val="en-US" w:eastAsia="zh-CN"/>
              </w:rPr>
              <w:t>样式</w:t>
            </w:r>
            <w:r>
              <w:rPr>
                <w:color w:val="auto"/>
                <w:highlight w:val="none"/>
              </w:rPr>
              <w:t>3</w:t>
            </w:r>
          </w:p>
          <w:p>
            <w:pPr>
              <w:pStyle w:val="2"/>
              <w:rPr>
                <w:rFonts w:hint="eastAsia" w:eastAsia="黑体"/>
                <w:color w:val="auto"/>
                <w:highlight w:val="none"/>
                <w:lang w:eastAsia="zh-CN"/>
              </w:rPr>
            </w:pPr>
            <w:r>
              <w:rPr>
                <w:rFonts w:hint="eastAsia" w:ascii="Times New Roman" w:eastAsia="宋体" w:cs="宋体"/>
                <w:b/>
                <w:bCs/>
                <w:color w:val="auto"/>
                <w:kern w:val="2"/>
                <w:sz w:val="24"/>
                <w:szCs w:val="24"/>
                <w:highlight w:val="none"/>
                <w:lang w:val="en-US" w:eastAsia="zh-CN" w:bidi="ar-SA"/>
              </w:rPr>
              <w:t>（提供样品）</w:t>
            </w:r>
          </w:p>
        </w:tc>
        <w:tc>
          <w:tcPr>
            <w:tcW w:w="1850" w:type="dxa"/>
            <w:tcBorders>
              <w:right w:val="single" w:color="auto" w:sz="4" w:space="0"/>
            </w:tcBorders>
            <w:noWrap w:val="0"/>
            <w:vAlign w:val="center"/>
          </w:tcPr>
          <w:p>
            <w:pPr>
              <w:spacing w:line="360" w:lineRule="exact"/>
              <w:jc w:val="center"/>
              <w:rPr>
                <w:rFonts w:ascii="宋体" w:hAnsi="宋体"/>
                <w:color w:val="auto"/>
                <w:highlight w:val="none"/>
              </w:rPr>
            </w:pPr>
            <w:r>
              <w:rPr>
                <w:rFonts w:hint="eastAsia" w:ascii="宋体" w:hAnsi="宋体"/>
                <w:color w:val="auto"/>
                <w:highlight w:val="none"/>
              </w:rPr>
              <w:t>3</w:t>
            </w:r>
            <w:r>
              <w:rPr>
                <w:rFonts w:ascii="宋体" w:hAnsi="宋体"/>
                <w:color w:val="auto"/>
                <w:highlight w:val="none"/>
              </w:rPr>
              <w:t>896</w:t>
            </w:r>
            <w:r>
              <w:rPr>
                <w:rFonts w:hint="eastAsia" w:ascii="宋体" w:hAnsi="宋体"/>
                <w:color w:val="auto"/>
                <w:highlight w:val="none"/>
              </w:rPr>
              <w:t>个</w:t>
            </w:r>
          </w:p>
        </w:tc>
        <w:tc>
          <w:tcPr>
            <w:tcW w:w="2360" w:type="dxa"/>
            <w:tcBorders>
              <w:left w:val="single" w:color="auto" w:sz="4" w:space="0"/>
              <w:right w:val="single" w:color="auto" w:sz="4" w:space="0"/>
            </w:tcBorders>
            <w:noWrap w:val="0"/>
            <w:vAlign w:val="center"/>
          </w:tcPr>
          <w:p>
            <w:pPr>
              <w:spacing w:line="360" w:lineRule="exact"/>
              <w:rPr>
                <w:rFonts w:ascii="宋体" w:hAnsi="宋体"/>
                <w:color w:val="auto"/>
                <w:highlight w:val="none"/>
              </w:rPr>
            </w:pPr>
            <w:r>
              <w:rPr>
                <w:rFonts w:hint="eastAsia" w:ascii="宋体" w:hAnsi="宋体"/>
                <w:color w:val="auto"/>
                <w:highlight w:val="none"/>
              </w:rPr>
              <w:t>做法详见附图</w:t>
            </w:r>
            <w:r>
              <w:rPr>
                <w:rFonts w:ascii="宋体" w:hAnsi="宋体"/>
                <w:color w:val="auto"/>
                <w:highlight w:val="none"/>
              </w:rPr>
              <w:t>3</w:t>
            </w:r>
          </w:p>
        </w:tc>
        <w:tc>
          <w:tcPr>
            <w:tcW w:w="3310" w:type="dxa"/>
            <w:vMerge w:val="continue"/>
            <w:tcBorders>
              <w:left w:val="single" w:color="auto" w:sz="4" w:space="0"/>
            </w:tcBorders>
            <w:noWrap w:val="0"/>
            <w:vAlign w:val="center"/>
          </w:tcPr>
          <w:p>
            <w:pPr>
              <w:spacing w:line="360" w:lineRule="exact"/>
              <w:rPr>
                <w:rFonts w:ascii="宋体" w:hAnsi="宋体"/>
                <w:color w:val="auto"/>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exact"/>
              <w:jc w:val="center"/>
              <w:rPr>
                <w:rFonts w:hint="eastAsia" w:ascii="宋体" w:hAnsi="宋体"/>
                <w:color w:val="auto"/>
                <w:highlight w:val="none"/>
              </w:rPr>
            </w:pPr>
            <w:r>
              <w:rPr>
                <w:rFonts w:hint="eastAsia" w:ascii="宋体" w:hAnsi="宋体"/>
                <w:color w:val="auto"/>
                <w:highlight w:val="none"/>
              </w:rPr>
              <w:t>4</w:t>
            </w:r>
          </w:p>
        </w:tc>
        <w:tc>
          <w:tcPr>
            <w:tcW w:w="1178" w:type="dxa"/>
            <w:noWrap w:val="0"/>
            <w:vAlign w:val="center"/>
          </w:tcPr>
          <w:p>
            <w:pPr>
              <w:spacing w:line="360" w:lineRule="exact"/>
              <w:rPr>
                <w:rFonts w:ascii="宋体" w:hAnsi="宋体"/>
                <w:color w:val="auto"/>
                <w:highlight w:val="none"/>
              </w:rPr>
            </w:pPr>
            <w:r>
              <w:rPr>
                <w:rFonts w:hint="eastAsia" w:ascii="宋体" w:hAnsi="宋体"/>
                <w:color w:val="auto"/>
                <w:highlight w:val="none"/>
                <w:lang w:eastAsia="zh-CN"/>
              </w:rPr>
              <w:t>样式</w:t>
            </w:r>
            <w:r>
              <w:rPr>
                <w:rFonts w:ascii="宋体" w:hAnsi="宋体"/>
                <w:color w:val="auto"/>
                <w:highlight w:val="none"/>
              </w:rPr>
              <w:t>4</w:t>
            </w:r>
          </w:p>
        </w:tc>
        <w:tc>
          <w:tcPr>
            <w:tcW w:w="1850" w:type="dxa"/>
            <w:tcBorders>
              <w:right w:val="single" w:color="auto" w:sz="4" w:space="0"/>
            </w:tcBorders>
            <w:noWrap w:val="0"/>
            <w:vAlign w:val="center"/>
          </w:tcPr>
          <w:p>
            <w:pPr>
              <w:spacing w:line="360" w:lineRule="exact"/>
              <w:jc w:val="center"/>
              <w:rPr>
                <w:rFonts w:ascii="宋体" w:hAnsi="宋体"/>
                <w:color w:val="auto"/>
                <w:highlight w:val="none"/>
              </w:rPr>
            </w:pPr>
            <w:r>
              <w:rPr>
                <w:rFonts w:hint="eastAsia" w:ascii="宋体" w:hAnsi="宋体"/>
                <w:color w:val="auto"/>
                <w:highlight w:val="none"/>
              </w:rPr>
              <w:t>1</w:t>
            </w:r>
            <w:r>
              <w:rPr>
                <w:rFonts w:ascii="宋体" w:hAnsi="宋体"/>
                <w:color w:val="auto"/>
                <w:highlight w:val="none"/>
              </w:rPr>
              <w:t>240</w:t>
            </w:r>
            <w:r>
              <w:rPr>
                <w:rFonts w:hint="eastAsia" w:ascii="宋体" w:hAnsi="宋体"/>
                <w:color w:val="auto"/>
                <w:highlight w:val="none"/>
              </w:rPr>
              <w:t>个</w:t>
            </w:r>
          </w:p>
        </w:tc>
        <w:tc>
          <w:tcPr>
            <w:tcW w:w="2360" w:type="dxa"/>
            <w:tcBorders>
              <w:left w:val="single" w:color="auto" w:sz="4" w:space="0"/>
              <w:right w:val="single" w:color="auto" w:sz="4" w:space="0"/>
            </w:tcBorders>
            <w:noWrap w:val="0"/>
            <w:vAlign w:val="center"/>
          </w:tcPr>
          <w:p>
            <w:pPr>
              <w:spacing w:line="360" w:lineRule="exact"/>
              <w:rPr>
                <w:rFonts w:ascii="宋体" w:hAnsi="宋体"/>
                <w:color w:val="auto"/>
                <w:highlight w:val="none"/>
              </w:rPr>
            </w:pPr>
            <w:r>
              <w:rPr>
                <w:rFonts w:hint="eastAsia" w:ascii="宋体" w:hAnsi="宋体"/>
                <w:color w:val="auto"/>
                <w:highlight w:val="none"/>
              </w:rPr>
              <w:t>做法详见附图</w:t>
            </w:r>
            <w:r>
              <w:rPr>
                <w:rFonts w:ascii="宋体" w:hAnsi="宋体"/>
                <w:color w:val="auto"/>
                <w:highlight w:val="none"/>
              </w:rPr>
              <w:t>4</w:t>
            </w:r>
          </w:p>
        </w:tc>
        <w:tc>
          <w:tcPr>
            <w:tcW w:w="3310" w:type="dxa"/>
            <w:vMerge w:val="continue"/>
            <w:tcBorders>
              <w:left w:val="single" w:color="auto" w:sz="4" w:space="0"/>
            </w:tcBorders>
            <w:noWrap w:val="0"/>
            <w:vAlign w:val="center"/>
          </w:tcPr>
          <w:p>
            <w:pPr>
              <w:spacing w:line="360" w:lineRule="exact"/>
              <w:rPr>
                <w:rFonts w:ascii="宋体" w:hAnsi="宋体"/>
                <w:color w:val="auto"/>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exact"/>
              <w:jc w:val="center"/>
              <w:rPr>
                <w:rFonts w:hint="eastAsia" w:ascii="宋体" w:hAnsi="宋体"/>
                <w:color w:val="auto"/>
                <w:highlight w:val="none"/>
              </w:rPr>
            </w:pPr>
            <w:r>
              <w:rPr>
                <w:rFonts w:hint="eastAsia" w:ascii="宋体" w:hAnsi="宋体"/>
                <w:color w:val="auto"/>
                <w:highlight w:val="none"/>
              </w:rPr>
              <w:t>5</w:t>
            </w:r>
          </w:p>
        </w:tc>
        <w:tc>
          <w:tcPr>
            <w:tcW w:w="1178" w:type="dxa"/>
            <w:noWrap w:val="0"/>
            <w:vAlign w:val="center"/>
          </w:tcPr>
          <w:p>
            <w:pPr>
              <w:spacing w:line="360" w:lineRule="exact"/>
              <w:rPr>
                <w:rFonts w:ascii="宋体" w:hAnsi="宋体"/>
                <w:color w:val="auto"/>
                <w:highlight w:val="none"/>
              </w:rPr>
            </w:pPr>
            <w:r>
              <w:rPr>
                <w:rFonts w:hint="eastAsia" w:ascii="宋体" w:hAnsi="宋体"/>
                <w:color w:val="auto"/>
                <w:highlight w:val="none"/>
                <w:lang w:eastAsia="zh-CN"/>
              </w:rPr>
              <w:t>样式</w:t>
            </w:r>
            <w:r>
              <w:rPr>
                <w:rFonts w:ascii="宋体" w:hAnsi="宋体"/>
                <w:color w:val="auto"/>
                <w:highlight w:val="none"/>
              </w:rPr>
              <w:t>5</w:t>
            </w:r>
          </w:p>
        </w:tc>
        <w:tc>
          <w:tcPr>
            <w:tcW w:w="1850" w:type="dxa"/>
            <w:tcBorders>
              <w:right w:val="single" w:color="auto" w:sz="4" w:space="0"/>
            </w:tcBorders>
            <w:noWrap w:val="0"/>
            <w:vAlign w:val="center"/>
          </w:tcPr>
          <w:p>
            <w:pPr>
              <w:jc w:val="center"/>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144</w:t>
            </w:r>
            <w:r>
              <w:rPr>
                <w:rFonts w:hint="eastAsia" w:ascii="宋体" w:hAnsi="宋体"/>
                <w:color w:val="auto"/>
                <w:szCs w:val="21"/>
                <w:highlight w:val="none"/>
              </w:rPr>
              <w:t>个</w:t>
            </w:r>
          </w:p>
        </w:tc>
        <w:tc>
          <w:tcPr>
            <w:tcW w:w="2360" w:type="dxa"/>
            <w:tcBorders>
              <w:left w:val="single" w:color="auto" w:sz="4" w:space="0"/>
              <w:right w:val="single" w:color="auto" w:sz="4" w:space="0"/>
            </w:tcBorders>
            <w:noWrap w:val="0"/>
            <w:vAlign w:val="center"/>
          </w:tcPr>
          <w:p>
            <w:pPr>
              <w:rPr>
                <w:rFonts w:hint="eastAsia" w:ascii="宋体" w:hAnsi="宋体"/>
                <w:color w:val="auto"/>
                <w:szCs w:val="21"/>
                <w:highlight w:val="none"/>
              </w:rPr>
            </w:pPr>
            <w:r>
              <w:rPr>
                <w:rFonts w:hint="eastAsia" w:ascii="宋体" w:hAnsi="宋体"/>
                <w:color w:val="auto"/>
                <w:highlight w:val="none"/>
              </w:rPr>
              <w:t>做法详见附图</w:t>
            </w:r>
            <w:r>
              <w:rPr>
                <w:rFonts w:ascii="宋体" w:hAnsi="宋体"/>
                <w:color w:val="auto"/>
                <w:highlight w:val="none"/>
              </w:rPr>
              <w:t>5</w:t>
            </w:r>
          </w:p>
        </w:tc>
        <w:tc>
          <w:tcPr>
            <w:tcW w:w="3310" w:type="dxa"/>
            <w:vMerge w:val="continue"/>
            <w:tcBorders>
              <w:left w:val="single" w:color="auto" w:sz="4" w:space="0"/>
            </w:tcBorders>
            <w:noWrap w:val="0"/>
            <w:vAlign w:val="center"/>
          </w:tcPr>
          <w:p>
            <w:pPr>
              <w:rPr>
                <w:rFonts w:hint="eastAsia" w:ascii="宋体" w:hAnsi="宋体"/>
                <w:color w:val="auto"/>
                <w:szCs w:val="21"/>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674" w:type="dxa"/>
            <w:noWrap w:val="0"/>
            <w:vAlign w:val="center"/>
          </w:tcPr>
          <w:p>
            <w:pPr>
              <w:spacing w:line="360" w:lineRule="exact"/>
              <w:jc w:val="center"/>
              <w:rPr>
                <w:rFonts w:hint="eastAsia" w:ascii="宋体" w:hAnsi="宋体"/>
                <w:color w:val="auto"/>
                <w:highlight w:val="none"/>
              </w:rPr>
            </w:pPr>
            <w:r>
              <w:rPr>
                <w:rFonts w:hint="eastAsia" w:ascii="宋体" w:hAnsi="宋体"/>
                <w:color w:val="auto"/>
                <w:highlight w:val="none"/>
              </w:rPr>
              <w:t>6</w:t>
            </w:r>
          </w:p>
        </w:tc>
        <w:tc>
          <w:tcPr>
            <w:tcW w:w="1178" w:type="dxa"/>
            <w:noWrap w:val="0"/>
            <w:vAlign w:val="center"/>
          </w:tcPr>
          <w:p>
            <w:pPr>
              <w:rPr>
                <w:rFonts w:ascii="宋体" w:hAnsi="宋体"/>
                <w:color w:val="auto"/>
                <w:highlight w:val="none"/>
              </w:rPr>
            </w:pPr>
            <w:r>
              <w:rPr>
                <w:rFonts w:hint="eastAsia" w:ascii="宋体" w:hAnsi="宋体"/>
                <w:color w:val="auto"/>
                <w:highlight w:val="none"/>
                <w:lang w:eastAsia="zh-CN"/>
              </w:rPr>
              <w:t>样式</w:t>
            </w:r>
            <w:r>
              <w:rPr>
                <w:rFonts w:ascii="宋体" w:hAnsi="宋体"/>
                <w:color w:val="auto"/>
                <w:highlight w:val="none"/>
              </w:rPr>
              <w:t>6</w:t>
            </w:r>
            <w:r>
              <w:rPr>
                <w:rFonts w:hint="eastAsia" w:ascii="Times New Roman" w:eastAsia="宋体" w:cs="宋体"/>
                <w:b/>
                <w:bCs/>
                <w:color w:val="auto"/>
                <w:kern w:val="2"/>
                <w:sz w:val="24"/>
                <w:szCs w:val="24"/>
                <w:highlight w:val="none"/>
                <w:lang w:val="en-US" w:eastAsia="zh-CN" w:bidi="ar-SA"/>
              </w:rPr>
              <w:t>（提供样品）</w:t>
            </w:r>
          </w:p>
        </w:tc>
        <w:tc>
          <w:tcPr>
            <w:tcW w:w="1850" w:type="dxa"/>
            <w:tcBorders>
              <w:right w:val="single" w:color="auto" w:sz="4" w:space="0"/>
            </w:tcBorders>
            <w:noWrap w:val="0"/>
            <w:vAlign w:val="center"/>
          </w:tcPr>
          <w:p>
            <w:pPr>
              <w:jc w:val="center"/>
              <w:rPr>
                <w:rFonts w:hint="eastAsia" w:ascii="宋体" w:hAnsi="宋体"/>
                <w:color w:val="auto"/>
                <w:highlight w:val="none"/>
              </w:rPr>
            </w:pPr>
            <w:r>
              <w:rPr>
                <w:rFonts w:hint="eastAsia" w:ascii="宋体" w:hAnsi="宋体"/>
                <w:color w:val="auto"/>
                <w:highlight w:val="none"/>
              </w:rPr>
              <w:t>3</w:t>
            </w:r>
            <w:r>
              <w:rPr>
                <w:rFonts w:ascii="宋体" w:hAnsi="宋体"/>
                <w:color w:val="auto"/>
                <w:highlight w:val="none"/>
              </w:rPr>
              <w:t>672</w:t>
            </w:r>
            <w:r>
              <w:rPr>
                <w:rFonts w:hint="eastAsia" w:ascii="宋体" w:hAnsi="宋体"/>
                <w:color w:val="auto"/>
                <w:highlight w:val="none"/>
              </w:rPr>
              <w:t>个</w:t>
            </w:r>
          </w:p>
        </w:tc>
        <w:tc>
          <w:tcPr>
            <w:tcW w:w="2360" w:type="dxa"/>
            <w:tcBorders>
              <w:left w:val="single" w:color="auto" w:sz="4" w:space="0"/>
              <w:right w:val="single" w:color="auto" w:sz="4" w:space="0"/>
            </w:tcBorders>
            <w:noWrap w:val="0"/>
            <w:vAlign w:val="center"/>
          </w:tcPr>
          <w:p>
            <w:pPr>
              <w:rPr>
                <w:rFonts w:hint="eastAsia" w:ascii="宋体" w:hAnsi="宋体"/>
                <w:color w:val="auto"/>
                <w:highlight w:val="none"/>
              </w:rPr>
            </w:pPr>
            <w:r>
              <w:rPr>
                <w:rFonts w:hint="eastAsia" w:ascii="宋体" w:hAnsi="宋体"/>
                <w:color w:val="auto"/>
                <w:highlight w:val="none"/>
              </w:rPr>
              <w:t>做法详见附图</w:t>
            </w:r>
            <w:r>
              <w:rPr>
                <w:rFonts w:ascii="宋体" w:hAnsi="宋体"/>
                <w:color w:val="auto"/>
                <w:highlight w:val="none"/>
              </w:rPr>
              <w:t>6</w:t>
            </w:r>
          </w:p>
        </w:tc>
        <w:tc>
          <w:tcPr>
            <w:tcW w:w="3310" w:type="dxa"/>
            <w:vMerge w:val="continue"/>
            <w:tcBorders>
              <w:left w:val="single" w:color="auto" w:sz="4" w:space="0"/>
            </w:tcBorders>
            <w:noWrap w:val="0"/>
            <w:vAlign w:val="center"/>
          </w:tcPr>
          <w:p>
            <w:pPr>
              <w:rPr>
                <w:rFonts w:hint="eastAsia" w:ascii="宋体" w:hAnsi="宋体"/>
                <w:color w:val="auto"/>
                <w:highlight w:val="none"/>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852" w:type="dxa"/>
            <w:gridSpan w:val="2"/>
            <w:noWrap w:val="0"/>
            <w:vAlign w:val="center"/>
          </w:tcPr>
          <w:p>
            <w:pPr>
              <w:jc w:val="center"/>
              <w:rPr>
                <w:rFonts w:ascii="宋体" w:hAnsi="宋体"/>
                <w:color w:val="auto"/>
                <w:highlight w:val="none"/>
              </w:rPr>
            </w:pPr>
            <w:r>
              <w:rPr>
                <w:rFonts w:hint="eastAsia" w:ascii="宋体" w:hAnsi="宋体"/>
                <w:color w:val="auto"/>
                <w:highlight w:val="none"/>
              </w:rPr>
              <w:t>小计</w:t>
            </w:r>
          </w:p>
        </w:tc>
        <w:tc>
          <w:tcPr>
            <w:tcW w:w="1850" w:type="dxa"/>
            <w:tcBorders>
              <w:right w:val="single" w:color="auto" w:sz="4" w:space="0"/>
            </w:tcBorders>
            <w:noWrap w:val="0"/>
            <w:vAlign w:val="center"/>
          </w:tcPr>
          <w:p>
            <w:pPr>
              <w:jc w:val="center"/>
              <w:rPr>
                <w:rFonts w:hint="eastAsia" w:ascii="宋体" w:hAnsi="宋体"/>
                <w:color w:val="auto"/>
                <w:highlight w:val="none"/>
              </w:rPr>
            </w:pPr>
            <w:r>
              <w:rPr>
                <w:b/>
                <w:bCs/>
                <w:color w:val="auto"/>
                <w:highlight w:val="none"/>
              </w:rPr>
              <w:fldChar w:fldCharType="begin"/>
            </w:r>
            <w:r>
              <w:rPr>
                <w:b/>
                <w:bCs/>
                <w:color w:val="auto"/>
                <w:highlight w:val="none"/>
              </w:rPr>
              <w:instrText xml:space="preserve"> =SUM(ABOVE) \* MERGEFORMAT </w:instrText>
            </w:r>
            <w:r>
              <w:rPr>
                <w:b/>
                <w:bCs/>
                <w:color w:val="auto"/>
                <w:highlight w:val="none"/>
              </w:rPr>
              <w:fldChar w:fldCharType="separate"/>
            </w:r>
            <w:r>
              <w:rPr>
                <w:b/>
                <w:bCs/>
                <w:color w:val="auto"/>
                <w:highlight w:val="none"/>
              </w:rPr>
              <w:fldChar w:fldCharType="begin"/>
            </w:r>
            <w:r>
              <w:rPr>
                <w:b/>
                <w:bCs/>
                <w:color w:val="auto"/>
                <w:highlight w:val="none"/>
              </w:rPr>
              <w:instrText xml:space="preserve"> =SUM(ABOVE) \* MERGEFORMAT </w:instrText>
            </w:r>
            <w:r>
              <w:rPr>
                <w:b/>
                <w:bCs/>
                <w:color w:val="auto"/>
                <w:highlight w:val="none"/>
              </w:rPr>
              <w:fldChar w:fldCharType="separate"/>
            </w:r>
            <w:r>
              <w:rPr>
                <w:b/>
                <w:bCs/>
                <w:color w:val="auto"/>
                <w:highlight w:val="none"/>
              </w:rPr>
              <w:t>13760</w:t>
            </w:r>
            <w:r>
              <w:rPr>
                <w:b/>
                <w:bCs/>
                <w:color w:val="auto"/>
                <w:highlight w:val="none"/>
              </w:rPr>
              <w:fldChar w:fldCharType="end"/>
            </w:r>
            <w:r>
              <w:rPr>
                <w:b/>
                <w:bCs/>
                <w:color w:val="auto"/>
                <w:highlight w:val="none"/>
              </w:rPr>
              <w:fldChar w:fldCharType="end"/>
            </w:r>
            <w:r>
              <w:rPr>
                <w:rFonts w:hint="eastAsia"/>
                <w:b/>
                <w:bCs/>
                <w:color w:val="auto"/>
                <w:highlight w:val="none"/>
              </w:rPr>
              <w:t>个</w:t>
            </w:r>
          </w:p>
        </w:tc>
        <w:tc>
          <w:tcPr>
            <w:tcW w:w="2360" w:type="dxa"/>
            <w:tcBorders>
              <w:left w:val="single" w:color="auto" w:sz="4" w:space="0"/>
              <w:right w:val="single" w:color="auto" w:sz="4" w:space="0"/>
            </w:tcBorders>
            <w:noWrap w:val="0"/>
            <w:vAlign w:val="center"/>
          </w:tcPr>
          <w:p>
            <w:pPr>
              <w:rPr>
                <w:rFonts w:hint="eastAsia" w:ascii="宋体" w:hAnsi="宋体"/>
                <w:color w:val="auto"/>
                <w:highlight w:val="none"/>
              </w:rPr>
            </w:pPr>
          </w:p>
        </w:tc>
        <w:tc>
          <w:tcPr>
            <w:tcW w:w="3310" w:type="dxa"/>
            <w:tcBorders>
              <w:left w:val="single" w:color="auto" w:sz="4" w:space="0"/>
            </w:tcBorders>
            <w:noWrap w:val="0"/>
            <w:vAlign w:val="center"/>
          </w:tcPr>
          <w:p>
            <w:pPr>
              <w:rPr>
                <w:rFonts w:hint="eastAsia" w:ascii="宋体" w:hAnsi="宋体"/>
                <w:color w:val="auto"/>
                <w:highlight w:val="none"/>
              </w:rPr>
            </w:pPr>
          </w:p>
        </w:tc>
      </w:tr>
    </w:tbl>
    <w:p>
      <w:pPr>
        <w:rPr>
          <w:rFonts w:hint="default"/>
          <w:color w:val="auto"/>
          <w:highlight w:val="none"/>
          <w:lang w:val="en-US"/>
        </w:rPr>
      </w:pPr>
    </w:p>
    <w:p>
      <w:pPr>
        <w:spacing w:line="360" w:lineRule="auto"/>
        <w:rPr>
          <w:rFonts w:hint="eastAsia"/>
          <w:b/>
          <w:color w:val="auto"/>
          <w:highlight w:val="none"/>
        </w:rPr>
      </w:pPr>
      <w:r>
        <w:rPr>
          <w:rFonts w:hint="eastAsia"/>
          <w:b/>
          <w:color w:val="auto"/>
          <w:highlight w:val="none"/>
        </w:rPr>
        <w:t>特别说明：不论是否出现偏离，投标人都必须在响应文件中提供技术偏离表以反映投标响应与采购需求的异同，提供商务偏离表以反映在付款条件、交货期、质保期、合同条款等商务条件上与竞争性磋商文件的规定的异同。</w:t>
      </w:r>
    </w:p>
    <w:p>
      <w:pPr>
        <w:rPr>
          <w:rFonts w:hint="eastAsia" w:ascii="Times New Roman" w:eastAsia="宋体" w:cs="宋体"/>
          <w:b/>
          <w:color w:val="auto"/>
          <w:kern w:val="2"/>
          <w:sz w:val="24"/>
          <w:szCs w:val="24"/>
          <w:highlight w:val="none"/>
          <w:lang w:val="en-US" w:eastAsia="zh-CN" w:bidi="ar-SA"/>
        </w:rPr>
      </w:pPr>
      <w:r>
        <w:rPr>
          <w:rFonts w:hint="eastAsia" w:ascii="Times New Roman" w:eastAsia="宋体" w:cs="宋体"/>
          <w:b/>
          <w:color w:val="auto"/>
          <w:kern w:val="2"/>
          <w:sz w:val="24"/>
          <w:szCs w:val="24"/>
          <w:highlight w:val="none"/>
          <w:lang w:val="en-US" w:eastAsia="zh-CN" w:bidi="ar-SA"/>
        </w:rPr>
        <w:br w:type="page"/>
      </w:r>
    </w:p>
    <w:p>
      <w:pPr>
        <w:pStyle w:val="2"/>
        <w:rPr>
          <w:rFonts w:hint="eastAsia" w:ascii="Times New Roman" w:eastAsia="宋体" w:cs="宋体"/>
          <w:b/>
          <w:color w:val="auto"/>
          <w:kern w:val="2"/>
          <w:sz w:val="24"/>
          <w:szCs w:val="24"/>
          <w:highlight w:val="none"/>
          <w:lang w:val="en-US" w:eastAsia="zh-CN" w:bidi="ar-SA"/>
        </w:rPr>
      </w:pPr>
      <w:r>
        <w:rPr>
          <w:color w:val="auto"/>
          <w:highlight w:val="none"/>
        </w:rPr>
        <w:drawing>
          <wp:anchor distT="0" distB="0" distL="114300" distR="114300" simplePos="0" relativeHeight="251660288" behindDoc="1" locked="0" layoutInCell="1" allowOverlap="1">
            <wp:simplePos x="0" y="0"/>
            <wp:positionH relativeFrom="column">
              <wp:posOffset>793750</wp:posOffset>
            </wp:positionH>
            <wp:positionV relativeFrom="paragraph">
              <wp:posOffset>3810</wp:posOffset>
            </wp:positionV>
            <wp:extent cx="3874770" cy="3150235"/>
            <wp:effectExtent l="0" t="0" r="11430" b="1206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3874770" cy="3150235"/>
                    </a:xfrm>
                    <a:prstGeom prst="rect">
                      <a:avLst/>
                    </a:prstGeom>
                    <a:noFill/>
                    <a:ln>
                      <a:noFill/>
                    </a:ln>
                  </pic:spPr>
                </pic:pic>
              </a:graphicData>
            </a:graphic>
          </wp:anchor>
        </w:drawing>
      </w:r>
      <w:r>
        <w:rPr>
          <w:rFonts w:hint="eastAsia" w:ascii="Times New Roman" w:eastAsia="宋体" w:cs="宋体"/>
          <w:b/>
          <w:color w:val="auto"/>
          <w:kern w:val="2"/>
          <w:sz w:val="24"/>
          <w:szCs w:val="24"/>
          <w:highlight w:val="none"/>
          <w:lang w:val="en-US" w:eastAsia="zh-CN" w:bidi="ar-SA"/>
        </w:rPr>
        <w:t>样式1：</w:t>
      </w:r>
    </w:p>
    <w:p>
      <w:pPr>
        <w:pStyle w:val="3"/>
        <w:rPr>
          <w:rFonts w:hint="eastAsia"/>
          <w:color w:val="auto"/>
          <w:highlight w:val="none"/>
          <w:lang w:val="en-US" w:eastAsia="zh-CN"/>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2"/>
        <w:rPr>
          <w:rFonts w:hint="eastAsia" w:ascii="Calibri" w:eastAsia="宋体" w:cs="宋体"/>
          <w:b/>
          <w:color w:val="auto"/>
          <w:kern w:val="2"/>
          <w:sz w:val="24"/>
          <w:szCs w:val="24"/>
          <w:highlight w:val="none"/>
          <w:lang w:val="en-US" w:eastAsia="zh-CN" w:bidi="ar-SA"/>
        </w:rPr>
      </w:pPr>
      <w:r>
        <w:rPr>
          <w:color w:val="auto"/>
          <w:highlight w:val="none"/>
        </w:rPr>
        <w:drawing>
          <wp:anchor distT="0" distB="0" distL="114300" distR="114300" simplePos="0" relativeHeight="251661312" behindDoc="1" locked="0" layoutInCell="1" allowOverlap="1">
            <wp:simplePos x="0" y="0"/>
            <wp:positionH relativeFrom="column">
              <wp:posOffset>592455</wp:posOffset>
            </wp:positionH>
            <wp:positionV relativeFrom="paragraph">
              <wp:posOffset>11430</wp:posOffset>
            </wp:positionV>
            <wp:extent cx="4332605" cy="3412490"/>
            <wp:effectExtent l="0" t="0" r="10795" b="1651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5"/>
                    <a:stretch>
                      <a:fillRect/>
                    </a:stretch>
                  </pic:blipFill>
                  <pic:spPr>
                    <a:xfrm>
                      <a:off x="0" y="0"/>
                      <a:ext cx="4332605" cy="3412490"/>
                    </a:xfrm>
                    <a:prstGeom prst="rect">
                      <a:avLst/>
                    </a:prstGeom>
                    <a:noFill/>
                    <a:ln>
                      <a:noFill/>
                    </a:ln>
                  </pic:spPr>
                </pic:pic>
              </a:graphicData>
            </a:graphic>
          </wp:anchor>
        </w:drawing>
      </w:r>
      <w:r>
        <w:rPr>
          <w:rFonts w:hint="eastAsia" w:ascii="Calibri" w:eastAsia="宋体" w:cs="宋体"/>
          <w:b/>
          <w:color w:val="auto"/>
          <w:kern w:val="2"/>
          <w:sz w:val="24"/>
          <w:szCs w:val="24"/>
          <w:highlight w:val="none"/>
          <w:lang w:val="en-US" w:eastAsia="zh-CN" w:bidi="ar-SA"/>
        </w:rPr>
        <w:t>样式2：</w:t>
      </w:r>
    </w:p>
    <w:p>
      <w:pPr>
        <w:pStyle w:val="3"/>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rPr>
          <w:color w:val="auto"/>
          <w:highlight w:val="none"/>
        </w:rPr>
      </w:pPr>
    </w:p>
    <w:p>
      <w:pPr>
        <w:pStyle w:val="2"/>
        <w:rPr>
          <w:color w:val="auto"/>
          <w:highlight w:val="none"/>
        </w:rPr>
      </w:pPr>
    </w:p>
    <w:p>
      <w:pPr>
        <w:rPr>
          <w:color w:val="auto"/>
          <w:highlight w:val="none"/>
        </w:rPr>
      </w:pPr>
      <w:r>
        <w:rPr>
          <w:color w:val="auto"/>
          <w:highlight w:val="none"/>
        </w:rPr>
        <w:br w:type="page"/>
      </w:r>
    </w:p>
    <w:p>
      <w:pPr>
        <w:rPr>
          <w:color w:val="auto"/>
          <w:highlight w:val="none"/>
        </w:rPr>
      </w:pPr>
    </w:p>
    <w:p>
      <w:pPr>
        <w:pStyle w:val="3"/>
        <w:rPr>
          <w:color w:val="auto"/>
          <w:highlight w:val="none"/>
        </w:rPr>
      </w:pPr>
    </w:p>
    <w:p>
      <w:pPr>
        <w:pStyle w:val="3"/>
        <w:rPr>
          <w:rFonts w:hint="eastAsia"/>
          <w:color w:val="auto"/>
          <w:highlight w:val="none"/>
          <w:lang w:val="en-US" w:eastAsia="zh-CN"/>
        </w:rPr>
      </w:pPr>
    </w:p>
    <w:p>
      <w:pPr>
        <w:pStyle w:val="2"/>
        <w:rPr>
          <w:rFonts w:hint="eastAsia" w:ascii="Calibri" w:eastAsia="宋体" w:cs="宋体"/>
          <w:b/>
          <w:color w:val="auto"/>
          <w:kern w:val="2"/>
          <w:sz w:val="24"/>
          <w:szCs w:val="24"/>
          <w:highlight w:val="none"/>
          <w:lang w:val="en-US" w:eastAsia="zh-CN" w:bidi="ar-SA"/>
        </w:rPr>
      </w:pPr>
      <w:r>
        <w:rPr>
          <w:color w:val="auto"/>
          <w:highlight w:val="none"/>
        </w:rPr>
        <w:drawing>
          <wp:anchor distT="0" distB="0" distL="114300" distR="114300" simplePos="0" relativeHeight="251662336" behindDoc="1" locked="0" layoutInCell="1" allowOverlap="1">
            <wp:simplePos x="0" y="0"/>
            <wp:positionH relativeFrom="column">
              <wp:posOffset>963295</wp:posOffset>
            </wp:positionH>
            <wp:positionV relativeFrom="paragraph">
              <wp:posOffset>71120</wp:posOffset>
            </wp:positionV>
            <wp:extent cx="3963670" cy="3217545"/>
            <wp:effectExtent l="0" t="0" r="17780" b="1905"/>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6"/>
                    <a:stretch>
                      <a:fillRect/>
                    </a:stretch>
                  </pic:blipFill>
                  <pic:spPr>
                    <a:xfrm>
                      <a:off x="0" y="0"/>
                      <a:ext cx="3963670" cy="3217545"/>
                    </a:xfrm>
                    <a:prstGeom prst="rect">
                      <a:avLst/>
                    </a:prstGeom>
                    <a:noFill/>
                    <a:ln>
                      <a:noFill/>
                    </a:ln>
                  </pic:spPr>
                </pic:pic>
              </a:graphicData>
            </a:graphic>
          </wp:anchor>
        </w:drawing>
      </w:r>
      <w:r>
        <w:rPr>
          <w:rFonts w:hint="eastAsia" w:ascii="Calibri" w:eastAsia="宋体" w:cs="宋体"/>
          <w:b/>
          <w:color w:val="auto"/>
          <w:kern w:val="2"/>
          <w:sz w:val="24"/>
          <w:szCs w:val="24"/>
          <w:highlight w:val="none"/>
          <w:lang w:val="en-US" w:eastAsia="zh-CN" w:bidi="ar-SA"/>
        </w:rPr>
        <w:t>样式3：</w:t>
      </w:r>
    </w:p>
    <w:p>
      <w:pPr>
        <w:pStyle w:val="3"/>
        <w:rPr>
          <w:color w:val="auto"/>
          <w:highlight w:val="none"/>
        </w:rPr>
      </w:pPr>
    </w:p>
    <w:p>
      <w:pPr>
        <w:pStyle w:val="3"/>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3"/>
        <w:rPr>
          <w:color w:val="auto"/>
          <w:highlight w:val="none"/>
        </w:rPr>
      </w:pPr>
    </w:p>
    <w:p>
      <w:pPr>
        <w:pStyle w:val="3"/>
        <w:rPr>
          <w:color w:val="auto"/>
          <w:highlight w:val="none"/>
        </w:rPr>
      </w:pPr>
    </w:p>
    <w:p>
      <w:pPr>
        <w:pStyle w:val="3"/>
        <w:rPr>
          <w:rFonts w:hint="eastAsia"/>
          <w:color w:val="auto"/>
          <w:highlight w:val="none"/>
          <w:lang w:val="en-US" w:eastAsia="zh-CN"/>
        </w:rPr>
      </w:pPr>
    </w:p>
    <w:p>
      <w:pPr>
        <w:pStyle w:val="2"/>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3"/>
        <w:rPr>
          <w:rFonts w:hint="eastAsia" w:ascii="Calibri" w:eastAsia="宋体" w:cs="宋体"/>
          <w:b/>
          <w:color w:val="auto"/>
          <w:kern w:val="2"/>
          <w:sz w:val="24"/>
          <w:szCs w:val="24"/>
          <w:highlight w:val="none"/>
          <w:lang w:val="en-US" w:eastAsia="zh-CN" w:bidi="ar-SA"/>
        </w:rPr>
      </w:pPr>
    </w:p>
    <w:p>
      <w:pPr>
        <w:rPr>
          <w:rFonts w:hint="eastAsia" w:ascii="Calibri" w:eastAsia="宋体" w:cs="宋体"/>
          <w:b/>
          <w:color w:val="auto"/>
          <w:kern w:val="2"/>
          <w:sz w:val="24"/>
          <w:szCs w:val="24"/>
          <w:highlight w:val="none"/>
          <w:lang w:val="en-US" w:eastAsia="zh-CN" w:bidi="ar-SA"/>
        </w:rPr>
      </w:pPr>
    </w:p>
    <w:p>
      <w:pPr>
        <w:pStyle w:val="2"/>
        <w:rPr>
          <w:rFonts w:hint="eastAsia"/>
          <w:color w:val="auto"/>
          <w:highlight w:val="none"/>
          <w:lang w:val="en-US" w:eastAsia="zh-CN"/>
        </w:rPr>
      </w:pPr>
      <w:r>
        <w:rPr>
          <w:color w:val="auto"/>
          <w:highlight w:val="none"/>
        </w:rPr>
        <w:drawing>
          <wp:anchor distT="0" distB="0" distL="114300" distR="114300" simplePos="0" relativeHeight="251663360" behindDoc="1" locked="0" layoutInCell="1" allowOverlap="1">
            <wp:simplePos x="0" y="0"/>
            <wp:positionH relativeFrom="column">
              <wp:posOffset>762000</wp:posOffset>
            </wp:positionH>
            <wp:positionV relativeFrom="paragraph">
              <wp:posOffset>-297815</wp:posOffset>
            </wp:positionV>
            <wp:extent cx="4204335" cy="3533775"/>
            <wp:effectExtent l="0" t="0" r="5715" b="9525"/>
            <wp:wrapNone/>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7"/>
                    <a:stretch>
                      <a:fillRect/>
                    </a:stretch>
                  </pic:blipFill>
                  <pic:spPr>
                    <a:xfrm>
                      <a:off x="0" y="0"/>
                      <a:ext cx="4204335" cy="3533775"/>
                    </a:xfrm>
                    <a:prstGeom prst="rect">
                      <a:avLst/>
                    </a:prstGeom>
                    <a:noFill/>
                    <a:ln>
                      <a:noFill/>
                    </a:ln>
                  </pic:spPr>
                </pic:pic>
              </a:graphicData>
            </a:graphic>
          </wp:anchor>
        </w:drawing>
      </w:r>
    </w:p>
    <w:p>
      <w:pPr>
        <w:pStyle w:val="2"/>
        <w:rPr>
          <w:rFonts w:hint="eastAsia" w:ascii="Calibri" w:eastAsia="宋体" w:cs="宋体"/>
          <w:b/>
          <w:color w:val="auto"/>
          <w:kern w:val="2"/>
          <w:sz w:val="24"/>
          <w:szCs w:val="24"/>
          <w:highlight w:val="none"/>
          <w:lang w:val="en-US" w:eastAsia="zh-CN" w:bidi="ar-SA"/>
        </w:rPr>
      </w:pPr>
      <w:r>
        <w:rPr>
          <w:rFonts w:hint="eastAsia" w:ascii="Calibri" w:eastAsia="宋体" w:cs="宋体"/>
          <w:b/>
          <w:color w:val="auto"/>
          <w:kern w:val="2"/>
          <w:sz w:val="24"/>
          <w:szCs w:val="24"/>
          <w:highlight w:val="none"/>
          <w:lang w:val="en-US" w:eastAsia="zh-CN" w:bidi="ar-SA"/>
        </w:rPr>
        <w:t>样式4：</w:t>
      </w:r>
    </w:p>
    <w:p>
      <w:pPr>
        <w:pStyle w:val="3"/>
        <w:rPr>
          <w:rFonts w:hint="eastAsia" w:ascii="Calibri" w:eastAsia="宋体" w:cs="宋体"/>
          <w:b/>
          <w:color w:val="auto"/>
          <w:kern w:val="2"/>
          <w:sz w:val="24"/>
          <w:szCs w:val="24"/>
          <w:highlight w:val="none"/>
          <w:lang w:val="en-US" w:eastAsia="zh-CN" w:bidi="ar-SA"/>
        </w:rPr>
      </w:pPr>
    </w:p>
    <w:p>
      <w:pPr>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3"/>
        <w:rPr>
          <w:rFonts w:hint="eastAsia" w:ascii="Calibri" w:eastAsia="宋体" w:cs="宋体"/>
          <w:b/>
          <w:color w:val="auto"/>
          <w:kern w:val="2"/>
          <w:sz w:val="24"/>
          <w:szCs w:val="24"/>
          <w:highlight w:val="none"/>
          <w:lang w:val="en-US" w:eastAsia="zh-CN" w:bidi="ar-SA"/>
        </w:rPr>
      </w:pPr>
    </w:p>
    <w:p>
      <w:pPr>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3"/>
        <w:rPr>
          <w:rFonts w:hint="eastAsia" w:ascii="Calibri" w:eastAsia="宋体" w:cs="宋体"/>
          <w:b/>
          <w:color w:val="auto"/>
          <w:kern w:val="2"/>
          <w:sz w:val="24"/>
          <w:szCs w:val="24"/>
          <w:highlight w:val="none"/>
          <w:lang w:val="en-US" w:eastAsia="zh-CN" w:bidi="ar-SA"/>
        </w:rPr>
      </w:pPr>
    </w:p>
    <w:p>
      <w:pPr>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3"/>
        <w:rPr>
          <w:rFonts w:hint="eastAsia" w:ascii="Calibri" w:eastAsia="宋体" w:cs="宋体"/>
          <w:b/>
          <w:color w:val="auto"/>
          <w:kern w:val="2"/>
          <w:sz w:val="24"/>
          <w:szCs w:val="24"/>
          <w:highlight w:val="none"/>
          <w:lang w:val="en-US" w:eastAsia="zh-CN" w:bidi="ar-SA"/>
        </w:rPr>
      </w:pPr>
    </w:p>
    <w:p>
      <w:pPr>
        <w:rPr>
          <w:rFonts w:hint="eastAsia" w:ascii="Calibri" w:eastAsia="宋体" w:cs="宋体"/>
          <w:b/>
          <w:color w:val="auto"/>
          <w:kern w:val="2"/>
          <w:sz w:val="24"/>
          <w:szCs w:val="24"/>
          <w:highlight w:val="none"/>
          <w:lang w:val="en-US" w:eastAsia="zh-CN" w:bidi="ar-SA"/>
        </w:rPr>
      </w:pPr>
    </w:p>
    <w:p>
      <w:pPr>
        <w:pStyle w:val="2"/>
        <w:rPr>
          <w:rFonts w:hint="eastAsia" w:ascii="Calibri" w:eastAsia="宋体" w:cs="宋体"/>
          <w:b/>
          <w:color w:val="auto"/>
          <w:kern w:val="2"/>
          <w:sz w:val="24"/>
          <w:szCs w:val="24"/>
          <w:highlight w:val="none"/>
          <w:lang w:val="en-US" w:eastAsia="zh-CN" w:bidi="ar-SA"/>
        </w:rPr>
      </w:pPr>
    </w:p>
    <w:p>
      <w:pPr>
        <w:pStyle w:val="3"/>
        <w:rPr>
          <w:rFonts w:hint="eastAsia" w:ascii="Calibri" w:eastAsia="宋体" w:cs="宋体"/>
          <w:b/>
          <w:color w:val="auto"/>
          <w:kern w:val="2"/>
          <w:sz w:val="24"/>
          <w:szCs w:val="24"/>
          <w:highlight w:val="none"/>
          <w:lang w:val="en-US" w:eastAsia="zh-CN" w:bidi="ar-SA"/>
        </w:rPr>
      </w:pPr>
    </w:p>
    <w:p>
      <w:pPr>
        <w:rPr>
          <w:rFonts w:hint="eastAsia"/>
          <w:color w:val="auto"/>
          <w:highlight w:val="none"/>
          <w:lang w:val="en-US" w:eastAsia="zh-CN"/>
        </w:rPr>
      </w:pPr>
    </w:p>
    <w:p>
      <w:pPr>
        <w:pStyle w:val="2"/>
        <w:rPr>
          <w:rFonts w:hint="eastAsia" w:ascii="Calibri" w:eastAsia="宋体" w:cs="宋体"/>
          <w:b/>
          <w:color w:val="auto"/>
          <w:kern w:val="2"/>
          <w:sz w:val="24"/>
          <w:szCs w:val="24"/>
          <w:highlight w:val="none"/>
          <w:lang w:val="en-US" w:eastAsia="zh-CN" w:bidi="ar-SA"/>
        </w:rPr>
      </w:pPr>
    </w:p>
    <w:p>
      <w:pPr>
        <w:pStyle w:val="3"/>
        <w:rPr>
          <w:rFonts w:hint="eastAsia"/>
          <w:color w:val="auto"/>
          <w:highlight w:val="none"/>
          <w:lang w:val="en-US" w:eastAsia="zh-CN"/>
        </w:rPr>
      </w:pPr>
    </w:p>
    <w:p>
      <w:pPr>
        <w:pStyle w:val="3"/>
        <w:rPr>
          <w:rFonts w:hint="eastAsia"/>
          <w:color w:val="auto"/>
          <w:highlight w:val="none"/>
          <w:lang w:val="en-US" w:eastAsia="zh-CN"/>
        </w:rPr>
      </w:pPr>
    </w:p>
    <w:p>
      <w:pPr>
        <w:pStyle w:val="2"/>
        <w:rPr>
          <w:rFonts w:hint="eastAsia" w:ascii="Calibri" w:eastAsia="宋体" w:cs="宋体"/>
          <w:b/>
          <w:color w:val="auto"/>
          <w:kern w:val="2"/>
          <w:sz w:val="24"/>
          <w:szCs w:val="24"/>
          <w:highlight w:val="none"/>
          <w:lang w:val="en-US" w:eastAsia="zh-CN" w:bidi="ar-SA"/>
        </w:rPr>
      </w:pPr>
      <w:r>
        <w:rPr>
          <w:rFonts w:hint="eastAsia" w:ascii="Calibri" w:eastAsia="宋体" w:cs="宋体"/>
          <w:b/>
          <w:color w:val="auto"/>
          <w:kern w:val="2"/>
          <w:sz w:val="24"/>
          <w:szCs w:val="24"/>
          <w:highlight w:val="none"/>
          <w:lang w:val="en-US" w:eastAsia="zh-CN" w:bidi="ar-SA"/>
        </w:rPr>
        <w:t>样式5：</w:t>
      </w:r>
    </w:p>
    <w:p>
      <w:pPr>
        <w:pStyle w:val="3"/>
        <w:rPr>
          <w:rFonts w:hint="eastAsia" w:ascii="Calibri" w:eastAsia="宋体" w:cs="宋体"/>
          <w:b/>
          <w:color w:val="auto"/>
          <w:kern w:val="2"/>
          <w:sz w:val="24"/>
          <w:szCs w:val="24"/>
          <w:highlight w:val="none"/>
          <w:lang w:val="en-US" w:eastAsia="zh-CN" w:bidi="ar-SA"/>
        </w:rPr>
      </w:pPr>
    </w:p>
    <w:p>
      <w:pPr>
        <w:rPr>
          <w:color w:val="auto"/>
          <w:highlight w:val="none"/>
        </w:rPr>
      </w:pPr>
      <w:r>
        <w:rPr>
          <w:color w:val="auto"/>
          <w:highlight w:val="none"/>
        </w:rPr>
        <w:drawing>
          <wp:inline distT="0" distB="0" distL="114300" distR="114300">
            <wp:extent cx="4391025" cy="3552825"/>
            <wp:effectExtent l="0" t="0" r="9525"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8"/>
                    <a:stretch>
                      <a:fillRect/>
                    </a:stretch>
                  </pic:blipFill>
                  <pic:spPr>
                    <a:xfrm>
                      <a:off x="0" y="0"/>
                      <a:ext cx="4391025" cy="3552825"/>
                    </a:xfrm>
                    <a:prstGeom prst="rect">
                      <a:avLst/>
                    </a:prstGeom>
                    <a:noFill/>
                    <a:ln>
                      <a:noFill/>
                    </a:ln>
                  </pic:spPr>
                </pic:pic>
              </a:graphicData>
            </a:graphic>
          </wp:inline>
        </w:drawing>
      </w:r>
    </w:p>
    <w:p>
      <w:pPr>
        <w:pStyle w:val="2"/>
        <w:rPr>
          <w:color w:val="auto"/>
          <w:highlight w:val="none"/>
        </w:rPr>
      </w:pPr>
    </w:p>
    <w:p>
      <w:pPr>
        <w:pStyle w:val="3"/>
        <w:rPr>
          <w:color w:val="auto"/>
          <w:highlight w:val="none"/>
        </w:rPr>
      </w:pPr>
    </w:p>
    <w:p>
      <w:pPr>
        <w:rPr>
          <w:rFonts w:hint="eastAsia"/>
          <w:color w:val="auto"/>
          <w:highlight w:val="none"/>
          <w:lang w:val="en-US" w:eastAsia="zh-CN"/>
        </w:rPr>
      </w:pPr>
      <w:bookmarkStart w:id="11" w:name="_GoBack"/>
      <w:bookmarkEnd w:id="11"/>
    </w:p>
    <w:p>
      <w:pPr>
        <w:pStyle w:val="2"/>
        <w:rPr>
          <w:rFonts w:hint="eastAsia" w:ascii="Calibri" w:eastAsia="宋体" w:cs="宋体"/>
          <w:b/>
          <w:color w:val="auto"/>
          <w:kern w:val="2"/>
          <w:sz w:val="24"/>
          <w:szCs w:val="24"/>
          <w:highlight w:val="none"/>
          <w:lang w:val="en-US" w:eastAsia="zh-CN" w:bidi="ar-SA"/>
        </w:rPr>
      </w:pPr>
      <w:r>
        <w:rPr>
          <w:color w:val="auto"/>
          <w:highlight w:val="none"/>
        </w:rPr>
        <w:drawing>
          <wp:anchor distT="0" distB="0" distL="114300" distR="114300" simplePos="0" relativeHeight="251664384" behindDoc="1" locked="0" layoutInCell="1" allowOverlap="1">
            <wp:simplePos x="0" y="0"/>
            <wp:positionH relativeFrom="column">
              <wp:posOffset>1418590</wp:posOffset>
            </wp:positionH>
            <wp:positionV relativeFrom="paragraph">
              <wp:posOffset>67945</wp:posOffset>
            </wp:positionV>
            <wp:extent cx="4335145" cy="3114040"/>
            <wp:effectExtent l="0" t="0" r="8255" b="1016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tretch>
                      <a:fillRect/>
                    </a:stretch>
                  </pic:blipFill>
                  <pic:spPr>
                    <a:xfrm>
                      <a:off x="0" y="0"/>
                      <a:ext cx="4335145" cy="3114040"/>
                    </a:xfrm>
                    <a:prstGeom prst="rect">
                      <a:avLst/>
                    </a:prstGeom>
                    <a:noFill/>
                    <a:ln>
                      <a:noFill/>
                    </a:ln>
                  </pic:spPr>
                </pic:pic>
              </a:graphicData>
            </a:graphic>
          </wp:anchor>
        </w:drawing>
      </w:r>
      <w:r>
        <w:rPr>
          <w:rFonts w:hint="eastAsia" w:ascii="Calibri" w:eastAsia="宋体" w:cs="宋体"/>
          <w:b/>
          <w:color w:val="auto"/>
          <w:kern w:val="2"/>
          <w:sz w:val="24"/>
          <w:szCs w:val="24"/>
          <w:highlight w:val="none"/>
          <w:lang w:val="en-US" w:eastAsia="zh-CN" w:bidi="ar-SA"/>
        </w:rPr>
        <w:t>样式6：</w:t>
      </w:r>
    </w:p>
    <w:p>
      <w:pPr>
        <w:pStyle w:val="3"/>
        <w:rPr>
          <w:rFonts w:hint="eastAsia"/>
          <w:color w:val="auto"/>
          <w:highlight w:val="none"/>
          <w:lang w:val="en-US" w:eastAsia="zh-CN"/>
        </w:rPr>
      </w:pPr>
    </w:p>
    <w:p>
      <w:pPr>
        <w:pStyle w:val="3"/>
        <w:rPr>
          <w:rFonts w:hint="eastAsia"/>
          <w:b w:val="0"/>
          <w:bCs w:val="0"/>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3"/>
        <w:rPr>
          <w:rFonts w:hint="eastAsia"/>
          <w:color w:val="auto"/>
          <w:highlight w:val="none"/>
          <w:lang w:val="en-US" w:eastAsia="zh-CN"/>
        </w:rPr>
      </w:pPr>
    </w:p>
    <w:p>
      <w:pPr>
        <w:rPr>
          <w:rFonts w:hint="eastAsia"/>
          <w:color w:val="auto"/>
          <w:highlight w:val="none"/>
          <w:lang w:val="en-US" w:eastAsia="zh-CN"/>
        </w:rPr>
      </w:pPr>
    </w:p>
    <w:p>
      <w:pPr>
        <w:pStyle w:val="3"/>
        <w:rPr>
          <w:rFonts w:hint="eastAsia"/>
          <w:color w:val="auto"/>
          <w:highlight w:val="none"/>
          <w:lang w:val="en-US" w:eastAsia="zh-CN"/>
        </w:rPr>
      </w:pPr>
    </w:p>
    <w:p>
      <w:pPr>
        <w:pStyle w:val="3"/>
        <w:rPr>
          <w:rFonts w:hint="default"/>
          <w:color w:val="auto"/>
          <w:highlight w:val="none"/>
          <w:lang w:val="en-US" w:eastAsia="zh-CN"/>
        </w:rPr>
      </w:pPr>
    </w:p>
    <w:p>
      <w:pPr>
        <w:numPr>
          <w:ilvl w:val="0"/>
          <w:numId w:val="2"/>
        </w:numPr>
        <w:rPr>
          <w:rFonts w:hint="eastAsia" w:ascii="宋体" w:hAnsi="宋体" w:cs="宋体"/>
          <w:b/>
          <w:bCs/>
          <w:color w:val="auto"/>
          <w:szCs w:val="24"/>
          <w:highlight w:val="none"/>
          <w:lang w:val="en-US" w:eastAsia="zh-CN"/>
        </w:rPr>
      </w:pPr>
      <w:bookmarkStart w:id="4" w:name="_Toc364079684"/>
      <w:r>
        <w:rPr>
          <w:rFonts w:hint="eastAsia" w:ascii="宋体" w:hAnsi="宋体" w:cs="宋体"/>
          <w:b/>
          <w:bCs/>
          <w:color w:val="auto"/>
          <w:szCs w:val="24"/>
          <w:highlight w:val="none"/>
          <w:lang w:val="en-US" w:eastAsia="zh-CN"/>
        </w:rPr>
        <w:t>其他要求：</w:t>
      </w:r>
    </w:p>
    <w:bookmarkEnd w:id="4"/>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后允许业主根据现场安装环境在主要构造不变的前提下对颜色、款式、尺寸、数量等进行适当调整（所有家具必须满足现场安装条件），单价不作调整；产品在交货时，产品的颜色必须与业主要求相符合。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单位需按国家有关标准及规范独立完成招标内容中的产品及工程，不得转包给第三方，如发现转包，</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 xml:space="preserve">人必须接受无条件退货并按合同总额50％的罚款。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3.投标单位及制造商需对成交货物使用的安全性与检测结果的可靠性负全部责任。业主单位将对产品的生产、安装过程进行监督检查。安装完毕，由业主组织对货物进行综合验收。如验收不合格，则作整改处理及至业主满意为止。如因退货或不能一次性通过综合验收而贻误时间的，则按合同总金额的20%至50％进行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.全部安装就位、调试完成后，由采购人组织进行验收。如不符合检测结果无条件退货并承担一切后果，同时没收履约保证金。</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5241"/>
        <w:gridCol w:w="2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661" w:type="dxa"/>
            <w:noWrap w:val="0"/>
            <w:vAlign w:val="center"/>
          </w:tcPr>
          <w:p>
            <w:pPr>
              <w:jc w:val="center"/>
              <w:rPr>
                <w:rFonts w:hint="eastAsia" w:ascii="宋体" w:hAnsi="宋体"/>
                <w:color w:val="auto"/>
                <w:highlight w:val="none"/>
              </w:rPr>
            </w:pPr>
            <w:r>
              <w:rPr>
                <w:rFonts w:hint="eastAsia" w:ascii="宋体" w:hAnsi="宋体"/>
                <w:color w:val="auto"/>
                <w:highlight w:val="none"/>
              </w:rPr>
              <w:t>序号</w:t>
            </w:r>
          </w:p>
        </w:tc>
        <w:tc>
          <w:tcPr>
            <w:tcW w:w="5241" w:type="dxa"/>
            <w:noWrap w:val="0"/>
            <w:vAlign w:val="center"/>
          </w:tcPr>
          <w:p>
            <w:pPr>
              <w:jc w:val="center"/>
              <w:rPr>
                <w:rFonts w:hint="eastAsia" w:ascii="宋体" w:hAnsi="宋体"/>
                <w:color w:val="auto"/>
                <w:highlight w:val="none"/>
              </w:rPr>
            </w:pPr>
            <w:r>
              <w:rPr>
                <w:rFonts w:hint="eastAsia" w:ascii="宋体" w:hAnsi="宋体"/>
                <w:color w:val="auto"/>
                <w:highlight w:val="none"/>
              </w:rPr>
              <w:t>检测内容</w:t>
            </w:r>
          </w:p>
        </w:tc>
        <w:tc>
          <w:tcPr>
            <w:tcW w:w="2620" w:type="dxa"/>
            <w:noWrap w:val="0"/>
            <w:vAlign w:val="center"/>
          </w:tcPr>
          <w:p>
            <w:pPr>
              <w:jc w:val="center"/>
              <w:rPr>
                <w:rFonts w:hint="eastAsia" w:ascii="宋体" w:hAnsi="宋体"/>
                <w:color w:val="auto"/>
                <w:highlight w:val="none"/>
              </w:rPr>
            </w:pPr>
            <w:r>
              <w:rPr>
                <w:rFonts w:hint="eastAsia" w:ascii="宋体" w:hAnsi="宋体"/>
                <w:color w:val="auto"/>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61" w:type="dxa"/>
            <w:noWrap w:val="0"/>
            <w:vAlign w:val="center"/>
          </w:tcPr>
          <w:p>
            <w:pPr>
              <w:jc w:val="center"/>
              <w:rPr>
                <w:rFonts w:hint="eastAsia" w:ascii="宋体" w:hAnsi="宋体"/>
                <w:color w:val="auto"/>
                <w:highlight w:val="none"/>
              </w:rPr>
            </w:pPr>
            <w:r>
              <w:rPr>
                <w:rFonts w:hint="eastAsia" w:ascii="宋体" w:hAnsi="宋体"/>
                <w:color w:val="auto"/>
                <w:highlight w:val="none"/>
              </w:rPr>
              <w:t>1</w:t>
            </w:r>
          </w:p>
        </w:tc>
        <w:tc>
          <w:tcPr>
            <w:tcW w:w="5241" w:type="dxa"/>
            <w:noWrap w:val="0"/>
            <w:vAlign w:val="center"/>
          </w:tcPr>
          <w:p>
            <w:pPr>
              <w:jc w:val="center"/>
              <w:rPr>
                <w:rFonts w:hint="eastAsia" w:ascii="宋体" w:hAnsi="宋体"/>
                <w:color w:val="auto"/>
                <w:highlight w:val="none"/>
              </w:rPr>
            </w:pPr>
            <w:r>
              <w:rPr>
                <w:rFonts w:hint="eastAsia" w:ascii="宋体" w:hAnsi="宋体"/>
                <w:color w:val="auto"/>
                <w:highlight w:val="none"/>
              </w:rPr>
              <w:t>物理特性检测：主要指产品尺寸形状偏差、标识与实物一致性、表面理化性能、力学性能、安全性要求检测</w:t>
            </w:r>
          </w:p>
        </w:tc>
        <w:tc>
          <w:tcPr>
            <w:tcW w:w="2620" w:type="dxa"/>
            <w:noWrap w:val="0"/>
            <w:vAlign w:val="center"/>
          </w:tcPr>
          <w:p>
            <w:pPr>
              <w:jc w:val="center"/>
              <w:rPr>
                <w:rFonts w:hint="eastAsia" w:ascii="宋体" w:hAnsi="宋体"/>
                <w:color w:val="auto"/>
                <w:highlight w:val="none"/>
              </w:rPr>
            </w:pPr>
            <w:r>
              <w:rPr>
                <w:rFonts w:hint="eastAsia" w:ascii="宋体" w:hAnsi="宋体"/>
                <w:color w:val="auto"/>
                <w:highlight w:val="none"/>
              </w:rPr>
              <w:t>符合国家标准和招标文件要求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61" w:type="dxa"/>
            <w:noWrap w:val="0"/>
            <w:vAlign w:val="center"/>
          </w:tcPr>
          <w:p>
            <w:pPr>
              <w:jc w:val="center"/>
              <w:rPr>
                <w:rFonts w:hint="eastAsia" w:ascii="宋体" w:hAnsi="宋体"/>
                <w:color w:val="auto"/>
                <w:highlight w:val="none"/>
              </w:rPr>
            </w:pPr>
            <w:r>
              <w:rPr>
                <w:rFonts w:hint="eastAsia" w:ascii="宋体" w:hAnsi="宋体"/>
                <w:color w:val="auto"/>
                <w:highlight w:val="none"/>
              </w:rPr>
              <w:t>2</w:t>
            </w:r>
          </w:p>
        </w:tc>
        <w:tc>
          <w:tcPr>
            <w:tcW w:w="5241" w:type="dxa"/>
            <w:noWrap w:val="0"/>
            <w:vAlign w:val="center"/>
          </w:tcPr>
          <w:p>
            <w:pPr>
              <w:jc w:val="left"/>
              <w:rPr>
                <w:rFonts w:hint="eastAsia" w:ascii="宋体" w:hAnsi="宋体"/>
                <w:color w:val="auto"/>
                <w:highlight w:val="none"/>
              </w:rPr>
            </w:pPr>
            <w:r>
              <w:rPr>
                <w:rFonts w:hint="eastAsia" w:ascii="宋体" w:hAnsi="宋体"/>
                <w:color w:val="auto"/>
                <w:highlight w:val="none"/>
              </w:rPr>
              <w:t>有害物质限量检测</w:t>
            </w:r>
          </w:p>
        </w:tc>
        <w:tc>
          <w:tcPr>
            <w:tcW w:w="2620" w:type="dxa"/>
            <w:noWrap w:val="0"/>
            <w:vAlign w:val="center"/>
          </w:tcPr>
          <w:p>
            <w:pPr>
              <w:jc w:val="center"/>
              <w:rPr>
                <w:rFonts w:hint="eastAsia" w:ascii="宋体" w:hAnsi="宋体"/>
                <w:color w:val="auto"/>
                <w:highlight w:val="none"/>
              </w:rPr>
            </w:pPr>
            <w:r>
              <w:rPr>
                <w:rFonts w:hint="eastAsia" w:ascii="宋体" w:hAnsi="宋体"/>
                <w:color w:val="auto"/>
                <w:highlight w:val="none"/>
              </w:rPr>
              <w:t>符合国家标准和招标文件要求</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.这部份技术要求（规格）书只是对货物的一些原则性要求，并不是详尽的要求，投标单位有责任对设计符合技术规范、标准负责。</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单位应对投标内容所涉及的专利承担责任，并负责保护采购人的利益不受任何损害。一切由于文字、商标、技术和软件制作专利引起的法律裁决、诉讼和费用均与采购人无关。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.对于属于安装所必需的部件、附件，即使工程量清单中未列出或数目不足，</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单位仍需在执行合同时补足，费用视为已包含在综合单价内。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ascii="宋体" w:hAnsi="宋体" w:cs="宋体"/>
          <w:color w:val="auto"/>
          <w:sz w:val="24"/>
          <w:highlight w:val="none"/>
        </w:rPr>
        <w:t>7</w:t>
      </w:r>
      <w:r>
        <w:rPr>
          <w:rFonts w:hint="eastAsia" w:ascii="宋体" w:hAnsi="宋体" w:cs="宋体"/>
          <w:color w:val="auto"/>
          <w:sz w:val="24"/>
          <w:highlight w:val="none"/>
        </w:rPr>
        <w:t>.在家具安装过程中，由于</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单位安装不当引起的各种损坏，相关修复费用由</w:t>
      </w:r>
      <w:r>
        <w:rPr>
          <w:rFonts w:hint="eastAsia" w:ascii="宋体" w:hAnsi="宋体" w:cs="宋体"/>
          <w:color w:val="auto"/>
          <w:sz w:val="24"/>
          <w:highlight w:val="none"/>
          <w:lang w:eastAsia="zh-CN"/>
        </w:rPr>
        <w:t>中标（成交）</w:t>
      </w:r>
      <w:r>
        <w:rPr>
          <w:rFonts w:hint="eastAsia" w:ascii="宋体" w:hAnsi="宋体" w:cs="宋体"/>
          <w:color w:val="auto"/>
          <w:sz w:val="24"/>
          <w:highlight w:val="none"/>
        </w:rPr>
        <w:t>单位负责。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eastAsia="zh-CN"/>
        </w:rPr>
        <w:t>在特殊时间段因施工需要开门服务产生的事宜，有双方协商解决。</w:t>
      </w:r>
    </w:p>
    <w:p>
      <w:pPr>
        <w:pStyle w:val="12"/>
        <w:spacing w:line="360" w:lineRule="auto"/>
        <w:ind w:left="0" w:leftChars="0" w:firstLine="0" w:firstLineChars="0"/>
        <w:rPr>
          <w:rFonts w:ascii="宋体" w:hAnsi="宋体"/>
          <w:color w:val="auto"/>
          <w:highlight w:val="none"/>
        </w:rPr>
      </w:pPr>
    </w:p>
    <w:p>
      <w:pPr>
        <w:pStyle w:val="5"/>
        <w:rPr>
          <w:rFonts w:hint="default"/>
          <w:color w:val="auto"/>
          <w:highlight w:val="none"/>
          <w:lang w:val="en-US" w:eastAsia="zh-CN"/>
        </w:rPr>
      </w:pPr>
      <w:r>
        <w:rPr>
          <w:rFonts w:hint="eastAsia"/>
          <w:color w:val="auto"/>
          <w:highlight w:val="none"/>
          <w:lang w:val="en-US" w:eastAsia="zh-CN"/>
        </w:rPr>
        <w:t>三、商务要求</w:t>
      </w:r>
    </w:p>
    <w:p>
      <w:pPr>
        <w:pStyle w:val="6"/>
        <w:rPr>
          <w:rFonts w:hint="eastAsia" w:ascii="宋体" w:hAnsi="宋体" w:cs="宋体"/>
          <w:color w:val="auto"/>
          <w:highlight w:val="none"/>
        </w:rPr>
      </w:pPr>
      <w:r>
        <w:rPr>
          <w:rFonts w:hint="eastAsia" w:ascii="宋体" w:hAnsi="宋体" w:cs="宋体"/>
          <w:color w:val="auto"/>
          <w:highlight w:val="none"/>
        </w:rPr>
        <w:t>（一）</w:t>
      </w:r>
      <w:bookmarkEnd w:id="2"/>
      <w:bookmarkEnd w:id="3"/>
      <w:r>
        <w:rPr>
          <w:rFonts w:hint="eastAsia" w:ascii="宋体" w:hAnsi="宋体" w:cs="宋体"/>
          <w:color w:val="auto"/>
          <w:kern w:val="0"/>
          <w:szCs w:val="21"/>
          <w:highlight w:val="none"/>
        </w:rPr>
        <w:t>★</w:t>
      </w:r>
      <w:r>
        <w:rPr>
          <w:rFonts w:hint="eastAsia" w:ascii="宋体" w:hAnsi="宋体" w:cs="宋体"/>
          <w:color w:val="auto"/>
          <w:highlight w:val="none"/>
        </w:rPr>
        <w:t>交货时间及地点</w:t>
      </w:r>
    </w:p>
    <w:p>
      <w:pPr>
        <w:pStyle w:val="12"/>
        <w:spacing w:line="360" w:lineRule="auto"/>
        <w:ind w:left="420" w:firstLine="240" w:firstLineChars="100"/>
        <w:jc w:val="left"/>
        <w:rPr>
          <w:rFonts w:hint="eastAsia" w:ascii="宋体" w:hAnsi="宋体" w:cs="宋体"/>
          <w:color w:val="auto"/>
          <w:sz w:val="24"/>
          <w:szCs w:val="28"/>
          <w:highlight w:val="none"/>
        </w:rPr>
      </w:pPr>
      <w:bookmarkStart w:id="5" w:name="_Toc14429"/>
      <w:bookmarkStart w:id="6" w:name="_Toc3146"/>
      <w:r>
        <w:rPr>
          <w:rFonts w:hint="eastAsia" w:ascii="宋体" w:hAnsi="宋体" w:cs="宋体"/>
          <w:color w:val="auto"/>
          <w:sz w:val="24"/>
          <w:szCs w:val="28"/>
          <w:highlight w:val="none"/>
        </w:rPr>
        <w:t>交货时间：</w:t>
      </w:r>
      <w:r>
        <w:rPr>
          <w:rFonts w:hint="eastAsia" w:ascii="宋体" w:hAnsi="宋体" w:cs="宋体"/>
          <w:color w:val="auto"/>
          <w:sz w:val="24"/>
          <w:szCs w:val="28"/>
          <w:highlight w:val="none"/>
          <w:lang w:val="en-US" w:eastAsia="zh-CN"/>
        </w:rPr>
        <w:t>合同签订后一个月内完成</w:t>
      </w:r>
      <w:r>
        <w:rPr>
          <w:rFonts w:hint="eastAsia" w:ascii="宋体" w:hAnsi="宋体" w:cs="宋体"/>
          <w:color w:val="auto"/>
          <w:sz w:val="24"/>
          <w:szCs w:val="28"/>
          <w:highlight w:val="none"/>
        </w:rPr>
        <w:t>供货、安装、</w:t>
      </w:r>
      <w:r>
        <w:rPr>
          <w:rFonts w:hint="eastAsia" w:ascii="宋体" w:hAnsi="宋体" w:cs="宋体"/>
          <w:color w:val="auto"/>
          <w:sz w:val="24"/>
          <w:szCs w:val="28"/>
          <w:highlight w:val="none"/>
          <w:lang w:val="en-US" w:eastAsia="zh-CN"/>
        </w:rPr>
        <w:t>验收</w:t>
      </w:r>
      <w:r>
        <w:rPr>
          <w:rFonts w:hint="eastAsia" w:ascii="宋体" w:hAnsi="宋体" w:cs="宋体"/>
          <w:color w:val="auto"/>
          <w:sz w:val="24"/>
          <w:szCs w:val="28"/>
          <w:highlight w:val="none"/>
        </w:rPr>
        <w:t>。</w:t>
      </w:r>
    </w:p>
    <w:p>
      <w:pPr>
        <w:pStyle w:val="12"/>
        <w:spacing w:line="360" w:lineRule="auto"/>
        <w:ind w:left="420" w:firstLine="240" w:firstLineChars="100"/>
        <w:jc w:val="left"/>
        <w:rPr>
          <w:rFonts w:hint="eastAsia" w:ascii="宋体" w:hAnsi="宋体"/>
          <w:color w:val="auto"/>
          <w:szCs w:val="32"/>
          <w:highlight w:val="none"/>
        </w:rPr>
      </w:pPr>
      <w:r>
        <w:rPr>
          <w:rFonts w:hint="eastAsia" w:ascii="宋体" w:hAnsi="宋体" w:cs="宋体"/>
          <w:color w:val="auto"/>
          <w:sz w:val="24"/>
          <w:szCs w:val="28"/>
          <w:highlight w:val="none"/>
        </w:rPr>
        <w:t>地点：</w:t>
      </w:r>
      <w:r>
        <w:rPr>
          <w:rFonts w:hint="eastAsia" w:ascii="宋体" w:hAnsi="宋体" w:cs="宋体"/>
          <w:color w:val="auto"/>
          <w:sz w:val="24"/>
          <w:szCs w:val="28"/>
          <w:highlight w:val="none"/>
          <w:lang w:eastAsia="zh-CN"/>
        </w:rPr>
        <w:t>杭州电子科技大学，</w:t>
      </w:r>
      <w:r>
        <w:rPr>
          <w:rFonts w:hint="eastAsia" w:ascii="宋体" w:hAnsi="宋体" w:cs="宋体"/>
          <w:color w:val="auto"/>
          <w:sz w:val="24"/>
          <w:szCs w:val="28"/>
          <w:highlight w:val="none"/>
          <w:lang w:val="en-US" w:eastAsia="zh-CN"/>
        </w:rPr>
        <w:t>甲方指定地点</w:t>
      </w:r>
      <w:r>
        <w:rPr>
          <w:rFonts w:hint="eastAsia" w:ascii="宋体" w:hAnsi="宋体" w:cs="宋体"/>
          <w:color w:val="auto"/>
          <w:sz w:val="24"/>
          <w:szCs w:val="28"/>
          <w:highlight w:val="none"/>
        </w:rPr>
        <w:t>。</w:t>
      </w:r>
      <w:bookmarkEnd w:id="5"/>
      <w:bookmarkEnd w:id="6"/>
    </w:p>
    <w:p>
      <w:pPr>
        <w:pStyle w:val="6"/>
        <w:rPr>
          <w:rFonts w:hint="eastAsia" w:ascii="宋体" w:hAnsi="宋体" w:cs="宋体"/>
          <w:color w:val="auto"/>
          <w:highlight w:val="none"/>
        </w:rPr>
      </w:pPr>
      <w:bookmarkStart w:id="7" w:name="_Toc27073"/>
      <w:bookmarkStart w:id="8" w:name="_Toc11083"/>
      <w:r>
        <w:rPr>
          <w:rFonts w:hint="eastAsia" w:ascii="宋体" w:hAnsi="宋体" w:cs="宋体"/>
          <w:color w:val="auto"/>
          <w:highlight w:val="none"/>
        </w:rPr>
        <w:t>（</w:t>
      </w:r>
      <w:r>
        <w:rPr>
          <w:rFonts w:hint="eastAsia" w:ascii="宋体" w:hAnsi="宋体" w:cs="宋体"/>
          <w:color w:val="auto"/>
          <w:highlight w:val="none"/>
          <w:lang w:val="en-US" w:eastAsia="zh-CN"/>
        </w:rPr>
        <w:t>二</w:t>
      </w:r>
      <w:r>
        <w:rPr>
          <w:rFonts w:hint="eastAsia" w:ascii="宋体" w:hAnsi="宋体" w:cs="宋体"/>
          <w:color w:val="auto"/>
          <w:highlight w:val="none"/>
        </w:rPr>
        <w:t>）付款方式</w:t>
      </w:r>
      <w:bookmarkEnd w:id="7"/>
      <w:bookmarkEnd w:id="8"/>
    </w:p>
    <w:p>
      <w:pPr>
        <w:pStyle w:val="12"/>
        <w:spacing w:line="360" w:lineRule="auto"/>
        <w:ind w:firstLine="480"/>
        <w:jc w:val="left"/>
        <w:rPr>
          <w:rFonts w:hint="eastAsia" w:ascii="宋体" w:hAnsi="宋体" w:cs="宋体"/>
          <w:color w:val="auto"/>
          <w:sz w:val="24"/>
          <w:szCs w:val="32"/>
          <w:highlight w:val="none"/>
        </w:rPr>
      </w:pPr>
      <w:bookmarkStart w:id="9" w:name="_Toc12409"/>
      <w:bookmarkStart w:id="10" w:name="_Toc12425"/>
      <w:r>
        <w:rPr>
          <w:rFonts w:hint="eastAsia" w:ascii="宋体" w:hAnsi="宋体" w:cs="宋体"/>
          <w:color w:val="auto"/>
          <w:sz w:val="24"/>
          <w:szCs w:val="32"/>
          <w:highlight w:val="none"/>
        </w:rPr>
        <w:t>签订合同后7日内向采购人交纳合同总金额的5％作为履约保证金，未按规定时间缴纳似作违约。履约保证金在合同内容完成验收合格后自动转为质量保证金。质量保证金自验收合格后12个月内没有质量问题和售后服务问题，无息退还。</w:t>
      </w:r>
    </w:p>
    <w:p>
      <w:pPr>
        <w:pStyle w:val="12"/>
        <w:spacing w:line="360" w:lineRule="auto"/>
        <w:ind w:firstLine="480"/>
        <w:jc w:val="left"/>
        <w:rPr>
          <w:rFonts w:hint="eastAsia" w:ascii="宋体" w:hAnsi="宋体" w:cs="宋体"/>
          <w:color w:val="auto"/>
          <w:sz w:val="24"/>
          <w:szCs w:val="32"/>
          <w:highlight w:val="none"/>
        </w:rPr>
      </w:pPr>
      <w:r>
        <w:rPr>
          <w:rFonts w:hint="eastAsia" w:ascii="宋体" w:hAnsi="宋体" w:cs="宋体"/>
          <w:color w:val="auto"/>
          <w:sz w:val="24"/>
          <w:szCs w:val="32"/>
          <w:highlight w:val="none"/>
          <w:lang w:val="zh-TW" w:eastAsia="zh-TW"/>
        </w:rPr>
        <w:t>货物自乙方送达甲方指定地点，安装调试摆放完毕并经甲方验收合格和正常运行（使用）后的二十个工作日内，甲方收到乙方开具的正规发票后向乙方全额支付合同总额。</w:t>
      </w:r>
      <w:bookmarkEnd w:id="9"/>
      <w:bookmarkEnd w:id="1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A7B33"/>
    <w:multiLevelType w:val="singleLevel"/>
    <w:tmpl w:val="08AA7B33"/>
    <w:lvl w:ilvl="0" w:tentative="0">
      <w:start w:val="2"/>
      <w:numFmt w:val="decimal"/>
      <w:lvlText w:val="%1."/>
      <w:lvlJc w:val="left"/>
      <w:pPr>
        <w:tabs>
          <w:tab w:val="left" w:pos="312"/>
        </w:tabs>
      </w:pPr>
    </w:lvl>
  </w:abstractNum>
  <w:abstractNum w:abstractNumId="1">
    <w:nsid w:val="1CFAB8C0"/>
    <w:multiLevelType w:val="singleLevel"/>
    <w:tmpl w:val="1CFAB8C0"/>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492817"/>
    <w:rsid w:val="63492817"/>
    <w:rsid w:val="6AAE327F"/>
    <w:rsid w:val="6E9B42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4"/>
      <w:szCs w:val="24"/>
      <w:lang w:val="en-US" w:eastAsia="zh-CN" w:bidi="ar-SA"/>
    </w:rPr>
  </w:style>
  <w:style w:type="paragraph" w:styleId="4">
    <w:name w:val="heading 1"/>
    <w:basedOn w:val="1"/>
    <w:next w:val="1"/>
    <w:qFormat/>
    <w:uiPriority w:val="0"/>
    <w:pPr>
      <w:keepNext/>
      <w:keepLines/>
      <w:spacing w:before="340" w:after="330" w:line="480" w:lineRule="auto"/>
      <w:jc w:val="center"/>
      <w:outlineLvl w:val="0"/>
    </w:pPr>
    <w:rPr>
      <w:rFonts w:ascii="宋体" w:hAnsi="宋体" w:cs="Times New Roman"/>
      <w:b/>
      <w:color w:val="000000"/>
      <w:kern w:val="44"/>
      <w:sz w:val="32"/>
      <w:szCs w:val="32"/>
    </w:rPr>
  </w:style>
  <w:style w:type="paragraph" w:styleId="5">
    <w:name w:val="heading 2"/>
    <w:basedOn w:val="1"/>
    <w:next w:val="1"/>
    <w:qFormat/>
    <w:uiPriority w:val="0"/>
    <w:pPr>
      <w:keepNext/>
      <w:keepLines/>
      <w:spacing w:line="360" w:lineRule="auto"/>
      <w:jc w:val="left"/>
      <w:outlineLvl w:val="1"/>
    </w:pPr>
    <w:rPr>
      <w:rFonts w:cs="Times New Roman"/>
      <w:b/>
      <w:bCs/>
      <w:color w:val="000000"/>
      <w:spacing w:val="-6"/>
      <w:kern w:val="0"/>
      <w:szCs w:val="30"/>
    </w:rPr>
  </w:style>
  <w:style w:type="paragraph" w:styleId="6">
    <w:name w:val="heading 3"/>
    <w:basedOn w:val="1"/>
    <w:next w:val="1"/>
    <w:qFormat/>
    <w:uiPriority w:val="0"/>
    <w:pPr>
      <w:keepNext/>
      <w:keepLines/>
      <w:spacing w:before="120" w:after="120"/>
      <w:jc w:val="left"/>
      <w:outlineLvl w:val="2"/>
    </w:pPr>
    <w:rPr>
      <w:rFonts w:cs="Times New Roman"/>
      <w:b/>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customStyle="1" w:styleId="2">
    <w:name w:val="Default"/>
    <w:next w:val="3"/>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7">
    <w:name w:val="Normal Indent"/>
    <w:basedOn w:val="1"/>
    <w:qFormat/>
    <w:uiPriority w:val="0"/>
    <w:pPr>
      <w:ind w:firstLine="420" w:firstLineChars="200"/>
    </w:p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正文段"/>
    <w:basedOn w:val="1"/>
    <w:qFormat/>
    <w:uiPriority w:val="0"/>
    <w:pPr>
      <w:widowControl/>
      <w:snapToGrid w:val="0"/>
      <w:spacing w:after="50" w:afterLines="50"/>
    </w:pPr>
    <w:rPr>
      <w:kern w:val="0"/>
    </w:rPr>
  </w:style>
  <w:style w:type="paragraph" w:styleId="12">
    <w:name w:val="List Paragraph"/>
    <w:basedOn w:val="1"/>
    <w:qFormat/>
    <w:uiPriority w:val="34"/>
    <w:pPr>
      <w:ind w:firstLine="420" w:firstLineChars="200"/>
    </w:pPr>
    <w:rPr>
      <w:rFonts w:cs="Times New Roman"/>
      <w:sz w:val="21"/>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2020-01-20T07:57:00Z</dcterms:created>
  <dc:creator>dell</dc:creator>
  <cp:lastModifiedBy>dell</cp:lastModifiedBy>
  <dcterms:modified xsi:type="dcterms:W3CDTF">2020-01-20T08:12:39Z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