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磁光克尔显微镜</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磁光克尔显微镜</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QSZB-Z(H)-B23414(CS)</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[2023]73006号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widowControl/>
        <w:jc w:val="left"/>
        <w:rPr>
          <w:color w:val="auto"/>
          <w:highlight w:val="none"/>
        </w:rPr>
      </w:pPr>
    </w:p>
    <w:p>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磁光克尔显微镜</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2023年11月24日</w:t>
      </w:r>
      <w:bookmarkStart w:id="66" w:name="_GoBack"/>
      <w:bookmarkEnd w:id="66"/>
      <w:r>
        <w:rPr>
          <w:rFonts w:hint="eastAsia"/>
          <w:b/>
          <w:color w:val="auto"/>
          <w:sz w:val="21"/>
          <w:szCs w:val="21"/>
          <w:highlight w:val="none"/>
          <w:u w:val="single"/>
          <w:lang w:eastAsia="zh-CN"/>
        </w:rPr>
        <w:t>13:30:00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621"/>
      <w:bookmarkStart w:id="1" w:name="_Toc28359079"/>
      <w:bookmarkStart w:id="2" w:name="_Toc35393790"/>
      <w:bookmarkStart w:id="3" w:name="_Toc28359002"/>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QSZB-Z(H)-B23414(CS)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磁光克尔显微镜</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990000元</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最高限价：990000元</w:t>
      </w:r>
    </w:p>
    <w:p>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val="en-US" w:eastAsia="zh-CN"/>
        </w:rPr>
        <w:t>自合同签订之日起120个工作日内交付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719"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006"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磁光克尔显微镜</w:t>
            </w:r>
          </w:p>
        </w:tc>
        <w:tc>
          <w:tcPr>
            <w:tcW w:w="708" w:type="dxa"/>
            <w:tcBorders>
              <w:tl2br w:val="nil"/>
              <w:tr2bl w:val="nil"/>
            </w:tcBorders>
            <w:vAlign w:val="center"/>
          </w:tcPr>
          <w:p>
            <w:pPr>
              <w:adjustRightInd w:val="0"/>
              <w:snapToGrid w:val="0"/>
              <w:spacing w:line="288" w:lineRule="auto"/>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709" w:type="dxa"/>
            <w:tcBorders>
              <w:tl2br w:val="nil"/>
              <w:tr2bl w:val="nil"/>
            </w:tcBorders>
            <w:vAlign w:val="center"/>
          </w:tcPr>
          <w:p>
            <w:pPr>
              <w:adjustRightInd w:val="0"/>
              <w:snapToGrid w:val="0"/>
              <w:spacing w:line="288" w:lineRule="auto"/>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套</w:t>
            </w:r>
          </w:p>
        </w:tc>
        <w:tc>
          <w:tcPr>
            <w:tcW w:w="3119" w:type="dxa"/>
            <w:tcBorders>
              <w:right w:val="single" w:color="auto" w:sz="4" w:space="0"/>
              <w:tl2br w:val="nil"/>
              <w:tr2bl w:val="nil"/>
            </w:tcBorders>
            <w:vAlign w:val="center"/>
          </w:tcPr>
          <w:p>
            <w:pPr>
              <w:adjustRightInd w:val="0"/>
              <w:snapToGrid w:val="0"/>
              <w:spacing w:line="288" w:lineRule="auto"/>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c>
          <w:tcPr>
            <w:tcW w:w="1276" w:type="dxa"/>
            <w:tcBorders>
              <w:right w:val="single" w:color="auto" w:sz="4" w:space="0"/>
              <w:tl2br w:val="nil"/>
              <w:tr2bl w:val="nil"/>
            </w:tcBorders>
            <w:vAlign w:val="center"/>
          </w:tcPr>
          <w:p>
            <w:pPr>
              <w:adjustRightInd w:val="0"/>
              <w:snapToGrid w:val="0"/>
              <w:spacing w:line="288" w:lineRule="auto"/>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否</w:t>
            </w:r>
          </w:p>
        </w:tc>
      </w:tr>
    </w:tbl>
    <w:p>
      <w:pPr>
        <w:adjustRightInd w:val="0"/>
        <w:snapToGrid w:val="0"/>
        <w:spacing w:line="288" w:lineRule="auto"/>
        <w:rPr>
          <w:b/>
          <w:color w:val="auto"/>
          <w:sz w:val="21"/>
          <w:szCs w:val="21"/>
          <w:highlight w:val="none"/>
        </w:rPr>
      </w:pPr>
      <w:bookmarkStart w:id="5" w:name="_Toc28359080"/>
      <w:bookmarkStart w:id="6" w:name="_Toc35393791"/>
      <w:bookmarkStart w:id="7" w:name="_Toc28359003"/>
      <w:bookmarkStart w:id="8" w:name="_Toc35393622"/>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cs="Times New Roman"/>
          <w:bCs/>
          <w:color w:val="auto"/>
          <w:sz w:val="21"/>
          <w:szCs w:val="21"/>
          <w:highlight w:val="none"/>
        </w:rPr>
      </w:pPr>
      <w:bookmarkStart w:id="9" w:name="_Toc28359081"/>
      <w:bookmarkStart w:id="10" w:name="_Toc28359004"/>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623"/>
      <w:bookmarkStart w:id="12" w:name="_Toc35393792"/>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82"/>
      <w:bookmarkStart w:id="14" w:name="_Toc35393793"/>
      <w:bookmarkStart w:id="15" w:name="_Toc28359005"/>
      <w:bookmarkStart w:id="16" w:name="_Toc35393624"/>
      <w:r>
        <w:rPr>
          <w:rFonts w:hint="eastAsia"/>
          <w:color w:val="auto"/>
          <w:sz w:val="21"/>
          <w:szCs w:val="21"/>
          <w:highlight w:val="none"/>
        </w:rPr>
        <w:t>时间：</w:t>
      </w:r>
      <w:r>
        <w:rPr>
          <w:rFonts w:hint="eastAsia"/>
          <w:color w:val="auto"/>
          <w:sz w:val="21"/>
          <w:szCs w:val="21"/>
          <w:highlight w:val="none"/>
          <w:lang w:eastAsia="zh-CN"/>
        </w:rPr>
        <w:t>2023年</w:t>
      </w:r>
      <w:r>
        <w:rPr>
          <w:rFonts w:hint="eastAsia"/>
          <w:color w:val="auto"/>
          <w:sz w:val="21"/>
          <w:szCs w:val="21"/>
          <w:highlight w:val="none"/>
          <w:lang w:val="en-US" w:eastAsia="zh-CN"/>
        </w:rPr>
        <w:t>11</w:t>
      </w:r>
      <w:r>
        <w:rPr>
          <w:rFonts w:hint="eastAsia"/>
          <w:color w:val="auto"/>
          <w:sz w:val="21"/>
          <w:szCs w:val="21"/>
          <w:highlight w:val="none"/>
        </w:rPr>
        <w:t>月</w:t>
      </w:r>
      <w:r>
        <w:rPr>
          <w:rFonts w:hint="eastAsia"/>
          <w:color w:val="auto"/>
          <w:sz w:val="21"/>
          <w:szCs w:val="21"/>
          <w:highlight w:val="none"/>
          <w:lang w:val="en-US" w:eastAsia="zh-CN"/>
        </w:rPr>
        <w:t>13</w:t>
      </w:r>
      <w:r>
        <w:rPr>
          <w:rFonts w:hint="eastAsia"/>
          <w:color w:val="auto"/>
          <w:sz w:val="21"/>
          <w:szCs w:val="21"/>
          <w:highlight w:val="none"/>
        </w:rPr>
        <w:t>日至</w:t>
      </w:r>
      <w:r>
        <w:rPr>
          <w:rFonts w:hint="eastAsia"/>
          <w:color w:val="auto"/>
          <w:sz w:val="21"/>
          <w:szCs w:val="21"/>
          <w:highlight w:val="none"/>
          <w:lang w:eastAsia="zh-CN"/>
        </w:rPr>
        <w:t>2023年11月24日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2023年11月24日13:30:00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28359007"/>
      <w:bookmarkStart w:id="18" w:name="_Toc35393794"/>
      <w:bookmarkStart w:id="19" w:name="_Toc35393625"/>
      <w:bookmarkStart w:id="20" w:name="_Toc2835908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2023年11月24日13:30:00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/杭州市西湖区玉古路173号中田大厦21楼（求是招标会议室1）</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35393796"/>
      <w:bookmarkStart w:id="25" w:name="_Toc35393627"/>
      <w:bookmarkStart w:id="26" w:name="_Toc28359008"/>
      <w:bookmarkStart w:id="27" w:name="_Toc28359085"/>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于</w:t>
      </w:r>
      <w:r>
        <w:rPr>
          <w:rFonts w:hint="eastAsia"/>
          <w:color w:val="auto"/>
          <w:sz w:val="21"/>
          <w:szCs w:val="21"/>
          <w:highlight w:val="none"/>
        </w:rPr>
        <w:t>老师</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项目联系方式（询问）：13516814637</w:t>
      </w:r>
    </w:p>
    <w:p>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项目联系人（询问）：</w:t>
      </w:r>
      <w:r>
        <w:rPr>
          <w:rFonts w:hint="eastAsia"/>
          <w:color w:val="auto"/>
          <w:sz w:val="21"/>
          <w:szCs w:val="21"/>
          <w:highlight w:val="none"/>
          <w:lang w:eastAsia="zh-CN"/>
        </w:rPr>
        <w:t>陈应俭、俞炳</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eastAsia="zh-CN"/>
        </w:rPr>
        <w:t>胡沁梦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rFonts w:cs="Times New Roman"/>
          <w:color w:val="auto"/>
          <w:sz w:val="21"/>
          <w:szCs w:val="21"/>
          <w:highlight w:val="none"/>
        </w:rPr>
      </w:pP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3.同级政府采购监督管理部门</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名称：杭州电子科技大学国有资产与实验室管理处</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地址：杭州市钱塘区白杨街道2号大街1158号</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传真：/</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联系人：亓老师</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监督投诉电话：0571-87713574</w:t>
      </w:r>
    </w:p>
    <w:p>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政策咨询：何一平、冯华，0571-87058424、87055741</w:t>
      </w:r>
    </w:p>
    <w:p>
      <w:pPr>
        <w:adjustRightInd w:val="0"/>
        <w:snapToGrid w:val="0"/>
        <w:spacing w:line="288" w:lineRule="auto"/>
        <w:ind w:firstLine="425" w:firstLineChars="215"/>
        <w:rPr>
          <w:rFonts w:cs="Times New Roman"/>
          <w:color w:val="auto"/>
          <w:spacing w:val="-6"/>
          <w:sz w:val="21"/>
          <w:szCs w:val="21"/>
          <w:highlight w:val="none"/>
        </w:rPr>
      </w:pPr>
      <w:r>
        <w:rPr>
          <w:rFonts w:hint="eastAsia" w:cs="Times New Roman"/>
          <w:color w:val="auto"/>
          <w:spacing w:val="-6"/>
          <w:sz w:val="21"/>
          <w:szCs w:val="21"/>
          <w:highlight w:val="none"/>
        </w:rPr>
        <w:t>预算金额未达100万元的采购项目，由采购人处理采购争议。</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报价</w:t>
            </w:r>
            <w:r>
              <w:rPr>
                <w:rFonts w:hint="eastAsia"/>
                <w:color w:val="auto"/>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采购标的对应的中小企业划分标准所属行业：工业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cs="Times New Roman"/>
                <w:b/>
                <w:color w:val="auto"/>
                <w:spacing w:val="-6"/>
                <w:sz w:val="21"/>
                <w:szCs w:val="21"/>
                <w:highlight w:val="none"/>
              </w:rPr>
            </w:pPr>
            <w:r>
              <w:rPr>
                <w:rFonts w:hint="eastAsia" w:ascii="宋体" w:hAnsi="宋体" w:eastAsia="宋体" w:cs="Times New Roman"/>
                <w:b/>
                <w:color w:val="auto"/>
                <w:spacing w:val="-6"/>
                <w:kern w:val="2"/>
                <w:sz w:val="21"/>
                <w:szCs w:val="21"/>
                <w:highlight w:val="none"/>
                <w:lang w:val="en-US" w:eastAsia="zh-CN"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1.合同签订后一周内，成交供应商向采购人提交合同总价1%的履约保证金，履约保证金在合同履约期间无违约情形的，项目验收结束后，于一周内退还（不计息）；</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30" w:name="_Hlk45005608"/>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3.在签订合同时，供应商明确表示无需预付款或者主动要求降低预付款比例的，可降低预付款比例（预付款保函同步调整）。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注：</w:t>
            </w:r>
            <w:r>
              <w:rPr>
                <w:rFonts w:hint="eastAsia"/>
                <w:color w:val="auto"/>
                <w:spacing w:val="-6"/>
                <w:kern w:val="0"/>
                <w:sz w:val="21"/>
                <w:szCs w:val="21"/>
                <w:highlight w:val="none"/>
              </w:rPr>
              <w:t>成交方需提供增值税专用发票，开票信息如下：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30"/>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31"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eastAsia="宋体"/>
                <w:color w:val="auto"/>
                <w:sz w:val="21"/>
                <w:szCs w:val="21"/>
                <w:highlight w:val="none"/>
                <w:lang w:eastAsia="zh-CN"/>
              </w:rPr>
              <w:t>自合同签订之日起120个工作日内交付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采购人指定地点</w:t>
            </w:r>
          </w:p>
        </w:tc>
      </w:tr>
      <w:bookmarkEnd w:id="31"/>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default"/>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eastAsia"/>
                <w:color w:val="auto"/>
                <w:sz w:val="21"/>
                <w:szCs w:val="21"/>
                <w:highlight w:val="none"/>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color w:val="auto"/>
                <w:sz w:val="21"/>
                <w:szCs w:val="21"/>
                <w:highlight w:val="none"/>
              </w:rPr>
              <w:t>4.5所有相关的技术文件及资料均已提交并得到接受</w:t>
            </w:r>
            <w:r>
              <w:rPr>
                <w:rFonts w:hint="eastAsia"/>
                <w:color w:val="auto"/>
                <w:sz w:val="21"/>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5.</w:t>
            </w:r>
            <w:r>
              <w:rPr>
                <w:rFonts w:hint="eastAsia"/>
                <w:color w:val="auto"/>
                <w:sz w:val="21"/>
                <w:szCs w:val="21"/>
                <w:highlight w:val="none"/>
              </w:rPr>
              <w:t>验收标准以</w:t>
            </w:r>
            <w:r>
              <w:rPr>
                <w:rFonts w:hint="eastAsia"/>
                <w:color w:val="auto"/>
                <w:sz w:val="21"/>
                <w:szCs w:val="21"/>
                <w:highlight w:val="none"/>
                <w:lang w:val="en-US" w:eastAsia="zh-CN"/>
              </w:rPr>
              <w:t>响应</w:t>
            </w:r>
            <w:r>
              <w:rPr>
                <w:rFonts w:hint="eastAsia"/>
                <w:color w:val="auto"/>
                <w:sz w:val="21"/>
                <w:szCs w:val="21"/>
                <w:highlight w:val="none"/>
              </w:rPr>
              <w:t>文件中所列的指标为准，由</w:t>
            </w:r>
            <w:r>
              <w:rPr>
                <w:rFonts w:hint="eastAsia"/>
                <w:color w:val="auto"/>
                <w:sz w:val="21"/>
                <w:szCs w:val="21"/>
                <w:highlight w:val="none"/>
                <w:lang w:val="en-US" w:eastAsia="zh-CN"/>
              </w:rPr>
              <w:t>采购人</w:t>
            </w:r>
            <w:r>
              <w:rPr>
                <w:rFonts w:hint="eastAsia"/>
                <w:color w:val="auto"/>
                <w:sz w:val="21"/>
                <w:szCs w:val="21"/>
                <w:highlight w:val="none"/>
              </w:rPr>
              <w:t>、</w:t>
            </w:r>
            <w:r>
              <w:rPr>
                <w:rFonts w:hint="eastAsia"/>
                <w:color w:val="auto"/>
                <w:sz w:val="21"/>
                <w:szCs w:val="21"/>
                <w:highlight w:val="none"/>
                <w:lang w:val="en-US" w:eastAsia="zh-CN"/>
              </w:rPr>
              <w:t>供应商</w:t>
            </w:r>
            <w:r>
              <w:rPr>
                <w:rFonts w:hint="eastAsia"/>
                <w:color w:val="auto"/>
                <w:sz w:val="21"/>
                <w:szCs w:val="21"/>
                <w:highlight w:val="none"/>
              </w:rPr>
              <w:t>及相关人员依国家有关标准、合同及有关附件要求进行，验收工作在设备安装调试完成后30日内完成。验收完毕由采购人及</w:t>
            </w:r>
            <w:r>
              <w:rPr>
                <w:rFonts w:hint="eastAsia"/>
                <w:color w:val="auto"/>
                <w:sz w:val="21"/>
                <w:szCs w:val="21"/>
                <w:highlight w:val="none"/>
                <w:lang w:val="en-US" w:eastAsia="zh-CN"/>
              </w:rPr>
              <w:t>供应商</w:t>
            </w:r>
            <w:r>
              <w:rPr>
                <w:rFonts w:hint="eastAsia"/>
                <w:color w:val="auto"/>
                <w:sz w:val="21"/>
                <w:szCs w:val="21"/>
                <w:highlight w:val="none"/>
              </w:rPr>
              <w:t>在验收报告上签名。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.安装调试：</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lang w:eastAsia="zh-CN"/>
              </w:rPr>
            </w:pPr>
            <w:r>
              <w:rPr>
                <w:rFonts w:hint="default"/>
                <w:color w:val="auto"/>
                <w:sz w:val="21"/>
                <w:szCs w:val="21"/>
                <w:highlight w:val="none"/>
              </w:rPr>
              <w:t>3</w:t>
            </w:r>
            <w:r>
              <w:rPr>
                <w:rFonts w:hint="eastAsia"/>
                <w:color w:val="auto"/>
                <w:sz w:val="21"/>
                <w:szCs w:val="21"/>
                <w:highlight w:val="none"/>
              </w:rPr>
              <w:t>.6供应商在响应文件中应提供安装调试计划、对安装场地和环境的要求</w:t>
            </w:r>
            <w:r>
              <w:rPr>
                <w:rFonts w:hint="eastAsia"/>
                <w:color w:val="auto"/>
                <w:sz w:val="21"/>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color w:val="auto"/>
                <w:sz w:val="21"/>
                <w:szCs w:val="21"/>
                <w:highlight w:val="none"/>
                <w:lang w:val="en-US" w:eastAsia="zh-CN"/>
              </w:rPr>
              <w:t>3.7</w:t>
            </w:r>
            <w:r>
              <w:rPr>
                <w:rFonts w:hint="eastAsia"/>
                <w:color w:val="auto"/>
                <w:sz w:val="21"/>
                <w:szCs w:val="21"/>
                <w:highlight w:val="none"/>
                <w:lang w:eastAsia="zh-CN"/>
              </w:rPr>
              <w:t>设备安装、调试应在到货后2周内完成。</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5</w:t>
            </w:r>
            <w:r>
              <w:rPr>
                <w:rFonts w:hint="eastAsia"/>
                <w:color w:val="auto"/>
                <w:sz w:val="21"/>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6</w:t>
            </w:r>
            <w:r>
              <w:rPr>
                <w:rFonts w:hint="default"/>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eastAsia" w:eastAsia="宋体"/>
                <w:color w:val="auto"/>
                <w:sz w:val="21"/>
                <w:szCs w:val="21"/>
                <w:highlight w:val="none"/>
                <w:lang w:eastAsia="zh-CN"/>
              </w:rPr>
            </w:pPr>
            <w:r>
              <w:rPr>
                <w:rFonts w:hint="eastAsia"/>
                <w:color w:val="auto"/>
                <w:sz w:val="21"/>
                <w:szCs w:val="21"/>
                <w:highlight w:val="none"/>
                <w:lang w:val="en-US" w:eastAsia="zh-CN"/>
              </w:rPr>
              <w:t>3.</w:t>
            </w:r>
            <w:r>
              <w:rPr>
                <w:rFonts w:hint="eastAsia"/>
                <w:color w:val="auto"/>
                <w:sz w:val="21"/>
                <w:szCs w:val="21"/>
                <w:highlight w:val="none"/>
              </w:rPr>
              <w:t>上述内容的实现方式、时间、地点、人数应在响应文件中详细说明</w:t>
            </w:r>
            <w:r>
              <w:rPr>
                <w:rFonts w:hint="eastAsia"/>
                <w:color w:val="auto"/>
                <w:sz w:val="21"/>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r>
              <w:rPr>
                <w:rFonts w:hint="eastAsia"/>
                <w:color w:val="auto"/>
                <w:sz w:val="21"/>
                <w:szCs w:val="21"/>
                <w:highlight w:val="none"/>
                <w:lang w:val="en-US" w:eastAsia="zh-CN"/>
              </w:rPr>
              <w:t>4</w:t>
            </w:r>
            <w:r>
              <w:rPr>
                <w:rFonts w:hint="eastAsia"/>
                <w:color w:val="auto"/>
                <w:sz w:val="21"/>
                <w:szCs w:val="21"/>
                <w:highlight w:val="none"/>
              </w:rPr>
              <w:t>.仪器日常使用安全及注意事项培训：仪器安装完毕后由供应商指派专业服务工程师对操作人员进行为期3天的仪器的使用日常维护、安全知识及注意事项培训，以保障操作人员的安全和设备安全。</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r>
              <w:rPr>
                <w:rFonts w:hint="eastAsia"/>
                <w:color w:val="auto"/>
                <w:sz w:val="21"/>
                <w:szCs w:val="21"/>
                <w:highlight w:val="none"/>
                <w:lang w:val="en-US" w:eastAsia="zh-CN"/>
              </w:rPr>
              <w:t>5</w:t>
            </w:r>
            <w:r>
              <w:rPr>
                <w:rFonts w:hint="eastAsia"/>
                <w:color w:val="auto"/>
                <w:sz w:val="21"/>
                <w:szCs w:val="21"/>
                <w:highlight w:val="none"/>
              </w:rPr>
              <w:t>.仪器使用操作基础培训：仪器安装完毕、日常使用安全及注意事项培训结束后，中标人需指派专业应用工程师在用户现场对用户操作人员进行设备操作培训，培训时间不少于3天。</w:t>
            </w:r>
          </w:p>
          <w:p>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r>
              <w:rPr>
                <w:rFonts w:hint="eastAsia"/>
                <w:color w:val="auto"/>
                <w:sz w:val="21"/>
                <w:szCs w:val="21"/>
                <w:highlight w:val="none"/>
                <w:lang w:val="en-US" w:eastAsia="zh-CN"/>
              </w:rPr>
              <w:t>6</w:t>
            </w:r>
            <w:r>
              <w:rPr>
                <w:rFonts w:hint="eastAsia"/>
                <w:color w:val="auto"/>
                <w:sz w:val="21"/>
                <w:szCs w:val="21"/>
                <w:highlight w:val="none"/>
              </w:rPr>
              <w:t>.仪器使用操作高阶培训：待仪器使用基础培训结束后3-6个月内，由供应商提供用户现场高阶应用培训，培训时间不少于3天；具体培训内容和时间由采购人与供应商协商确定。</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7</w:t>
            </w:r>
            <w:r>
              <w:rPr>
                <w:rFonts w:hint="eastAsia"/>
                <w:color w:val="auto"/>
                <w:sz w:val="21"/>
                <w:szCs w:val="21"/>
                <w:highlight w:val="none"/>
              </w:rPr>
              <w:t>.每年提供不少于2次技术交流与培训。</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bookmarkStart w:id="32" w:name="_Hlk97039652"/>
      <w:r>
        <w:rPr>
          <w:rFonts w:hint="eastAsia"/>
          <w:color w:val="auto"/>
          <w:sz w:val="21"/>
          <w:szCs w:val="21"/>
          <w:highlight w:val="none"/>
        </w:rPr>
        <w:t>如技术要求中未注明需执行的国家相关标准、行业标准、地方标准或者其他标准、规范的，执行最新标准、规范。</w:t>
      </w:r>
      <w:bookmarkEnd w:id="32"/>
    </w:p>
    <w:p>
      <w:pPr>
        <w:adjustRightInd w:val="0"/>
        <w:snapToGrid w:val="0"/>
        <w:spacing w:line="288" w:lineRule="auto"/>
        <w:rPr>
          <w:rFonts w:hint="default" w:eastAsia="宋体"/>
          <w:b/>
          <w:bCs/>
          <w:color w:val="auto"/>
          <w:sz w:val="21"/>
          <w:szCs w:val="21"/>
          <w:highlight w:val="none"/>
          <w:lang w:val="en-US" w:eastAsia="zh-CN"/>
        </w:rPr>
      </w:pPr>
      <w:r>
        <w:rPr>
          <w:b/>
          <w:bCs/>
          <w:color w:val="auto"/>
          <w:sz w:val="21"/>
          <w:szCs w:val="21"/>
          <w:highlight w:val="none"/>
        </w:rPr>
        <w:t>2</w:t>
      </w:r>
      <w:r>
        <w:rPr>
          <w:rFonts w:hint="eastAsia"/>
          <w:b/>
          <w:bCs/>
          <w:color w:val="auto"/>
          <w:sz w:val="21"/>
          <w:szCs w:val="21"/>
          <w:highlight w:val="none"/>
        </w:rPr>
        <w:t>.需实现的功能或者目标：</w:t>
      </w:r>
      <w:r>
        <w:rPr>
          <w:rFonts w:hint="eastAsia"/>
          <w:b/>
          <w:bCs/>
          <w:color w:val="auto"/>
          <w:sz w:val="21"/>
          <w:szCs w:val="21"/>
          <w:highlight w:val="none"/>
          <w:lang w:val="en-US" w:eastAsia="zh-CN"/>
        </w:rPr>
        <w:t>满足磁光克尔显微镜的使用需求。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1"/>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10"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6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66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626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w:t>
            </w:r>
          </w:p>
        </w:tc>
        <w:tc>
          <w:tcPr>
            <w:tcW w:w="1810" w:type="dxa"/>
            <w:vAlign w:val="center"/>
          </w:tcPr>
          <w:p>
            <w:pPr>
              <w:adjustRightInd w:val="0"/>
              <w:snapToGrid w:val="0"/>
              <w:spacing w:line="288" w:lineRule="auto"/>
              <w:jc w:val="center"/>
              <w:rPr>
                <w:rFonts w:cs="Times New Roman"/>
                <w:b/>
                <w:bCs/>
                <w:color w:val="auto"/>
                <w:sz w:val="21"/>
                <w:szCs w:val="21"/>
                <w:highlight w:val="none"/>
              </w:rPr>
            </w:pPr>
            <w:r>
              <w:rPr>
                <w:rFonts w:hint="eastAsia" w:cs="Times New Roman"/>
                <w:b/>
                <w:bCs/>
                <w:color w:val="auto"/>
                <w:sz w:val="21"/>
                <w:szCs w:val="21"/>
                <w:highlight w:val="none"/>
              </w:rPr>
              <w:t>磁光克尔显微镜</w:t>
            </w:r>
          </w:p>
        </w:tc>
        <w:tc>
          <w:tcPr>
            <w:tcW w:w="661" w:type="dxa"/>
            <w:vAlign w:val="center"/>
          </w:tcPr>
          <w:p>
            <w:pPr>
              <w:adjustRightInd w:val="0"/>
              <w:snapToGrid w:val="0"/>
              <w:spacing w:line="288" w:lineRule="auto"/>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1</w:t>
            </w:r>
          </w:p>
        </w:tc>
        <w:tc>
          <w:tcPr>
            <w:tcW w:w="661" w:type="dxa"/>
            <w:vAlign w:val="center"/>
          </w:tcPr>
          <w:p>
            <w:pPr>
              <w:adjustRightInd w:val="0"/>
              <w:snapToGrid w:val="0"/>
              <w:spacing w:line="288" w:lineRule="auto"/>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套</w:t>
            </w:r>
          </w:p>
        </w:tc>
        <w:tc>
          <w:tcPr>
            <w:tcW w:w="6269" w:type="dxa"/>
            <w:vAlign w:val="center"/>
          </w:tcPr>
          <w:p>
            <w:pPr>
              <w:adjustRightInd w:val="0"/>
              <w:snapToGrid w:val="0"/>
              <w:spacing w:line="288" w:lineRule="auto"/>
              <w:jc w:val="left"/>
              <w:rPr>
                <w:rFonts w:hint="eastAsia" w:eastAsia="宋体"/>
                <w:color w:val="auto"/>
                <w:sz w:val="21"/>
                <w:szCs w:val="21"/>
                <w:highlight w:val="none"/>
                <w:lang w:eastAsia="zh-CN"/>
              </w:rPr>
            </w:pPr>
            <w:r>
              <w:rPr>
                <w:rFonts w:hint="eastAsia"/>
                <w:color w:val="auto"/>
                <w:sz w:val="21"/>
                <w:szCs w:val="21"/>
                <w:highlight w:val="none"/>
              </w:rPr>
              <w:t>1.高分辨率磁畴观测偏光显微镜一套：包含长工作距离50X物镜1个（NA≥0.5），20X物镜1个（NA≥0.4），5X物镜1个（NA≥0.13），物镜要求无磁，在兼容电学探针测试的同时保证450nm分辨率的极向克尔成像及纵向克尔成像，能够进行面内磁性和垂直磁性的探测，起偏器：可旋转角度360°；检偏-补偿器模块，均可旋转角度360°</w:t>
            </w:r>
            <w:r>
              <w:rPr>
                <w:rFonts w:hint="eastAsia"/>
                <w:color w:val="auto"/>
                <w:sz w:val="21"/>
                <w:szCs w:val="21"/>
                <w:highlight w:val="none"/>
                <w:lang w:eastAsia="zh-CN"/>
              </w:rPr>
              <w:t>；</w:t>
            </w:r>
          </w:p>
          <w:p>
            <w:pPr>
              <w:adjustRightInd w:val="0"/>
              <w:snapToGrid w:val="0"/>
              <w:spacing w:line="288" w:lineRule="auto"/>
              <w:jc w:val="left"/>
              <w:rPr>
                <w:rFonts w:hint="eastAsia" w:eastAsia="宋体"/>
                <w:color w:val="auto"/>
                <w:sz w:val="21"/>
                <w:szCs w:val="21"/>
                <w:highlight w:val="none"/>
                <w:lang w:eastAsia="zh-CN"/>
              </w:rPr>
            </w:pPr>
            <w:r>
              <w:rPr>
                <w:rFonts w:hint="eastAsia"/>
                <w:color w:val="auto"/>
                <w:sz w:val="21"/>
                <w:szCs w:val="21"/>
                <w:highlight w:val="none"/>
              </w:rPr>
              <w:t>2.三维磁性成像模式：横向，纵向，极向</w:t>
            </w:r>
            <w:r>
              <w:rPr>
                <w:rFonts w:hint="eastAsia"/>
                <w:color w:val="auto"/>
                <w:sz w:val="21"/>
                <w:szCs w:val="21"/>
                <w:highlight w:val="none"/>
                <w:lang w:eastAsia="zh-CN"/>
              </w:rPr>
              <w:t>；</w:t>
            </w:r>
          </w:p>
          <w:p>
            <w:pPr>
              <w:adjustRightInd w:val="0"/>
              <w:snapToGrid w:val="0"/>
              <w:spacing w:line="288" w:lineRule="auto"/>
              <w:jc w:val="left"/>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color w:val="auto"/>
                <w:sz w:val="21"/>
                <w:szCs w:val="21"/>
                <w:highlight w:val="none"/>
              </w:rPr>
              <w:t>3.配置磁场探针台：能实现样品的XY水平面内移动和旋转，旋转角度≥5°,能够放置至少4组探针，面内磁场、垂直磁场可组合探针进行电学输运测试，用于电学激励和磁畴成像同时进行；配置4套无磁探针座及直流探针；面内磁铁和垂直磁铁组合结构，在单独施加一个方向磁场时，无需手动拆卸另外一个方向磁铁</w:t>
            </w:r>
            <w:r>
              <w:rPr>
                <w:rFonts w:hint="eastAsia"/>
                <w:color w:val="auto"/>
                <w:sz w:val="21"/>
                <w:szCs w:val="21"/>
                <w:highlight w:val="none"/>
                <w:lang w:eastAsia="zh-CN"/>
              </w:rPr>
              <w:t>；</w:t>
            </w:r>
          </w:p>
          <w:p>
            <w:pPr>
              <w:adjustRightInd w:val="0"/>
              <w:snapToGrid w:val="0"/>
              <w:spacing w:line="288" w:lineRule="auto"/>
              <w:jc w:val="left"/>
              <w:rPr>
                <w:rFonts w:hint="eastAsia"/>
                <w:color w:val="auto"/>
                <w:sz w:val="21"/>
                <w:szCs w:val="21"/>
                <w:highlight w:val="none"/>
              </w:rPr>
            </w:pPr>
            <w:r>
              <w:rPr>
                <w:rFonts w:hint="eastAsia"/>
                <w:color w:val="auto"/>
                <w:sz w:val="21"/>
                <w:szCs w:val="21"/>
                <w:highlight w:val="none"/>
                <w:lang w:val="en-US" w:eastAsia="zh-CN"/>
              </w:rPr>
              <w:t>4.</w:t>
            </w:r>
            <w:r>
              <w:rPr>
                <w:rFonts w:hint="eastAsia"/>
                <w:color w:val="auto"/>
                <w:sz w:val="21"/>
                <w:szCs w:val="21"/>
                <w:highlight w:val="none"/>
              </w:rPr>
              <w:t>面内磁场：最大场强≥1T，磁铁极头处内置霍尔探头，可以实时闭环反馈调节磁场大小，磁场实时探测分辨率50μT；</w:t>
            </w:r>
          </w:p>
          <w:p>
            <w:pPr>
              <w:adjustRightInd w:val="0"/>
              <w:snapToGrid w:val="0"/>
              <w:spacing w:line="288" w:lineRule="auto"/>
              <w:jc w:val="left"/>
              <w:rPr>
                <w:rFonts w:hint="eastAsia" w:eastAsia="宋体"/>
                <w:color w:val="auto"/>
                <w:sz w:val="21"/>
                <w:szCs w:val="21"/>
                <w:highlight w:val="none"/>
                <w:lang w:eastAsia="zh-CN"/>
              </w:rPr>
            </w:pPr>
            <w:r>
              <w:rPr>
                <w:rFonts w:hint="eastAsia"/>
                <w:color w:val="auto"/>
                <w:sz w:val="21"/>
                <w:szCs w:val="21"/>
                <w:highlight w:val="none"/>
                <w:lang w:val="en-US" w:eastAsia="zh-CN"/>
              </w:rPr>
              <w:t>5.</w:t>
            </w:r>
            <w:r>
              <w:rPr>
                <w:rFonts w:hint="eastAsia"/>
                <w:color w:val="auto"/>
                <w:sz w:val="21"/>
                <w:szCs w:val="21"/>
                <w:highlight w:val="none"/>
              </w:rPr>
              <w:t>垂直磁场：最大场强≥0.25T，磁铁极头处内置霍尔探头，可以实时闭环反馈调节磁场大小，磁场实时探测分辨率50μT</w:t>
            </w:r>
            <w:r>
              <w:rPr>
                <w:rFonts w:hint="eastAsia"/>
                <w:color w:val="auto"/>
                <w:sz w:val="21"/>
                <w:szCs w:val="21"/>
                <w:highlight w:val="none"/>
                <w:lang w:eastAsia="zh-CN"/>
              </w:rPr>
              <w:t>；</w:t>
            </w:r>
          </w:p>
          <w:p>
            <w:pPr>
              <w:adjustRightInd w:val="0"/>
              <w:snapToGrid w:val="0"/>
              <w:spacing w:line="288" w:lineRule="auto"/>
              <w:jc w:val="left"/>
              <w:rPr>
                <w:rFonts w:hint="eastAsia" w:eastAsia="宋体"/>
                <w:color w:val="auto"/>
                <w:sz w:val="21"/>
                <w:szCs w:val="21"/>
                <w:highlight w:val="none"/>
                <w:lang w:eastAsia="zh-CN"/>
              </w:rPr>
            </w:pPr>
            <w:r>
              <w:rPr>
                <w:rFonts w:hint="eastAsia"/>
                <w:color w:val="auto"/>
                <w:sz w:val="21"/>
                <w:szCs w:val="21"/>
                <w:highlight w:val="none"/>
                <w:lang w:val="en-US" w:eastAsia="zh-CN"/>
              </w:rPr>
              <w:t>6.</w:t>
            </w:r>
            <w:r>
              <w:rPr>
                <w:rFonts w:hint="eastAsia"/>
                <w:color w:val="auto"/>
                <w:sz w:val="21"/>
                <w:szCs w:val="21"/>
                <w:highlight w:val="none"/>
              </w:rPr>
              <w:t>可施加恒磁场、正弦交变磁场、三角波交变磁场及自定义调节磁场</w:t>
            </w:r>
            <w:r>
              <w:rPr>
                <w:rFonts w:hint="eastAsia"/>
                <w:color w:val="auto"/>
                <w:sz w:val="21"/>
                <w:szCs w:val="21"/>
                <w:highlight w:val="none"/>
                <w:lang w:eastAsia="zh-CN"/>
              </w:rPr>
              <w:t>；</w:t>
            </w:r>
          </w:p>
          <w:p>
            <w:pPr>
              <w:adjustRightInd w:val="0"/>
              <w:snapToGrid w:val="0"/>
              <w:spacing w:line="288" w:lineRule="auto"/>
              <w:jc w:val="left"/>
              <w:rPr>
                <w:rFonts w:hint="eastAsia"/>
                <w:color w:val="auto"/>
                <w:sz w:val="21"/>
                <w:szCs w:val="21"/>
                <w:highlight w:val="none"/>
                <w:lang w:eastAsia="zh-CN"/>
              </w:rPr>
            </w:pPr>
            <w:r>
              <w:rPr>
                <w:rFonts w:hint="eastAsia"/>
                <w:color w:val="auto"/>
                <w:sz w:val="21"/>
                <w:szCs w:val="21"/>
                <w:highlight w:val="none"/>
                <w:lang w:val="en-US" w:eastAsia="zh-CN"/>
              </w:rPr>
              <w:t>7</w:t>
            </w:r>
            <w:r>
              <w:rPr>
                <w:rFonts w:hint="eastAsia"/>
                <w:color w:val="auto"/>
                <w:sz w:val="21"/>
                <w:szCs w:val="21"/>
                <w:highlight w:val="none"/>
              </w:rPr>
              <w:t>.相机：高灵敏度CMOS相机，≥50帧/sec，像素≥1920(H)</w:t>
            </w:r>
            <w:r>
              <w:rPr>
                <w:rFonts w:hint="eastAsia"/>
                <w:color w:val="auto"/>
                <w:sz w:val="21"/>
                <w:szCs w:val="21"/>
                <w:highlight w:val="none"/>
                <w:lang w:val="en-US" w:eastAsia="zh-CN"/>
              </w:rPr>
              <w:t>*</w:t>
            </w:r>
            <w:r>
              <w:rPr>
                <w:rFonts w:hint="eastAsia"/>
                <w:color w:val="auto"/>
                <w:sz w:val="21"/>
                <w:szCs w:val="21"/>
                <w:highlight w:val="none"/>
              </w:rPr>
              <w:t>1080(V)，相机噪声</w:t>
            </w:r>
            <w:r>
              <w:rPr>
                <w:rFonts w:hint="eastAsia"/>
                <w:color w:val="auto"/>
                <w:sz w:val="21"/>
                <w:szCs w:val="21"/>
                <w:highlight w:val="none"/>
                <w:lang w:val="en-US" w:eastAsia="zh-CN"/>
              </w:rPr>
              <w:t>≤</w:t>
            </w:r>
            <w:r>
              <w:rPr>
                <w:rFonts w:hint="eastAsia"/>
                <w:color w:val="auto"/>
                <w:sz w:val="21"/>
                <w:szCs w:val="21"/>
                <w:highlight w:val="none"/>
              </w:rPr>
              <w:t>1.0e- Median RMS；配置实时作差消背底、衬度自动调节等功能以增强克尔成像效果</w:t>
            </w:r>
            <w:r>
              <w:rPr>
                <w:rFonts w:hint="eastAsia"/>
                <w:color w:val="auto"/>
                <w:sz w:val="21"/>
                <w:szCs w:val="21"/>
                <w:highlight w:val="none"/>
                <w:lang w:eastAsia="zh-CN"/>
              </w:rPr>
              <w:t>；</w:t>
            </w:r>
          </w:p>
          <w:p>
            <w:pPr>
              <w:adjustRightInd w:val="0"/>
              <w:snapToGrid w:val="0"/>
              <w:spacing w:line="288" w:lineRule="auto"/>
              <w:jc w:val="left"/>
              <w:rPr>
                <w:rFonts w:hint="eastAsia" w:eastAsia="宋体"/>
                <w:color w:val="auto"/>
                <w:sz w:val="21"/>
                <w:szCs w:val="21"/>
                <w:highlight w:val="none"/>
                <w:lang w:eastAsia="zh-CN"/>
              </w:rPr>
            </w:pPr>
            <w:r>
              <w:rPr>
                <w:rFonts w:hint="eastAsia"/>
                <w:color w:val="auto"/>
                <w:sz w:val="21"/>
                <w:szCs w:val="21"/>
                <w:highlight w:val="none"/>
                <w:lang w:val="en-US" w:eastAsia="zh-CN"/>
              </w:rPr>
              <w:t>8</w:t>
            </w:r>
            <w:r>
              <w:rPr>
                <w:rFonts w:hint="eastAsia"/>
                <w:color w:val="auto"/>
                <w:sz w:val="21"/>
                <w:szCs w:val="21"/>
                <w:highlight w:val="none"/>
              </w:rPr>
              <w:t>.光源：专用的Kerr LED光源，九束LED灯通过外部控制器调节。二极管发出的光线通过直径0.8mm的石英纤维导向显微镜。九条纤维的终端成十字排列并在显微镜的衍射面成像</w:t>
            </w:r>
            <w:r>
              <w:rPr>
                <w:rFonts w:hint="eastAsia"/>
                <w:color w:val="auto"/>
                <w:sz w:val="21"/>
                <w:szCs w:val="21"/>
                <w:highlight w:val="none"/>
                <w:lang w:eastAsia="zh-CN"/>
              </w:rPr>
              <w:t>；</w:t>
            </w:r>
          </w:p>
          <w:p>
            <w:pPr>
              <w:adjustRightInd w:val="0"/>
              <w:snapToGrid w:val="0"/>
              <w:spacing w:line="288" w:lineRule="auto"/>
              <w:jc w:val="left"/>
              <w:rPr>
                <w:rFonts w:hint="eastAsia"/>
                <w:color w:val="auto"/>
                <w:sz w:val="21"/>
                <w:szCs w:val="21"/>
                <w:highlight w:val="none"/>
                <w:lang w:eastAsia="zh-CN"/>
              </w:rPr>
            </w:pPr>
            <w:r>
              <w:rPr>
                <w:rFonts w:hint="eastAsia"/>
                <w:color w:val="auto"/>
                <w:sz w:val="21"/>
                <w:szCs w:val="21"/>
                <w:highlight w:val="none"/>
              </w:rPr>
              <w:t>▲</w:t>
            </w:r>
            <w:r>
              <w:rPr>
                <w:rFonts w:hint="eastAsia"/>
                <w:color w:val="auto"/>
                <w:sz w:val="21"/>
                <w:szCs w:val="21"/>
                <w:highlight w:val="none"/>
                <w:lang w:val="en-US" w:eastAsia="zh-CN"/>
              </w:rPr>
              <w:t>9.</w:t>
            </w:r>
            <w:r>
              <w:rPr>
                <w:rFonts w:hint="eastAsia"/>
                <w:color w:val="auto"/>
                <w:sz w:val="21"/>
                <w:szCs w:val="21"/>
                <w:highlight w:val="none"/>
              </w:rPr>
              <w:t>微秒级超快磁场模块：包含磁铁、电源以及控制系统，用于微小自旋电子器件的磁畴动力学研究。可与面内磁铁、电流信号同步并由用户指定时序关系；最大磁场60mT，0.5 μs上升特征时间，脉冲宽度1μs-10μs；双极性；支持样品的DMI测量</w:t>
            </w:r>
            <w:r>
              <w:rPr>
                <w:rFonts w:hint="eastAsia"/>
                <w:color w:val="auto"/>
                <w:sz w:val="21"/>
                <w:szCs w:val="21"/>
                <w:highlight w:val="none"/>
                <w:lang w:eastAsia="zh-CN"/>
              </w:rPr>
              <w:t>；</w:t>
            </w:r>
          </w:p>
          <w:p>
            <w:pPr>
              <w:adjustRightInd w:val="0"/>
              <w:snapToGrid w:val="0"/>
              <w:spacing w:line="288" w:lineRule="auto"/>
              <w:jc w:val="left"/>
              <w:rPr>
                <w:rFonts w:hint="eastAsia"/>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10</w:t>
            </w:r>
            <w:r>
              <w:rPr>
                <w:rFonts w:hint="eastAsia"/>
                <w:color w:val="auto"/>
                <w:sz w:val="21"/>
                <w:szCs w:val="21"/>
                <w:highlight w:val="none"/>
              </w:rPr>
              <w:t>.配置自旋电子器件电学输运测试软件，可实现如下功能：</w:t>
            </w:r>
          </w:p>
          <w:p>
            <w:pPr>
              <w:adjustRightInd w:val="0"/>
              <w:snapToGrid w:val="0"/>
              <w:spacing w:line="288" w:lineRule="auto"/>
              <w:jc w:val="left"/>
              <w:rPr>
                <w:rFonts w:hint="eastAsia"/>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1</w:t>
            </w:r>
            <w:r>
              <w:rPr>
                <w:rFonts w:hint="eastAsia"/>
                <w:color w:val="auto"/>
                <w:sz w:val="21"/>
                <w:szCs w:val="21"/>
                <w:highlight w:val="none"/>
              </w:rPr>
              <w:t>）在施加面内或者垂直磁场的同时，变化电流，同时读取电子器件的反常霍尔电阻值，同步获取电子器件霍尔而电阻变化过程曲线和对应的克尔图片；</w:t>
            </w:r>
          </w:p>
          <w:p>
            <w:pPr>
              <w:adjustRightInd w:val="0"/>
              <w:snapToGrid w:val="0"/>
              <w:spacing w:line="288" w:lineRule="auto"/>
              <w:jc w:val="left"/>
              <w:rPr>
                <w:rFonts w:hint="eastAsia" w:eastAsia="宋体"/>
                <w:color w:val="auto"/>
                <w:sz w:val="21"/>
                <w:szCs w:val="21"/>
                <w:highlight w:val="none"/>
                <w:lang w:eastAsia="zh-CN"/>
              </w:rPr>
            </w:pPr>
            <w:r>
              <w:rPr>
                <w:rFonts w:hint="eastAsia"/>
                <w:color w:val="auto"/>
                <w:sz w:val="21"/>
                <w:szCs w:val="21"/>
                <w:highlight w:val="none"/>
              </w:rPr>
              <w:t>（</w:t>
            </w:r>
            <w:r>
              <w:rPr>
                <w:rFonts w:hint="eastAsia"/>
                <w:color w:val="auto"/>
                <w:sz w:val="21"/>
                <w:szCs w:val="21"/>
                <w:highlight w:val="none"/>
                <w:lang w:val="en-US" w:eastAsia="zh-CN"/>
              </w:rPr>
              <w:t>2</w:t>
            </w:r>
            <w:r>
              <w:rPr>
                <w:rFonts w:hint="eastAsia"/>
                <w:color w:val="auto"/>
                <w:sz w:val="21"/>
                <w:szCs w:val="21"/>
                <w:highlight w:val="none"/>
              </w:rPr>
              <w:t>）施加恒定电流，扫描面内或者垂直磁场，同步获取电子器件霍尔而电阻变化过程曲线和对应的克尔图片</w:t>
            </w:r>
            <w:r>
              <w:rPr>
                <w:rFonts w:hint="eastAsia"/>
                <w:color w:val="auto"/>
                <w:sz w:val="21"/>
                <w:szCs w:val="21"/>
                <w:highlight w:val="none"/>
                <w:lang w:eastAsia="zh-CN"/>
              </w:rPr>
              <w:t>；</w:t>
            </w:r>
          </w:p>
          <w:p>
            <w:pPr>
              <w:adjustRightInd w:val="0"/>
              <w:snapToGrid w:val="0"/>
              <w:spacing w:line="288" w:lineRule="auto"/>
              <w:jc w:val="left"/>
              <w:rPr>
                <w:rFonts w:hint="eastAsia" w:eastAsia="宋体"/>
                <w:color w:val="auto"/>
                <w:sz w:val="21"/>
                <w:szCs w:val="21"/>
                <w:highlight w:val="none"/>
                <w:lang w:eastAsia="zh-CN"/>
              </w:rPr>
            </w:pPr>
            <w:r>
              <w:rPr>
                <w:rFonts w:hint="eastAsia"/>
                <w:color w:val="auto"/>
                <w:sz w:val="21"/>
                <w:szCs w:val="21"/>
                <w:highlight w:val="none"/>
              </w:rPr>
              <w:t>（</w:t>
            </w:r>
            <w:r>
              <w:rPr>
                <w:rFonts w:hint="eastAsia"/>
                <w:color w:val="auto"/>
                <w:sz w:val="21"/>
                <w:szCs w:val="21"/>
                <w:highlight w:val="none"/>
                <w:lang w:val="en-US" w:eastAsia="zh-CN"/>
              </w:rPr>
              <w:t>3</w:t>
            </w:r>
            <w:r>
              <w:rPr>
                <w:rFonts w:hint="eastAsia"/>
                <w:color w:val="auto"/>
                <w:sz w:val="21"/>
                <w:szCs w:val="21"/>
                <w:highlight w:val="none"/>
              </w:rPr>
              <w:t>）支持反常Hall电阻、SOT翻转、电流-电阻磁滞回线扫描等输运测试功能，并将输运测试与面内/垂直磁场，克尔成像进行同步</w:t>
            </w:r>
            <w:r>
              <w:rPr>
                <w:rFonts w:hint="eastAsia"/>
                <w:color w:val="auto"/>
                <w:sz w:val="21"/>
                <w:szCs w:val="21"/>
                <w:highlight w:val="none"/>
                <w:lang w:eastAsia="zh-CN"/>
              </w:rPr>
              <w:t>；</w:t>
            </w:r>
          </w:p>
          <w:p>
            <w:pPr>
              <w:adjustRightInd w:val="0"/>
              <w:snapToGrid w:val="0"/>
              <w:spacing w:line="288" w:lineRule="auto"/>
              <w:jc w:val="left"/>
              <w:rPr>
                <w:rFonts w:hint="eastAsia" w:eastAsia="宋体"/>
                <w:color w:val="auto"/>
                <w:sz w:val="21"/>
                <w:szCs w:val="21"/>
                <w:highlight w:val="none"/>
                <w:lang w:eastAsia="zh-CN"/>
              </w:rPr>
            </w:pPr>
            <w:r>
              <w:rPr>
                <w:rFonts w:hint="eastAsia"/>
                <w:color w:val="auto"/>
                <w:sz w:val="21"/>
                <w:szCs w:val="21"/>
                <w:highlight w:val="none"/>
                <w:lang w:val="en-US" w:eastAsia="zh-CN"/>
              </w:rPr>
              <w:t>11</w:t>
            </w:r>
            <w:r>
              <w:rPr>
                <w:rFonts w:hint="eastAsia"/>
                <w:color w:val="auto"/>
                <w:sz w:val="21"/>
                <w:szCs w:val="21"/>
                <w:highlight w:val="none"/>
              </w:rPr>
              <w:t>.控制软件：全套正版的信号控制和图像处理软件，能够控制面内磁场、垂直磁场、电学激励信号与图片采集的同步发生和时延关系；能够实时显示磁场数值、克尔图片效果；能够对克尔图片进行处理，并获得全局/微区磁滞回线、磁场/电流等激励信号与克尔图片的对应关系等</w:t>
            </w:r>
            <w:r>
              <w:rPr>
                <w:rFonts w:hint="eastAsia"/>
                <w:color w:val="auto"/>
                <w:sz w:val="21"/>
                <w:szCs w:val="21"/>
                <w:highlight w:val="none"/>
                <w:lang w:eastAsia="zh-CN"/>
              </w:rPr>
              <w:t>；</w:t>
            </w:r>
          </w:p>
          <w:p>
            <w:pPr>
              <w:adjustRightInd w:val="0"/>
              <w:snapToGrid w:val="0"/>
              <w:spacing w:line="288" w:lineRule="auto"/>
              <w:jc w:val="left"/>
              <w:rPr>
                <w:rFonts w:hint="eastAsia"/>
                <w:color w:val="auto"/>
                <w:sz w:val="21"/>
                <w:szCs w:val="21"/>
                <w:highlight w:val="none"/>
              </w:rPr>
            </w:pPr>
            <w:r>
              <w:rPr>
                <w:rFonts w:hint="eastAsia"/>
                <w:color w:val="auto"/>
                <w:sz w:val="21"/>
                <w:szCs w:val="21"/>
                <w:highlight w:val="none"/>
              </w:rPr>
              <w:t>9.配置气浮式无磁隔震光学平台：</w:t>
            </w:r>
          </w:p>
          <w:p>
            <w:pPr>
              <w:adjustRightInd w:val="0"/>
              <w:snapToGrid w:val="0"/>
              <w:spacing w:line="288" w:lineRule="auto"/>
              <w:jc w:val="left"/>
              <w:rPr>
                <w:rFonts w:hint="eastAsia" w:eastAsia="宋体"/>
                <w:color w:val="auto"/>
                <w:sz w:val="21"/>
                <w:szCs w:val="21"/>
                <w:highlight w:val="none"/>
                <w:lang w:eastAsia="zh-CN"/>
              </w:rPr>
            </w:pPr>
            <w:r>
              <w:rPr>
                <w:rFonts w:hint="eastAsia"/>
                <w:color w:val="auto"/>
                <w:sz w:val="21"/>
                <w:szCs w:val="21"/>
                <w:highlight w:val="none"/>
                <w:lang w:eastAsia="zh-CN"/>
              </w:rPr>
              <w:t>（</w:t>
            </w:r>
            <w:r>
              <w:rPr>
                <w:rFonts w:hint="eastAsia"/>
                <w:color w:val="auto"/>
                <w:sz w:val="21"/>
                <w:szCs w:val="21"/>
                <w:highlight w:val="none"/>
                <w:lang w:val="en-US" w:eastAsia="zh-CN"/>
              </w:rPr>
              <w:t>1</w:t>
            </w:r>
            <w:r>
              <w:rPr>
                <w:rFonts w:hint="eastAsia"/>
                <w:color w:val="auto"/>
                <w:sz w:val="21"/>
                <w:szCs w:val="21"/>
                <w:highlight w:val="none"/>
                <w:lang w:eastAsia="zh-CN"/>
              </w:rPr>
              <w:t>）</w:t>
            </w:r>
            <w:r>
              <w:rPr>
                <w:rFonts w:hint="eastAsia"/>
                <w:color w:val="auto"/>
                <w:sz w:val="21"/>
                <w:szCs w:val="21"/>
                <w:highlight w:val="none"/>
              </w:rPr>
              <w:t>台板平面度≤0.1mm/m²；台板粗糙度≤1.6μm</w:t>
            </w:r>
            <w:r>
              <w:rPr>
                <w:rFonts w:hint="eastAsia"/>
                <w:color w:val="auto"/>
                <w:sz w:val="21"/>
                <w:szCs w:val="21"/>
                <w:highlight w:val="none"/>
                <w:lang w:eastAsia="zh-CN"/>
              </w:rPr>
              <w:t>；</w:t>
            </w:r>
          </w:p>
          <w:p>
            <w:pPr>
              <w:adjustRightInd w:val="0"/>
              <w:snapToGrid w:val="0"/>
              <w:spacing w:line="288" w:lineRule="auto"/>
              <w:jc w:val="left"/>
              <w:rPr>
                <w:rFonts w:hint="eastAsia" w:eastAsia="宋体"/>
                <w:color w:val="auto"/>
                <w:sz w:val="21"/>
                <w:szCs w:val="21"/>
                <w:highlight w:val="none"/>
                <w:lang w:eastAsia="zh-CN"/>
              </w:rPr>
            </w:pPr>
            <w:r>
              <w:rPr>
                <w:rFonts w:hint="eastAsia"/>
                <w:color w:val="auto"/>
                <w:sz w:val="21"/>
                <w:szCs w:val="21"/>
                <w:highlight w:val="none"/>
                <w:lang w:eastAsia="zh-CN"/>
              </w:rPr>
              <w:t>（</w:t>
            </w:r>
            <w:r>
              <w:rPr>
                <w:rFonts w:hint="eastAsia"/>
                <w:color w:val="auto"/>
                <w:sz w:val="21"/>
                <w:szCs w:val="21"/>
                <w:highlight w:val="none"/>
                <w:lang w:val="en-US" w:eastAsia="zh-CN"/>
              </w:rPr>
              <w:t>2</w:t>
            </w:r>
            <w:r>
              <w:rPr>
                <w:rFonts w:hint="eastAsia"/>
                <w:color w:val="auto"/>
                <w:sz w:val="21"/>
                <w:szCs w:val="21"/>
                <w:highlight w:val="none"/>
                <w:lang w:eastAsia="zh-CN"/>
              </w:rPr>
              <w:t>）</w:t>
            </w:r>
            <w:r>
              <w:rPr>
                <w:rFonts w:hint="eastAsia"/>
                <w:color w:val="auto"/>
                <w:sz w:val="21"/>
                <w:szCs w:val="21"/>
                <w:highlight w:val="none"/>
              </w:rPr>
              <w:t>台面使用304无磁不锈钢等无磁材料，台面≥1000</w:t>
            </w:r>
            <w:r>
              <w:rPr>
                <w:rFonts w:hint="eastAsia"/>
                <w:color w:val="auto"/>
                <w:sz w:val="21"/>
                <w:szCs w:val="21"/>
                <w:highlight w:val="none"/>
                <w:lang w:val="en-US" w:eastAsia="zh-CN"/>
              </w:rPr>
              <w:t>*</w:t>
            </w:r>
            <w:r>
              <w:rPr>
                <w:rFonts w:hint="eastAsia"/>
                <w:color w:val="auto"/>
                <w:sz w:val="21"/>
                <w:szCs w:val="21"/>
                <w:highlight w:val="none"/>
              </w:rPr>
              <w:t>800</w:t>
            </w:r>
            <w:r>
              <w:rPr>
                <w:rFonts w:hint="eastAsia"/>
                <w:color w:val="auto"/>
                <w:sz w:val="21"/>
                <w:szCs w:val="21"/>
                <w:highlight w:val="none"/>
                <w:lang w:val="en-US" w:eastAsia="zh-CN"/>
              </w:rPr>
              <w:t>*</w:t>
            </w:r>
            <w:r>
              <w:rPr>
                <w:rFonts w:hint="eastAsia"/>
                <w:color w:val="auto"/>
                <w:sz w:val="21"/>
                <w:szCs w:val="21"/>
                <w:highlight w:val="none"/>
              </w:rPr>
              <w:t>800mm</w:t>
            </w:r>
            <w:r>
              <w:rPr>
                <w:rFonts w:hint="eastAsia"/>
                <w:color w:val="auto"/>
                <w:sz w:val="21"/>
                <w:szCs w:val="21"/>
                <w:highlight w:val="none"/>
                <w:lang w:eastAsia="zh-CN"/>
              </w:rPr>
              <w:t>；</w:t>
            </w:r>
          </w:p>
          <w:p>
            <w:pPr>
              <w:adjustRightInd w:val="0"/>
              <w:snapToGrid w:val="0"/>
              <w:spacing w:line="288" w:lineRule="auto"/>
              <w:jc w:val="left"/>
              <w:rPr>
                <w:color w:val="auto"/>
                <w:sz w:val="21"/>
                <w:szCs w:val="21"/>
                <w:highlight w:val="none"/>
              </w:rPr>
            </w:pPr>
            <w:r>
              <w:rPr>
                <w:rFonts w:hint="eastAsia"/>
                <w:color w:val="auto"/>
                <w:sz w:val="21"/>
                <w:szCs w:val="21"/>
                <w:highlight w:val="none"/>
              </w:rPr>
              <w:t>10.基于labview开发的适配矢量磁铁的矢量磁场控制软件，满足面内任意方向的磁场控制及±3000Oe的大小控制。</w:t>
            </w:r>
          </w:p>
        </w:tc>
      </w:tr>
    </w:tbl>
    <w:p>
      <w:pPr>
        <w:adjustRightInd w:val="0"/>
        <w:snapToGrid w:val="0"/>
        <w:spacing w:line="288" w:lineRule="auto"/>
        <w:rPr>
          <w:rFonts w:cs="Times New Roman"/>
          <w:b/>
          <w:bCs/>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杭州电子科技大学磁光克尔显微镜</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rFonts w:cstheme="minorBidi"/>
                <w:color w:val="auto"/>
                <w:sz w:val="21"/>
                <w:szCs w:val="21"/>
                <w:highlight w:val="none"/>
              </w:rPr>
            </w:pPr>
            <w:r>
              <w:rPr>
                <w:rFonts w:hint="eastAsia" w:cstheme="minorBidi"/>
                <w:color w:val="auto"/>
                <w:sz w:val="21"/>
                <w:szCs w:val="21"/>
                <w:highlight w:val="none"/>
              </w:rPr>
              <w:t>▲1</w:t>
            </w:r>
            <w:r>
              <w:rPr>
                <w:rFonts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pPr>
              <w:adjustRightInd w:val="0"/>
              <w:snapToGrid w:val="0"/>
              <w:spacing w:line="288" w:lineRule="auto"/>
              <w:rPr>
                <w:rFonts w:cstheme="minorBidi"/>
                <w:color w:val="auto"/>
                <w:sz w:val="21"/>
                <w:szCs w:val="21"/>
                <w:highlight w:val="none"/>
              </w:rPr>
            </w:pPr>
            <w:r>
              <w:rPr>
                <w:rFonts w:hint="eastAsia" w:cstheme="minorBidi"/>
                <w:color w:val="auto"/>
                <w:sz w:val="21"/>
                <w:szCs w:val="21"/>
                <w:highlight w:val="none"/>
              </w:rPr>
              <w:t>▲</w:t>
            </w:r>
            <w:r>
              <w:rPr>
                <w:rFonts w:cstheme="minorBidi"/>
                <w:color w:val="auto"/>
                <w:sz w:val="21"/>
                <w:szCs w:val="21"/>
                <w:highlight w:val="none"/>
              </w:rPr>
              <w:t>2</w:t>
            </w:r>
            <w:r>
              <w:rPr>
                <w:rFonts w:hint="eastAsia" w:cstheme="minorBidi"/>
                <w:color w:val="auto"/>
                <w:sz w:val="21"/>
                <w:szCs w:val="21"/>
                <w:highlight w:val="none"/>
              </w:rPr>
              <w:t>.</w:t>
            </w:r>
            <w:r>
              <w:rPr>
                <w:rFonts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cstheme="minorBidi"/>
                <w:color w:val="auto"/>
                <w:sz w:val="21"/>
                <w:szCs w:val="21"/>
                <w:highlight w:val="none"/>
              </w:rPr>
              <w:t>，须提供</w:t>
            </w:r>
            <w:r>
              <w:rPr>
                <w:rFonts w:cstheme="minorBidi"/>
                <w:bCs/>
                <w:color w:val="auto"/>
                <w:sz w:val="21"/>
                <w:szCs w:val="21"/>
                <w:highlight w:val="none"/>
              </w:rPr>
              <w:t>授权</w:t>
            </w:r>
            <w:r>
              <w:rPr>
                <w:rFonts w:hint="eastAsia" w:cstheme="minorBidi"/>
                <w:bCs/>
                <w:color w:val="auto"/>
                <w:sz w:val="21"/>
                <w:szCs w:val="21"/>
                <w:highlight w:val="none"/>
              </w:rPr>
              <w:t>委托</w:t>
            </w:r>
            <w:r>
              <w:rPr>
                <w:rFonts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2023年1月</w:t>
            </w:r>
            <w:r>
              <w:rPr>
                <w:rFonts w:cstheme="minorBidi"/>
                <w:color w:val="auto"/>
                <w:sz w:val="21"/>
                <w:szCs w:val="21"/>
                <w:highlight w:val="none"/>
              </w:rPr>
              <w:t>（含）以后任意一月）；</w:t>
            </w:r>
          </w:p>
          <w:p>
            <w:pPr>
              <w:adjustRightInd w:val="0"/>
              <w:snapToGrid w:val="0"/>
              <w:spacing w:line="288" w:lineRule="auto"/>
              <w:rPr>
                <w:color w:val="auto"/>
                <w:sz w:val="21"/>
                <w:szCs w:val="21"/>
                <w:highlight w:val="none"/>
              </w:rPr>
            </w:pPr>
            <w:r>
              <w:rPr>
                <w:rFonts w:hint="eastAsia" w:cstheme="minorBidi"/>
                <w:color w:val="auto"/>
                <w:sz w:val="21"/>
                <w:szCs w:val="21"/>
                <w:highlight w:val="none"/>
              </w:rPr>
              <w:t>▲</w:t>
            </w:r>
            <w:r>
              <w:rPr>
                <w:rFonts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33"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100以下</w:t>
                  </w:r>
                </w:p>
              </w:tc>
              <w:tc>
                <w:tcPr>
                  <w:tcW w:w="2338" w:type="dxa"/>
                  <w:vAlign w:val="center"/>
                </w:tcPr>
                <w:p>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bookmarkEnd w:id="33"/>
          </w:tbl>
          <w:p>
            <w:pPr>
              <w:adjustRightInd w:val="0"/>
              <w:snapToGrid w:val="0"/>
              <w:spacing w:line="288" w:lineRule="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本项目（是）接受联合体响应。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color w:val="auto"/>
                <w:sz w:val="21"/>
                <w:szCs w:val="21"/>
                <w:highlight w:val="none"/>
                <w:u w:val="single"/>
              </w:rPr>
              <w:t>。</w:t>
            </w:r>
          </w:p>
          <w:p>
            <w:pPr>
              <w:adjustRightInd w:val="0"/>
              <w:snapToGrid w:val="0"/>
              <w:spacing w:line="288" w:lineRule="auto"/>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34"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w:t>
            </w:r>
            <w:r>
              <w:rPr>
                <w:rFonts w:hint="eastAsia" w:cs="Times New Roman"/>
                <w:color w:val="auto"/>
                <w:sz w:val="21"/>
                <w:szCs w:val="21"/>
                <w:highlight w:val="none"/>
                <w:lang w:eastAsia="zh-CN"/>
              </w:rPr>
              <w:t>基本满足需求，但存在一定欠缺</w:t>
            </w:r>
            <w:r>
              <w:rPr>
                <w:rFonts w:hint="eastAsia" w:cs="Times New Roman"/>
                <w:color w:val="auto"/>
                <w:sz w:val="21"/>
                <w:szCs w:val="21"/>
                <w:highlight w:val="none"/>
              </w:rPr>
              <w:t>条件的承诺函</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3）落实政府采购政策需满足的资格要求：无</w:t>
            </w:r>
          </w:p>
          <w:p>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lang w:eastAsia="zh-CN"/>
              </w:rPr>
              <w:t>采购人将以合同形式有偿取得货物、工程和服务，不接受供应商给予的赠品、回扣或者与采购无关的其他商品、服务</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bookmarkStart w:id="35"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5"/>
    <w:p>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杭州电子科技大学磁光克尔显微镜</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rFonts w:cs="Times New Roman"/>
          <w:color w:val="auto"/>
          <w:sz w:val="21"/>
          <w:szCs w:val="21"/>
          <w:highlight w:val="none"/>
        </w:rPr>
      </w:pPr>
      <w:bookmarkStart w:id="36"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6"/>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2023年1月</w:t>
      </w:r>
      <w:r>
        <w:rPr>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2"/>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97" w:hRule="atLeast"/>
          <w:jc w:val="center"/>
        </w:trPr>
        <w:tc>
          <w:tcPr>
            <w:tcW w:w="2517" w:type="dxa"/>
            <w:vAlign w:val="center"/>
          </w:tcPr>
          <w:p>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100以下</w:t>
            </w:r>
          </w:p>
        </w:tc>
        <w:tc>
          <w:tcPr>
            <w:tcW w:w="2338" w:type="dxa"/>
            <w:vAlign w:val="center"/>
          </w:tcPr>
          <w:p>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pPr>
        <w:spacing w:line="288" w:lineRule="auto"/>
        <w:ind w:firstLine="420" w:firstLineChars="200"/>
        <w:rPr>
          <w:rFonts w:cs="Times New Roman"/>
          <w:color w:val="auto"/>
          <w:sz w:val="21"/>
          <w:szCs w:val="22"/>
          <w:highlight w:val="none"/>
        </w:rPr>
      </w:pPr>
      <w:bookmarkStart w:id="37" w:name="_Hlk104288918"/>
      <w:r>
        <w:rPr>
          <w:rFonts w:hint="eastAsia" w:cs="Times New Roman"/>
          <w:color w:val="auto"/>
          <w:sz w:val="21"/>
          <w:szCs w:val="22"/>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color w:val="auto"/>
          <w:sz w:val="21"/>
          <w:szCs w:val="21"/>
          <w:highlight w:val="none"/>
        </w:rPr>
        <w:t>可以分包履行的（非主体、非关键性的工作）具体内容、金额或者比例：</w:t>
      </w:r>
    </w:p>
    <w:p>
      <w:pPr>
        <w:adjustRightInd w:val="0"/>
        <w:snapToGrid w:val="0"/>
        <w:spacing w:line="288" w:lineRule="auto"/>
        <w:jc w:val="left"/>
        <w:rPr>
          <w:color w:val="auto"/>
          <w:sz w:val="21"/>
          <w:szCs w:val="21"/>
          <w:highlight w:val="none"/>
        </w:rPr>
      </w:pPr>
      <w:r>
        <w:rPr>
          <w:rFonts w:hint="eastAsia"/>
          <w:color w:val="auto"/>
          <w:sz w:val="21"/>
          <w:szCs w:val="21"/>
          <w:highlight w:val="none"/>
          <w:u w:val="single"/>
          <w:lang w:val="en-US" w:eastAsia="zh-CN"/>
        </w:rPr>
        <w:t>货物运输</w:t>
      </w:r>
      <w:r>
        <w:rPr>
          <w:color w:val="auto"/>
          <w:sz w:val="21"/>
          <w:szCs w:val="21"/>
          <w:highlight w:val="none"/>
          <w:u w:val="single"/>
        </w:rPr>
        <w:t>。</w:t>
      </w:r>
    </w:p>
    <w:p>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8" w:name="_Hlk92273406"/>
      <w:bookmarkStart w:id="39"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8"/>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9"/>
    <w:p>
      <w:pPr>
        <w:adjustRightInd w:val="0"/>
        <w:snapToGrid w:val="0"/>
        <w:spacing w:line="288" w:lineRule="auto"/>
        <w:outlineLvl w:val="2"/>
        <w:rPr>
          <w:b/>
          <w:color w:val="auto"/>
          <w:spacing w:val="-6"/>
          <w:kern w:val="0"/>
          <w:sz w:val="21"/>
          <w:szCs w:val="21"/>
          <w:highlight w:val="none"/>
        </w:rPr>
      </w:pPr>
      <w:bookmarkStart w:id="40"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41" w:name="_Hlk106875293"/>
    </w:p>
    <w:bookmarkEnd w:id="41"/>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4.支持中小企业发展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eastAsia="zh-CN"/>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40"/>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bookmarkStart w:id="42"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42"/>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3" w:name="_Hlk96329193"/>
      <w:r>
        <w:rPr>
          <w:rFonts w:hint="eastAsia"/>
          <w:color w:val="auto"/>
          <w:sz w:val="21"/>
          <w:szCs w:val="21"/>
          <w:highlight w:val="none"/>
        </w:rPr>
        <w:t>，供应商应写全称。</w:t>
      </w:r>
      <w:bookmarkEnd w:id="43"/>
    </w:p>
    <w:p>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adjustRightInd w:val="0"/>
        <w:snapToGrid w:val="0"/>
        <w:spacing w:line="288" w:lineRule="auto"/>
        <w:ind w:firstLine="420" w:firstLineChars="200"/>
        <w:jc w:val="left"/>
        <w:rPr>
          <w:rFonts w:cs="Times New Roman"/>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lang w:eastAsia="zh-CN"/>
        </w:rPr>
        <w:t>采购人将以合同形式有偿取得货物、工程和服务，不接受供应商给予的赠品、回扣或者与采购无关的其他商品、服务</w:t>
      </w:r>
      <w:r>
        <w:rPr>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bookmarkStart w:id="44" w:name="_Hlk97039899"/>
      <w:r>
        <w:rPr>
          <w:rFonts w:hint="eastAsia"/>
          <w:color w:val="auto"/>
          <w:sz w:val="21"/>
          <w:szCs w:val="21"/>
          <w:highlight w:val="none"/>
        </w:rPr>
        <w:t>未响应磋商文件“▲”标记条款要求的，响应无效。</w:t>
      </w:r>
    </w:p>
    <w:bookmarkEnd w:id="44"/>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pPr>
        <w:adjustRightInd w:val="0"/>
        <w:snapToGrid w:val="0"/>
        <w:spacing w:line="288" w:lineRule="auto"/>
        <w:ind w:firstLine="420" w:firstLineChars="200"/>
        <w:rPr>
          <w:color w:val="auto"/>
          <w:sz w:val="21"/>
          <w:szCs w:val="21"/>
          <w:highlight w:val="none"/>
        </w:rPr>
      </w:pPr>
      <w:bookmarkStart w:id="45" w:name="_Hlk97039841"/>
      <w:r>
        <w:rPr>
          <w:rFonts w:hint="eastAsia"/>
          <w:color w:val="auto"/>
          <w:sz w:val="21"/>
          <w:szCs w:val="21"/>
          <w:highlight w:val="none"/>
        </w:rPr>
        <w:t>（3）资格文件未按要求签署、盖章。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bookmarkEnd w:id="45"/>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pPr>
        <w:adjustRightInd w:val="0"/>
        <w:snapToGrid w:val="0"/>
        <w:spacing w:line="288" w:lineRule="auto"/>
        <w:ind w:firstLine="424" w:firstLineChars="202"/>
        <w:rPr>
          <w:rFonts w:cs="Arial"/>
          <w:color w:val="auto"/>
          <w:kern w:val="0"/>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同时出现两种以上不一致的，按照前款规定的顺序修正。修正后的报价经供应商电子签名（加盖公章）、法定代表人或授权代表签字确认后产生约束力，供应商不确认的，其响应无效。</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4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667"/>
        <w:gridCol w:w="7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47" w:name="_Hlk117025274"/>
            <w:r>
              <w:rPr>
                <w:rFonts w:hint="eastAsia"/>
                <w:b/>
                <w:bCs/>
                <w:color w:val="auto"/>
                <w:sz w:val="21"/>
                <w:szCs w:val="21"/>
                <w:highlight w:val="none"/>
              </w:rPr>
              <w:t>评审因素</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分值</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7"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highlight w:val="none"/>
              </w:rPr>
            </w:pPr>
            <w:r>
              <w:rPr>
                <w:rFonts w:hint="eastAsia"/>
                <w:b/>
                <w:color w:val="auto"/>
                <w:sz w:val="21"/>
                <w:szCs w:val="21"/>
                <w:highlight w:val="none"/>
                <w:lang w:bidi="ar"/>
              </w:rPr>
              <w:t>最后磋商报价</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jc w:val="center"/>
              <w:rPr>
                <w:rFonts w:hint="default"/>
                <w:b/>
                <w:bCs/>
                <w:color w:val="auto"/>
                <w:sz w:val="21"/>
                <w:szCs w:val="21"/>
                <w:highlight w:val="none"/>
              </w:rPr>
            </w:pPr>
            <w:r>
              <w:rPr>
                <w:rFonts w:hint="eastAsia"/>
                <w:b/>
                <w:color w:val="auto"/>
                <w:sz w:val="21"/>
                <w:szCs w:val="21"/>
                <w:highlight w:val="none"/>
                <w:lang w:bidi="ar"/>
              </w:rPr>
              <w:t>30</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ind w:left="0" w:right="0"/>
              <w:rPr>
                <w:rFonts w:hint="default"/>
                <w:color w:val="auto"/>
                <w:sz w:val="21"/>
                <w:szCs w:val="21"/>
                <w:highlight w:val="none"/>
              </w:rPr>
            </w:pPr>
            <w:r>
              <w:rPr>
                <w:rFonts w:hint="eastAsia"/>
                <w:color w:val="auto"/>
                <w:sz w:val="21"/>
                <w:szCs w:val="21"/>
                <w:highlight w:val="none"/>
                <w:lang w:bidi="ar"/>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ind w:left="0" w:right="0"/>
              <w:rPr>
                <w:rFonts w:hint="default"/>
                <w:color w:val="auto"/>
                <w:sz w:val="21"/>
                <w:szCs w:val="21"/>
                <w:highlight w:val="none"/>
              </w:rPr>
            </w:pPr>
            <w:r>
              <w:rPr>
                <w:rFonts w:hint="eastAsia"/>
                <w:color w:val="auto"/>
                <w:sz w:val="21"/>
                <w:szCs w:val="21"/>
                <w:highlight w:val="none"/>
                <w:lang w:bidi="ar"/>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业绩</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3</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eastAsia="宋体"/>
                <w:color w:val="auto"/>
                <w:sz w:val="21"/>
                <w:szCs w:val="21"/>
                <w:highlight w:val="none"/>
                <w:lang w:eastAsia="zh-CN"/>
              </w:rPr>
              <w:t>【</w:t>
            </w:r>
            <w:r>
              <w:rPr>
                <w:rFonts w:hint="eastAsia" w:ascii="宋体" w:eastAsia="宋体"/>
                <w:color w:val="auto"/>
                <w:sz w:val="21"/>
                <w:szCs w:val="21"/>
                <w:highlight w:val="none"/>
                <w:lang w:val="en-US" w:eastAsia="zh-CN"/>
              </w:rPr>
              <w:t>客观分</w:t>
            </w:r>
            <w:r>
              <w:rPr>
                <w:rFonts w:hint="eastAsia" w:eastAsia="宋体"/>
                <w:color w:val="auto"/>
                <w:sz w:val="21"/>
                <w:szCs w:val="21"/>
                <w:highlight w:val="none"/>
                <w:lang w:eastAsia="zh-CN"/>
              </w:rPr>
              <w:t>】</w:t>
            </w:r>
            <w:r>
              <w:rPr>
                <w:rFonts w:hint="eastAsia"/>
                <w:color w:val="auto"/>
                <w:sz w:val="21"/>
                <w:szCs w:val="21"/>
                <w:highlight w:val="none"/>
              </w:rPr>
              <w:t>响应方自2020年1月1日以来（以合同签订时间为准）同类合同业绩（以提供的完整合同扫描件为准）：每提供1份合同业绩得1分，最高得3分。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政策功能</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2</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【客观分】响应产品属于品目清单范围且提供国家确定的认证机构出具的有效的节能产品认证证书（扫描件）的得1分；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响应产品属于品目清单范围且提供国家确定的认证机构出具的有效的环境标志产品认证证书（扫描件）的得1分；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技术响应程度</w:t>
            </w:r>
          </w:p>
        </w:tc>
        <w:tc>
          <w:tcPr>
            <w:tcW w:w="6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25</w:t>
            </w:r>
          </w:p>
        </w:tc>
        <w:tc>
          <w:tcPr>
            <w:tcW w:w="7764"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【客观分】不符合（负偏离）技术要求中标注“</w:t>
            </w:r>
            <w:bookmarkStart w:id="48" w:name="_Hlk117025051"/>
            <w:r>
              <w:rPr>
                <w:rFonts w:hint="eastAsia"/>
                <w:color w:val="auto"/>
                <w:sz w:val="21"/>
                <w:szCs w:val="21"/>
                <w:highlight w:val="none"/>
              </w:rPr>
              <w:t>▲</w:t>
            </w:r>
            <w:bookmarkEnd w:id="48"/>
            <w:r>
              <w:rPr>
                <w:rFonts w:hint="eastAsia"/>
                <w:color w:val="auto"/>
                <w:sz w:val="21"/>
                <w:szCs w:val="21"/>
                <w:highlight w:val="none"/>
              </w:rPr>
              <w:t>”条款（不可偏离）的响应无效；</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满足磋商文件明确的全部技术条款要求的该项得满分；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技术条款低于技术要求（负偏离）的，每项扣5分；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负偏离5项及以上的视为采购人不能接受的附加条件。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color w:val="auto"/>
                <w:sz w:val="21"/>
                <w:szCs w:val="21"/>
                <w:highlight w:val="none"/>
                <w:lang w:bidi="ar"/>
              </w:rPr>
              <w:t>产品功能及配置</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w:t>
            </w:r>
            <w:r>
              <w:rPr>
                <w:rFonts w:hint="eastAsia" w:ascii="宋体" w:eastAsia="宋体"/>
                <w:color w:val="auto"/>
                <w:sz w:val="21"/>
                <w:szCs w:val="21"/>
                <w:highlight w:val="none"/>
                <w:lang w:val="en-US" w:eastAsia="zh-CN" w:bidi="ar"/>
              </w:rPr>
              <w:t>主</w:t>
            </w:r>
            <w:r>
              <w:rPr>
                <w:rFonts w:hint="eastAsia"/>
                <w:color w:val="auto"/>
                <w:sz w:val="21"/>
                <w:szCs w:val="21"/>
                <w:highlight w:val="none"/>
                <w:lang w:bidi="ar"/>
              </w:rPr>
              <w:t>观分】响应产品功能满足项目特点和实际需要，</w:t>
            </w:r>
            <w:r>
              <w:rPr>
                <w:rFonts w:hint="eastAsia" w:ascii="宋体" w:eastAsia="宋体"/>
                <w:color w:val="auto"/>
                <w:sz w:val="21"/>
                <w:szCs w:val="21"/>
                <w:highlight w:val="none"/>
                <w:lang w:val="en-US" w:eastAsia="zh-CN" w:bidi="ar"/>
              </w:rPr>
              <w:t>功能先进，后续维护成本低</w:t>
            </w:r>
            <w:r>
              <w:rPr>
                <w:rFonts w:hint="eastAsia"/>
                <w:color w:val="auto"/>
                <w:sz w:val="21"/>
                <w:szCs w:val="21"/>
                <w:highlight w:val="none"/>
                <w:lang w:bidi="ar"/>
              </w:rPr>
              <w:t>（评分范围：5，</w:t>
            </w:r>
            <w:r>
              <w:rPr>
                <w:rFonts w:hint="eastAsia"/>
                <w:color w:val="auto"/>
                <w:sz w:val="21"/>
                <w:szCs w:val="21"/>
                <w:highlight w:val="none"/>
                <w:lang w:val="en-US" w:eastAsia="zh-CN" w:bidi="ar"/>
              </w:rPr>
              <w:t>4，</w:t>
            </w:r>
            <w:r>
              <w:rPr>
                <w:rFonts w:hint="eastAsia"/>
                <w:color w:val="auto"/>
                <w:sz w:val="21"/>
                <w:szCs w:val="21"/>
                <w:highlight w:val="none"/>
                <w:lang w:bidi="ar"/>
              </w:rPr>
              <w:t>3，</w:t>
            </w:r>
            <w:r>
              <w:rPr>
                <w:rFonts w:hint="eastAsia"/>
                <w:color w:val="auto"/>
                <w:sz w:val="21"/>
                <w:szCs w:val="21"/>
                <w:highlight w:val="none"/>
                <w:lang w:val="en-US" w:eastAsia="zh-CN" w:bidi="ar"/>
              </w:rPr>
              <w:t>2，</w:t>
            </w:r>
            <w:r>
              <w:rPr>
                <w:rFonts w:hint="eastAsia"/>
                <w:color w:val="auto"/>
                <w:sz w:val="21"/>
                <w:szCs w:val="21"/>
                <w:highlight w:val="none"/>
                <w:lang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lang w:bidi="ar"/>
              </w:rPr>
            </w:pPr>
            <w:r>
              <w:rPr>
                <w:rFonts w:hint="eastAsia"/>
                <w:color w:val="auto"/>
                <w:sz w:val="21"/>
                <w:szCs w:val="21"/>
                <w:highlight w:val="none"/>
                <w:lang w:bidi="ar"/>
              </w:rPr>
              <w:t>【主观分】响应产品配置合理，各产品之间可以高效对接，兼容性强（评分范围：5，4，3，2，1，0）。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项目实施方案</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【主观分】项目实施计划详细完整，符合项目进度要求，投入人员数量丰富（评分范围：5，4，3，2，1，0）。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安装调试</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【主观分】安装、调试方法或方案详细完整，各种措施合理可行，有助于项目实施（评分范围：5，4，3，2，1，0）。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售后服务</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【主观分】售后服务方案、售后服务承诺可行，服务承诺落实的保障措施强（评分范围：5，4，3，2，1，0）。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技术服务、培训</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【主观分】服务力量和服务保障措施强，培训计划内容、培训范围完整且有针对性（评分范围：5，4，3，2，1，0）。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配件耗材</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bidi="ar"/>
              </w:rPr>
              <w:t>【主观分】质保期满后配件、附件、备品备件的收费标准合理，配件、附件、备品备件的保障措施强（评分范围：5，4，3，2，1，0）。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06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bCs/>
                <w:color w:val="auto"/>
                <w:sz w:val="21"/>
                <w:szCs w:val="21"/>
                <w:highlight w:val="none"/>
              </w:rPr>
              <w:t>服务响应效率保障</w:t>
            </w:r>
          </w:p>
        </w:tc>
        <w:tc>
          <w:tcPr>
            <w:tcW w:w="6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color w:val="auto"/>
                <w:sz w:val="21"/>
                <w:szCs w:val="21"/>
                <w:highlight w:val="none"/>
                <w:lang w:bidi="ar"/>
              </w:rPr>
            </w:pPr>
            <w:r>
              <w:rPr>
                <w:rFonts w:hint="eastAsia"/>
                <w:b/>
                <w:color w:val="auto"/>
                <w:sz w:val="21"/>
                <w:szCs w:val="21"/>
                <w:highlight w:val="none"/>
                <w:lang w:bidi="ar"/>
              </w:rPr>
              <w:t>5</w:t>
            </w:r>
          </w:p>
        </w:tc>
        <w:tc>
          <w:tcPr>
            <w:tcW w:w="776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highlight w:val="none"/>
              </w:rPr>
            </w:pPr>
            <w:r>
              <w:rPr>
                <w:rFonts w:hint="eastAsia"/>
                <w:color w:val="auto"/>
                <w:sz w:val="21"/>
                <w:szCs w:val="21"/>
                <w:highlight w:val="none"/>
                <w:lang w:bidi="ar"/>
              </w:rPr>
              <w:t>【主观分】响应方服务响应效率承诺可行性强、保障服务质量的措施有针对性（评分范围：5，4，3，2，1，0）。</w:t>
            </w:r>
          </w:p>
        </w:tc>
      </w:tr>
      <w:bookmarkEnd w:id="47"/>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rFonts w:cs="Times New Roman"/>
          <w:b/>
          <w:color w:val="auto"/>
          <w:sz w:val="21"/>
          <w:szCs w:val="21"/>
          <w:highlight w:val="none"/>
        </w:rPr>
      </w:pPr>
      <w:r>
        <w:rPr>
          <w:rFonts w:cs="Times New Roman"/>
          <w:b/>
          <w:color w:val="auto"/>
          <w:sz w:val="21"/>
          <w:szCs w:val="21"/>
          <w:highlight w:val="none"/>
        </w:rPr>
        <w:t>1.</w:t>
      </w:r>
      <w:r>
        <w:rPr>
          <w:rFonts w:hint="eastAsia" w:cs="Times New Roman"/>
          <w:b/>
          <w:color w:val="auto"/>
          <w:sz w:val="21"/>
          <w:szCs w:val="21"/>
          <w:highlight w:val="none"/>
        </w:rPr>
        <w:t>根据《政府采购促进中小企业发展管理办法》（财库〔2020〕46号）、《关于进一步加大政府采购支持中小企业力度的通知》（财库〔</w:t>
      </w:r>
      <w:r>
        <w:rPr>
          <w:rFonts w:cs="Times New Roman"/>
          <w:b/>
          <w:color w:val="auto"/>
          <w:sz w:val="21"/>
          <w:szCs w:val="21"/>
          <w:highlight w:val="none"/>
        </w:rPr>
        <w:t>2022〕19号）</w:t>
      </w:r>
      <w:r>
        <w:rPr>
          <w:rFonts w:hint="eastAsia" w:cs="Times New Roman"/>
          <w:b/>
          <w:color w:val="auto"/>
          <w:sz w:val="21"/>
          <w:szCs w:val="21"/>
          <w:highlight w:val="none"/>
        </w:rPr>
        <w:t>的规定：对符合规定的小微企业报价给予</w:t>
      </w:r>
      <w:r>
        <w:rPr>
          <w:rFonts w:hint="eastAsia" w:cs="Times New Roman"/>
          <w:b/>
          <w:color w:val="auto"/>
          <w:sz w:val="21"/>
          <w:szCs w:val="21"/>
          <w:highlight w:val="none"/>
          <w:lang w:eastAsia="zh-CN"/>
        </w:rPr>
        <w:t>10%</w:t>
      </w:r>
      <w:r>
        <w:rPr>
          <w:rFonts w:hint="eastAsia" w:cs="Times New Roman"/>
          <w:b/>
          <w:color w:val="auto"/>
          <w:sz w:val="21"/>
          <w:szCs w:val="21"/>
          <w:highlight w:val="none"/>
        </w:rPr>
        <w:t>的扣除后计算价格得分。</w:t>
      </w:r>
    </w:p>
    <w:p>
      <w:pPr>
        <w:adjustRightInd w:val="0"/>
        <w:snapToGrid w:val="0"/>
        <w:spacing w:line="288" w:lineRule="auto"/>
        <w:ind w:firstLine="396" w:firstLineChars="200"/>
        <w:jc w:val="left"/>
        <w:rPr>
          <w:b/>
          <w:color w:val="auto"/>
          <w:sz w:val="21"/>
          <w:szCs w:val="21"/>
          <w:highlight w:val="none"/>
        </w:rPr>
      </w:pPr>
      <w:r>
        <w:rPr>
          <w:rFonts w:hint="eastAsia" w:cs="Times New Roman"/>
          <w:color w:val="auto"/>
          <w:spacing w:val="-6"/>
          <w:sz w:val="21"/>
          <w:szCs w:val="21"/>
          <w:highlight w:val="none"/>
          <w:u w:val="single"/>
        </w:rPr>
        <w:t>注：对于联合协议或者分包意向协议约定小微企业的合同份额占到合同总金额30%以上的，对联合体或者大中型企业的报价给予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u w:val="single"/>
          <w:lang w:eastAsia="zh-CN"/>
        </w:rPr>
        <w:t>4%</w:t>
      </w:r>
      <w:r>
        <w:rPr>
          <w:rFonts w:hint="eastAsia" w:cs="Times New Roman"/>
          <w:color w:val="auto"/>
          <w:spacing w:val="-6"/>
          <w:sz w:val="21"/>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color w:val="auto"/>
          <w:spacing w:val="-6"/>
          <w:sz w:val="21"/>
          <w:szCs w:val="21"/>
          <w:highlight w:val="none"/>
        </w:rPr>
      </w:pPr>
      <w:bookmarkStart w:id="49" w:name="_Hlk81817373"/>
      <w:bookmarkStart w:id="50" w:name="_Hlk81817387"/>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9"/>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olor w:val="auto"/>
          <w:sz w:val="21"/>
          <w:szCs w:val="21"/>
          <w:highlight w:val="none"/>
        </w:rPr>
        <w:t>符合条件的残疾人福利性单位在参加政府采购活动时，提供财库</w:t>
      </w:r>
      <w:r>
        <w:rPr>
          <w:color w:val="auto"/>
          <w:sz w:val="21"/>
          <w:szCs w:val="21"/>
          <w:highlight w:val="none"/>
        </w:rPr>
        <w:t>[2017]141号</w:t>
      </w:r>
      <w:r>
        <w:rPr>
          <w:rFonts w:hint="eastAsia"/>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bookmarkEnd w:id="50"/>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eastAsia="宋体"/>
          <w:color w:val="auto"/>
          <w:spacing w:val="-6"/>
          <w:sz w:val="21"/>
          <w:szCs w:val="21"/>
          <w:highlight w:val="none"/>
          <w:lang w:eastAsia="zh-CN"/>
        </w:rPr>
        <w:t>QSZB-Z(H)-B23414(CS)</w:t>
      </w: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确认书编号：</w:t>
      </w:r>
      <w:r>
        <w:rPr>
          <w:rFonts w:hint="eastAsia" w:eastAsia="宋体"/>
          <w:color w:val="auto"/>
          <w:spacing w:val="-6"/>
          <w:sz w:val="21"/>
          <w:szCs w:val="21"/>
          <w:highlight w:val="none"/>
          <w:lang w:eastAsia="zh-CN"/>
        </w:rPr>
        <w:t>[2023]</w:t>
      </w:r>
      <w:r>
        <w:rPr>
          <w:rFonts w:hint="eastAsia"/>
          <w:color w:val="auto"/>
          <w:spacing w:val="-6"/>
          <w:sz w:val="21"/>
          <w:szCs w:val="21"/>
          <w:highlight w:val="none"/>
          <w:lang w:val="en-US" w:eastAsia="zh-CN"/>
        </w:rPr>
        <w:t>73006</w:t>
      </w:r>
      <w:r>
        <w:rPr>
          <w:rFonts w:hint="eastAsia" w:eastAsia="宋体"/>
          <w:color w:val="auto"/>
          <w:spacing w:val="-6"/>
          <w:sz w:val="21"/>
          <w:szCs w:val="21"/>
          <w:highlight w:val="none"/>
          <w:lang w:eastAsia="zh-CN"/>
        </w:rPr>
        <w:t>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2023</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u w:val="single"/>
          <w:lang w:eastAsia="zh-CN"/>
        </w:rPr>
        <w:t>磁光克尔显微镜</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 xml:space="preserve">   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hint="eastAsia" w:eastAsia="宋体" w:cs="Times New Roman"/>
          <w:color w:val="auto"/>
          <w:spacing w:val="-6"/>
          <w:sz w:val="21"/>
          <w:szCs w:val="21"/>
          <w:highlight w:val="none"/>
          <w:lang w:val="en-US" w:eastAsia="zh-CN"/>
        </w:rPr>
      </w:pPr>
      <w:r>
        <w:rPr>
          <w:rFonts w:hint="eastAsia"/>
          <w:color w:val="auto"/>
          <w:spacing w:val="-6"/>
          <w:sz w:val="21"/>
          <w:szCs w:val="21"/>
          <w:highlight w:val="none"/>
        </w:rPr>
        <w:t>乙方应保证所提供的货物或其任何一部分均不会侵犯任何第三方的知识产权</w:t>
      </w:r>
      <w:r>
        <w:rPr>
          <w:rFonts w:hint="eastAsia"/>
          <w:color w:val="auto"/>
          <w:spacing w:val="-6"/>
          <w:sz w:val="21"/>
          <w:szCs w:val="21"/>
          <w:highlight w:val="none"/>
          <w:lang w:eastAsia="zh-CN"/>
        </w:rPr>
        <w:t>。</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1.交货时间：自合同签订之日起</w:t>
      </w:r>
      <w:r>
        <w:rPr>
          <w:rFonts w:hint="eastAsia" w:cs="Times New Roman"/>
          <w:color w:val="auto"/>
          <w:spacing w:val="-6"/>
          <w:sz w:val="21"/>
          <w:szCs w:val="21"/>
          <w:highlight w:val="none"/>
          <w:lang w:val="en-US" w:eastAsia="zh-CN"/>
        </w:rPr>
        <w:t>120个工作日</w:t>
      </w:r>
      <w:r>
        <w:rPr>
          <w:rFonts w:hint="eastAsia" w:cs="Times New Roman"/>
          <w:color w:val="auto"/>
          <w:spacing w:val="-6"/>
          <w:sz w:val="21"/>
          <w:szCs w:val="21"/>
          <w:highlight w:val="none"/>
        </w:rPr>
        <w:t>内交付。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2.交货地点：甲方指定地点。</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w:t>
      </w:r>
      <w:r>
        <w:rPr>
          <w:rFonts w:hint="eastAsia"/>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6.</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1.履约保证金：</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合同签订后一周内，乙方向甲方提交合同总价1%的履约保证金，履约保证金在合同履约期间无违约情形的，项目验收结束后，于一周内退还（不计息）；</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提交方式：支票、汇票、本票或金融机构、担保机构出具的保函等非现金形式或银行转账。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注：履约保证金如采用银行转账方式提交，具体转账信息如下：</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收款单位（户名）：杭州电子科技大学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2.付款方式：</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lang w:val="en-US" w:eastAsia="zh-CN"/>
        </w:rPr>
        <w:t>1</w:t>
      </w: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rPr>
        <w:t>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lang w:val="en-US" w:eastAsia="zh-CN"/>
        </w:rPr>
        <w:t>2</w:t>
      </w: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rPr>
        <w:t>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lang w:val="en-US" w:eastAsia="zh-CN"/>
        </w:rPr>
        <w:t>3</w:t>
      </w:r>
      <w:r>
        <w:rPr>
          <w:rFonts w:hint="eastAsia" w:cs="Times New Roman"/>
          <w:bCs/>
          <w:color w:val="auto"/>
          <w:spacing w:val="-6"/>
          <w:sz w:val="21"/>
          <w:szCs w:val="21"/>
          <w:highlight w:val="none"/>
          <w:lang w:eastAsia="zh-CN"/>
        </w:rPr>
        <w:t>）</w:t>
      </w:r>
      <w:r>
        <w:rPr>
          <w:rFonts w:hint="eastAsia" w:cs="Times New Roman"/>
          <w:bCs/>
          <w:color w:val="auto"/>
          <w:spacing w:val="-6"/>
          <w:sz w:val="21"/>
          <w:szCs w:val="21"/>
          <w:highlight w:val="none"/>
        </w:rPr>
        <w:t>在签订合同时，乙方明确表示无需预付款或者主动要求降低预付款比例的，可降低预付款比例（预付款保函同步调整）。</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lang w:val="en-US" w:eastAsia="zh-CN"/>
        </w:rPr>
        <w:t>（4）</w:t>
      </w:r>
      <w:r>
        <w:rPr>
          <w:rFonts w:hint="eastAsia" w:cs="Times New Roman"/>
          <w:bCs/>
          <w:color w:val="auto"/>
          <w:spacing w:val="-6"/>
          <w:sz w:val="21"/>
          <w:szCs w:val="21"/>
          <w:highlight w:val="none"/>
        </w:rPr>
        <w:t>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1.</w:t>
      </w:r>
      <w:r>
        <w:rPr>
          <w:rFonts w:hint="eastAsia"/>
          <w:color w:val="auto"/>
          <w:spacing w:val="-6"/>
          <w:sz w:val="21"/>
          <w:szCs w:val="21"/>
          <w:highlight w:val="none"/>
        </w:rPr>
        <w:t>乙方逾期履行合同的，自逾期之日起，向甲方每日偿付合同总价千分之五的滞纳金。</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2.</w:t>
      </w:r>
      <w:r>
        <w:rPr>
          <w:rFonts w:hint="eastAsia"/>
          <w:color w:val="auto"/>
          <w:spacing w:val="-6"/>
          <w:sz w:val="21"/>
          <w:szCs w:val="21"/>
          <w:highlight w:val="none"/>
        </w:rPr>
        <w:t>甲方逾期支付货款的，自逾期之日起，向乙方每日偿付未付价款千分之五的滞纳金。</w:t>
      </w:r>
    </w:p>
    <w:p>
      <w:pPr>
        <w:numPr>
          <w:ilvl w:val="0"/>
          <w:numId w:val="0"/>
        </w:numPr>
        <w:tabs>
          <w:tab w:val="left" w:pos="0"/>
        </w:tabs>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3.</w:t>
      </w: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0"/>
        </w:num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val="en-US" w:eastAsia="zh-CN"/>
        </w:rPr>
        <w:t>4.</w:t>
      </w: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51" w:name="_Hlk71884160"/>
      <w:r>
        <w:rPr>
          <w:rFonts w:hint="eastAsia"/>
          <w:b/>
          <w:bCs/>
          <w:color w:val="auto"/>
          <w:sz w:val="21"/>
          <w:szCs w:val="21"/>
          <w:highlight w:val="none"/>
        </w:rPr>
        <w:t>▲1.资格文件（单独上传）。资格审查要求的资格证明材料（均需加盖公章）。</w:t>
      </w:r>
    </w:p>
    <w:bookmarkEnd w:id="51"/>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ind w:firstLine="420" w:firstLineChars="200"/>
        <w:rPr>
          <w:color w:val="auto"/>
          <w:sz w:val="21"/>
          <w:szCs w:val="21"/>
          <w:highlight w:val="none"/>
        </w:rPr>
      </w:pPr>
      <w:bookmarkStart w:id="52" w:name="_Hlk71884127"/>
      <w:r>
        <w:rPr>
          <w:rFonts w:hint="eastAsia"/>
          <w:color w:val="auto"/>
          <w:sz w:val="21"/>
          <w:szCs w:val="21"/>
          <w:highlight w:val="none"/>
        </w:rPr>
        <w:t>（</w:t>
      </w:r>
      <w:r>
        <w:rPr>
          <w:color w:val="auto"/>
          <w:sz w:val="21"/>
          <w:szCs w:val="21"/>
          <w:highlight w:val="none"/>
        </w:rPr>
        <w:t>2）符合参加政府采购活动应当具备的</w:t>
      </w:r>
      <w:r>
        <w:rPr>
          <w:rFonts w:hint="eastAsia"/>
          <w:color w:val="auto"/>
          <w:sz w:val="21"/>
          <w:szCs w:val="21"/>
          <w:highlight w:val="none"/>
          <w:lang w:eastAsia="zh-CN"/>
        </w:rPr>
        <w:t>基本满足需求，但存在一定欠缺</w:t>
      </w:r>
      <w:r>
        <w:rPr>
          <w:color w:val="auto"/>
          <w:sz w:val="21"/>
          <w:szCs w:val="21"/>
          <w:highlight w:val="none"/>
        </w:rPr>
        <w:t>条件的承诺函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证明材料：无</w:t>
      </w:r>
    </w:p>
    <w:p>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▲联合体响应的，联合体各方均应提供资格文件（</w:t>
      </w:r>
      <w:r>
        <w:rPr>
          <w:bCs/>
          <w:color w:val="auto"/>
          <w:spacing w:val="-6"/>
          <w:sz w:val="21"/>
          <w:szCs w:val="21"/>
          <w:highlight w:val="none"/>
        </w:rPr>
        <w:t>1）、（2）</w:t>
      </w:r>
      <w:r>
        <w:rPr>
          <w:rFonts w:hint="eastAsia"/>
          <w:bCs/>
          <w:color w:val="auto"/>
          <w:spacing w:val="-6"/>
          <w:sz w:val="21"/>
          <w:szCs w:val="21"/>
          <w:highlight w:val="none"/>
        </w:rPr>
        <w:t>材料</w:t>
      </w:r>
      <w:r>
        <w:rPr>
          <w:bCs/>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52"/>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2023年1月</w:t>
      </w:r>
      <w:r>
        <w:rPr>
          <w:color w:val="auto"/>
          <w:sz w:val="21"/>
          <w:szCs w:val="21"/>
          <w:highlight w:val="none"/>
        </w:rPr>
        <w:t>（含）以后任意一月）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53"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设计方案</w:t>
      </w:r>
      <w:r>
        <w:rPr>
          <w:color w:val="auto"/>
          <w:sz w:val="21"/>
          <w:szCs w:val="21"/>
          <w:highlight w:val="none"/>
        </w:rPr>
        <w:t>/解决方案/组织方案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履约能力</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兼容性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服务标准、期限、效率</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安装调试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能源管理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生命周期成本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培训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396" w:firstLineChars="200"/>
        <w:jc w:val="left"/>
        <w:rPr>
          <w:rFonts w:hint="eastAsia"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53"/>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bookmarkStart w:id="54" w:name="OLE_LINK13"/>
      <w:bookmarkStart w:id="55" w:name="OLE_LINK14"/>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）残疾人福利性单位声明函</w:t>
      </w:r>
      <w:bookmarkEnd w:id="54"/>
      <w:bookmarkEnd w:id="55"/>
      <w:r>
        <w:rPr>
          <w:rFonts w:hint="eastAsia"/>
          <w:color w:val="auto"/>
          <w:sz w:val="21"/>
          <w:szCs w:val="21"/>
          <w:highlight w:val="none"/>
        </w:rPr>
        <w:t>（若属于残疾人福利性单位）</w:t>
      </w:r>
    </w:p>
    <w:p>
      <w:pPr>
        <w:widowControl/>
        <w:jc w:val="left"/>
        <w:rPr>
          <w:color w:val="auto"/>
          <w:sz w:val="21"/>
          <w:szCs w:val="21"/>
          <w:highlight w:val="none"/>
        </w:rPr>
      </w:pPr>
      <w:r>
        <w:rPr>
          <w:color w:val="auto"/>
          <w:sz w:val="21"/>
          <w:szCs w:val="21"/>
          <w:highlight w:val="none"/>
        </w:rPr>
        <w:br w:type="page"/>
      </w:r>
    </w:p>
    <w:p>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56" w:name="_Hlk140130228"/>
      <w:r>
        <w:rPr>
          <w:rFonts w:hint="eastAsia" w:cs="Times New Roman"/>
          <w:b/>
          <w:color w:val="auto"/>
          <w:spacing w:val="-6"/>
          <w:sz w:val="21"/>
          <w:szCs w:val="21"/>
          <w:highlight w:val="none"/>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pPr>
              <w:tabs>
                <w:tab w:val="left" w:pos="1418"/>
              </w:tabs>
              <w:adjustRightInd w:val="0"/>
              <w:snapToGrid w:val="0"/>
              <w:spacing w:line="288" w:lineRule="auto"/>
              <w:ind w:firstLine="398"/>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评分标准</w:t>
            </w:r>
          </w:p>
        </w:tc>
        <w:tc>
          <w:tcPr>
            <w:tcW w:w="967" w:type="dxa"/>
            <w:vAlign w:val="center"/>
          </w:tcPr>
          <w:p>
            <w:pPr>
              <w:tabs>
                <w:tab w:val="left" w:pos="1418"/>
              </w:tabs>
              <w:adjustRightInd w:val="0"/>
              <w:snapToGrid w:val="0"/>
              <w:spacing w:line="288" w:lineRule="auto"/>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自评分</w:t>
            </w:r>
          </w:p>
        </w:tc>
        <w:tc>
          <w:tcPr>
            <w:tcW w:w="1053" w:type="dxa"/>
            <w:vAlign w:val="center"/>
          </w:tcPr>
          <w:p>
            <w:pPr>
              <w:tabs>
                <w:tab w:val="left" w:pos="1418"/>
              </w:tabs>
              <w:adjustRightInd w:val="0"/>
              <w:snapToGrid w:val="0"/>
              <w:spacing w:line="288" w:lineRule="auto"/>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自评依据</w:t>
            </w:r>
          </w:p>
        </w:tc>
        <w:tc>
          <w:tcPr>
            <w:tcW w:w="882" w:type="dxa"/>
            <w:vAlign w:val="center"/>
          </w:tcPr>
          <w:p>
            <w:pPr>
              <w:tabs>
                <w:tab w:val="left" w:pos="1418"/>
              </w:tabs>
              <w:adjustRightInd w:val="0"/>
              <w:snapToGrid w:val="0"/>
              <w:spacing w:line="288" w:lineRule="auto"/>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tabs>
                <w:tab w:val="left" w:pos="1418"/>
              </w:tabs>
              <w:adjustRightInd w:val="0"/>
              <w:snapToGrid w:val="0"/>
              <w:spacing w:line="288" w:lineRule="auto"/>
              <w:jc w:val="center"/>
              <w:rPr>
                <w:rFonts w:cs="Times New Roman"/>
                <w:b/>
                <w:color w:val="auto"/>
                <w:spacing w:val="-6"/>
                <w:kern w:val="0"/>
                <w:sz w:val="21"/>
                <w:szCs w:val="21"/>
                <w:highlight w:val="none"/>
              </w:rPr>
            </w:pPr>
            <w:r>
              <w:rPr>
                <w:rFonts w:cs="Times New Roman"/>
                <w:b/>
                <w:color w:val="auto"/>
                <w:spacing w:val="-6"/>
                <w:kern w:val="0"/>
                <w:sz w:val="21"/>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highlight w:val="none"/>
              </w:rPr>
            </w:pPr>
          </w:p>
        </w:tc>
        <w:tc>
          <w:tcPr>
            <w:tcW w:w="2091" w:type="dxa"/>
            <w:vAlign w:val="center"/>
          </w:tcPr>
          <w:p>
            <w:pPr>
              <w:adjustRightInd w:val="0"/>
              <w:snapToGrid w:val="0"/>
              <w:spacing w:line="288" w:lineRule="auto"/>
              <w:jc w:val="center"/>
              <w:rPr>
                <w:rFonts w:cs="Times New Roman"/>
                <w:color w:val="auto"/>
                <w:spacing w:val="-6"/>
                <w:sz w:val="21"/>
                <w:szCs w:val="21"/>
                <w:highlight w:val="none"/>
              </w:rPr>
            </w:pPr>
          </w:p>
        </w:tc>
        <w:tc>
          <w:tcPr>
            <w:tcW w:w="709" w:type="dxa"/>
            <w:vAlign w:val="center"/>
          </w:tcPr>
          <w:p>
            <w:pPr>
              <w:adjustRightInd w:val="0"/>
              <w:snapToGrid w:val="0"/>
              <w:spacing w:line="288" w:lineRule="auto"/>
              <w:jc w:val="center"/>
              <w:rPr>
                <w:rFonts w:cs="Times New Roman"/>
                <w:color w:val="auto"/>
                <w:spacing w:val="-6"/>
                <w:sz w:val="21"/>
                <w:szCs w:val="21"/>
                <w:highlight w:val="none"/>
              </w:rPr>
            </w:pPr>
          </w:p>
        </w:tc>
        <w:tc>
          <w:tcPr>
            <w:tcW w:w="3040" w:type="dxa"/>
            <w:vAlign w:val="center"/>
          </w:tcPr>
          <w:p>
            <w:pPr>
              <w:adjustRightInd w:val="0"/>
              <w:snapToGrid w:val="0"/>
              <w:spacing w:line="288" w:lineRule="auto"/>
              <w:rPr>
                <w:rFonts w:cs="Times New Roman"/>
                <w:color w:val="auto"/>
                <w:spacing w:val="-6"/>
                <w:sz w:val="21"/>
                <w:szCs w:val="21"/>
                <w:highlight w:val="none"/>
              </w:rPr>
            </w:pPr>
          </w:p>
        </w:tc>
        <w:tc>
          <w:tcPr>
            <w:tcW w:w="967" w:type="dxa"/>
            <w:vAlign w:val="center"/>
          </w:tcPr>
          <w:p>
            <w:pPr>
              <w:adjustRightInd w:val="0"/>
              <w:snapToGrid w:val="0"/>
              <w:spacing w:line="288" w:lineRule="auto"/>
              <w:jc w:val="center"/>
              <w:rPr>
                <w:rFonts w:cs="Times New Roman"/>
                <w:color w:val="auto"/>
                <w:spacing w:val="-6"/>
                <w:sz w:val="21"/>
                <w:szCs w:val="21"/>
                <w:highlight w:val="none"/>
              </w:rPr>
            </w:pPr>
          </w:p>
        </w:tc>
        <w:tc>
          <w:tcPr>
            <w:tcW w:w="1053" w:type="dxa"/>
            <w:vAlign w:val="center"/>
          </w:tcPr>
          <w:p>
            <w:pPr>
              <w:adjustRightInd w:val="0"/>
              <w:snapToGrid w:val="0"/>
              <w:spacing w:line="288" w:lineRule="auto"/>
              <w:jc w:val="center"/>
              <w:rPr>
                <w:rFonts w:cs="Times New Roman"/>
                <w:color w:val="auto"/>
                <w:spacing w:val="-6"/>
                <w:sz w:val="21"/>
                <w:szCs w:val="21"/>
                <w:highlight w:val="none"/>
              </w:rPr>
            </w:pPr>
          </w:p>
        </w:tc>
        <w:tc>
          <w:tcPr>
            <w:tcW w:w="882" w:type="dxa"/>
          </w:tcPr>
          <w:p>
            <w:pPr>
              <w:adjustRightInd w:val="0"/>
              <w:snapToGrid w:val="0"/>
              <w:spacing w:line="288" w:lineRule="auto"/>
              <w:jc w:val="center"/>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highlight w:val="none"/>
              </w:rPr>
            </w:pPr>
          </w:p>
        </w:tc>
        <w:tc>
          <w:tcPr>
            <w:tcW w:w="2091" w:type="dxa"/>
            <w:vAlign w:val="center"/>
          </w:tcPr>
          <w:p>
            <w:pPr>
              <w:adjustRightInd w:val="0"/>
              <w:snapToGrid w:val="0"/>
              <w:spacing w:line="288" w:lineRule="auto"/>
              <w:jc w:val="center"/>
              <w:rPr>
                <w:rFonts w:cs="Times New Roman"/>
                <w:color w:val="auto"/>
                <w:spacing w:val="-6"/>
                <w:sz w:val="21"/>
                <w:szCs w:val="21"/>
                <w:highlight w:val="none"/>
              </w:rPr>
            </w:pPr>
          </w:p>
        </w:tc>
        <w:tc>
          <w:tcPr>
            <w:tcW w:w="709" w:type="dxa"/>
            <w:vAlign w:val="center"/>
          </w:tcPr>
          <w:p>
            <w:pPr>
              <w:adjustRightInd w:val="0"/>
              <w:snapToGrid w:val="0"/>
              <w:spacing w:line="288" w:lineRule="auto"/>
              <w:jc w:val="center"/>
              <w:rPr>
                <w:rFonts w:cs="Times New Roman"/>
                <w:color w:val="auto"/>
                <w:spacing w:val="-6"/>
                <w:sz w:val="21"/>
                <w:szCs w:val="21"/>
                <w:highlight w:val="none"/>
              </w:rPr>
            </w:pPr>
          </w:p>
        </w:tc>
        <w:tc>
          <w:tcPr>
            <w:tcW w:w="3040" w:type="dxa"/>
            <w:vAlign w:val="center"/>
          </w:tcPr>
          <w:p>
            <w:pPr>
              <w:adjustRightInd w:val="0"/>
              <w:snapToGrid w:val="0"/>
              <w:spacing w:line="288" w:lineRule="auto"/>
              <w:rPr>
                <w:rFonts w:cs="Times New Roman"/>
                <w:color w:val="auto"/>
                <w:spacing w:val="-6"/>
                <w:sz w:val="21"/>
                <w:szCs w:val="21"/>
                <w:highlight w:val="none"/>
              </w:rPr>
            </w:pPr>
          </w:p>
        </w:tc>
        <w:tc>
          <w:tcPr>
            <w:tcW w:w="967" w:type="dxa"/>
            <w:vAlign w:val="center"/>
          </w:tcPr>
          <w:p>
            <w:pPr>
              <w:adjustRightInd w:val="0"/>
              <w:snapToGrid w:val="0"/>
              <w:spacing w:line="288" w:lineRule="auto"/>
              <w:jc w:val="center"/>
              <w:rPr>
                <w:rFonts w:cs="Times New Roman"/>
                <w:color w:val="auto"/>
                <w:spacing w:val="-6"/>
                <w:sz w:val="21"/>
                <w:szCs w:val="21"/>
                <w:highlight w:val="none"/>
              </w:rPr>
            </w:pPr>
          </w:p>
        </w:tc>
        <w:tc>
          <w:tcPr>
            <w:tcW w:w="1053" w:type="dxa"/>
            <w:vAlign w:val="center"/>
          </w:tcPr>
          <w:p>
            <w:pPr>
              <w:adjustRightInd w:val="0"/>
              <w:snapToGrid w:val="0"/>
              <w:spacing w:line="288" w:lineRule="auto"/>
              <w:jc w:val="center"/>
              <w:rPr>
                <w:rFonts w:cs="Times New Roman"/>
                <w:color w:val="auto"/>
                <w:spacing w:val="-6"/>
                <w:sz w:val="21"/>
                <w:szCs w:val="21"/>
                <w:highlight w:val="none"/>
              </w:rPr>
            </w:pPr>
          </w:p>
        </w:tc>
        <w:tc>
          <w:tcPr>
            <w:tcW w:w="882" w:type="dxa"/>
          </w:tcPr>
          <w:p>
            <w:pPr>
              <w:adjustRightInd w:val="0"/>
              <w:snapToGrid w:val="0"/>
              <w:spacing w:line="288" w:lineRule="auto"/>
              <w:jc w:val="center"/>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kern w:val="0"/>
                <w:sz w:val="21"/>
                <w:szCs w:val="21"/>
                <w:highlight w:val="none"/>
              </w:rPr>
            </w:pPr>
          </w:p>
        </w:tc>
        <w:tc>
          <w:tcPr>
            <w:tcW w:w="2091" w:type="dxa"/>
            <w:vAlign w:val="center"/>
          </w:tcPr>
          <w:p>
            <w:pPr>
              <w:adjustRightInd w:val="0"/>
              <w:snapToGrid w:val="0"/>
              <w:spacing w:line="288" w:lineRule="auto"/>
              <w:jc w:val="center"/>
              <w:rPr>
                <w:rFonts w:cs="Times New Roman"/>
                <w:color w:val="auto"/>
                <w:kern w:val="0"/>
                <w:sz w:val="21"/>
                <w:szCs w:val="21"/>
                <w:highlight w:val="none"/>
              </w:rPr>
            </w:pPr>
          </w:p>
        </w:tc>
        <w:tc>
          <w:tcPr>
            <w:tcW w:w="709" w:type="dxa"/>
            <w:vAlign w:val="center"/>
          </w:tcPr>
          <w:p>
            <w:pPr>
              <w:adjustRightInd w:val="0"/>
              <w:snapToGrid w:val="0"/>
              <w:spacing w:line="288" w:lineRule="auto"/>
              <w:jc w:val="center"/>
              <w:rPr>
                <w:rFonts w:cs="Times New Roman"/>
                <w:color w:val="auto"/>
                <w:kern w:val="0"/>
                <w:sz w:val="21"/>
                <w:szCs w:val="21"/>
                <w:highlight w:val="none"/>
              </w:rPr>
            </w:pPr>
          </w:p>
        </w:tc>
        <w:tc>
          <w:tcPr>
            <w:tcW w:w="3040" w:type="dxa"/>
            <w:vAlign w:val="center"/>
          </w:tcPr>
          <w:p>
            <w:pPr>
              <w:adjustRightInd w:val="0"/>
              <w:snapToGrid w:val="0"/>
              <w:spacing w:line="288" w:lineRule="auto"/>
              <w:rPr>
                <w:rFonts w:cs="Times New Roman"/>
                <w:color w:val="auto"/>
                <w:kern w:val="0"/>
                <w:sz w:val="21"/>
                <w:szCs w:val="21"/>
                <w:highlight w:val="none"/>
              </w:rPr>
            </w:pPr>
          </w:p>
        </w:tc>
        <w:tc>
          <w:tcPr>
            <w:tcW w:w="967" w:type="dxa"/>
            <w:vAlign w:val="center"/>
          </w:tcPr>
          <w:p>
            <w:pPr>
              <w:adjustRightInd w:val="0"/>
              <w:snapToGrid w:val="0"/>
              <w:spacing w:line="288" w:lineRule="auto"/>
              <w:jc w:val="center"/>
              <w:rPr>
                <w:rFonts w:cs="Times New Roman"/>
                <w:color w:val="auto"/>
                <w:sz w:val="21"/>
                <w:szCs w:val="21"/>
                <w:highlight w:val="none"/>
              </w:rPr>
            </w:pPr>
          </w:p>
        </w:tc>
        <w:tc>
          <w:tcPr>
            <w:tcW w:w="1053" w:type="dxa"/>
            <w:vAlign w:val="center"/>
          </w:tcPr>
          <w:p>
            <w:pPr>
              <w:adjustRightInd w:val="0"/>
              <w:snapToGrid w:val="0"/>
              <w:spacing w:line="288" w:lineRule="auto"/>
              <w:jc w:val="center"/>
              <w:rPr>
                <w:rFonts w:cs="Times New Roman"/>
                <w:color w:val="auto"/>
                <w:sz w:val="21"/>
                <w:szCs w:val="21"/>
                <w:highlight w:val="none"/>
              </w:rPr>
            </w:pPr>
          </w:p>
        </w:tc>
        <w:tc>
          <w:tcPr>
            <w:tcW w:w="882" w:type="dxa"/>
          </w:tcPr>
          <w:p>
            <w:pPr>
              <w:adjustRightInd w:val="0"/>
              <w:snapToGrid w:val="0"/>
              <w:spacing w:line="288" w:lineRule="auto"/>
              <w:jc w:val="cente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highlight w:val="none"/>
              </w:rPr>
            </w:pPr>
          </w:p>
        </w:tc>
        <w:tc>
          <w:tcPr>
            <w:tcW w:w="2091" w:type="dxa"/>
            <w:vAlign w:val="center"/>
          </w:tcPr>
          <w:p>
            <w:pPr>
              <w:adjustRightInd w:val="0"/>
              <w:snapToGrid w:val="0"/>
              <w:spacing w:line="288" w:lineRule="auto"/>
              <w:jc w:val="center"/>
              <w:rPr>
                <w:rFonts w:cs="Times New Roman"/>
                <w:color w:val="auto"/>
                <w:spacing w:val="-6"/>
                <w:sz w:val="21"/>
                <w:szCs w:val="21"/>
                <w:highlight w:val="none"/>
              </w:rPr>
            </w:pPr>
          </w:p>
        </w:tc>
        <w:tc>
          <w:tcPr>
            <w:tcW w:w="709" w:type="dxa"/>
            <w:vAlign w:val="center"/>
          </w:tcPr>
          <w:p>
            <w:pPr>
              <w:adjustRightInd w:val="0"/>
              <w:snapToGrid w:val="0"/>
              <w:spacing w:line="288" w:lineRule="auto"/>
              <w:jc w:val="center"/>
              <w:rPr>
                <w:rFonts w:cs="Times New Roman"/>
                <w:color w:val="auto"/>
                <w:spacing w:val="-6"/>
                <w:sz w:val="21"/>
                <w:szCs w:val="21"/>
                <w:highlight w:val="none"/>
              </w:rPr>
            </w:pPr>
          </w:p>
        </w:tc>
        <w:tc>
          <w:tcPr>
            <w:tcW w:w="3040" w:type="dxa"/>
            <w:vAlign w:val="center"/>
          </w:tcPr>
          <w:p>
            <w:pPr>
              <w:adjustRightInd w:val="0"/>
              <w:snapToGrid w:val="0"/>
              <w:spacing w:line="288" w:lineRule="auto"/>
              <w:rPr>
                <w:rFonts w:cs="Times New Roman"/>
                <w:color w:val="auto"/>
                <w:spacing w:val="-6"/>
                <w:sz w:val="21"/>
                <w:szCs w:val="21"/>
                <w:highlight w:val="none"/>
              </w:rPr>
            </w:pPr>
          </w:p>
        </w:tc>
        <w:tc>
          <w:tcPr>
            <w:tcW w:w="967" w:type="dxa"/>
            <w:vAlign w:val="center"/>
          </w:tcPr>
          <w:p>
            <w:pPr>
              <w:adjustRightInd w:val="0"/>
              <w:snapToGrid w:val="0"/>
              <w:spacing w:line="288" w:lineRule="auto"/>
              <w:jc w:val="center"/>
              <w:rPr>
                <w:rFonts w:cs="Times New Roman"/>
                <w:color w:val="auto"/>
                <w:spacing w:val="-6"/>
                <w:sz w:val="21"/>
                <w:szCs w:val="21"/>
                <w:highlight w:val="none"/>
              </w:rPr>
            </w:pPr>
          </w:p>
        </w:tc>
        <w:tc>
          <w:tcPr>
            <w:tcW w:w="1053" w:type="dxa"/>
            <w:vAlign w:val="center"/>
          </w:tcPr>
          <w:p>
            <w:pPr>
              <w:adjustRightInd w:val="0"/>
              <w:snapToGrid w:val="0"/>
              <w:spacing w:line="288" w:lineRule="auto"/>
              <w:jc w:val="center"/>
              <w:rPr>
                <w:rFonts w:cs="Times New Roman"/>
                <w:color w:val="auto"/>
                <w:spacing w:val="-6"/>
                <w:sz w:val="21"/>
                <w:szCs w:val="21"/>
                <w:highlight w:val="none"/>
              </w:rPr>
            </w:pPr>
          </w:p>
        </w:tc>
        <w:tc>
          <w:tcPr>
            <w:tcW w:w="882" w:type="dxa"/>
          </w:tcPr>
          <w:p>
            <w:pPr>
              <w:adjustRightInd w:val="0"/>
              <w:snapToGrid w:val="0"/>
              <w:spacing w:line="288" w:lineRule="auto"/>
              <w:jc w:val="center"/>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highlight w:val="none"/>
              </w:rPr>
            </w:pPr>
          </w:p>
        </w:tc>
        <w:tc>
          <w:tcPr>
            <w:tcW w:w="2091" w:type="dxa"/>
            <w:vAlign w:val="center"/>
          </w:tcPr>
          <w:p>
            <w:pPr>
              <w:adjustRightInd w:val="0"/>
              <w:snapToGrid w:val="0"/>
              <w:spacing w:line="288" w:lineRule="auto"/>
              <w:jc w:val="center"/>
              <w:rPr>
                <w:rFonts w:cs="Times New Roman"/>
                <w:color w:val="auto"/>
                <w:spacing w:val="-6"/>
                <w:sz w:val="21"/>
                <w:szCs w:val="21"/>
                <w:highlight w:val="none"/>
              </w:rPr>
            </w:pPr>
          </w:p>
        </w:tc>
        <w:tc>
          <w:tcPr>
            <w:tcW w:w="709" w:type="dxa"/>
            <w:vAlign w:val="center"/>
          </w:tcPr>
          <w:p>
            <w:pPr>
              <w:adjustRightInd w:val="0"/>
              <w:snapToGrid w:val="0"/>
              <w:spacing w:line="288" w:lineRule="auto"/>
              <w:jc w:val="center"/>
              <w:rPr>
                <w:rFonts w:cs="Times New Roman"/>
                <w:color w:val="auto"/>
                <w:spacing w:val="-6"/>
                <w:sz w:val="21"/>
                <w:szCs w:val="21"/>
                <w:highlight w:val="none"/>
              </w:rPr>
            </w:pPr>
          </w:p>
        </w:tc>
        <w:tc>
          <w:tcPr>
            <w:tcW w:w="3040" w:type="dxa"/>
            <w:vAlign w:val="center"/>
          </w:tcPr>
          <w:p>
            <w:pPr>
              <w:adjustRightInd w:val="0"/>
              <w:snapToGrid w:val="0"/>
              <w:spacing w:line="288" w:lineRule="auto"/>
              <w:rPr>
                <w:rFonts w:cs="Times New Roman"/>
                <w:color w:val="auto"/>
                <w:spacing w:val="-6"/>
                <w:sz w:val="21"/>
                <w:szCs w:val="21"/>
                <w:highlight w:val="none"/>
              </w:rPr>
            </w:pPr>
          </w:p>
        </w:tc>
        <w:tc>
          <w:tcPr>
            <w:tcW w:w="967" w:type="dxa"/>
            <w:vAlign w:val="center"/>
          </w:tcPr>
          <w:p>
            <w:pPr>
              <w:adjustRightInd w:val="0"/>
              <w:snapToGrid w:val="0"/>
              <w:spacing w:line="288" w:lineRule="auto"/>
              <w:jc w:val="center"/>
              <w:rPr>
                <w:rFonts w:cs="Times New Roman"/>
                <w:color w:val="auto"/>
                <w:spacing w:val="-6"/>
                <w:sz w:val="21"/>
                <w:szCs w:val="21"/>
                <w:highlight w:val="none"/>
              </w:rPr>
            </w:pPr>
          </w:p>
        </w:tc>
        <w:tc>
          <w:tcPr>
            <w:tcW w:w="1053" w:type="dxa"/>
            <w:vAlign w:val="center"/>
          </w:tcPr>
          <w:p>
            <w:pPr>
              <w:adjustRightInd w:val="0"/>
              <w:snapToGrid w:val="0"/>
              <w:spacing w:line="288" w:lineRule="auto"/>
              <w:jc w:val="center"/>
              <w:rPr>
                <w:rFonts w:cs="Times New Roman"/>
                <w:color w:val="auto"/>
                <w:spacing w:val="-6"/>
                <w:sz w:val="21"/>
                <w:szCs w:val="21"/>
                <w:highlight w:val="none"/>
              </w:rPr>
            </w:pPr>
          </w:p>
        </w:tc>
        <w:tc>
          <w:tcPr>
            <w:tcW w:w="882" w:type="dxa"/>
          </w:tcPr>
          <w:p>
            <w:pPr>
              <w:adjustRightInd w:val="0"/>
              <w:snapToGrid w:val="0"/>
              <w:spacing w:line="288" w:lineRule="auto"/>
              <w:jc w:val="center"/>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highlight w:val="none"/>
              </w:rPr>
            </w:pPr>
          </w:p>
        </w:tc>
        <w:tc>
          <w:tcPr>
            <w:tcW w:w="2091" w:type="dxa"/>
            <w:vAlign w:val="center"/>
          </w:tcPr>
          <w:p>
            <w:pPr>
              <w:adjustRightInd w:val="0"/>
              <w:snapToGrid w:val="0"/>
              <w:spacing w:line="288" w:lineRule="auto"/>
              <w:jc w:val="center"/>
              <w:rPr>
                <w:rFonts w:cs="Times New Roman"/>
                <w:color w:val="auto"/>
                <w:spacing w:val="-6"/>
                <w:sz w:val="21"/>
                <w:szCs w:val="21"/>
                <w:highlight w:val="none"/>
              </w:rPr>
            </w:pPr>
          </w:p>
        </w:tc>
        <w:tc>
          <w:tcPr>
            <w:tcW w:w="709" w:type="dxa"/>
            <w:vAlign w:val="center"/>
          </w:tcPr>
          <w:p>
            <w:pPr>
              <w:adjustRightInd w:val="0"/>
              <w:snapToGrid w:val="0"/>
              <w:spacing w:line="288" w:lineRule="auto"/>
              <w:jc w:val="center"/>
              <w:rPr>
                <w:rFonts w:cs="Times New Roman"/>
                <w:color w:val="auto"/>
                <w:spacing w:val="-6"/>
                <w:sz w:val="21"/>
                <w:szCs w:val="21"/>
                <w:highlight w:val="none"/>
              </w:rPr>
            </w:pPr>
          </w:p>
        </w:tc>
        <w:tc>
          <w:tcPr>
            <w:tcW w:w="3040" w:type="dxa"/>
            <w:vAlign w:val="center"/>
          </w:tcPr>
          <w:p>
            <w:pPr>
              <w:adjustRightInd w:val="0"/>
              <w:snapToGrid w:val="0"/>
              <w:spacing w:line="288" w:lineRule="auto"/>
              <w:rPr>
                <w:rFonts w:cs="Times New Roman"/>
                <w:color w:val="auto"/>
                <w:spacing w:val="-6"/>
                <w:sz w:val="21"/>
                <w:szCs w:val="21"/>
                <w:highlight w:val="none"/>
              </w:rPr>
            </w:pPr>
          </w:p>
        </w:tc>
        <w:tc>
          <w:tcPr>
            <w:tcW w:w="967" w:type="dxa"/>
            <w:vAlign w:val="center"/>
          </w:tcPr>
          <w:p>
            <w:pPr>
              <w:adjustRightInd w:val="0"/>
              <w:snapToGrid w:val="0"/>
              <w:spacing w:line="288" w:lineRule="auto"/>
              <w:jc w:val="center"/>
              <w:rPr>
                <w:rFonts w:cs="Times New Roman"/>
                <w:color w:val="auto"/>
                <w:spacing w:val="-6"/>
                <w:sz w:val="21"/>
                <w:szCs w:val="21"/>
                <w:highlight w:val="none"/>
              </w:rPr>
            </w:pPr>
          </w:p>
        </w:tc>
        <w:tc>
          <w:tcPr>
            <w:tcW w:w="1053" w:type="dxa"/>
            <w:vAlign w:val="center"/>
          </w:tcPr>
          <w:p>
            <w:pPr>
              <w:adjustRightInd w:val="0"/>
              <w:snapToGrid w:val="0"/>
              <w:spacing w:line="288" w:lineRule="auto"/>
              <w:jc w:val="center"/>
              <w:rPr>
                <w:rFonts w:cs="Times New Roman"/>
                <w:color w:val="auto"/>
                <w:spacing w:val="-6"/>
                <w:sz w:val="21"/>
                <w:szCs w:val="21"/>
                <w:highlight w:val="none"/>
              </w:rPr>
            </w:pPr>
          </w:p>
        </w:tc>
        <w:tc>
          <w:tcPr>
            <w:tcW w:w="882" w:type="dxa"/>
          </w:tcPr>
          <w:p>
            <w:pPr>
              <w:adjustRightInd w:val="0"/>
              <w:snapToGrid w:val="0"/>
              <w:spacing w:line="288" w:lineRule="auto"/>
              <w:jc w:val="center"/>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技术</w:t>
            </w:r>
            <w:r>
              <w:rPr>
                <w:rFonts w:cs="Times New Roman"/>
                <w:b/>
                <w:color w:val="auto"/>
                <w:spacing w:val="-6"/>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highlight w:val="none"/>
              </w:rPr>
            </w:pPr>
          </w:p>
        </w:tc>
        <w:tc>
          <w:tcPr>
            <w:tcW w:w="2091" w:type="dxa"/>
            <w:vAlign w:val="center"/>
          </w:tcPr>
          <w:p>
            <w:pPr>
              <w:adjustRightInd w:val="0"/>
              <w:snapToGrid w:val="0"/>
              <w:spacing w:line="288" w:lineRule="auto"/>
              <w:jc w:val="center"/>
              <w:rPr>
                <w:rFonts w:cs="Times New Roman"/>
                <w:color w:val="auto"/>
                <w:spacing w:val="-6"/>
                <w:sz w:val="21"/>
                <w:szCs w:val="21"/>
                <w:highlight w:val="none"/>
              </w:rPr>
            </w:pPr>
          </w:p>
        </w:tc>
        <w:tc>
          <w:tcPr>
            <w:tcW w:w="709" w:type="dxa"/>
            <w:vAlign w:val="center"/>
          </w:tcPr>
          <w:p>
            <w:pPr>
              <w:adjustRightInd w:val="0"/>
              <w:snapToGrid w:val="0"/>
              <w:spacing w:line="288" w:lineRule="auto"/>
              <w:jc w:val="center"/>
              <w:rPr>
                <w:rFonts w:cs="Times New Roman"/>
                <w:color w:val="auto"/>
                <w:spacing w:val="-6"/>
                <w:sz w:val="21"/>
                <w:szCs w:val="21"/>
                <w:highlight w:val="none"/>
              </w:rPr>
            </w:pPr>
          </w:p>
        </w:tc>
        <w:tc>
          <w:tcPr>
            <w:tcW w:w="3040" w:type="dxa"/>
            <w:vAlign w:val="center"/>
          </w:tcPr>
          <w:p>
            <w:pPr>
              <w:adjustRightInd w:val="0"/>
              <w:snapToGrid w:val="0"/>
              <w:spacing w:line="288" w:lineRule="auto"/>
              <w:rPr>
                <w:rFonts w:cs="Times New Roman"/>
                <w:color w:val="auto"/>
                <w:spacing w:val="-6"/>
                <w:sz w:val="21"/>
                <w:szCs w:val="21"/>
                <w:highlight w:val="none"/>
              </w:rPr>
            </w:pPr>
          </w:p>
        </w:tc>
        <w:tc>
          <w:tcPr>
            <w:tcW w:w="967" w:type="dxa"/>
            <w:vAlign w:val="center"/>
          </w:tcPr>
          <w:p>
            <w:pPr>
              <w:adjustRightInd w:val="0"/>
              <w:snapToGrid w:val="0"/>
              <w:spacing w:line="288" w:lineRule="auto"/>
              <w:jc w:val="center"/>
              <w:rPr>
                <w:rFonts w:cs="Times New Roman"/>
                <w:color w:val="auto"/>
                <w:spacing w:val="-6"/>
                <w:sz w:val="21"/>
                <w:szCs w:val="21"/>
                <w:highlight w:val="none"/>
              </w:rPr>
            </w:pPr>
          </w:p>
        </w:tc>
        <w:tc>
          <w:tcPr>
            <w:tcW w:w="1053" w:type="dxa"/>
            <w:vAlign w:val="center"/>
          </w:tcPr>
          <w:p>
            <w:pPr>
              <w:adjustRightInd w:val="0"/>
              <w:snapToGrid w:val="0"/>
              <w:spacing w:line="288" w:lineRule="auto"/>
              <w:jc w:val="center"/>
              <w:rPr>
                <w:rFonts w:cs="Times New Roman"/>
                <w:color w:val="auto"/>
                <w:spacing w:val="-6"/>
                <w:sz w:val="21"/>
                <w:szCs w:val="21"/>
                <w:highlight w:val="none"/>
              </w:rPr>
            </w:pPr>
          </w:p>
        </w:tc>
        <w:tc>
          <w:tcPr>
            <w:tcW w:w="882" w:type="dxa"/>
          </w:tcPr>
          <w:p>
            <w:pPr>
              <w:adjustRightInd w:val="0"/>
              <w:snapToGrid w:val="0"/>
              <w:spacing w:line="288" w:lineRule="auto"/>
              <w:jc w:val="center"/>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highlight w:val="none"/>
              </w:rPr>
            </w:pPr>
          </w:p>
        </w:tc>
        <w:tc>
          <w:tcPr>
            <w:tcW w:w="2091" w:type="dxa"/>
            <w:vAlign w:val="center"/>
          </w:tcPr>
          <w:p>
            <w:pPr>
              <w:adjustRightInd w:val="0"/>
              <w:snapToGrid w:val="0"/>
              <w:spacing w:line="288" w:lineRule="auto"/>
              <w:jc w:val="center"/>
              <w:rPr>
                <w:rFonts w:cs="Times New Roman"/>
                <w:color w:val="auto"/>
                <w:spacing w:val="-6"/>
                <w:sz w:val="21"/>
                <w:szCs w:val="21"/>
                <w:highlight w:val="none"/>
              </w:rPr>
            </w:pPr>
          </w:p>
        </w:tc>
        <w:tc>
          <w:tcPr>
            <w:tcW w:w="709" w:type="dxa"/>
            <w:vAlign w:val="center"/>
          </w:tcPr>
          <w:p>
            <w:pPr>
              <w:adjustRightInd w:val="0"/>
              <w:snapToGrid w:val="0"/>
              <w:spacing w:line="288" w:lineRule="auto"/>
              <w:jc w:val="center"/>
              <w:rPr>
                <w:rFonts w:cs="Times New Roman"/>
                <w:color w:val="auto"/>
                <w:spacing w:val="-6"/>
                <w:sz w:val="21"/>
                <w:szCs w:val="21"/>
                <w:highlight w:val="none"/>
              </w:rPr>
            </w:pPr>
          </w:p>
        </w:tc>
        <w:tc>
          <w:tcPr>
            <w:tcW w:w="3040" w:type="dxa"/>
            <w:vAlign w:val="center"/>
          </w:tcPr>
          <w:p>
            <w:pPr>
              <w:adjustRightInd w:val="0"/>
              <w:snapToGrid w:val="0"/>
              <w:spacing w:line="288" w:lineRule="auto"/>
              <w:rPr>
                <w:rFonts w:cs="Times New Roman"/>
                <w:color w:val="auto"/>
                <w:spacing w:val="-6"/>
                <w:sz w:val="21"/>
                <w:szCs w:val="21"/>
                <w:highlight w:val="none"/>
              </w:rPr>
            </w:pPr>
          </w:p>
        </w:tc>
        <w:tc>
          <w:tcPr>
            <w:tcW w:w="967" w:type="dxa"/>
            <w:vAlign w:val="center"/>
          </w:tcPr>
          <w:p>
            <w:pPr>
              <w:adjustRightInd w:val="0"/>
              <w:snapToGrid w:val="0"/>
              <w:spacing w:line="288" w:lineRule="auto"/>
              <w:jc w:val="center"/>
              <w:rPr>
                <w:rFonts w:cs="Times New Roman"/>
                <w:color w:val="auto"/>
                <w:spacing w:val="-6"/>
                <w:sz w:val="21"/>
                <w:szCs w:val="21"/>
                <w:highlight w:val="none"/>
              </w:rPr>
            </w:pPr>
          </w:p>
        </w:tc>
        <w:tc>
          <w:tcPr>
            <w:tcW w:w="1053" w:type="dxa"/>
            <w:vAlign w:val="center"/>
          </w:tcPr>
          <w:p>
            <w:pPr>
              <w:adjustRightInd w:val="0"/>
              <w:snapToGrid w:val="0"/>
              <w:spacing w:line="288" w:lineRule="auto"/>
              <w:jc w:val="center"/>
              <w:rPr>
                <w:rFonts w:cs="Times New Roman"/>
                <w:color w:val="auto"/>
                <w:spacing w:val="-6"/>
                <w:sz w:val="21"/>
                <w:szCs w:val="21"/>
                <w:highlight w:val="none"/>
              </w:rPr>
            </w:pPr>
          </w:p>
        </w:tc>
        <w:tc>
          <w:tcPr>
            <w:tcW w:w="882" w:type="dxa"/>
          </w:tcPr>
          <w:p>
            <w:pPr>
              <w:adjustRightInd w:val="0"/>
              <w:snapToGrid w:val="0"/>
              <w:spacing w:line="288" w:lineRule="auto"/>
              <w:jc w:val="center"/>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highlight w:val="none"/>
              </w:rPr>
            </w:pPr>
          </w:p>
        </w:tc>
        <w:tc>
          <w:tcPr>
            <w:tcW w:w="2091" w:type="dxa"/>
            <w:vAlign w:val="center"/>
          </w:tcPr>
          <w:p>
            <w:pPr>
              <w:adjustRightInd w:val="0"/>
              <w:snapToGrid w:val="0"/>
              <w:spacing w:line="288" w:lineRule="auto"/>
              <w:jc w:val="center"/>
              <w:rPr>
                <w:rFonts w:cs="Times New Roman"/>
                <w:color w:val="auto"/>
                <w:spacing w:val="-6"/>
                <w:sz w:val="21"/>
                <w:szCs w:val="21"/>
                <w:highlight w:val="none"/>
              </w:rPr>
            </w:pPr>
          </w:p>
        </w:tc>
        <w:tc>
          <w:tcPr>
            <w:tcW w:w="709" w:type="dxa"/>
            <w:vAlign w:val="center"/>
          </w:tcPr>
          <w:p>
            <w:pPr>
              <w:adjustRightInd w:val="0"/>
              <w:snapToGrid w:val="0"/>
              <w:spacing w:line="288" w:lineRule="auto"/>
              <w:jc w:val="center"/>
              <w:rPr>
                <w:rFonts w:cs="Times New Roman"/>
                <w:color w:val="auto"/>
                <w:spacing w:val="-6"/>
                <w:sz w:val="21"/>
                <w:szCs w:val="21"/>
                <w:highlight w:val="none"/>
              </w:rPr>
            </w:pPr>
          </w:p>
        </w:tc>
        <w:tc>
          <w:tcPr>
            <w:tcW w:w="3040" w:type="dxa"/>
            <w:vAlign w:val="center"/>
          </w:tcPr>
          <w:p>
            <w:pPr>
              <w:adjustRightInd w:val="0"/>
              <w:snapToGrid w:val="0"/>
              <w:spacing w:line="288" w:lineRule="auto"/>
              <w:rPr>
                <w:rFonts w:cs="Times New Roman"/>
                <w:color w:val="auto"/>
                <w:spacing w:val="-6"/>
                <w:sz w:val="21"/>
                <w:szCs w:val="21"/>
                <w:highlight w:val="none"/>
              </w:rPr>
            </w:pPr>
          </w:p>
        </w:tc>
        <w:tc>
          <w:tcPr>
            <w:tcW w:w="967" w:type="dxa"/>
            <w:vAlign w:val="center"/>
          </w:tcPr>
          <w:p>
            <w:pPr>
              <w:adjustRightInd w:val="0"/>
              <w:snapToGrid w:val="0"/>
              <w:spacing w:line="288" w:lineRule="auto"/>
              <w:jc w:val="center"/>
              <w:rPr>
                <w:rFonts w:cs="Times New Roman"/>
                <w:color w:val="auto"/>
                <w:spacing w:val="-6"/>
                <w:sz w:val="21"/>
                <w:szCs w:val="21"/>
                <w:highlight w:val="none"/>
              </w:rPr>
            </w:pPr>
          </w:p>
        </w:tc>
        <w:tc>
          <w:tcPr>
            <w:tcW w:w="1053" w:type="dxa"/>
            <w:vAlign w:val="center"/>
          </w:tcPr>
          <w:p>
            <w:pPr>
              <w:adjustRightInd w:val="0"/>
              <w:snapToGrid w:val="0"/>
              <w:spacing w:line="288" w:lineRule="auto"/>
              <w:jc w:val="center"/>
              <w:rPr>
                <w:rFonts w:cs="Times New Roman"/>
                <w:color w:val="auto"/>
                <w:spacing w:val="-6"/>
                <w:sz w:val="21"/>
                <w:szCs w:val="21"/>
                <w:highlight w:val="none"/>
              </w:rPr>
            </w:pPr>
          </w:p>
        </w:tc>
        <w:tc>
          <w:tcPr>
            <w:tcW w:w="882" w:type="dxa"/>
          </w:tcPr>
          <w:p>
            <w:pPr>
              <w:adjustRightInd w:val="0"/>
              <w:snapToGrid w:val="0"/>
              <w:spacing w:line="288" w:lineRule="auto"/>
              <w:jc w:val="center"/>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highlight w:val="none"/>
              </w:rPr>
            </w:pPr>
          </w:p>
        </w:tc>
        <w:tc>
          <w:tcPr>
            <w:tcW w:w="2091" w:type="dxa"/>
            <w:vAlign w:val="center"/>
          </w:tcPr>
          <w:p>
            <w:pPr>
              <w:adjustRightInd w:val="0"/>
              <w:snapToGrid w:val="0"/>
              <w:spacing w:line="288" w:lineRule="auto"/>
              <w:jc w:val="center"/>
              <w:rPr>
                <w:rFonts w:cs="Times New Roman"/>
                <w:color w:val="auto"/>
                <w:spacing w:val="-6"/>
                <w:sz w:val="21"/>
                <w:szCs w:val="21"/>
                <w:highlight w:val="none"/>
              </w:rPr>
            </w:pPr>
          </w:p>
        </w:tc>
        <w:tc>
          <w:tcPr>
            <w:tcW w:w="709" w:type="dxa"/>
            <w:vAlign w:val="center"/>
          </w:tcPr>
          <w:p>
            <w:pPr>
              <w:adjustRightInd w:val="0"/>
              <w:snapToGrid w:val="0"/>
              <w:spacing w:line="288" w:lineRule="auto"/>
              <w:jc w:val="center"/>
              <w:rPr>
                <w:rFonts w:cs="Times New Roman"/>
                <w:color w:val="auto"/>
                <w:spacing w:val="-6"/>
                <w:sz w:val="21"/>
                <w:szCs w:val="21"/>
                <w:highlight w:val="none"/>
              </w:rPr>
            </w:pPr>
          </w:p>
        </w:tc>
        <w:tc>
          <w:tcPr>
            <w:tcW w:w="3040" w:type="dxa"/>
            <w:vAlign w:val="center"/>
          </w:tcPr>
          <w:p>
            <w:pPr>
              <w:adjustRightInd w:val="0"/>
              <w:snapToGrid w:val="0"/>
              <w:spacing w:line="288" w:lineRule="auto"/>
              <w:rPr>
                <w:rFonts w:cs="Times New Roman"/>
                <w:color w:val="auto"/>
                <w:spacing w:val="-6"/>
                <w:sz w:val="21"/>
                <w:szCs w:val="21"/>
                <w:highlight w:val="none"/>
              </w:rPr>
            </w:pPr>
          </w:p>
        </w:tc>
        <w:tc>
          <w:tcPr>
            <w:tcW w:w="967" w:type="dxa"/>
            <w:vAlign w:val="center"/>
          </w:tcPr>
          <w:p>
            <w:pPr>
              <w:adjustRightInd w:val="0"/>
              <w:snapToGrid w:val="0"/>
              <w:spacing w:line="288" w:lineRule="auto"/>
              <w:jc w:val="center"/>
              <w:rPr>
                <w:rFonts w:cs="Times New Roman"/>
                <w:color w:val="auto"/>
                <w:spacing w:val="-6"/>
                <w:sz w:val="21"/>
                <w:szCs w:val="21"/>
                <w:highlight w:val="none"/>
              </w:rPr>
            </w:pPr>
          </w:p>
        </w:tc>
        <w:tc>
          <w:tcPr>
            <w:tcW w:w="1053" w:type="dxa"/>
            <w:vAlign w:val="center"/>
          </w:tcPr>
          <w:p>
            <w:pPr>
              <w:adjustRightInd w:val="0"/>
              <w:snapToGrid w:val="0"/>
              <w:spacing w:line="288" w:lineRule="auto"/>
              <w:jc w:val="center"/>
              <w:rPr>
                <w:rFonts w:cs="Times New Roman"/>
                <w:color w:val="auto"/>
                <w:spacing w:val="-6"/>
                <w:sz w:val="21"/>
                <w:szCs w:val="21"/>
                <w:highlight w:val="none"/>
              </w:rPr>
            </w:pPr>
          </w:p>
        </w:tc>
        <w:tc>
          <w:tcPr>
            <w:tcW w:w="882" w:type="dxa"/>
          </w:tcPr>
          <w:p>
            <w:pPr>
              <w:adjustRightInd w:val="0"/>
              <w:snapToGrid w:val="0"/>
              <w:spacing w:line="288" w:lineRule="auto"/>
              <w:jc w:val="center"/>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adjustRightInd w:val="0"/>
              <w:snapToGrid w:val="0"/>
              <w:spacing w:line="288" w:lineRule="auto"/>
              <w:jc w:val="center"/>
              <w:rPr>
                <w:rFonts w:cs="Times New Roman"/>
                <w:color w:val="auto"/>
                <w:spacing w:val="-6"/>
                <w:sz w:val="21"/>
                <w:szCs w:val="21"/>
                <w:highlight w:val="none"/>
              </w:rPr>
            </w:pPr>
          </w:p>
        </w:tc>
        <w:tc>
          <w:tcPr>
            <w:tcW w:w="2091" w:type="dxa"/>
            <w:vAlign w:val="center"/>
          </w:tcPr>
          <w:p>
            <w:pPr>
              <w:adjustRightInd w:val="0"/>
              <w:snapToGrid w:val="0"/>
              <w:spacing w:line="288" w:lineRule="auto"/>
              <w:jc w:val="center"/>
              <w:rPr>
                <w:rFonts w:cs="Times New Roman"/>
                <w:color w:val="auto"/>
                <w:spacing w:val="-6"/>
                <w:sz w:val="21"/>
                <w:szCs w:val="21"/>
                <w:highlight w:val="none"/>
              </w:rPr>
            </w:pPr>
          </w:p>
        </w:tc>
        <w:tc>
          <w:tcPr>
            <w:tcW w:w="709" w:type="dxa"/>
            <w:vAlign w:val="center"/>
          </w:tcPr>
          <w:p>
            <w:pPr>
              <w:adjustRightInd w:val="0"/>
              <w:snapToGrid w:val="0"/>
              <w:spacing w:line="288" w:lineRule="auto"/>
              <w:jc w:val="center"/>
              <w:rPr>
                <w:rFonts w:cs="Times New Roman"/>
                <w:color w:val="auto"/>
                <w:spacing w:val="-6"/>
                <w:sz w:val="21"/>
                <w:szCs w:val="21"/>
                <w:highlight w:val="none"/>
              </w:rPr>
            </w:pPr>
          </w:p>
        </w:tc>
        <w:tc>
          <w:tcPr>
            <w:tcW w:w="3040" w:type="dxa"/>
            <w:vAlign w:val="center"/>
          </w:tcPr>
          <w:p>
            <w:pPr>
              <w:adjustRightInd w:val="0"/>
              <w:snapToGrid w:val="0"/>
              <w:spacing w:line="288" w:lineRule="auto"/>
              <w:rPr>
                <w:rFonts w:cs="Times New Roman"/>
                <w:color w:val="auto"/>
                <w:spacing w:val="-6"/>
                <w:sz w:val="21"/>
                <w:szCs w:val="21"/>
                <w:highlight w:val="none"/>
              </w:rPr>
            </w:pPr>
          </w:p>
        </w:tc>
        <w:tc>
          <w:tcPr>
            <w:tcW w:w="967" w:type="dxa"/>
            <w:vAlign w:val="center"/>
          </w:tcPr>
          <w:p>
            <w:pPr>
              <w:adjustRightInd w:val="0"/>
              <w:snapToGrid w:val="0"/>
              <w:spacing w:line="288" w:lineRule="auto"/>
              <w:jc w:val="center"/>
              <w:rPr>
                <w:rFonts w:cs="Times New Roman"/>
                <w:color w:val="auto"/>
                <w:spacing w:val="-6"/>
                <w:sz w:val="21"/>
                <w:szCs w:val="21"/>
                <w:highlight w:val="none"/>
              </w:rPr>
            </w:pPr>
          </w:p>
        </w:tc>
        <w:tc>
          <w:tcPr>
            <w:tcW w:w="1053" w:type="dxa"/>
            <w:vAlign w:val="center"/>
          </w:tcPr>
          <w:p>
            <w:pPr>
              <w:adjustRightInd w:val="0"/>
              <w:snapToGrid w:val="0"/>
              <w:spacing w:line="288" w:lineRule="auto"/>
              <w:jc w:val="center"/>
              <w:rPr>
                <w:rFonts w:cs="Times New Roman"/>
                <w:color w:val="auto"/>
                <w:spacing w:val="-6"/>
                <w:sz w:val="21"/>
                <w:szCs w:val="21"/>
                <w:highlight w:val="none"/>
              </w:rPr>
            </w:pPr>
          </w:p>
        </w:tc>
        <w:tc>
          <w:tcPr>
            <w:tcW w:w="882" w:type="dxa"/>
          </w:tcPr>
          <w:p>
            <w:pPr>
              <w:adjustRightInd w:val="0"/>
              <w:snapToGrid w:val="0"/>
              <w:spacing w:line="288" w:lineRule="auto"/>
              <w:jc w:val="center"/>
              <w:rPr>
                <w:rFonts w:cs="Times New Roman"/>
                <w:color w:val="auto"/>
                <w:spacing w:val="-6"/>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56"/>
    <w:p>
      <w:pPr>
        <w:widowControl/>
        <w:jc w:val="left"/>
        <w:rPr>
          <w:b/>
          <w:bCs/>
          <w:color w:val="auto"/>
          <w:sz w:val="21"/>
          <w:szCs w:val="21"/>
          <w:highlight w:val="none"/>
        </w:rPr>
      </w:pPr>
      <w:r>
        <w:rPr>
          <w:b/>
          <w:bCs/>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57" w:name="_Hlk94097338"/>
      <w:r>
        <w:rPr>
          <w:rFonts w:hint="eastAsia"/>
          <w:b/>
          <w:bCs/>
          <w:color w:val="auto"/>
          <w:sz w:val="21"/>
          <w:szCs w:val="21"/>
          <w:highlight w:val="none"/>
        </w:rPr>
        <w:t>资格审查要求的资格证明材料（均需加盖公章）</w:t>
      </w:r>
    </w:p>
    <w:bookmarkEnd w:id="57"/>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t>说明：</w:t>
      </w:r>
    </w:p>
    <w:p>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w:t>
      </w:r>
      <w:r>
        <w:rPr>
          <w:rFonts w:hint="eastAsia" w:cs="Times New Roman"/>
          <w:b/>
          <w:bCs/>
          <w:color w:val="auto"/>
          <w:sz w:val="21"/>
          <w:szCs w:val="21"/>
          <w:highlight w:val="none"/>
          <w:lang w:eastAsia="zh-CN"/>
        </w:rPr>
        <w:t>基本满足需求，但存在一定欠缺</w:t>
      </w:r>
      <w:r>
        <w:rPr>
          <w:rFonts w:hint="eastAsia" w:cs="Times New Roman"/>
          <w:b/>
          <w:bCs/>
          <w:color w:val="auto"/>
          <w:sz w:val="21"/>
          <w:szCs w:val="21"/>
          <w:highlight w:val="none"/>
        </w:rPr>
        <w:t>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bookmarkStart w:id="58"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58"/>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3）落实政府采购政策需满足的资格要求：无</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bookmarkStart w:id="59"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杭州电子科技大学磁光克尔显微镜</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QSZB-Z(H)-B23414(CS)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59"/>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highlight w:val="none"/>
              </w:rPr>
            </w:pPr>
            <w:bookmarkStart w:id="60" w:name="_Hlk97040154"/>
            <w:r>
              <w:rPr>
                <w:rFonts w:hint="eastAsia" w:cs="Times New Roman"/>
                <w:color w:val="auto"/>
                <w:spacing w:val="-6"/>
                <w:kern w:val="0"/>
                <w:sz w:val="21"/>
                <w:szCs w:val="21"/>
                <w:highlight w:val="none"/>
              </w:rPr>
              <w:t>联系人：</w:t>
            </w:r>
          </w:p>
        </w:tc>
        <w:tc>
          <w:tcPr>
            <w:tcW w:w="6808" w:type="dxa"/>
          </w:tcPr>
          <w:p>
            <w:pPr>
              <w:adjustRightInd w:val="0"/>
              <w:snapToGrid w:val="0"/>
              <w:spacing w:line="288" w:lineRule="auto"/>
              <w:rPr>
                <w:rFonts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pPr>
              <w:adjustRightInd w:val="0"/>
              <w:snapToGrid w:val="0"/>
              <w:spacing w:line="288" w:lineRule="auto"/>
              <w:rPr>
                <w:rFonts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pPr>
              <w:adjustRightInd w:val="0"/>
              <w:snapToGrid w:val="0"/>
              <w:spacing w:line="288" w:lineRule="auto"/>
              <w:rPr>
                <w:rFonts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pPr>
              <w:adjustRightInd w:val="0"/>
              <w:snapToGrid w:val="0"/>
              <w:spacing w:line="288" w:lineRule="auto"/>
              <w:rPr>
                <w:rFonts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pPr>
              <w:adjustRightInd w:val="0"/>
              <w:snapToGrid w:val="0"/>
              <w:spacing w:line="288" w:lineRule="auto"/>
              <w:rPr>
                <w:rFonts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pPr>
              <w:adjustRightInd w:val="0"/>
              <w:snapToGrid w:val="0"/>
              <w:spacing w:line="288" w:lineRule="auto"/>
              <w:rPr>
                <w:rFonts w:cs="Times New Roman"/>
                <w:color w:val="auto"/>
                <w:spacing w:val="-6"/>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pPr>
              <w:adjustRightInd w:val="0"/>
              <w:snapToGrid w:val="0"/>
              <w:spacing w:line="288" w:lineRule="auto"/>
              <w:rPr>
                <w:rFonts w:cs="Times New Roman"/>
                <w:color w:val="auto"/>
                <w:spacing w:val="-6"/>
                <w:kern w:val="0"/>
                <w:sz w:val="21"/>
                <w:szCs w:val="21"/>
                <w:highlight w:val="none"/>
              </w:rPr>
            </w:pPr>
          </w:p>
        </w:tc>
      </w:tr>
      <w:bookmarkEnd w:id="60"/>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61"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1"/>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杭州电子科技大学磁光克尔显微镜</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QSZB-Z(H)-B23414(CS)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2023年1月</w:t>
      </w:r>
      <w:r>
        <w:rPr>
          <w:rFonts w:hint="eastAsia" w:cs="Times New Roman"/>
          <w:color w:val="auto"/>
          <w:spacing w:val="-6"/>
          <w:sz w:val="21"/>
          <w:szCs w:val="21"/>
          <w:highlight w:val="none"/>
          <w:u w:val="single"/>
        </w:rPr>
        <w:t>（含）以后任意一月）。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正面：</w:t>
            </w:r>
          </w:p>
        </w:tc>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2023年1月</w:t>
      </w:r>
      <w:r>
        <w:rPr>
          <w:rFonts w:hint="eastAsia" w:cs="Times New Roman"/>
          <w:b/>
          <w:bCs/>
          <w:color w:val="auto"/>
          <w:sz w:val="21"/>
          <w:szCs w:val="21"/>
          <w:highlight w:val="none"/>
        </w:rPr>
        <w:t>（含）以后任意一月）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合同金额</w:t>
            </w:r>
          </w:p>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采购人联系人</w:t>
            </w:r>
          </w:p>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color w:val="auto"/>
                <w:kern w:val="0"/>
                <w:sz w:val="21"/>
                <w:szCs w:val="21"/>
                <w:highlight w:val="none"/>
              </w:rPr>
            </w:pPr>
          </w:p>
        </w:tc>
        <w:tc>
          <w:tcPr>
            <w:tcW w:w="1236" w:type="dxa"/>
            <w:vAlign w:val="center"/>
          </w:tcPr>
          <w:p>
            <w:pPr>
              <w:adjustRightInd w:val="0"/>
              <w:snapToGrid w:val="0"/>
              <w:spacing w:line="288" w:lineRule="auto"/>
              <w:jc w:val="center"/>
              <w:rPr>
                <w:color w:val="auto"/>
                <w:kern w:val="0"/>
                <w:sz w:val="21"/>
                <w:szCs w:val="21"/>
                <w:highlight w:val="none"/>
              </w:rPr>
            </w:pPr>
          </w:p>
        </w:tc>
        <w:tc>
          <w:tcPr>
            <w:tcW w:w="1250" w:type="dxa"/>
            <w:vAlign w:val="center"/>
          </w:tcPr>
          <w:p>
            <w:pPr>
              <w:adjustRightInd w:val="0"/>
              <w:snapToGrid w:val="0"/>
              <w:spacing w:line="288" w:lineRule="auto"/>
              <w:jc w:val="center"/>
              <w:rPr>
                <w:color w:val="auto"/>
                <w:kern w:val="0"/>
                <w:sz w:val="21"/>
                <w:szCs w:val="21"/>
                <w:highlight w:val="none"/>
              </w:rPr>
            </w:pPr>
          </w:p>
        </w:tc>
        <w:tc>
          <w:tcPr>
            <w:tcW w:w="1394" w:type="dxa"/>
            <w:vAlign w:val="center"/>
          </w:tcPr>
          <w:p>
            <w:pPr>
              <w:adjustRightInd w:val="0"/>
              <w:snapToGrid w:val="0"/>
              <w:spacing w:line="288" w:lineRule="auto"/>
              <w:jc w:val="center"/>
              <w:rPr>
                <w:color w:val="auto"/>
                <w:kern w:val="0"/>
                <w:sz w:val="21"/>
                <w:szCs w:val="21"/>
                <w:highlight w:val="none"/>
              </w:rPr>
            </w:pPr>
          </w:p>
        </w:tc>
        <w:tc>
          <w:tcPr>
            <w:tcW w:w="1233" w:type="dxa"/>
            <w:vAlign w:val="center"/>
          </w:tcPr>
          <w:p>
            <w:pPr>
              <w:adjustRightInd w:val="0"/>
              <w:snapToGrid w:val="0"/>
              <w:spacing w:line="288" w:lineRule="auto"/>
              <w:jc w:val="center"/>
              <w:rPr>
                <w:color w:val="auto"/>
                <w:kern w:val="0"/>
                <w:sz w:val="21"/>
                <w:szCs w:val="21"/>
                <w:highlight w:val="none"/>
              </w:rPr>
            </w:pPr>
          </w:p>
        </w:tc>
        <w:tc>
          <w:tcPr>
            <w:tcW w:w="881" w:type="dxa"/>
            <w:vAlign w:val="center"/>
          </w:tcPr>
          <w:p>
            <w:pPr>
              <w:adjustRightInd w:val="0"/>
              <w:snapToGrid w:val="0"/>
              <w:spacing w:line="288" w:lineRule="auto"/>
              <w:jc w:val="center"/>
              <w:rPr>
                <w:color w:val="auto"/>
                <w:kern w:val="0"/>
                <w:sz w:val="21"/>
                <w:szCs w:val="21"/>
                <w:highlight w:val="none"/>
              </w:rPr>
            </w:pPr>
          </w:p>
        </w:tc>
        <w:tc>
          <w:tcPr>
            <w:tcW w:w="974" w:type="dxa"/>
            <w:vAlign w:val="center"/>
          </w:tcPr>
          <w:p>
            <w:pPr>
              <w:adjustRightInd w:val="0"/>
              <w:snapToGrid w:val="0"/>
              <w:spacing w:line="288" w:lineRule="auto"/>
              <w:jc w:val="center"/>
              <w:rPr>
                <w:color w:val="auto"/>
                <w:kern w:val="0"/>
                <w:sz w:val="21"/>
                <w:szCs w:val="21"/>
                <w:highlight w:val="none"/>
              </w:rPr>
            </w:pPr>
          </w:p>
        </w:tc>
        <w:tc>
          <w:tcPr>
            <w:tcW w:w="1669" w:type="dxa"/>
            <w:vAlign w:val="center"/>
          </w:tcPr>
          <w:p>
            <w:pPr>
              <w:adjustRightInd w:val="0"/>
              <w:snapToGrid w:val="0"/>
              <w:spacing w:line="288" w:lineRule="auto"/>
              <w:jc w:val="center"/>
              <w:rPr>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color w:val="auto"/>
                <w:kern w:val="0"/>
                <w:sz w:val="21"/>
                <w:szCs w:val="21"/>
                <w:highlight w:val="none"/>
              </w:rPr>
            </w:pPr>
          </w:p>
        </w:tc>
        <w:tc>
          <w:tcPr>
            <w:tcW w:w="1236" w:type="dxa"/>
            <w:vAlign w:val="center"/>
          </w:tcPr>
          <w:p>
            <w:pPr>
              <w:adjustRightInd w:val="0"/>
              <w:snapToGrid w:val="0"/>
              <w:spacing w:line="288" w:lineRule="auto"/>
              <w:jc w:val="center"/>
              <w:rPr>
                <w:color w:val="auto"/>
                <w:kern w:val="0"/>
                <w:sz w:val="21"/>
                <w:szCs w:val="21"/>
                <w:highlight w:val="none"/>
              </w:rPr>
            </w:pPr>
          </w:p>
        </w:tc>
        <w:tc>
          <w:tcPr>
            <w:tcW w:w="1250" w:type="dxa"/>
            <w:vAlign w:val="center"/>
          </w:tcPr>
          <w:p>
            <w:pPr>
              <w:adjustRightInd w:val="0"/>
              <w:snapToGrid w:val="0"/>
              <w:spacing w:line="288" w:lineRule="auto"/>
              <w:jc w:val="center"/>
              <w:rPr>
                <w:color w:val="auto"/>
                <w:kern w:val="0"/>
                <w:sz w:val="21"/>
                <w:szCs w:val="21"/>
                <w:highlight w:val="none"/>
              </w:rPr>
            </w:pPr>
          </w:p>
        </w:tc>
        <w:tc>
          <w:tcPr>
            <w:tcW w:w="1394" w:type="dxa"/>
            <w:vAlign w:val="center"/>
          </w:tcPr>
          <w:p>
            <w:pPr>
              <w:adjustRightInd w:val="0"/>
              <w:snapToGrid w:val="0"/>
              <w:spacing w:line="288" w:lineRule="auto"/>
              <w:jc w:val="center"/>
              <w:rPr>
                <w:color w:val="auto"/>
                <w:kern w:val="0"/>
                <w:sz w:val="21"/>
                <w:szCs w:val="21"/>
                <w:highlight w:val="none"/>
              </w:rPr>
            </w:pPr>
          </w:p>
        </w:tc>
        <w:tc>
          <w:tcPr>
            <w:tcW w:w="1233" w:type="dxa"/>
            <w:vAlign w:val="center"/>
          </w:tcPr>
          <w:p>
            <w:pPr>
              <w:adjustRightInd w:val="0"/>
              <w:snapToGrid w:val="0"/>
              <w:spacing w:line="288" w:lineRule="auto"/>
              <w:jc w:val="center"/>
              <w:rPr>
                <w:color w:val="auto"/>
                <w:kern w:val="0"/>
                <w:sz w:val="21"/>
                <w:szCs w:val="21"/>
                <w:highlight w:val="none"/>
              </w:rPr>
            </w:pPr>
          </w:p>
        </w:tc>
        <w:tc>
          <w:tcPr>
            <w:tcW w:w="881" w:type="dxa"/>
            <w:vAlign w:val="center"/>
          </w:tcPr>
          <w:p>
            <w:pPr>
              <w:adjustRightInd w:val="0"/>
              <w:snapToGrid w:val="0"/>
              <w:spacing w:line="288" w:lineRule="auto"/>
              <w:jc w:val="center"/>
              <w:rPr>
                <w:color w:val="auto"/>
                <w:kern w:val="0"/>
                <w:sz w:val="21"/>
                <w:szCs w:val="21"/>
                <w:highlight w:val="none"/>
              </w:rPr>
            </w:pPr>
          </w:p>
        </w:tc>
        <w:tc>
          <w:tcPr>
            <w:tcW w:w="974" w:type="dxa"/>
            <w:vAlign w:val="center"/>
          </w:tcPr>
          <w:p>
            <w:pPr>
              <w:adjustRightInd w:val="0"/>
              <w:snapToGrid w:val="0"/>
              <w:spacing w:line="288" w:lineRule="auto"/>
              <w:jc w:val="center"/>
              <w:rPr>
                <w:color w:val="auto"/>
                <w:kern w:val="0"/>
                <w:sz w:val="21"/>
                <w:szCs w:val="21"/>
                <w:highlight w:val="none"/>
              </w:rPr>
            </w:pPr>
          </w:p>
        </w:tc>
        <w:tc>
          <w:tcPr>
            <w:tcW w:w="1669" w:type="dxa"/>
            <w:vAlign w:val="center"/>
          </w:tcPr>
          <w:p>
            <w:pPr>
              <w:adjustRightInd w:val="0"/>
              <w:snapToGrid w:val="0"/>
              <w:spacing w:line="288" w:lineRule="auto"/>
              <w:jc w:val="center"/>
              <w:rPr>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color w:val="auto"/>
                <w:kern w:val="0"/>
                <w:sz w:val="21"/>
                <w:szCs w:val="21"/>
                <w:highlight w:val="none"/>
              </w:rPr>
            </w:pPr>
          </w:p>
        </w:tc>
        <w:tc>
          <w:tcPr>
            <w:tcW w:w="1236" w:type="dxa"/>
            <w:vAlign w:val="center"/>
          </w:tcPr>
          <w:p>
            <w:pPr>
              <w:adjustRightInd w:val="0"/>
              <w:snapToGrid w:val="0"/>
              <w:spacing w:line="288" w:lineRule="auto"/>
              <w:jc w:val="center"/>
              <w:rPr>
                <w:color w:val="auto"/>
                <w:kern w:val="0"/>
                <w:sz w:val="21"/>
                <w:szCs w:val="21"/>
                <w:highlight w:val="none"/>
              </w:rPr>
            </w:pPr>
          </w:p>
        </w:tc>
        <w:tc>
          <w:tcPr>
            <w:tcW w:w="1250" w:type="dxa"/>
            <w:vAlign w:val="center"/>
          </w:tcPr>
          <w:p>
            <w:pPr>
              <w:adjustRightInd w:val="0"/>
              <w:snapToGrid w:val="0"/>
              <w:spacing w:line="288" w:lineRule="auto"/>
              <w:jc w:val="center"/>
              <w:rPr>
                <w:color w:val="auto"/>
                <w:kern w:val="0"/>
                <w:sz w:val="21"/>
                <w:szCs w:val="21"/>
                <w:highlight w:val="none"/>
              </w:rPr>
            </w:pPr>
          </w:p>
        </w:tc>
        <w:tc>
          <w:tcPr>
            <w:tcW w:w="1394" w:type="dxa"/>
            <w:vAlign w:val="center"/>
          </w:tcPr>
          <w:p>
            <w:pPr>
              <w:adjustRightInd w:val="0"/>
              <w:snapToGrid w:val="0"/>
              <w:spacing w:line="288" w:lineRule="auto"/>
              <w:jc w:val="center"/>
              <w:rPr>
                <w:color w:val="auto"/>
                <w:kern w:val="0"/>
                <w:sz w:val="21"/>
                <w:szCs w:val="21"/>
                <w:highlight w:val="none"/>
              </w:rPr>
            </w:pPr>
          </w:p>
        </w:tc>
        <w:tc>
          <w:tcPr>
            <w:tcW w:w="1233" w:type="dxa"/>
            <w:vAlign w:val="center"/>
          </w:tcPr>
          <w:p>
            <w:pPr>
              <w:adjustRightInd w:val="0"/>
              <w:snapToGrid w:val="0"/>
              <w:spacing w:line="288" w:lineRule="auto"/>
              <w:jc w:val="center"/>
              <w:rPr>
                <w:color w:val="auto"/>
                <w:kern w:val="0"/>
                <w:sz w:val="21"/>
                <w:szCs w:val="21"/>
                <w:highlight w:val="none"/>
              </w:rPr>
            </w:pPr>
          </w:p>
        </w:tc>
        <w:tc>
          <w:tcPr>
            <w:tcW w:w="881" w:type="dxa"/>
            <w:vAlign w:val="center"/>
          </w:tcPr>
          <w:p>
            <w:pPr>
              <w:adjustRightInd w:val="0"/>
              <w:snapToGrid w:val="0"/>
              <w:spacing w:line="288" w:lineRule="auto"/>
              <w:jc w:val="center"/>
              <w:rPr>
                <w:color w:val="auto"/>
                <w:kern w:val="0"/>
                <w:sz w:val="21"/>
                <w:szCs w:val="21"/>
                <w:highlight w:val="none"/>
              </w:rPr>
            </w:pPr>
          </w:p>
        </w:tc>
        <w:tc>
          <w:tcPr>
            <w:tcW w:w="974" w:type="dxa"/>
            <w:vAlign w:val="center"/>
          </w:tcPr>
          <w:p>
            <w:pPr>
              <w:adjustRightInd w:val="0"/>
              <w:snapToGrid w:val="0"/>
              <w:spacing w:line="288" w:lineRule="auto"/>
              <w:jc w:val="center"/>
              <w:rPr>
                <w:color w:val="auto"/>
                <w:kern w:val="0"/>
                <w:sz w:val="21"/>
                <w:szCs w:val="21"/>
                <w:highlight w:val="none"/>
              </w:rPr>
            </w:pPr>
          </w:p>
        </w:tc>
        <w:tc>
          <w:tcPr>
            <w:tcW w:w="1669" w:type="dxa"/>
            <w:vAlign w:val="center"/>
          </w:tcPr>
          <w:p>
            <w:pPr>
              <w:adjustRightInd w:val="0"/>
              <w:snapToGrid w:val="0"/>
              <w:spacing w:line="288" w:lineRule="auto"/>
              <w:jc w:val="center"/>
              <w:rPr>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65" w:type="dxa"/>
            <w:vAlign w:val="center"/>
          </w:tcPr>
          <w:p>
            <w:pPr>
              <w:adjustRightInd w:val="0"/>
              <w:snapToGrid w:val="0"/>
              <w:spacing w:line="288" w:lineRule="auto"/>
              <w:jc w:val="center"/>
              <w:rPr>
                <w:color w:val="auto"/>
                <w:kern w:val="0"/>
                <w:sz w:val="21"/>
                <w:szCs w:val="21"/>
                <w:highlight w:val="none"/>
              </w:rPr>
            </w:pPr>
          </w:p>
        </w:tc>
        <w:tc>
          <w:tcPr>
            <w:tcW w:w="1236" w:type="dxa"/>
            <w:vAlign w:val="center"/>
          </w:tcPr>
          <w:p>
            <w:pPr>
              <w:adjustRightInd w:val="0"/>
              <w:snapToGrid w:val="0"/>
              <w:spacing w:line="288" w:lineRule="auto"/>
              <w:jc w:val="center"/>
              <w:rPr>
                <w:color w:val="auto"/>
                <w:kern w:val="0"/>
                <w:sz w:val="21"/>
                <w:szCs w:val="21"/>
                <w:highlight w:val="none"/>
              </w:rPr>
            </w:pPr>
          </w:p>
        </w:tc>
        <w:tc>
          <w:tcPr>
            <w:tcW w:w="1250" w:type="dxa"/>
            <w:vAlign w:val="center"/>
          </w:tcPr>
          <w:p>
            <w:pPr>
              <w:adjustRightInd w:val="0"/>
              <w:snapToGrid w:val="0"/>
              <w:spacing w:line="288" w:lineRule="auto"/>
              <w:jc w:val="center"/>
              <w:rPr>
                <w:color w:val="auto"/>
                <w:kern w:val="0"/>
                <w:sz w:val="21"/>
                <w:szCs w:val="21"/>
                <w:highlight w:val="none"/>
              </w:rPr>
            </w:pPr>
          </w:p>
        </w:tc>
        <w:tc>
          <w:tcPr>
            <w:tcW w:w="1394" w:type="dxa"/>
            <w:vAlign w:val="center"/>
          </w:tcPr>
          <w:p>
            <w:pPr>
              <w:adjustRightInd w:val="0"/>
              <w:snapToGrid w:val="0"/>
              <w:spacing w:line="288" w:lineRule="auto"/>
              <w:jc w:val="center"/>
              <w:rPr>
                <w:color w:val="auto"/>
                <w:kern w:val="0"/>
                <w:sz w:val="21"/>
                <w:szCs w:val="21"/>
                <w:highlight w:val="none"/>
              </w:rPr>
            </w:pPr>
          </w:p>
        </w:tc>
        <w:tc>
          <w:tcPr>
            <w:tcW w:w="1233" w:type="dxa"/>
            <w:vAlign w:val="center"/>
          </w:tcPr>
          <w:p>
            <w:pPr>
              <w:adjustRightInd w:val="0"/>
              <w:snapToGrid w:val="0"/>
              <w:spacing w:line="288" w:lineRule="auto"/>
              <w:jc w:val="center"/>
              <w:rPr>
                <w:color w:val="auto"/>
                <w:kern w:val="0"/>
                <w:sz w:val="21"/>
                <w:szCs w:val="21"/>
                <w:highlight w:val="none"/>
              </w:rPr>
            </w:pPr>
          </w:p>
        </w:tc>
        <w:tc>
          <w:tcPr>
            <w:tcW w:w="881" w:type="dxa"/>
            <w:vAlign w:val="center"/>
          </w:tcPr>
          <w:p>
            <w:pPr>
              <w:adjustRightInd w:val="0"/>
              <w:snapToGrid w:val="0"/>
              <w:spacing w:line="288" w:lineRule="auto"/>
              <w:jc w:val="center"/>
              <w:rPr>
                <w:color w:val="auto"/>
                <w:kern w:val="0"/>
                <w:sz w:val="21"/>
                <w:szCs w:val="21"/>
                <w:highlight w:val="none"/>
              </w:rPr>
            </w:pPr>
          </w:p>
        </w:tc>
        <w:tc>
          <w:tcPr>
            <w:tcW w:w="974" w:type="dxa"/>
            <w:vAlign w:val="center"/>
          </w:tcPr>
          <w:p>
            <w:pPr>
              <w:adjustRightInd w:val="0"/>
              <w:snapToGrid w:val="0"/>
              <w:spacing w:line="288" w:lineRule="auto"/>
              <w:jc w:val="center"/>
              <w:rPr>
                <w:color w:val="auto"/>
                <w:kern w:val="0"/>
                <w:sz w:val="21"/>
                <w:szCs w:val="21"/>
                <w:highlight w:val="none"/>
              </w:rPr>
            </w:pPr>
          </w:p>
        </w:tc>
        <w:tc>
          <w:tcPr>
            <w:tcW w:w="1669" w:type="dxa"/>
            <w:vAlign w:val="center"/>
          </w:tcPr>
          <w:p>
            <w:pPr>
              <w:adjustRightInd w:val="0"/>
              <w:snapToGrid w:val="0"/>
              <w:spacing w:line="288" w:lineRule="auto"/>
              <w:jc w:val="center"/>
              <w:rPr>
                <w:color w:val="auto"/>
                <w:kern w:val="0"/>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磁光克尔显微镜</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QSZB-Z(H)-B23414(CS)</w:t>
      </w:r>
    </w:p>
    <w:tbl>
      <w:tblPr>
        <w:tblStyle w:val="12"/>
        <w:tblW w:w="94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b/>
                <w:bCs/>
                <w:color w:val="auto"/>
                <w:kern w:val="0"/>
                <w:sz w:val="21"/>
                <w:szCs w:val="21"/>
                <w:highlight w:val="none"/>
              </w:rPr>
            </w:pPr>
            <w:bookmarkStart w:id="62" w:name="_Hlk97040421"/>
            <w:r>
              <w:rPr>
                <w:rFonts w:hint="eastAsia"/>
                <w:b/>
                <w:bCs/>
                <w:color w:val="auto"/>
                <w:kern w:val="0"/>
                <w:sz w:val="21"/>
                <w:szCs w:val="21"/>
                <w:highlight w:val="none"/>
              </w:rPr>
              <w:t>序号</w:t>
            </w:r>
          </w:p>
        </w:tc>
        <w:tc>
          <w:tcPr>
            <w:tcW w:w="3200"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pPr>
              <w:adjustRightInd w:val="0"/>
              <w:snapToGrid w:val="0"/>
              <w:spacing w:line="288" w:lineRule="auto"/>
              <w:jc w:val="center"/>
              <w:rPr>
                <w:b/>
                <w:bCs/>
                <w:color w:val="auto"/>
                <w:kern w:val="0"/>
                <w:sz w:val="21"/>
                <w:szCs w:val="21"/>
                <w:highlight w:val="none"/>
              </w:rPr>
            </w:pPr>
            <w:r>
              <w:rPr>
                <w:rFonts w:hint="eastAsia"/>
                <w:b/>
                <w:bCs/>
                <w:color w:val="auto"/>
                <w:kern w:val="0"/>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adjustRightInd w:val="0"/>
              <w:snapToGrid w:val="0"/>
              <w:spacing w:line="288" w:lineRule="auto"/>
              <w:rPr>
                <w:b/>
                <w:bCs/>
                <w:color w:val="auto"/>
                <w:kern w:val="0"/>
                <w:sz w:val="21"/>
                <w:szCs w:val="21"/>
                <w:highlight w:val="none"/>
              </w:rPr>
            </w:pPr>
            <w:r>
              <w:rPr>
                <w:rFonts w:hint="eastAsia"/>
                <w:b/>
                <w:bCs/>
                <w:color w:val="auto"/>
                <w:kern w:val="0"/>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p>
        </w:tc>
        <w:tc>
          <w:tcPr>
            <w:tcW w:w="3200" w:type="dxa"/>
            <w:vAlign w:val="center"/>
          </w:tcPr>
          <w:p>
            <w:pPr>
              <w:adjustRightInd w:val="0"/>
              <w:snapToGrid w:val="0"/>
              <w:spacing w:line="288" w:lineRule="auto"/>
              <w:jc w:val="center"/>
              <w:rPr>
                <w:color w:val="auto"/>
                <w:kern w:val="0"/>
                <w:sz w:val="21"/>
                <w:szCs w:val="21"/>
                <w:highlight w:val="none"/>
              </w:rPr>
            </w:pPr>
          </w:p>
        </w:tc>
        <w:tc>
          <w:tcPr>
            <w:tcW w:w="2836" w:type="dxa"/>
            <w:vAlign w:val="center"/>
          </w:tcPr>
          <w:p>
            <w:pPr>
              <w:adjustRightInd w:val="0"/>
              <w:snapToGrid w:val="0"/>
              <w:spacing w:line="288" w:lineRule="auto"/>
              <w:jc w:val="center"/>
              <w:rPr>
                <w:color w:val="auto"/>
                <w:kern w:val="0"/>
                <w:sz w:val="21"/>
                <w:szCs w:val="21"/>
                <w:highlight w:val="none"/>
              </w:rPr>
            </w:pPr>
          </w:p>
        </w:tc>
        <w:tc>
          <w:tcPr>
            <w:tcW w:w="2354" w:type="dxa"/>
            <w:vAlign w:val="center"/>
          </w:tcPr>
          <w:p>
            <w:pPr>
              <w:adjustRightInd w:val="0"/>
              <w:snapToGrid w:val="0"/>
              <w:spacing w:line="288" w:lineRule="auto"/>
              <w:jc w:val="center"/>
              <w:rPr>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2</w:t>
            </w:r>
          </w:p>
        </w:tc>
        <w:tc>
          <w:tcPr>
            <w:tcW w:w="3200" w:type="dxa"/>
            <w:vAlign w:val="center"/>
          </w:tcPr>
          <w:p>
            <w:pPr>
              <w:adjustRightInd w:val="0"/>
              <w:snapToGrid w:val="0"/>
              <w:spacing w:line="288" w:lineRule="auto"/>
              <w:jc w:val="center"/>
              <w:rPr>
                <w:color w:val="auto"/>
                <w:kern w:val="0"/>
                <w:sz w:val="21"/>
                <w:szCs w:val="21"/>
                <w:highlight w:val="none"/>
              </w:rPr>
            </w:pPr>
          </w:p>
        </w:tc>
        <w:tc>
          <w:tcPr>
            <w:tcW w:w="2836" w:type="dxa"/>
            <w:vAlign w:val="center"/>
          </w:tcPr>
          <w:p>
            <w:pPr>
              <w:adjustRightInd w:val="0"/>
              <w:snapToGrid w:val="0"/>
              <w:spacing w:line="288" w:lineRule="auto"/>
              <w:jc w:val="center"/>
              <w:rPr>
                <w:color w:val="auto"/>
                <w:kern w:val="0"/>
                <w:sz w:val="21"/>
                <w:szCs w:val="21"/>
                <w:highlight w:val="none"/>
              </w:rPr>
            </w:pPr>
          </w:p>
        </w:tc>
        <w:tc>
          <w:tcPr>
            <w:tcW w:w="2354" w:type="dxa"/>
            <w:vAlign w:val="center"/>
          </w:tcPr>
          <w:p>
            <w:pPr>
              <w:adjustRightInd w:val="0"/>
              <w:snapToGrid w:val="0"/>
              <w:spacing w:line="288" w:lineRule="auto"/>
              <w:jc w:val="center"/>
              <w:rPr>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w:t>
            </w:r>
          </w:p>
        </w:tc>
        <w:tc>
          <w:tcPr>
            <w:tcW w:w="3200" w:type="dxa"/>
            <w:vAlign w:val="center"/>
          </w:tcPr>
          <w:p>
            <w:pPr>
              <w:adjustRightInd w:val="0"/>
              <w:snapToGrid w:val="0"/>
              <w:spacing w:line="288" w:lineRule="auto"/>
              <w:jc w:val="center"/>
              <w:rPr>
                <w:color w:val="auto"/>
                <w:kern w:val="0"/>
                <w:sz w:val="21"/>
                <w:szCs w:val="21"/>
                <w:highlight w:val="none"/>
              </w:rPr>
            </w:pPr>
          </w:p>
        </w:tc>
        <w:tc>
          <w:tcPr>
            <w:tcW w:w="2836" w:type="dxa"/>
            <w:vAlign w:val="center"/>
          </w:tcPr>
          <w:p>
            <w:pPr>
              <w:adjustRightInd w:val="0"/>
              <w:snapToGrid w:val="0"/>
              <w:spacing w:line="288" w:lineRule="auto"/>
              <w:jc w:val="center"/>
              <w:rPr>
                <w:color w:val="auto"/>
                <w:kern w:val="0"/>
                <w:sz w:val="21"/>
                <w:szCs w:val="21"/>
                <w:highlight w:val="none"/>
              </w:rPr>
            </w:pPr>
          </w:p>
        </w:tc>
        <w:tc>
          <w:tcPr>
            <w:tcW w:w="2354" w:type="dxa"/>
            <w:vAlign w:val="center"/>
          </w:tcPr>
          <w:p>
            <w:pPr>
              <w:adjustRightInd w:val="0"/>
              <w:snapToGrid w:val="0"/>
              <w:spacing w:line="288" w:lineRule="auto"/>
              <w:jc w:val="center"/>
              <w:rPr>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adjustRightInd w:val="0"/>
              <w:snapToGrid w:val="0"/>
              <w:spacing w:line="288" w:lineRule="auto"/>
              <w:rPr>
                <w:color w:val="auto"/>
                <w:kern w:val="0"/>
                <w:sz w:val="21"/>
                <w:szCs w:val="21"/>
                <w:highlight w:val="none"/>
              </w:rPr>
            </w:pPr>
            <w:r>
              <w:rPr>
                <w:rFonts w:hint="eastAsia"/>
                <w:b/>
                <w:bCs/>
                <w:color w:val="auto"/>
                <w:kern w:val="0"/>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p>
        </w:tc>
        <w:tc>
          <w:tcPr>
            <w:tcW w:w="3200" w:type="dxa"/>
            <w:vAlign w:val="center"/>
          </w:tcPr>
          <w:p>
            <w:pPr>
              <w:adjustRightInd w:val="0"/>
              <w:snapToGrid w:val="0"/>
              <w:spacing w:line="288" w:lineRule="auto"/>
              <w:jc w:val="center"/>
              <w:rPr>
                <w:color w:val="auto"/>
                <w:kern w:val="0"/>
                <w:sz w:val="21"/>
                <w:szCs w:val="21"/>
                <w:highlight w:val="none"/>
              </w:rPr>
            </w:pPr>
          </w:p>
        </w:tc>
        <w:tc>
          <w:tcPr>
            <w:tcW w:w="2836" w:type="dxa"/>
            <w:vAlign w:val="center"/>
          </w:tcPr>
          <w:p>
            <w:pPr>
              <w:adjustRightInd w:val="0"/>
              <w:snapToGrid w:val="0"/>
              <w:spacing w:line="288" w:lineRule="auto"/>
              <w:jc w:val="center"/>
              <w:rPr>
                <w:color w:val="auto"/>
                <w:kern w:val="0"/>
                <w:sz w:val="21"/>
                <w:szCs w:val="21"/>
                <w:highlight w:val="none"/>
              </w:rPr>
            </w:pPr>
          </w:p>
        </w:tc>
        <w:tc>
          <w:tcPr>
            <w:tcW w:w="2354" w:type="dxa"/>
            <w:vAlign w:val="center"/>
          </w:tcPr>
          <w:p>
            <w:pPr>
              <w:adjustRightInd w:val="0"/>
              <w:snapToGrid w:val="0"/>
              <w:spacing w:line="288" w:lineRule="auto"/>
              <w:jc w:val="center"/>
              <w:rPr>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2</w:t>
            </w:r>
          </w:p>
        </w:tc>
        <w:tc>
          <w:tcPr>
            <w:tcW w:w="3200" w:type="dxa"/>
            <w:vAlign w:val="center"/>
          </w:tcPr>
          <w:p>
            <w:pPr>
              <w:adjustRightInd w:val="0"/>
              <w:snapToGrid w:val="0"/>
              <w:spacing w:line="288" w:lineRule="auto"/>
              <w:jc w:val="center"/>
              <w:rPr>
                <w:color w:val="auto"/>
                <w:kern w:val="0"/>
                <w:sz w:val="21"/>
                <w:szCs w:val="21"/>
                <w:highlight w:val="none"/>
              </w:rPr>
            </w:pPr>
          </w:p>
        </w:tc>
        <w:tc>
          <w:tcPr>
            <w:tcW w:w="2836" w:type="dxa"/>
            <w:vAlign w:val="center"/>
          </w:tcPr>
          <w:p>
            <w:pPr>
              <w:adjustRightInd w:val="0"/>
              <w:snapToGrid w:val="0"/>
              <w:spacing w:line="288" w:lineRule="auto"/>
              <w:jc w:val="center"/>
              <w:rPr>
                <w:color w:val="auto"/>
                <w:kern w:val="0"/>
                <w:sz w:val="21"/>
                <w:szCs w:val="21"/>
                <w:highlight w:val="none"/>
              </w:rPr>
            </w:pPr>
          </w:p>
        </w:tc>
        <w:tc>
          <w:tcPr>
            <w:tcW w:w="2354" w:type="dxa"/>
            <w:vAlign w:val="center"/>
          </w:tcPr>
          <w:p>
            <w:pPr>
              <w:adjustRightInd w:val="0"/>
              <w:snapToGrid w:val="0"/>
              <w:spacing w:line="288" w:lineRule="auto"/>
              <w:jc w:val="center"/>
              <w:rPr>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w:t>
            </w:r>
          </w:p>
        </w:tc>
        <w:tc>
          <w:tcPr>
            <w:tcW w:w="3200" w:type="dxa"/>
            <w:vAlign w:val="center"/>
          </w:tcPr>
          <w:p>
            <w:pPr>
              <w:adjustRightInd w:val="0"/>
              <w:snapToGrid w:val="0"/>
              <w:spacing w:line="288" w:lineRule="auto"/>
              <w:jc w:val="center"/>
              <w:rPr>
                <w:color w:val="auto"/>
                <w:kern w:val="0"/>
                <w:sz w:val="21"/>
                <w:szCs w:val="21"/>
                <w:highlight w:val="none"/>
              </w:rPr>
            </w:pPr>
          </w:p>
        </w:tc>
        <w:tc>
          <w:tcPr>
            <w:tcW w:w="2836" w:type="dxa"/>
            <w:vAlign w:val="center"/>
          </w:tcPr>
          <w:p>
            <w:pPr>
              <w:adjustRightInd w:val="0"/>
              <w:snapToGrid w:val="0"/>
              <w:spacing w:line="288" w:lineRule="auto"/>
              <w:jc w:val="center"/>
              <w:rPr>
                <w:color w:val="auto"/>
                <w:kern w:val="0"/>
                <w:sz w:val="21"/>
                <w:szCs w:val="21"/>
                <w:highlight w:val="none"/>
              </w:rPr>
            </w:pPr>
          </w:p>
        </w:tc>
        <w:tc>
          <w:tcPr>
            <w:tcW w:w="2354" w:type="dxa"/>
            <w:vAlign w:val="center"/>
          </w:tcPr>
          <w:p>
            <w:pPr>
              <w:adjustRightInd w:val="0"/>
              <w:snapToGrid w:val="0"/>
              <w:spacing w:line="288" w:lineRule="auto"/>
              <w:jc w:val="center"/>
              <w:rPr>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02" w:type="dxa"/>
            <w:gridSpan w:val="4"/>
            <w:vAlign w:val="center"/>
          </w:tcPr>
          <w:p>
            <w:pPr>
              <w:adjustRightInd w:val="0"/>
              <w:snapToGrid w:val="0"/>
              <w:spacing w:line="288" w:lineRule="auto"/>
              <w:rPr>
                <w:color w:val="auto"/>
                <w:kern w:val="0"/>
                <w:sz w:val="21"/>
                <w:szCs w:val="21"/>
                <w:highlight w:val="none"/>
              </w:rPr>
            </w:pPr>
            <w:r>
              <w:rPr>
                <w:rFonts w:hint="eastAsia"/>
                <w:b/>
                <w:bCs/>
                <w:color w:val="auto"/>
                <w:kern w:val="0"/>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1</w:t>
            </w:r>
          </w:p>
        </w:tc>
        <w:tc>
          <w:tcPr>
            <w:tcW w:w="3200" w:type="dxa"/>
            <w:vAlign w:val="center"/>
          </w:tcPr>
          <w:p>
            <w:pPr>
              <w:adjustRightInd w:val="0"/>
              <w:snapToGrid w:val="0"/>
              <w:spacing w:line="288" w:lineRule="auto"/>
              <w:jc w:val="center"/>
              <w:rPr>
                <w:color w:val="auto"/>
                <w:kern w:val="0"/>
                <w:sz w:val="21"/>
                <w:szCs w:val="21"/>
                <w:highlight w:val="none"/>
              </w:rPr>
            </w:pPr>
          </w:p>
        </w:tc>
        <w:tc>
          <w:tcPr>
            <w:tcW w:w="2836" w:type="dxa"/>
            <w:vAlign w:val="center"/>
          </w:tcPr>
          <w:p>
            <w:pPr>
              <w:adjustRightInd w:val="0"/>
              <w:snapToGrid w:val="0"/>
              <w:spacing w:line="288" w:lineRule="auto"/>
              <w:jc w:val="center"/>
              <w:rPr>
                <w:color w:val="auto"/>
                <w:kern w:val="0"/>
                <w:sz w:val="21"/>
                <w:szCs w:val="21"/>
                <w:highlight w:val="none"/>
              </w:rPr>
            </w:pPr>
          </w:p>
        </w:tc>
        <w:tc>
          <w:tcPr>
            <w:tcW w:w="2354" w:type="dxa"/>
            <w:vAlign w:val="center"/>
          </w:tcPr>
          <w:p>
            <w:pPr>
              <w:adjustRightInd w:val="0"/>
              <w:snapToGrid w:val="0"/>
              <w:spacing w:line="288" w:lineRule="auto"/>
              <w:jc w:val="center"/>
              <w:rPr>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2</w:t>
            </w:r>
          </w:p>
        </w:tc>
        <w:tc>
          <w:tcPr>
            <w:tcW w:w="3200" w:type="dxa"/>
            <w:vAlign w:val="center"/>
          </w:tcPr>
          <w:p>
            <w:pPr>
              <w:adjustRightInd w:val="0"/>
              <w:snapToGrid w:val="0"/>
              <w:spacing w:line="288" w:lineRule="auto"/>
              <w:jc w:val="center"/>
              <w:rPr>
                <w:color w:val="auto"/>
                <w:kern w:val="0"/>
                <w:sz w:val="21"/>
                <w:szCs w:val="21"/>
                <w:highlight w:val="none"/>
              </w:rPr>
            </w:pPr>
          </w:p>
        </w:tc>
        <w:tc>
          <w:tcPr>
            <w:tcW w:w="2836" w:type="dxa"/>
            <w:vAlign w:val="center"/>
          </w:tcPr>
          <w:p>
            <w:pPr>
              <w:adjustRightInd w:val="0"/>
              <w:snapToGrid w:val="0"/>
              <w:spacing w:line="288" w:lineRule="auto"/>
              <w:jc w:val="center"/>
              <w:rPr>
                <w:color w:val="auto"/>
                <w:kern w:val="0"/>
                <w:sz w:val="21"/>
                <w:szCs w:val="21"/>
                <w:highlight w:val="none"/>
              </w:rPr>
            </w:pPr>
          </w:p>
        </w:tc>
        <w:tc>
          <w:tcPr>
            <w:tcW w:w="2354" w:type="dxa"/>
            <w:vAlign w:val="center"/>
          </w:tcPr>
          <w:p>
            <w:pPr>
              <w:adjustRightInd w:val="0"/>
              <w:snapToGrid w:val="0"/>
              <w:spacing w:line="288" w:lineRule="auto"/>
              <w:jc w:val="center"/>
              <w:rPr>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12" w:type="dxa"/>
            <w:vAlign w:val="center"/>
          </w:tcPr>
          <w:p>
            <w:pPr>
              <w:adjustRightInd w:val="0"/>
              <w:snapToGrid w:val="0"/>
              <w:spacing w:line="288" w:lineRule="auto"/>
              <w:jc w:val="center"/>
              <w:rPr>
                <w:color w:val="auto"/>
                <w:kern w:val="0"/>
                <w:sz w:val="21"/>
                <w:szCs w:val="21"/>
                <w:highlight w:val="none"/>
              </w:rPr>
            </w:pPr>
            <w:r>
              <w:rPr>
                <w:rFonts w:hint="eastAsia"/>
                <w:color w:val="auto"/>
                <w:kern w:val="0"/>
                <w:sz w:val="21"/>
                <w:szCs w:val="21"/>
                <w:highlight w:val="none"/>
              </w:rPr>
              <w:t>……</w:t>
            </w:r>
          </w:p>
        </w:tc>
        <w:tc>
          <w:tcPr>
            <w:tcW w:w="3200" w:type="dxa"/>
            <w:vAlign w:val="center"/>
          </w:tcPr>
          <w:p>
            <w:pPr>
              <w:adjustRightInd w:val="0"/>
              <w:snapToGrid w:val="0"/>
              <w:spacing w:line="288" w:lineRule="auto"/>
              <w:jc w:val="center"/>
              <w:rPr>
                <w:color w:val="auto"/>
                <w:kern w:val="0"/>
                <w:sz w:val="21"/>
                <w:szCs w:val="21"/>
                <w:highlight w:val="none"/>
              </w:rPr>
            </w:pPr>
          </w:p>
        </w:tc>
        <w:tc>
          <w:tcPr>
            <w:tcW w:w="2836" w:type="dxa"/>
            <w:vAlign w:val="center"/>
          </w:tcPr>
          <w:p>
            <w:pPr>
              <w:adjustRightInd w:val="0"/>
              <w:snapToGrid w:val="0"/>
              <w:spacing w:line="288" w:lineRule="auto"/>
              <w:jc w:val="center"/>
              <w:rPr>
                <w:color w:val="auto"/>
                <w:kern w:val="0"/>
                <w:sz w:val="21"/>
                <w:szCs w:val="21"/>
                <w:highlight w:val="none"/>
              </w:rPr>
            </w:pPr>
          </w:p>
        </w:tc>
        <w:tc>
          <w:tcPr>
            <w:tcW w:w="2354" w:type="dxa"/>
            <w:vAlign w:val="center"/>
          </w:tcPr>
          <w:p>
            <w:pPr>
              <w:adjustRightInd w:val="0"/>
              <w:snapToGrid w:val="0"/>
              <w:spacing w:line="288" w:lineRule="auto"/>
              <w:jc w:val="center"/>
              <w:rPr>
                <w:color w:val="auto"/>
                <w:kern w:val="0"/>
                <w:sz w:val="21"/>
                <w:szCs w:val="21"/>
                <w:highlight w:val="none"/>
              </w:rPr>
            </w:pPr>
          </w:p>
        </w:tc>
      </w:tr>
      <w:bookmarkEnd w:id="62"/>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1"/>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bookmarkStart w:id="63" w:name="_Hlk71885757"/>
      <w:r>
        <w:rPr>
          <w:rFonts w:hint="eastAsia"/>
          <w:b/>
          <w:color w:val="auto"/>
          <w:spacing w:val="-6"/>
          <w:sz w:val="21"/>
          <w:szCs w:val="21"/>
          <w:highlight w:val="none"/>
        </w:rPr>
        <w:t>（</w:t>
      </w:r>
      <w:r>
        <w:rPr>
          <w:b/>
          <w:color w:val="auto"/>
          <w:spacing w:val="-6"/>
          <w:sz w:val="21"/>
          <w:szCs w:val="21"/>
          <w:highlight w:val="none"/>
        </w:rPr>
        <w:t>6</w:t>
      </w:r>
      <w:r>
        <w:rPr>
          <w:rFonts w:hint="eastAsia"/>
          <w:b/>
          <w:color w:val="auto"/>
          <w:spacing w:val="-6"/>
          <w:sz w:val="21"/>
          <w:szCs w:val="21"/>
          <w:highlight w:val="none"/>
        </w:rPr>
        <w:t>）技术方案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设计方案</w:t>
      </w:r>
      <w:r>
        <w:rPr>
          <w:b/>
          <w:color w:val="auto"/>
          <w:spacing w:val="-6"/>
          <w:sz w:val="21"/>
          <w:szCs w:val="21"/>
          <w:highlight w:val="none"/>
        </w:rPr>
        <w:t>/解决方案/组织方案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履约能力</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兼容性</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安装调试</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能源管理</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生命周期成本</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培训</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售后服务</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配件耗材</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（……）供应商需要说明的其他文件和材料。</w:t>
      </w:r>
      <w:bookmarkEnd w:id="63"/>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磁光克尔显微镜</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QSZB-Z(H)-B23414(CS)</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bookmarkStart w:id="64" w:name="_Hlk97040054"/>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color w:val="auto"/>
                <w:sz w:val="21"/>
                <w:szCs w:val="21"/>
                <w:highlight w:val="none"/>
              </w:rPr>
            </w:pPr>
            <w:r>
              <w:rPr>
                <w:rFonts w:hint="eastAsia" w:cs="Times New Roman"/>
                <w:b/>
                <w:color w:val="auto"/>
                <w:spacing w:val="-6"/>
                <w:sz w:val="21"/>
                <w:szCs w:val="21"/>
                <w:highlight w:val="none"/>
              </w:rPr>
              <w:t>说明：</w:t>
            </w:r>
            <w:r>
              <w:rPr>
                <w:rFonts w:hint="eastAsia" w:cs="Times New Roman"/>
                <w:bCs/>
                <w:color w:val="auto"/>
                <w:spacing w:val="-6"/>
                <w:sz w:val="21"/>
                <w:szCs w:val="21"/>
                <w:highlight w:val="none"/>
              </w:rPr>
              <w:t>▲</w:t>
            </w:r>
            <w:r>
              <w:rPr>
                <w:rFonts w:hint="eastAsia" w:cs="Times New Roman"/>
                <w:bCs/>
                <w:color w:val="auto"/>
                <w:spacing w:val="-6"/>
                <w:sz w:val="21"/>
                <w:szCs w:val="21"/>
                <w:highlight w:val="none"/>
                <w:lang w:eastAsia="zh-CN"/>
              </w:rPr>
              <w:t>采购人将以合同形式有偿取得货物、工程和服务，不接受供应商给予的赠品、回扣或者与采购无关的其他商品、服务</w:t>
            </w:r>
            <w:r>
              <w:rPr>
                <w:rFonts w:cs="Times New Roman"/>
                <w:bCs/>
                <w:color w:val="auto"/>
                <w:spacing w:val="-6"/>
                <w:sz w:val="21"/>
                <w:szCs w:val="21"/>
                <w:highlight w:val="none"/>
              </w:rPr>
              <w:t>。</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pPr>
              <w:adjustRightInd w:val="0"/>
              <w:snapToGrid w:val="0"/>
              <w:spacing w:line="288" w:lineRule="auto"/>
              <w:rPr>
                <w:b/>
                <w:bCs/>
                <w:color w:val="auto"/>
                <w:sz w:val="21"/>
                <w:szCs w:val="21"/>
                <w:highlight w:val="none"/>
              </w:rPr>
            </w:pPr>
          </w:p>
        </w:tc>
      </w:tr>
      <w:bookmarkEnd w:id="64"/>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bookmarkStart w:id="65" w:name="_Hlk97040072"/>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5"/>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w:t>
      </w:r>
      <w:r>
        <w:rPr>
          <w:b/>
          <w:bCs/>
          <w:color w:val="auto"/>
          <w:sz w:val="21"/>
          <w:szCs w:val="21"/>
          <w:highlight w:val="none"/>
        </w:rPr>
        <w:t>中小企业声明函（货物）</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i w:val="0"/>
          <w:iCs w:val="0"/>
          <w:color w:val="auto"/>
          <w:sz w:val="21"/>
          <w:szCs w:val="21"/>
          <w:highlight w:val="none"/>
        </w:rPr>
      </w:pPr>
      <w:r>
        <w:rPr>
          <w:color w:val="auto"/>
          <w:sz w:val="21"/>
          <w:szCs w:val="21"/>
          <w:highlight w:val="none"/>
        </w:rPr>
        <w:t>本公司（联合体）郑重声明，根据《政府采购促进中</w:t>
      </w:r>
      <w:r>
        <w:rPr>
          <w:i w:val="0"/>
          <w:iCs w:val="0"/>
          <w:color w:val="auto"/>
          <w:sz w:val="21"/>
          <w:szCs w:val="21"/>
          <w:highlight w:val="none"/>
        </w:rPr>
        <w:t>小企业发展管理办法》（财库</w:t>
      </w:r>
      <w:r>
        <w:rPr>
          <w:rFonts w:hint="eastAsia"/>
          <w:i w:val="0"/>
          <w:iCs w:val="0"/>
          <w:color w:val="auto"/>
          <w:sz w:val="21"/>
          <w:szCs w:val="21"/>
          <w:highlight w:val="none"/>
        </w:rPr>
        <w:t>﹝</w:t>
      </w:r>
      <w:r>
        <w:rPr>
          <w:i w:val="0"/>
          <w:iCs w:val="0"/>
          <w:color w:val="auto"/>
          <w:sz w:val="21"/>
          <w:szCs w:val="21"/>
          <w:highlight w:val="none"/>
        </w:rPr>
        <w:t>2020</w:t>
      </w:r>
      <w:r>
        <w:rPr>
          <w:rFonts w:hint="eastAsia"/>
          <w:i w:val="0"/>
          <w:iCs w:val="0"/>
          <w:color w:val="auto"/>
          <w:sz w:val="21"/>
          <w:szCs w:val="21"/>
          <w:highlight w:val="none"/>
        </w:rPr>
        <w:t>﹞</w:t>
      </w:r>
      <w:r>
        <w:rPr>
          <w:i w:val="0"/>
          <w:iCs w:val="0"/>
          <w:color w:val="auto"/>
          <w:sz w:val="21"/>
          <w:szCs w:val="21"/>
          <w:highlight w:val="none"/>
        </w:rPr>
        <w:t>46 号）的规定，本公司（联合体）参加</w:t>
      </w:r>
      <w:r>
        <w:rPr>
          <w:rFonts w:hint="eastAsia"/>
          <w:i w:val="0"/>
          <w:iCs w:val="0"/>
          <w:color w:val="auto"/>
          <w:sz w:val="21"/>
          <w:szCs w:val="21"/>
          <w:highlight w:val="none"/>
          <w:u w:val="single"/>
          <w:lang w:val="en-US" w:eastAsia="zh-CN"/>
        </w:rPr>
        <w:t>杭州电子科技大学</w:t>
      </w:r>
      <w:r>
        <w:rPr>
          <w:i w:val="0"/>
          <w:iCs w:val="0"/>
          <w:color w:val="auto"/>
          <w:sz w:val="21"/>
          <w:szCs w:val="21"/>
          <w:highlight w:val="none"/>
        </w:rPr>
        <w:t>的</w:t>
      </w:r>
      <w:r>
        <w:rPr>
          <w:rFonts w:hint="eastAsia"/>
          <w:i w:val="0"/>
          <w:iCs w:val="0"/>
          <w:color w:val="auto"/>
          <w:sz w:val="21"/>
          <w:szCs w:val="21"/>
          <w:highlight w:val="none"/>
          <w:u w:val="single"/>
          <w:lang w:val="en-US" w:eastAsia="zh-CN"/>
        </w:rPr>
        <w:t>磁光克尔显微镜</w:t>
      </w:r>
      <w:r>
        <w:rPr>
          <w:i w:val="0"/>
          <w:iCs w:val="0"/>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hint="eastAsia" w:eastAsia="宋体"/>
          <w:i w:val="0"/>
          <w:iCs w:val="0"/>
          <w:color w:val="auto"/>
          <w:sz w:val="21"/>
          <w:szCs w:val="21"/>
          <w:highlight w:val="none"/>
          <w:lang w:eastAsia="zh-CN"/>
        </w:rPr>
      </w:pPr>
      <w:r>
        <w:rPr>
          <w:i w:val="0"/>
          <w:iCs w:val="0"/>
          <w:color w:val="auto"/>
          <w:sz w:val="21"/>
          <w:szCs w:val="21"/>
          <w:highlight w:val="none"/>
          <w:u w:val="single"/>
        </w:rPr>
        <w:t>1.</w:t>
      </w:r>
      <w:r>
        <w:rPr>
          <w:rFonts w:hint="eastAsia"/>
          <w:i w:val="0"/>
          <w:iCs w:val="0"/>
          <w:color w:val="auto"/>
          <w:sz w:val="21"/>
          <w:szCs w:val="21"/>
          <w:highlight w:val="none"/>
          <w:u w:val="single"/>
        </w:rPr>
        <w:t>磁光克尔显微镜</w:t>
      </w:r>
      <w:r>
        <w:rPr>
          <w:i w:val="0"/>
          <w:iCs w:val="0"/>
          <w:color w:val="auto"/>
          <w:sz w:val="21"/>
          <w:szCs w:val="21"/>
          <w:highlight w:val="none"/>
        </w:rPr>
        <w:t xml:space="preserve"> ，属于</w:t>
      </w:r>
      <w:r>
        <w:rPr>
          <w:rFonts w:hint="eastAsia"/>
          <w:i w:val="0"/>
          <w:iCs w:val="0"/>
          <w:color w:val="auto"/>
          <w:sz w:val="21"/>
          <w:szCs w:val="21"/>
          <w:highlight w:val="none"/>
          <w:u w:val="single"/>
          <w:lang w:val="en-US" w:eastAsia="zh-CN"/>
        </w:rPr>
        <w:t>工业</w:t>
      </w:r>
      <w:r>
        <w:rPr>
          <w:i w:val="0"/>
          <w:iCs w:val="0"/>
          <w:color w:val="auto"/>
          <w:sz w:val="21"/>
          <w:szCs w:val="21"/>
          <w:highlight w:val="none"/>
        </w:rPr>
        <w:t>；制造商为</w:t>
      </w:r>
      <w:r>
        <w:rPr>
          <w:i w:val="0"/>
          <w:iCs w:val="0"/>
          <w:color w:val="auto"/>
          <w:sz w:val="21"/>
          <w:szCs w:val="21"/>
          <w:highlight w:val="none"/>
          <w:u w:val="single"/>
        </w:rPr>
        <w:t>（企业名称）</w:t>
      </w:r>
      <w:r>
        <w:rPr>
          <w:i w:val="0"/>
          <w:iCs w:val="0"/>
          <w:color w:val="auto"/>
          <w:sz w:val="21"/>
          <w:szCs w:val="21"/>
          <w:highlight w:val="none"/>
        </w:rPr>
        <w:t>，从业人员</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人，营业收入为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万元，资产总额为</w:t>
      </w:r>
      <w:r>
        <w:rPr>
          <w:i w:val="0"/>
          <w:iCs w:val="0"/>
          <w:color w:val="auto"/>
          <w:sz w:val="21"/>
          <w:szCs w:val="21"/>
          <w:highlight w:val="none"/>
          <w:u w:val="single"/>
        </w:rPr>
        <w:t xml:space="preserve"> </w:t>
      </w:r>
      <w:r>
        <w:rPr>
          <w:i w:val="0"/>
          <w:iCs w:val="0"/>
          <w:color w:val="auto"/>
          <w:sz w:val="21"/>
          <w:szCs w:val="21"/>
          <w:highlight w:val="none"/>
          <w:u w:val="single"/>
        </w:rPr>
        <w:tab/>
      </w:r>
      <w:r>
        <w:rPr>
          <w:i w:val="0"/>
          <w:iCs w:val="0"/>
          <w:color w:val="auto"/>
          <w:sz w:val="21"/>
          <w:szCs w:val="21"/>
          <w:highlight w:val="none"/>
        </w:rPr>
        <w:t>万元，属于</w:t>
      </w:r>
      <w:r>
        <w:rPr>
          <w:i w:val="0"/>
          <w:iCs w:val="0"/>
          <w:color w:val="auto"/>
          <w:sz w:val="21"/>
          <w:szCs w:val="21"/>
          <w:highlight w:val="none"/>
          <w:u w:val="single"/>
        </w:rPr>
        <w:t>（中型企业、小型企业、微型企业）</w:t>
      </w:r>
      <w:r>
        <w:rPr>
          <w:rFonts w:hint="eastAsia"/>
          <w:i w:val="0"/>
          <w:iCs w:val="0"/>
          <w:color w:val="auto"/>
          <w:sz w:val="21"/>
          <w:szCs w:val="21"/>
          <w:highlight w:val="none"/>
          <w:lang w:eastAsia="zh-CN"/>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1.</w:t>
      </w:r>
      <w:r>
        <w:rPr>
          <w:rFonts w:hint="eastAsia" w:cs="Times New Roman"/>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2.</w:t>
      </w:r>
      <w:r>
        <w:rPr>
          <w:rFonts w:hint="eastAsia" w:cs="Times New Roman"/>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3</w:t>
      </w:r>
      <w:r>
        <w:rPr>
          <w:rFonts w:hint="eastAsia" w:cs="Times New Roman"/>
          <w:color w:val="auto"/>
          <w:sz w:val="21"/>
          <w:szCs w:val="21"/>
          <w:highlight w:val="none"/>
        </w:rPr>
        <w:t>.本项目仅以《中小企业声明函》作为评判供应商是否属于中小企业的唯一依据。</w:t>
      </w:r>
    </w:p>
    <w:p>
      <w:pPr>
        <w:adjustRightInd w:val="0"/>
        <w:snapToGrid w:val="0"/>
        <w:spacing w:line="288" w:lineRule="auto"/>
        <w:ind w:firstLine="495" w:firstLineChars="236"/>
        <w:rPr>
          <w:rFonts w:cs="Times New Roman"/>
          <w:color w:val="auto"/>
          <w:sz w:val="21"/>
          <w:szCs w:val="21"/>
          <w:highlight w:val="none"/>
        </w:rPr>
      </w:pPr>
      <w:r>
        <w:rPr>
          <w:rFonts w:cs="Times New Roman"/>
          <w:color w:val="auto"/>
          <w:sz w:val="21"/>
          <w:szCs w:val="21"/>
          <w:highlight w:val="none"/>
        </w:rPr>
        <w:t>4</w:t>
      </w:r>
      <w:r>
        <w:rPr>
          <w:rFonts w:hint="eastAsia" w:cs="Times New Roman"/>
          <w:color w:val="auto"/>
          <w:sz w:val="21"/>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cstheme="minorBidi"/>
          <w:color w:val="auto"/>
          <w:sz w:val="21"/>
          <w:szCs w:val="22"/>
          <w:highlight w:val="none"/>
          <w:u w:val="single"/>
        </w:rPr>
      </w:pPr>
      <w:r>
        <w:rPr>
          <w:rFonts w:cs="Times New Roman"/>
          <w:color w:val="auto"/>
          <w:sz w:val="21"/>
          <w:szCs w:val="21"/>
          <w:highlight w:val="none"/>
          <w:u w:val="single"/>
        </w:rPr>
        <w:t>5.</w:t>
      </w:r>
      <w:r>
        <w:rPr>
          <w:rFonts w:hint="eastAsia" w:cs="Times New Roman"/>
          <w:color w:val="auto"/>
          <w:sz w:val="21"/>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cstheme="minorBidi"/>
          <w:color w:val="auto"/>
          <w:sz w:val="21"/>
          <w:szCs w:val="22"/>
          <w:highlight w:val="none"/>
          <w:u w:val="single"/>
        </w:rPr>
        <w:t>不享受中小企业扶持政策。</w:t>
      </w:r>
    </w:p>
    <w:p>
      <w:pPr>
        <w:widowControl/>
        <w:adjustRightInd w:val="0"/>
        <w:snapToGrid w:val="0"/>
        <w:spacing w:line="288" w:lineRule="auto"/>
        <w:ind w:firstLine="495" w:firstLineChars="236"/>
        <w:jc w:val="left"/>
        <w:rPr>
          <w:rFonts w:cs="Times New Roman"/>
          <w:color w:val="auto"/>
          <w:sz w:val="21"/>
          <w:szCs w:val="21"/>
          <w:highlight w:val="none"/>
          <w:u w:val="single"/>
        </w:rPr>
      </w:pPr>
      <w:r>
        <w:rPr>
          <w:rFonts w:hint="eastAsia" w:cs="Times New Roman"/>
          <w:color w:val="auto"/>
          <w:sz w:val="21"/>
          <w:szCs w:val="21"/>
          <w:highlight w:val="none"/>
          <w:u w:val="single"/>
        </w:rPr>
        <w:t>6</w:t>
      </w:r>
      <w:r>
        <w:rPr>
          <w:rFonts w:cs="Times New Roman"/>
          <w:color w:val="auto"/>
          <w:sz w:val="21"/>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w:t>
      </w:r>
      <w:r>
        <w:rPr>
          <w:b/>
          <w:color w:val="auto"/>
          <w:spacing w:val="-6"/>
          <w:sz w:val="21"/>
          <w:szCs w:val="21"/>
          <w:highlight w:val="none"/>
        </w:rPr>
        <w:t>3</w:t>
      </w: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CF34D5B"/>
    <w:rsid w:val="111F4260"/>
    <w:rsid w:val="11987C6E"/>
    <w:rsid w:val="1DB148AB"/>
    <w:rsid w:val="34BF7C85"/>
    <w:rsid w:val="3A01184E"/>
    <w:rsid w:val="49515DAD"/>
    <w:rsid w:val="4A3E7485"/>
    <w:rsid w:val="4A705E01"/>
    <w:rsid w:val="571D0E81"/>
    <w:rsid w:val="66C25ABB"/>
    <w:rsid w:val="6CAE0F0E"/>
    <w:rsid w:val="71F37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Unresolved Mention"/>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51</Pages>
  <Words>4674</Words>
  <Characters>26646</Characters>
  <Lines>222</Lines>
  <Paragraphs>62</Paragraphs>
  <TotalTime>2</TotalTime>
  <ScaleCrop>false</ScaleCrop>
  <LinksUpToDate>false</LinksUpToDate>
  <CharactersWithSpaces>31258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浙江求是招标代理有限公司</cp:lastModifiedBy>
  <dcterms:modified xsi:type="dcterms:W3CDTF">2023-11-08T09:21:31Z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