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下沙校区、生活区、G区研究生公寓水电基础设施改造项目第二批设备采购</w:t>
      </w:r>
    </w:p>
    <w:p>
      <w:pPr>
        <w:adjustRightInd w:val="0"/>
        <w:snapToGrid w:val="0"/>
        <w:spacing w:line="288" w:lineRule="auto"/>
        <w:jc w:val="center"/>
        <w:rPr>
          <w:rFonts w:ascii="楷体" w:hAnsi="楷体" w:eastAsia="楷体" w:cs="Times New Roman"/>
          <w:b/>
          <w:color w:val="auto"/>
          <w:spacing w:val="-6"/>
          <w:sz w:val="48"/>
          <w:szCs w:val="48"/>
          <w:highlight w:val="none"/>
        </w:rPr>
      </w:pPr>
    </w:p>
    <w:p>
      <w:pPr>
        <w:adjustRightInd w:val="0"/>
        <w:snapToGrid w:val="0"/>
        <w:spacing w:line="288" w:lineRule="auto"/>
        <w:jc w:val="center"/>
        <w:rPr>
          <w:rFonts w:ascii="楷体" w:hAnsi="楷体" w:eastAsia="楷体" w:cs="Times New Roman"/>
          <w:b/>
          <w:color w:val="auto"/>
          <w:spacing w:val="-6"/>
          <w:sz w:val="48"/>
          <w:szCs w:val="48"/>
          <w:highlight w:val="none"/>
        </w:rPr>
      </w:pPr>
    </w:p>
    <w:p>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pPr>
        <w:adjustRightInd w:val="0"/>
        <w:snapToGrid w:val="0"/>
        <w:spacing w:line="288" w:lineRule="auto"/>
        <w:jc w:val="center"/>
        <w:rPr>
          <w:rFonts w:ascii="楷体" w:hAnsi="楷体" w:eastAsia="楷体" w:cs="Times New Roman"/>
          <w:color w:val="auto"/>
          <w:sz w:val="44"/>
          <w:szCs w:val="44"/>
          <w:highlight w:val="none"/>
        </w:rPr>
      </w:pPr>
    </w:p>
    <w:p>
      <w:pPr>
        <w:adjustRightInd w:val="0"/>
        <w:snapToGrid w:val="0"/>
        <w:spacing w:line="288" w:lineRule="auto"/>
        <w:jc w:val="center"/>
        <w:rPr>
          <w:rFonts w:ascii="楷体" w:hAnsi="楷体" w:eastAsia="楷体" w:cs="Times New Roman"/>
          <w:color w:val="auto"/>
          <w:sz w:val="44"/>
          <w:szCs w:val="44"/>
          <w:highlight w:val="none"/>
        </w:rPr>
      </w:pP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下沙校区、生活区、G区研究生公寓水电基础设施改造项目第二批设备采购</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QSZB-Z(H)-B24133(GK)</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[2024]1866号</w:t>
      </w:r>
    </w:p>
    <w:p>
      <w:pPr>
        <w:adjustRightInd w:val="0"/>
        <w:snapToGrid w:val="0"/>
        <w:spacing w:line="288" w:lineRule="auto"/>
        <w:rPr>
          <w:rFonts w:ascii="楷体" w:hAnsi="楷体" w:eastAsia="楷体" w:cs="Times New Roman"/>
          <w:b/>
          <w:color w:val="auto"/>
          <w:szCs w:val="21"/>
          <w:highlight w:val="none"/>
        </w:rPr>
      </w:pPr>
    </w:p>
    <w:p>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Borders>
            <w:top w:val="none" w:sz="0" w:space="0"/>
            <w:left w:val="none" w:sz="0" w:space="0"/>
            <w:bottom w:val="none" w:sz="0" w:space="0"/>
            <w:right w:val="none" w:sz="0" w:space="0"/>
          </w:pgBorders>
          <w:pgNumType w:start="1"/>
          <w:cols w:space="720" w:num="1"/>
          <w:docGrid w:linePitch="381" w:charSpace="0"/>
        </w:sectPr>
      </w:pPr>
    </w:p>
    <w:p>
      <w:pPr>
        <w:adjustRightInd w:val="0"/>
        <w:snapToGrid w:val="0"/>
        <w:spacing w:line="288" w:lineRule="auto"/>
        <w:rPr>
          <w:rFonts w:ascii="楷体" w:hAnsi="楷体" w:eastAsia="楷体" w:cs="Times New Roman"/>
          <w:b/>
          <w:color w:val="auto"/>
          <w:sz w:val="30"/>
          <w:szCs w:val="30"/>
          <w:highlight w:val="none"/>
        </w:rPr>
      </w:pPr>
    </w:p>
    <w:p>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pPr>
        <w:adjustRightInd w:val="0"/>
        <w:snapToGrid w:val="0"/>
        <w:spacing w:line="288" w:lineRule="auto"/>
        <w:rPr>
          <w:rFonts w:ascii="楷体" w:hAnsi="楷体" w:eastAsia="楷体" w:cs="Times New Roman"/>
          <w:b/>
          <w:color w:val="auto"/>
          <w:sz w:val="30"/>
          <w:szCs w:val="30"/>
          <w:highlight w:val="none"/>
        </w:rPr>
      </w:pP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pPr>
        <w:widowControl/>
        <w:adjustRightInd w:val="0"/>
        <w:snapToGrid w:val="0"/>
        <w:spacing w:line="288" w:lineRule="auto"/>
        <w:jc w:val="left"/>
        <w:rPr>
          <w:rFonts w:ascii="宋体" w:hAnsi="宋体" w:eastAsia="宋体" w:cs="Times New Roman"/>
          <w:color w:val="auto"/>
          <w:szCs w:val="21"/>
          <w:highlight w:val="none"/>
        </w:rPr>
      </w:pPr>
    </w:p>
    <w:p>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pgBorders>
            <w:top w:val="none" w:sz="0" w:space="0"/>
            <w:left w:val="none" w:sz="0" w:space="0"/>
            <w:bottom w:val="none" w:sz="0" w:space="0"/>
            <w:right w:val="none" w:sz="0" w:space="0"/>
          </w:pgBorders>
          <w:cols w:space="720" w:num="1"/>
          <w:docGrid w:linePitch="381" w:charSpace="0"/>
        </w:sectPr>
      </w:pP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下沙校区、生活区、G区研究生公寓水电基础设施改造项目第二批设备采购</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w:t>
      </w:r>
      <w:r>
        <w:rPr>
          <w:rFonts w:hint="eastAsia" w:ascii="宋体" w:hAnsi="宋体" w:eastAsia="宋体" w:cs="Times New Roman"/>
          <w:b/>
          <w:color w:val="auto"/>
          <w:szCs w:val="21"/>
          <w:highlight w:val="none"/>
          <w:u w:val="single"/>
          <w:lang w:val="en-US" w:eastAsia="zh-CN"/>
        </w:rPr>
        <w:t>4</w:t>
      </w:r>
      <w:r>
        <w:rPr>
          <w:rFonts w:hint="eastAsia" w:ascii="宋体" w:hAnsi="宋体" w:eastAsia="宋体" w:cs="Times New Roman"/>
          <w:b/>
          <w:color w:val="auto"/>
          <w:szCs w:val="21"/>
          <w:highlight w:val="none"/>
          <w:u w:val="single"/>
          <w:lang w:eastAsia="zh-CN"/>
        </w:rPr>
        <w:t>年</w:t>
      </w:r>
      <w:r>
        <w:rPr>
          <w:rFonts w:hint="eastAsia" w:ascii="宋体" w:hAnsi="宋体" w:eastAsia="宋体" w:cs="Times New Roman"/>
          <w:b/>
          <w:color w:val="auto"/>
          <w:szCs w:val="21"/>
          <w:highlight w:val="none"/>
          <w:u w:val="single"/>
          <w:lang w:val="en-US" w:eastAsia="zh-CN"/>
        </w:rPr>
        <w:t>6月3日</w:t>
      </w:r>
      <w:r>
        <w:rPr>
          <w:rFonts w:hint="eastAsia" w:ascii="宋体" w:hAnsi="宋体" w:eastAsia="宋体" w:cs="Times New Roman"/>
          <w:b/>
          <w:color w:val="auto"/>
          <w:szCs w:val="21"/>
          <w:highlight w:val="none"/>
          <w:u w:val="single"/>
        </w:rPr>
        <w:t>9:00:00（北京时间）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pPr>
        <w:adjustRightInd w:val="0"/>
        <w:snapToGrid w:val="0"/>
        <w:spacing w:line="288" w:lineRule="auto"/>
        <w:rPr>
          <w:rFonts w:ascii="宋体" w:hAnsi="宋体" w:eastAsia="宋体" w:cs="宋体"/>
          <w:b/>
          <w:color w:val="auto"/>
          <w:szCs w:val="21"/>
          <w:highlight w:val="none"/>
        </w:rPr>
      </w:pPr>
      <w:bookmarkStart w:id="0" w:name="_Toc28359002"/>
      <w:bookmarkStart w:id="1" w:name="_Toc35393790"/>
      <w:bookmarkStart w:id="2" w:name="_Toc35393621"/>
      <w:bookmarkStart w:id="3" w:name="_Toc28359079"/>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ascii="宋体" w:hAnsi="宋体" w:eastAsia="宋体" w:cs="宋体"/>
          <w:color w:val="auto"/>
          <w:szCs w:val="21"/>
          <w:highlight w:val="none"/>
          <w:shd w:val="clear" w:color="auto" w:fill="auto"/>
          <w:lang w:eastAsia="zh-CN"/>
        </w:rPr>
      </w:pPr>
      <w:r>
        <w:rPr>
          <w:rFonts w:hint="eastAsia" w:ascii="宋体" w:hAnsi="宋体" w:eastAsia="宋体" w:cs="Times New Roman"/>
          <w:color w:val="auto"/>
          <w:szCs w:val="21"/>
          <w:highlight w:val="none"/>
        </w:rPr>
        <w:t>1.项</w:t>
      </w:r>
      <w:r>
        <w:rPr>
          <w:rFonts w:hint="eastAsia" w:ascii="宋体" w:hAnsi="宋体" w:eastAsia="宋体" w:cs="宋体"/>
          <w:color w:val="auto"/>
          <w:szCs w:val="21"/>
          <w:highlight w:val="none"/>
          <w:shd w:val="clear" w:color="auto" w:fill="auto"/>
        </w:rPr>
        <w:t>目编号：</w:t>
      </w:r>
      <w:r>
        <w:rPr>
          <w:rFonts w:hint="eastAsia" w:ascii="宋体" w:hAnsi="宋体" w:eastAsia="宋体" w:cs="宋体"/>
          <w:color w:val="auto"/>
          <w:szCs w:val="21"/>
          <w:highlight w:val="none"/>
          <w:shd w:val="clear" w:color="auto" w:fill="auto"/>
          <w:lang w:eastAsia="zh-CN"/>
        </w:rPr>
        <w:t>QSZB-Z(H)-B24133(GK)</w:t>
      </w:r>
    </w:p>
    <w:p>
      <w:pPr>
        <w:adjustRightInd w:val="0"/>
        <w:snapToGrid w:val="0"/>
        <w:spacing w:line="288" w:lineRule="auto"/>
        <w:ind w:firstLine="420" w:firstLineChars="200"/>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2.项目名称：</w:t>
      </w:r>
      <w:r>
        <w:rPr>
          <w:rFonts w:hint="eastAsia" w:ascii="宋体" w:hAnsi="宋体" w:eastAsia="宋体" w:cs="宋体"/>
          <w:color w:val="auto"/>
          <w:szCs w:val="21"/>
          <w:highlight w:val="none"/>
          <w:shd w:val="clear" w:color="auto" w:fill="auto"/>
          <w:lang w:eastAsia="zh-CN"/>
        </w:rPr>
        <w:t>下沙校区、生活区、G区研究生公寓水电基础设施改造项目第二批设备采购</w:t>
      </w:r>
    </w:p>
    <w:bookmarkEnd w:id="4"/>
    <w:p>
      <w:pPr>
        <w:adjustRightInd w:val="0"/>
        <w:snapToGrid w:val="0"/>
        <w:spacing w:line="288" w:lineRule="auto"/>
        <w:ind w:firstLine="420" w:firstLineChars="200"/>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rPr>
        <w:t>3.预算金额：</w:t>
      </w:r>
      <w:r>
        <w:rPr>
          <w:rFonts w:hint="eastAsia" w:ascii="宋体" w:hAnsi="宋体" w:eastAsia="宋体" w:cs="宋体"/>
          <w:color w:val="auto"/>
          <w:szCs w:val="21"/>
          <w:highlight w:val="none"/>
          <w:shd w:val="clear" w:color="auto" w:fill="auto"/>
          <w:lang w:val="en-US" w:eastAsia="zh-CN"/>
        </w:rPr>
        <w:t>15000000元</w:t>
      </w:r>
    </w:p>
    <w:p>
      <w:pPr>
        <w:adjustRightInd w:val="0"/>
        <w:snapToGrid w:val="0"/>
        <w:spacing w:line="288" w:lineRule="auto"/>
        <w:ind w:firstLine="420" w:firstLineChars="20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4.最高限价：</w:t>
      </w:r>
    </w:p>
    <w:p>
      <w:pPr>
        <w:adjustRightInd w:val="0"/>
        <w:snapToGrid w:val="0"/>
        <w:spacing w:line="288" w:lineRule="auto"/>
        <w:ind w:firstLine="420" w:firstLineChars="200"/>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标项一：4200000元</w:t>
      </w:r>
    </w:p>
    <w:p>
      <w:pPr>
        <w:adjustRightInd w:val="0"/>
        <w:snapToGrid w:val="0"/>
        <w:spacing w:line="288" w:lineRule="auto"/>
        <w:ind w:firstLine="420" w:firstLineChars="200"/>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标项二：4000000元</w:t>
      </w:r>
    </w:p>
    <w:p>
      <w:pPr>
        <w:adjustRightInd w:val="0"/>
        <w:snapToGrid w:val="0"/>
        <w:spacing w:line="288" w:lineRule="auto"/>
        <w:ind w:firstLine="420" w:firstLineChars="200"/>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标项三：4200000元</w:t>
      </w:r>
    </w:p>
    <w:p>
      <w:pPr>
        <w:adjustRightInd w:val="0"/>
        <w:snapToGrid w:val="0"/>
        <w:spacing w:line="288" w:lineRule="auto"/>
        <w:ind w:firstLine="420" w:firstLineChars="200"/>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标项四：</w:t>
      </w:r>
      <w:r>
        <w:rPr>
          <w:rFonts w:hint="eastAsia" w:ascii="宋体" w:hAnsi="宋体" w:eastAsia="宋体" w:cs="宋体"/>
          <w:color w:val="auto"/>
          <w:highlight w:val="none"/>
          <w:shd w:val="clear" w:color="auto" w:fill="auto"/>
          <w:lang w:val="en-US" w:eastAsia="zh-CN"/>
        </w:rPr>
        <w:t>2600000元</w:t>
      </w:r>
    </w:p>
    <w:p>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w:t>
      </w:r>
      <w:r>
        <w:rPr>
          <w:rFonts w:hint="eastAsia" w:ascii="宋体" w:hAnsi="宋体" w:eastAsia="宋体" w:cs="Times New Roman"/>
          <w:color w:val="auto"/>
          <w:szCs w:val="21"/>
          <w:highlight w:val="none"/>
          <w:lang w:val="en-US" w:eastAsia="zh-CN"/>
        </w:rPr>
        <w:t>自合同签订之日起50日内交付。</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539"/>
        <w:gridCol w:w="719"/>
        <w:gridCol w:w="687"/>
        <w:gridCol w:w="2597"/>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标项</w:t>
            </w:r>
          </w:p>
        </w:tc>
        <w:tc>
          <w:tcPr>
            <w:tcW w:w="3539"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19"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687"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2597"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一</w:t>
            </w:r>
          </w:p>
        </w:tc>
        <w:tc>
          <w:tcPr>
            <w:tcW w:w="3539" w:type="dxa"/>
            <w:tcBorders>
              <w:right w:val="single" w:color="auto" w:sz="4" w:space="0"/>
              <w:tl2br w:val="nil"/>
              <w:tr2bl w:val="nil"/>
            </w:tcBorders>
            <w:vAlign w:val="center"/>
          </w:tcPr>
          <w:p>
            <w:pPr>
              <w:adjustRightInd w:val="0"/>
              <w:snapToGrid w:val="0"/>
              <w:spacing w:line="288" w:lineRule="auto"/>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校区10#变电所</w:t>
            </w:r>
            <w:r>
              <w:rPr>
                <w:rFonts w:hint="eastAsia" w:ascii="宋体" w:hAnsi="宋体" w:eastAsia="宋体" w:cs="宋体"/>
                <w:bCs/>
                <w:color w:val="auto"/>
                <w:szCs w:val="21"/>
                <w:highlight w:val="none"/>
                <w:lang w:eastAsia="zh-CN"/>
              </w:rPr>
              <w:t>、12#变电所</w:t>
            </w:r>
            <w:r>
              <w:rPr>
                <w:rFonts w:hint="eastAsia" w:ascii="宋体" w:hAnsi="宋体" w:eastAsia="宋体" w:cs="宋体"/>
                <w:bCs/>
                <w:color w:val="auto"/>
                <w:szCs w:val="21"/>
                <w:highlight w:val="none"/>
                <w:lang w:val="en-US" w:eastAsia="zh-CN"/>
              </w:rPr>
              <w:t>设备</w:t>
            </w:r>
          </w:p>
        </w:tc>
        <w:tc>
          <w:tcPr>
            <w:tcW w:w="719" w:type="dxa"/>
            <w:tcBorders>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687" w:type="dxa"/>
            <w:tcBorders>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批</w:t>
            </w:r>
          </w:p>
        </w:tc>
        <w:tc>
          <w:tcPr>
            <w:tcW w:w="2597" w:type="dxa"/>
            <w:vMerge w:val="restart"/>
            <w:tcBorders>
              <w:right w:val="single" w:color="auto" w:sz="4" w:space="0"/>
              <w:tl2br w:val="nil"/>
              <w:tr2bl w:val="nil"/>
            </w:tcBorders>
            <w:vAlign w:val="center"/>
          </w:tcPr>
          <w:p>
            <w:pPr>
              <w:adjustRightInd w:val="0"/>
              <w:snapToGrid w:val="0"/>
              <w:spacing w:line="288" w:lineRule="auto"/>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c>
          <w:tcPr>
            <w:tcW w:w="1276" w:type="dxa"/>
            <w:vMerge w:val="restart"/>
            <w:tcBorders>
              <w:right w:val="single" w:color="auto" w:sz="4" w:space="0"/>
              <w:tl2br w:val="nil"/>
              <w:tr2bl w:val="nil"/>
            </w:tcBorders>
            <w:vAlign w:val="center"/>
          </w:tcPr>
          <w:p>
            <w:pPr>
              <w:adjustRightInd w:val="0"/>
              <w:snapToGrid w:val="0"/>
              <w:spacing w:line="288"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二</w:t>
            </w:r>
          </w:p>
        </w:tc>
        <w:tc>
          <w:tcPr>
            <w:tcW w:w="3539"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校区5#变电所、11#变电所设备</w:t>
            </w:r>
          </w:p>
        </w:tc>
        <w:tc>
          <w:tcPr>
            <w:tcW w:w="719" w:type="dxa"/>
            <w:tcBorders>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687"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批</w:t>
            </w:r>
          </w:p>
        </w:tc>
        <w:tc>
          <w:tcPr>
            <w:tcW w:w="2597" w:type="dxa"/>
            <w:vMerge w:val="continue"/>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p>
        </w:tc>
        <w:tc>
          <w:tcPr>
            <w:tcW w:w="1276" w:type="dxa"/>
            <w:vMerge w:val="continue"/>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三</w:t>
            </w:r>
          </w:p>
        </w:tc>
        <w:tc>
          <w:tcPr>
            <w:tcW w:w="3539"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校区</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#变电所、</w:t>
            </w:r>
            <w:r>
              <w:rPr>
                <w:rFonts w:hint="eastAsia" w:ascii="宋体" w:hAnsi="宋体" w:eastAsia="宋体" w:cs="宋体"/>
                <w:bCs/>
                <w:color w:val="auto"/>
                <w:szCs w:val="21"/>
                <w:highlight w:val="none"/>
                <w:lang w:val="en-US" w:eastAsia="zh-CN"/>
              </w:rPr>
              <w:t>9</w:t>
            </w:r>
            <w:r>
              <w:rPr>
                <w:rFonts w:hint="eastAsia" w:ascii="宋体" w:hAnsi="宋体" w:eastAsia="宋体" w:cs="宋体"/>
                <w:bCs/>
                <w:color w:val="auto"/>
                <w:szCs w:val="21"/>
                <w:highlight w:val="none"/>
              </w:rPr>
              <w:t>#变电所设备</w:t>
            </w:r>
          </w:p>
        </w:tc>
        <w:tc>
          <w:tcPr>
            <w:tcW w:w="719" w:type="dxa"/>
            <w:tcBorders>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687"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批</w:t>
            </w:r>
          </w:p>
        </w:tc>
        <w:tc>
          <w:tcPr>
            <w:tcW w:w="2597" w:type="dxa"/>
            <w:vMerge w:val="continue"/>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p>
        </w:tc>
        <w:tc>
          <w:tcPr>
            <w:tcW w:w="1276" w:type="dxa"/>
            <w:vMerge w:val="continue"/>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四</w:t>
            </w:r>
          </w:p>
        </w:tc>
        <w:tc>
          <w:tcPr>
            <w:tcW w:w="3539"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校区7A#变电所设备</w:t>
            </w:r>
          </w:p>
        </w:tc>
        <w:tc>
          <w:tcPr>
            <w:tcW w:w="719" w:type="dxa"/>
            <w:tcBorders>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687"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批</w:t>
            </w:r>
          </w:p>
        </w:tc>
        <w:tc>
          <w:tcPr>
            <w:tcW w:w="2597" w:type="dxa"/>
            <w:vMerge w:val="continue"/>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p>
        </w:tc>
        <w:tc>
          <w:tcPr>
            <w:tcW w:w="1276" w:type="dxa"/>
            <w:vMerge w:val="continue"/>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color w:val="auto"/>
                <w:szCs w:val="21"/>
                <w:highlight w:val="none"/>
              </w:rPr>
            </w:pPr>
          </w:p>
        </w:tc>
      </w:tr>
    </w:tbl>
    <w:p>
      <w:pPr>
        <w:adjustRightInd w:val="0"/>
        <w:snapToGrid w:val="0"/>
        <w:spacing w:line="288" w:lineRule="auto"/>
        <w:rPr>
          <w:rFonts w:ascii="宋体" w:hAnsi="宋体" w:eastAsia="宋体" w:cs="宋体"/>
          <w:b/>
          <w:color w:val="auto"/>
          <w:szCs w:val="21"/>
          <w:highlight w:val="none"/>
        </w:rPr>
      </w:pPr>
      <w:bookmarkStart w:id="5" w:name="_Toc35393791"/>
      <w:bookmarkStart w:id="6" w:name="_Toc28359080"/>
      <w:bookmarkStart w:id="7" w:name="_Toc28359003"/>
      <w:bookmarkStart w:id="8" w:name="_Toc35393622"/>
      <w:r>
        <w:rPr>
          <w:rFonts w:hint="eastAsia" w:ascii="宋体" w:hAnsi="宋体" w:eastAsia="宋体" w:cs="宋体"/>
          <w:b/>
          <w:color w:val="auto"/>
          <w:szCs w:val="21"/>
          <w:highlight w:val="none"/>
        </w:rPr>
        <w:t>二、申请人的资格要求：</w:t>
      </w:r>
      <w:bookmarkEnd w:id="5"/>
      <w:bookmarkEnd w:id="6"/>
      <w:bookmarkEnd w:id="7"/>
      <w:bookmarkEnd w:id="8"/>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2.落实政府采购政策需满足的资格要求：无</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pPr>
        <w:adjustRightInd w:val="0"/>
        <w:snapToGrid w:val="0"/>
        <w:spacing w:line="288" w:lineRule="auto"/>
        <w:rPr>
          <w:rFonts w:ascii="宋体" w:hAnsi="宋体" w:eastAsia="宋体" w:cs="宋体"/>
          <w:b/>
          <w:color w:val="auto"/>
          <w:szCs w:val="21"/>
          <w:highlight w:val="none"/>
        </w:rPr>
      </w:pPr>
      <w:bookmarkStart w:id="11" w:name="_Toc35393792"/>
      <w:bookmarkStart w:id="12" w:name="_Toc35393623"/>
      <w:r>
        <w:rPr>
          <w:rFonts w:hint="eastAsia" w:ascii="宋体" w:hAnsi="宋体" w:eastAsia="宋体" w:cs="宋体"/>
          <w:b/>
          <w:color w:val="auto"/>
          <w:szCs w:val="21"/>
          <w:highlight w:val="none"/>
        </w:rPr>
        <w:t>三、获取招标文件</w:t>
      </w:r>
      <w:bookmarkEnd w:id="9"/>
      <w:bookmarkEnd w:id="10"/>
      <w:bookmarkEnd w:id="11"/>
      <w:bookmarkEnd w:id="12"/>
    </w:p>
    <w:p>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05"/>
      <w:bookmarkStart w:id="14" w:name="_Toc28359082"/>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2024年</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11</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2024年6月3日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2024年6月3日</w:t>
      </w:r>
      <w:r>
        <w:rPr>
          <w:rFonts w:hint="eastAsia" w:ascii="宋体" w:hAnsi="宋体" w:eastAsia="宋体" w:cs="Times New Roman"/>
          <w:bCs/>
          <w:color w:val="auto"/>
          <w:szCs w:val="21"/>
          <w:highlight w:val="none"/>
        </w:rPr>
        <w:t>9:00:00（北京时间）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2024年6月3日</w:t>
      </w:r>
      <w:r>
        <w:rPr>
          <w:rFonts w:hint="eastAsia" w:ascii="宋体" w:hAnsi="宋体" w:eastAsia="宋体" w:cs="Times New Roman"/>
          <w:bCs/>
          <w:color w:val="auto"/>
          <w:szCs w:val="21"/>
          <w:highlight w:val="none"/>
        </w:rPr>
        <w:t>9:00:00（北京时间）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/杭州市西湖区玉古路173号中田大厦21楼（求是招标会议室</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w:t>
      </w:r>
      <w:bookmarkEnd w:id="18"/>
    </w:p>
    <w:bookmarkEnd w:id="17"/>
    <w:p>
      <w:pPr>
        <w:adjustRightInd w:val="0"/>
        <w:snapToGrid w:val="0"/>
        <w:spacing w:line="288" w:lineRule="auto"/>
        <w:rPr>
          <w:rFonts w:ascii="宋体" w:hAnsi="宋体" w:eastAsia="宋体" w:cs="宋体"/>
          <w:b/>
          <w:color w:val="auto"/>
          <w:szCs w:val="21"/>
          <w:highlight w:val="none"/>
        </w:rPr>
      </w:pPr>
      <w:bookmarkStart w:id="19" w:name="_Toc35393794"/>
      <w:bookmarkStart w:id="20" w:name="_Toc28359007"/>
      <w:bookmarkStart w:id="21" w:name="_Toc35393625"/>
      <w:bookmarkStart w:id="22" w:name="_Toc28359084"/>
      <w:r>
        <w:rPr>
          <w:rFonts w:hint="eastAsia" w:ascii="宋体" w:hAnsi="宋体" w:eastAsia="宋体" w:cs="宋体"/>
          <w:b/>
          <w:color w:val="auto"/>
          <w:szCs w:val="21"/>
          <w:highlight w:val="none"/>
        </w:rPr>
        <w:t>五、公告期限</w:t>
      </w:r>
      <w:bookmarkEnd w:id="19"/>
      <w:bookmarkEnd w:id="20"/>
      <w:bookmarkEnd w:id="21"/>
      <w:bookmarkEnd w:id="22"/>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pPr>
        <w:adjustRightInd w:val="0"/>
        <w:snapToGrid w:val="0"/>
        <w:spacing w:line="288" w:lineRule="auto"/>
        <w:rPr>
          <w:rFonts w:ascii="宋体" w:hAnsi="宋体" w:eastAsia="宋体" w:cs="宋体"/>
          <w:b/>
          <w:color w:val="auto"/>
          <w:szCs w:val="21"/>
          <w:highlight w:val="none"/>
        </w:rPr>
      </w:pPr>
      <w:bookmarkStart w:id="23" w:name="_Toc35393626"/>
      <w:bookmarkStart w:id="24" w:name="_Toc35393795"/>
      <w:r>
        <w:rPr>
          <w:rFonts w:hint="eastAsia" w:ascii="宋体" w:hAnsi="宋体" w:eastAsia="宋体" w:cs="宋体"/>
          <w:b/>
          <w:color w:val="auto"/>
          <w:szCs w:val="21"/>
          <w:highlight w:val="none"/>
        </w:rPr>
        <w:t>六、其他补充事宜</w:t>
      </w:r>
      <w:bookmarkEnd w:id="23"/>
      <w:bookmarkEnd w:id="24"/>
    </w:p>
    <w:p>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pPr>
        <w:adjustRightInd w:val="0"/>
        <w:snapToGrid w:val="0"/>
        <w:spacing w:line="288" w:lineRule="auto"/>
        <w:rPr>
          <w:rFonts w:ascii="宋体" w:hAnsi="宋体" w:eastAsia="宋体" w:cs="Times New Roman"/>
          <w:b/>
          <w:color w:val="auto"/>
          <w:szCs w:val="21"/>
          <w:highlight w:val="none"/>
        </w:rPr>
      </w:pPr>
      <w:bookmarkStart w:id="29" w:name="_Toc35393796"/>
      <w:bookmarkStart w:id="30" w:name="_Toc28359008"/>
      <w:bookmarkStart w:id="31" w:name="_Toc35393627"/>
      <w:bookmarkStart w:id="32" w:name="_Toc28359085"/>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pPr>
        <w:adjustRightInd w:val="0"/>
        <w:snapToGrid w:val="0"/>
        <w:spacing w:line="288" w:lineRule="auto"/>
        <w:ind w:firstLine="451" w:firstLineChars="215"/>
        <w:rPr>
          <w:rFonts w:hint="eastAsia" w:ascii="宋体" w:hAnsi="宋体" w:eastAsia="宋体" w:cs="Times New Roman"/>
          <w:color w:val="auto"/>
          <w:szCs w:val="21"/>
          <w:highlight w:val="none"/>
        </w:rPr>
      </w:pPr>
      <w:bookmarkStart w:id="33" w:name="_Hlk124147873"/>
      <w:r>
        <w:rPr>
          <w:rFonts w:hint="eastAsia" w:ascii="宋体" w:hAnsi="宋体" w:eastAsia="宋体" w:cs="Times New Roman"/>
          <w:color w:val="auto"/>
          <w:szCs w:val="21"/>
          <w:highlight w:val="none"/>
        </w:rPr>
        <w:t>1.采购人信息</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项目联系人（询问）：袁老师</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项目联系方式（询问）：0571-86919240</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pPr>
        <w:adjustRightInd w:val="0"/>
        <w:snapToGrid w:val="0"/>
        <w:spacing w:line="288" w:lineRule="auto"/>
        <w:ind w:firstLine="451" w:firstLineChars="215"/>
        <w:rPr>
          <w:rFonts w:hint="eastAsia" w:ascii="宋体" w:hAnsi="宋体" w:eastAsia="宋体" w:cs="Times New Roman"/>
          <w:color w:val="auto"/>
          <w:szCs w:val="21"/>
          <w:highlight w:val="none"/>
        </w:rPr>
      </w:pP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项目联系人（询问）：陈应俭、俞炳</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项目联系方式（询问）：0571-87670302</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质疑联系人：刘璐</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质疑邮箱：jdkh@qszb.net</w:t>
      </w:r>
    </w:p>
    <w:p>
      <w:pPr>
        <w:adjustRightInd w:val="0"/>
        <w:snapToGrid w:val="0"/>
        <w:spacing w:line="288" w:lineRule="auto"/>
        <w:ind w:firstLine="451" w:firstLineChars="215"/>
        <w:rPr>
          <w:rFonts w:hint="eastAsia" w:ascii="宋体" w:hAnsi="宋体" w:eastAsia="宋体" w:cs="Times New Roman"/>
          <w:color w:val="auto"/>
          <w:szCs w:val="21"/>
          <w:highlight w:val="none"/>
        </w:rPr>
      </w:pP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3.同级政府采购监督管理部门</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名称：浙江省财政厅政府采购监管处、浙江省政府采购行政裁决服务中心（杭州）</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地址：杭州市上城区四季青街道新业路市民之家G03办公室</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联系人：朱女士、王女士</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监督投诉电话：0571-85252453</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政策咨询：何一平、冯华，0571-87058424、87055741</w:t>
      </w:r>
    </w:p>
    <w:p>
      <w:pPr>
        <w:adjustRightInd w:val="0"/>
        <w:snapToGrid w:val="0"/>
        <w:spacing w:line="288" w:lineRule="auto"/>
        <w:ind w:firstLine="451" w:firstLineChars="215"/>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预算金额未达100万元的采购项目，由采购人处理采购争议。</w:t>
      </w:r>
    </w:p>
    <w:p>
      <w:pPr>
        <w:adjustRightInd w:val="0"/>
        <w:snapToGrid w:val="0"/>
        <w:spacing w:line="288" w:lineRule="auto"/>
        <w:ind w:firstLine="37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p>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本项目属性为：货物</w:t>
            </w:r>
          </w:p>
          <w:p>
            <w:pPr>
              <w:adjustRightInd w:val="0"/>
              <w:snapToGrid w:val="0"/>
              <w:spacing w:line="288" w:lineRule="auto"/>
              <w:jc w:val="left"/>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rPr>
              <w:t>采购标的对应的中小企业划分标准所属行业：</w:t>
            </w:r>
            <w:r>
              <w:rPr>
                <w:rFonts w:hint="eastAsia" w:ascii="宋体" w:hAnsi="宋体" w:eastAsia="宋体" w:cs="Times New Roman"/>
                <w:b/>
                <w:bCs/>
                <w:color w:val="auto"/>
                <w:szCs w:val="21"/>
                <w:highlight w:val="none"/>
                <w:lang w:val="en-US" w:eastAsia="zh-CN"/>
              </w:rPr>
              <w:t>工业</w:t>
            </w:r>
          </w:p>
          <w:p>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Times New Roman"/>
                <w:b/>
                <w:bCs/>
                <w:color w:val="auto"/>
                <w:szCs w:val="21"/>
                <w:highlight w:val="none"/>
                <w:lang w:val="en-US" w:eastAsia="zh-CN"/>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bookmarkEnd w:id="34"/>
    </w:tbl>
    <w:p>
      <w:pPr>
        <w:adjustRightInd w:val="0"/>
        <w:snapToGrid w:val="0"/>
        <w:spacing w:line="288" w:lineRule="auto"/>
        <w:rPr>
          <w:rFonts w:ascii="宋体" w:hAnsi="宋体" w:eastAsia="宋体" w:cs="Times New Roman"/>
          <w:b/>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1.合同签订后</w:t>
            </w:r>
            <w:r>
              <w:rPr>
                <w:rFonts w:hint="eastAsia" w:ascii="宋体" w:hAnsi="宋体" w:eastAsia="宋体" w:cs="宋体"/>
                <w:color w:val="auto"/>
                <w:spacing w:val="-6"/>
                <w:kern w:val="0"/>
                <w:sz w:val="21"/>
                <w:szCs w:val="21"/>
                <w:highlight w:val="none"/>
                <w:lang w:val="en-US" w:eastAsia="zh-CN" w:bidi="ar"/>
              </w:rPr>
              <w:t>5个工作日</w:t>
            </w:r>
            <w:r>
              <w:rPr>
                <w:rFonts w:hint="eastAsia" w:ascii="宋体" w:hAnsi="宋体" w:eastAsia="宋体" w:cs="宋体"/>
                <w:color w:val="auto"/>
                <w:spacing w:val="-6"/>
                <w:kern w:val="0"/>
                <w:sz w:val="21"/>
                <w:szCs w:val="21"/>
                <w:highlight w:val="none"/>
                <w:lang w:bidi="ar"/>
              </w:rPr>
              <w:t>内，</w:t>
            </w:r>
            <w:r>
              <w:rPr>
                <w:rFonts w:hint="eastAsia" w:ascii="宋体" w:hAnsi="宋体" w:eastAsia="宋体" w:cs="宋体"/>
                <w:color w:val="auto"/>
                <w:spacing w:val="-6"/>
                <w:kern w:val="0"/>
                <w:sz w:val="21"/>
                <w:szCs w:val="21"/>
                <w:highlight w:val="none"/>
                <w:lang w:eastAsia="zh-CN" w:bidi="ar"/>
              </w:rPr>
              <w:t>中标人</w:t>
            </w:r>
            <w:r>
              <w:rPr>
                <w:rFonts w:hint="eastAsia" w:ascii="宋体" w:hAnsi="宋体" w:eastAsia="宋体" w:cs="宋体"/>
                <w:color w:val="auto"/>
                <w:spacing w:val="-6"/>
                <w:kern w:val="0"/>
                <w:sz w:val="21"/>
                <w:szCs w:val="21"/>
                <w:highlight w:val="none"/>
                <w:lang w:bidi="ar"/>
              </w:rPr>
              <w:t>向采购人提交合同总价1%的履约保证金，履约保证金在合同履约期间无违约情形的，项目验收结束后，于</w:t>
            </w:r>
            <w:r>
              <w:rPr>
                <w:rFonts w:hint="eastAsia" w:ascii="宋体" w:hAnsi="宋体" w:eastAsia="宋体" w:cs="宋体"/>
                <w:color w:val="auto"/>
                <w:spacing w:val="-6"/>
                <w:kern w:val="0"/>
                <w:sz w:val="21"/>
                <w:szCs w:val="21"/>
                <w:highlight w:val="none"/>
                <w:lang w:val="en-US" w:eastAsia="zh-CN" w:bidi="ar"/>
              </w:rPr>
              <w:t>7个工作日</w:t>
            </w:r>
            <w:r>
              <w:rPr>
                <w:rFonts w:hint="eastAsia" w:ascii="宋体" w:hAnsi="宋体" w:eastAsia="宋体" w:cs="宋体"/>
                <w:color w:val="auto"/>
                <w:spacing w:val="-6"/>
                <w:kern w:val="0"/>
                <w:sz w:val="21"/>
                <w:szCs w:val="21"/>
                <w:highlight w:val="none"/>
                <w:lang w:bidi="ar"/>
              </w:rPr>
              <w:t>内退还（不计息）；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2.提交方式：支票、汇票、本票或金融机构、担保机构出具的保函等非现金形式。</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8"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bookmarkStart w:id="35" w:name="_Hlk45005608"/>
            <w:r>
              <w:rPr>
                <w:rFonts w:hint="eastAsia" w:ascii="宋体" w:hAnsi="宋体" w:eastAsia="宋体"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1.供应商为中小企业的，合同生效以及具备实施条件后7个工作日内，且</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已向采购人提交银行、保险公司等金融机构出具的预付款保函的，采购人向</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支付合同总价的40%；货物在</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安装调试完毕并经采购人验收合格后，采购人在收到发票后7个工作日内，向</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2.</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为大型企业的，合同生效以及具备实施条件后7个工作日内，且</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已向采购人提交银行、保险公司等金融机构出具的预付款保函的，采购人向</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支付合同总价的30%；货物在</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安装调试完毕并经采购人验收合格后，采购人在收到发票后7个工作日内，向</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3.在签订合同时，</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4.签订合同时</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明确表示无需预付款的，可以采用以下付款方式：</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①货到分期付款：货物送达并经</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初步验收并收到发票后10个工作日内，</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支付合同总价的70%；货物由</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安装调试完毕并经</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验收合格后，收到发票后10个工作日内，</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支付合同总价的30%。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②货到一次性支付：全部货物送达安装调试完毕，经</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验收合格，收到发票后10个工作日内，</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支付全部合同价款。</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注：付款前，</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须交纳合同约定的履约保证金（如有）并提供</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财务处开具的履约保证金收据，</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开具等额有效的合格增值税专用发票。</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单位名称：杭州电子科技大学。税号：12330000470009026T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开户银行：工行杭州高新支行。账号：1202026209008806216</w:t>
            </w:r>
          </w:p>
        </w:tc>
      </w:tr>
      <w:bookmarkEnd w:id="35"/>
    </w:tbl>
    <w:p>
      <w:pPr>
        <w:adjustRightInd w:val="0"/>
        <w:snapToGrid w:val="0"/>
        <w:spacing w:line="288" w:lineRule="auto"/>
        <w:rPr>
          <w:rFonts w:ascii="宋体" w:hAnsi="宋体" w:eastAsia="宋体" w:cs="Times New Roman"/>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自合同签订之日起</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singl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如在使用过程中发生质量问题，供应商维修响应时间：1小时以内；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电话技术支持时间：2小时以内；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6.运维服务和技术支持：</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6.1为保障校园网络与业务正常、安全、有效运行，要求供应商在质保期内负责本次建设的网络系统的运维工作，保证网络服务的可用性，同时不断优化系统架构提升网络使用体验。运维服务时长同质保期。</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6.2终端巡检：供应商应承诺，建设完成后将由本公司专业网络工程师每学期对系统进行一次全面的检测，及时排除系统隐患，为学校解除后顾之忧，同时做好设备交付使用后的一切质量信息记录，并建立档案。</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none"/>
                <w:lang w:val="en-US" w:eastAsia="zh-CN"/>
              </w:rPr>
              <w:t>7.维护、保养：除巡检外，要求供应商不定期地进行系统的维护、保养，并对系统在使用中发现的问题或管理模式的变化所带来需求进行参数配置的调整，以使系统的应用更贴近采购人的需求，提升网络使用体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4.初验：</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4.1系统调试完成，经当地供电部门验收并通电稳定运行10个工作日后，对设备进行初步验收；</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4.2验收及测试所需的相关设施由中标人提供（如测试仪表、工器具、测试软件、连接缆线等）。初步验收测试结果证明合同设备满足招投标文件规定，由双方共同签署初验合格证书；</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4.3如设备中的任何部分不能通过初验，中标人应采取一切补救措施以使初步验收测试能够尽快再次进行，再次初验测试由中标人负担费用。如果补测仍不合格，则视为产品不合格。</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5.试运行：</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5.1“初验证书”签署之日起，合同设备开始为期6个月的设备试运行；</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5.2试运行应表明设备的功能和性能符合招投标文件规定；</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5.3如果在试运行期间发现任何因中标人责任造成的合同设备与合同规定的不符点，中标人负责免费对其进行修改和矫正，直到合同设备达到中标人在合同中承诺的功能和性能，同时试运行期做相应顺延。</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5.4如果由于中标人合同设备原因引起发生重大通信故障，则试运行期将自故障排除恢复正常设备运行后重新开始计算。</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5.5试运行期最长不应超过12个月，否则视为产品不合格。</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5.6如果由于中标人合同设备原因，在设备调试和运行期间造成人身和财物安全事故，需由中标人承担相应赔偿责任。</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6.终验：</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6.1最终验收测试在试运行期届满时，对设备进行最终验收。</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6.2验收及测试所需的相关设施由中标人提供（如测试仪表、工器具、测试软硬件、连接缆线、假负载等）。</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6.3如最终验收测试结果证明合同设备满足招投标文件规定，由双方共同署终验合格证书。</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6.4如设备中的任何部分不能通过终验，中标人将采取一切补救措施以使终验测试能够尽快再次进行，再次最终验收测试由中标人负担费用。如果补测仍不合格，则视为产品不合格，</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6.5在最终验收测试合格之前，因中标人的原因进行设备或部件更换、部件维修所发生的费用，包括部分设备或部件维修费用、运输及保险费将由中标人承担。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6.6合同设备的最终验收测试合格并不免除投标方根据本合同规定的保修期内的责任。</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7.验收合格的条件：</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供应商应按招标文件规定的货物性能、技术要求、质量标准向采购人提供未经使用的全新产品，符合国家法律法规规定和技术规格、质量标准的出厂原装合格产品。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.技术支持：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.安装调试：</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.6供应商在投标文件中应提供安装调试计划、对安装场地和环境的要求</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3.7供应商或供应商委托的国内代理（或其他机构）必须具备安装本项目设备的资质，交货时中标人必须向采购人提供相应资质证明材料，否则采购人有权拒绝中标人进行设备安装，由此产生的一切不利影响由中标人承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3.8在本次供配电系统变配室改造项目中，不包含视频监控、门禁系统、火灾探测（烟雾、气味）、电力智能化监控平台的构建，但是要完成开关柜、电缆温度监测系统的搭建，包含具有通信功能的仪表、装置的安装、接线、调试等；</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3.9须拆除并清除变电所原接地系统，按设计及国标准规范的要求重新安装变电所接地系统，新的接地系统须与建筑楼宇的结构主钢筋连接，连接点数量应符合设计要求，且不能从原有接地系统任何部件上引出。暗敷在电缆沟内的接地线沿墙、梁敷设，尽可能避免敷设载电缆沟底面，电缆沟地面的接地线不得有连接(焊接），接地线的连接点里电缆沟底面的垂直距离须大于400mm；</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3.10新建电缆沟施工应充分考虑对原有防水层的影响，要有详细的实施方案和预案，严禁使用大震动机械设备，严禁盲目与野蛮施工；</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3.11须拆除并清除供配电设备安装基础（如槽钢），按设计与国家标准的要求制作全新的设备安装基础；</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3.12项目中新增或更新了很多具有通信功能的多功能电力仪表、微机综合保护装置、直流电源屏、无功补偿控制器、框架断路器、电缆温度传感与接收器等装置，所有的要求具备通信功能的设备设施，要求至少支持RS485接口或以太网口，支持MODBUS-RTU或MODBUS-TCP协议，并且须在设备安装开始前提供详细完整的通信资料（中文），提供单机测试软件、编程配置与通信用电缆或部件等，在设备安装完成后须做单机通信功能测试，对于批量的同规格型号同批次装置，采用抽查方式验证通信功能是否正常；</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3.13微机保护装置的软件编程功能、仪表及断路器等装置的单机通讯功能测试以及编程测试软件、编程通讯调试专用部件的提供是本项目必须完成的工作，对用户的现场培训及售后指导作为培训工作内容，这些工作内容完成与否，将影响本项目的验收通过；</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3.14变电所排水装置：集水井的位置现场确定，排水泵须采用具有通信功能的专用水泵控制箱，一体化、体积小，具有远程监测电缆沟水位信号及水泵运行信号（已启泵、停泵），具有远程控制水泵启停功能。通信采用RS485接口或以太网接口，MODBUS-RTU或MODBUS-TCP协议。排水泵在电缆沟水位15CM时应能可靠启泵，不得采用随电缆沟水位升高有明显的水平方向漂动的水位检测装置。水位检测装置应安装固定可靠，启泵液位、停泵液位现场应可以调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3.15本次改造项目虽未考虑出线电缆的换新，但由于配电柜排列有变更、新旧变配电设备设施外围尺寸差异以及安装位置的偏移，需要对少量电缆有加长的可能。敷设于配电室、变电所内部的电缆换新，新敷设的电缆型号规格须与新设备匹配。</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highlight w:val="none"/>
              </w:rPr>
            </w:pPr>
            <w:r>
              <w:rPr>
                <w:rFonts w:hint="eastAsia" w:ascii="宋体" w:hAnsi="宋体" w:eastAsia="宋体" w:cs="宋体"/>
                <w:color w:val="auto"/>
                <w:szCs w:val="21"/>
                <w:highlight w:val="none"/>
              </w:rPr>
              <w:t>6</w:t>
            </w:r>
            <w:r>
              <w:rPr>
                <w:rFonts w:hint="default" w:ascii="宋体" w:hAnsi="宋体" w:eastAsia="宋体" w:cs="宋体"/>
                <w:color w:val="auto"/>
                <w:szCs w:val="21"/>
                <w:highlight w:val="none"/>
              </w:rPr>
              <w:t>.</w:t>
            </w:r>
            <w:r>
              <w:rPr>
                <w:rFonts w:hint="eastAsia" w:ascii="宋体" w:hAnsi="宋体" w:eastAsia="宋体" w:cs="Times New Roman"/>
                <w:color w:val="auto"/>
                <w:spacing w:val="-6"/>
                <w:szCs w:val="21"/>
                <w:highlight w:val="none"/>
              </w:rPr>
              <w:t>供应商应保证所提供的货物或其中任何一部分均不会侵犯第三方的知识产权。</w:t>
            </w:r>
          </w:p>
          <w:p>
            <w:pPr>
              <w:keepNext w:val="0"/>
              <w:keepLines w:val="0"/>
              <w:suppressLineNumbers w:val="0"/>
              <w:adjustRightInd w:val="0"/>
              <w:snapToGrid w:val="0"/>
              <w:spacing w:before="0" w:beforeAutospacing="0" w:after="0" w:afterAutospacing="0" w:line="288" w:lineRule="auto"/>
              <w:ind w:left="0" w:right="0"/>
              <w:rPr>
                <w:color w:val="auto"/>
                <w:highlight w:val="none"/>
              </w:rPr>
            </w:pPr>
            <w:r>
              <w:rPr>
                <w:rFonts w:hint="eastAsia" w:ascii="宋体" w:hAnsi="宋体" w:eastAsia="宋体" w:cs="Times New Roman"/>
                <w:b/>
                <w:bCs/>
                <w:color w:val="auto"/>
                <w:spacing w:val="-6"/>
                <w:szCs w:val="21"/>
                <w:highlight w:val="none"/>
                <w:lang w:val="en-US" w:eastAsia="zh-CN"/>
              </w:rPr>
              <w:t>7.采购清单中的设备如果涉及国家3C强制认证要求的，必须通过国家3C强制认证，交货时提供3C强制认证证书复印件加盖公章。</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中标人应当在项目交付后的质保期内，每年对配电房进行一次巡检服务。在配电房不停电的情况下，投标人运维人员应当通过专业的巡检设备对配电房的高压柜、变压器、低压柜、电容柜、高低压电缆、交直流系统、室内环境、电缆沟等设施进行一次完整的巡视检查，并开具相应的巡检工单。</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9.中标人应当在项目交付后的质保期内，每年进行一次预防试验，根据DL/T 596-2021的标准对配电房高压柜、低压柜、变压器、电容柜、电缆等设备进行检测试验并出具预防性试验报告。</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10.中标人应在合同签订后二周内提供以下技术文件和图纸各三份，相关CAD图纸盘片一份供确认：</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10.1国家认可的第三方检测机构出具的型式试验报告；</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10.2开关柜及柜内元器件的鉴定证书、出厂例行试验报告；</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10.3开关柜安装使用说明书；</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10.4开关柜平面布置图、基础布置图、外形尺寸图及有关说明；</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10.5开关柜（操作机构箱）内主要部件明细表，操作机构原理图。开关柜内主要元件的安装使用说明书或现场调试指南、手册等；</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10.6一次系统配置接线图（包括柜内各主要部件的配置方式及技术参数、生产厂家）；</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10.7设计深化图纸、二次电气原理图、二次接线图；</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10.8提供仪表、设备通信接口及通信协议的完整资料，提供相关的测试、配置、组态用软硬件；</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10.9设备明细清册；</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10.10备品备件、专用工具清单；</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10.11提供微机保护编程配置软件以及用于编程配置等的专用部件（如需要），但不产生额外费用；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cs="宋体" w:eastAsiaTheme="minorEastAsia"/>
                <w:color w:val="auto"/>
                <w:szCs w:val="21"/>
                <w:highlight w:val="none"/>
                <w:lang w:val="en-US" w:eastAsia="zh-CN"/>
              </w:rPr>
            </w:pPr>
            <w:r>
              <w:rPr>
                <w:rFonts w:hint="eastAsia" w:ascii="宋体" w:hAnsi="宋体" w:eastAsia="宋体" w:cs="宋体"/>
                <w:color w:val="auto"/>
                <w:highlight w:val="none"/>
                <w:lang w:val="en-US" w:eastAsia="zh-CN"/>
              </w:rPr>
              <w:t>10.12柜中的断路器、避雷器、电流互感器、电压互感器均应附出厂检验合格证。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供应商应对采购人的操作人员、维修人员免费进行培训；</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上述内容的实现方式、时间、地点、人数应在投标文件中详细说明。</w:t>
            </w:r>
          </w:p>
        </w:tc>
      </w:tr>
    </w:tbl>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pPr>
        <w:adjustRightInd w:val="0"/>
        <w:snapToGrid w:val="0"/>
        <w:spacing w:line="288" w:lineRule="auto"/>
        <w:rPr>
          <w:rFonts w:hint="eastAsia" w:ascii="宋体" w:hAnsi="宋体" w:eastAsia="宋体" w:cs="宋体"/>
          <w:b/>
          <w:bCs/>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p>
    <w:p>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1.1 干式变压器：</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GB/T 1094.1-2013  </w:t>
      </w:r>
      <w:r>
        <w:rPr>
          <w:rFonts w:hint="eastAsia" w:ascii="宋体" w:hAnsi="宋体" w:eastAsia="宋体" w:cs="宋体"/>
          <w:b w:val="0"/>
          <w:bCs w:val="0"/>
          <w:color w:val="auto"/>
          <w:szCs w:val="21"/>
          <w:highlight w:val="none"/>
          <w:lang w:val="en-US" w:eastAsia="zh-CN"/>
        </w:rPr>
        <w:t xml:space="preserve"> </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rPr>
        <w:t>电力变压器 第1部分</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rPr>
        <w:t>总则</w:t>
      </w:r>
      <w:r>
        <w:rPr>
          <w:rFonts w:hint="eastAsia" w:ascii="宋体" w:hAnsi="宋体" w:eastAsia="宋体" w:cs="宋体"/>
          <w:b w:val="0"/>
          <w:bCs w:val="0"/>
          <w:color w:val="auto"/>
          <w:szCs w:val="21"/>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GB/T 10228-2023  </w:t>
      </w:r>
      <w:r>
        <w:rPr>
          <w:rFonts w:hint="eastAsia" w:ascii="宋体" w:hAnsi="宋体" w:eastAsia="宋体" w:cs="宋体"/>
          <w:b w:val="0"/>
          <w:bCs w:val="0"/>
          <w:color w:val="auto"/>
          <w:szCs w:val="21"/>
          <w:highlight w:val="none"/>
          <w:lang w:val="en-US" w:eastAsia="zh-CN"/>
        </w:rPr>
        <w:t xml:space="preserve">  </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rPr>
        <w:t>干式电力变压器技术参数和要求</w:t>
      </w:r>
      <w:r>
        <w:rPr>
          <w:rFonts w:hint="eastAsia" w:ascii="宋体" w:hAnsi="宋体" w:eastAsia="宋体" w:cs="宋体"/>
          <w:b w:val="0"/>
          <w:bCs w:val="0"/>
          <w:color w:val="auto"/>
          <w:szCs w:val="21"/>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GB/T 1094.11-2022  </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rPr>
        <w:t>电力变压器 第11部分：干式变压器</w:t>
      </w:r>
      <w:r>
        <w:rPr>
          <w:rFonts w:hint="eastAsia" w:ascii="宋体" w:hAnsi="宋体" w:eastAsia="宋体" w:cs="宋体"/>
          <w:b w:val="0"/>
          <w:bCs w:val="0"/>
          <w:color w:val="auto"/>
          <w:szCs w:val="21"/>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GB/T 1094.3-2017  </w:t>
      </w:r>
      <w:r>
        <w:rPr>
          <w:rFonts w:hint="eastAsia" w:ascii="宋体" w:hAnsi="宋体" w:eastAsia="宋体" w:cs="宋体"/>
          <w:b w:val="0"/>
          <w:bCs w:val="0"/>
          <w:color w:val="auto"/>
          <w:szCs w:val="21"/>
          <w:highlight w:val="none"/>
          <w:lang w:val="en-US" w:eastAsia="zh-CN"/>
        </w:rPr>
        <w:t xml:space="preserve"> </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rPr>
        <w:t>电力变压器 第3部分：绝缘水平、绝缘试验和外绝缘空气间隙</w:t>
      </w:r>
      <w:r>
        <w:rPr>
          <w:rFonts w:hint="eastAsia" w:ascii="宋体" w:hAnsi="宋体" w:eastAsia="宋体" w:cs="宋体"/>
          <w:b w:val="0"/>
          <w:bCs w:val="0"/>
          <w:color w:val="auto"/>
          <w:szCs w:val="21"/>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GB/T 1094.4-2005  </w:t>
      </w:r>
      <w:r>
        <w:rPr>
          <w:rFonts w:hint="eastAsia" w:ascii="宋体" w:hAnsi="宋体" w:eastAsia="宋体" w:cs="宋体"/>
          <w:b w:val="0"/>
          <w:bCs w:val="0"/>
          <w:color w:val="auto"/>
          <w:szCs w:val="21"/>
          <w:highlight w:val="none"/>
          <w:lang w:val="en-US" w:eastAsia="zh-CN"/>
        </w:rPr>
        <w:t xml:space="preserve"> </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rPr>
        <w:t>电力变压器 第4部分：电力变压器和电抗器的雷电冲击和操作冲击试验导则</w:t>
      </w:r>
      <w:r>
        <w:rPr>
          <w:rFonts w:hint="eastAsia" w:ascii="宋体" w:hAnsi="宋体" w:eastAsia="宋体" w:cs="宋体"/>
          <w:b w:val="0"/>
          <w:bCs w:val="0"/>
          <w:color w:val="auto"/>
          <w:szCs w:val="21"/>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GB/T 1094.5-2008  </w:t>
      </w:r>
      <w:r>
        <w:rPr>
          <w:rFonts w:hint="eastAsia" w:ascii="宋体" w:hAnsi="宋体" w:eastAsia="宋体" w:cs="宋体"/>
          <w:b w:val="0"/>
          <w:bCs w:val="0"/>
          <w:color w:val="auto"/>
          <w:szCs w:val="21"/>
          <w:highlight w:val="none"/>
          <w:lang w:val="en-US" w:eastAsia="zh-CN"/>
        </w:rPr>
        <w:t xml:space="preserve"> </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rPr>
        <w:t>电力变压器 第5部分：承受短路的能力</w:t>
      </w:r>
      <w:r>
        <w:rPr>
          <w:rFonts w:hint="eastAsia" w:ascii="宋体" w:hAnsi="宋体" w:eastAsia="宋体" w:cs="宋体"/>
          <w:b w:val="0"/>
          <w:bCs w:val="0"/>
          <w:color w:val="auto"/>
          <w:szCs w:val="21"/>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GB/T 1094.10-2022  </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rPr>
        <w:t>电力变压器 第10部分：声级测定</w:t>
      </w:r>
      <w:r>
        <w:rPr>
          <w:rFonts w:hint="eastAsia" w:ascii="宋体" w:hAnsi="宋体" w:eastAsia="宋体" w:cs="宋体"/>
          <w:b w:val="0"/>
          <w:bCs w:val="0"/>
          <w:color w:val="auto"/>
          <w:szCs w:val="21"/>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GB 3096-2008  </w:t>
      </w:r>
      <w:r>
        <w:rPr>
          <w:rFonts w:hint="eastAsia" w:ascii="宋体" w:hAnsi="宋体" w:eastAsia="宋体" w:cs="宋体"/>
          <w:b w:val="0"/>
          <w:bCs w:val="0"/>
          <w:color w:val="auto"/>
          <w:szCs w:val="21"/>
          <w:highlight w:val="none"/>
          <w:lang w:val="en-US" w:eastAsia="zh-CN"/>
        </w:rPr>
        <w:t xml:space="preserve">     </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rPr>
        <w:t>声环境质量标准</w:t>
      </w:r>
      <w:r>
        <w:rPr>
          <w:rFonts w:hint="eastAsia" w:ascii="宋体" w:hAnsi="宋体" w:eastAsia="宋体" w:cs="宋体"/>
          <w:b w:val="0"/>
          <w:bCs w:val="0"/>
          <w:color w:val="auto"/>
          <w:szCs w:val="21"/>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GB/T 4208-2017  </w:t>
      </w:r>
      <w:r>
        <w:rPr>
          <w:rFonts w:hint="eastAsia" w:ascii="宋体" w:hAnsi="宋体" w:eastAsia="宋体" w:cs="宋体"/>
          <w:b w:val="0"/>
          <w:bCs w:val="0"/>
          <w:color w:val="auto"/>
          <w:szCs w:val="21"/>
          <w:highlight w:val="none"/>
          <w:lang w:val="en-US" w:eastAsia="zh-CN"/>
        </w:rPr>
        <w:t xml:space="preserve">   </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rPr>
        <w:t>外壳防护等级</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rPr>
        <w:t>IP代码</w:t>
      </w:r>
      <w:r>
        <w:rPr>
          <w:rFonts w:hint="eastAsia" w:ascii="宋体" w:hAnsi="宋体" w:eastAsia="宋体" w:cs="宋体"/>
          <w:b w:val="0"/>
          <w:bCs w:val="0"/>
          <w:color w:val="auto"/>
          <w:szCs w:val="21"/>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GB/T 5273-2016  </w:t>
      </w:r>
      <w:r>
        <w:rPr>
          <w:rFonts w:hint="eastAsia" w:ascii="宋体" w:hAnsi="宋体" w:eastAsia="宋体" w:cs="宋体"/>
          <w:b w:val="0"/>
          <w:bCs w:val="0"/>
          <w:color w:val="auto"/>
          <w:szCs w:val="21"/>
          <w:highlight w:val="none"/>
          <w:lang w:val="en-US" w:eastAsia="zh-CN"/>
        </w:rPr>
        <w:t xml:space="preserve">   </w:t>
      </w:r>
      <w:r>
        <w:rPr>
          <w:rFonts w:hint="eastAsia" w:ascii="宋体" w:hAnsi="宋体" w:eastAsia="宋体" w:cs="宋体"/>
          <w:b w:val="0"/>
          <w:bCs w:val="0"/>
          <w:color w:val="auto"/>
          <w:szCs w:val="21"/>
          <w:highlight w:val="none"/>
          <w:lang w:eastAsia="zh-CN"/>
        </w:rPr>
        <w:t>《高压电器端子尺寸标准化》</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GB/T 11021-2014  </w:t>
      </w:r>
      <w:r>
        <w:rPr>
          <w:rFonts w:hint="eastAsia" w:ascii="宋体" w:hAnsi="宋体" w:eastAsia="宋体" w:cs="宋体"/>
          <w:b w:val="0"/>
          <w:bCs w:val="0"/>
          <w:color w:val="auto"/>
          <w:szCs w:val="21"/>
          <w:highlight w:val="none"/>
          <w:lang w:val="en-US" w:eastAsia="zh-CN"/>
        </w:rPr>
        <w:t xml:space="preserve">  </w:t>
      </w:r>
      <w:r>
        <w:rPr>
          <w:rFonts w:hint="eastAsia" w:ascii="宋体" w:hAnsi="宋体" w:eastAsia="宋体" w:cs="宋体"/>
          <w:b w:val="0"/>
          <w:bCs w:val="0"/>
          <w:color w:val="auto"/>
          <w:szCs w:val="21"/>
          <w:highlight w:val="none"/>
          <w:lang w:eastAsia="zh-CN"/>
        </w:rPr>
        <w:t>《电气绝缘 耐热性和表示方法》</w:t>
      </w:r>
    </w:p>
    <w:p>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1.2 环网柜：</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GB/T 4208-2017     《外壳防护等级（IP代码）》</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GB/T 3804-2017     《3.6kV~40.5kV高压交流负荷开关》</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GB/T 11023-2018    《高压开关设备六氟化硫气体密封试验方法》</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GB/T 3906-2020     《3.6kV~40.5kV 交流金属封闭开关设备和控制设备》</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GB/T 11022-2020    《高压交流开关设备和控制设备标准的共享技术要求》</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GB/T 1984-2014    《高压交流断路器》</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DL/T 615-2013     《高压交流断路器参数选用导则》</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DL/T 402-2016     《高压交流断路器》</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GB/T 11032-2020   《交流无间隙金属氧化物避雷器》</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DL/T 555-2004     《气体绝缘金属封闭开关设备现场耐压及绝缘试验导则》</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color w:val="auto"/>
          <w:highlight w:val="none"/>
          <w:lang w:val="en-US" w:eastAsia="zh-CN"/>
        </w:rPr>
      </w:pPr>
      <w:r>
        <w:rPr>
          <w:rFonts w:hint="eastAsia" w:ascii="宋体" w:hAnsi="宋体" w:eastAsia="宋体" w:cs="宋体"/>
          <w:color w:val="auto"/>
          <w:szCs w:val="21"/>
          <w:highlight w:val="none"/>
          <w:lang w:val="en-US" w:eastAsia="zh-CN"/>
        </w:rPr>
        <w:t>DL/T 593-2016     《高压开关设备和控制设备标准的共用技术要求》</w:t>
      </w:r>
    </w:p>
    <w:p>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 xml:space="preserve">1.3 </w:t>
      </w:r>
      <w:r>
        <w:rPr>
          <w:rFonts w:hint="eastAsia" w:ascii="宋体" w:hAnsi="宋体" w:eastAsia="宋体" w:cs="宋体"/>
          <w:b/>
          <w:bCs/>
          <w:color w:val="auto"/>
          <w:szCs w:val="21"/>
          <w:highlight w:val="none"/>
        </w:rPr>
        <w:t>0.4KV低压开关柜</w:t>
      </w:r>
      <w:r>
        <w:rPr>
          <w:rFonts w:hint="eastAsia" w:ascii="宋体" w:hAnsi="宋体" w:eastAsia="宋体" w:cs="宋体"/>
          <w:b/>
          <w:bCs/>
          <w:color w:val="auto"/>
          <w:szCs w:val="21"/>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14048.1-2012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《低压开关设备和控制设备.第1部分：总则》</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7251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《低压成套开关设备及控制设备》</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JB/T 9661-1999</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《低压抽出式成套开关设备》</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5585.2-2018</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《电工用铜、铝及其合金母线 第2部分:铝和铝合金母线》</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14048.3-2017</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《低压开关设备和控制设备 第3部分:开关、隔离器、隔离开关及熔断器组合电器》</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4208-2017    《外壳防护等级（IP代码）》</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6829-2017</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《剩余电流动作保护电器(RCD)的一般要求》</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13539</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《低压熔断器》</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3047.1-1995</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《高度进制为20mm的面板、架和柜的基本尺寸系列》</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14048.11-2016《低压开关设备和控制设备 第6-1部分:多功能电器 转换开关电器》</w:t>
      </w:r>
    </w:p>
    <w:p>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1.4 UPS电源柜：</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3859.1-2013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《半导体变流器 通用要求和电网换相变流器 第1-1部分：基本要求规范》</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3859.2-2013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《半导体变流器 通用要求和电网换相变流器 第1-2部分：应用导则》</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3859.3-2013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《半导体变流器 通用要求和电网换相变流器 第1-3部分：变压器和电抗器》</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3859.4-2004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《半导体变流器 包括直接直流变流器的半导体自换相变流器》</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7260.1-2008</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《不间断电源设备.第1-1部分:操作人员触及区使用的UPS的一般规定和安全要求》</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7260.2-2009</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《不间断电源设备(UPS).第2部分:电磁兼容性(EMC)要求》</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7260.3-2003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《不不间断电源设备(UPS) 第3部分;确定性能的方法和试验要求》</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7260.4-2008</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《不间断电源设备.第1-2部分:限制触及区使用的UPS的一般规定和安全要求》</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14715-2017</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《信息技术设备用不间断电源通用规范》</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DL/T 1074-2019</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《电力用直流和交流一体化不间断电源设备》</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GB/T 4208-2017    《外壳防护等级（IP代码）》</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DL/T 5044-2014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《电力工程直流电源系统设计技术规程》</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DL/T 637-2019</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《电力用固定型阀控式铅酸蓄电池》</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50171-2012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电气装置安装工程.盘、柜及二次回路接线施工及验收规范</w:t>
      </w:r>
      <w:r>
        <w:rPr>
          <w:rFonts w:hint="eastAsia" w:ascii="宋体" w:hAnsi="宋体" w:eastAsia="宋体" w:cs="宋体"/>
          <w:color w:val="auto"/>
          <w:szCs w:val="21"/>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50172-2012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电气装置.安装工程.蓄电池施工及验收规范</w:t>
      </w:r>
      <w:r>
        <w:rPr>
          <w:rFonts w:hint="eastAsia" w:ascii="宋体" w:hAnsi="宋体" w:eastAsia="宋体" w:cs="宋体"/>
          <w:color w:val="auto"/>
          <w:szCs w:val="21"/>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DL/T 5136-2012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《火力发电厂、变电站二次接线设计技术规程》</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13337.1-2011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固定型排气式铅酸蓄电池.第1部分：技术条件</w:t>
      </w:r>
      <w:r>
        <w:rPr>
          <w:rFonts w:hint="eastAsia" w:ascii="宋体" w:hAnsi="宋体" w:eastAsia="宋体" w:cs="宋体"/>
          <w:color w:val="auto"/>
          <w:szCs w:val="21"/>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s="宋体"/>
          <w:b/>
          <w:bCs/>
          <w:color w:val="auto"/>
          <w:szCs w:val="21"/>
          <w:highlight w:val="none"/>
        </w:rPr>
      </w:pPr>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7"/>
    </w:p>
    <w:bookmarkEnd w:id="36"/>
    <w:p>
      <w:pPr>
        <w:adjustRightInd w:val="0"/>
        <w:snapToGrid w:val="0"/>
        <w:spacing w:line="288" w:lineRule="auto"/>
        <w:rPr>
          <w:rFonts w:hint="eastAsia" w:ascii="宋体" w:hAnsi="宋体" w:eastAsia="宋体" w:cs="宋体"/>
          <w:b/>
          <w:bCs/>
          <w:color w:val="auto"/>
          <w:szCs w:val="21"/>
          <w:highlight w:val="none"/>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2.1 投标人应根据采购人提供的资料、图纸、参数要求，向采购人提供具备本技术规范所要求的所有功能的设备，其性能符合或优于本规范书的要求，并获得电力供应管理部门的进网运行许可。</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2.2 设备采用的专利（如有）涉及到的全部费用均被认为已包含在设备报价中，供应商应保证采购人不承担有关设备专利的一切责任。</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2.3 投标人须完成本供配电改造项目的全部工作，主要包括（但不限于）下列工作内容：</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2.3.1 按招标文件（包含图纸）的全部要求完成本项目中供配电设备（包括为保证这些设备安全正常运行的配套设备设施）的制造、试验、运输、安装、调试、试运行、技术培训、产品保护及售后服务等工作；</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2.3.2 为确保供配电设备设施规范安装而需完成的对变配电室的改造（如电缆沟的延伸与新增等）；</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2.3.3 为确保供配电系统的安全正常使用期限达到供配电设备正常使用年限，而需完成对变配电室的改造（如重新制作变配电室接地系统和设备安装基础等、新增电缆沟的集水排水设施，对设备安装相关的建筑设施的整修与加固等等）；</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2.3.4 为完成本项目工作任务所需的其它材料的采购、安装、调试、试验等；</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2.3.5 因本次改造造成的建筑体及装饰损伤的修复（如为确保设备安全就位而需的建筑门洞的扩大等）；</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2.3.6 原有设备的拆除、清理与清运；</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2.3.7 完成新安装设备与原有供配电系统的对接(包括原有设备设施如电缆终端制作、试验等），确保供配电系统安全正常运行；</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2.3.8 为确保本项目完成而需与供电管理部门的协作（如设备安装过程的配合停送电、高压计量柜的改装、安装完成后获得供电管理部门验收以及与通电相关的工作等等）；</w:t>
      </w:r>
    </w:p>
    <w:p>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2.4 投标人务必根据此改造项目范围，充分了解改造内容与要求，经现场踏勘，明确全部工作内容后投标报价。投标人未能充分了解现场实际，仅根据招标文件（包括图纸）的材料清单进行投标报价，投标人须自行承担由此而引起的一切后果。</w:t>
      </w:r>
    </w:p>
    <w:p>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需满足的质量、安全、技术规格、物理特性等要求：</w:t>
      </w:r>
    </w:p>
    <w:p>
      <w:pPr>
        <w:adjustRightInd w:val="0"/>
        <w:snapToGrid w:val="0"/>
        <w:spacing w:line="288" w:lineRule="auto"/>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3.1 主要设备采购清单：</w:t>
      </w:r>
    </w:p>
    <w:p>
      <w:pPr>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br w:type="page"/>
      </w:r>
    </w:p>
    <w:p>
      <w:pPr>
        <w:adjustRightInd w:val="0"/>
        <w:snapToGrid w:val="0"/>
        <w:spacing w:line="288" w:lineRule="auto"/>
        <w:rPr>
          <w:rFonts w:hint="default"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标项一：</w:t>
      </w:r>
    </w:p>
    <w:tbl>
      <w:tblPr>
        <w:tblStyle w:val="23"/>
        <w:tblpPr w:leftFromText="180" w:rightFromText="180" w:vertAnchor="text" w:tblpXSpec="left" w:tblpY="1"/>
        <w:tblOverlap w:val="never"/>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688"/>
        <w:gridCol w:w="1561"/>
        <w:gridCol w:w="3880"/>
        <w:gridCol w:w="688"/>
        <w:gridCol w:w="721"/>
        <w:gridCol w:w="20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PrEx>
        <w:tc>
          <w:tcPr>
            <w:tcW w:w="9571" w:type="dxa"/>
            <w:gridSpan w:val="6"/>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校区10#变电所（新上部分）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253" w:hRule="atLeast"/>
        </w:trPr>
        <w:tc>
          <w:tcPr>
            <w:tcW w:w="688" w:type="dxa"/>
            <w:tcBorders>
              <w:tl2br w:val="nil"/>
              <w:tr2bl w:val="nil"/>
            </w:tcBorders>
            <w:noWrap w:val="0"/>
            <w:vAlign w:val="center"/>
          </w:tcPr>
          <w:p>
            <w:pPr>
              <w:keepNext/>
              <w:widowControl w:val="0"/>
              <w:jc w:val="center"/>
              <w:outlineLvl w:val="0"/>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序号</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名称</w:t>
            </w:r>
          </w:p>
        </w:tc>
        <w:tc>
          <w:tcPr>
            <w:tcW w:w="3880" w:type="dxa"/>
            <w:tcBorders>
              <w:tl2br w:val="nil"/>
              <w:tr2bl w:val="nil"/>
            </w:tcBorders>
            <w:noWrap w:val="0"/>
            <w:vAlign w:val="center"/>
          </w:tcPr>
          <w:p>
            <w:pPr>
              <w:keepNext/>
              <w:widowControl w:val="0"/>
              <w:jc w:val="center"/>
              <w:outlineLvl w:val="0"/>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规格与型号</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单位</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数量</w:t>
            </w:r>
          </w:p>
        </w:tc>
        <w:tc>
          <w:tcPr>
            <w:tcW w:w="2033" w:type="dxa"/>
            <w:tcBorders>
              <w:tl2br w:val="nil"/>
              <w:tr2bl w:val="nil"/>
            </w:tcBorders>
            <w:noWrap w:val="0"/>
            <w:vAlign w:val="center"/>
          </w:tcPr>
          <w:p>
            <w:pPr>
              <w:keepNext/>
              <w:widowControl w:val="0"/>
              <w:jc w:val="center"/>
              <w:outlineLvl w:val="0"/>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56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干式变压器1</w:t>
            </w:r>
          </w:p>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（核心产品）</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SCB XX-630/10  10±2x2.5%/0.4kV</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Dyn11  UK=6%配置温控仪及冷却风机，满足二级及以上能效要求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干式变压器外壳</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≤1900*1350*2200mm（长*宽*高）</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3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防护等级IP3X</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w:t>
            </w:r>
          </w:p>
        </w:tc>
        <w:tc>
          <w:tcPr>
            <w:tcW w:w="156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10kV环网柜1</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负荷开关柜</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10kV进线柜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w:t>
            </w:r>
          </w:p>
        </w:tc>
        <w:tc>
          <w:tcPr>
            <w:tcW w:w="156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10kV环网柜2</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断路器柜</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10kV配变柜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w:t>
            </w:r>
          </w:p>
        </w:tc>
        <w:tc>
          <w:tcPr>
            <w:tcW w:w="156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0.4kV开关柜1</w:t>
            </w:r>
          </w:p>
        </w:tc>
        <w:tc>
          <w:tcPr>
            <w:tcW w:w="3880"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3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0.4kV低压总柜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16" w:hRule="atLeast"/>
        </w:trPr>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w:t>
            </w:r>
          </w:p>
        </w:tc>
        <w:tc>
          <w:tcPr>
            <w:tcW w:w="156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0.4kV开关柜2</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3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0.4kV低压电容柜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w:t>
            </w:r>
          </w:p>
        </w:tc>
        <w:tc>
          <w:tcPr>
            <w:tcW w:w="156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0.4kV开关柜3</w:t>
            </w:r>
          </w:p>
        </w:tc>
        <w:tc>
          <w:tcPr>
            <w:tcW w:w="3880"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0.4kV联络柜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w:t>
            </w:r>
          </w:p>
        </w:tc>
        <w:tc>
          <w:tcPr>
            <w:tcW w:w="156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0.4kV开关柜4</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0.4kV低压出线柜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UPS电源柜</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输入双路AC380V, UPS输入AC220V,输出AC220V  6KVA 蓄电池：12V 40AH 18节</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双电源照明配电箱</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ATS 63A自动转换开关，互为备用</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输出回路：三相C16/3P  2路、单相C25/1P 1路 C16/1P 2路  C10/1P 3路</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暗装，电源引自就近低压出线，需考虑适当回路预留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变电所电缆温度监测</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电缆温度探测</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温度检测包含环网柜、低压配电柜出线回路电缆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w:t>
            </w:r>
          </w:p>
        </w:tc>
        <w:tc>
          <w:tcPr>
            <w:tcW w:w="156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低压智能站控终端</w:t>
            </w:r>
          </w:p>
        </w:tc>
        <w:tc>
          <w:tcPr>
            <w:tcW w:w="3880"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低压智能站控终端</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变压器、无功补偿柜灭火系统</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1.能够防护0.2m³~1m³封闭、半封闭空间，扑灭早期起火；</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2.灭火药剂(全氟己酮）具备洁净、安全，对人体、环境、设备均无害；对电子元件、电器设备无腐蚀、无残留、电气绝缘特性；</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3.灭火药剂贮存采用无储压设计，安全性高；</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4.具有至少6年有效期；</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5.支持热启动与平台远程管理启动双启动方式。</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低压无功补偿柜内及变压器防护外壳内安装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变电所内改造项</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电缆沟、集排水设施等，排水泵控制器具有通讯功能，能远程监测水位、泵状态（启、停、故障），能远程启、停排水泵</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部分变电所集排水设施需新建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变电所内拆除重建项</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接地网、设备安装基础</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1.拆除原有；</w:t>
            </w:r>
          </w:p>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2.接地电阻＜1欧姆；</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3.与建筑自然接地网连接不少于4处；</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4.设备基础须安装在梁上。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273" w:hRule="atLeast"/>
        </w:trPr>
        <w:tc>
          <w:tcPr>
            <w:tcW w:w="688"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一次模拟图板</w:t>
            </w:r>
          </w:p>
        </w:tc>
        <w:tc>
          <w:tcPr>
            <w:tcW w:w="3880"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按图纸制作</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块</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17</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安全工器具</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含灭火器、验电器、接地线、绝缘垫等</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9571" w:type="dxa"/>
            <w:gridSpan w:val="6"/>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校区12#变电所（新上部分）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序号</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名称</w:t>
            </w:r>
          </w:p>
        </w:tc>
        <w:tc>
          <w:tcPr>
            <w:tcW w:w="3880"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规格与型号</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单位</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数量</w:t>
            </w:r>
          </w:p>
        </w:tc>
        <w:tc>
          <w:tcPr>
            <w:tcW w:w="2033"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干式变压器2</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SCB XX-800/10  10±2x2.5%/0.4kV</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Dyn11  UK=6%配置温控仪及冷却风机，满足二级及以上能效要求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干式变压器外壳</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≤1900*1350*2200mm（长*宽*高）</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3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防护等级IP3X</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w:t>
            </w:r>
          </w:p>
        </w:tc>
        <w:tc>
          <w:tcPr>
            <w:tcW w:w="156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10kV环网柜1</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负荷开关柜</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10kV进线柜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w:t>
            </w:r>
          </w:p>
        </w:tc>
        <w:tc>
          <w:tcPr>
            <w:tcW w:w="156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10kV环网柜2</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断路器柜</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10kV配变柜</w:t>
            </w:r>
          </w:p>
        </w:tc>
      </w:tr>
      <w:tr>
        <w:tblPrEx>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w:t>
            </w:r>
          </w:p>
        </w:tc>
        <w:tc>
          <w:tcPr>
            <w:tcW w:w="156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0.4kV开关柜1</w:t>
            </w:r>
          </w:p>
        </w:tc>
        <w:tc>
          <w:tcPr>
            <w:tcW w:w="3880"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3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0.4kV低压总柜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406" w:hRule="atLeast"/>
        </w:trPr>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w:t>
            </w:r>
          </w:p>
        </w:tc>
        <w:tc>
          <w:tcPr>
            <w:tcW w:w="156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0.4kV开关柜2</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3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0.4kV低压电容柜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w:t>
            </w:r>
          </w:p>
        </w:tc>
        <w:tc>
          <w:tcPr>
            <w:tcW w:w="156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0.4kV开关柜3</w:t>
            </w:r>
          </w:p>
        </w:tc>
        <w:tc>
          <w:tcPr>
            <w:tcW w:w="3880"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0.4kV联络柜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w:t>
            </w:r>
          </w:p>
        </w:tc>
        <w:tc>
          <w:tcPr>
            <w:tcW w:w="156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0.4kV开关柜4</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0.4kV低压出线柜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w:t>
            </w:r>
          </w:p>
        </w:tc>
        <w:tc>
          <w:tcPr>
            <w:tcW w:w="156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密集型母线槽</w:t>
            </w:r>
          </w:p>
        </w:tc>
        <w:tc>
          <w:tcPr>
            <w:tcW w:w="3880"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防护等级IP54、五线：L1、L2、L3、N、PE铝镁合金外壳</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低压联络母线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UPS电源柜</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输入双路AC380V,UPS输入AC220V,输出AC220V  6KVA 蓄电池：12V 40AH 18节</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双电源照明配电箱</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ATS 63A自动转换开关，互为备用</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输出回路：三相C16/3P  2路、单相C25/1P 1路 C16/1P 2路   C10/1P 3路</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暗装，电源引自就近低压出线，需考虑适当回路预留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变电所电缆温度监测</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电缆温度探测</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温度检测包含环网柜、低压配电柜出线回路电缆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w:t>
            </w:r>
          </w:p>
        </w:tc>
        <w:tc>
          <w:tcPr>
            <w:tcW w:w="156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低压智能站控终端</w:t>
            </w:r>
          </w:p>
        </w:tc>
        <w:tc>
          <w:tcPr>
            <w:tcW w:w="3880"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低压智能站控终端</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变压器、无功补偿柜灭火系统</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1.能够防护0.2m³~1m³封闭、半封闭空间，扑灭早期起火；</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2.灭火药剂(全氟己酮）具备洁净、安全，对人体、环境、设备均无害；对电子元件、电器设备无腐蚀、无残留、电气绝缘特性；</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3.灭火药剂贮存采用无储压设计，安全性高；</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4.具有至少6年有效期；</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5.支持热启动与平台远程管理启动双启动方式。</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低压无功补偿柜内及变压器防护外壳内安装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变电所内改造项</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电缆沟、集排水设施等，排水泵控制器具有通讯功能，能远程监测水位、泵状态（启、停、故障），能远程启、停排水泵</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部分变电所集排水设施需新建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变电所内拆除重建项</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接地网、设备安装基础</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1.拆除原有；</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2.接地电阻＜1欧姆；</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3.与建筑自然接地网连接不少于4处；</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4.设备基础须安装在梁上。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289" w:hRule="atLeast"/>
        </w:trPr>
        <w:tc>
          <w:tcPr>
            <w:tcW w:w="688"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17</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一次模拟图板</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按图纸制作</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块</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w:t>
            </w:r>
          </w:p>
        </w:tc>
        <w:tc>
          <w:tcPr>
            <w:tcW w:w="156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安全工器具</w:t>
            </w:r>
          </w:p>
        </w:tc>
        <w:tc>
          <w:tcPr>
            <w:tcW w:w="3880"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含灭火器、验电器、接地线、绝缘垫等</w:t>
            </w:r>
          </w:p>
        </w:tc>
        <w:tc>
          <w:tcPr>
            <w:tcW w:w="688"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72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3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bl>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br w:type="page"/>
      </w:r>
      <w:r>
        <w:rPr>
          <w:rFonts w:hint="eastAsia" w:ascii="宋体" w:hAnsi="宋体" w:eastAsia="宋体" w:cs="宋体"/>
          <w:b/>
          <w:bCs/>
          <w:color w:val="auto"/>
          <w:kern w:val="2"/>
          <w:sz w:val="21"/>
          <w:szCs w:val="21"/>
          <w:highlight w:val="none"/>
          <w:lang w:val="en-US" w:eastAsia="zh-CN" w:bidi="ar-SA"/>
        </w:rPr>
        <w:t>标项二：</w:t>
      </w:r>
    </w:p>
    <w:tbl>
      <w:tblPr>
        <w:tblStyle w:val="23"/>
        <w:tblpPr w:leftFromText="180" w:rightFromText="180" w:vertAnchor="text" w:tblpXSpec="left" w:tblpY="1"/>
        <w:tblOverlap w:val="never"/>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681"/>
        <w:gridCol w:w="1667"/>
        <w:gridCol w:w="3903"/>
        <w:gridCol w:w="665"/>
        <w:gridCol w:w="644"/>
        <w:gridCol w:w="201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97" w:hRule="atLeast"/>
        </w:trPr>
        <w:tc>
          <w:tcPr>
            <w:tcW w:w="9571" w:type="dxa"/>
            <w:gridSpan w:val="6"/>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校区5#变电所（新上部分）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序号</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名称</w:t>
            </w:r>
          </w:p>
        </w:tc>
        <w:tc>
          <w:tcPr>
            <w:tcW w:w="3903"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规格与型号</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单位</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数量</w:t>
            </w:r>
          </w:p>
        </w:tc>
        <w:tc>
          <w:tcPr>
            <w:tcW w:w="2011"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834" w:hRule="atLeast"/>
        </w:trPr>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干式变压器1</w:t>
            </w:r>
          </w:p>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（核心产品）</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SCB XX-1250/10  10±2x2.5%/0.4kV</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Dyn11  UK=6%配置温控仪及冷却风机，满足二级及以上能效要求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干式变压器外壳1</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≤2100*1350*2200mm（长*宽*高）</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1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防护等级IP3X</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10kV环网柜1</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负荷开关柜</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10kV进线柜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10kV环网柜2</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断路器柜</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10kV配变柜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0.4kV开关柜1</w:t>
            </w:r>
          </w:p>
        </w:tc>
        <w:tc>
          <w:tcPr>
            <w:tcW w:w="390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1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0.4kV低压总柜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766" w:hRule="atLeast"/>
        </w:trPr>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0.4kV开关柜2</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1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0.4kV低压电容柜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0.4kV开关柜3</w:t>
            </w:r>
          </w:p>
        </w:tc>
        <w:tc>
          <w:tcPr>
            <w:tcW w:w="390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0.4kV联络柜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0.4kV开关柜4</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0.4kV低压出线柜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密集型母线槽</w:t>
            </w:r>
          </w:p>
        </w:tc>
        <w:tc>
          <w:tcPr>
            <w:tcW w:w="390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防护等级IP54、五线：L1、L2、L3、N、PE铝镁合金外壳</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低压联络母线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UPS电源柜</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输入双路AC380V, UPS输入AC220V,输出AC220V  6KVA 蓄电池：12V 40AH 18节</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双电源照明配电箱</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ATS 63A自动转换开关，互为备用</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输出回路：三相C16/3P  2路、单相C25/1P 1路 C16/1P 2路   C10/1P 3路</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暗装,电源引自就近低压出线，需考虑适当回路预留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变电所电缆温度监测</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电缆温度探测</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温度检测包含环网柜、低压配电柜出线回路电缆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低压智能站控终端</w:t>
            </w:r>
          </w:p>
        </w:tc>
        <w:tc>
          <w:tcPr>
            <w:tcW w:w="390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低压智能站控终端</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变压器、无功补偿柜灭火系统</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1.能够防护0.2m³~1m³封闭、半封闭空间，扑灭早期起火；</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2.灭火药剂(全氟己酮）具备洁净、安全，对人体、环境、设备均无害；对电子元件、电器设备无腐蚀、无残留、电气绝缘特性；</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3.灭火药剂贮存采用无储压设计，安全性高；</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4.具有至少6年有效期；</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5.支持热启动与平台远程管理启动双启动方式。</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低压无功补偿柜内及变压器防护外壳内安装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变电所内改造项</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电缆沟、集排水设施等，排水泵控制器具有通讯功能，能远程监测水位、泵状态（启、停、故障），能远程启、停排水泵</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部分变电所集排水设施需新建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1671" w:hRule="atLeast"/>
        </w:trPr>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变电所内拆除重建项</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接地网、设备安装基础</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1.拆除原有；</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2.接地电阻＜1欧姆；</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3.与建筑自然接地网连接不少于4处；</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4.设备基础须安装在梁上。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50" w:hRule="atLeast"/>
        </w:trPr>
        <w:tc>
          <w:tcPr>
            <w:tcW w:w="68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17</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一次模拟图板</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按图纸制作</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块</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安全工器具</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含灭火器、验电器、接地线、绝缘垫等</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9571" w:type="dxa"/>
            <w:gridSpan w:val="6"/>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校区11#变电所（新上部分）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序号</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名称</w:t>
            </w:r>
          </w:p>
        </w:tc>
        <w:tc>
          <w:tcPr>
            <w:tcW w:w="3903"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规格与型号</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单位</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数量</w:t>
            </w:r>
          </w:p>
        </w:tc>
        <w:tc>
          <w:tcPr>
            <w:tcW w:w="2011"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干式变压器2</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SCB XX-630/10  10±2x2.5%/0.4kV</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Dyn11  UK=6%配置温控仪及冷却风机，满足二级及以上能效要求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干式变压器外壳2</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≤1900*1350*2200mm（长*宽*高）</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1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防护等级IP3X</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10kV环网柜1</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负荷开关柜</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10kV进线柜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10kV环网柜2</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断路器柜</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10kV配变柜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0.4kV开关柜1</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0.4kV低压总柜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0.4kV开关柜2</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0.4kV低压电容柜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0.4kV开关柜3</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0.4kV联络柜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0.4kV开关柜4</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0.4kV低压出线柜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0.4kV开关柜5</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空柜</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w:t>
            </w:r>
          </w:p>
        </w:tc>
        <w:tc>
          <w:tcPr>
            <w:tcW w:w="1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密集型母线槽</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防护等级IP54、五线：L1、L2、L3、N、PE铝镁合金外壳</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低压联络母线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UPS电源柜</w:t>
            </w:r>
          </w:p>
        </w:tc>
        <w:tc>
          <w:tcPr>
            <w:tcW w:w="390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输入双路AC380V, UPS输入AC220V, 输出AC220V  6KVA 蓄电池：12V 40AH 18节</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双电源照明配电箱</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ATS 63A自动转换开关，互为备用</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输出回路：三相C16/3P  2路、单相C25/1P 1路 C16/1P 2路   C10/1P 3路</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暗装，电源引自就近低压出线，需考虑适当回路预留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变电所电缆温度监测</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电缆温度探测</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温度检测包含环网柜、低压配电柜出线回路电缆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117" w:hRule="atLeast"/>
        </w:trPr>
        <w:tc>
          <w:tcPr>
            <w:tcW w:w="68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低压智能站控终端</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低压智能站控终端</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变压器、无功补偿柜灭火系统</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1.能够防护0.2m³~1m³封闭、半封闭空间，扑灭早期起火；</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2.灭火药剂(全氟己酮）具备洁净、安全，对人体、环境、设备均无害；对电子元件、电器设备无腐蚀、无残留、电气绝缘特性；</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3.灭火药剂贮存采用无储压设计，安全性高；</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4.具有至少6年有效期；</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5.支持热启动与平台远程管理启动双启动方式。</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低压无功补偿柜内及变压器防护外壳内安装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变电所内改造项</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电缆沟、集排水设施等，排水泵控制器具有通讯功能，能远程监测水位、泵状态（启、停、故障），能远程启、停排水泵</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部分变电所集排水设施需新建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17</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变电所内拆除重建项</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接地网、设备安装基础</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1.拆除原有；</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2.接地电阻＜1欧姆；</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3.与建筑自然接地网连接不少于4处；</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4.设备基础须安装在梁上。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一次模拟图板</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按图纸制作</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块</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1"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19</w:t>
            </w:r>
          </w:p>
        </w:tc>
        <w:tc>
          <w:tcPr>
            <w:tcW w:w="1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安全工器具</w:t>
            </w:r>
          </w:p>
        </w:tc>
        <w:tc>
          <w:tcPr>
            <w:tcW w:w="390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含灭火器、验电器、接地线、绝缘垫等</w:t>
            </w:r>
          </w:p>
        </w:tc>
        <w:tc>
          <w:tcPr>
            <w:tcW w:w="66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64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1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bl>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br w:type="page"/>
      </w:r>
      <w:r>
        <w:rPr>
          <w:rFonts w:hint="eastAsia" w:ascii="宋体" w:hAnsi="宋体" w:eastAsia="宋体" w:cs="宋体"/>
          <w:b/>
          <w:bCs/>
          <w:color w:val="auto"/>
          <w:kern w:val="2"/>
          <w:sz w:val="21"/>
          <w:szCs w:val="21"/>
          <w:highlight w:val="none"/>
          <w:lang w:val="en-US" w:eastAsia="zh-CN" w:bidi="ar-SA"/>
        </w:rPr>
        <w:t>标项三：</w:t>
      </w:r>
    </w:p>
    <w:tbl>
      <w:tblPr>
        <w:tblStyle w:val="23"/>
        <w:tblpPr w:leftFromText="180" w:rightFromText="180" w:vertAnchor="text" w:tblpXSpec="left" w:tblpY="1"/>
        <w:tblOverlap w:val="never"/>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640"/>
        <w:gridCol w:w="48"/>
        <w:gridCol w:w="1690"/>
        <w:gridCol w:w="60"/>
        <w:gridCol w:w="3691"/>
        <w:gridCol w:w="787"/>
        <w:gridCol w:w="651"/>
        <w:gridCol w:w="27"/>
        <w:gridCol w:w="19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PrEx>
        <w:tc>
          <w:tcPr>
            <w:tcW w:w="9571" w:type="dxa"/>
            <w:gridSpan w:val="9"/>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校区2#变电所（新上部分）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序号</w:t>
            </w:r>
          </w:p>
        </w:tc>
        <w:tc>
          <w:tcPr>
            <w:tcW w:w="1750" w:type="dxa"/>
            <w:gridSpan w:val="2"/>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名称</w:t>
            </w:r>
          </w:p>
        </w:tc>
        <w:tc>
          <w:tcPr>
            <w:tcW w:w="3691"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规格与型号</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单位</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数量</w:t>
            </w:r>
          </w:p>
        </w:tc>
        <w:tc>
          <w:tcPr>
            <w:tcW w:w="1977"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750"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干式变压器1</w:t>
            </w:r>
          </w:p>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（核心产品）</w:t>
            </w:r>
          </w:p>
        </w:tc>
        <w:tc>
          <w:tcPr>
            <w:tcW w:w="369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SCB XX-1000/10  10±2x2.5%/0.4kV</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1977"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Dyn11  UK=6%配置温控仪及冷却风机，满足二级及以上能效要求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1750"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干式变压器外壳</w:t>
            </w:r>
          </w:p>
        </w:tc>
        <w:tc>
          <w:tcPr>
            <w:tcW w:w="369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≤1900*1350*2200mm（长*宽*高）</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1977"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防护等级IP3X</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w:t>
            </w:r>
          </w:p>
        </w:tc>
        <w:tc>
          <w:tcPr>
            <w:tcW w:w="1750"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10kV环网柜1</w:t>
            </w:r>
          </w:p>
        </w:tc>
        <w:tc>
          <w:tcPr>
            <w:tcW w:w="369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负荷开关柜</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1977"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10kV进线柜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w:t>
            </w:r>
          </w:p>
        </w:tc>
        <w:tc>
          <w:tcPr>
            <w:tcW w:w="1750"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10kV环网柜2</w:t>
            </w:r>
          </w:p>
        </w:tc>
        <w:tc>
          <w:tcPr>
            <w:tcW w:w="369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断路器柜</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1977"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10kV配变柜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w:t>
            </w:r>
          </w:p>
        </w:tc>
        <w:tc>
          <w:tcPr>
            <w:tcW w:w="1750"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0.4kV开关柜1</w:t>
            </w:r>
          </w:p>
        </w:tc>
        <w:tc>
          <w:tcPr>
            <w:tcW w:w="369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1977"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0.4kV低压总柜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w:t>
            </w:r>
          </w:p>
        </w:tc>
        <w:tc>
          <w:tcPr>
            <w:tcW w:w="1750"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0.4kV开关柜2</w:t>
            </w:r>
          </w:p>
        </w:tc>
        <w:tc>
          <w:tcPr>
            <w:tcW w:w="369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1977"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0.4kV低压电容柜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w:t>
            </w:r>
          </w:p>
        </w:tc>
        <w:tc>
          <w:tcPr>
            <w:tcW w:w="1750"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0.4kV开关柜3</w:t>
            </w:r>
          </w:p>
        </w:tc>
        <w:tc>
          <w:tcPr>
            <w:tcW w:w="369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977"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0.4kV联络柜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w:t>
            </w:r>
          </w:p>
        </w:tc>
        <w:tc>
          <w:tcPr>
            <w:tcW w:w="1750"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0.4kV开关柜4</w:t>
            </w:r>
          </w:p>
        </w:tc>
        <w:tc>
          <w:tcPr>
            <w:tcW w:w="369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w:t>
            </w:r>
          </w:p>
        </w:tc>
        <w:tc>
          <w:tcPr>
            <w:tcW w:w="1977"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0.4kV低压出线柜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w:t>
            </w:r>
          </w:p>
        </w:tc>
        <w:tc>
          <w:tcPr>
            <w:tcW w:w="1750"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密集型母线槽</w:t>
            </w:r>
          </w:p>
        </w:tc>
        <w:tc>
          <w:tcPr>
            <w:tcW w:w="369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防护等级IP54、五线：L1、L2、L3、N、PE铝镁合金外壳</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977"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低压联络母线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w:t>
            </w:r>
          </w:p>
        </w:tc>
        <w:tc>
          <w:tcPr>
            <w:tcW w:w="1750"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UPS电源柜</w:t>
            </w:r>
          </w:p>
        </w:tc>
        <w:tc>
          <w:tcPr>
            <w:tcW w:w="369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输入双路AC380V,  UPS输入AC220V,输出AC220V  6KVA 蓄电池：12V 40AH 18节</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977"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w:t>
            </w:r>
          </w:p>
        </w:tc>
        <w:tc>
          <w:tcPr>
            <w:tcW w:w="1750"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双电源照明配电箱</w:t>
            </w:r>
          </w:p>
        </w:tc>
        <w:tc>
          <w:tcPr>
            <w:tcW w:w="369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ATS 63A自动转换开关，互为备用</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输出回路：三相C16/3P  2路、单相C25/1P 1路 C16/1P 2路 C10/1P 3路</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977"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暗装,电源引自就近低压出线，需考虑适当回路预留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90" w:hRule="atLeast"/>
        </w:trPr>
        <w:tc>
          <w:tcPr>
            <w:tcW w:w="68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w:t>
            </w:r>
          </w:p>
        </w:tc>
        <w:tc>
          <w:tcPr>
            <w:tcW w:w="1750"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变电所电缆温度监测</w:t>
            </w:r>
          </w:p>
        </w:tc>
        <w:tc>
          <w:tcPr>
            <w:tcW w:w="369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电缆温度探测</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977"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温度检测包含环网柜、低压配电柜出线回路电缆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25" w:hRule="atLeast"/>
        </w:trPr>
        <w:tc>
          <w:tcPr>
            <w:tcW w:w="688"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w:t>
            </w:r>
          </w:p>
        </w:tc>
        <w:tc>
          <w:tcPr>
            <w:tcW w:w="1750" w:type="dxa"/>
            <w:gridSpan w:val="2"/>
            <w:tcBorders>
              <w:tl2br w:val="nil"/>
              <w:tr2bl w:val="nil"/>
            </w:tcBorders>
            <w:noWrap w:val="0"/>
            <w:vAlign w:val="center"/>
          </w:tcPr>
          <w:p>
            <w:pPr>
              <w:keepNext/>
              <w:widowControl w:val="0"/>
              <w:jc w:val="both"/>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低压智能站控终端</w:t>
            </w:r>
          </w:p>
        </w:tc>
        <w:tc>
          <w:tcPr>
            <w:tcW w:w="369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低压智能站控终端</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977"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w:t>
            </w:r>
          </w:p>
        </w:tc>
        <w:tc>
          <w:tcPr>
            <w:tcW w:w="1750"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变压器、无功补偿柜灭火系统</w:t>
            </w:r>
          </w:p>
        </w:tc>
        <w:tc>
          <w:tcPr>
            <w:tcW w:w="3691"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1.能够防护0.2m³~1m³封闭、半封闭空间，扑灭早期起火;</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2.灭火药剂(全氟己酮）具备洁净、安全，对人体、环境、设备均无害；对电子元件、电器设备无腐蚀、无残留、电气绝缘特性;</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3.灭火药剂贮存采用无储压设计，安全性高;</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4.具有至少6年有效期;</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5.支持热启动与平台远程管理启动双启动方式。</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977"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低压无功补偿柜内及变压器防护外壳内安装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w:t>
            </w:r>
          </w:p>
        </w:tc>
        <w:tc>
          <w:tcPr>
            <w:tcW w:w="1750"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变电所内改造项</w:t>
            </w:r>
          </w:p>
        </w:tc>
        <w:tc>
          <w:tcPr>
            <w:tcW w:w="369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电缆沟、集排水设施等，排水泵控制器具有通讯功能，能远程监测水位、泵状态（启、停、故障），能远程启、停排水泵</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977"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部分变电所集排水设施需新建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w:t>
            </w:r>
          </w:p>
        </w:tc>
        <w:tc>
          <w:tcPr>
            <w:tcW w:w="1750"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变电所内拆除重建项</w:t>
            </w:r>
          </w:p>
        </w:tc>
        <w:tc>
          <w:tcPr>
            <w:tcW w:w="369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接地网、设备安装基础</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977"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1.拆除原有；</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2.接地电阻＜1欧姆；</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3.与建筑自然接地网连接不少于4处；</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4.设备基础须安装在梁上。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17</w:t>
            </w:r>
          </w:p>
        </w:tc>
        <w:tc>
          <w:tcPr>
            <w:tcW w:w="1750"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一次模拟图板</w:t>
            </w:r>
          </w:p>
        </w:tc>
        <w:tc>
          <w:tcPr>
            <w:tcW w:w="369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按图纸制作</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块</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977"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88"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w:t>
            </w:r>
          </w:p>
        </w:tc>
        <w:tc>
          <w:tcPr>
            <w:tcW w:w="1750"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安全工器具</w:t>
            </w:r>
          </w:p>
        </w:tc>
        <w:tc>
          <w:tcPr>
            <w:tcW w:w="3691"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含灭火器、验电器、接地线、绝缘垫等</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67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977"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9571" w:type="dxa"/>
            <w:gridSpan w:val="9"/>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校区9#变电所（新上部分）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40"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序号</w:t>
            </w:r>
          </w:p>
        </w:tc>
        <w:tc>
          <w:tcPr>
            <w:tcW w:w="1738" w:type="dxa"/>
            <w:gridSpan w:val="2"/>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名称</w:t>
            </w:r>
          </w:p>
        </w:tc>
        <w:tc>
          <w:tcPr>
            <w:tcW w:w="3751" w:type="dxa"/>
            <w:gridSpan w:val="2"/>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规格与型号</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单位</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数量</w:t>
            </w:r>
          </w:p>
        </w:tc>
        <w:tc>
          <w:tcPr>
            <w:tcW w:w="2004" w:type="dxa"/>
            <w:gridSpan w:val="2"/>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40"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73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干式变压器2</w:t>
            </w:r>
          </w:p>
        </w:tc>
        <w:tc>
          <w:tcPr>
            <w:tcW w:w="3751"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SCB XX-800/10  10±2x2.5%/0.4kV</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04"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Dyn11  UK=6%配置温控仪及冷却风机，满足二级及以上能效要求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40"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173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干式变压器外壳</w:t>
            </w:r>
          </w:p>
        </w:tc>
        <w:tc>
          <w:tcPr>
            <w:tcW w:w="3751"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≤1900*1350*2200mm（长*宽*高）</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04" w:type="dxa"/>
            <w:gridSpan w:val="2"/>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防护等级IP3X</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40"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w:t>
            </w:r>
          </w:p>
        </w:tc>
        <w:tc>
          <w:tcPr>
            <w:tcW w:w="1738"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10kV环网柜1</w:t>
            </w:r>
          </w:p>
        </w:tc>
        <w:tc>
          <w:tcPr>
            <w:tcW w:w="3751"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负荷开关柜</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04"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10kV进线柜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40"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w:t>
            </w:r>
          </w:p>
        </w:tc>
        <w:tc>
          <w:tcPr>
            <w:tcW w:w="1738"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10kV环网柜2</w:t>
            </w:r>
          </w:p>
        </w:tc>
        <w:tc>
          <w:tcPr>
            <w:tcW w:w="3751"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断路器柜</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04"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10kV配变柜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40"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w:t>
            </w:r>
          </w:p>
        </w:tc>
        <w:tc>
          <w:tcPr>
            <w:tcW w:w="1738"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0.4kV开关柜1</w:t>
            </w:r>
          </w:p>
        </w:tc>
        <w:tc>
          <w:tcPr>
            <w:tcW w:w="3751"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04"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0.4kV低压总柜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40"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w:t>
            </w:r>
          </w:p>
        </w:tc>
        <w:tc>
          <w:tcPr>
            <w:tcW w:w="1738"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0.4kV开关柜2</w:t>
            </w:r>
          </w:p>
        </w:tc>
        <w:tc>
          <w:tcPr>
            <w:tcW w:w="3751"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04"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0.4kV低压电容柜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40"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w:t>
            </w:r>
          </w:p>
        </w:tc>
        <w:tc>
          <w:tcPr>
            <w:tcW w:w="1738"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0.4kV开关柜3</w:t>
            </w:r>
          </w:p>
        </w:tc>
        <w:tc>
          <w:tcPr>
            <w:tcW w:w="3751"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04"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0.4kV联络柜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40"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w:t>
            </w:r>
          </w:p>
        </w:tc>
        <w:tc>
          <w:tcPr>
            <w:tcW w:w="1738" w:type="dxa"/>
            <w:gridSpan w:val="2"/>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0.4kV开关柜4</w:t>
            </w:r>
          </w:p>
        </w:tc>
        <w:tc>
          <w:tcPr>
            <w:tcW w:w="3751"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w:t>
            </w:r>
          </w:p>
        </w:tc>
        <w:tc>
          <w:tcPr>
            <w:tcW w:w="2004"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0.4kV低压出线柜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40"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w:t>
            </w:r>
          </w:p>
        </w:tc>
        <w:tc>
          <w:tcPr>
            <w:tcW w:w="173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UPS电源柜</w:t>
            </w:r>
          </w:p>
        </w:tc>
        <w:tc>
          <w:tcPr>
            <w:tcW w:w="3751" w:type="dxa"/>
            <w:gridSpan w:val="2"/>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输入双路AC380V,  UPS输入AC220V,输出AC220V  6KVA 蓄电池：12V 40AH 18节</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04"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40"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w:t>
            </w:r>
          </w:p>
        </w:tc>
        <w:tc>
          <w:tcPr>
            <w:tcW w:w="173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双电源照明配电箱</w:t>
            </w:r>
          </w:p>
        </w:tc>
        <w:tc>
          <w:tcPr>
            <w:tcW w:w="3751"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ATS 63A自动转换开关，互为备用</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输出回路：三相C16/3P  2路、单相C25/1P 1路 C16/1P 2路 C10/1P 3路</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04"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暗装，电源引自就近低压出线，需考虑适当回路预留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40"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w:t>
            </w:r>
          </w:p>
        </w:tc>
        <w:tc>
          <w:tcPr>
            <w:tcW w:w="173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变电所电缆温度监测</w:t>
            </w:r>
          </w:p>
        </w:tc>
        <w:tc>
          <w:tcPr>
            <w:tcW w:w="3751"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电缆温度探测</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04"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温度检测包含环网柜、低压配电柜出线回路电缆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661" w:hRule="atLeast"/>
        </w:trPr>
        <w:tc>
          <w:tcPr>
            <w:tcW w:w="640"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w:t>
            </w:r>
          </w:p>
        </w:tc>
        <w:tc>
          <w:tcPr>
            <w:tcW w:w="173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低压智能站控终端</w:t>
            </w:r>
          </w:p>
        </w:tc>
        <w:tc>
          <w:tcPr>
            <w:tcW w:w="3751"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低压智能站控终端</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04"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2850" w:hRule="atLeast"/>
        </w:trPr>
        <w:tc>
          <w:tcPr>
            <w:tcW w:w="640"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w:t>
            </w:r>
          </w:p>
        </w:tc>
        <w:tc>
          <w:tcPr>
            <w:tcW w:w="173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变压器、无功补偿柜灭火系统</w:t>
            </w:r>
          </w:p>
        </w:tc>
        <w:tc>
          <w:tcPr>
            <w:tcW w:w="3751"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1.能够防护0.2m³~1m³封闭、半封闭空间，扑灭早期起火；</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2.灭火药剂(全氟己酮）具备洁净、安全，对人体、环境、设备均无害；对电子元件、电器设备无腐蚀、无残留、电气绝缘特性；</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3.灭火药剂贮存采用无储压设计，安全性高；</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4.具有至少6年有效期；</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5.支持热启动与平台远程管理启动双启动方式。</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04"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低压无功补偿柜内及变压器防护外壳内安装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40"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w:t>
            </w:r>
          </w:p>
        </w:tc>
        <w:tc>
          <w:tcPr>
            <w:tcW w:w="173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变电所内改造项</w:t>
            </w:r>
          </w:p>
        </w:tc>
        <w:tc>
          <w:tcPr>
            <w:tcW w:w="3751"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电缆沟、集排水设施等，排水泵控制器具有通讯功能，能远程监测水位、泵状态（启、停、故障），能远程启、停排水泵</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04"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部分变电所集排水设施需新建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40"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w:t>
            </w:r>
          </w:p>
        </w:tc>
        <w:tc>
          <w:tcPr>
            <w:tcW w:w="173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变电所内拆除重建项</w:t>
            </w:r>
          </w:p>
        </w:tc>
        <w:tc>
          <w:tcPr>
            <w:tcW w:w="3751"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接地网、设备安装基础</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04"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1.拆除原有；</w:t>
            </w:r>
          </w:p>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2.接地电阻&lt;1欧姆</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3.与建筑自然接地网连接不少于4处；</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4.设备基础须安装在梁上。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40"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w:t>
            </w:r>
          </w:p>
        </w:tc>
        <w:tc>
          <w:tcPr>
            <w:tcW w:w="173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一次模拟图板</w:t>
            </w:r>
          </w:p>
        </w:tc>
        <w:tc>
          <w:tcPr>
            <w:tcW w:w="3751" w:type="dxa"/>
            <w:gridSpan w:val="2"/>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按图纸制作</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块</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04"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40"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17</w:t>
            </w:r>
          </w:p>
        </w:tc>
        <w:tc>
          <w:tcPr>
            <w:tcW w:w="1738" w:type="dxa"/>
            <w:gridSpan w:val="2"/>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安全工器具</w:t>
            </w:r>
          </w:p>
        </w:tc>
        <w:tc>
          <w:tcPr>
            <w:tcW w:w="3751" w:type="dxa"/>
            <w:gridSpan w:val="2"/>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含灭火器、验电器、接地线、绝缘垫等</w:t>
            </w:r>
          </w:p>
        </w:tc>
        <w:tc>
          <w:tcPr>
            <w:tcW w:w="78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651"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04" w:type="dxa"/>
            <w:gridSpan w:val="2"/>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bl>
    <w:p>
      <w:pP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br w:type="page"/>
      </w:r>
      <w:r>
        <w:rPr>
          <w:rFonts w:hint="eastAsia" w:ascii="宋体" w:hAnsi="宋体" w:eastAsia="宋体" w:cs="宋体"/>
          <w:b/>
          <w:bCs/>
          <w:color w:val="auto"/>
          <w:kern w:val="2"/>
          <w:sz w:val="21"/>
          <w:szCs w:val="21"/>
          <w:highlight w:val="none"/>
          <w:lang w:val="en-US" w:eastAsia="zh-CN" w:bidi="ar-SA"/>
        </w:rPr>
        <w:t>标项四：</w:t>
      </w:r>
    </w:p>
    <w:tbl>
      <w:tblPr>
        <w:tblStyle w:val="23"/>
        <w:tblpPr w:leftFromText="180" w:rightFromText="180" w:vertAnchor="text" w:tblpXSpec="left" w:tblpY="1"/>
        <w:tblOverlap w:val="never"/>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667"/>
        <w:gridCol w:w="1636"/>
        <w:gridCol w:w="3826"/>
        <w:gridCol w:w="695"/>
        <w:gridCol w:w="684"/>
        <w:gridCol w:w="206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90" w:hRule="atLeast"/>
        </w:trPr>
        <w:tc>
          <w:tcPr>
            <w:tcW w:w="9571" w:type="dxa"/>
            <w:gridSpan w:val="6"/>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校区7A#变电所（新上部分）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67"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序号</w:t>
            </w:r>
          </w:p>
        </w:tc>
        <w:tc>
          <w:tcPr>
            <w:tcW w:w="1636"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名称</w:t>
            </w:r>
          </w:p>
        </w:tc>
        <w:tc>
          <w:tcPr>
            <w:tcW w:w="3826"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规格与型号</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单位</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数量</w:t>
            </w:r>
          </w:p>
        </w:tc>
        <w:tc>
          <w:tcPr>
            <w:tcW w:w="2063" w:type="dxa"/>
            <w:tcBorders>
              <w:tl2br w:val="nil"/>
              <w:tr2bl w:val="nil"/>
            </w:tcBorders>
            <w:noWrap w:val="0"/>
            <w:vAlign w:val="center"/>
          </w:tcPr>
          <w:p>
            <w:pPr>
              <w:keepNext/>
              <w:widowControl w:val="0"/>
              <w:jc w:val="center"/>
              <w:outlineLvl w:val="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636"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干式变压器</w:t>
            </w:r>
          </w:p>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（核心产品）</w:t>
            </w:r>
          </w:p>
        </w:tc>
        <w:tc>
          <w:tcPr>
            <w:tcW w:w="3826"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SCB XX-1000/10  10±2x2.5%/0.4kV</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6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Dyn11  UK=6%配置温控仪及冷却风机，满足二级及以上能效要求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1636"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干式变压器外壳</w:t>
            </w:r>
          </w:p>
        </w:tc>
        <w:tc>
          <w:tcPr>
            <w:tcW w:w="3826"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≤2100*1350*2200mm（长*宽*高）</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6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防护等级IP3X</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w:t>
            </w:r>
          </w:p>
        </w:tc>
        <w:tc>
          <w:tcPr>
            <w:tcW w:w="1636"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10kV环网柜1</w:t>
            </w:r>
          </w:p>
        </w:tc>
        <w:tc>
          <w:tcPr>
            <w:tcW w:w="3826"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负荷开关柜</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6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10kV进线柜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w:t>
            </w:r>
          </w:p>
        </w:tc>
        <w:tc>
          <w:tcPr>
            <w:tcW w:w="1636"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10kV环网柜2</w:t>
            </w:r>
          </w:p>
        </w:tc>
        <w:tc>
          <w:tcPr>
            <w:tcW w:w="3826"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断路器柜</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6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10kV配变柜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w:t>
            </w:r>
          </w:p>
        </w:tc>
        <w:tc>
          <w:tcPr>
            <w:tcW w:w="1636"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0.4kV开关柜1</w:t>
            </w:r>
          </w:p>
        </w:tc>
        <w:tc>
          <w:tcPr>
            <w:tcW w:w="3826"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6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0.4kV低压总柜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90" w:hRule="atLeast"/>
        </w:trPr>
        <w:tc>
          <w:tcPr>
            <w:tcW w:w="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w:t>
            </w:r>
          </w:p>
        </w:tc>
        <w:tc>
          <w:tcPr>
            <w:tcW w:w="1636"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0.4kV开关柜2</w:t>
            </w:r>
          </w:p>
        </w:tc>
        <w:tc>
          <w:tcPr>
            <w:tcW w:w="3826"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p>
        </w:tc>
        <w:tc>
          <w:tcPr>
            <w:tcW w:w="206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0.4kV低压电容柜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w:t>
            </w:r>
          </w:p>
        </w:tc>
        <w:tc>
          <w:tcPr>
            <w:tcW w:w="1636"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0.4kV开关柜3</w:t>
            </w:r>
          </w:p>
        </w:tc>
        <w:tc>
          <w:tcPr>
            <w:tcW w:w="3826"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6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0.4kV联络柜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w:t>
            </w:r>
          </w:p>
        </w:tc>
        <w:tc>
          <w:tcPr>
            <w:tcW w:w="1636"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0.4kV开关柜4</w:t>
            </w:r>
          </w:p>
        </w:tc>
        <w:tc>
          <w:tcPr>
            <w:tcW w:w="3826"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0.4KV低压开关柜</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84"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w:t>
            </w:r>
          </w:p>
        </w:tc>
        <w:tc>
          <w:tcPr>
            <w:tcW w:w="206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0.4kV低压出线柜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w:t>
            </w:r>
          </w:p>
        </w:tc>
        <w:tc>
          <w:tcPr>
            <w:tcW w:w="1636"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密集型母线槽1</w:t>
            </w:r>
          </w:p>
        </w:tc>
        <w:tc>
          <w:tcPr>
            <w:tcW w:w="3826"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防护等级IP54、五线：L1、L2、L3、N、PE铝镁合金外壳</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6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低压联络母线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w:t>
            </w:r>
          </w:p>
        </w:tc>
        <w:tc>
          <w:tcPr>
            <w:tcW w:w="1636"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UPS电源柜</w:t>
            </w:r>
          </w:p>
        </w:tc>
        <w:tc>
          <w:tcPr>
            <w:tcW w:w="3826"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输入双路AC380V,  UPS输入AC220V,输出AC220V  6KVA 蓄电池：12V 40AH 18节</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6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w:t>
            </w:r>
          </w:p>
        </w:tc>
        <w:tc>
          <w:tcPr>
            <w:tcW w:w="1636"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双电源照明配电箱</w:t>
            </w:r>
          </w:p>
        </w:tc>
        <w:tc>
          <w:tcPr>
            <w:tcW w:w="3826"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ATS 63A自动转换开关，互为备用</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输出回路：三相C16/3P  2路、单相C25/1P 1路 C16/1P 2路   C10/1P 3路</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台</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6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暗装 电源引自就近低压出线，需考虑适当回路预留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w:t>
            </w:r>
          </w:p>
        </w:tc>
        <w:tc>
          <w:tcPr>
            <w:tcW w:w="1636"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变电所电缆温度监测</w:t>
            </w:r>
          </w:p>
        </w:tc>
        <w:tc>
          <w:tcPr>
            <w:tcW w:w="3826"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电缆温度探测</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84"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6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温度检测包含环网柜、低压配电柜出线回路电缆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w:t>
            </w:r>
          </w:p>
        </w:tc>
        <w:tc>
          <w:tcPr>
            <w:tcW w:w="1636"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低压智能站控终端</w:t>
            </w:r>
          </w:p>
        </w:tc>
        <w:tc>
          <w:tcPr>
            <w:tcW w:w="3826"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低压智能站控终端</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6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w:t>
            </w:r>
          </w:p>
        </w:tc>
        <w:tc>
          <w:tcPr>
            <w:tcW w:w="1636"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变压器、无功补偿柜灭火系统</w:t>
            </w:r>
          </w:p>
        </w:tc>
        <w:tc>
          <w:tcPr>
            <w:tcW w:w="3826"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1.能够防护0.2m³~1m³封闭、半封闭空间，扑灭早期起火；</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2.灭火药剂(全氟己酮）具备洁净、安全，对人体、环境、设备均无害；对电子元件、电器设备无腐蚀、无残留、电气绝缘特性；</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3.灭火药剂贮存采用无储压设计，安全性高；</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4.具有至少6年有效期；</w:t>
            </w:r>
          </w:p>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5.支持热启动与平台远程管理启动双启动方式。</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6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低压无功补偿柜内及变压器防护外壳内安装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w:t>
            </w:r>
          </w:p>
        </w:tc>
        <w:tc>
          <w:tcPr>
            <w:tcW w:w="1636"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变电所内改造项</w:t>
            </w:r>
          </w:p>
        </w:tc>
        <w:tc>
          <w:tcPr>
            <w:tcW w:w="3826"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电缆沟、集排水设施等，排水泵控制器具有通讯功能，能远程监测水位、泵状态（启、停、故障），能远程启、停排水泵</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6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部分变电所集排水设施需新建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1581" w:hRule="atLeast"/>
        </w:trPr>
        <w:tc>
          <w:tcPr>
            <w:tcW w:w="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w:t>
            </w:r>
          </w:p>
        </w:tc>
        <w:tc>
          <w:tcPr>
            <w:tcW w:w="1636"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变电所内拆除重建项</w:t>
            </w:r>
          </w:p>
        </w:tc>
        <w:tc>
          <w:tcPr>
            <w:tcW w:w="3826"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接地网、设备安装基础</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项</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6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1.拆除原有；</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2.接地电阻＜1欧姆；</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3.与建筑自然接地网连接不少于4处；</w:t>
            </w:r>
          </w:p>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4.设备基础须安装在梁上。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17</w:t>
            </w:r>
          </w:p>
        </w:tc>
        <w:tc>
          <w:tcPr>
            <w:tcW w:w="1636"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一次模拟图板</w:t>
            </w:r>
          </w:p>
        </w:tc>
        <w:tc>
          <w:tcPr>
            <w:tcW w:w="3826"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按图纸制作</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块</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6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421" w:hRule="atLeast"/>
        </w:trPr>
        <w:tc>
          <w:tcPr>
            <w:tcW w:w="667"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w:t>
            </w:r>
          </w:p>
        </w:tc>
        <w:tc>
          <w:tcPr>
            <w:tcW w:w="1636"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安全工器具</w:t>
            </w:r>
          </w:p>
        </w:tc>
        <w:tc>
          <w:tcPr>
            <w:tcW w:w="3826"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含灭火器、验电器、接地线、绝缘垫等</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套</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63"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546" w:hRule="atLeast"/>
        </w:trPr>
        <w:tc>
          <w:tcPr>
            <w:tcW w:w="667"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19</w:t>
            </w:r>
          </w:p>
        </w:tc>
        <w:tc>
          <w:tcPr>
            <w:tcW w:w="1636" w:type="dxa"/>
            <w:tcBorders>
              <w:tl2br w:val="nil"/>
              <w:tr2bl w:val="nil"/>
            </w:tcBorders>
            <w:noWrap w:val="0"/>
            <w:vAlign w:val="center"/>
          </w:tcPr>
          <w:p>
            <w:pPr>
              <w:keepNext/>
              <w:widowControl w:val="0"/>
              <w:jc w:val="center"/>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密集型母线槽2</w:t>
            </w:r>
          </w:p>
        </w:tc>
        <w:tc>
          <w:tcPr>
            <w:tcW w:w="3826" w:type="dxa"/>
            <w:tcBorders>
              <w:tl2br w:val="nil"/>
              <w:tr2bl w:val="nil"/>
            </w:tcBorders>
            <w:noWrap w:val="0"/>
            <w:vAlign w:val="center"/>
          </w:tcPr>
          <w:p>
            <w:pPr>
              <w:keepNext/>
              <w:widowControl w:val="0"/>
              <w:jc w:val="left"/>
              <w:outlineLvl w:val="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规格型号与原有相同</w:t>
            </w:r>
          </w:p>
        </w:tc>
        <w:tc>
          <w:tcPr>
            <w:tcW w:w="695"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段</w:t>
            </w:r>
          </w:p>
        </w:tc>
        <w:tc>
          <w:tcPr>
            <w:tcW w:w="684" w:type="dxa"/>
            <w:tcBorders>
              <w:tl2br w:val="nil"/>
              <w:tr2bl w:val="nil"/>
            </w:tcBorders>
            <w:noWrap w:val="0"/>
            <w:vAlign w:val="center"/>
          </w:tcPr>
          <w:p>
            <w:pPr>
              <w:keepNext/>
              <w:widowControl w:val="0"/>
              <w:jc w:val="center"/>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63" w:type="dxa"/>
            <w:tcBorders>
              <w:tl2br w:val="nil"/>
              <w:tr2bl w:val="nil"/>
            </w:tcBorders>
            <w:noWrap w:val="0"/>
            <w:vAlign w:val="center"/>
          </w:tcPr>
          <w:p>
            <w:pPr>
              <w:keepNext/>
              <w:widowControl w:val="0"/>
              <w:jc w:val="left"/>
              <w:outlineLvl w:val="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修复原有出线母线槽</w:t>
            </w:r>
          </w:p>
        </w:tc>
      </w:tr>
    </w:tbl>
    <w:p>
      <w:pPr>
        <w:widowControl/>
        <w:adjustRightInd w:val="0"/>
        <w:snapToGrid w:val="0"/>
        <w:spacing w:line="288" w:lineRule="auto"/>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br w:type="page"/>
      </w:r>
    </w:p>
    <w:p>
      <w:pPr>
        <w:pStyle w:val="6"/>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3.2 干式变压器技术要求：</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3.2.1 主要技术参数：</w:t>
      </w:r>
      <w:bookmarkStart w:id="38" w:name="_Toc1964"/>
      <w:bookmarkStart w:id="39" w:name="_Toc27754"/>
      <w:bookmarkStart w:id="40" w:name="_Toc30986"/>
    </w:p>
    <w:p>
      <w:pPr>
        <w:pStyle w:val="6"/>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型式：三相、双绕组、环氧树脂真空浇注干式变压器</w:t>
      </w:r>
      <w:r>
        <w:rPr>
          <w:rFonts w:hint="eastAsia" w:ascii="宋体" w:hAnsi="宋体" w:eastAsia="宋体" w:cs="宋体"/>
          <w:color w:val="auto"/>
          <w:sz w:val="21"/>
          <w:szCs w:val="21"/>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（2）型号：SCB-XX系列</w:t>
      </w:r>
      <w:bookmarkEnd w:id="38"/>
      <w:bookmarkEnd w:id="39"/>
      <w:bookmarkEnd w:id="40"/>
      <w:r>
        <w:rPr>
          <w:rFonts w:hint="eastAsia" w:ascii="宋体" w:hAnsi="宋体" w:eastAsia="宋体" w:cs="宋体"/>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41" w:name="_Toc18125"/>
      <w:bookmarkStart w:id="42" w:name="_Toc13484"/>
      <w:bookmarkStart w:id="43" w:name="_Toc12946"/>
      <w:r>
        <w:rPr>
          <w:rFonts w:hint="eastAsia" w:ascii="宋体" w:hAnsi="宋体" w:eastAsia="宋体" w:cs="宋体"/>
          <w:color w:val="auto"/>
          <w:kern w:val="2"/>
          <w:sz w:val="21"/>
          <w:szCs w:val="21"/>
          <w:highlight w:val="none"/>
          <w:lang w:val="en-US" w:eastAsia="zh-CN" w:bidi="ar-SA"/>
        </w:rPr>
        <w:t>（3）能效指标：能效二级及以上，满足GB 20052-2020能效标准</w:t>
      </w:r>
      <w:bookmarkEnd w:id="41"/>
      <w:bookmarkEnd w:id="42"/>
      <w:bookmarkEnd w:id="43"/>
      <w:r>
        <w:rPr>
          <w:rFonts w:hint="eastAsia" w:ascii="宋体" w:hAnsi="宋体" w:eastAsia="宋体" w:cs="宋体"/>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44" w:name="_Toc4721"/>
      <w:bookmarkStart w:id="45" w:name="_Toc26451"/>
      <w:bookmarkStart w:id="46" w:name="_Toc2143"/>
      <w:r>
        <w:rPr>
          <w:rFonts w:hint="eastAsia" w:ascii="宋体" w:hAnsi="宋体" w:eastAsia="宋体" w:cs="宋体"/>
          <w:color w:val="auto"/>
          <w:kern w:val="2"/>
          <w:sz w:val="21"/>
          <w:szCs w:val="21"/>
          <w:highlight w:val="none"/>
          <w:lang w:val="en-US" w:eastAsia="zh-CN" w:bidi="ar-SA"/>
        </w:rPr>
        <w:t>（4）额定频率：50Hz；</w:t>
      </w:r>
      <w:bookmarkEnd w:id="44"/>
      <w:bookmarkEnd w:id="45"/>
      <w:bookmarkEnd w:id="46"/>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cs="宋体" w:eastAsiaTheme="minorEastAsia"/>
          <w:color w:val="auto"/>
          <w:kern w:val="2"/>
          <w:sz w:val="21"/>
          <w:szCs w:val="21"/>
          <w:highlight w:val="none"/>
          <w:lang w:val="en-US" w:eastAsia="zh-CN" w:bidi="ar-SA"/>
        </w:rPr>
      </w:pPr>
      <w:bookmarkStart w:id="47" w:name="_Toc1796"/>
      <w:bookmarkStart w:id="48" w:name="_Toc5177"/>
      <w:bookmarkStart w:id="49" w:name="_Toc26333"/>
      <w:r>
        <w:rPr>
          <w:rFonts w:hint="eastAsia" w:ascii="宋体" w:hAnsi="宋体" w:eastAsia="宋体" w:cs="宋体"/>
          <w:color w:val="auto"/>
          <w:kern w:val="2"/>
          <w:sz w:val="21"/>
          <w:szCs w:val="21"/>
          <w:highlight w:val="none"/>
          <w:lang w:val="en-US" w:eastAsia="zh-CN" w:bidi="ar-SA"/>
        </w:rPr>
        <w:t>（5）额定容量：见设计图</w:t>
      </w:r>
      <w:bookmarkEnd w:id="47"/>
      <w:bookmarkEnd w:id="48"/>
      <w:bookmarkEnd w:id="49"/>
      <w:r>
        <w:rPr>
          <w:rFonts w:hint="eastAsia" w:ascii="宋体" w:hAnsi="宋体" w:eastAsia="宋体" w:cs="宋体"/>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50" w:name="_Toc22181"/>
      <w:bookmarkStart w:id="51" w:name="_Toc13101"/>
      <w:bookmarkStart w:id="52" w:name="_Toc303"/>
      <w:r>
        <w:rPr>
          <w:rFonts w:hint="eastAsia" w:ascii="宋体" w:hAnsi="宋体" w:eastAsia="宋体" w:cs="宋体"/>
          <w:color w:val="auto"/>
          <w:kern w:val="2"/>
          <w:sz w:val="21"/>
          <w:szCs w:val="21"/>
          <w:highlight w:val="none"/>
          <w:lang w:val="en-US" w:eastAsia="zh-CN" w:bidi="ar-SA"/>
        </w:rPr>
        <w:t xml:space="preserve">（6）额定电压变比：10KV±2×2.5% /0.4 </w:t>
      </w:r>
      <w:bookmarkEnd w:id="50"/>
      <w:bookmarkEnd w:id="51"/>
      <w:bookmarkEnd w:id="52"/>
      <w:r>
        <w:rPr>
          <w:rFonts w:hint="eastAsia" w:ascii="宋体" w:hAnsi="宋体" w:eastAsia="宋体" w:cs="宋体"/>
          <w:color w:val="auto"/>
          <w:kern w:val="2"/>
          <w:sz w:val="21"/>
          <w:szCs w:val="21"/>
          <w:highlight w:val="none"/>
          <w:lang w:val="en-US" w:eastAsia="zh-CN" w:bidi="ar-SA"/>
        </w:rPr>
        <w:t>KV；</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53" w:name="_Toc10062"/>
      <w:bookmarkStart w:id="54" w:name="_Toc19684"/>
      <w:bookmarkStart w:id="55" w:name="_Toc20198"/>
      <w:r>
        <w:rPr>
          <w:rFonts w:hint="eastAsia" w:ascii="宋体" w:hAnsi="宋体" w:eastAsia="宋体" w:cs="宋体"/>
          <w:color w:val="auto"/>
          <w:kern w:val="2"/>
          <w:sz w:val="21"/>
          <w:szCs w:val="21"/>
          <w:highlight w:val="none"/>
          <w:lang w:val="en-US" w:eastAsia="zh-CN" w:bidi="ar-SA"/>
        </w:rPr>
        <w:t>（7）联接组标号：D，yn11；</w:t>
      </w:r>
      <w:bookmarkEnd w:id="53"/>
      <w:bookmarkEnd w:id="54"/>
      <w:bookmarkEnd w:id="55"/>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56" w:name="_Toc20587"/>
      <w:bookmarkStart w:id="57" w:name="_Toc5733"/>
      <w:bookmarkStart w:id="58" w:name="_Toc13936"/>
      <w:r>
        <w:rPr>
          <w:rFonts w:hint="eastAsia" w:ascii="宋体" w:hAnsi="宋体" w:eastAsia="宋体" w:cs="宋体"/>
          <w:color w:val="auto"/>
          <w:kern w:val="2"/>
          <w:sz w:val="21"/>
          <w:szCs w:val="21"/>
          <w:highlight w:val="none"/>
          <w:lang w:val="en-US" w:eastAsia="zh-CN" w:bidi="ar-SA"/>
        </w:rPr>
        <w:t>（8）短路阻抗：6%</w:t>
      </w:r>
      <w:bookmarkEnd w:id="56"/>
      <w:bookmarkEnd w:id="57"/>
      <w:bookmarkEnd w:id="58"/>
      <w:r>
        <w:rPr>
          <w:rFonts w:hint="eastAsia" w:ascii="宋体" w:hAnsi="宋体" w:eastAsia="宋体" w:cs="宋体"/>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59" w:name="_Toc22815"/>
      <w:bookmarkStart w:id="60" w:name="_Toc22347"/>
      <w:bookmarkStart w:id="61" w:name="_Toc6478"/>
      <w:r>
        <w:rPr>
          <w:rFonts w:hint="eastAsia" w:ascii="宋体" w:hAnsi="宋体" w:eastAsia="宋体" w:cs="宋体"/>
          <w:color w:val="auto"/>
          <w:kern w:val="2"/>
          <w:sz w:val="21"/>
          <w:szCs w:val="21"/>
          <w:highlight w:val="none"/>
          <w:lang w:val="en-US" w:eastAsia="zh-CN" w:bidi="ar-SA"/>
        </w:rPr>
        <w:t>（9）绝缘等级：H级</w:t>
      </w:r>
      <w:bookmarkEnd w:id="59"/>
      <w:bookmarkEnd w:id="60"/>
      <w:bookmarkEnd w:id="61"/>
      <w:r>
        <w:rPr>
          <w:rFonts w:hint="eastAsia" w:ascii="宋体" w:hAnsi="宋体" w:eastAsia="宋体" w:cs="宋体"/>
          <w:color w:val="auto"/>
          <w:kern w:val="2"/>
          <w:sz w:val="21"/>
          <w:szCs w:val="21"/>
          <w:highlight w:val="none"/>
          <w:lang w:val="en-US" w:eastAsia="zh-CN" w:bidi="ar-SA"/>
        </w:rPr>
        <w:t>及以上；</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62" w:name="_Toc14689"/>
      <w:bookmarkStart w:id="63" w:name="_Toc24073"/>
      <w:bookmarkStart w:id="64" w:name="_Toc4331"/>
      <w:r>
        <w:rPr>
          <w:rFonts w:hint="eastAsia" w:ascii="宋体" w:hAnsi="宋体" w:eastAsia="宋体" w:cs="宋体"/>
          <w:color w:val="auto"/>
          <w:kern w:val="2"/>
          <w:sz w:val="21"/>
          <w:szCs w:val="21"/>
          <w:highlight w:val="none"/>
          <w:lang w:val="en-US" w:eastAsia="zh-CN" w:bidi="ar-SA"/>
        </w:rPr>
        <w:t>（10）冷却方式：AN/AF；</w:t>
      </w:r>
      <w:bookmarkEnd w:id="62"/>
      <w:bookmarkEnd w:id="63"/>
      <w:bookmarkEnd w:id="64"/>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bookmarkStart w:id="65" w:name="_Toc24248"/>
      <w:bookmarkStart w:id="66" w:name="_Toc26360"/>
      <w:bookmarkStart w:id="67" w:name="_Toc19855"/>
      <w:r>
        <w:rPr>
          <w:rFonts w:hint="eastAsia" w:ascii="宋体" w:hAnsi="宋体" w:eastAsia="宋体" w:cs="宋体"/>
          <w:color w:val="auto"/>
          <w:kern w:val="2"/>
          <w:sz w:val="21"/>
          <w:szCs w:val="21"/>
          <w:highlight w:val="none"/>
          <w:lang w:val="en-US" w:eastAsia="zh-CN" w:bidi="ar-SA"/>
        </w:rPr>
        <w:t>（11）空、负载损耗要满足GB 20052-2020标准中对于二级及以上能效型变压器的规定</w:t>
      </w:r>
      <w:bookmarkEnd w:id="65"/>
      <w:bookmarkEnd w:id="66"/>
      <w:bookmarkEnd w:id="67"/>
      <w:r>
        <w:rPr>
          <w:rFonts w:hint="eastAsia" w:ascii="宋体" w:hAnsi="宋体" w:eastAsia="宋体" w:cs="宋体"/>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68" w:name="_Toc19862"/>
      <w:bookmarkStart w:id="69" w:name="_Toc31880"/>
      <w:bookmarkStart w:id="70" w:name="_Toc4946"/>
      <w:r>
        <w:rPr>
          <w:rFonts w:hint="eastAsia" w:ascii="宋体" w:hAnsi="宋体" w:eastAsia="宋体" w:cs="宋体"/>
          <w:color w:val="auto"/>
          <w:kern w:val="2"/>
          <w:sz w:val="21"/>
          <w:szCs w:val="21"/>
          <w:highlight w:val="none"/>
          <w:lang w:val="en-US" w:eastAsia="zh-CN" w:bidi="ar-SA"/>
        </w:rPr>
        <w:t>（12）绕组绝缘水平：</w:t>
      </w:r>
      <w:bookmarkEnd w:id="68"/>
      <w:bookmarkEnd w:id="69"/>
      <w:bookmarkEnd w:id="70"/>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3"/>
        <w:gridCol w:w="4141"/>
        <w:gridCol w:w="3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74" w:hRule="atLeast"/>
          <w:jc w:val="center"/>
        </w:trPr>
        <w:tc>
          <w:tcPr>
            <w:tcW w:w="9628"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变压器额定绝缘水平(kV)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74" w:hRule="atLeast"/>
          <w:jc w:val="center"/>
        </w:trPr>
        <w:tc>
          <w:tcPr>
            <w:tcW w:w="154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名称</w:t>
            </w:r>
          </w:p>
        </w:tc>
        <w:tc>
          <w:tcPr>
            <w:tcW w:w="41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1分钟工频耐受电压(有效值)kV</w:t>
            </w:r>
          </w:p>
        </w:tc>
        <w:tc>
          <w:tcPr>
            <w:tcW w:w="3944" w:type="dxa"/>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雷电冲击耐受电压（峰值）kV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13" w:hRule="atLeast"/>
          <w:jc w:val="center"/>
        </w:trPr>
        <w:tc>
          <w:tcPr>
            <w:tcW w:w="154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高压绕组</w:t>
            </w:r>
          </w:p>
        </w:tc>
        <w:tc>
          <w:tcPr>
            <w:tcW w:w="41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35</w:t>
            </w:r>
          </w:p>
        </w:tc>
        <w:tc>
          <w:tcPr>
            <w:tcW w:w="39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54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低压绕组</w:t>
            </w:r>
          </w:p>
        </w:tc>
        <w:tc>
          <w:tcPr>
            <w:tcW w:w="41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39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p>
        </w:tc>
      </w:tr>
    </w:tbl>
    <w:p>
      <w:pPr>
        <w:keepNext w:val="0"/>
        <w:keepLines w:val="0"/>
        <w:pageBreakBefore w:val="0"/>
        <w:widowControl w:val="0"/>
        <w:kinsoku/>
        <w:wordWrap/>
        <w:overflowPunct/>
        <w:topLinePunct w:val="0"/>
        <w:autoSpaceDE/>
        <w:autoSpaceDN/>
        <w:bidi w:val="0"/>
        <w:adjustRightInd/>
        <w:snapToGrid/>
        <w:spacing w:line="288" w:lineRule="auto"/>
        <w:ind w:left="0" w:firstLine="643" w:firstLineChars="200"/>
        <w:textAlignment w:val="auto"/>
        <w:rPr>
          <w:rFonts w:hint="eastAsia" w:ascii="宋体" w:hAnsi="宋体" w:eastAsia="宋体" w:cs="Times New Roman"/>
          <w:b/>
          <w:color w:val="auto"/>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color w:val="auto"/>
          <w:sz w:val="21"/>
          <w:szCs w:val="21"/>
          <w:highlight w:val="none"/>
          <w:lang w:val="en-US" w:eastAsia="zh-CN"/>
        </w:rPr>
      </w:pPr>
      <w:r>
        <w:rPr>
          <w:rFonts w:hint="eastAsia" w:ascii="宋体" w:hAnsi="宋体" w:eastAsia="宋体" w:cs="Times New Roman"/>
          <w:b/>
          <w:color w:val="auto"/>
          <w:sz w:val="21"/>
          <w:szCs w:val="21"/>
          <w:highlight w:val="none"/>
          <w:lang w:val="en-US" w:eastAsia="zh-CN"/>
        </w:rPr>
        <w:t>3.2.2 变压器防护外壳结构要求及温度控制器的功能要求：</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bookmarkStart w:id="71" w:name="_Toc7177"/>
      <w:bookmarkStart w:id="72" w:name="_Toc15557"/>
      <w:bookmarkStart w:id="73" w:name="_Toc17054"/>
      <w:r>
        <w:rPr>
          <w:rFonts w:hint="eastAsia" w:ascii="宋体" w:hAnsi="宋体" w:eastAsia="宋体" w:cs="宋体"/>
          <w:color w:val="auto"/>
          <w:kern w:val="2"/>
          <w:sz w:val="21"/>
          <w:szCs w:val="21"/>
          <w:highlight w:val="none"/>
          <w:lang w:val="en-US" w:eastAsia="zh-CN" w:bidi="ar-SA"/>
        </w:rPr>
        <w:t>（1）变压器应有防护外壳，采用铝合金板材，厚度要求≥2mm；防护外壳采用组合式结构，可现场拆卸和组装。防护外壳的尺寸需满足设计图纸的要求。</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zh-CN" w:eastAsia="zh-CN" w:bidi="ar-SA"/>
        </w:rPr>
        <w:t>★</w:t>
      </w:r>
      <w:r>
        <w:rPr>
          <w:rFonts w:hint="eastAsia" w:ascii="宋体" w:hAnsi="宋体" w:eastAsia="宋体" w:cs="宋体"/>
          <w:color w:val="auto"/>
          <w:kern w:val="2"/>
          <w:sz w:val="21"/>
          <w:szCs w:val="21"/>
          <w:highlight w:val="none"/>
          <w:lang w:val="en-US" w:eastAsia="zh-CN" w:bidi="ar-SA"/>
        </w:rPr>
        <w:t>（2）变压器防护等级不低于IP3X，具有良好的通风散热性能，变压器加装防护外壳后，不降容，并保证温升不超标</w:t>
      </w:r>
      <w:r>
        <w:rPr>
          <w:rFonts w:hint="eastAsia" w:ascii="宋体" w:hAnsi="宋体" w:eastAsia="宋体" w:cs="宋体"/>
          <w:b/>
          <w:bCs/>
          <w:color w:val="auto"/>
          <w:kern w:val="2"/>
          <w:sz w:val="21"/>
          <w:szCs w:val="21"/>
          <w:highlight w:val="none"/>
          <w:lang w:val="en-US" w:eastAsia="zh-CN" w:bidi="ar-SA"/>
        </w:rPr>
        <w:t>（提供证明材料）</w:t>
      </w:r>
      <w:r>
        <w:rPr>
          <w:rFonts w:hint="eastAsia" w:ascii="宋体" w:hAnsi="宋体" w:eastAsia="宋体" w:cs="宋体"/>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（3）外壳应采用坚固的钢支撑，足够的机械强度和抗冲撞能力。</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（4）外壳的钢支撑架等所有不载流部件应连接在一起，并有效接地。</w:t>
      </w:r>
      <w:bookmarkEnd w:id="71"/>
      <w:bookmarkEnd w:id="72"/>
      <w:bookmarkEnd w:id="73"/>
      <w:bookmarkStart w:id="74" w:name="_Toc24709"/>
      <w:bookmarkStart w:id="75" w:name="_Toc16165"/>
      <w:bookmarkStart w:id="76" w:name="_Toc28429"/>
      <w:r>
        <w:rPr>
          <w:rFonts w:hint="eastAsia" w:ascii="宋体" w:hAnsi="宋体" w:eastAsia="宋体" w:cs="宋体"/>
          <w:color w:val="auto"/>
          <w:kern w:val="2"/>
          <w:sz w:val="21"/>
          <w:szCs w:val="21"/>
          <w:highlight w:val="none"/>
          <w:lang w:val="en-US" w:eastAsia="zh-CN" w:bidi="ar-SA"/>
        </w:rPr>
        <w:t>变压器防护外壳在正面及背面均应有双扇门，用以检修时充分接近柜内设备，</w:t>
      </w:r>
      <w:bookmarkEnd w:id="74"/>
      <w:bookmarkEnd w:id="75"/>
      <w:bookmarkEnd w:id="76"/>
      <w:r>
        <w:rPr>
          <w:rFonts w:hint="eastAsia" w:ascii="宋体" w:hAnsi="宋体" w:eastAsia="宋体" w:cs="宋体"/>
          <w:color w:val="auto"/>
          <w:kern w:val="2"/>
          <w:sz w:val="21"/>
          <w:szCs w:val="21"/>
          <w:highlight w:val="none"/>
          <w:lang w:val="en-US" w:eastAsia="zh-CN" w:bidi="ar-SA"/>
        </w:rPr>
        <w:t>保护外壳的门应高、低压侧分别设置并加标志，要求外壳的门应有防误入装置。</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（5）变压器外壳上应配置嵌入式的干式变压器温度控制装置，其基本功能如下：</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contextualSpacing/>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1）温度传感器实时检测三相绕组温度；</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contextualSpacing/>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2）具有变压器绕组高温报警、超高温跳闸等功能。超高温跳闸须提供两副独立的无源触点，分别接入变压器高压侧的断路器、低压进线柜断路器的分闸回路；</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contextualSpacing/>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3）装置失电或装置故障信号应有硬接点信号输出；</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contextualSpacing/>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应具有温度显示屏、LED指示灯和操作键盘，能实时显示温度信息和故障信息，并可通过操作键盘设置和修改各种定值和参数。冷却风扇的启停温度定值、报警温度和跳闸温度定值可根据变压器的实际情况和用户的需要设置，在装置故障或失电时所有设定数据不会丢失；</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具有远程通信功能，至少具有RS485接口,采用Modbus-RTU协议。温度模拟量信号、高温报警、超高温跳闸及风机运行、停止、故障等信息应能通过远程通信口上送到变电所综合自动化系统。变压器冷却风机能根据变压器温度自动控制启/停及风机当地/远方启停控制功能。</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2" w:firstLineChars="200"/>
        <w:textAlignment w:val="auto"/>
        <w:rPr>
          <w:rFonts w:ascii="Times New Roman" w:hAnsi="Times New Roman" w:cs="Times New Roman"/>
          <w:color w:val="FF0000"/>
          <w:sz w:val="24"/>
          <w:szCs w:val="24"/>
          <w:highlight w:val="none"/>
        </w:rPr>
      </w:pPr>
      <w:r>
        <w:rPr>
          <w:rFonts w:hint="eastAsia" w:ascii="宋体" w:hAnsi="宋体" w:eastAsia="宋体" w:cs="宋体"/>
          <w:b/>
          <w:bCs/>
          <w:color w:val="FF0000"/>
          <w:kern w:val="2"/>
          <w:sz w:val="21"/>
          <w:szCs w:val="21"/>
          <w:highlight w:val="none"/>
          <w:lang w:val="en-US" w:eastAsia="zh-CN" w:bidi="ar-SA"/>
        </w:rPr>
        <w:t>3.2.3 主要性能技术要求：</w:t>
      </w:r>
      <w:bookmarkStart w:id="77" w:name="_Toc27709"/>
      <w:bookmarkStart w:id="78" w:name="_Toc17071"/>
      <w:bookmarkStart w:id="79" w:name="_Toc4436"/>
      <w:bookmarkStart w:id="80" w:name="_Toc21463"/>
      <w:bookmarkStart w:id="81" w:name="_Toc28374"/>
      <w:bookmarkStart w:id="82" w:name="_Toc4138"/>
    </w:p>
    <w:p>
      <w:pPr>
        <w:pStyle w:val="6"/>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lang w:val="zh-CN"/>
        </w:rPr>
        <w:t>★</w:t>
      </w:r>
      <w:r>
        <w:rPr>
          <w:rFonts w:hint="eastAsia" w:ascii="宋体" w:hAnsi="宋体" w:eastAsia="宋体" w:cs="宋体"/>
          <w:color w:val="FF0000"/>
          <w:sz w:val="21"/>
          <w:szCs w:val="21"/>
          <w:highlight w:val="none"/>
          <w:lang w:val="en-US" w:eastAsia="zh-CN"/>
        </w:rPr>
        <w:t>（1）</w:t>
      </w:r>
      <w:r>
        <w:rPr>
          <w:rFonts w:hint="eastAsia" w:ascii="宋体" w:hAnsi="宋体" w:eastAsia="宋体" w:cs="宋体"/>
          <w:color w:val="FF0000"/>
          <w:sz w:val="21"/>
          <w:szCs w:val="21"/>
          <w:highlight w:val="none"/>
        </w:rPr>
        <w:t>变压器在AN运行方式下应满足100%额定负荷长期运行，并应在AF运行方式下，能满足急救过负荷的要求，短时过载能力须达到150％。</w:t>
      </w:r>
      <w:bookmarkEnd w:id="77"/>
      <w:bookmarkEnd w:id="78"/>
      <w:bookmarkEnd w:id="79"/>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FF0000"/>
          <w:kern w:val="2"/>
          <w:sz w:val="21"/>
          <w:szCs w:val="21"/>
          <w:highlight w:val="none"/>
          <w:lang w:val="en-US" w:eastAsia="zh-CN" w:bidi="ar-SA"/>
        </w:rPr>
      </w:pPr>
      <w:bookmarkStart w:id="83" w:name="_Toc15485"/>
      <w:bookmarkStart w:id="84" w:name="_Toc32701"/>
      <w:bookmarkStart w:id="85" w:name="_Toc4165"/>
      <w:r>
        <w:rPr>
          <w:rFonts w:hint="eastAsia" w:ascii="宋体" w:hAnsi="宋体" w:eastAsia="宋体" w:cs="宋体"/>
          <w:color w:val="FF0000"/>
          <w:kern w:val="2"/>
          <w:sz w:val="21"/>
          <w:szCs w:val="21"/>
          <w:highlight w:val="none"/>
          <w:lang w:val="zh-CN" w:eastAsia="zh-CN" w:bidi="ar-SA"/>
        </w:rPr>
        <w:t>★</w:t>
      </w:r>
      <w:r>
        <w:rPr>
          <w:rFonts w:hint="eastAsia" w:ascii="宋体" w:hAnsi="宋体" w:eastAsia="宋体" w:cs="宋体"/>
          <w:color w:val="FF0000"/>
          <w:kern w:val="2"/>
          <w:sz w:val="21"/>
          <w:szCs w:val="21"/>
          <w:highlight w:val="none"/>
          <w:lang w:val="en-US" w:eastAsia="zh-CN" w:bidi="ar-SA"/>
        </w:rPr>
        <w:t>（2）高、低压绕组均采用铜绕组线圈，含铜量达到99.99%以上；高压绕组采用箔绕式或线绕式线圈，高压线圈采用环氧树脂真空绕注薄绝缘技术生产（不带填料）；低压绕组采用箔绕式线圈。</w:t>
      </w:r>
      <w:bookmarkEnd w:id="83"/>
      <w:bookmarkEnd w:id="84"/>
      <w:bookmarkEnd w:id="85"/>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kern w:val="2"/>
          <w:sz w:val="21"/>
          <w:szCs w:val="21"/>
          <w:highlight w:val="none"/>
          <w:lang w:val="en-US" w:eastAsia="zh-CN" w:bidi="ar-SA"/>
        </w:rPr>
        <w:t>（3）噪音水平：变压器本体声压级测定小于50分贝。</w:t>
      </w:r>
      <w:bookmarkEnd w:id="80"/>
      <w:bookmarkEnd w:id="81"/>
      <w:bookmarkEnd w:id="82"/>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FF0000"/>
          <w:kern w:val="2"/>
          <w:sz w:val="21"/>
          <w:szCs w:val="21"/>
          <w:highlight w:val="none"/>
          <w:lang w:val="en-US" w:eastAsia="zh-CN" w:bidi="ar-SA"/>
        </w:rPr>
      </w:pPr>
      <w:bookmarkStart w:id="86" w:name="_Toc17891"/>
      <w:bookmarkStart w:id="87" w:name="_Toc6318"/>
      <w:bookmarkStart w:id="88" w:name="_Toc31261"/>
      <w:r>
        <w:rPr>
          <w:rFonts w:hint="eastAsia" w:ascii="宋体" w:hAnsi="宋体" w:eastAsia="宋体" w:cs="宋体"/>
          <w:color w:val="FF0000"/>
          <w:kern w:val="2"/>
          <w:sz w:val="21"/>
          <w:szCs w:val="21"/>
          <w:highlight w:val="none"/>
          <w:lang w:val="en-US" w:eastAsia="zh-CN" w:bidi="ar-SA"/>
        </w:rPr>
        <w:t>（4）承受短路能力：应执行GB/T 1094.5-2008标准中的有关规定。变压器能承受低压侧出口三相短路，高压侧母线为无穷大电源供给的短路电流，绕组不变形，部件不发生损坏。</w:t>
      </w:r>
      <w:bookmarkEnd w:id="86"/>
      <w:bookmarkEnd w:id="87"/>
      <w:bookmarkEnd w:id="88"/>
      <w:bookmarkStart w:id="89" w:name="_Toc8052"/>
      <w:bookmarkStart w:id="90" w:name="_Toc32643"/>
      <w:bookmarkStart w:id="91" w:name="_Toc15060"/>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kern w:val="2"/>
          <w:sz w:val="21"/>
          <w:szCs w:val="21"/>
          <w:highlight w:val="none"/>
          <w:lang w:val="en-US" w:eastAsia="zh-CN" w:bidi="ar-SA"/>
        </w:rPr>
        <w:t>（5）产品散热性能好，机械强度高，不会因温度骤变而在变压器运行寿命期限内导致线圈表面龟裂。</w:t>
      </w:r>
      <w:bookmarkEnd w:id="89"/>
      <w:bookmarkEnd w:id="90"/>
      <w:bookmarkEnd w:id="91"/>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FF0000"/>
          <w:kern w:val="2"/>
          <w:sz w:val="21"/>
          <w:szCs w:val="21"/>
          <w:highlight w:val="none"/>
          <w:lang w:val="en-US" w:eastAsia="zh-CN" w:bidi="ar-SA"/>
        </w:rPr>
      </w:pPr>
      <w:bookmarkStart w:id="92" w:name="_Toc32556"/>
      <w:bookmarkStart w:id="93" w:name="_Toc5089"/>
      <w:bookmarkStart w:id="94" w:name="_Toc27909"/>
      <w:r>
        <w:rPr>
          <w:rFonts w:hint="eastAsia" w:ascii="宋体" w:hAnsi="宋体" w:eastAsia="宋体" w:cs="宋体"/>
          <w:color w:val="FF0000"/>
          <w:kern w:val="2"/>
          <w:sz w:val="21"/>
          <w:szCs w:val="21"/>
          <w:highlight w:val="none"/>
          <w:lang w:val="en-US" w:eastAsia="zh-CN" w:bidi="ar-SA"/>
        </w:rPr>
        <w:t>（6）硅钢片应采用高导磁晶粒取向性硅钢片。同时，</w:t>
      </w:r>
      <w:r>
        <w:rPr>
          <w:rFonts w:hint="eastAsia" w:ascii="宋体" w:hAnsi="宋体" w:eastAsia="宋体" w:cs="宋体"/>
          <w:i w:val="0"/>
          <w:iCs w:val="0"/>
          <w:caps w:val="0"/>
          <w:color w:val="FF0000"/>
          <w:spacing w:val="0"/>
          <w:kern w:val="2"/>
          <w:sz w:val="21"/>
          <w:szCs w:val="21"/>
          <w:highlight w:val="none"/>
          <w:shd w:val="clear" w:color="auto" w:fill="FFFFFF"/>
          <w:lang w:val="en-US" w:eastAsia="zh-CN" w:bidi="ar-SA"/>
        </w:rPr>
        <w:t>铁心采用</w:t>
      </w:r>
      <w:r>
        <w:rPr>
          <w:rFonts w:hint="eastAsia" w:ascii="宋体" w:hAnsi="宋体" w:eastAsia="宋体" w:cs="宋体"/>
          <w:color w:val="FF0000"/>
          <w:kern w:val="2"/>
          <w:sz w:val="21"/>
          <w:szCs w:val="21"/>
          <w:highlight w:val="none"/>
          <w:lang w:val="en-US" w:eastAsia="zh-CN" w:bidi="ar-SA"/>
        </w:rPr>
        <w:t>采用45º全斜接缝，七步进阶梯式叠积接缝形式，铁心表面应封涂环氧树脂，采取防腐措施，避免锈蚀。</w:t>
      </w:r>
      <w:bookmarkEnd w:id="92"/>
      <w:bookmarkEnd w:id="93"/>
      <w:bookmarkEnd w:id="94"/>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FF0000"/>
          <w:kern w:val="2"/>
          <w:sz w:val="21"/>
          <w:szCs w:val="21"/>
          <w:highlight w:val="none"/>
          <w:lang w:val="en-US" w:eastAsia="zh-CN" w:bidi="ar-SA"/>
        </w:rPr>
      </w:pPr>
      <w:bookmarkStart w:id="95" w:name="_Toc18158"/>
      <w:bookmarkStart w:id="96" w:name="_Toc22969"/>
      <w:bookmarkStart w:id="97" w:name="_Toc12402"/>
      <w:r>
        <w:rPr>
          <w:rFonts w:hint="eastAsia" w:ascii="宋体" w:hAnsi="宋体" w:eastAsia="宋体" w:cs="宋体"/>
          <w:color w:val="FF0000"/>
          <w:kern w:val="2"/>
          <w:sz w:val="21"/>
          <w:szCs w:val="21"/>
          <w:highlight w:val="none"/>
          <w:lang w:val="en-US" w:eastAsia="zh-CN" w:bidi="ar-SA"/>
        </w:rPr>
        <w:t>（7）铁芯通过可拆卸的接地联接片接地，保证铁芯有效可靠接地。</w:t>
      </w:r>
      <w:bookmarkEnd w:id="95"/>
      <w:bookmarkEnd w:id="96"/>
      <w:bookmarkEnd w:id="97"/>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FF0000"/>
          <w:kern w:val="2"/>
          <w:sz w:val="21"/>
          <w:szCs w:val="21"/>
          <w:highlight w:val="none"/>
          <w:lang w:val="en-US" w:eastAsia="zh-CN" w:bidi="ar-SA"/>
        </w:rPr>
      </w:pPr>
      <w:bookmarkStart w:id="98" w:name="_Toc12920"/>
      <w:bookmarkStart w:id="99" w:name="_Toc32052"/>
      <w:bookmarkStart w:id="100" w:name="_Toc16675"/>
      <w:r>
        <w:rPr>
          <w:rFonts w:hint="eastAsia" w:ascii="宋体" w:hAnsi="宋体" w:eastAsia="宋体" w:cs="宋体"/>
          <w:color w:val="FF0000"/>
          <w:kern w:val="2"/>
          <w:sz w:val="21"/>
          <w:szCs w:val="21"/>
          <w:highlight w:val="none"/>
          <w:lang w:val="zh-CN" w:eastAsia="zh-CN" w:bidi="ar-SA"/>
        </w:rPr>
        <w:t>★</w:t>
      </w:r>
      <w:r>
        <w:rPr>
          <w:rFonts w:hint="eastAsia" w:ascii="宋体" w:hAnsi="宋体" w:eastAsia="宋体" w:cs="宋体"/>
          <w:color w:val="FF0000"/>
          <w:kern w:val="2"/>
          <w:sz w:val="21"/>
          <w:szCs w:val="21"/>
          <w:highlight w:val="none"/>
          <w:lang w:val="en-US" w:eastAsia="zh-CN" w:bidi="ar-SA"/>
        </w:rPr>
        <w:t>（8）变压器的防火阻燃性能好</w:t>
      </w:r>
      <w:r>
        <w:rPr>
          <w:rFonts w:hint="eastAsia" w:ascii="宋体" w:hAnsi="宋体" w:eastAsia="宋体" w:cs="宋体"/>
          <w:b/>
          <w:bCs/>
          <w:color w:val="FF0000"/>
          <w:kern w:val="2"/>
          <w:sz w:val="21"/>
          <w:szCs w:val="21"/>
          <w:highlight w:val="none"/>
          <w:lang w:val="en-US" w:eastAsia="zh-CN" w:bidi="ar-SA"/>
        </w:rPr>
        <w:t>（提供变压器通过C2、E2、F1测试的第三方证明材料）</w:t>
      </w:r>
      <w:r>
        <w:rPr>
          <w:rFonts w:hint="eastAsia" w:ascii="宋体" w:hAnsi="宋体" w:eastAsia="宋体" w:cs="宋体"/>
          <w:color w:val="FF0000"/>
          <w:kern w:val="2"/>
          <w:sz w:val="21"/>
          <w:szCs w:val="21"/>
          <w:highlight w:val="none"/>
          <w:lang w:val="en-US" w:eastAsia="zh-CN" w:bidi="ar-SA"/>
        </w:rPr>
        <w:t>。</w:t>
      </w:r>
      <w:bookmarkEnd w:id="98"/>
      <w:bookmarkEnd w:id="99"/>
      <w:bookmarkEnd w:id="100"/>
      <w:bookmarkStart w:id="101" w:name="_Toc24947"/>
      <w:bookmarkStart w:id="102" w:name="_Toc1643"/>
      <w:bookmarkStart w:id="103" w:name="_Toc28269"/>
    </w:p>
    <w:bookmarkEnd w:id="101"/>
    <w:bookmarkEnd w:id="102"/>
    <w:bookmarkEnd w:id="103"/>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FF0000"/>
          <w:kern w:val="2"/>
          <w:sz w:val="21"/>
          <w:szCs w:val="21"/>
          <w:highlight w:val="none"/>
          <w:lang w:val="en-US" w:eastAsia="zh-CN" w:bidi="ar-SA"/>
        </w:rPr>
      </w:pPr>
      <w:bookmarkStart w:id="104" w:name="_Toc23312"/>
      <w:bookmarkStart w:id="105" w:name="_Toc6924"/>
      <w:bookmarkStart w:id="106" w:name="_Toc13981"/>
      <w:r>
        <w:rPr>
          <w:rFonts w:hint="eastAsia" w:ascii="宋体" w:hAnsi="宋体" w:eastAsia="宋体" w:cs="宋体"/>
          <w:color w:val="FF0000"/>
          <w:kern w:val="2"/>
          <w:sz w:val="21"/>
          <w:szCs w:val="21"/>
          <w:highlight w:val="none"/>
          <w:lang w:val="en-US" w:eastAsia="zh-CN" w:bidi="ar-SA"/>
        </w:rPr>
        <w:t>（9）变压器应能随时投入运行，在运行环境条件下，变压器停止运行后经绝缘测试合格可不经干燥而直接投入，并允许在正常环境温度下，承受40%的突加负载。</w:t>
      </w:r>
      <w:bookmarkEnd w:id="104"/>
      <w:bookmarkEnd w:id="105"/>
      <w:bookmarkEnd w:id="106"/>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FF0000"/>
          <w:kern w:val="2"/>
          <w:sz w:val="21"/>
          <w:szCs w:val="21"/>
          <w:highlight w:val="none"/>
          <w:lang w:val="en-US" w:eastAsia="zh-CN" w:bidi="ar-SA"/>
        </w:rPr>
      </w:pPr>
      <w:bookmarkStart w:id="107" w:name="_Toc20725"/>
      <w:bookmarkStart w:id="108" w:name="_Toc3350"/>
      <w:bookmarkStart w:id="109" w:name="_Toc10002"/>
      <w:r>
        <w:rPr>
          <w:rFonts w:hint="eastAsia" w:ascii="宋体" w:hAnsi="宋体" w:eastAsia="宋体" w:cs="宋体"/>
          <w:color w:val="FF0000"/>
          <w:kern w:val="2"/>
          <w:sz w:val="21"/>
          <w:szCs w:val="21"/>
          <w:highlight w:val="none"/>
          <w:lang w:val="en-US" w:eastAsia="zh-CN" w:bidi="ar-SA"/>
        </w:rPr>
        <w:t>（10）变压器在规定的工作条件和负荷条件下运行，使用寿命应为免维护30年或更长。</w:t>
      </w:r>
      <w:bookmarkEnd w:id="107"/>
      <w:bookmarkEnd w:id="108"/>
      <w:bookmarkEnd w:id="109"/>
      <w:bookmarkStart w:id="110" w:name="_Toc32415"/>
    </w:p>
    <w:bookmarkEnd w:id="110"/>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FF0000"/>
          <w:kern w:val="2"/>
          <w:sz w:val="21"/>
          <w:szCs w:val="21"/>
          <w:highlight w:val="none"/>
          <w:lang w:val="en-US" w:eastAsia="zh-CN" w:bidi="ar-SA"/>
        </w:rPr>
      </w:pPr>
      <w:bookmarkStart w:id="111" w:name="_Toc445"/>
      <w:bookmarkStart w:id="112" w:name="_Toc11277"/>
      <w:bookmarkStart w:id="113" w:name="_Toc30421"/>
      <w:r>
        <w:rPr>
          <w:rFonts w:hint="eastAsia" w:ascii="宋体" w:hAnsi="宋体" w:eastAsia="宋体" w:cs="宋体"/>
          <w:color w:val="FF0000"/>
          <w:kern w:val="2"/>
          <w:sz w:val="21"/>
          <w:szCs w:val="21"/>
          <w:highlight w:val="none"/>
          <w:lang w:val="en-US" w:eastAsia="zh-CN" w:bidi="ar-SA"/>
        </w:rPr>
        <w:t>（11）高压绕组表面易见位置，应有“高压危险”的标志。变压器各绕组应有相应的接线端子标志，所有标志应牢固且耐腐蚀。</w:t>
      </w:r>
      <w:bookmarkEnd w:id="111"/>
      <w:bookmarkEnd w:id="112"/>
      <w:bookmarkEnd w:id="113"/>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FF0000"/>
          <w:kern w:val="2"/>
          <w:sz w:val="21"/>
          <w:szCs w:val="21"/>
          <w:highlight w:val="none"/>
          <w:lang w:val="en-US" w:eastAsia="zh-CN" w:bidi="ar-SA"/>
        </w:rPr>
        <w:t>（12）变压器高压侧为电缆进线，应有电缆固定支架，电缆芯线与变压器防护外壳保持足够的安全距离</w:t>
      </w:r>
      <w:bookmarkStart w:id="114" w:name="_Toc2923"/>
      <w:bookmarkStart w:id="115" w:name="_Toc21936"/>
      <w:bookmarkStart w:id="116" w:name="_Toc8505"/>
      <w:r>
        <w:rPr>
          <w:rFonts w:hint="eastAsia" w:ascii="宋体" w:hAnsi="宋体" w:eastAsia="宋体" w:cs="宋体"/>
          <w:color w:val="FF0000"/>
          <w:kern w:val="2"/>
          <w:sz w:val="21"/>
          <w:szCs w:val="21"/>
          <w:highlight w:val="none"/>
          <w:lang w:val="en-US" w:eastAsia="zh-CN" w:bidi="ar-SA"/>
        </w:rPr>
        <w:t>。</w:t>
      </w:r>
      <w:bookmarkEnd w:id="114"/>
      <w:bookmarkEnd w:id="115"/>
      <w:bookmarkEnd w:id="116"/>
    </w:p>
    <w:p>
      <w:pPr>
        <w:rPr>
          <w:rFonts w:hint="eastAsia"/>
          <w:color w:val="auto"/>
          <w:highlight w:val="none"/>
          <w:lang w:val="en-US" w:eastAsia="zh-CN"/>
        </w:rPr>
      </w:pPr>
      <w:r>
        <w:rPr>
          <w:rFonts w:hint="eastAsia" w:ascii="宋体" w:hAnsi="宋体" w:eastAsia="宋体" w:cs="宋体"/>
          <w:color w:val="auto"/>
          <w:kern w:val="2"/>
          <w:sz w:val="21"/>
          <w:szCs w:val="21"/>
          <w:highlight w:val="none"/>
          <w:lang w:val="en-US" w:eastAsia="zh-CN" w:bidi="ar-SA"/>
        </w:rPr>
        <w:br w:type="page"/>
      </w:r>
    </w:p>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3.3 环网柜技术要求：</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color w:val="auto"/>
          <w:sz w:val="21"/>
          <w:szCs w:val="21"/>
          <w:highlight w:val="none"/>
          <w:lang w:val="en-US" w:eastAsia="zh-CN"/>
        </w:rPr>
      </w:pPr>
      <w:r>
        <w:rPr>
          <w:rFonts w:hint="eastAsia" w:ascii="宋体" w:hAnsi="宋体" w:eastAsia="宋体" w:cs="Times New Roman"/>
          <w:b/>
          <w:color w:val="auto"/>
          <w:sz w:val="21"/>
          <w:szCs w:val="21"/>
          <w:highlight w:val="none"/>
          <w:lang w:val="en-US" w:eastAsia="zh-CN"/>
        </w:rPr>
        <w:t>3.3.1 环网柜主要技术参数：</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1</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气体绝缘中压开关柜</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2</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运行电压：10KV</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3</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额定电压：12KV</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4</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额定电流：见设计图</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5</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1分钟工频耐受电压：42KV（相对地）48KV（断口）</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6</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雷电冲击耐受电压：95KV（相对地）110KV（断口）</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default" w:ascii="宋体" w:hAnsi="宋体" w:eastAsia="宋体" w:cs="Times New Roman"/>
          <w:b/>
          <w:color w:val="auto"/>
          <w:sz w:val="21"/>
          <w:szCs w:val="21"/>
          <w:highlight w:val="none"/>
          <w:lang w:val="en-US" w:eastAsia="zh-CN"/>
        </w:rPr>
      </w:pPr>
      <w:r>
        <w:rPr>
          <w:rFonts w:hint="eastAsia" w:ascii="宋体" w:hAnsi="宋体" w:eastAsia="宋体" w:cs="Times New Roman"/>
          <w:b/>
          <w:color w:val="auto"/>
          <w:sz w:val="21"/>
          <w:szCs w:val="21"/>
          <w:highlight w:val="none"/>
          <w:lang w:val="en-US" w:eastAsia="zh-CN"/>
        </w:rPr>
        <w:t>3.3.2 组件的技术参数与要求：</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eastAsia="zh-CN"/>
        </w:rPr>
      </w:pPr>
      <w:r>
        <w:rPr>
          <w:rFonts w:hint="eastAsia" w:ascii="宋体" w:hAnsi="宋体" w:eastAsia="宋体" w:cs="Times New Roman"/>
          <w:b/>
          <w:bCs w:val="0"/>
          <w:color w:val="auto"/>
          <w:sz w:val="21"/>
          <w:szCs w:val="21"/>
          <w:highlight w:val="none"/>
          <w:lang w:eastAsia="zh-CN"/>
        </w:rPr>
        <w:t>（</w:t>
      </w:r>
      <w:r>
        <w:rPr>
          <w:rFonts w:hint="eastAsia" w:ascii="宋体" w:hAnsi="宋体" w:eastAsia="宋体" w:cs="Times New Roman"/>
          <w:b/>
          <w:bCs w:val="0"/>
          <w:color w:val="auto"/>
          <w:sz w:val="21"/>
          <w:szCs w:val="21"/>
          <w:highlight w:val="none"/>
          <w:lang w:val="en-US" w:eastAsia="zh-CN"/>
        </w:rPr>
        <w:t>1</w:t>
      </w:r>
      <w:r>
        <w:rPr>
          <w:rFonts w:hint="eastAsia" w:ascii="宋体" w:hAnsi="宋体" w:eastAsia="宋体" w:cs="Times New Roman"/>
          <w:b/>
          <w:bCs w:val="0"/>
          <w:color w:val="auto"/>
          <w:sz w:val="21"/>
          <w:szCs w:val="21"/>
          <w:highlight w:val="none"/>
          <w:lang w:eastAsia="zh-CN"/>
        </w:rPr>
        <w:t>）</w:t>
      </w:r>
      <w:r>
        <w:rPr>
          <w:rFonts w:hint="eastAsia" w:ascii="宋体" w:hAnsi="宋体" w:eastAsia="宋体" w:cs="Times New Roman"/>
          <w:b/>
          <w:bCs w:val="0"/>
          <w:color w:val="auto"/>
          <w:sz w:val="21"/>
          <w:szCs w:val="21"/>
          <w:highlight w:val="none"/>
        </w:rPr>
        <w:t>负荷开关主要技术参数</w:t>
      </w:r>
      <w:r>
        <w:rPr>
          <w:rFonts w:hint="eastAsia" w:ascii="宋体" w:hAnsi="宋体" w:eastAsia="宋体" w:cs="Times New Roman"/>
          <w:b/>
          <w:bCs w:val="0"/>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1）母线额定电流：630A</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2）额定电压：12kV</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3）额定频率：50Hz</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4）额定电流：详见设计图</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5）热稳定电流（有效值）：≥20kA/4S</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6）动稳定短路关合电流（峰值）：≥50kA</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7）一分钟工频耐压（有效值）：42kV（相间、对地）；48kV（断口间）</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8）冲击耐压（峰值）：95kV（相间、对地）；110kV（断口间）</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9）额定负荷电流开断次数200次</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10）机械寿命：≥5000次</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11）</w:t>
      </w:r>
      <w:r>
        <w:rPr>
          <w:rFonts w:hint="eastAsia" w:ascii="宋体" w:hAnsi="宋体" w:eastAsia="宋体" w:cs="Times New Roman"/>
          <w:b w:val="0"/>
          <w:bCs/>
          <w:color w:val="auto"/>
          <w:sz w:val="21"/>
          <w:szCs w:val="21"/>
          <w:highlight w:val="none"/>
        </w:rPr>
        <w:t>外绝缘污秽等级：IV</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（2）断路器主要技术参数：</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1）母线额定电流：630A；</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2）额定电压：12kV；</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3）额定频率：50Hz；</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4）额定电流：详见设计图；</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5）热稳定电流（有效值）：≥20kA/4s；</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6）断路器短路开断电流：20kA；</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7）动稳定短路关合电流（峰值）：≥50kA；</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8）一分钟工频耐压（有效值）：42kV（相间、对地）；48kV（断口间）；</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9）冲击耐压（峰值）：95kV（相间、对地）；110kV（断口间）；</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10）机械寿命：≥5000次；</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11）外绝缘污秽等级：IV；</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12）防内燃弧耐受电流：20KA/1S。</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（3）综合继电保护装置主要技术参数：</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综合继电保护装置须具备保护、测量、控制、监测、通信等功能，具备中文LCD显示屏。模拟量及开关量的输入、跳闸报告、定值整定、微机保护状态等均可在屏幕上显示。主要功能如下（但不限于）：</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1）模拟量采集：电压、电流等；</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2）开关量采集：≥8个；</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3）继电器输出：≥4个；</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4）保护功能：限时电流速断保护、过电流保护（可带时限）、零序电流保护、低电压保护、接地保护、变压器超温跳闸保护、变压器高温报警、过负荷保护；</w:t>
      </w:r>
    </w:p>
    <w:p>
      <w:pPr>
        <w:keepNext w:val="0"/>
        <w:keepLines w:val="0"/>
        <w:pageBreakBefore w:val="0"/>
        <w:widowControl w:val="0"/>
        <w:kinsoku/>
        <w:wordWrap/>
        <w:overflowPunct/>
        <w:topLinePunct w:val="0"/>
        <w:autoSpaceDE/>
        <w:autoSpaceDN/>
        <w:bidi w:val="0"/>
        <w:adjustRightInd/>
        <w:snapToGrid/>
        <w:spacing w:line="288" w:lineRule="auto"/>
        <w:ind w:left="420" w:leftChars="200" w:firstLine="0" w:firstLineChars="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5）通信接口采用RS485/RJ45接口，Modbus-RTU/Modbus-TCP实现与电力智能监控系统联网通信。</w:t>
      </w:r>
      <w:r>
        <w:rPr>
          <w:rFonts w:hint="eastAsia" w:ascii="宋体" w:hAnsi="宋体" w:eastAsia="宋体" w:cs="Times New Roman"/>
          <w:b/>
          <w:bCs w:val="0"/>
          <w:color w:val="auto"/>
          <w:sz w:val="21"/>
          <w:szCs w:val="21"/>
          <w:highlight w:val="none"/>
          <w:lang w:val="en-US" w:eastAsia="zh-CN"/>
        </w:rPr>
        <w:t>3.3.3 主要技术要求：</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★（1）负荷开关、接地开关、断路器永久性封闭在充满气体的密闭气室中，气室应采用≥2mm厚不锈钢，防护等级IP67；</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（2）设备免维护，设计使用寿命≥30年；</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（3）投标人应在验收时提供产品的第三方检测/检验报告（送检人和生产商应当保持一致），证明产品非贴牌；</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（4）环网柜为确保安全性，应具备可视性接地功能，方便查看接地开关状；</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（5）负荷开关，断路器和接地开关分别有独立的操作孔，操作机构本体有可靠的机械联锁和明显的分合状态指示；</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（6）负荷开关，断路器应有备用的4常开+4常闭位置辅助接点；</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（7）固定配置环网柜应留有配网自动化接口,预留安装FTU的位置；</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（8）断路器应具有全系列开关装置的保护曲线，提供包括相间和接地故障在内的可靠保护功能；</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（9）断路器柜具有变压器绕组高温报警、超温跳闸等功能；</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（10）开关柜必须具备“五防”功能：具备防止误分、合断路器，防止带负荷分，合隔离开关或者隔离插头，防止误入带电间隔，防止接地开关合上时（或者带接地线）送电等措施；</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（11）负荷开关及接地开关操作孔应有挂锁装置，挂锁后可阻止操作把手插入操作孔；</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（12）应设有专用的接地导线。宜采用紫铜的，在接地故障时其电流密度规定≥200A/mm</w:t>
      </w:r>
      <w:r>
        <w:rPr>
          <w:rFonts w:hint="eastAsia" w:ascii="宋体" w:hAnsi="宋体" w:eastAsia="宋体" w:cs="Times New Roman"/>
          <w:b w:val="0"/>
          <w:bCs/>
          <w:color w:val="auto"/>
          <w:sz w:val="21"/>
          <w:szCs w:val="21"/>
          <w:highlight w:val="none"/>
          <w:vertAlign w:val="superscript"/>
          <w:lang w:val="en-US" w:eastAsia="zh-CN"/>
        </w:rPr>
        <w:t>2</w:t>
      </w:r>
      <w:r>
        <w:rPr>
          <w:rFonts w:hint="eastAsia" w:ascii="宋体" w:hAnsi="宋体" w:eastAsia="宋体" w:cs="Times New Roman"/>
          <w:b w:val="0"/>
          <w:bCs/>
          <w:color w:val="auto"/>
          <w:sz w:val="21"/>
          <w:szCs w:val="21"/>
          <w:highlight w:val="none"/>
          <w:lang w:val="en-US" w:eastAsia="zh-CN"/>
        </w:rPr>
        <w:t>，但最小截面≥50mm</w:t>
      </w:r>
      <w:r>
        <w:rPr>
          <w:rFonts w:hint="eastAsia" w:ascii="宋体" w:hAnsi="宋体" w:eastAsia="宋体" w:cs="Times New Roman"/>
          <w:b w:val="0"/>
          <w:bCs/>
          <w:color w:val="auto"/>
          <w:sz w:val="21"/>
          <w:szCs w:val="21"/>
          <w:highlight w:val="none"/>
          <w:vertAlign w:val="superscript"/>
          <w:lang w:val="en-US" w:eastAsia="zh-CN"/>
        </w:rPr>
        <w:t>2</w:t>
      </w:r>
      <w:r>
        <w:rPr>
          <w:rFonts w:hint="eastAsia" w:ascii="宋体" w:hAnsi="宋体" w:eastAsia="宋体" w:cs="Times New Roman"/>
          <w:b w:val="0"/>
          <w:bCs/>
          <w:color w:val="auto"/>
          <w:sz w:val="21"/>
          <w:szCs w:val="21"/>
          <w:highlight w:val="none"/>
          <w:lang w:val="en-US" w:eastAsia="zh-CN"/>
        </w:rPr>
        <w:t>。该接地导体应设有与接地网相连的固定连接端子，并应有明显的接地标志；</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（13）每个进出线单元应装故障指示器，并应有短路和接地显示功能；</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（14）开关柜外壳防护等级为IP4X，不同的功能应有清晰的模拟图显示，位置指示器应能真实的反映主触点的位置，并且能够使操作者清晰可见；</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（15）对于内部故障，应满足下列要求：</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1）环网柜应能防止因本身缺陷、异常或者误操作导致的内电弧伤及工作人员，能限制电弧的燃弧时间和燃烧时间；</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除应有防止人为造成内部故障的措施外，还应考虑到由于柜内组件动作造成的故障（如负荷开关开断时产生或者排出气体）引起隔室内过电压及压力释放装置喷出气体，可能对人员和其他运行设备的影响的措施。</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3.3.4 型式试验与出厂试验：</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（1）型式试验项目：</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1）绝缘试验；</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2）温升试验和主回路电阻测量；</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3）主回路和接地回路的短时耐受电流和峰值耐受电流试验；</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4）开关的开断和关合能力试验；</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5）机械操作和机械特性测量试验；</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6）防护等级的检查；</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7）内部电弧试验；</w:t>
      </w:r>
    </w:p>
    <w:p>
      <w:pPr>
        <w:keepNext w:val="0"/>
        <w:keepLines w:val="0"/>
        <w:pageBreakBefore w:val="0"/>
        <w:widowControl w:val="0"/>
        <w:kinsoku/>
        <w:wordWrap/>
        <w:overflowPunct/>
        <w:topLinePunct w:val="0"/>
        <w:autoSpaceDE/>
        <w:autoSpaceDN/>
        <w:bidi w:val="0"/>
        <w:adjustRightInd/>
        <w:snapToGrid/>
        <w:spacing w:line="288" w:lineRule="auto"/>
        <w:ind w:left="0" w:leftChars="0" w:firstLine="630" w:firstLineChars="3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8）辅助和控制回路的附加试验。</w:t>
      </w:r>
    </w:p>
    <w:p>
      <w:pPr>
        <w:keepNext w:val="0"/>
        <w:keepLines w:val="0"/>
        <w:pageBreakBefore w:val="0"/>
        <w:widowControl w:val="0"/>
        <w:kinsoku/>
        <w:wordWrap/>
        <w:overflowPunct/>
        <w:topLinePunct w:val="0"/>
        <w:autoSpaceDE/>
        <w:autoSpaceDN/>
        <w:bidi w:val="0"/>
        <w:adjustRightInd/>
        <w:snapToGrid/>
        <w:spacing w:line="288" w:lineRule="auto"/>
        <w:ind w:left="0" w:leftChars="0" w:firstLine="632" w:firstLineChars="3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（2）出厂试验项目：</w:t>
      </w:r>
    </w:p>
    <w:p>
      <w:pPr>
        <w:keepNext w:val="0"/>
        <w:keepLines w:val="0"/>
        <w:pageBreakBefore w:val="0"/>
        <w:widowControl w:val="0"/>
        <w:kinsoku/>
        <w:wordWrap/>
        <w:overflowPunct/>
        <w:topLinePunct w:val="0"/>
        <w:autoSpaceDE/>
        <w:autoSpaceDN/>
        <w:bidi w:val="0"/>
        <w:adjustRightInd/>
        <w:snapToGrid/>
        <w:spacing w:line="288" w:lineRule="auto"/>
        <w:ind w:left="0" w:leftChars="0" w:firstLine="630" w:firstLineChars="3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出厂试验是为了暴露材料和结构中存在的缺陷，试验不应给产品的性能和可靠性带来损害。每一个运输单元都应在制造厂内进行出厂试验，以确保出厂的产品与已通过型式试验的设备相一致。出厂产品应附有证明产品合格的文件。每台产品应进行出厂试验，出厂试验项目有：</w:t>
      </w:r>
    </w:p>
    <w:p>
      <w:pPr>
        <w:keepNext w:val="0"/>
        <w:keepLines w:val="0"/>
        <w:pageBreakBefore w:val="0"/>
        <w:widowControl w:val="0"/>
        <w:kinsoku/>
        <w:wordWrap/>
        <w:overflowPunct/>
        <w:topLinePunct w:val="0"/>
        <w:autoSpaceDE/>
        <w:autoSpaceDN/>
        <w:bidi w:val="0"/>
        <w:adjustRightInd/>
        <w:snapToGrid/>
        <w:spacing w:line="288" w:lineRule="auto"/>
        <w:ind w:left="0" w:leftChars="0" w:firstLine="630" w:firstLineChars="3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1）结构检查；</w:t>
      </w:r>
    </w:p>
    <w:p>
      <w:pPr>
        <w:keepNext w:val="0"/>
        <w:keepLines w:val="0"/>
        <w:pageBreakBefore w:val="0"/>
        <w:widowControl w:val="0"/>
        <w:kinsoku/>
        <w:wordWrap/>
        <w:overflowPunct/>
        <w:topLinePunct w:val="0"/>
        <w:autoSpaceDE/>
        <w:autoSpaceDN/>
        <w:bidi w:val="0"/>
        <w:adjustRightInd/>
        <w:snapToGrid/>
        <w:spacing w:line="288" w:lineRule="auto"/>
        <w:ind w:left="0" w:leftChars="0" w:firstLine="630" w:firstLineChars="3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2）机械特性和机械操作试验；</w:t>
      </w:r>
    </w:p>
    <w:p>
      <w:pPr>
        <w:keepNext w:val="0"/>
        <w:keepLines w:val="0"/>
        <w:pageBreakBefore w:val="0"/>
        <w:widowControl w:val="0"/>
        <w:kinsoku/>
        <w:wordWrap/>
        <w:overflowPunct/>
        <w:topLinePunct w:val="0"/>
        <w:autoSpaceDE/>
        <w:autoSpaceDN/>
        <w:bidi w:val="0"/>
        <w:adjustRightInd/>
        <w:snapToGrid/>
        <w:spacing w:line="288" w:lineRule="auto"/>
        <w:ind w:left="0" w:leftChars="0" w:firstLine="630" w:firstLineChars="3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3）主回路1min工频耐压试验；</w:t>
      </w:r>
    </w:p>
    <w:p>
      <w:pPr>
        <w:keepNext w:val="0"/>
        <w:keepLines w:val="0"/>
        <w:pageBreakBefore w:val="0"/>
        <w:widowControl w:val="0"/>
        <w:kinsoku/>
        <w:wordWrap/>
        <w:overflowPunct/>
        <w:topLinePunct w:val="0"/>
        <w:autoSpaceDE/>
        <w:autoSpaceDN/>
        <w:bidi w:val="0"/>
        <w:adjustRightInd/>
        <w:snapToGrid/>
        <w:spacing w:line="288" w:lineRule="auto"/>
        <w:ind w:left="0" w:leftChars="0" w:firstLine="630" w:firstLineChars="3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4）辅助回路工频耐压试验；</w:t>
      </w:r>
    </w:p>
    <w:p>
      <w:pPr>
        <w:keepNext w:val="0"/>
        <w:keepLines w:val="0"/>
        <w:pageBreakBefore w:val="0"/>
        <w:widowControl w:val="0"/>
        <w:kinsoku/>
        <w:wordWrap/>
        <w:overflowPunct/>
        <w:topLinePunct w:val="0"/>
        <w:autoSpaceDE/>
        <w:autoSpaceDN/>
        <w:bidi w:val="0"/>
        <w:adjustRightInd/>
        <w:snapToGrid/>
        <w:spacing w:line="288" w:lineRule="auto"/>
        <w:ind w:left="0" w:leftChars="0" w:firstLine="630" w:firstLineChars="3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5）主回路电阻测量；</w:t>
      </w:r>
    </w:p>
    <w:p>
      <w:pPr>
        <w:keepNext w:val="0"/>
        <w:keepLines w:val="0"/>
        <w:pageBreakBefore w:val="0"/>
        <w:widowControl w:val="0"/>
        <w:kinsoku/>
        <w:wordWrap/>
        <w:overflowPunct/>
        <w:topLinePunct w:val="0"/>
        <w:autoSpaceDE/>
        <w:autoSpaceDN/>
        <w:bidi w:val="0"/>
        <w:adjustRightInd/>
        <w:snapToGrid/>
        <w:spacing w:line="288" w:lineRule="auto"/>
        <w:ind w:left="0" w:leftChars="0" w:firstLine="630" w:firstLineChars="3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6）局部放电检查；</w:t>
      </w:r>
    </w:p>
    <w:p>
      <w:pPr>
        <w:keepNext w:val="0"/>
        <w:keepLines w:val="0"/>
        <w:pageBreakBefore w:val="0"/>
        <w:widowControl w:val="0"/>
        <w:kinsoku/>
        <w:wordWrap/>
        <w:overflowPunct/>
        <w:topLinePunct w:val="0"/>
        <w:autoSpaceDE/>
        <w:autoSpaceDN/>
        <w:bidi w:val="0"/>
        <w:adjustRightInd/>
        <w:snapToGrid/>
        <w:spacing w:line="288" w:lineRule="auto"/>
        <w:ind w:left="0" w:leftChars="0" w:firstLine="630" w:firstLineChars="3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7）辅助电气装置试验；</w:t>
      </w:r>
    </w:p>
    <w:p>
      <w:pPr>
        <w:keepNext w:val="0"/>
        <w:keepLines w:val="0"/>
        <w:pageBreakBefore w:val="0"/>
        <w:widowControl w:val="0"/>
        <w:kinsoku/>
        <w:wordWrap/>
        <w:overflowPunct/>
        <w:topLinePunct w:val="0"/>
        <w:autoSpaceDE/>
        <w:autoSpaceDN/>
        <w:bidi w:val="0"/>
        <w:adjustRightInd/>
        <w:snapToGrid/>
        <w:spacing w:line="288" w:lineRule="auto"/>
        <w:ind w:left="0" w:leftChars="0" w:firstLine="630" w:firstLineChars="3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8）接线正确性的检查。</w:t>
      </w:r>
    </w:p>
    <w:p>
      <w:pPr>
        <w:rPr>
          <w:rFonts w:hint="default"/>
          <w:color w:val="auto"/>
          <w:highlight w:val="none"/>
          <w:lang w:val="en-US" w:eastAsia="zh-CN"/>
        </w:rPr>
      </w:pPr>
      <w:r>
        <w:rPr>
          <w:rFonts w:hint="eastAsia" w:ascii="宋体" w:hAnsi="宋体" w:eastAsia="宋体" w:cs="Times New Roman"/>
          <w:b w:val="0"/>
          <w:bCs/>
          <w:color w:val="auto"/>
          <w:sz w:val="21"/>
          <w:szCs w:val="21"/>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Times New Roman"/>
          <w:b/>
          <w:color w:val="auto"/>
          <w:sz w:val="21"/>
          <w:szCs w:val="21"/>
          <w:highlight w:val="none"/>
          <w:lang w:val="en-US" w:eastAsia="zh-CN"/>
        </w:rPr>
      </w:pPr>
      <w:r>
        <w:rPr>
          <w:rFonts w:hint="eastAsia" w:ascii="宋体" w:hAnsi="宋体" w:eastAsia="宋体" w:cs="Times New Roman"/>
          <w:b/>
          <w:color w:val="auto"/>
          <w:sz w:val="21"/>
          <w:szCs w:val="21"/>
          <w:highlight w:val="none"/>
          <w:lang w:val="en-US" w:eastAsia="zh-CN"/>
        </w:rPr>
        <w:t>3.4 0.4KV低压开关柜技术要求：</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3.4.1 产品运行条件及主要技术参数要求：</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（1）产品运行条件：</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1）额定运行电压：400V±10％；</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2）额定绝缘电压：690V；</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3）额定频率：50Hz±5％；</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4）中性点连接：直接接地，接地方式：TN-S。</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（2）主要技术参数：</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1）额定运行电压：400V（AC）；</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2）额定绝缘电压：690V（AC）；</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3）额定冲击耐受电压：8KV；</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4）过压等级：IV级；</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5）额定频率</w:t>
      </w:r>
      <w:r>
        <w:rPr>
          <w:rFonts w:hint="eastAsia" w:ascii="宋体" w:hAnsi="宋体" w:eastAsia="宋体" w:cs="Times New Roman"/>
          <w:b w:val="0"/>
          <w:bCs/>
          <w:color w:val="auto"/>
          <w:sz w:val="21"/>
          <w:szCs w:val="21"/>
          <w:highlight w:val="none"/>
          <w:lang w:val="en-US" w:eastAsia="zh-CN"/>
        </w:rPr>
        <w:tab/>
      </w:r>
      <w:r>
        <w:rPr>
          <w:rFonts w:hint="eastAsia" w:ascii="宋体" w:hAnsi="宋体" w:eastAsia="宋体" w:cs="Times New Roman"/>
          <w:b w:val="0"/>
          <w:bCs/>
          <w:color w:val="auto"/>
          <w:sz w:val="21"/>
          <w:szCs w:val="21"/>
          <w:highlight w:val="none"/>
          <w:lang w:val="en-US" w:eastAsia="zh-CN"/>
        </w:rPr>
        <w:t>：50Hz；</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6）主母线电流额定值：按设计图纸要求；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7）配电母线电流额定值：按设计图纸要求；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8）额定短时耐受电流（1s有效值）：</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①水平母线（主母线）：80kA；</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②垂直母线（配电母线）：50kA；</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9）额定峰值耐受电流：</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①水平母线（主母线）：176kA；</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②垂直母线（配电母线）：105kA；</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10）抗震能力：地震烈度8度及以上；</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12）功能单元形式：固定式、抽出式混装。</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3.4.2 产品技术性能要求：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（1）低压开关柜应是金属全封闭型，柜体外壳的防护等级应不低于GB/T 4208-2017标准中的规定，柜体顶部等不可触及部位的通风孔处应不低于IP 3X，其它通风孔应不低于IP 3XD,柜体其它部分应不低于IP 4X。</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（2）投标人应在验收时提供产品的第三方检测/检验报告（送检人和生产商应当保持一致），证明产品非贴牌；</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★（3）为保障操作人员的安全性，低压开关柜柜体应具有不低于100kA/0.3s内部燃弧故障耐受能力</w:t>
      </w:r>
      <w:r>
        <w:rPr>
          <w:rFonts w:hint="eastAsia" w:ascii="宋体" w:hAnsi="宋体" w:eastAsia="宋体" w:cs="Times New Roman"/>
          <w:b/>
          <w:bCs w:val="0"/>
          <w:color w:val="auto"/>
          <w:sz w:val="21"/>
          <w:szCs w:val="21"/>
          <w:highlight w:val="none"/>
          <w:lang w:val="en-US" w:eastAsia="zh-CN"/>
        </w:rPr>
        <w:t>（提供第三方证明材料）</w:t>
      </w:r>
      <w:r>
        <w:rPr>
          <w:rFonts w:hint="eastAsia" w:ascii="宋体" w:hAnsi="宋体" w:eastAsia="宋体" w:cs="Times New Roman"/>
          <w:b w:val="0"/>
          <w:bCs/>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★（4）为保障水平母线载流量的一致性，方便现场快速且可靠的连接。水平母线采用滑动连接铜排进行柜间水平母排连接，避免柜间母排现场开孔搭接</w:t>
      </w:r>
      <w:r>
        <w:rPr>
          <w:rFonts w:hint="eastAsia" w:ascii="宋体" w:hAnsi="宋体" w:eastAsia="宋体" w:cs="Times New Roman"/>
          <w:b/>
          <w:bCs w:val="0"/>
          <w:color w:val="auto"/>
          <w:sz w:val="21"/>
          <w:szCs w:val="21"/>
          <w:highlight w:val="none"/>
          <w:lang w:val="en-US" w:eastAsia="zh-CN"/>
        </w:rPr>
        <w:t>（提供第三方证明材料）</w:t>
      </w:r>
      <w:r>
        <w:rPr>
          <w:rFonts w:hint="eastAsia" w:ascii="宋体" w:hAnsi="宋体" w:eastAsia="宋体" w:cs="Times New Roman"/>
          <w:b w:val="0"/>
          <w:bCs/>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（5）为保障低压开关柜的可靠性，投标人应在验收时提供设备的EMC电磁兼容性报告；</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6）低压开关柜用高质量覆铝锌板制作，厚度≥2mm。门板采用优质冷轧钢板制作并作静电喷涂。柜体具有足够的机械和电气强度，应保证所安装元件在正常使用及短路时能够承受所产生的电、机械应力和热应力，同时不因成套设备的吊装、运输等情况而影响设备的性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（7）配电柜内的每个柜体分隔为三个室，即母线室、功能室及电缆室；</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（8）低压配电柜实行模数化。同类型应具有良好的互换性、通用性。一旦发生故障，可以在系统供电情况下更换故障开关单元，迅速恢复供电；</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9）抽屉单元具有连接位置、试验位置、分离位置，且具有定位机构。开关只有在连接和试验两个位置才能进行合闸；在这两个位置之间不能合闸。抽屉单元应提供抽屉位置信号触点，如抽屉功能单元到达连接位置，触点闭合或断开，供电力监控系统使用；</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（10）主开关的操作机构应能使用挂锁将主开关锁在分断位置上，以防止未经许可的操作。抽屉应具有省力操作机构和导轨机构；</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（11）安装在开关柜上的断路器延伸操作手柄，应有明确的开关跳闸显示位置，开关故障分闸状态下，延伸操作手柄不应误显示为合闸状态；</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★（12）开关柜一、二次插接件需要采用具有调整电缆扭力、解决机械误差的设计，如一次插采用可旋转的插接头，二次插接采用浮动带倒角补偿的设计；</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（13）抽出柜应装有防止抽出过猛而跌落的机构，在抽出的过程中必须通过操作相应的解锁机构方能将抽屉完全抽出，保证操作人员的安全性；</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（14）电气间隙、爬电距离和隔离距离应符合相关标准中规定的距离，而且在正常使用条件下也应保持此距离。</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（15）一次插接附件应满足JB/T 10323-2016标准要求，为保证连接的连续性及可靠性，要求抽屉单元的一次插接件触头镀银处理</w:t>
      </w:r>
      <w:r>
        <w:rPr>
          <w:rFonts w:hint="eastAsia" w:ascii="宋体" w:hAnsi="宋体" w:eastAsia="宋体" w:cs="Times New Roman"/>
          <w:b/>
          <w:bCs w:val="0"/>
          <w:color w:val="auto"/>
          <w:sz w:val="21"/>
          <w:szCs w:val="21"/>
          <w:highlight w:val="none"/>
          <w:lang w:val="en-US" w:eastAsia="zh-CN"/>
        </w:rPr>
        <w:t>（提供第三方证明材料）</w:t>
      </w:r>
      <w:r>
        <w:rPr>
          <w:rFonts w:hint="eastAsia" w:ascii="宋体" w:hAnsi="宋体" w:eastAsia="宋体" w:cs="Times New Roman"/>
          <w:b w:val="0"/>
          <w:bCs/>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★（16）低压断路器额定电流≤250A的抽屉单元，出线电缆直接接入一次插接件，低压断路器额定电流＞250A的功能单元，需在一次接插件连接母线（母排）并可靠固定，出线电缆连接在此母线（排）上；</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（17）低压开关柜的功能单元可以采用抽屉式，也可以采用固定分隔式（须配插拔式断路器），在同一开关柜中两者可以混装，具体采用何种方式详见招标设计图；</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（18）开关柜外壳和内部金属板应实现可靠接地；</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（19）低压开关柜的进出线可采用电缆或封闭母线槽,并且上下出线位置可进行适当调整；</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（20）低压进线柜、联络柜的框架断路器不应布置开关柜的上部，布置方式参考高压中置开关柜，便于操作、检修等；低压进线柜断路器的接线为上进下出；</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（21）低压开关柜应开设符合IP要求的通风孔。通风孔的设计和设置应使得当断路器在正常运行时或在短路情况下没有电弧或可熔金属喷出；</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FF0000"/>
          <w:sz w:val="21"/>
          <w:szCs w:val="21"/>
          <w:highlight w:val="none"/>
          <w:lang w:val="en-US" w:eastAsia="zh-CN"/>
        </w:rPr>
      </w:pPr>
      <w:r>
        <w:rPr>
          <w:rFonts w:hint="eastAsia" w:ascii="宋体" w:hAnsi="宋体" w:eastAsia="宋体" w:cs="Times New Roman"/>
          <w:b w:val="0"/>
          <w:bCs/>
          <w:color w:val="FF0000"/>
          <w:sz w:val="21"/>
          <w:szCs w:val="21"/>
          <w:highlight w:val="none"/>
          <w:lang w:val="en-US" w:eastAsia="zh-CN"/>
        </w:rPr>
        <w:t>（22）低压开关柜底部应有进出电缆固定装置。低压开关柜底部电缆进出口的数量与孔径应与开关柜功能单元的数量与规格相适应；具有能有效防止电缆在电缆进出口受损的防护措施；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（23）部分变电所低压开关柜出线有的为密集型母线，安装新的低压开关柜后，须完成与原有密集型母线的连接（包括相关材料的采购、安装、调试）；</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（24）注意：7A变电所I段14低压开关柜的[6-12层阅览室]出线回路引出的密集型母线局部损坏需要采用原规格型号的密集型母线更换有损伤部分的，长度大约4~5米；</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（25）抽屉从工作位置拉到试验位置时，二次系统的连接不应中断。二次插接件应满足JB/T 10263-2016标准要求；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（26）进线开关柜、联络开关柜低压室盘面上须有（但不限于）下列显示和控制装置：</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1）框架式断路器分、合按钮；</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2）断路器分、合闸指示灯；</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3）就地/遥控选择开关；</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4）断路器储能指示；</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5）断路器手车位置指示。</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6）多功能电力仪表；</w:t>
      </w:r>
      <w:bookmarkStart w:id="204" w:name="_GoBack"/>
      <w:bookmarkEnd w:id="204"/>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（27）变电所0.4KV进线柜与母联柜断路器应具有以下联锁功能：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1）采用“三锁两钥匙”机械联锁；</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2）在电路设计中应满足：相互间的电气联锁，保证在任何情形下均不允许三个断路器同时处于合闸状态；</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3）在电路设计中应满足：当三个断路器中任一个断路器处在分离位置时，应不影响另两个断路器的分合操作；</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4）在电路设计中应满足：当三个断路器均为合闸时，应将最后合闸的断路器立即分闸；</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（28）低压开关柜所有出线回路均需有非消防电源强切功能。配置消防强切继电器，继电器线圈电压DC24,2副转换触点，触点容量：250V 3A，并须有消防强切反馈触点；</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29）低压开关柜内应设计自动灭火装置的专用安装空间与固定方式，至少应同时使用两种固定方式，在一种固定方式完全失效时，自动灭火装置也不会倾倒、掉落。安装位置与朝向应考虑自动灭火装置的在整个开关柜内灭火性能，而且自动灭火装置的安装后的开关柜符合国家、行业的标准、规范要求，不影响开关柜的安全性能，不影响开关柜的安装、使用、维修、维护。控制线路接线布线须符合国家相关标准要求，拒绝不经开关柜制造厂家设计的附加方式安装。</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3.4.3 组件的技术参数与要求：</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（1）断路器：</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1）低压进线开关、母联开关等额定电流在630A以上的馈线开关均选用框架断路器，额定电流在630A（含630A）以下的馈线开关均选用塑壳断路器；</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2）断路器须具有“隔离功能”；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3）抽出式断路器有可抽出式导轨，便于操作维护，并有三位置指示器，指示和定位断路器处于接通、试验、退出位置，并且在准确定位后 进行机械式自动锁定；</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4）断路器的额定电压(额定绝缘电压、额定冲击耐受电压等)、额定电流、接通和分断能力、短路耐受强度等符合设计参数要求。</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5）框架式断路器：</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①断路器应采用模块化结构设计，方便断路器功能的扩充而无需改变断路器机构和低压开关柜结构；</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②框架断路器采用抽出式，应是零飞弧产品, 保证操作人员及设备运行的安全性；</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③框架式空气断路器为电子脱扣器，功能包括但不限于：可调整长延时保护、可调整短延时保护、可调整瞬时脱扣。短延时保护应具有区域选择性闭锁功能，具有故障诊断功能，可快速确定故障类型，以最短时间隔离受故障影响的范围，可对触头磨损情况以及断路器动作次数作出指示；</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④框架断路器控制装置具有测量并显示电流、电压、有功、无功功率、功率因数等电气参数的功能；采用LCD 液晶中文显示屏，控制单元要求可以带载整定，可在不停电情况下更换电流模块调整整定值；</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★⑤框架断路器须具有通信功能，具有RS485/RJ45接口，采用MODBUSBUS-RTU/MODBUS-TCP协议；</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⑥框架式空气断路器应配置两个钥匙锁锁定OFF位置的功能，方便检修，保障维护安全，避免错误操作；</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⑦框架式空气断路器的操作机构应为弹簧储能型，即可手动又可电动储能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⑧框架式空气断路器手车面板上配有机械式计数器、机械式分合闸状态指示、弹簧储能状态指示和手动分合闸按钮；</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⑨框架式断路器须配备足够的辅助触点，断路器分合信号触点、断路器连接、试验、分离位置信号触点，故障脱扣信号触点、电机储能信号触点，供给电力自动监控系统或其它之用。除实际需要外，提供不少于4对备用常开及常闭无源接点。并将其引线接至开关柜端子排；</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⑩框架式空气断路器须满足以下电气及机械特性：</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a.额定运行电压：690V；</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b.额定绝缘电压：1000V；</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c.极数：见设计图纸；</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d.额定冲击耐受电压：12KV；</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e.额定电流：见设计图纸；</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f.额定极限短路分断能力Icu：见设计图纸；</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g.额定运行断路分断能力Ics：100%Icu；</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h.操作方式：电动操作+手动操作；</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i.脱扣器：采用电子脱扣器，电子脱扣器须符合有关电磁干扰的国家标准；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FF0000"/>
          <w:sz w:val="21"/>
          <w:szCs w:val="21"/>
          <w:highlight w:val="none"/>
          <w:lang w:val="en-US" w:eastAsia="zh-CN"/>
        </w:rPr>
      </w:pPr>
      <w:r>
        <w:rPr>
          <w:rFonts w:hint="eastAsia" w:ascii="宋体" w:hAnsi="宋体" w:eastAsia="宋体" w:cs="宋体"/>
          <w:b w:val="0"/>
          <w:bCs/>
          <w:color w:val="FF0000"/>
          <w:sz w:val="21"/>
          <w:szCs w:val="21"/>
          <w:highlight w:val="none"/>
          <w:lang w:val="en-US" w:eastAsia="zh-CN"/>
        </w:rPr>
        <w:t>★j.保护功能：配置三段保护，具备过载长延时、短路短延时、短路瞬时保护功能，断路器的脱扣整定电流采用现场可调型，并有宽阔的电流和时间调节范围：</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FF0000"/>
          <w:sz w:val="21"/>
          <w:szCs w:val="21"/>
          <w:highlight w:val="none"/>
          <w:lang w:val="en-US" w:eastAsia="zh-CN"/>
        </w:rPr>
      </w:pPr>
      <w:r>
        <w:rPr>
          <w:rFonts w:hint="eastAsia" w:ascii="宋体" w:hAnsi="宋体" w:eastAsia="宋体" w:cs="宋体"/>
          <w:b w:val="0"/>
          <w:bCs/>
          <w:color w:val="FF0000"/>
          <w:sz w:val="21"/>
          <w:szCs w:val="21"/>
          <w:highlight w:val="none"/>
          <w:lang w:val="en-US" w:eastAsia="zh-CN"/>
        </w:rPr>
        <w:t>长延时保护（L）：Ir = 0.4～1.0 In，动作时间可调节；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FF0000"/>
          <w:sz w:val="21"/>
          <w:szCs w:val="21"/>
          <w:highlight w:val="none"/>
          <w:lang w:val="en-US" w:eastAsia="zh-CN"/>
        </w:rPr>
      </w:pPr>
      <w:r>
        <w:rPr>
          <w:rFonts w:hint="eastAsia" w:ascii="宋体" w:hAnsi="宋体" w:eastAsia="宋体" w:cs="宋体"/>
          <w:b w:val="0"/>
          <w:bCs/>
          <w:color w:val="FF0000"/>
          <w:sz w:val="21"/>
          <w:szCs w:val="21"/>
          <w:highlight w:val="none"/>
          <w:lang w:val="en-US" w:eastAsia="zh-CN"/>
        </w:rPr>
        <w:t>短延时保护（S）：Isd = 1.5～10 Ir，动作时间可调节；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FF0000"/>
          <w:sz w:val="21"/>
          <w:szCs w:val="21"/>
          <w:highlight w:val="none"/>
          <w:lang w:val="en-US" w:eastAsia="zh-CN"/>
        </w:rPr>
      </w:pPr>
      <w:r>
        <w:rPr>
          <w:rFonts w:hint="eastAsia" w:ascii="宋体" w:hAnsi="宋体" w:eastAsia="宋体" w:cs="宋体"/>
          <w:b w:val="0"/>
          <w:bCs/>
          <w:color w:val="FF0000"/>
          <w:sz w:val="21"/>
          <w:szCs w:val="21"/>
          <w:highlight w:val="none"/>
          <w:lang w:val="en-US" w:eastAsia="zh-CN"/>
        </w:rPr>
        <w:t>短路瞬时保护（I）：Ii = 2.0～15 Ir，动作可调节或off；</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k.电寿命（不维护情况下）：</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≥5000次（壳架电流2500A以上）；</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≥8000次（壳架电流小于2500A）；</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机械寿命（不维护情况下）：≥10000次。</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6）塑壳断路器：</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▲①所有塑壳断路器应配置（但不限于）：</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a.分合位置辅助触点；</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b.故障脱扣辅助触点；</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c.分励线圈：这些触点、线圈均须通过二次插接件引至开关柜的二次回路端子排；</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②塑壳断路器须满足以下电气及机械特性：</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a.额定工作电压：AC 690V；</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b.额定绝缘电压：AC 800V；</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c.额定冲击耐压：8kV；</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d.额定电流：见设计图纸；</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e.额定极限短路分断能力Icu：见设计图纸（有效值）；</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f.额定运行短路分断能力Ics： 100%Icu；</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g.脱扣器：电子脱扣器；</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h.操作方式：电动操作/手动操作；</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i.保护功能：长延时、短延时、瞬时。</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（2）低压开关柜母线：</w:t>
      </w:r>
    </w:p>
    <w:p>
      <w:pPr>
        <w:keepNext w:val="0"/>
        <w:keepLines w:val="0"/>
        <w:pageBreakBefore w:val="0"/>
        <w:widowControl w:val="0"/>
        <w:kinsoku/>
        <w:wordWrap/>
        <w:overflowPunct/>
        <w:topLinePunct w:val="0"/>
        <w:autoSpaceDE/>
        <w:autoSpaceDN/>
        <w:bidi w:val="0"/>
        <w:adjustRightInd/>
        <w:snapToGrid/>
        <w:spacing w:line="288" w:lineRule="auto"/>
        <w:ind w:left="420" w:leftChars="200" w:firstLine="0" w:firstLineChars="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★1）柜内的水平母线和垂直母线材料选用刚性硬高导电的T2电解铜,铜材纯度应不小于99.95%；</w:t>
      </w:r>
    </w:p>
    <w:p>
      <w:pPr>
        <w:keepNext w:val="0"/>
        <w:keepLines w:val="0"/>
        <w:pageBreakBefore w:val="0"/>
        <w:widowControl w:val="0"/>
        <w:kinsoku/>
        <w:wordWrap/>
        <w:overflowPunct/>
        <w:topLinePunct w:val="0"/>
        <w:autoSpaceDE/>
        <w:autoSpaceDN/>
        <w:bidi w:val="0"/>
        <w:adjustRightInd/>
        <w:snapToGrid/>
        <w:spacing w:line="288" w:lineRule="auto"/>
        <w:ind w:left="420" w:leftChars="200" w:firstLine="0" w:firstLineChars="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2）开关柜所有母线均需镀锡处理；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3）母线截面满足开关柜额定电流的要求，且不得低于设计要求，保证长期安全正常运行；</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4）固定支撑件应不吸潮，在规定环境条件下和开关柜使用寿命期间，其机械与绝缘强度基本保持不变；</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★5）投标人应承诺母线绝缘框（夹）紧固件（如穿心螺杆）等采用低磁不锈钢材质；</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6）低压配电柜内中性母线（N线）的隔离要求同主母线；</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7）低压配电柜内垂直母线中的中性母线（N线）型号规格与主母线相同。</w:t>
      </w:r>
    </w:p>
    <w:p>
      <w:pPr>
        <w:rPr>
          <w:rFonts w:hint="default"/>
          <w:color w:val="auto"/>
          <w:highlight w:val="none"/>
          <w:lang w:val="en-US" w:eastAsia="zh-CN"/>
        </w:rPr>
      </w:pPr>
      <w:r>
        <w:rPr>
          <w:rFonts w:hint="eastAsia" w:ascii="宋体" w:hAnsi="宋体" w:eastAsia="宋体" w:cs="宋体"/>
          <w:b w:val="0"/>
          <w:bCs/>
          <w:color w:val="auto"/>
          <w:sz w:val="21"/>
          <w:szCs w:val="21"/>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Times New Roman"/>
          <w:b/>
          <w:color w:val="auto"/>
          <w:sz w:val="21"/>
          <w:szCs w:val="21"/>
          <w:highlight w:val="none"/>
          <w:lang w:val="en-US" w:eastAsia="zh-CN"/>
        </w:rPr>
      </w:pPr>
      <w:r>
        <w:rPr>
          <w:rFonts w:hint="eastAsia" w:ascii="宋体" w:hAnsi="宋体" w:eastAsia="宋体" w:cs="Times New Roman"/>
          <w:b/>
          <w:color w:val="auto"/>
          <w:sz w:val="21"/>
          <w:szCs w:val="21"/>
          <w:highlight w:val="none"/>
          <w:lang w:val="en-US" w:eastAsia="zh-CN"/>
        </w:rPr>
        <w:t>3.5 智能动态低压无功补偿柜技术要求：</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eastAsia="zh-CN"/>
        </w:rPr>
      </w:pPr>
      <w:r>
        <w:rPr>
          <w:rFonts w:hint="eastAsia" w:ascii="宋体" w:hAnsi="宋体" w:eastAsia="宋体" w:cs="Times New Roman"/>
          <w:b/>
          <w:bCs w:val="0"/>
          <w:color w:val="auto"/>
          <w:sz w:val="21"/>
          <w:szCs w:val="21"/>
          <w:highlight w:val="none"/>
          <w:lang w:val="en-US" w:eastAsia="zh-CN"/>
        </w:rPr>
        <w:t xml:space="preserve">3.5.1 </w:t>
      </w:r>
      <w:r>
        <w:rPr>
          <w:rFonts w:hint="eastAsia" w:ascii="宋体" w:hAnsi="宋体" w:eastAsia="宋体" w:cs="Times New Roman"/>
          <w:b/>
          <w:bCs w:val="0"/>
          <w:color w:val="auto"/>
          <w:sz w:val="21"/>
          <w:szCs w:val="21"/>
          <w:highlight w:val="none"/>
        </w:rPr>
        <w:t>整体要求</w:t>
      </w:r>
      <w:r>
        <w:rPr>
          <w:rFonts w:hint="eastAsia" w:ascii="宋体" w:hAnsi="宋体" w:eastAsia="宋体" w:cs="Times New Roman"/>
          <w:b/>
          <w:bCs w:val="0"/>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1</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智能动态无功补偿成套装置，柜内应配置电容器、电抗器及SVG模块、可实现精细化快速无功补偿，验收时提供产品的第三方</w:t>
      </w:r>
      <w:r>
        <w:rPr>
          <w:rFonts w:hint="eastAsia" w:ascii="宋体" w:hAnsi="宋体" w:eastAsia="宋体" w:cs="Times New Roman"/>
          <w:b w:val="0"/>
          <w:bCs/>
          <w:color w:val="auto"/>
          <w:sz w:val="21"/>
          <w:szCs w:val="21"/>
          <w:highlight w:val="none"/>
          <w:lang w:eastAsia="zh-CN"/>
        </w:rPr>
        <w:t>检测/检验报告</w:t>
      </w:r>
      <w:r>
        <w:rPr>
          <w:rFonts w:hint="eastAsia" w:ascii="宋体" w:hAnsi="宋体" w:eastAsia="宋体" w:cs="Times New Roman"/>
          <w:b w:val="0"/>
          <w:bCs/>
          <w:color w:val="auto"/>
          <w:sz w:val="21"/>
          <w:szCs w:val="21"/>
          <w:highlight w:val="none"/>
        </w:rPr>
        <w:t>（送检人和生产商应当保持一致），证明产品非贴牌</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2</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数字化方案，全面监控整柜状态，实时监测因短路、谐振、设备老化导致的异常温升，提前规避隐患。提供电容器支路寿命监测、对供电系统提供电压偏差、频率偏差等稳态电能质量监测</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3</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采用LCD触摸屏，直观展示整柜运行、报警和通讯等状态，在面板上能显示线电压有效值、电压谐波值、电流有效值、电流谐波值、视在功率、功率因数等运行参数，具备人性化操作软件，中文界面，操作简单快捷；</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4</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具有485接口，采用Modbus-RTU协议</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5</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配置散热风扇，风扇有自动、手动两种方式控制启动与停止,排风口应有拦网，以防小动物入内；</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6</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自动投切电容器的装置应使其功率因数保持在0.95以上，分组切投时，不应产生投切振动,投切开关须使用电容器投切专用开关部件。</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eastAsia="zh-CN"/>
        </w:rPr>
      </w:pPr>
      <w:r>
        <w:rPr>
          <w:rFonts w:hint="eastAsia" w:ascii="宋体" w:hAnsi="宋体" w:eastAsia="宋体" w:cs="Times New Roman"/>
          <w:b/>
          <w:bCs w:val="0"/>
          <w:color w:val="auto"/>
          <w:sz w:val="21"/>
          <w:szCs w:val="21"/>
          <w:highlight w:val="none"/>
          <w:lang w:val="en-US" w:eastAsia="zh-CN"/>
        </w:rPr>
        <w:t xml:space="preserve">3.5.2 </w:t>
      </w:r>
      <w:r>
        <w:rPr>
          <w:rFonts w:hint="eastAsia" w:ascii="宋体" w:hAnsi="宋体" w:eastAsia="宋体" w:cs="Times New Roman"/>
          <w:b/>
          <w:bCs w:val="0"/>
          <w:color w:val="auto"/>
          <w:sz w:val="21"/>
          <w:szCs w:val="21"/>
          <w:highlight w:val="none"/>
        </w:rPr>
        <w:t>SVG技术要求</w:t>
      </w:r>
      <w:r>
        <w:rPr>
          <w:rFonts w:hint="eastAsia" w:ascii="宋体" w:hAnsi="宋体" w:eastAsia="宋体" w:cs="Times New Roman"/>
          <w:b/>
          <w:bCs w:val="0"/>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（1）SVG应具备的功能：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1）</w:t>
      </w:r>
      <w:r>
        <w:rPr>
          <w:rFonts w:hint="eastAsia" w:ascii="宋体" w:hAnsi="宋体" w:eastAsia="宋体" w:cs="Times New Roman"/>
          <w:b w:val="0"/>
          <w:bCs/>
          <w:color w:val="auto"/>
          <w:sz w:val="21"/>
          <w:szCs w:val="21"/>
          <w:highlight w:val="none"/>
          <w:lang w:eastAsia="zh-CN"/>
        </w:rPr>
        <w:t>具备无功补偿功能（超前和滞后，连续而精细的无功补偿）；</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2）</w:t>
      </w:r>
      <w:r>
        <w:rPr>
          <w:rFonts w:hint="eastAsia" w:ascii="宋体" w:hAnsi="宋体" w:eastAsia="宋体" w:cs="Times New Roman"/>
          <w:b w:val="0"/>
          <w:bCs/>
          <w:color w:val="auto"/>
          <w:sz w:val="21"/>
          <w:szCs w:val="21"/>
          <w:highlight w:val="none"/>
          <w:lang w:eastAsia="zh-CN"/>
        </w:rPr>
        <w:t>具有滤波功能，能有效滤除3次及以上谐波；</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3）</w:t>
      </w:r>
      <w:r>
        <w:rPr>
          <w:rFonts w:hint="eastAsia" w:ascii="宋体" w:hAnsi="宋体" w:eastAsia="宋体" w:cs="Times New Roman"/>
          <w:b w:val="0"/>
          <w:bCs/>
          <w:color w:val="auto"/>
          <w:sz w:val="21"/>
          <w:szCs w:val="21"/>
          <w:highlight w:val="none"/>
          <w:lang w:eastAsia="zh-CN"/>
        </w:rPr>
        <w:t>SVG通过设置实现仅无功补偿或同时进行无功补偿、谐波滤除和不平衡补偿；</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（2）响应时间：SVG能快速跟随负载变化，瞬时响应时间≤5ms；</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（3）核心控制器件采用优质器件；</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（4）MTBF(平均无故障时间)≥12万小时；</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5</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验收时应</w:t>
      </w:r>
      <w:r>
        <w:rPr>
          <w:rFonts w:hint="eastAsia" w:ascii="宋体" w:hAnsi="宋体" w:eastAsia="宋体" w:cs="Times New Roman"/>
          <w:b w:val="0"/>
          <w:bCs/>
          <w:color w:val="auto"/>
          <w:sz w:val="21"/>
          <w:szCs w:val="21"/>
          <w:highlight w:val="none"/>
          <w:lang w:eastAsia="zh-CN"/>
        </w:rPr>
        <w:t>提供</w:t>
      </w:r>
      <w:r>
        <w:rPr>
          <w:rFonts w:hint="eastAsia" w:ascii="宋体" w:hAnsi="宋体" w:eastAsia="宋体" w:cs="Times New Roman"/>
          <w:b w:val="0"/>
          <w:bCs/>
          <w:color w:val="auto"/>
          <w:sz w:val="21"/>
          <w:szCs w:val="21"/>
          <w:highlight w:val="none"/>
          <w:lang w:val="en-US" w:eastAsia="zh-CN"/>
        </w:rPr>
        <w:t>符合</w:t>
      </w:r>
      <w:r>
        <w:rPr>
          <w:rFonts w:hint="eastAsia" w:ascii="宋体" w:hAnsi="宋体" w:eastAsia="宋体" w:cs="Times New Roman"/>
          <w:b w:val="0"/>
          <w:bCs/>
          <w:color w:val="auto"/>
          <w:sz w:val="21"/>
          <w:szCs w:val="21"/>
          <w:highlight w:val="none"/>
          <w:lang w:eastAsia="zh-CN"/>
        </w:rPr>
        <w:t>DL/T 1216-2019</w:t>
      </w:r>
      <w:r>
        <w:rPr>
          <w:rFonts w:hint="eastAsia" w:ascii="宋体" w:hAnsi="宋体" w:eastAsia="宋体" w:cs="Times New Roman"/>
          <w:b w:val="0"/>
          <w:bCs/>
          <w:color w:val="auto"/>
          <w:sz w:val="21"/>
          <w:szCs w:val="21"/>
          <w:highlight w:val="none"/>
          <w:lang w:val="en-US" w:eastAsia="zh-CN"/>
        </w:rPr>
        <w:t>标准要求的第三方产品型式试验报告</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3.5.3 电容器结构要求：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（1）电容器应为阻燃的、圆柱形干式自愈电容器，铝制金属防爆外壳；电介质为聚丙烯锌铝合金镀膜，内部填充物为不含聚氯联苯的生物降解树脂；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（2）电容器最大过电流：1.8In，最大浪涌耐受电流：250In，使用寿命130,000小时，损耗每千乏≤0.5瓦；</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（3）基于安全性及散热需求需减少电容器内部连接点：单只电容器内部每相只有一个单元，不能存在多个单元连接；电容器与柜体、距地及电容器相互间的距离应符合规范要求，以保证其热量的散发；</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（4）电容器应具有自愈性能，电容器被永久击穿时仅故障元件退出运行，其他元件仍可正常运行；</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（5）每组电容器组须装设放电装置使电容器切除电源一分钟后将整组电容器组放电，使电容器端电压不超过50伏。</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3.5.4 智能型电容器控制器的功能要求：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（1）采用控制物理量为无功功率或无功电流的控制器；</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（2）显示方式采用中文液晶显示；</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（3）具有RS485/RJ45接口，支持MODBUS-RTU/MODBUS-TCP协议；</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（4）控制器应具备电压、电流、功率因数测量功能 手动/自动转换开关以及指示电容器投退状态指示的功能；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控制器的面板应设有过电压、超前、滞后、电源以及输出电路工作显示。测量值显示：电压、电流有效值、功率因素、有功功率、需补偿的无功功率、可手动或自动循环投切。具备过压欠压，过流，过温，谐波超限保护及报警功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（6）控制器电源输入端设有短路保护器件，在发生内部短路故障时，该保护器件应能可靠动作。</w:t>
      </w:r>
    </w:p>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Times New Roman"/>
          <w:b/>
          <w:color w:val="auto"/>
          <w:sz w:val="21"/>
          <w:szCs w:val="21"/>
          <w:highlight w:val="none"/>
        </w:rPr>
      </w:pP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color w:val="auto"/>
          <w:sz w:val="21"/>
          <w:szCs w:val="21"/>
          <w:highlight w:val="none"/>
          <w:lang w:eastAsia="zh-CN"/>
        </w:rPr>
      </w:pPr>
      <w:r>
        <w:rPr>
          <w:rFonts w:hint="eastAsia" w:ascii="宋体" w:hAnsi="宋体" w:eastAsia="宋体" w:cs="Times New Roman"/>
          <w:b/>
          <w:color w:val="auto"/>
          <w:sz w:val="21"/>
          <w:szCs w:val="21"/>
          <w:highlight w:val="none"/>
          <w:lang w:val="en-US" w:eastAsia="zh-CN"/>
        </w:rPr>
        <w:t xml:space="preserve">3.5.5 </w:t>
      </w:r>
      <w:r>
        <w:rPr>
          <w:rFonts w:hint="eastAsia" w:ascii="宋体" w:hAnsi="宋体" w:eastAsia="宋体" w:cs="Times New Roman"/>
          <w:b/>
          <w:color w:val="auto"/>
          <w:sz w:val="21"/>
          <w:szCs w:val="21"/>
          <w:highlight w:val="none"/>
        </w:rPr>
        <w:t>电抗器</w:t>
      </w:r>
      <w:r>
        <w:rPr>
          <w:rFonts w:hint="eastAsia" w:ascii="宋体" w:hAnsi="宋体" w:eastAsia="宋体" w:cs="Times New Roman"/>
          <w:b/>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1</w:t>
      </w:r>
      <w:r>
        <w:rPr>
          <w:rFonts w:hint="eastAsia" w:ascii="宋体" w:hAnsi="宋体" w:eastAsia="宋体" w:cs="Times New Roman"/>
          <w:b w:val="0"/>
          <w:bCs/>
          <w:color w:val="auto"/>
          <w:sz w:val="21"/>
          <w:szCs w:val="21"/>
          <w:highlight w:val="none"/>
          <w:lang w:eastAsia="zh-CN"/>
        </w:rPr>
        <w:t>）电抗系数见设计图，抑制3次及以上次谐波，电抗器应达到F级以上绝缘，附温控装置，设置散热通道；</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2</w:t>
      </w:r>
      <w:r>
        <w:rPr>
          <w:rFonts w:hint="eastAsia" w:ascii="宋体" w:hAnsi="宋体" w:eastAsia="宋体" w:cs="Times New Roman"/>
          <w:b w:val="0"/>
          <w:bCs/>
          <w:color w:val="auto"/>
          <w:sz w:val="21"/>
          <w:szCs w:val="21"/>
          <w:highlight w:val="none"/>
          <w:lang w:eastAsia="zh-CN"/>
        </w:rPr>
        <w:t>）电抗器结构：干式、真空高压浇注浸、铁芯式；</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3</w:t>
      </w:r>
      <w:r>
        <w:rPr>
          <w:rFonts w:hint="eastAsia" w:ascii="宋体" w:hAnsi="宋体" w:eastAsia="宋体" w:cs="Times New Roman"/>
          <w:b w:val="0"/>
          <w:bCs/>
          <w:color w:val="auto"/>
          <w:sz w:val="21"/>
          <w:szCs w:val="21"/>
          <w:highlight w:val="none"/>
          <w:lang w:eastAsia="zh-CN"/>
        </w:rPr>
        <w:t>）额定工作电压≥400V；</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4</w:t>
      </w:r>
      <w:r>
        <w:rPr>
          <w:rFonts w:hint="eastAsia" w:ascii="宋体" w:hAnsi="宋体" w:eastAsia="宋体" w:cs="Times New Roman"/>
          <w:b w:val="0"/>
          <w:bCs/>
          <w:color w:val="auto"/>
          <w:sz w:val="21"/>
          <w:szCs w:val="21"/>
          <w:highlight w:val="none"/>
          <w:lang w:eastAsia="zh-CN"/>
        </w:rPr>
        <w:t>）电抗器感值误差±5%；</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5</w:t>
      </w:r>
      <w:r>
        <w:rPr>
          <w:rFonts w:hint="eastAsia" w:ascii="宋体" w:hAnsi="宋体" w:eastAsia="宋体" w:cs="Times New Roman"/>
          <w:b w:val="0"/>
          <w:bCs/>
          <w:color w:val="auto"/>
          <w:sz w:val="21"/>
          <w:szCs w:val="21"/>
          <w:highlight w:val="none"/>
          <w:lang w:eastAsia="zh-CN"/>
        </w:rPr>
        <w:t>）谐波专用电抗器为铁心式铜线；</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6</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验收时</w:t>
      </w:r>
      <w:r>
        <w:rPr>
          <w:rFonts w:hint="eastAsia" w:ascii="宋体" w:hAnsi="宋体" w:eastAsia="宋体" w:cs="Times New Roman"/>
          <w:b w:val="0"/>
          <w:bCs/>
          <w:color w:val="auto"/>
          <w:sz w:val="21"/>
          <w:szCs w:val="21"/>
          <w:highlight w:val="none"/>
          <w:lang w:eastAsia="zh-CN"/>
        </w:rPr>
        <w:t>应</w:t>
      </w:r>
      <w:r>
        <w:rPr>
          <w:rFonts w:hint="eastAsia" w:ascii="宋体" w:hAnsi="宋体" w:eastAsia="宋体" w:cs="Times New Roman"/>
          <w:b w:val="0"/>
          <w:bCs/>
          <w:color w:val="auto"/>
          <w:sz w:val="21"/>
          <w:szCs w:val="21"/>
          <w:highlight w:val="none"/>
          <w:lang w:val="en-US" w:eastAsia="zh-CN"/>
        </w:rPr>
        <w:t>提供</w:t>
      </w:r>
      <w:r>
        <w:rPr>
          <w:rFonts w:hint="eastAsia" w:ascii="宋体" w:hAnsi="宋体" w:eastAsia="宋体" w:cs="Times New Roman"/>
          <w:b w:val="0"/>
          <w:bCs/>
          <w:color w:val="auto"/>
          <w:sz w:val="21"/>
          <w:szCs w:val="21"/>
          <w:highlight w:val="none"/>
          <w:lang w:eastAsia="zh-CN"/>
        </w:rPr>
        <w:t>符合GB/T 1094.6-2011</w:t>
      </w:r>
      <w:r>
        <w:rPr>
          <w:rFonts w:hint="eastAsia" w:ascii="宋体" w:hAnsi="宋体" w:eastAsia="宋体" w:cs="Times New Roman"/>
          <w:b w:val="0"/>
          <w:bCs/>
          <w:color w:val="auto"/>
          <w:sz w:val="21"/>
          <w:szCs w:val="21"/>
          <w:highlight w:val="none"/>
          <w:lang w:val="en-US" w:eastAsia="zh-CN"/>
        </w:rPr>
        <w:t>标准要求的</w:t>
      </w:r>
      <w:r>
        <w:rPr>
          <w:rFonts w:hint="eastAsia" w:ascii="宋体" w:hAnsi="宋体" w:eastAsia="宋体" w:cs="Times New Roman"/>
          <w:b w:val="0"/>
          <w:bCs/>
          <w:color w:val="auto"/>
          <w:sz w:val="21"/>
          <w:szCs w:val="21"/>
          <w:highlight w:val="none"/>
          <w:lang w:eastAsia="zh-CN"/>
        </w:rPr>
        <w:t>第三方检测/检验报告。</w:t>
      </w:r>
    </w:p>
    <w:p>
      <w:pPr>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br w:type="page"/>
      </w:r>
    </w:p>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Times New Roman"/>
          <w:b/>
          <w:bCs w:val="0"/>
          <w:color w:val="auto"/>
          <w:sz w:val="21"/>
          <w:szCs w:val="21"/>
          <w:highlight w:val="none"/>
          <w:lang w:eastAsia="zh-CN"/>
        </w:rPr>
      </w:pPr>
      <w:r>
        <w:rPr>
          <w:rFonts w:hint="eastAsia" w:ascii="宋体" w:hAnsi="宋体" w:eastAsia="宋体" w:cs="Times New Roman"/>
          <w:b/>
          <w:bCs w:val="0"/>
          <w:color w:val="auto"/>
          <w:sz w:val="21"/>
          <w:szCs w:val="21"/>
          <w:highlight w:val="none"/>
          <w:lang w:val="en-US" w:eastAsia="zh-CN"/>
        </w:rPr>
        <w:t xml:space="preserve">3.6 </w:t>
      </w:r>
      <w:r>
        <w:rPr>
          <w:rFonts w:hint="eastAsia" w:ascii="宋体" w:hAnsi="宋体" w:eastAsia="宋体" w:cs="Times New Roman"/>
          <w:b/>
          <w:bCs w:val="0"/>
          <w:color w:val="auto"/>
          <w:sz w:val="21"/>
          <w:szCs w:val="21"/>
          <w:highlight w:val="none"/>
        </w:rPr>
        <w:t>二次部分技术要求</w:t>
      </w:r>
      <w:r>
        <w:rPr>
          <w:rFonts w:hint="eastAsia" w:ascii="宋体" w:hAnsi="宋体" w:eastAsia="宋体" w:cs="Times New Roman"/>
          <w:b/>
          <w:bCs w:val="0"/>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3.6.1 </w:t>
      </w:r>
      <w:r>
        <w:rPr>
          <w:rFonts w:hint="eastAsia" w:ascii="宋体" w:hAnsi="宋体" w:eastAsia="宋体" w:cs="Times New Roman"/>
          <w:b w:val="0"/>
          <w:bCs/>
          <w:color w:val="auto"/>
          <w:sz w:val="21"/>
          <w:szCs w:val="21"/>
          <w:highlight w:val="none"/>
        </w:rPr>
        <w:t>端子排的额定值不小于10A、600V，并带有隔板、标签带和端子螺丝。每个端子排将标有编号，端子排上每个端子和连线带编号；电流回路采用专用电流型试验端子。</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3.6.2 </w:t>
      </w:r>
      <w:r>
        <w:rPr>
          <w:rFonts w:hint="eastAsia" w:ascii="宋体" w:hAnsi="宋体" w:eastAsia="宋体" w:cs="Times New Roman"/>
          <w:b w:val="0"/>
          <w:bCs/>
          <w:color w:val="auto"/>
          <w:sz w:val="21"/>
          <w:szCs w:val="21"/>
          <w:highlight w:val="none"/>
        </w:rPr>
        <w:t>端子排列应符合标准，如果某些布线的突然短路会引起设备误动，如引起开关的误合闸或误跳闸，则这些布线就不能连接在相邻的端子上。如正、负极之间应有间隔，断路器的跳闸和合闸回路、直流（＋）电源和跳/合闸回路不能接在相邻端子上。</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3.6.3 </w:t>
      </w:r>
      <w:r>
        <w:rPr>
          <w:rFonts w:hint="eastAsia" w:ascii="宋体" w:hAnsi="宋体" w:eastAsia="宋体" w:cs="Times New Roman"/>
          <w:b w:val="0"/>
          <w:bCs/>
          <w:color w:val="auto"/>
          <w:sz w:val="21"/>
          <w:szCs w:val="21"/>
          <w:highlight w:val="none"/>
        </w:rPr>
        <w:t>低压开关柜使用抽屉式功能单元的其二次回路插接件除已使用外至少预留8个空余备用端子。</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 xml:space="preserve">3.6.4 </w:t>
      </w:r>
      <w:r>
        <w:rPr>
          <w:rFonts w:hint="eastAsia" w:ascii="宋体" w:hAnsi="宋体" w:eastAsia="宋体" w:cs="Times New Roman"/>
          <w:b w:val="0"/>
          <w:bCs/>
          <w:color w:val="auto"/>
          <w:sz w:val="21"/>
          <w:szCs w:val="21"/>
          <w:highlight w:val="none"/>
        </w:rPr>
        <w:t>配电柜中均需留有不小于15％的备用接线端子。且每排不少于10个</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 xml:space="preserve">3.6.5 </w:t>
      </w:r>
      <w:r>
        <w:rPr>
          <w:rFonts w:hint="eastAsia" w:ascii="宋体" w:hAnsi="宋体" w:eastAsia="宋体" w:cs="Times New Roman"/>
          <w:b w:val="0"/>
          <w:bCs/>
          <w:color w:val="auto"/>
          <w:sz w:val="21"/>
          <w:szCs w:val="21"/>
          <w:highlight w:val="none"/>
        </w:rPr>
        <w:t>接线端子应适合连接硬、软铜导线，并保证维持适合于电器组件和电路的额定电流、短路电流强度所需要的接触压力</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 xml:space="preserve">3.6.6 </w:t>
      </w:r>
      <w:r>
        <w:rPr>
          <w:rFonts w:hint="eastAsia" w:ascii="宋体" w:hAnsi="宋体" w:eastAsia="宋体" w:cs="Times New Roman"/>
          <w:b w:val="0"/>
          <w:bCs/>
          <w:color w:val="auto"/>
          <w:sz w:val="21"/>
          <w:szCs w:val="21"/>
          <w:highlight w:val="none"/>
        </w:rPr>
        <w:t>所有接入端子排的电线均应使用合适的接线端子接入（单芯导线可除外），每一端子接入孔原则上只能接一根导线，只有在不影响连接可靠性的前提下，最多接两根导线</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 xml:space="preserve">3.6.7 </w:t>
      </w:r>
      <w:r>
        <w:rPr>
          <w:rFonts w:hint="eastAsia" w:ascii="宋体" w:hAnsi="宋体" w:eastAsia="宋体" w:cs="Times New Roman"/>
          <w:b w:val="0"/>
          <w:bCs/>
          <w:color w:val="auto"/>
          <w:sz w:val="21"/>
          <w:szCs w:val="21"/>
          <w:highlight w:val="none"/>
        </w:rPr>
        <w:t>柜内所有二次线全部采用1.5mm2的软铜电线，电流互感器二次回路的电线采用2.5mm2的软铜线，接地线采用黄绿色软铜电线，专用黄绿色接地线不能作为其它用途导线</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3.6.8 </w:t>
      </w:r>
      <w:r>
        <w:rPr>
          <w:rFonts w:hint="eastAsia" w:ascii="宋体" w:hAnsi="宋体" w:eastAsia="宋体" w:cs="Times New Roman"/>
          <w:b w:val="0"/>
          <w:bCs/>
          <w:color w:val="auto"/>
          <w:sz w:val="21"/>
          <w:szCs w:val="21"/>
          <w:highlight w:val="none"/>
        </w:rPr>
        <w:t>导线的两端须有机器打印的、符合布线图命名的永久性的标志（或号码管，号码管粗细要合适，不易脱落）。二次回路及端子的编号均使用拉丁字母、阿拉伯数字，此编号均与所相关图纸相一致。</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3.6.9 </w:t>
      </w:r>
      <w:r>
        <w:rPr>
          <w:rFonts w:hint="eastAsia" w:ascii="宋体" w:hAnsi="宋体" w:eastAsia="宋体" w:cs="Times New Roman"/>
          <w:b w:val="0"/>
          <w:bCs/>
          <w:color w:val="auto"/>
          <w:sz w:val="21"/>
          <w:szCs w:val="21"/>
          <w:highlight w:val="none"/>
        </w:rPr>
        <w:t>电缆两端有标示牌、标明电缆编号及对端连接单元名称。</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3.6.10 </w:t>
      </w:r>
      <w:r>
        <w:rPr>
          <w:rFonts w:hint="eastAsia" w:ascii="宋体" w:hAnsi="宋体" w:eastAsia="宋体" w:cs="Times New Roman"/>
          <w:b w:val="0"/>
          <w:bCs/>
          <w:color w:val="auto"/>
          <w:sz w:val="21"/>
          <w:szCs w:val="21"/>
          <w:highlight w:val="none"/>
        </w:rPr>
        <w:t>导线任何的连接部分不能焊接。</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3.6.11 </w:t>
      </w:r>
      <w:r>
        <w:rPr>
          <w:rFonts w:hint="eastAsia" w:ascii="宋体" w:hAnsi="宋体" w:eastAsia="宋体" w:cs="Times New Roman"/>
          <w:b w:val="0"/>
          <w:bCs/>
          <w:color w:val="auto"/>
          <w:sz w:val="21"/>
          <w:szCs w:val="21"/>
          <w:highlight w:val="none"/>
        </w:rPr>
        <w:t>控制、合闸直流回路的保护配置与计算机监控系统相连的微型断路器分合位置触点。</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3.6.12 </w:t>
      </w:r>
      <w:r>
        <w:rPr>
          <w:rFonts w:hint="eastAsia" w:ascii="宋体" w:hAnsi="宋体" w:eastAsia="宋体" w:cs="Times New Roman"/>
          <w:b w:val="0"/>
          <w:bCs/>
          <w:color w:val="auto"/>
          <w:sz w:val="21"/>
          <w:szCs w:val="21"/>
          <w:highlight w:val="none"/>
        </w:rPr>
        <w:t>多功能电力仪表，微机综合保护等未使用的输入输出信号触点端子、断路器分合辅助触点（常开、常闭触点各4个）、断路器手车位置信号触点、接地开关分合位置等备用信号触点均应接入二次回路接线端子排。</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3.6.13 </w:t>
      </w:r>
      <w:r>
        <w:rPr>
          <w:rFonts w:hint="eastAsia" w:ascii="宋体" w:hAnsi="宋体" w:eastAsia="宋体" w:cs="Times New Roman"/>
          <w:b w:val="0"/>
          <w:bCs/>
          <w:color w:val="auto"/>
          <w:sz w:val="21"/>
          <w:szCs w:val="21"/>
          <w:highlight w:val="none"/>
        </w:rPr>
        <w:t>RS485接口的通信装置不论是否在同一开关柜内都须手挽手串接，采用ZC-RVSP 2X0.75的屏蔽双绞线连接。不同通信波特率、数据格式、校验方式的装置不能接入同一通信回路，同一通信回路接入的通信装置不能超过10个，末端通信装置应接匹配电阻。</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3.6.14 </w:t>
      </w:r>
      <w:r>
        <w:rPr>
          <w:rFonts w:hint="eastAsia" w:ascii="宋体" w:hAnsi="宋体" w:eastAsia="宋体" w:cs="Times New Roman"/>
          <w:b w:val="0"/>
          <w:bCs/>
          <w:color w:val="auto"/>
          <w:sz w:val="21"/>
          <w:szCs w:val="21"/>
          <w:highlight w:val="none"/>
        </w:rPr>
        <w:t>柜内导线、导线颜色、按钮、指示灯、插接件、走线槽等均应符合国家或行业的有关标准。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3.6.15 </w:t>
      </w:r>
      <w:r>
        <w:rPr>
          <w:rFonts w:hint="eastAsia" w:ascii="宋体" w:hAnsi="宋体" w:eastAsia="宋体" w:cs="Times New Roman"/>
          <w:b w:val="0"/>
          <w:bCs/>
          <w:color w:val="auto"/>
          <w:sz w:val="21"/>
          <w:szCs w:val="21"/>
          <w:highlight w:val="none"/>
        </w:rPr>
        <w:t>柜与柜之间的外部连接线路均应使用电缆，采用穿金属电线管暗敷，不同类别的线路按国家、行业标准规范要求分管敷设。</w:t>
      </w:r>
    </w:p>
    <w:p>
      <w:pPr>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br w:type="page"/>
      </w:r>
    </w:p>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3.7 多功能电力仪表技术要求：</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bookmarkStart w:id="117" w:name="_Toc23153"/>
      <w:bookmarkStart w:id="118" w:name="_Toc131"/>
      <w:r>
        <w:rPr>
          <w:rFonts w:hint="eastAsia" w:ascii="宋体" w:hAnsi="宋体" w:eastAsia="宋体" w:cs="宋体"/>
          <w:color w:val="auto"/>
          <w:kern w:val="2"/>
          <w:sz w:val="21"/>
          <w:szCs w:val="21"/>
          <w:highlight w:val="none"/>
          <w:lang w:val="en-US" w:eastAsia="zh-CN" w:bidi="ar-SA"/>
        </w:rPr>
        <w:t>3.7.1 智能型多功能数字仪表应能够对运行电气参数进行测量，并具有电能质量管理功能，包括谐波</w:t>
      </w:r>
      <w:bookmarkEnd w:id="117"/>
      <w:bookmarkEnd w:id="118"/>
      <w:bookmarkStart w:id="119" w:name="_Toc20859"/>
      <w:bookmarkStart w:id="120" w:name="_Toc21976"/>
      <w:r>
        <w:rPr>
          <w:rFonts w:hint="eastAsia" w:ascii="宋体" w:hAnsi="宋体" w:eastAsia="宋体" w:cs="宋体"/>
          <w:color w:val="auto"/>
          <w:kern w:val="2"/>
          <w:sz w:val="21"/>
          <w:szCs w:val="21"/>
          <w:highlight w:val="none"/>
          <w:lang w:val="en-US" w:eastAsia="zh-CN" w:bidi="ar-SA"/>
        </w:rPr>
        <w:t>测量显示。</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3.7.2 类型：智能型全电量测量多功能仪表。</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3.7.3 接线方式：三相三线制或三相四线制可选择设置</w:t>
      </w:r>
      <w:bookmarkEnd w:id="119"/>
      <w:bookmarkEnd w:id="120"/>
      <w:r>
        <w:rPr>
          <w:rFonts w:hint="eastAsia" w:ascii="宋体" w:hAnsi="宋体" w:eastAsia="宋体" w:cs="宋体"/>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b w:val="0"/>
          <w:bCs/>
          <w:color w:val="auto"/>
          <w:kern w:val="2"/>
          <w:sz w:val="21"/>
          <w:szCs w:val="21"/>
          <w:highlight w:val="none"/>
          <w:lang w:val="en-US" w:eastAsia="zh-CN" w:bidi="ar-SA"/>
        </w:rPr>
      </w:pPr>
      <w:bookmarkStart w:id="121" w:name="_Toc16342"/>
      <w:bookmarkStart w:id="122" w:name="_Toc31944"/>
      <w:r>
        <w:rPr>
          <w:rFonts w:hint="eastAsia" w:ascii="宋体" w:hAnsi="宋体" w:eastAsia="宋体" w:cs="宋体"/>
          <w:b w:val="0"/>
          <w:bCs/>
          <w:color w:val="auto"/>
          <w:kern w:val="2"/>
          <w:sz w:val="21"/>
          <w:szCs w:val="21"/>
          <w:highlight w:val="none"/>
          <w:lang w:val="en-US" w:eastAsia="zh-CN" w:bidi="ar-SA"/>
        </w:rPr>
        <w:t>3.7.4 表计采用嵌入式安装方式，安装简单、方便、牢固</w:t>
      </w:r>
      <w:bookmarkEnd w:id="121"/>
      <w:bookmarkEnd w:id="122"/>
      <w:r>
        <w:rPr>
          <w:rFonts w:hint="eastAsia" w:ascii="宋体" w:hAnsi="宋体" w:eastAsia="宋体" w:cs="宋体"/>
          <w:b w:val="0"/>
          <w:bCs/>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b w:val="0"/>
          <w:bCs/>
          <w:color w:val="auto"/>
          <w:kern w:val="2"/>
          <w:sz w:val="21"/>
          <w:szCs w:val="21"/>
          <w:highlight w:val="none"/>
          <w:lang w:val="en-US" w:eastAsia="zh-CN" w:bidi="ar-SA"/>
        </w:rPr>
      </w:pPr>
      <w:bookmarkStart w:id="123" w:name="_Toc11492"/>
      <w:bookmarkStart w:id="124" w:name="_Toc19082"/>
      <w:r>
        <w:rPr>
          <w:rFonts w:hint="eastAsia" w:ascii="宋体" w:hAnsi="宋体" w:eastAsia="宋体" w:cs="宋体"/>
          <w:b w:val="0"/>
          <w:bCs/>
          <w:color w:val="auto"/>
          <w:kern w:val="2"/>
          <w:sz w:val="21"/>
          <w:szCs w:val="21"/>
          <w:highlight w:val="none"/>
          <w:lang w:val="en-US" w:eastAsia="zh-CN" w:bidi="ar-SA"/>
        </w:rPr>
        <w:t>3.7.5 精度：不低于0.5级</w:t>
      </w:r>
      <w:bookmarkEnd w:id="123"/>
      <w:bookmarkEnd w:id="124"/>
      <w:r>
        <w:rPr>
          <w:rFonts w:hint="eastAsia" w:ascii="宋体" w:hAnsi="宋体" w:eastAsia="宋体" w:cs="宋体"/>
          <w:b w:val="0"/>
          <w:bCs/>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 xml:space="preserve">3.7.6 </w:t>
      </w:r>
      <w:r>
        <w:rPr>
          <w:rFonts w:hint="eastAsia" w:ascii="宋体" w:hAnsi="宋体" w:eastAsia="宋体" w:cs="宋体"/>
          <w:color w:val="auto"/>
          <w:kern w:val="2"/>
          <w:sz w:val="21"/>
          <w:szCs w:val="21"/>
          <w:highlight w:val="none"/>
          <w:lang w:val="en-US" w:eastAsia="zh-CN" w:bidi="ar-SA"/>
        </w:rPr>
        <w:t>面板尺寸（长*宽）：</w:t>
      </w:r>
      <w:r>
        <w:rPr>
          <w:rFonts w:hint="eastAsia" w:ascii="宋体" w:hAnsi="宋体" w:eastAsia="宋体" w:cs="宋体"/>
          <w:b w:val="0"/>
          <w:bCs/>
          <w:color w:val="auto"/>
          <w:kern w:val="2"/>
          <w:sz w:val="21"/>
          <w:szCs w:val="21"/>
          <w:highlight w:val="none"/>
          <w:lang w:val="en-US" w:eastAsia="zh-CN" w:bidi="ar-SA"/>
        </w:rPr>
        <w:t>96mm*96mm。</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b w:val="0"/>
          <w:bCs/>
          <w:color w:val="auto"/>
          <w:kern w:val="2"/>
          <w:sz w:val="21"/>
          <w:szCs w:val="21"/>
          <w:highlight w:val="none"/>
          <w:lang w:val="en-US" w:eastAsia="zh-CN" w:bidi="ar-SA"/>
        </w:rPr>
      </w:pPr>
      <w:bookmarkStart w:id="125" w:name="_Toc21666"/>
      <w:bookmarkStart w:id="126" w:name="_Toc4407"/>
      <w:r>
        <w:rPr>
          <w:rFonts w:hint="eastAsia" w:ascii="宋体" w:hAnsi="宋体" w:eastAsia="宋体" w:cs="宋体"/>
          <w:b w:val="0"/>
          <w:bCs/>
          <w:color w:val="auto"/>
          <w:kern w:val="2"/>
          <w:sz w:val="21"/>
          <w:szCs w:val="21"/>
          <w:highlight w:val="none"/>
          <w:lang w:val="en-US" w:eastAsia="zh-CN" w:bidi="ar-SA"/>
        </w:rPr>
        <w:t>3.7.7 仪表工作电源：AC/DC:100-240V（接入交流或直流电源都能正常工作）</w:t>
      </w:r>
      <w:bookmarkEnd w:id="125"/>
      <w:bookmarkEnd w:id="126"/>
      <w:r>
        <w:rPr>
          <w:rFonts w:hint="eastAsia" w:ascii="宋体" w:hAnsi="宋体" w:eastAsia="宋体" w:cs="宋体"/>
          <w:b w:val="0"/>
          <w:bCs/>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127" w:name="_Toc372"/>
      <w:bookmarkStart w:id="128" w:name="_Toc6356"/>
      <w:r>
        <w:rPr>
          <w:rFonts w:hint="eastAsia" w:ascii="宋体" w:hAnsi="宋体" w:eastAsia="宋体" w:cs="宋体"/>
          <w:color w:val="auto"/>
          <w:kern w:val="2"/>
          <w:sz w:val="21"/>
          <w:szCs w:val="21"/>
          <w:highlight w:val="none"/>
          <w:lang w:val="en-US" w:eastAsia="zh-CN" w:bidi="ar-SA"/>
        </w:rPr>
        <w:t>3.7.8 开关量输入(DI)点数≥2，继电器开关量输出(DO)点数≥2。</w:t>
      </w:r>
      <w:bookmarkEnd w:id="127"/>
      <w:bookmarkEnd w:id="128"/>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b/>
          <w:color w:val="auto"/>
          <w:kern w:val="2"/>
          <w:sz w:val="21"/>
          <w:szCs w:val="21"/>
          <w:highlight w:val="none"/>
          <w:lang w:val="en-US" w:eastAsia="zh-CN" w:bidi="ar-SA"/>
        </w:rPr>
      </w:pPr>
      <w:bookmarkStart w:id="129" w:name="_Toc16495"/>
      <w:bookmarkStart w:id="130" w:name="_Toc32059"/>
      <w:r>
        <w:rPr>
          <w:rFonts w:hint="eastAsia" w:ascii="宋体" w:hAnsi="宋体" w:eastAsia="宋体" w:cs="宋体"/>
          <w:color w:val="auto"/>
          <w:kern w:val="2"/>
          <w:sz w:val="21"/>
          <w:szCs w:val="21"/>
          <w:highlight w:val="none"/>
          <w:lang w:val="en-US" w:eastAsia="zh-CN" w:bidi="ar-SA"/>
        </w:rPr>
        <w:t>3.7.9 通讯要求：</w:t>
      </w:r>
      <w:r>
        <w:rPr>
          <w:rFonts w:hint="eastAsia" w:ascii="宋体" w:hAnsi="宋体" w:eastAsia="宋体" w:cs="宋体"/>
          <w:b w:val="0"/>
          <w:bCs/>
          <w:color w:val="auto"/>
          <w:kern w:val="2"/>
          <w:sz w:val="21"/>
          <w:szCs w:val="21"/>
          <w:highlight w:val="none"/>
          <w:lang w:val="en-US" w:eastAsia="zh-CN" w:bidi="ar-SA"/>
        </w:rPr>
        <w:t>多功能仪电力仪表具有RS485通讯接口，通讯速率不低于38.4kbps，串口通信参数波特率、数据格式、校验发生可选择设置，通信采用 MODBUS-RTU协议，并支持采用现场总线组网；</w:t>
      </w:r>
      <w:bookmarkEnd w:id="129"/>
      <w:bookmarkEnd w:id="130"/>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0" w:firstLineChars="200"/>
        <w:jc w:val="both"/>
        <w:textAlignment w:val="auto"/>
        <w:rPr>
          <w:rFonts w:hint="eastAsia" w:ascii="宋体" w:hAnsi="宋体" w:eastAsia="宋体" w:cs="宋体"/>
          <w:b w:val="0"/>
          <w:bCs/>
          <w:color w:val="auto"/>
          <w:kern w:val="2"/>
          <w:sz w:val="21"/>
          <w:szCs w:val="21"/>
          <w:highlight w:val="none"/>
          <w:lang w:val="en-US" w:eastAsia="zh-CN" w:bidi="ar-SA"/>
        </w:rPr>
      </w:pPr>
      <w:bookmarkStart w:id="131" w:name="_Toc5865"/>
      <w:bookmarkStart w:id="132" w:name="_Toc13049"/>
      <w:r>
        <w:rPr>
          <w:rFonts w:hint="eastAsia" w:ascii="宋体" w:hAnsi="宋体" w:eastAsia="宋体" w:cs="宋体"/>
          <w:b w:val="0"/>
          <w:bCs/>
          <w:color w:val="auto"/>
          <w:kern w:val="2"/>
          <w:sz w:val="21"/>
          <w:szCs w:val="21"/>
          <w:highlight w:val="none"/>
          <w:lang w:val="en-US" w:eastAsia="zh-CN" w:bidi="ar-SA"/>
        </w:rPr>
        <w:t>3.7.10 具备实时告警及事件记录功能</w:t>
      </w:r>
      <w:bookmarkEnd w:id="131"/>
      <w:bookmarkEnd w:id="132"/>
      <w:r>
        <w:rPr>
          <w:rFonts w:hint="eastAsia" w:ascii="宋体" w:hAnsi="宋体" w:eastAsia="宋体" w:cs="宋体"/>
          <w:b w:val="0"/>
          <w:bCs/>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133" w:name="_Toc19248"/>
      <w:bookmarkStart w:id="134" w:name="_Toc5993"/>
      <w:r>
        <w:rPr>
          <w:rFonts w:hint="eastAsia" w:ascii="宋体" w:hAnsi="宋体" w:eastAsia="宋体" w:cs="宋体"/>
          <w:color w:val="auto"/>
          <w:kern w:val="2"/>
          <w:sz w:val="21"/>
          <w:szCs w:val="21"/>
          <w:highlight w:val="none"/>
          <w:lang w:val="en-US" w:eastAsia="zh-CN" w:bidi="ar-SA"/>
        </w:rPr>
        <w:t>3.7.11 多功能电力仪表测量参数包括但不限于：</w:t>
      </w:r>
      <w:bookmarkEnd w:id="133"/>
      <w:bookmarkEnd w:id="134"/>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135" w:name="_Toc1523"/>
      <w:bookmarkStart w:id="136" w:name="_Toc9163"/>
      <w:bookmarkStart w:id="137" w:name="_Toc25293"/>
      <w:bookmarkStart w:id="138" w:name="_Toc3441"/>
      <w:r>
        <w:rPr>
          <w:rFonts w:hint="eastAsia" w:ascii="宋体" w:hAnsi="宋体" w:eastAsia="宋体" w:cs="宋体"/>
          <w:color w:val="auto"/>
          <w:kern w:val="2"/>
          <w:sz w:val="21"/>
          <w:szCs w:val="21"/>
          <w:highlight w:val="none"/>
          <w:lang w:val="en-US" w:eastAsia="zh-CN" w:bidi="ar-SA"/>
        </w:rPr>
        <w:t>（1）三相电压（三相相电压、线电压，三相电压不平衡度）</w:t>
      </w:r>
      <w:bookmarkEnd w:id="135"/>
      <w:bookmarkEnd w:id="136"/>
      <w:bookmarkEnd w:id="137"/>
      <w:bookmarkEnd w:id="138"/>
      <w:r>
        <w:rPr>
          <w:rFonts w:hint="eastAsia" w:ascii="宋体" w:hAnsi="宋体" w:eastAsia="宋体" w:cs="宋体"/>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139" w:name="_Toc8800"/>
      <w:bookmarkStart w:id="140" w:name="_Toc19120"/>
      <w:bookmarkStart w:id="141" w:name="_Toc9490"/>
      <w:r>
        <w:rPr>
          <w:rFonts w:hint="eastAsia" w:ascii="宋体" w:hAnsi="宋体" w:eastAsia="宋体" w:cs="宋体"/>
          <w:color w:val="auto"/>
          <w:kern w:val="2"/>
          <w:sz w:val="21"/>
          <w:szCs w:val="21"/>
          <w:highlight w:val="none"/>
          <w:lang w:val="en-US" w:eastAsia="zh-CN" w:bidi="ar-SA"/>
        </w:rPr>
        <w:t>（2）三相电流、计算N相电流，三相电流不平衡度</w:t>
      </w:r>
      <w:bookmarkEnd w:id="139"/>
      <w:bookmarkEnd w:id="140"/>
      <w:bookmarkEnd w:id="141"/>
      <w:r>
        <w:rPr>
          <w:rFonts w:hint="eastAsia" w:ascii="宋体" w:hAnsi="宋体" w:eastAsia="宋体" w:cs="宋体"/>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142" w:name="_Toc8746"/>
      <w:bookmarkStart w:id="143" w:name="_Toc17276"/>
      <w:bookmarkStart w:id="144" w:name="_Toc25376"/>
      <w:r>
        <w:rPr>
          <w:rFonts w:hint="eastAsia" w:ascii="宋体" w:hAnsi="宋体" w:eastAsia="宋体" w:cs="宋体"/>
          <w:color w:val="auto"/>
          <w:kern w:val="2"/>
          <w:sz w:val="21"/>
          <w:szCs w:val="21"/>
          <w:highlight w:val="none"/>
          <w:lang w:val="en-US" w:eastAsia="zh-CN" w:bidi="ar-SA"/>
        </w:rPr>
        <w:t>（3）频率</w:t>
      </w:r>
      <w:bookmarkEnd w:id="142"/>
      <w:bookmarkEnd w:id="143"/>
      <w:bookmarkEnd w:id="144"/>
      <w:r>
        <w:rPr>
          <w:rFonts w:hint="eastAsia" w:ascii="宋体" w:hAnsi="宋体" w:eastAsia="宋体" w:cs="宋体"/>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145" w:name="_Toc12810"/>
      <w:bookmarkStart w:id="146" w:name="_Toc22445"/>
      <w:bookmarkStart w:id="147" w:name="_Toc24245"/>
      <w:r>
        <w:rPr>
          <w:rFonts w:hint="eastAsia" w:ascii="宋体" w:hAnsi="宋体" w:eastAsia="宋体" w:cs="宋体"/>
          <w:color w:val="auto"/>
          <w:kern w:val="2"/>
          <w:sz w:val="21"/>
          <w:szCs w:val="21"/>
          <w:highlight w:val="none"/>
          <w:lang w:val="en-US" w:eastAsia="zh-CN" w:bidi="ar-SA"/>
        </w:rPr>
        <w:t>（4）三相有功功率、总有功功率</w:t>
      </w:r>
      <w:bookmarkEnd w:id="145"/>
      <w:bookmarkEnd w:id="146"/>
      <w:bookmarkEnd w:id="147"/>
      <w:r>
        <w:rPr>
          <w:rFonts w:hint="eastAsia" w:ascii="宋体" w:hAnsi="宋体" w:eastAsia="宋体" w:cs="宋体"/>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bookmarkStart w:id="148" w:name="_Toc2617"/>
      <w:bookmarkStart w:id="149" w:name="_Toc26979"/>
      <w:bookmarkStart w:id="150" w:name="_Toc15609"/>
      <w:r>
        <w:rPr>
          <w:rFonts w:hint="eastAsia" w:ascii="宋体" w:hAnsi="宋体" w:eastAsia="宋体" w:cs="宋体"/>
          <w:color w:val="auto"/>
          <w:kern w:val="2"/>
          <w:sz w:val="21"/>
          <w:szCs w:val="21"/>
          <w:highlight w:val="none"/>
          <w:lang w:val="en-US" w:eastAsia="zh-CN" w:bidi="ar-SA"/>
        </w:rPr>
        <w:t>（5）三相无功功率、总无功功率</w:t>
      </w:r>
      <w:bookmarkEnd w:id="148"/>
      <w:bookmarkEnd w:id="149"/>
      <w:bookmarkEnd w:id="150"/>
      <w:r>
        <w:rPr>
          <w:rFonts w:hint="eastAsia" w:ascii="宋体" w:hAnsi="宋体" w:eastAsia="宋体" w:cs="宋体"/>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151" w:name="_Toc4192"/>
      <w:bookmarkStart w:id="152" w:name="_Toc11500"/>
      <w:bookmarkStart w:id="153" w:name="_Toc4114"/>
      <w:r>
        <w:rPr>
          <w:rFonts w:hint="eastAsia" w:ascii="宋体" w:hAnsi="宋体" w:eastAsia="宋体" w:cs="宋体"/>
          <w:color w:val="auto"/>
          <w:kern w:val="2"/>
          <w:sz w:val="21"/>
          <w:szCs w:val="21"/>
          <w:highlight w:val="none"/>
          <w:lang w:val="en-US" w:eastAsia="zh-CN" w:bidi="ar-SA"/>
        </w:rPr>
        <w:t>（6）三相视在功率、总视在功率</w:t>
      </w:r>
      <w:bookmarkEnd w:id="151"/>
      <w:bookmarkEnd w:id="152"/>
      <w:bookmarkEnd w:id="153"/>
      <w:r>
        <w:rPr>
          <w:rFonts w:hint="eastAsia" w:ascii="宋体" w:hAnsi="宋体" w:eastAsia="宋体" w:cs="宋体"/>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154" w:name="_Toc16065"/>
      <w:bookmarkStart w:id="155" w:name="_Toc28286"/>
      <w:bookmarkStart w:id="156" w:name="_Toc18842"/>
      <w:r>
        <w:rPr>
          <w:rFonts w:hint="eastAsia" w:ascii="宋体" w:hAnsi="宋体" w:eastAsia="宋体" w:cs="宋体"/>
          <w:color w:val="auto"/>
          <w:kern w:val="2"/>
          <w:sz w:val="21"/>
          <w:szCs w:val="21"/>
          <w:highlight w:val="none"/>
          <w:lang w:val="en-US" w:eastAsia="zh-CN" w:bidi="ar-SA"/>
        </w:rPr>
        <w:t>（7）三相功率因数，总功率因数</w:t>
      </w:r>
      <w:bookmarkEnd w:id="154"/>
      <w:bookmarkEnd w:id="155"/>
      <w:bookmarkEnd w:id="156"/>
      <w:r>
        <w:rPr>
          <w:rFonts w:hint="eastAsia" w:ascii="宋体" w:hAnsi="宋体" w:eastAsia="宋体" w:cs="宋体"/>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157" w:name="_Toc26748"/>
      <w:bookmarkStart w:id="158" w:name="_Toc27731"/>
      <w:bookmarkStart w:id="159" w:name="_Toc24741"/>
      <w:r>
        <w:rPr>
          <w:rFonts w:hint="eastAsia" w:ascii="宋体" w:hAnsi="宋体" w:eastAsia="宋体" w:cs="宋体"/>
          <w:color w:val="auto"/>
          <w:kern w:val="2"/>
          <w:sz w:val="21"/>
          <w:szCs w:val="21"/>
          <w:highlight w:val="none"/>
          <w:lang w:val="en-US" w:eastAsia="zh-CN" w:bidi="ar-SA"/>
        </w:rPr>
        <w:t>（8）总有功电能</w:t>
      </w:r>
      <w:bookmarkEnd w:id="157"/>
      <w:bookmarkEnd w:id="158"/>
      <w:bookmarkEnd w:id="159"/>
      <w:r>
        <w:rPr>
          <w:rFonts w:hint="eastAsia" w:ascii="宋体" w:hAnsi="宋体" w:eastAsia="宋体" w:cs="宋体"/>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160" w:name="_Toc13814"/>
      <w:bookmarkStart w:id="161" w:name="_Toc25924"/>
      <w:bookmarkStart w:id="162" w:name="_Toc310"/>
      <w:r>
        <w:rPr>
          <w:rFonts w:hint="eastAsia" w:ascii="宋体" w:hAnsi="宋体" w:eastAsia="宋体" w:cs="宋体"/>
          <w:color w:val="auto"/>
          <w:kern w:val="2"/>
          <w:sz w:val="21"/>
          <w:szCs w:val="21"/>
          <w:highlight w:val="none"/>
          <w:lang w:val="en-US" w:eastAsia="zh-CN" w:bidi="ar-SA"/>
        </w:rPr>
        <w:t>（9）总无功电能</w:t>
      </w:r>
      <w:bookmarkEnd w:id="160"/>
      <w:bookmarkEnd w:id="161"/>
      <w:bookmarkEnd w:id="162"/>
      <w:r>
        <w:rPr>
          <w:rFonts w:hint="eastAsia" w:ascii="宋体" w:hAnsi="宋体" w:eastAsia="宋体" w:cs="宋体"/>
          <w:color w:val="auto"/>
          <w:kern w:val="2"/>
          <w:sz w:val="21"/>
          <w:szCs w:val="21"/>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163" w:name="_Toc4884"/>
      <w:bookmarkStart w:id="164" w:name="_Toc1844"/>
      <w:bookmarkStart w:id="165" w:name="_Toc11413"/>
      <w:r>
        <w:rPr>
          <w:rFonts w:hint="eastAsia" w:ascii="宋体" w:hAnsi="宋体" w:eastAsia="宋体" w:cs="宋体"/>
          <w:color w:val="auto"/>
          <w:kern w:val="2"/>
          <w:sz w:val="21"/>
          <w:szCs w:val="21"/>
          <w:highlight w:val="none"/>
          <w:lang w:val="en-US" w:eastAsia="zh-CN" w:bidi="ar-SA"/>
        </w:rPr>
        <w:t>（10）功率需量、电流需量测量功能；</w:t>
      </w:r>
      <w:bookmarkEnd w:id="163"/>
      <w:bookmarkEnd w:id="164"/>
      <w:bookmarkEnd w:id="165"/>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both"/>
        <w:textAlignment w:val="auto"/>
        <w:rPr>
          <w:rFonts w:hint="eastAsia" w:ascii="宋体" w:hAnsi="宋体" w:eastAsia="宋体" w:cs="宋体"/>
          <w:color w:val="auto"/>
          <w:kern w:val="2"/>
          <w:sz w:val="21"/>
          <w:szCs w:val="21"/>
          <w:highlight w:val="none"/>
          <w:lang w:val="en-US" w:eastAsia="zh-CN" w:bidi="ar-SA"/>
        </w:rPr>
      </w:pPr>
      <w:bookmarkStart w:id="166" w:name="_Toc21702"/>
      <w:bookmarkStart w:id="167" w:name="_Toc14160"/>
      <w:bookmarkStart w:id="168" w:name="_Toc1519"/>
      <w:r>
        <w:rPr>
          <w:rFonts w:hint="eastAsia" w:ascii="宋体" w:hAnsi="宋体" w:eastAsia="宋体" w:cs="宋体"/>
          <w:color w:val="auto"/>
          <w:kern w:val="2"/>
          <w:sz w:val="21"/>
          <w:szCs w:val="21"/>
          <w:highlight w:val="none"/>
          <w:lang w:val="en-US" w:eastAsia="zh-CN" w:bidi="ar-SA"/>
        </w:rPr>
        <w:t>（11）具有各相电压、电流的总谐波畸变率（THD）和分次谐波（15 次及以下）含有率测量功能；</w:t>
      </w:r>
      <w:bookmarkEnd w:id="166"/>
      <w:bookmarkEnd w:id="167"/>
      <w:bookmarkEnd w:id="168"/>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b/>
          <w:color w:val="auto"/>
          <w:kern w:val="2"/>
          <w:sz w:val="21"/>
          <w:szCs w:val="21"/>
          <w:highlight w:val="none"/>
          <w:lang w:val="en-US" w:eastAsia="zh-CN" w:bidi="ar-SA"/>
        </w:rPr>
      </w:pPr>
      <w:bookmarkStart w:id="169" w:name="_Toc18303"/>
      <w:bookmarkStart w:id="170" w:name="_Toc20429"/>
      <w:r>
        <w:rPr>
          <w:rFonts w:hint="eastAsia" w:ascii="宋体" w:hAnsi="宋体" w:eastAsia="宋体" w:cs="宋体"/>
          <w:color w:val="auto"/>
          <w:kern w:val="2"/>
          <w:sz w:val="21"/>
          <w:szCs w:val="21"/>
          <w:highlight w:val="none"/>
          <w:lang w:val="en-US" w:eastAsia="zh-CN" w:bidi="ar-SA"/>
        </w:rPr>
        <w:t xml:space="preserve">★3.7.12 </w:t>
      </w:r>
      <w:r>
        <w:rPr>
          <w:rFonts w:hint="eastAsia" w:ascii="宋体" w:hAnsi="宋体" w:eastAsia="宋体" w:cs="宋体"/>
          <w:b w:val="0"/>
          <w:bCs/>
          <w:color w:val="auto"/>
          <w:kern w:val="2"/>
          <w:sz w:val="21"/>
          <w:szCs w:val="21"/>
          <w:highlight w:val="none"/>
          <w:lang w:val="en-US" w:eastAsia="zh-CN" w:bidi="ar-SA"/>
        </w:rPr>
        <w:t>具有报警功能：具有但不限于过电压、欠电压、过电流、欠电流、功率、频率、需量、谐波等报警项，每个报警上下限阈值、报警延时时间可单独设置，报警项多选组合。</w:t>
      </w:r>
      <w:bookmarkEnd w:id="169"/>
      <w:bookmarkEnd w:id="170"/>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bookmarkStart w:id="171" w:name="_Toc3838"/>
      <w:bookmarkStart w:id="172" w:name="_Toc11996"/>
      <w:r>
        <w:rPr>
          <w:rFonts w:hint="eastAsia" w:ascii="宋体" w:hAnsi="宋体" w:eastAsia="宋体" w:cs="宋体"/>
          <w:color w:val="auto"/>
          <w:kern w:val="2"/>
          <w:sz w:val="21"/>
          <w:szCs w:val="21"/>
          <w:highlight w:val="none"/>
          <w:lang w:val="en-US" w:eastAsia="zh-CN" w:bidi="ar-SA"/>
        </w:rPr>
        <w:t>★3.7.13 报警可以设置为与仪表的开关量输出DO触点相关联，在仪表检测到发生报警时相关联的开关量输出触点闭合或断开。</w:t>
      </w:r>
      <w:bookmarkEnd w:id="171"/>
      <w:bookmarkEnd w:id="172"/>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bookmarkStart w:id="173" w:name="_Toc24414"/>
      <w:r>
        <w:rPr>
          <w:rFonts w:hint="eastAsia" w:ascii="宋体" w:hAnsi="宋体" w:eastAsia="宋体" w:cs="宋体"/>
          <w:color w:val="auto"/>
          <w:kern w:val="2"/>
          <w:sz w:val="21"/>
          <w:szCs w:val="21"/>
          <w:highlight w:val="none"/>
          <w:lang w:val="en-US" w:eastAsia="zh-CN" w:bidi="ar-SA"/>
        </w:rPr>
        <w:t>3.7.14 具有定格显示（长期固定显示选定的参数画面）显示模式。</w:t>
      </w:r>
      <w:bookmarkEnd w:id="173"/>
    </w:p>
    <w:p>
      <w:pPr>
        <w:rPr>
          <w:rFonts w:hint="eastAsia"/>
          <w:color w:val="auto"/>
          <w:highlight w:val="none"/>
          <w:lang w:val="en-US" w:eastAsia="zh-CN"/>
        </w:rPr>
      </w:pPr>
      <w:r>
        <w:rPr>
          <w:rFonts w:hint="eastAsia" w:ascii="宋体" w:hAnsi="宋体" w:eastAsia="宋体" w:cs="Times New Roman"/>
          <w:b/>
          <w:color w:val="auto"/>
          <w:sz w:val="32"/>
          <w:szCs w:val="32"/>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Times New Roman"/>
          <w:b/>
          <w:color w:val="auto"/>
          <w:sz w:val="21"/>
          <w:szCs w:val="21"/>
          <w:highlight w:val="none"/>
          <w:lang w:val="en-US" w:eastAsia="zh-CN"/>
        </w:rPr>
      </w:pPr>
      <w:r>
        <w:rPr>
          <w:rFonts w:hint="eastAsia" w:ascii="宋体" w:hAnsi="宋体" w:eastAsia="宋体" w:cs="Times New Roman"/>
          <w:b/>
          <w:color w:val="auto"/>
          <w:sz w:val="21"/>
          <w:szCs w:val="21"/>
          <w:highlight w:val="none"/>
          <w:lang w:val="en-US" w:eastAsia="zh-CN"/>
        </w:rPr>
        <w:t>3.8 低压智能站控终端技术要求：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为保证配电线路的供电安全可靠，满足日常巡检和故障消缺的需求，需要在每个低压变配电站现场至少配置一台智能站控终端，应盘柜安装。智能站控单元具备故障预警及诊断功能，对变电所系统进行全面的监测管理，发布关于配电系统的运行和告警信息，提供预警，避免故障停电；提供故障前后的数据，帮助快速定位故障，隔离故障源；监测中低压电气设备的全生命周期的运行数据，并提供预测性维护，最大程度降低停电风险。投标人需提供低压站控终端及实现相应功能的传感器、辅件等。</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低压智能站控终端功能要求：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3.8.1 </w:t>
      </w:r>
      <w:r>
        <w:rPr>
          <w:rFonts w:hint="eastAsia" w:ascii="宋体" w:hAnsi="宋体" w:eastAsia="宋体" w:cs="Times New Roman"/>
          <w:b w:val="0"/>
          <w:bCs/>
          <w:color w:val="auto"/>
          <w:sz w:val="21"/>
          <w:szCs w:val="21"/>
          <w:highlight w:val="none"/>
        </w:rPr>
        <w:t>智能站控终端应采用工业级触摸屏电脑，配置主流的计算机硬件，选配不低于酷睿i3 CPU，16G及以上内存，选配256G以上硬盘存储，配置2个千兆有线网络接口。</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3.8.2 </w:t>
      </w:r>
      <w:r>
        <w:rPr>
          <w:rFonts w:hint="eastAsia" w:ascii="宋体" w:hAnsi="宋体" w:eastAsia="宋体" w:cs="Times New Roman"/>
          <w:b w:val="0"/>
          <w:bCs/>
          <w:color w:val="auto"/>
          <w:sz w:val="21"/>
          <w:szCs w:val="21"/>
          <w:highlight w:val="none"/>
        </w:rPr>
        <w:t>显示单元：15英寸以上TFT显示屏，五点投射式电容触控，显示分辨率不低于1920</w:t>
      </w:r>
      <w:r>
        <w:rPr>
          <w:rFonts w:hint="eastAsia" w:ascii="宋体" w:hAnsi="宋体" w:eastAsia="宋体" w:cs="Times New Roman"/>
          <w:b w:val="0"/>
          <w:bCs/>
          <w:color w:val="auto"/>
          <w:sz w:val="21"/>
          <w:szCs w:val="21"/>
          <w:highlight w:val="none"/>
          <w:lang w:val="en-US" w:eastAsia="zh-CN"/>
        </w:rPr>
        <w:t>*</w:t>
      </w:r>
      <w:r>
        <w:rPr>
          <w:rFonts w:hint="eastAsia" w:ascii="宋体" w:hAnsi="宋体" w:eastAsia="宋体" w:cs="Times New Roman"/>
          <w:b w:val="0"/>
          <w:bCs/>
          <w:color w:val="auto"/>
          <w:sz w:val="21"/>
          <w:szCs w:val="21"/>
          <w:highlight w:val="none"/>
        </w:rPr>
        <w:t>1080。</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3.8.3 </w:t>
      </w:r>
      <w:r>
        <w:rPr>
          <w:rFonts w:hint="eastAsia" w:ascii="宋体" w:hAnsi="宋体" w:eastAsia="宋体" w:cs="Times New Roman"/>
          <w:b w:val="0"/>
          <w:bCs/>
          <w:color w:val="auto"/>
          <w:sz w:val="21"/>
          <w:szCs w:val="21"/>
          <w:highlight w:val="none"/>
        </w:rPr>
        <w:t>应通过单线图的形式，清晰呈现关键回路上下级关系，实现单线图动态着色，表征断路器开关位置变化信息。提供配电站的柜面视图，动态表征断路器开关的位置变化信息，柜面视图与单线图之间形成导览式快速跳转。</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3.8.4 </w:t>
      </w:r>
      <w:r>
        <w:rPr>
          <w:rFonts w:hint="eastAsia" w:ascii="宋体" w:hAnsi="宋体" w:eastAsia="宋体" w:cs="Times New Roman"/>
          <w:b w:val="0"/>
          <w:bCs/>
          <w:color w:val="auto"/>
          <w:sz w:val="21"/>
          <w:szCs w:val="21"/>
          <w:highlight w:val="none"/>
        </w:rPr>
        <w:t>应基于配电站房场景构建配电盘布局3D效果模型，对柜内设备告警，提供高亮着色。用户能够自行操作旋转画面，选择所需要的视角，查看站内盘柜。</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3.8.5 </w:t>
      </w:r>
      <w:r>
        <w:rPr>
          <w:rFonts w:hint="eastAsia" w:ascii="宋体" w:hAnsi="宋体" w:eastAsia="宋体" w:cs="Times New Roman"/>
          <w:b w:val="0"/>
          <w:bCs/>
          <w:color w:val="auto"/>
          <w:sz w:val="21"/>
          <w:szCs w:val="21"/>
          <w:highlight w:val="none"/>
        </w:rPr>
        <w:t>应提供全配电室内关键断路器的维护分析，应提供对关键智能断路器的老化分析功能，分析数据应综合评判断路器的运行数据，包括分合次数、跳闸次数、短路分断电流大小、负载率运行时长等数据，根据断路器的运行特性，通过数学模型评估断路器的老化程度，帮助进行预测性维护、实现视情合理运维。</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3.8.6 </w:t>
      </w:r>
      <w:r>
        <w:rPr>
          <w:rFonts w:hint="eastAsia" w:ascii="宋体" w:hAnsi="宋体" w:eastAsia="宋体" w:cs="Times New Roman"/>
          <w:b w:val="0"/>
          <w:bCs/>
          <w:color w:val="auto"/>
          <w:sz w:val="21"/>
          <w:szCs w:val="21"/>
          <w:highlight w:val="none"/>
        </w:rPr>
        <w:t>应提供故障预警功能：系统应能提供预警功能，提前对断路器及系统的隐患进行警示；应提供关键指标参数的运行偏差提示，如开关状态、运行电流、断路器容量、进线回路电压谐波畸变率以及功率因数等。</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3.8.7 </w:t>
      </w:r>
      <w:r>
        <w:rPr>
          <w:rFonts w:hint="eastAsia" w:ascii="宋体" w:hAnsi="宋体" w:eastAsia="宋体" w:cs="Times New Roman"/>
          <w:b w:val="0"/>
          <w:bCs/>
          <w:color w:val="auto"/>
          <w:sz w:val="21"/>
          <w:szCs w:val="21"/>
          <w:highlight w:val="none"/>
        </w:rPr>
        <w:t>低压智能站控终端应能采集变电所其它设备（如环境温度、所有电缆温度、电缆沟水浸、门禁、烟雾传感器、自动灭火装置等）的数据，支持设备采用MODBUS-RTU/MODBUS-TCP通信协议。</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w:t>
      </w:r>
      <w:r>
        <w:rPr>
          <w:rFonts w:hint="eastAsia" w:ascii="宋体" w:hAnsi="宋体" w:eastAsia="宋体" w:cs="Times New Roman"/>
          <w:b w:val="0"/>
          <w:bCs/>
          <w:color w:val="auto"/>
          <w:sz w:val="21"/>
          <w:szCs w:val="21"/>
          <w:highlight w:val="none"/>
          <w:lang w:val="en-US" w:eastAsia="zh-CN"/>
        </w:rPr>
        <w:t xml:space="preserve">3.8.8 </w:t>
      </w:r>
      <w:r>
        <w:rPr>
          <w:rFonts w:hint="eastAsia" w:ascii="宋体" w:hAnsi="宋体" w:eastAsia="宋体" w:cs="Times New Roman"/>
          <w:b w:val="0"/>
          <w:bCs/>
          <w:color w:val="auto"/>
          <w:sz w:val="21"/>
          <w:szCs w:val="21"/>
          <w:highlight w:val="none"/>
        </w:rPr>
        <w:t>应具备数据转发的能力，上层系统可以通过智能管理单元获取南向通讯设备的实时读数，以及智能管理单元给出的关键智能断路器的老化分析数据。</w:t>
      </w:r>
    </w:p>
    <w:p>
      <w:pPr>
        <w:keepNext w:val="0"/>
        <w:keepLines w:val="0"/>
        <w:pageBreakBefore w:val="0"/>
        <w:widowControl w:val="0"/>
        <w:kinsoku/>
        <w:wordWrap/>
        <w:overflowPunct/>
        <w:topLinePunct w:val="0"/>
        <w:autoSpaceDE/>
        <w:autoSpaceDN/>
        <w:bidi w:val="0"/>
        <w:adjustRightInd/>
        <w:snapToGrid/>
        <w:spacing w:line="288" w:lineRule="auto"/>
        <w:ind w:firstLine="643" w:firstLineChars="200"/>
        <w:textAlignment w:val="auto"/>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br w:type="page"/>
      </w:r>
    </w:p>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3.9 密集型母线槽技术要求：</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contextualSpacing/>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3.9.1 额定电流：详见设计图。</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contextualSpacing/>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3.9.2 额定工作电压：380V。</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contextualSpacing/>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3.9.3 额定绝缘电压：660V。</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contextualSpacing/>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3.9.4 额定短时耐受电流Icw：50KA(额定电流1000-1250A)、65KA(额定电流1600-2500A)。</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contextualSpacing/>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★3.9.5 导体材质：母线导体为T2电解铜轧制的高导电率TMY电工硬铜排，铜的纯度必须≥99.95%、导电率≥97.6%，全长镀锡或银。</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contextualSpacing/>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3.9.6 母线系统：中性线与相线材质相同、截面积相等，PE线与相线材质相同、截面积与低压开关柜PE排截面积相同。并且相线、中性线及PE线完全包裹在外壳内。</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contextualSpacing/>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3.9.7 绝缘材料的绝缘等级：B级（130℃），保证在高温场合的长绝缘寿命与可靠性。在高温状态下不会挥发任何有损于生物健康的有害物质。</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contextualSpacing/>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3.9.8 外壳材质：采用铝镁合金，厚度≥3.0mm，外壳环氧树脂喷涂，颜色均匀一致。</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contextualSpacing/>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3.9.9 防护等级：母线槽属全封闭结构，其防护等级可达IP54。</w:t>
      </w:r>
    </w:p>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Times New Roman"/>
          <w:b/>
          <w:color w:val="auto"/>
          <w:sz w:val="32"/>
          <w:szCs w:val="32"/>
          <w:highlight w:val="none"/>
        </w:rPr>
      </w:pPr>
      <w:r>
        <w:rPr>
          <w:rFonts w:hint="eastAsia" w:ascii="宋体" w:hAnsi="宋体" w:eastAsia="宋体" w:cs="宋体"/>
          <w:color w:val="auto"/>
          <w:kern w:val="2"/>
          <w:sz w:val="21"/>
          <w:szCs w:val="21"/>
          <w:highlight w:val="none"/>
          <w:lang w:val="en-US" w:eastAsia="zh-CN" w:bidi="ar-SA"/>
        </w:rPr>
        <w:t>3.9.10 验收时需提供防护等级测试报告、型式试验报告（包含温升、短时耐受电流强度、绝缘电阻等试验数据的完整内容）、铜排纯度检测报告、绝缘材料相关测试报告。</w:t>
      </w:r>
      <w:r>
        <w:rPr>
          <w:rFonts w:hint="eastAsia" w:ascii="宋体" w:hAnsi="宋体" w:eastAsia="宋体" w:cs="Times New Roman"/>
          <w:b/>
          <w:color w:val="auto"/>
          <w:sz w:val="32"/>
          <w:szCs w:val="32"/>
          <w:highlight w:val="none"/>
        </w:rPr>
        <w:br w:type="page"/>
      </w:r>
    </w:p>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3.10 UPS电源柜技术要求：</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eastAsia="zh-CN"/>
        </w:rPr>
      </w:pPr>
      <w:r>
        <w:rPr>
          <w:rFonts w:hint="eastAsia" w:ascii="宋体" w:hAnsi="宋体" w:eastAsia="宋体" w:cs="Times New Roman"/>
          <w:b/>
          <w:bCs w:val="0"/>
          <w:color w:val="auto"/>
          <w:sz w:val="21"/>
          <w:szCs w:val="21"/>
          <w:highlight w:val="none"/>
          <w:lang w:val="en-US" w:eastAsia="zh-CN"/>
        </w:rPr>
        <w:t xml:space="preserve">3.10.1 </w:t>
      </w:r>
      <w:r>
        <w:rPr>
          <w:rFonts w:hint="eastAsia" w:ascii="宋体" w:hAnsi="宋体" w:eastAsia="宋体" w:cs="Times New Roman"/>
          <w:b/>
          <w:bCs w:val="0"/>
          <w:color w:val="auto"/>
          <w:sz w:val="21"/>
          <w:szCs w:val="21"/>
          <w:highlight w:val="none"/>
        </w:rPr>
        <w:t>主要技术要求</w:t>
      </w:r>
      <w:r>
        <w:rPr>
          <w:rFonts w:hint="eastAsia" w:ascii="宋体" w:hAnsi="宋体" w:eastAsia="宋体" w:cs="Times New Roman"/>
          <w:b/>
          <w:bCs w:val="0"/>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bCs w:val="0"/>
          <w:color w:val="auto"/>
          <w:sz w:val="21"/>
          <w:szCs w:val="21"/>
          <w:highlight w:val="none"/>
          <w:lang w:eastAsia="zh-CN"/>
        </w:rPr>
        <w:t>（</w:t>
      </w:r>
      <w:r>
        <w:rPr>
          <w:rFonts w:hint="eastAsia" w:ascii="宋体" w:hAnsi="宋体" w:eastAsia="宋体" w:cs="Times New Roman"/>
          <w:b/>
          <w:bCs w:val="0"/>
          <w:color w:val="auto"/>
          <w:sz w:val="21"/>
          <w:szCs w:val="21"/>
          <w:highlight w:val="none"/>
          <w:lang w:val="en-US" w:eastAsia="zh-CN"/>
        </w:rPr>
        <w:t>1</w:t>
      </w:r>
      <w:r>
        <w:rPr>
          <w:rFonts w:hint="eastAsia" w:ascii="宋体" w:hAnsi="宋体" w:eastAsia="宋体" w:cs="Times New Roman"/>
          <w:b/>
          <w:bCs w:val="0"/>
          <w:color w:val="auto"/>
          <w:sz w:val="21"/>
          <w:szCs w:val="21"/>
          <w:highlight w:val="none"/>
          <w:lang w:eastAsia="zh-CN"/>
        </w:rPr>
        <w:t>）</w:t>
      </w:r>
      <w:r>
        <w:rPr>
          <w:rFonts w:hint="eastAsia" w:ascii="宋体" w:hAnsi="宋体" w:eastAsia="宋体" w:cs="Times New Roman"/>
          <w:b/>
          <w:bCs w:val="0"/>
          <w:color w:val="auto"/>
          <w:sz w:val="21"/>
          <w:szCs w:val="21"/>
          <w:highlight w:val="none"/>
        </w:rPr>
        <w:t>ATS 输入电源：</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1）</w:t>
      </w:r>
      <w:r>
        <w:rPr>
          <w:rFonts w:hint="eastAsia" w:ascii="宋体" w:hAnsi="宋体" w:eastAsia="宋体" w:cs="Times New Roman"/>
          <w:b w:val="0"/>
          <w:bCs/>
          <w:color w:val="auto"/>
          <w:sz w:val="21"/>
          <w:szCs w:val="21"/>
          <w:highlight w:val="none"/>
        </w:rPr>
        <w:t>双路</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2）</w:t>
      </w:r>
      <w:r>
        <w:rPr>
          <w:rFonts w:hint="eastAsia" w:ascii="宋体" w:hAnsi="宋体" w:eastAsia="宋体" w:cs="Times New Roman"/>
          <w:b w:val="0"/>
          <w:bCs/>
          <w:color w:val="auto"/>
          <w:sz w:val="21"/>
          <w:szCs w:val="21"/>
          <w:highlight w:val="none"/>
        </w:rPr>
        <w:t>额定电压：380V±15%</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3）</w:t>
      </w:r>
      <w:r>
        <w:rPr>
          <w:rFonts w:hint="eastAsia" w:ascii="宋体" w:hAnsi="宋体" w:eastAsia="宋体" w:cs="Times New Roman"/>
          <w:b w:val="0"/>
          <w:bCs/>
          <w:color w:val="auto"/>
          <w:sz w:val="21"/>
          <w:szCs w:val="21"/>
          <w:highlight w:val="none"/>
        </w:rPr>
        <w:t>工作频率：50Hz±5%；</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bCs w:val="0"/>
          <w:color w:val="auto"/>
          <w:sz w:val="21"/>
          <w:szCs w:val="21"/>
          <w:highlight w:val="none"/>
          <w:lang w:eastAsia="zh-CN"/>
        </w:rPr>
        <w:t>（</w:t>
      </w:r>
      <w:r>
        <w:rPr>
          <w:rFonts w:hint="eastAsia" w:ascii="宋体" w:hAnsi="宋体" w:eastAsia="宋体" w:cs="Times New Roman"/>
          <w:b/>
          <w:bCs w:val="0"/>
          <w:color w:val="auto"/>
          <w:sz w:val="21"/>
          <w:szCs w:val="21"/>
          <w:highlight w:val="none"/>
          <w:lang w:val="en-US" w:eastAsia="zh-CN"/>
        </w:rPr>
        <w:t>2</w:t>
      </w:r>
      <w:r>
        <w:rPr>
          <w:rFonts w:hint="eastAsia" w:ascii="宋体" w:hAnsi="宋体" w:eastAsia="宋体" w:cs="Times New Roman"/>
          <w:b/>
          <w:bCs w:val="0"/>
          <w:color w:val="auto"/>
          <w:sz w:val="21"/>
          <w:szCs w:val="21"/>
          <w:highlight w:val="none"/>
          <w:lang w:eastAsia="zh-CN"/>
        </w:rPr>
        <w:t>）</w:t>
      </w:r>
      <w:r>
        <w:rPr>
          <w:rFonts w:hint="eastAsia" w:ascii="宋体" w:hAnsi="宋体" w:eastAsia="宋体" w:cs="Times New Roman"/>
          <w:b/>
          <w:bCs w:val="0"/>
          <w:color w:val="auto"/>
          <w:sz w:val="21"/>
          <w:szCs w:val="21"/>
          <w:highlight w:val="none"/>
        </w:rPr>
        <w:t>机架式UPS装置：</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1）</w:t>
      </w:r>
      <w:r>
        <w:rPr>
          <w:rFonts w:hint="eastAsia" w:ascii="宋体" w:hAnsi="宋体" w:eastAsia="宋体" w:cs="Times New Roman"/>
          <w:b w:val="0"/>
          <w:bCs/>
          <w:color w:val="auto"/>
          <w:sz w:val="21"/>
          <w:szCs w:val="21"/>
          <w:highlight w:val="none"/>
        </w:rPr>
        <w:t>工作方式：在线式</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2）</w:t>
      </w:r>
      <w:r>
        <w:rPr>
          <w:rFonts w:hint="eastAsia" w:ascii="宋体" w:hAnsi="宋体" w:eastAsia="宋体" w:cs="Times New Roman"/>
          <w:b w:val="0"/>
          <w:bCs/>
          <w:color w:val="auto"/>
          <w:sz w:val="21"/>
          <w:szCs w:val="21"/>
          <w:highlight w:val="none"/>
        </w:rPr>
        <w:t>输入电压：220V±20％</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3）</w:t>
      </w:r>
      <w:r>
        <w:rPr>
          <w:rFonts w:hint="eastAsia" w:ascii="宋体" w:hAnsi="宋体" w:eastAsia="宋体" w:cs="Times New Roman"/>
          <w:b w:val="0"/>
          <w:bCs/>
          <w:color w:val="auto"/>
          <w:sz w:val="21"/>
          <w:szCs w:val="21"/>
          <w:highlight w:val="none"/>
        </w:rPr>
        <w:t>输入频率</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50±2.5Hz</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4）</w:t>
      </w:r>
      <w:r>
        <w:rPr>
          <w:rFonts w:hint="eastAsia" w:ascii="宋体" w:hAnsi="宋体" w:eastAsia="宋体" w:cs="Times New Roman"/>
          <w:b w:val="0"/>
          <w:bCs/>
          <w:color w:val="auto"/>
          <w:sz w:val="21"/>
          <w:szCs w:val="21"/>
          <w:highlight w:val="none"/>
        </w:rPr>
        <w:t>额定容量</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6KVA</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5）</w:t>
      </w:r>
      <w:r>
        <w:rPr>
          <w:rFonts w:hint="eastAsia" w:ascii="宋体" w:hAnsi="宋体" w:eastAsia="宋体" w:cs="Times New Roman"/>
          <w:b w:val="0"/>
          <w:bCs/>
          <w:color w:val="auto"/>
          <w:sz w:val="21"/>
          <w:szCs w:val="21"/>
          <w:highlight w:val="none"/>
        </w:rPr>
        <w:t>负载功率因数</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cosφ ≥0.93</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6）</w:t>
      </w:r>
      <w:r>
        <w:rPr>
          <w:rFonts w:hint="eastAsia" w:ascii="宋体" w:hAnsi="宋体" w:eastAsia="宋体" w:cs="Times New Roman"/>
          <w:b w:val="0"/>
          <w:bCs/>
          <w:color w:val="auto"/>
          <w:sz w:val="21"/>
          <w:szCs w:val="21"/>
          <w:highlight w:val="none"/>
        </w:rPr>
        <w:t>逆变器直流电压</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220VDC±20％</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7）</w:t>
      </w:r>
      <w:r>
        <w:rPr>
          <w:rFonts w:hint="eastAsia" w:ascii="宋体" w:hAnsi="宋体" w:eastAsia="宋体" w:cs="Times New Roman"/>
          <w:b w:val="0"/>
          <w:bCs/>
          <w:color w:val="auto"/>
          <w:sz w:val="21"/>
          <w:szCs w:val="21"/>
          <w:highlight w:val="none"/>
        </w:rPr>
        <w:t>输出电压</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220VAC±1％</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8）</w:t>
      </w:r>
      <w:r>
        <w:rPr>
          <w:rFonts w:hint="eastAsia" w:ascii="宋体" w:hAnsi="宋体" w:eastAsia="宋体" w:cs="Times New Roman"/>
          <w:b w:val="0"/>
          <w:bCs/>
          <w:color w:val="auto"/>
          <w:sz w:val="21"/>
          <w:szCs w:val="21"/>
          <w:highlight w:val="none"/>
        </w:rPr>
        <w:t>输出频率</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50±0.5Hz</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9）</w:t>
      </w:r>
      <w:r>
        <w:rPr>
          <w:rFonts w:hint="eastAsia" w:ascii="宋体" w:hAnsi="宋体" w:eastAsia="宋体" w:cs="Times New Roman"/>
          <w:b w:val="0"/>
          <w:bCs/>
          <w:color w:val="auto"/>
          <w:sz w:val="21"/>
          <w:szCs w:val="21"/>
          <w:highlight w:val="none"/>
        </w:rPr>
        <w:t>输出波形</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正弦波</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10）</w:t>
      </w:r>
      <w:r>
        <w:rPr>
          <w:rFonts w:hint="eastAsia" w:ascii="宋体" w:hAnsi="宋体" w:eastAsia="宋体" w:cs="Times New Roman"/>
          <w:b w:val="0"/>
          <w:bCs/>
          <w:color w:val="auto"/>
          <w:sz w:val="21"/>
          <w:szCs w:val="21"/>
          <w:highlight w:val="none"/>
        </w:rPr>
        <w:t>波形失真(%)</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w:t>
      </w:r>
      <w:r>
        <w:rPr>
          <w:rFonts w:hint="eastAsia" w:ascii="宋体" w:hAnsi="宋体" w:eastAsia="宋体" w:cs="Times New Roman"/>
          <w:b w:val="0"/>
          <w:bCs/>
          <w:color w:val="auto"/>
          <w:sz w:val="21"/>
          <w:szCs w:val="21"/>
          <w:highlight w:val="none"/>
        </w:rPr>
        <w:t>1%(线性负载)</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＜3%(非线性负载)</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cs="Times New Roman" w:eastAsiaTheme="minorEastAsia"/>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11）</w:t>
      </w:r>
      <w:r>
        <w:rPr>
          <w:rFonts w:hint="eastAsia" w:ascii="宋体" w:hAnsi="宋体" w:eastAsia="宋体" w:cs="Times New Roman"/>
          <w:b w:val="0"/>
          <w:bCs/>
          <w:color w:val="auto"/>
          <w:sz w:val="21"/>
          <w:szCs w:val="21"/>
          <w:highlight w:val="none"/>
        </w:rPr>
        <w:t>动态电压瞬变范围</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±5%</w:t>
      </w:r>
      <w:r>
        <w:rPr>
          <w:rFonts w:hint="eastAsia" w:ascii="宋体" w:hAnsi="宋体" w:eastAsia="宋体" w:cs="宋体"/>
          <w:color w:val="auto"/>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12）</w:t>
      </w:r>
      <w:r>
        <w:rPr>
          <w:rFonts w:hint="eastAsia" w:ascii="宋体" w:hAnsi="宋体" w:eastAsia="宋体" w:cs="Times New Roman"/>
          <w:b w:val="0"/>
          <w:bCs/>
          <w:color w:val="auto"/>
          <w:sz w:val="21"/>
          <w:szCs w:val="21"/>
          <w:highlight w:val="none"/>
        </w:rPr>
        <w:t>瞬变响应恢复时间</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≤10ms</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13）</w:t>
      </w:r>
      <w:r>
        <w:rPr>
          <w:rFonts w:hint="eastAsia" w:ascii="宋体" w:hAnsi="宋体" w:eastAsia="宋体" w:cs="Times New Roman"/>
          <w:b w:val="0"/>
          <w:bCs/>
          <w:color w:val="auto"/>
          <w:sz w:val="21"/>
          <w:szCs w:val="21"/>
          <w:highlight w:val="none"/>
        </w:rPr>
        <w:t>100%额定负载下电源效率</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w:t>
      </w:r>
      <w:r>
        <w:rPr>
          <w:rFonts w:hint="eastAsia" w:ascii="宋体" w:hAnsi="宋体" w:eastAsia="宋体" w:cs="Times New Roman"/>
          <w:b w:val="0"/>
          <w:bCs/>
          <w:color w:val="auto"/>
          <w:sz w:val="21"/>
          <w:szCs w:val="21"/>
          <w:highlight w:val="none"/>
        </w:rPr>
        <w:t>90%</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14）</w:t>
      </w:r>
      <w:r>
        <w:rPr>
          <w:rFonts w:hint="eastAsia" w:ascii="宋体" w:hAnsi="宋体" w:eastAsia="宋体" w:cs="Times New Roman"/>
          <w:b w:val="0"/>
          <w:bCs/>
          <w:color w:val="auto"/>
          <w:sz w:val="21"/>
          <w:szCs w:val="21"/>
          <w:highlight w:val="none"/>
        </w:rPr>
        <w:t>120%过载能力</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10min</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15）</w:t>
      </w:r>
      <w:r>
        <w:rPr>
          <w:rFonts w:hint="eastAsia" w:ascii="宋体" w:hAnsi="宋体" w:eastAsia="宋体" w:cs="Times New Roman"/>
          <w:b w:val="0"/>
          <w:bCs/>
          <w:color w:val="auto"/>
          <w:sz w:val="21"/>
          <w:szCs w:val="21"/>
          <w:highlight w:val="none"/>
        </w:rPr>
        <w:t>150%过载能力</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1min</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16）</w:t>
      </w:r>
      <w:r>
        <w:rPr>
          <w:rFonts w:hint="eastAsia" w:ascii="宋体" w:hAnsi="宋体" w:eastAsia="宋体" w:cs="Times New Roman"/>
          <w:b w:val="0"/>
          <w:bCs/>
          <w:color w:val="auto"/>
          <w:sz w:val="21"/>
          <w:szCs w:val="21"/>
          <w:highlight w:val="none"/>
        </w:rPr>
        <w:t>＞150%过载能力</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200ms</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17）</w:t>
      </w:r>
      <w:r>
        <w:rPr>
          <w:rFonts w:hint="eastAsia" w:ascii="宋体" w:hAnsi="宋体" w:eastAsia="宋体" w:cs="Times New Roman"/>
          <w:b w:val="0"/>
          <w:bCs/>
          <w:color w:val="auto"/>
          <w:sz w:val="21"/>
          <w:szCs w:val="21"/>
          <w:highlight w:val="none"/>
        </w:rPr>
        <w:t>无故障时间</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大于25万小时</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18）</w:t>
      </w:r>
      <w:r>
        <w:rPr>
          <w:rFonts w:hint="eastAsia" w:ascii="宋体" w:hAnsi="宋体" w:eastAsia="宋体" w:cs="Times New Roman"/>
          <w:b w:val="0"/>
          <w:bCs/>
          <w:color w:val="auto"/>
          <w:sz w:val="21"/>
          <w:szCs w:val="21"/>
          <w:highlight w:val="none"/>
        </w:rPr>
        <w:t>外壳防护等级</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不低于IP31</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val="en-US" w:eastAsia="zh-CN"/>
        </w:rPr>
        <w:t>19）</w:t>
      </w:r>
      <w:r>
        <w:rPr>
          <w:rFonts w:hint="eastAsia" w:ascii="宋体" w:hAnsi="宋体" w:eastAsia="宋体" w:cs="Times New Roman"/>
          <w:b w:val="0"/>
          <w:bCs/>
          <w:color w:val="auto"/>
          <w:sz w:val="21"/>
          <w:szCs w:val="21"/>
          <w:highlight w:val="none"/>
        </w:rPr>
        <w:t>连续运行环境温度</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rPr>
        <w:t>-5℃</w:t>
      </w:r>
      <w:r>
        <w:rPr>
          <w:rFonts w:hint="eastAsia" w:ascii="宋体" w:hAnsi="宋体" w:eastAsia="宋体" w:cs="Times New Roman"/>
          <w:b w:val="0"/>
          <w:bCs/>
          <w:color w:val="auto"/>
          <w:sz w:val="21"/>
          <w:szCs w:val="21"/>
          <w:highlight w:val="none"/>
          <w:lang w:val="en-US" w:eastAsia="zh-CN"/>
        </w:rPr>
        <w:t>~</w:t>
      </w:r>
      <w:r>
        <w:rPr>
          <w:rFonts w:hint="eastAsia" w:ascii="宋体" w:hAnsi="宋体" w:eastAsia="宋体" w:cs="Times New Roman"/>
          <w:b w:val="0"/>
          <w:bCs/>
          <w:color w:val="auto"/>
          <w:sz w:val="21"/>
          <w:szCs w:val="21"/>
          <w:highlight w:val="none"/>
        </w:rPr>
        <w:t>+40℃</w:t>
      </w:r>
      <w:r>
        <w:rPr>
          <w:rFonts w:hint="eastAsia" w:ascii="宋体" w:hAnsi="宋体" w:eastAsia="宋体" w:cs="Times New Roman"/>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3.10.2 系统结构及功能要求：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采用柜式结构，柜体外壳应有足够的刚度和强度，外壳采用冷轧钢板，厚度≥2.0mm。柜前、后开门，根据实际安装位置，确定开门方向，确保维护人员进出畅通，柜的底部有可封闭的电缆孔。柜体的设计应充分考虑自然散热与强制通风散热以及强制散热的自动与手动控制，柜体颜色与低压开关柜相同（校区12#变电所的UPS柜、通信机柜按壁挂的形式设计，同时柜底另做框架安装于地面上以安装稳固可靠）。</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（2）交流双路输入电源采用低压断路器过流、过载与短路保护。</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（3）交流双路输入电源：采用一体化双路电源转换装置（ATS），PC级、4极，具有互为备用、自投不自复两种转换模式；ATS额定电流≥63A。</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（4）采用机架式UPS。</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（5）输出开关馈线：</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1）UPS电源馈出回路：8路10A的UPS电源输出，输出断路器采用C10A/2P低压断路器；</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2）交流电源输出回路：5路10A的单相交流AC220V电源；输出断路器采用C6A/2P低压断路器，交流电源引自双路电源转换装置（ATS）输出端；</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3）三相电源输出；2路10A三相电源输出回路，输出断路器采用C10A/3P低压断路器，交流电源引自双路电源转换装置（ATS）输出端；</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UPS电源柜两路输入电源异常、输出回路断路器故障脱扣动作信号须接入开关量采集装置以通信方式上传给远程监控后台。UPS电源输出回路开关与非UPS电源输出回路开关按上下两排分布设计。输出接线排也应分开独立。</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（6）蓄电池型式：蓄电池应采用 12V 阀控式密封免维护型铅酸蓄电池。蓄电池容量：详见设计图 ，其性能指标不低于《固定型阀控密封式铅酸蓄电池》GB/T19638. 2的要求。蓄电池在充电过程中遇有明火，内部应不引燃、不引爆；蓄电池在正常浮充工作过程中应无酸雾逸出。蓄电池使用寿命大于 8 年。</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（7）机柜内门至少有（但不限于）：输入电源指示灯、每个输出电源回路指示灯、声光报警器，消声按钮。</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（8）报警功能：交流输入电源断电、UPS输出过电压、欠电压、过电流报警，报警信息不仅应显示于触摸屏，同时作用于声光报警器。</w:t>
      </w:r>
    </w:p>
    <w:p>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firstLineChars="200"/>
        <w:rPr>
          <w:rFonts w:hint="eastAsia" w:ascii="宋体" w:hAnsi="宋体" w:eastAsia="宋体" w:cs="Times New Roman"/>
          <w:b w:val="0"/>
          <w:bCs/>
          <w:color w:val="auto"/>
          <w:kern w:val="2"/>
          <w:sz w:val="21"/>
          <w:szCs w:val="21"/>
          <w:highlight w:val="none"/>
          <w:lang w:val="en-US" w:eastAsia="zh-CN" w:bidi="ar-SA"/>
        </w:rPr>
      </w:pPr>
      <w:r>
        <w:rPr>
          <w:rFonts w:hint="eastAsia" w:ascii="宋体" w:hAnsi="宋体" w:eastAsia="宋体" w:cs="Times New Roman"/>
          <w:b w:val="0"/>
          <w:bCs/>
          <w:color w:val="auto"/>
          <w:sz w:val="21"/>
          <w:szCs w:val="21"/>
          <w:highlight w:val="none"/>
          <w:lang w:val="en-US" w:eastAsia="zh-CN"/>
        </w:rPr>
        <w:t>（9）通信功能：采用RS485/RJ45接口，Modbus-RTU/Modbus-TCP协议，需要与电力智能监控系统通信数据：实现遥控、遥测、遥信、遥调“四遥”功能。</w:t>
      </w:r>
    </w:p>
    <w:p>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88" w:lineRule="auto"/>
        <w:ind w:left="0" w:right="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遥测功能：产品中的监控装置应能釆集并通过通信接口向远方发送充电装置输岀电压和电流、蓄电池组的电压和电流;交流输入电源电压;交流不间断电源和逆变电源装置输出电压、电流、频 率;</w:t>
      </w:r>
    </w:p>
    <w:p>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88" w:lineRule="auto"/>
        <w:ind w:left="0" w:right="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（10）</w:t>
      </w:r>
      <w:r>
        <w:rPr>
          <w:rFonts w:hint="eastAsia" w:ascii="宋体" w:hAnsi="宋体" w:eastAsia="宋体" w:cs="Times New Roman"/>
          <w:b w:val="0"/>
          <w:bCs/>
          <w:color w:val="auto"/>
          <w:sz w:val="21"/>
          <w:szCs w:val="21"/>
          <w:highlight w:val="none"/>
          <w:lang w:val="en-US" w:eastAsia="zh-CN"/>
        </w:rPr>
        <w:t>遥信功能：产品中的监控装置应能釆集并通过通信接口向远方发送充电装置运行状态及故障、交流电源故障、蓄电池熔丝熔断或断路器脱扣、蓄电池放电欠压等信号，交流不间断电源和逆变电源装置工作运行状态、交流不间断电源及逆变电源装置异常、交流输入断路器脱扣，输出馈线断路器脱扣，监控装置故障、监控通信异常。</w:t>
      </w:r>
    </w:p>
    <w:p>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88" w:lineRule="auto"/>
        <w:ind w:left="0" w:right="0"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（11）</w:t>
      </w:r>
      <w:r>
        <w:rPr>
          <w:rFonts w:hint="eastAsia" w:ascii="宋体" w:hAnsi="宋体" w:eastAsia="宋体" w:cs="Times New Roman"/>
          <w:b w:val="0"/>
          <w:bCs/>
          <w:color w:val="auto"/>
          <w:sz w:val="21"/>
          <w:szCs w:val="21"/>
          <w:highlight w:val="none"/>
          <w:lang w:val="en-US" w:eastAsia="zh-CN"/>
        </w:rPr>
        <w:t>遥控功能：产品中的监控装置应能通过通信接口接收并执行远方的控制信号，控制充电装置的均充和浮充运行方式的转换。</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3.10.3 UPS装置主要性能要求：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UPS装置为全数字化控制带旁路单机运行系统，并设置交流静态开关切换旁路电源。无间断转换的“静态开关”在逆变器过载或停机的情况下自动地将负载切换到旁路后备电源，并在正常运行状态恢复后自动将负载切换到逆变器，维修旁路可将逆变器和静态开关完全隔离，使负载不断电的情况下对UPS进行维修。</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（1）UPS系统的主要功能要求：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1）能适应较宽的输入电压和频率；</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2）输入与输出有安全隔离；</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★3）冷启动功能保证设备在任何情况下可以启动；</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4）具有防雷击和浪涌保护功能；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5）具有适当的电源保护,以减少输入谐波电流,电网污染的影响；</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6）调试、维护、保养方便,有液晶显示屏，显示运行工况和参数；</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7）可实现当地监控,在线自诊断,故障报警；</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8）应具有软启动功能；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9）应具有遥信、遥测和遥控功能，提供RS-485通讯接口（或网卡）MODBUS-RTU/MODBUS TCP协议可与计算机和后台监控系统通讯；</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10）能对蓄电池组进行整组监控，设置电压限值报警， 并能按实际负载量实时显示电池后备时间。</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（2）UPS 设备功能单元组成：</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1）输入侧开关、输出侧开关；</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2）整流器；</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3）逆变器；</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4）UPS紧急关机；</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5）静态旁路开关；</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6）蓄电池组输入开关（直流回路专用低压断路器）；</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7）整流充电器、逆变器、静态旁路的微处理控制检测单元；</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8）报警、通讯单元；</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9）操作及显示单元；</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10）N+1冗余散热风扇；</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11）其他元器件。</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（3）主要元器件的技术要求：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1）整流器（包括及滤波电路）：整流器由输入隔离变压器、滤波装置、整流器和整流器的微处理控制单元组成；带过电流、过电压、超温保护功能。整流器由独立的微处理器控制；</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逆变器（包括输出隔离变压器及滤波电路）：逆变器输出电压AC220V，逆变器能在额定负载下可靠起动。UPS装置逆变器输出对旁路输入进行连续跟踪，以便在UPS输入电源消失或整流器故障时，将负荷无扰动地由逆变器切换至旁路电源；</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3）静态旁路开关：静态旁路开关具有自动、手动两种工作方式，实现无间断切换。当逆变器故障或失压时，通过静态切换开关切向旁路系统供电，切换时间不超过2ms；</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4）UPS蓄电池管理单元：具有电池组定期自动进行放电测试，电池组电压实时监测，电池组过放电报警，UPS蓄电池容量、后备放电时间、连接状态实时监测显示等功能；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5）控制、信号及报警：UPS应装有所需的控制、测量和指示，监控系统具有操作、控制、监视及自诊断分析系统，使操作人员能检测系统状态和运行，以完成适当的操作；</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6）UPS提供7寸以上的液晶显示屏，用以显示UPS的运行状态、显示运行参数、显示UPS报警信息、设置UPS的运行参数。当出现一个报警时，UPS就会出现音响报警，而且显示出明确的报警内容，音响报警可按相应的按钮取消。主要具有以下功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①状态显示：主机供电运行、蓄电池供电运行、旁路运行、主机输入侧开关合位、整流器启动、电池浮充电、电池充电、电池电压正常、逆变器启动、逆变器与市电同步、逆变器带负载；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②参数显示：UPS输出电压、整流器输入电压、市电输入电压、UPS 输出电流、整流器输入电流、UPS输出视在功率、有功功率和功率因数、UPS输出频率、市电电源频率、电池电压、剩余后备时间、电池温度和电流；</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③报警功能：主机综合故障、蓄电池输入故障、整流器关机、整流器闭锁（禁止整流器运行）、电池放电预报警（放电终止预报警）、电池故障、逆变器过载、过流故障、逆变器频率超限、逆变器过温、逆变器输出过压、静态开关禁止开通、静态开关故障、市电不正常（市电电压超限）、UPS关机（紧急电源关断）。</w:t>
      </w:r>
    </w:p>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br w:type="page"/>
      </w:r>
    </w:p>
    <w:p>
      <w:pPr>
        <w:keepNext w:val="0"/>
        <w:keepLines w:val="0"/>
        <w:pageBreakBefore w:val="0"/>
        <w:widowControl w:val="0"/>
        <w:kinsoku/>
        <w:wordWrap/>
        <w:overflowPunct/>
        <w:topLinePunct w:val="0"/>
        <w:autoSpaceDE/>
        <w:autoSpaceDN/>
        <w:bidi w:val="0"/>
        <w:adjustRightInd/>
        <w:snapToGrid/>
        <w:spacing w:line="288" w:lineRule="auto"/>
        <w:ind w:firstLine="0" w:firstLineChars="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3.11 温度检测装置与自动灭火装置技术要求：</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3.11.1 开关柜内电缆温度检测装置配置要求：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（1）开关柜应配备电缆温度在线监测装置，须满足-10℃~150℃（130℃长期可靠运行）的测温范围。</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（2）测温方案的实现不应改变开关柜的电气绝缘强度，不应影响开关柜的正常使用，不产生设备运行隐患。</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（3）温度监测模块不能采用电池供电。应具备长寿命，免维护特征，确保安全、稳定地长期工作。</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★（4）温度监测模块直接测量电缆始端的温度，通过无线传输方式将温度值传递至接收模块。</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变电所配置电缆温度信号采集显示装置，可显示本区域全部温度测量点的实时温度，温度测量点的名称可修改，当实测温度超过上下限阈值时，达到设定的延时时间后，发出发出预警信息。电缆温度信号采集显示装置具有通信功能，将电缆温度信号及告警信息等数据上传到远方监控后台，通信支持RS485 MODBUS RTU协议和MODBUS-TCP协议。</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（6）温度传感器与信号采集器的选型与配置，应充分考虑现场实际环境，确保温度数据传输的正确性与实时性。</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（7）温度测量点位：</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1）环网柜进线电缆、出线电缆、变压器高压侧电缆的连接部位（3点）测温；</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2）变电所低压开关柜出线电缆始端（4点：相线 N线）测温。</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（8）信号采集器至少具有RS485接口/RJ45接口，支持MODBUS RTU/MODBUS TCP协议，温度信号经信号采集器采集后集中通过Modbus RTU通讯协议上传至后台监控系统。</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（9）温度监测模块主要技术参数要求：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1）采用无线传感测温技术；</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2）测温传感器精度：±1℃；</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3）测温传感器测量范围：-20～+150℃；</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4）无线传输距离：≥150米。</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3.11.2 开关柜自动灭火装置要求：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★（1）采用全氟己酮灭火药剂的灭火器，具备洁净、安全，对人体、环境、设备均无害；对电子元件、电器设备无腐蚀、无残留、且有良好的电气绝缘特性。</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（2）灭火药剂贮存采用无储压设计，安全性高。</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（3）选用专门用于精密仪器柜、通信机柜、配电柜的灭火器，灭火器的外形、功能、安装固定方式的设计均为其特殊的使用环境所考虑。</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4）具有多种灭火启动方式，既可以自身配置的现场传感器，检测保护区域的相关物理参数，经判断为火灾环境时自动启动灭火装置，也可以在管理平台远程启动灭火装置灭火。即支持热启动与平台远程管理启动双启动方式</w:t>
      </w:r>
      <w:r>
        <w:rPr>
          <w:rFonts w:hint="eastAsia" w:ascii="宋体" w:hAnsi="宋体" w:eastAsia="宋体" w:cs="Times New Roman"/>
          <w:b/>
          <w:bCs w:val="0"/>
          <w:color w:val="auto"/>
          <w:sz w:val="21"/>
          <w:szCs w:val="21"/>
          <w:highlight w:val="none"/>
          <w:lang w:val="en-US" w:eastAsia="zh-CN"/>
        </w:rPr>
        <w:t>（提供第三方证明材料）</w:t>
      </w:r>
      <w:r>
        <w:rPr>
          <w:rFonts w:hint="eastAsia" w:ascii="宋体" w:hAnsi="宋体" w:eastAsia="宋体" w:cs="Times New Roman"/>
          <w:b w:val="0"/>
          <w:bCs/>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（5）要具有免维护、有效期长的特性，至少有6年以上的有效期。</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（6）灭火器的安装应有专业人员设计，确保安装牢固，灭火性能良好，不得降低开关柜的安全性能、使用性能，更不得影响与国家、行业标准规范的符合性。</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（7）具有通信功能，采用RS485接口，Modbus-RTU通信协议，连接至电力数字化平台，能够查看灭火装置安装位置环境温湿度信息、连接状态等信息</w:t>
      </w:r>
      <w:r>
        <w:rPr>
          <w:rFonts w:hint="eastAsia" w:ascii="宋体" w:hAnsi="宋体" w:eastAsia="宋体" w:cs="Times New Roman"/>
          <w:b/>
          <w:bCs w:val="0"/>
          <w:color w:val="auto"/>
          <w:sz w:val="21"/>
          <w:szCs w:val="21"/>
          <w:highlight w:val="none"/>
          <w:lang w:val="en-US" w:eastAsia="zh-CN"/>
        </w:rPr>
        <w:t>（提供第三方证明材料）</w:t>
      </w:r>
      <w:r>
        <w:rPr>
          <w:rFonts w:hint="eastAsia" w:ascii="宋体" w:hAnsi="宋体" w:eastAsia="宋体" w:cs="Times New Roman"/>
          <w:b w:val="0"/>
          <w:bCs/>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（8）布置点位：低压无功补偿配电柜、变压器防护外壳内。变压器所配置的灭火器数量应根据灭火器的性能及变压器防护外壳容积确定，确保能有效灭火。</w:t>
      </w:r>
    </w:p>
    <w:p>
      <w:pPr>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br w:type="page"/>
      </w:r>
    </w:p>
    <w:p>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杭州电子科技大学下沙校区、生活区、G区研究生公寓水电基础设施改造项目第二批设备采购</w:t>
            </w:r>
            <w:r>
              <w:rPr>
                <w:rFonts w:hint="eastAsia" w:ascii="宋体" w:hAnsi="宋体" w:eastAsia="宋体"/>
                <w:color w:val="auto"/>
                <w:szCs w:val="21"/>
                <w:highlight w:val="none"/>
              </w:rPr>
              <w:t>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w:t>
            </w:r>
            <w:r>
              <w:rPr>
                <w:rFonts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ascii="宋体" w:hAnsi="宋体" w:eastAsia="宋体"/>
                <w:color w:val="auto"/>
                <w:szCs w:val="21"/>
                <w:highlight w:val="none"/>
              </w:rPr>
              <w:t>，须提供</w:t>
            </w:r>
            <w:r>
              <w:rPr>
                <w:rFonts w:ascii="宋体" w:hAnsi="宋体" w:eastAsia="宋体"/>
                <w:bCs/>
                <w:color w:val="auto"/>
                <w:szCs w:val="21"/>
                <w:highlight w:val="none"/>
              </w:rPr>
              <w:t>授权</w:t>
            </w:r>
            <w:r>
              <w:rPr>
                <w:rFonts w:hint="eastAsia" w:ascii="宋体" w:hAnsi="宋体" w:eastAsia="宋体"/>
                <w:bCs/>
                <w:color w:val="auto"/>
                <w:szCs w:val="21"/>
                <w:highlight w:val="none"/>
              </w:rPr>
              <w:t>委托</w:t>
            </w:r>
            <w:r>
              <w:rPr>
                <w:rFonts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2023年7月（含）</w:t>
            </w:r>
            <w:r>
              <w:rPr>
                <w:rFonts w:ascii="宋体" w:hAnsi="宋体" w:eastAsia="宋体"/>
                <w:color w:val="auto"/>
                <w:szCs w:val="21"/>
                <w:highlight w:val="none"/>
              </w:rPr>
              <w:t>以后任意一月）</w:t>
            </w:r>
            <w:r>
              <w:rPr>
                <w:rFonts w:hint="eastAsia" w:ascii="宋体" w:hAnsi="宋体" w:eastAsia="宋体"/>
                <w:color w:val="auto"/>
                <w:szCs w:val="21"/>
                <w:highlight w:val="none"/>
              </w:rPr>
              <w:t>；</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w:t>
            </w:r>
            <w:r>
              <w:rPr>
                <w:rFonts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500-1000</w:t>
                  </w:r>
                </w:p>
              </w:tc>
              <w:tc>
                <w:tcPr>
                  <w:tcW w:w="3070" w:type="dxa"/>
                  <w:tcMar>
                    <w:top w:w="0" w:type="dxa"/>
                    <w:left w:w="108" w:type="dxa"/>
                    <w:bottom w:w="0" w:type="dxa"/>
                    <w:right w:w="108" w:type="dxa"/>
                  </w:tcMar>
                  <w:vAlign w:val="center"/>
                </w:tcPr>
                <w:p>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0.56</w:t>
                  </w:r>
                </w:p>
              </w:tc>
            </w:tr>
          </w:tbl>
          <w:p>
            <w:pPr>
              <w:adjustRightInd w:val="0"/>
              <w:snapToGrid w:val="0"/>
              <w:spacing w:line="288" w:lineRule="auto"/>
              <w:rPr>
                <w:rFonts w:ascii="宋体" w:hAnsi="宋体"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pPr>
              <w:adjustRightInd w:val="0"/>
              <w:snapToGrid w:val="0"/>
              <w:spacing w:line="288" w:lineRule="auto"/>
              <w:ind w:right="-105" w:rightChars="-50"/>
              <w:jc w:val="center"/>
              <w:rPr>
                <w:rFonts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w:t>
            </w:r>
            <w:r>
              <w:rPr>
                <w:rFonts w:ascii="宋体" w:hAnsi="宋体" w:eastAsia="宋体"/>
                <w:bCs/>
                <w:color w:val="auto"/>
                <w:szCs w:val="21"/>
                <w:highlight w:val="none"/>
              </w:rPr>
              <w:t>3</w:t>
            </w:r>
            <w:r>
              <w:rPr>
                <w:rFonts w:hint="eastAsia" w:ascii="宋体" w:hAnsi="宋体" w:eastAsia="宋体"/>
                <w:bCs/>
                <w:color w:val="auto"/>
                <w:szCs w:val="21"/>
                <w:highlight w:val="none"/>
              </w:rPr>
              <w:t>）</w:t>
            </w:r>
            <w:r>
              <w:rPr>
                <w:rFonts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ascii="宋体" w:hAnsi="宋体" w:eastAsia="宋体"/>
                <w:color w:val="auto"/>
                <w:szCs w:val="21"/>
                <w:highlight w:val="none"/>
              </w:rPr>
              <w:t>证明材料</w:t>
            </w:r>
            <w:r>
              <w:rPr>
                <w:rFonts w:ascii="宋体" w:hAnsi="宋体" w:eastAsia="宋体"/>
                <w:bCs/>
                <w:color w:val="auto"/>
                <w:szCs w:val="21"/>
                <w:highlight w:val="none"/>
              </w:rPr>
              <w:t>：</w:t>
            </w:r>
            <w:r>
              <w:rPr>
                <w:rFonts w:hint="eastAsia" w:ascii="宋体" w:hAnsi="宋体" w:eastAsia="宋体"/>
                <w:bCs/>
                <w:color w:val="auto"/>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pPr>
              <w:adjustRightInd w:val="0"/>
              <w:snapToGrid w:val="0"/>
              <w:spacing w:line="288" w:lineRule="auto"/>
              <w:jc w:val="left"/>
              <w:rPr>
                <w:rFonts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pPr>
              <w:adjustRightInd w:val="0"/>
              <w:snapToGrid w:val="0"/>
              <w:spacing w:line="288" w:lineRule="auto"/>
              <w:jc w:val="left"/>
              <w:rPr>
                <w:rFonts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pPr>
              <w:adjustRightInd w:val="0"/>
              <w:snapToGrid w:val="0"/>
              <w:spacing w:line="288" w:lineRule="auto"/>
              <w:jc w:val="left"/>
              <w:rPr>
                <w:rFonts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2.以人民币报价；</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3.投标报价是履行合同的最终价格，有关本项目实施所涉及的一切费用均计入报价；</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pPr>
              <w:pStyle w:val="13"/>
              <w:adjustRightInd w:val="0"/>
              <w:snapToGrid w:val="0"/>
              <w:spacing w:before="0" w:beforeLines="0" w:after="0" w:afterLines="0" w:line="288" w:lineRule="auto"/>
              <w:jc w:val="left"/>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ascii="宋体" w:hAnsi="宋体" w:eastAsia="宋体"/>
                <w:color w:val="auto"/>
                <w:szCs w:val="21"/>
                <w:highlight w:val="none"/>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ascii="宋体" w:hAnsi="宋体" w:eastAsia="宋体"/>
                <w:color w:val="auto"/>
                <w:szCs w:val="21"/>
                <w:highlight w:val="none"/>
              </w:rPr>
              <w:t>”</w:t>
            </w:r>
            <w:r>
              <w:rPr>
                <w:rFonts w:hint="eastAsia" w:ascii="宋体" w:hAnsi="宋体" w:eastAsia="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ascii="宋体" w:hAnsi="宋体" w:eastAsia="宋体"/>
                <w:color w:val="auto"/>
                <w:szCs w:val="21"/>
                <w:highlight w:val="none"/>
              </w:rPr>
              <w:t>（</w:t>
            </w:r>
            <w:r>
              <w:rPr>
                <w:rFonts w:hint="eastAsia" w:ascii="宋体" w:hAnsi="宋体" w:eastAsia="宋体"/>
                <w:color w:val="auto"/>
                <w:szCs w:val="21"/>
                <w:highlight w:val="none"/>
              </w:rPr>
              <w:t>十四</w:t>
            </w:r>
            <w:r>
              <w:rPr>
                <w:rFonts w:ascii="宋体" w:hAnsi="宋体" w:eastAsia="宋体"/>
                <w:color w:val="auto"/>
                <w:szCs w:val="21"/>
                <w:highlight w:val="none"/>
              </w:rPr>
              <w:t>）</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十六</w:t>
            </w:r>
            <w:r>
              <w:rPr>
                <w:rFonts w:hint="eastAsia" w:ascii="宋体" w:hAnsi="宋体" w:eastAsia="宋体"/>
                <w:color w:val="auto"/>
                <w:szCs w:val="21"/>
                <w:highlight w:val="none"/>
                <w:lang w:eastAsia="zh-CN"/>
              </w:rPr>
              <w:t>）</w:t>
            </w:r>
          </w:p>
        </w:tc>
        <w:tc>
          <w:tcPr>
            <w:tcW w:w="1701" w:type="dxa"/>
            <w:vAlign w:val="center"/>
          </w:tcPr>
          <w:p>
            <w:pPr>
              <w:adjustRightInd w:val="0"/>
              <w:snapToGrid w:val="0"/>
              <w:spacing w:line="288" w:lineRule="auto"/>
              <w:jc w:val="center"/>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其他说明</w:t>
            </w:r>
          </w:p>
        </w:tc>
        <w:tc>
          <w:tcPr>
            <w:tcW w:w="6663" w:type="dxa"/>
            <w:vAlign w:val="center"/>
          </w:tcPr>
          <w:p>
            <w:pPr>
              <w:adjustRightInd w:val="0"/>
              <w:snapToGrid w:val="0"/>
              <w:spacing w:line="288"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1.本项目涉及标的内容较多，交付时间较短，为保证项目的顺利进行，该项目采取分标项兼投不兼中采购。</w:t>
            </w:r>
          </w:p>
          <w:p>
            <w:pPr>
              <w:adjustRightInd w:val="0"/>
              <w:snapToGrid w:val="0"/>
              <w:spacing w:line="288" w:lineRule="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2.本项目供应商可投其中任一标项，也可各标项均投，每个供应商只允许中标一个标项，本项目评审顺序为标项一、标项二、标项三、标项四。标项一的第一中标候选人将不被推荐为标项二的中标候选人，标项二的第一中标候选人将不被推荐为标项三的中标候选人，标项三的第一中标候选人将不被推荐为标项四的中标候选人。</w:t>
            </w:r>
          </w:p>
        </w:tc>
      </w:tr>
    </w:tbl>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174"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174"/>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杭州电子科技大学下沙校区、生活区、G区研究生公寓水电基础设施改造项目第二批设备采购</w:t>
      </w:r>
      <w:r>
        <w:rPr>
          <w:rFonts w:hint="eastAsia" w:ascii="宋体" w:hAnsi="宋体" w:eastAsia="宋体" w:cs="Times New Roman"/>
          <w:color w:val="auto"/>
          <w:spacing w:val="-6"/>
          <w:szCs w:val="21"/>
          <w:highlight w:val="none"/>
        </w:rPr>
        <w:t>的招标、评标、定标、验收、合同履约、付款等（法律、法规另有规定的，从其规定）。</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175"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175"/>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500-1000</w:t>
            </w:r>
          </w:p>
        </w:tc>
        <w:tc>
          <w:tcPr>
            <w:tcW w:w="3070" w:type="dxa"/>
            <w:tcMar>
              <w:top w:w="0" w:type="dxa"/>
              <w:left w:w="108" w:type="dxa"/>
              <w:bottom w:w="0" w:type="dxa"/>
              <w:right w:w="108" w:type="dxa"/>
            </w:tcMar>
            <w:vAlign w:val="center"/>
          </w:tcPr>
          <w:p>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0.56</w:t>
            </w:r>
          </w:p>
        </w:tc>
      </w:tr>
    </w:tbl>
    <w:p>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2023年7月（含）</w:t>
      </w:r>
      <w:r>
        <w:rPr>
          <w:rFonts w:ascii="宋体" w:hAnsi="宋体" w:eastAsia="宋体" w:cs="Times New Roman"/>
          <w:color w:val="auto"/>
          <w:spacing w:val="-6"/>
          <w:szCs w:val="21"/>
          <w:highlight w:val="none"/>
        </w:rPr>
        <w:t>以后任意一月）；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176"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176"/>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highlight w:val="none"/>
        </w:rPr>
      </w:pPr>
      <w:bookmarkStart w:id="177" w:name="_Hlk92273111"/>
      <w:bookmarkStart w:id="178"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p>
      <w:pPr>
        <w:adjustRightInd w:val="0"/>
        <w:snapToGrid w:val="0"/>
        <w:spacing w:line="288" w:lineRule="auto"/>
        <w:ind w:firstLine="398" w:firstLineChars="200"/>
        <w:jc w:val="left"/>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ascii="宋体" w:hAnsi="宋体" w:eastAsia="宋体" w:cs="Times New Roman"/>
          <w:color w:val="auto"/>
          <w:spacing w:val="-6"/>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2.支持绿色发展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修缮、装修类项目采购建材的，采购人应将绿色建筑和绿色建材性能、指标等作为实质性条件纳入招标文件和合同。</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3.</w:t>
      </w:r>
      <w:r>
        <w:rPr>
          <w:rFonts w:hint="eastAsia" w:ascii="宋体" w:hAnsi="宋体" w:eastAsia="宋体" w:cs="Times New Roman"/>
          <w:b/>
          <w:bCs/>
          <w:color w:val="auto"/>
          <w:spacing w:val="-6"/>
          <w:szCs w:val="21"/>
          <w:highlight w:val="none"/>
        </w:rPr>
        <w:t>支持科技创新</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179" w:name="_Hlk106875293"/>
    </w:p>
    <w:bookmarkEnd w:id="179"/>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4.支持中小企业发展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在政府采购活动中，投标人提供的货物、工程或者服务符合下列情形的，享受中小企业扶持政策：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在货物采购项目中，投标人提供的货物既有中小企业制造货物，也有大型企业制造货物的，不享受中小企业扶持政策。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color w:val="auto"/>
          <w:spacing w:val="-6"/>
          <w:szCs w:val="21"/>
          <w:highlight w:val="none"/>
          <w:lang w:eastAsia="zh-CN"/>
        </w:rPr>
        <w:t>10%</w:t>
      </w:r>
      <w:r>
        <w:rPr>
          <w:rFonts w:ascii="宋体" w:hAnsi="宋体" w:eastAsia="宋体" w:cs="Times New Roman"/>
          <w:color w:val="auto"/>
          <w:spacing w:val="-6"/>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lang w:eastAsia="zh-CN"/>
        </w:rPr>
        <w:t>3%</w:t>
      </w:r>
      <w:r>
        <w:rPr>
          <w:rFonts w:ascii="宋体" w:hAnsi="宋体" w:eastAsia="宋体" w:cs="Times New Roman"/>
          <w:color w:val="auto"/>
          <w:spacing w:val="-6"/>
          <w:szCs w:val="21"/>
          <w:highlight w:val="none"/>
        </w:rPr>
        <w:t>的扣除，用扣除后的价格参加评审。组成联合体或者接受分包的小微企业与联合体内其他企业、分包企业之间存在直接控</w:t>
      </w:r>
      <w:r>
        <w:rPr>
          <w:rFonts w:hint="eastAsia" w:ascii="宋体" w:hAnsi="宋体" w:eastAsia="宋体" w:cs="Times New Roman"/>
          <w:color w:val="auto"/>
          <w:spacing w:val="-6"/>
          <w:szCs w:val="21"/>
          <w:highlight w:val="none"/>
        </w:rPr>
        <w:t>股、管理关系的，不享受价格扣除优惠政策。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中小企业享受扶持政策获得政府采购合同的，小微企业不得将合同分包给大中型企业，中型企业不得将合同分包给大型企业。</w:t>
      </w:r>
      <w:bookmarkEnd w:id="177"/>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除财库</w:t>
      </w:r>
      <w:r>
        <w:rPr>
          <w:rFonts w:ascii="宋体" w:hAnsi="宋体" w:eastAsia="宋体" w:cs="Times New Roman"/>
          <w:color w:val="auto"/>
          <w:spacing w:val="-6"/>
          <w:szCs w:val="21"/>
          <w:highlight w:val="none"/>
        </w:rPr>
        <w:t>《政府采购促进中小企业发展管理办法》</w:t>
      </w:r>
      <w:r>
        <w:rPr>
          <w:rFonts w:hint="eastAsia" w:ascii="宋体" w:hAnsi="宋体" w:eastAsia="宋体" w:cs="Times New Roman"/>
          <w:color w:val="auto"/>
          <w:spacing w:val="-6"/>
          <w:szCs w:val="21"/>
          <w:highlight w:val="none"/>
        </w:rPr>
        <w:t>（财库〔</w:t>
      </w:r>
      <w:r>
        <w:rPr>
          <w:rFonts w:ascii="宋体" w:hAnsi="宋体" w:eastAsia="宋体" w:cs="Times New Roman"/>
          <w:color w:val="auto"/>
          <w:spacing w:val="-6"/>
          <w:szCs w:val="21"/>
          <w:highlight w:val="none"/>
        </w:rPr>
        <w:t>2020〕46号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《关于促进残疾人就业政府采购政策的通知》（财库〔2017〕141号）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《关于政府采购支持监狱企业发展有关问题的通知》（财库[2014]68号）规定企业类型以外的供应商不享受中小企业扶持政策</w:t>
      </w:r>
      <w:r>
        <w:rPr>
          <w:rFonts w:hint="eastAsia" w:ascii="宋体" w:hAnsi="宋体" w:eastAsia="宋体" w:cs="Times New Roman"/>
          <w:color w:val="auto"/>
          <w:spacing w:val="-6"/>
          <w:szCs w:val="21"/>
          <w:highlight w:val="none"/>
        </w:rPr>
        <w:t>。</w:t>
      </w:r>
    </w:p>
    <w:bookmarkEnd w:id="178"/>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180"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180"/>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181" w:name="_Hlk96329183"/>
      <w:r>
        <w:rPr>
          <w:rFonts w:hint="eastAsia" w:ascii="宋体" w:hAnsi="宋体" w:eastAsia="宋体"/>
          <w:color w:val="auto"/>
          <w:spacing w:val="-6"/>
          <w:szCs w:val="21"/>
          <w:highlight w:val="none"/>
        </w:rPr>
        <w:t>加盖公章</w:t>
      </w:r>
      <w:bookmarkEnd w:id="181"/>
      <w:r>
        <w:rPr>
          <w:rFonts w:hint="eastAsia" w:ascii="宋体" w:hAnsi="宋体" w:eastAsia="宋体"/>
          <w:color w:val="auto"/>
          <w:spacing w:val="-6"/>
          <w:szCs w:val="21"/>
          <w:highlight w:val="none"/>
        </w:rPr>
        <w:t>，投标人应写全称。</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highlight w:val="none"/>
        </w:rPr>
      </w:pPr>
      <w:bookmarkStart w:id="182"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182"/>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2.以人民币报价；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3.投标报价是履行合同的最终价格，有关本项目实施所涉及的一切费用均计入报价；</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int="eastAsia" w:hAnsi="宋体" w:eastAsia="宋体" w:cs="宋体"/>
          <w:color w:val="auto"/>
          <w:sz w:val="21"/>
          <w:szCs w:val="21"/>
          <w:highlight w:val="none"/>
        </w:rPr>
        <w:t>4.投标文件只允许有一个报价，有选择的报价将不予接受。</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bookmarkStart w:id="183" w:name="_Hlk94018664"/>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183"/>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pPr>
        <w:adjustRightInd w:val="0"/>
        <w:snapToGrid w:val="0"/>
        <w:spacing w:line="288" w:lineRule="auto"/>
        <w:ind w:firstLine="420" w:firstLineChars="200"/>
        <w:rPr>
          <w:rFonts w:ascii="宋体" w:hAnsi="宋体" w:eastAsia="宋体" w:cs="宋体"/>
          <w:color w:val="auto"/>
          <w:szCs w:val="21"/>
          <w:highlight w:val="none"/>
        </w:rPr>
      </w:pPr>
      <w:bookmarkStart w:id="184" w:name="_Hlk94018682"/>
      <w:r>
        <w:rPr>
          <w:rFonts w:hint="eastAsia" w:ascii="宋体" w:hAnsi="宋体" w:eastAsia="宋体" w:cs="宋体"/>
          <w:color w:val="auto"/>
          <w:szCs w:val="21"/>
          <w:highlight w:val="none"/>
        </w:rPr>
        <w:t>未响应招标文件“▲”标记条款要求的，投标无效。</w:t>
      </w:r>
    </w:p>
    <w:bookmarkEnd w:id="184"/>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185"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85"/>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pPr>
        <w:pStyle w:val="99"/>
        <w:snapToGrid w:val="0"/>
        <w:spacing w:before="0" w:line="288" w:lineRule="auto"/>
        <w:ind w:left="0" w:firstLine="424" w:firstLineChars="201"/>
        <w:rPr>
          <w:rFonts w:ascii="宋体" w:hAnsi="宋体"/>
          <w:color w:val="auto"/>
          <w:szCs w:val="21"/>
          <w:highlight w:val="none"/>
        </w:rPr>
      </w:pPr>
      <w:bookmarkStart w:id="186"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采购机构按照招标文件规定的时间通过电子交易平台组织开标，所有投标人均应当准时在线参加。投标人不足3家的，不得开标。</w:t>
      </w:r>
    </w:p>
    <w:p>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采购人或采购机构依据法律法规和招标文件的规定，对投标人的资格条件进行审查。</w:t>
      </w:r>
    </w:p>
    <w:p>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对未通过资格审查的投标人，采购人或采购机构告知其未通过的原因。</w:t>
      </w:r>
    </w:p>
    <w:p>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186"/>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pPr>
        <w:adjustRightInd w:val="0"/>
        <w:snapToGrid w:val="0"/>
        <w:spacing w:line="288" w:lineRule="auto"/>
        <w:ind w:firstLine="420" w:firstLineChars="200"/>
        <w:rPr>
          <w:rFonts w:ascii="宋体" w:hAnsi="宋体" w:eastAsia="宋体" w:cs="宋体"/>
          <w:color w:val="auto"/>
          <w:kern w:val="0"/>
          <w:szCs w:val="21"/>
          <w:highlight w:val="none"/>
        </w:rPr>
      </w:pPr>
      <w:bookmarkStart w:id="187"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187"/>
    <w:p>
      <w:pPr>
        <w:adjustRightInd w:val="0"/>
        <w:snapToGrid w:val="0"/>
        <w:spacing w:line="288" w:lineRule="auto"/>
        <w:ind w:firstLine="426" w:firstLineChars="202"/>
        <w:rPr>
          <w:rFonts w:ascii="宋体" w:hAnsi="宋体" w:eastAsia="宋体" w:cs="Arial"/>
          <w:b/>
          <w:color w:val="auto"/>
          <w:kern w:val="0"/>
          <w:szCs w:val="21"/>
          <w:highlight w:val="none"/>
        </w:rPr>
      </w:pPr>
      <w:bookmarkStart w:id="188"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政府采购云平台上传的电子投标（响应）文件报价与政府采购云平台录入报价不一致的，以上传的电子投标（响应）文件报价为准。</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评标办法</w:t>
      </w:r>
      <w:r>
        <w:rPr>
          <w:rFonts w:hint="eastAsia" w:ascii="宋体" w:hAnsi="宋体" w:eastAsia="宋体" w:cs="Arial"/>
          <w:color w:val="auto"/>
          <w:kern w:val="0"/>
          <w:szCs w:val="21"/>
          <w:highlight w:val="none"/>
        </w:rPr>
        <w:t>：</w:t>
      </w:r>
      <w:r>
        <w:rPr>
          <w:rFonts w:ascii="宋体" w:hAnsi="宋体" w:eastAsia="宋体" w:cs="Arial"/>
          <w:color w:val="auto"/>
          <w:kern w:val="0"/>
          <w:szCs w:val="21"/>
          <w:highlight w:val="none"/>
        </w:rPr>
        <w:t>本项目评标办法是综合评分法，具体评标内容及评标标准等详见</w:t>
      </w:r>
      <w:r>
        <w:rPr>
          <w:rFonts w:hint="eastAsia" w:ascii="宋体" w:hAnsi="宋体" w:eastAsia="宋体" w:cs="Arial"/>
          <w:color w:val="auto"/>
          <w:kern w:val="0"/>
          <w:szCs w:val="21"/>
          <w:highlight w:val="none"/>
        </w:rPr>
        <w:t>“</w:t>
      </w:r>
      <w:r>
        <w:rPr>
          <w:rFonts w:ascii="宋体" w:hAnsi="宋体" w:eastAsia="宋体" w:cs="Arial"/>
          <w:color w:val="auto"/>
          <w:kern w:val="0"/>
          <w:szCs w:val="21"/>
          <w:highlight w:val="none"/>
        </w:rPr>
        <w:t>第四章：评标方法和评标标准”。</w:t>
      </w:r>
    </w:p>
    <w:p>
      <w:pPr>
        <w:adjustRightInd w:val="0"/>
        <w:snapToGrid w:val="0"/>
        <w:spacing w:line="288" w:lineRule="auto"/>
        <w:ind w:firstLine="424" w:firstLineChars="202"/>
        <w:rPr>
          <w:rFonts w:ascii="宋体" w:hAnsi="宋体" w:eastAsia="宋体" w:cs="Times New Roman"/>
          <w:bCs/>
          <w:color w:val="auto"/>
          <w:spacing w:val="-6"/>
          <w:szCs w:val="21"/>
          <w:highlight w:val="none"/>
        </w:rPr>
      </w:pPr>
      <w:r>
        <w:rPr>
          <w:rFonts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color w:val="auto"/>
          <w:kern w:val="0"/>
          <w:szCs w:val="21"/>
          <w:highlight w:val="none"/>
        </w:rPr>
        <w:t>。本项目推荐</w:t>
      </w:r>
      <w:r>
        <w:rPr>
          <w:rFonts w:hint="eastAsia" w:ascii="宋体" w:hAnsi="宋体" w:eastAsia="宋体" w:cs="Arial"/>
          <w:color w:val="auto"/>
          <w:kern w:val="0"/>
          <w:szCs w:val="21"/>
          <w:highlight w:val="none"/>
          <w:lang w:val="en-US" w:eastAsia="zh-CN"/>
        </w:rPr>
        <w:t>2</w:t>
      </w:r>
      <w:r>
        <w:rPr>
          <w:rFonts w:hint="eastAsia" w:ascii="宋体" w:hAnsi="宋体" w:eastAsia="宋体" w:cs="Arial"/>
          <w:color w:val="auto"/>
          <w:kern w:val="0"/>
          <w:szCs w:val="21"/>
          <w:highlight w:val="none"/>
        </w:rPr>
        <w:t>名中标候选人。</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188"/>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1.采购代理机构自评标结束之日起2个工作日内将评标报告送交采购人。采购人收到评标报告之日起</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个工作日内在评标报告推荐的中标候选人中按顺序确定中标人，也可以书面授权评标委员会直接确定中标人。</w:t>
      </w:r>
      <w:r>
        <w:rPr>
          <w:rFonts w:ascii="宋体" w:hAnsi="宋体" w:eastAsia="宋体" w:cs="Times New Roman"/>
          <w:color w:val="auto"/>
          <w:spacing w:val="-6"/>
          <w:szCs w:val="21"/>
          <w:highlight w:val="none"/>
        </w:rPr>
        <w:t>中标候选人并列的，由采购人确定中标人。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zCs w:val="21"/>
          <w:highlight w:val="none"/>
        </w:rPr>
        <w:t>评标结果公示媒体：浙江政府采购网（http://zfcg.czt.zj.gov.cn）。</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83" w:hRule="atLeast"/>
        </w:trPr>
        <w:tc>
          <w:tcPr>
            <w:tcW w:w="1767" w:type="dxa"/>
            <w:vAlign w:val="center"/>
          </w:tcPr>
          <w:p>
            <w:pPr>
              <w:adjustRightInd w:val="0"/>
              <w:snapToGrid w:val="0"/>
              <w:spacing w:line="288" w:lineRule="auto"/>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评审因素</w:t>
            </w:r>
          </w:p>
        </w:tc>
        <w:tc>
          <w:tcPr>
            <w:tcW w:w="654" w:type="dxa"/>
            <w:vAlign w:val="center"/>
          </w:tcPr>
          <w:p>
            <w:pPr>
              <w:adjustRightInd w:val="0"/>
              <w:snapToGrid w:val="0"/>
              <w:spacing w:line="288" w:lineRule="auto"/>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分值</w:t>
            </w:r>
          </w:p>
        </w:tc>
        <w:tc>
          <w:tcPr>
            <w:tcW w:w="7072" w:type="dxa"/>
            <w:vAlign w:val="center"/>
          </w:tcPr>
          <w:p>
            <w:pPr>
              <w:adjustRightInd w:val="0"/>
              <w:snapToGrid w:val="0"/>
              <w:spacing w:line="288" w:lineRule="auto"/>
              <w:jc w:val="center"/>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t>价格</w:t>
            </w:r>
            <w:r>
              <w:rPr>
                <w:rFonts w:hint="eastAsia" w:ascii="宋体" w:hAnsi="宋体" w:eastAsia="宋体" w:cs="Times New Roman"/>
                <w:b/>
                <w:bCs/>
                <w:color w:val="auto"/>
                <w:szCs w:val="21"/>
                <w:highlight w:val="none"/>
              </w:rPr>
              <w:t>分（3</w:t>
            </w:r>
            <w:r>
              <w:rPr>
                <w:rFonts w:ascii="宋体" w:hAnsi="宋体" w:eastAsia="宋体" w:cs="Times New Roman"/>
                <w:b/>
                <w:bCs/>
                <w:color w:val="auto"/>
                <w:szCs w:val="21"/>
                <w:highlight w:val="none"/>
              </w:rPr>
              <w:t>0</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t>商务分</w:t>
            </w:r>
            <w:r>
              <w:rPr>
                <w:rFonts w:hint="eastAsia" w:ascii="宋体" w:hAnsi="宋体" w:eastAsia="宋体" w:cs="Times New Roman"/>
                <w:b/>
                <w:bCs/>
                <w:color w:val="auto"/>
                <w:szCs w:val="21"/>
                <w:highlight w:val="none"/>
              </w:rPr>
              <w:t>（</w:t>
            </w:r>
            <w:r>
              <w:rPr>
                <w:rFonts w:hint="eastAsia" w:ascii="宋体" w:hAnsi="宋体" w:eastAsia="宋体" w:cs="Times New Roman"/>
                <w:b/>
                <w:bCs/>
                <w:color w:val="auto"/>
                <w:szCs w:val="21"/>
                <w:highlight w:val="none"/>
                <w:lang w:val="en-US" w:eastAsia="zh-CN"/>
              </w:rPr>
              <w:t>5</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pPr>
              <w:adjustRightInd w:val="0"/>
              <w:snapToGrid w:val="0"/>
              <w:spacing w:line="288" w:lineRule="auto"/>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p>
        </w:tc>
        <w:tc>
          <w:tcPr>
            <w:tcW w:w="7072" w:type="dxa"/>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【客观分】</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投标人自201</w:t>
            </w:r>
            <w:r>
              <w:rPr>
                <w:rFonts w:ascii="宋体" w:hAnsi="宋体" w:eastAsia="宋体" w:cs="宋体"/>
                <w:color w:val="auto"/>
                <w:szCs w:val="21"/>
                <w:highlight w:val="none"/>
              </w:rPr>
              <w:t>9</w:t>
            </w:r>
            <w:r>
              <w:rPr>
                <w:rFonts w:hint="eastAsia" w:ascii="宋体" w:hAnsi="宋体" w:eastAsia="宋体" w:cs="宋体"/>
                <w:color w:val="auto"/>
                <w:szCs w:val="21"/>
                <w:highlight w:val="none"/>
              </w:rPr>
              <w:t>年1月1日以来（以合同签订时间为准）同类配电系统合同业绩（以提供的合同扫描件为准）：每提供1份合同业绩得</w:t>
            </w:r>
            <w:r>
              <w:rPr>
                <w:rFonts w:ascii="宋体" w:hAnsi="宋体" w:eastAsia="宋体" w:cs="宋体"/>
                <w:color w:val="auto"/>
                <w:szCs w:val="21"/>
                <w:highlight w:val="none"/>
              </w:rPr>
              <w:t>1</w:t>
            </w:r>
            <w:r>
              <w:rPr>
                <w:rFonts w:hint="eastAsia" w:ascii="宋体" w:hAnsi="宋体" w:eastAsia="宋体" w:cs="宋体"/>
                <w:color w:val="auto"/>
                <w:szCs w:val="21"/>
                <w:highlight w:val="none"/>
              </w:rPr>
              <w:t>分，最高得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政策功能</w:t>
            </w:r>
          </w:p>
        </w:tc>
        <w:tc>
          <w:tcPr>
            <w:tcW w:w="654" w:type="dxa"/>
            <w:vAlign w:val="center"/>
          </w:tcPr>
          <w:p>
            <w:pPr>
              <w:adjustRightInd w:val="0"/>
              <w:snapToGrid w:val="0"/>
              <w:spacing w:line="288" w:lineRule="auto"/>
              <w:jc w:val="center"/>
              <w:rPr>
                <w:rFonts w:ascii="宋体" w:hAnsi="宋体" w:eastAsia="宋体" w:cs="宋体"/>
                <w:b/>
                <w:bCs/>
                <w:color w:val="auto"/>
                <w:szCs w:val="21"/>
                <w:highlight w:val="none"/>
              </w:rPr>
            </w:pPr>
            <w:r>
              <w:rPr>
                <w:rFonts w:ascii="宋体" w:hAnsi="宋体" w:eastAsia="宋体" w:cs="宋体"/>
                <w:b/>
                <w:bCs/>
                <w:color w:val="auto"/>
                <w:szCs w:val="21"/>
                <w:highlight w:val="none"/>
              </w:rPr>
              <w:t>2</w:t>
            </w:r>
          </w:p>
        </w:tc>
        <w:tc>
          <w:tcPr>
            <w:tcW w:w="7072" w:type="dxa"/>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【客观分】</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投标产品属于品目清单范围且提供国家确定的认证机构出具的有效的节能产品认证证书（扫描件）的得</w:t>
            </w:r>
            <w:r>
              <w:rPr>
                <w:rFonts w:ascii="宋体" w:hAnsi="宋体" w:eastAsia="宋体" w:cs="宋体"/>
                <w:color w:val="auto"/>
                <w:szCs w:val="21"/>
                <w:highlight w:val="none"/>
              </w:rPr>
              <w:t>1</w:t>
            </w:r>
            <w:r>
              <w:rPr>
                <w:rFonts w:hint="eastAsia" w:ascii="宋体" w:hAnsi="宋体" w:eastAsia="宋体" w:cs="宋体"/>
                <w:color w:val="auto"/>
                <w:szCs w:val="21"/>
                <w:highlight w:val="none"/>
              </w:rPr>
              <w:t>分；</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投标产品属于品目清单范围且提供国家确定的认证机构出具的有效的环境标志产品认证证书（扫描件）的得</w:t>
            </w:r>
            <w:r>
              <w:rPr>
                <w:rFonts w:ascii="宋体" w:hAnsi="宋体" w:eastAsia="宋体" w:cs="宋体"/>
                <w:color w:val="auto"/>
                <w:szCs w:val="21"/>
                <w:highlight w:val="none"/>
              </w:rPr>
              <w:t>1</w:t>
            </w:r>
            <w:r>
              <w:rPr>
                <w:rFonts w:hint="eastAsia" w:ascii="宋体" w:hAnsi="宋体" w:eastAsia="宋体" w:cs="宋体"/>
                <w:color w:val="auto"/>
                <w:szCs w:val="21"/>
                <w:highlight w:val="none"/>
              </w:rPr>
              <w:t>分；</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技术</w:t>
            </w:r>
            <w:r>
              <w:rPr>
                <w:rFonts w:ascii="宋体" w:hAnsi="宋体" w:eastAsia="宋体" w:cs="Times New Roman"/>
                <w:b/>
                <w:bCs/>
                <w:color w:val="auto"/>
                <w:szCs w:val="21"/>
                <w:highlight w:val="none"/>
              </w:rPr>
              <w:t>分</w:t>
            </w:r>
            <w:r>
              <w:rPr>
                <w:rFonts w:hint="eastAsia" w:ascii="宋体" w:hAnsi="宋体" w:eastAsia="宋体" w:cs="Times New Roman"/>
                <w:b/>
                <w:bCs/>
                <w:color w:val="auto"/>
                <w:szCs w:val="21"/>
                <w:highlight w:val="none"/>
              </w:rPr>
              <w:t>（6</w:t>
            </w:r>
            <w:r>
              <w:rPr>
                <w:rFonts w:hint="eastAsia" w:ascii="宋体" w:hAnsi="宋体" w:eastAsia="宋体" w:cs="Times New Roman"/>
                <w:b/>
                <w:bCs/>
                <w:color w:val="auto"/>
                <w:szCs w:val="21"/>
                <w:highlight w:val="none"/>
                <w:lang w:val="en-US" w:eastAsia="zh-CN"/>
              </w:rPr>
              <w:t>5</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技术响应程度</w:t>
            </w:r>
          </w:p>
        </w:tc>
        <w:tc>
          <w:tcPr>
            <w:tcW w:w="654" w:type="dxa"/>
            <w:vAlign w:val="center"/>
          </w:tcPr>
          <w:p>
            <w:pPr>
              <w:adjustRightInd w:val="0"/>
              <w:snapToGrid w:val="0"/>
              <w:spacing w:line="288"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20</w:t>
            </w:r>
          </w:p>
        </w:tc>
        <w:tc>
          <w:tcPr>
            <w:tcW w:w="7072" w:type="dxa"/>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【客观分】</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不符合（负偏离）技术要求中标注“▲”条款（不可偏离）的投标无效；</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满足招标文件明确的全部技术条款要求的</w:t>
            </w:r>
            <w:r>
              <w:rPr>
                <w:rFonts w:hint="eastAsia" w:ascii="宋体" w:hAnsi="宋体" w:eastAsia="宋体" w:cs="Times New Roman"/>
                <w:color w:val="auto"/>
                <w:szCs w:val="21"/>
                <w:highlight w:val="none"/>
              </w:rPr>
              <w:t>该项得满分</w:t>
            </w:r>
            <w:r>
              <w:rPr>
                <w:rFonts w:hint="eastAsia" w:ascii="宋体" w:hAnsi="宋体" w:eastAsia="宋体" w:cs="宋体"/>
                <w:color w:val="auto"/>
                <w:szCs w:val="21"/>
                <w:highlight w:val="none"/>
              </w:rPr>
              <w:t>；</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技术条款低于技术要求（负偏离）的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标注“★”的</w:t>
            </w:r>
            <w:r>
              <w:rPr>
                <w:rFonts w:hint="eastAsia" w:ascii="宋体" w:hAnsi="宋体" w:eastAsia="宋体" w:cs="宋体"/>
                <w:color w:val="auto"/>
                <w:szCs w:val="21"/>
                <w:highlight w:val="none"/>
              </w:rPr>
              <w:t>每项扣</w:t>
            </w:r>
            <w:r>
              <w:rPr>
                <w:rFonts w:ascii="宋体" w:hAnsi="宋体" w:eastAsia="宋体" w:cs="宋体"/>
                <w:color w:val="auto"/>
                <w:szCs w:val="21"/>
                <w:highlight w:val="none"/>
              </w:rPr>
              <w:t>3</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未</w:t>
            </w:r>
            <w:r>
              <w:rPr>
                <w:rFonts w:hint="eastAsia" w:ascii="宋体" w:hAnsi="宋体" w:eastAsia="宋体" w:cs="宋体"/>
                <w:color w:val="auto"/>
                <w:szCs w:val="21"/>
                <w:highlight w:val="none"/>
                <w:lang w:eastAsia="zh-CN"/>
              </w:rPr>
              <w:t>标注“★”的每项扣</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分</w:t>
            </w:r>
            <w:r>
              <w:rPr>
                <w:rFonts w:hint="eastAsia" w:ascii="宋体" w:hAnsi="宋体" w:eastAsia="宋体" w:cs="宋体"/>
                <w:color w:val="auto"/>
                <w:szCs w:val="21"/>
                <w:highlight w:val="none"/>
              </w:rPr>
              <w:t>；</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负偏离</w:t>
            </w:r>
            <w:r>
              <w:rPr>
                <w:rFonts w:hint="eastAsia" w:ascii="宋体" w:hAnsi="宋体" w:eastAsia="宋体" w:cs="宋体"/>
                <w:color w:val="auto"/>
                <w:szCs w:val="21"/>
                <w:highlight w:val="none"/>
                <w:lang w:val="en-US" w:eastAsia="zh-CN"/>
              </w:rPr>
              <w:t>扣分20分</w:t>
            </w:r>
            <w:r>
              <w:rPr>
                <w:rFonts w:ascii="宋体" w:hAnsi="宋体" w:eastAsia="宋体" w:cs="宋体"/>
                <w:color w:val="auto"/>
                <w:szCs w:val="21"/>
                <w:highlight w:val="none"/>
              </w:rPr>
              <w:t>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pPr>
              <w:adjustRightInd w:val="0"/>
              <w:snapToGrid w:val="0"/>
              <w:spacing w:line="288"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设备功能配置</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【主观分】干式变压器</w:t>
            </w:r>
            <w:r>
              <w:rPr>
                <w:rFonts w:hint="eastAsia" w:ascii="宋体" w:hAnsi="宋体" w:eastAsia="宋体" w:cs="宋体"/>
                <w:color w:val="auto"/>
                <w:szCs w:val="21"/>
                <w:highlight w:val="none"/>
                <w:lang w:val="en-US" w:eastAsia="zh-CN"/>
              </w:rPr>
              <w:t>的功能先进性、配置合理性，是否有助于提高整体设备系统的运行效率（评分范围：4,3,2,1,0）。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【主观分】环网柜的功能先进性、配置合理性，是否有助于提高整体设备系统的运行效率（评分范围：4,3,2,1,0）。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w:t>
            </w:r>
          </w:p>
        </w:tc>
        <w:tc>
          <w:tcPr>
            <w:tcW w:w="7072" w:type="dxa"/>
            <w:tcBorders>
              <w:top w:val="single" w:color="auto" w:sz="4" w:space="0"/>
              <w:left w:val="single" w:color="auto" w:sz="4" w:space="0"/>
              <w:bottom w:val="single" w:color="auto" w:sz="4" w:space="0"/>
              <w:right w:val="single" w:color="auto" w:sz="4" w:space="0"/>
            </w:tcBorders>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【主观分】0.4KV低压开关柜的功能先进性、配置合理性，是否有助于提高整体设备系统的运行效率（评分范围：4,3,2,1,0）。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【主观分】二次部分</w:t>
            </w:r>
            <w:r>
              <w:rPr>
                <w:rFonts w:hint="eastAsia" w:ascii="宋体" w:hAnsi="宋体" w:eastAsia="宋体" w:cs="宋体"/>
                <w:color w:val="auto"/>
                <w:szCs w:val="21"/>
                <w:highlight w:val="none"/>
                <w:lang w:val="en-US" w:eastAsia="zh-CN"/>
              </w:rPr>
              <w:t>设备</w:t>
            </w:r>
            <w:r>
              <w:rPr>
                <w:rFonts w:hint="eastAsia" w:ascii="宋体" w:hAnsi="宋体" w:eastAsia="宋体" w:cs="宋体"/>
                <w:color w:val="auto"/>
                <w:szCs w:val="21"/>
                <w:highlight w:val="none"/>
              </w:rPr>
              <w:t>的功能先进性、配置合理性，是否有助于提高整体设备系统的运行效率（评分范围：3,2,1,0）。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【主观分】多功能电力仪表的功能先进性、配置合理性，是否有助于提高整体设备系统的运行效率（评分范围：3,2,1,0）。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tcPr>
          <w:p>
            <w:pPr>
              <w:adjustRightInd w:val="0"/>
              <w:snapToGrid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【主观分】低压智能站控终端的功能先进性、配置合理性，是否有助于提高整体设备系统的运行效率（评分范围：3,2,1,0）。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tcPr>
          <w:p>
            <w:pPr>
              <w:adjustRightInd w:val="0"/>
              <w:snapToGrid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【主观分】密集型母线槽的功能先进性、配置合理性，是否有助于提高整体设备系统的运行效率（评分范围：3,2,1,0）。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w:t>
            </w:r>
          </w:p>
        </w:tc>
        <w:tc>
          <w:tcPr>
            <w:tcW w:w="7072" w:type="dxa"/>
            <w:tcBorders>
              <w:top w:val="single" w:color="auto" w:sz="4" w:space="0"/>
              <w:left w:val="single" w:color="auto" w:sz="4" w:space="0"/>
              <w:bottom w:val="single" w:color="auto" w:sz="4" w:space="0"/>
              <w:right w:val="single" w:color="auto" w:sz="4" w:space="0"/>
            </w:tcBorders>
          </w:tcPr>
          <w:p>
            <w:pPr>
              <w:adjustRightInd w:val="0"/>
              <w:snapToGrid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【主观分】UPS电源柜的功能先进性、配置合理性，是否有助于提高整体设备系统的运行效率（评分范围：4,3,2,1,0）。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w:t>
            </w:r>
          </w:p>
        </w:tc>
        <w:tc>
          <w:tcPr>
            <w:tcW w:w="7072" w:type="dxa"/>
            <w:tcBorders>
              <w:top w:val="single" w:color="auto" w:sz="4" w:space="0"/>
              <w:left w:val="single" w:color="auto" w:sz="4" w:space="0"/>
              <w:bottom w:val="single" w:color="auto" w:sz="4" w:space="0"/>
              <w:right w:val="single" w:color="auto" w:sz="4" w:space="0"/>
            </w:tcBorders>
          </w:tcPr>
          <w:p>
            <w:pPr>
              <w:adjustRightInd w:val="0"/>
              <w:snapToGrid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【主观分】温度检测装置与自动灭火装置的功能先进性、配置合理性，是否有助于提高整体设备系统的运行效率（评分范围：4,3,2,1,0）。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组织实施方案</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【主观分】</w:t>
            </w:r>
            <w:r>
              <w:rPr>
                <w:rFonts w:hint="eastAsia" w:ascii="宋体" w:hAnsi="宋体" w:eastAsia="宋体" w:cs="宋体"/>
                <w:color w:val="auto"/>
                <w:szCs w:val="21"/>
                <w:highlight w:val="none"/>
                <w:lang w:val="en-US" w:eastAsia="zh-CN"/>
              </w:rPr>
              <w:t>投标人针对本项目提供的进度计划、实施方案的可行性、针对性（评分范围：4,3,2,1,0）。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bCs/>
                <w:color w:val="auto"/>
                <w:szCs w:val="21"/>
                <w:highlight w:val="none"/>
              </w:rPr>
            </w:pPr>
            <w:r>
              <w:rPr>
                <w:rFonts w:hint="eastAsia" w:ascii="宋体" w:hAnsi="宋体" w:eastAsia="宋体" w:cs="宋体"/>
                <w:b/>
                <w:bCs/>
                <w:color w:val="auto"/>
                <w:szCs w:val="21"/>
                <w:highlight w:val="none"/>
              </w:rPr>
              <w:t>培训</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宋体"/>
                <w:color w:val="auto"/>
                <w:szCs w:val="21"/>
                <w:highlight w:val="none"/>
              </w:rPr>
              <w:t>【主观分】培训计划内容、培训范围，实施方案的可行性、针对性（评分范围：3,2,1,0）。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ascii="宋体" w:hAnsi="宋体" w:eastAsia="宋体" w:cs="宋体"/>
                <w:b/>
                <w:bCs/>
                <w:color w:val="auto"/>
                <w:szCs w:val="21"/>
                <w:highlight w:val="none"/>
              </w:rPr>
              <w:t>3</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【主观分】售后服务方案、售后服务承诺、售后服务保障措施的可行性、针对性（评分范围：3,2,1,0）。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【主观分】产品相关配件、附件、备品备件及耗材的准备和保障措施、消耗水平和成本（评分范围：3,2,1,0）。</w:t>
            </w:r>
          </w:p>
        </w:tc>
      </w:tr>
    </w:tbl>
    <w:p>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根据《政府采购促进中小企业发展管理办法》（财库〔2020〕46号）、《关于进一步加大政府采购支持中小企业力度的通知》（财库〔</w:t>
      </w:r>
      <w:r>
        <w:rPr>
          <w:rFonts w:ascii="宋体" w:hAnsi="宋体" w:eastAsia="宋体" w:cs="Times New Roman"/>
          <w:b/>
          <w:color w:val="auto"/>
          <w:szCs w:val="21"/>
          <w:highlight w:val="none"/>
        </w:rPr>
        <w:t>2022〕19号）</w:t>
      </w:r>
      <w:r>
        <w:rPr>
          <w:rFonts w:hint="eastAsia" w:ascii="宋体" w:hAnsi="宋体" w:eastAsia="宋体" w:cs="Times New Roman"/>
          <w:b/>
          <w:color w:val="auto"/>
          <w:szCs w:val="21"/>
          <w:highlight w:val="none"/>
        </w:rPr>
        <w:t>的规定：对符合规定的小微企业报价给予</w:t>
      </w:r>
      <w:r>
        <w:rPr>
          <w:rFonts w:hint="eastAsia" w:ascii="宋体" w:hAnsi="宋体" w:eastAsia="宋体" w:cs="Times New Roman"/>
          <w:b/>
          <w:color w:val="auto"/>
          <w:szCs w:val="21"/>
          <w:highlight w:val="none"/>
          <w:lang w:eastAsia="zh-CN"/>
        </w:rPr>
        <w:t>10%</w:t>
      </w:r>
      <w:r>
        <w:rPr>
          <w:rFonts w:hint="eastAsia" w:ascii="宋体" w:hAnsi="宋体" w:eastAsia="宋体" w:cs="Times New Roman"/>
          <w:b/>
          <w:color w:val="auto"/>
          <w:szCs w:val="21"/>
          <w:highlight w:val="none"/>
        </w:rPr>
        <w:t>的扣除后计算价格得分。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u w:val="single"/>
          <w:lang w:eastAsia="zh-CN"/>
        </w:rPr>
        <w:t>3%</w:t>
      </w:r>
      <w:r>
        <w:rPr>
          <w:rFonts w:hint="eastAsia" w:ascii="宋体" w:hAnsi="宋体" w:eastAsia="宋体" w:cs="Times New Roman"/>
          <w:color w:val="auto"/>
          <w:spacing w:val="-6"/>
          <w:szCs w:val="21"/>
          <w:highlight w:val="none"/>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ascii="宋体" w:hAnsi="宋体" w:eastAsia="宋体" w:cs="Times New Roman"/>
          <w:b/>
          <w:bCs/>
          <w:color w:val="auto"/>
          <w:spacing w:val="-6"/>
          <w:szCs w:val="21"/>
          <w:highlight w:val="none"/>
        </w:rPr>
      </w:pPr>
      <w:bookmarkStart w:id="189" w:name="_Hlk81817373"/>
      <w:bookmarkStart w:id="190" w:name="_Hlk81817387"/>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w:t>
      </w:r>
      <w:r>
        <w:rPr>
          <w:rFonts w:ascii="宋体" w:hAnsi="宋体" w:eastAsia="宋体" w:cs="Times New Roman"/>
          <w:b/>
          <w:bCs/>
          <w:color w:val="auto"/>
          <w:spacing w:val="-6"/>
          <w:szCs w:val="21"/>
          <w:highlight w:val="none"/>
        </w:rPr>
        <w:t>关于政府采购支持监狱企业发展有关问题的通知</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财库[2014]68号</w:t>
      </w:r>
      <w:r>
        <w:rPr>
          <w:rFonts w:hint="eastAsia" w:ascii="宋体" w:hAnsi="宋体" w:eastAsia="宋体" w:cs="Times New Roman"/>
          <w:b/>
          <w:bCs/>
          <w:color w:val="auto"/>
          <w:spacing w:val="-6"/>
          <w:szCs w:val="21"/>
          <w:highlight w:val="none"/>
        </w:rPr>
        <w:t>）的规定，</w:t>
      </w:r>
      <w:r>
        <w:rPr>
          <w:rFonts w:hint="eastAsia" w:ascii="宋体" w:hAnsi="宋体" w:eastAsia="宋体" w:cs="宋体"/>
          <w:color w:val="auto"/>
          <w:kern w:val="0"/>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189"/>
    <w:p>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根据《关于促进残疾人就业政府采购政策的通知》（财库[2017]141号）的规定，</w:t>
      </w:r>
      <w:r>
        <w:rPr>
          <w:rFonts w:hint="eastAsia" w:ascii="宋体" w:hAnsi="宋体" w:eastAsia="宋体"/>
          <w:color w:val="auto"/>
          <w:szCs w:val="21"/>
          <w:highlight w:val="none"/>
        </w:rPr>
        <w:t>符合条件的残疾人福利性单位在参加政府采购活动时，提供财库</w:t>
      </w:r>
      <w:r>
        <w:rPr>
          <w:rFonts w:ascii="宋体" w:hAnsi="宋体" w:eastAsia="宋体"/>
          <w:color w:val="auto"/>
          <w:szCs w:val="21"/>
          <w:highlight w:val="none"/>
        </w:rPr>
        <w:t>[2017]141号</w:t>
      </w:r>
      <w:r>
        <w:rPr>
          <w:rFonts w:hint="eastAsia" w:ascii="宋体" w:hAnsi="宋体" w:eastAsia="宋体"/>
          <w:color w:val="auto"/>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highlight w:val="none"/>
        </w:rPr>
        <w:t>残疾人福利性单位属于小型、微型企业的，不重复享受政策。</w:t>
      </w:r>
    </w:p>
    <w:bookmarkEnd w:id="190"/>
    <w:p>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pPr>
        <w:adjustRightInd w:val="0"/>
        <w:snapToGrid w:val="0"/>
        <w:spacing w:line="288" w:lineRule="auto"/>
        <w:rPr>
          <w:rFonts w:ascii="宋体" w:hAnsi="宋体" w:eastAsia="宋体" w:cs="宋体"/>
          <w:b/>
          <w:color w:val="auto"/>
          <w:spacing w:val="-6"/>
          <w:szCs w:val="21"/>
          <w:highlight w:val="none"/>
        </w:rPr>
      </w:pPr>
    </w:p>
    <w:p>
      <w:pPr>
        <w:spacing w:line="360" w:lineRule="auto"/>
        <w:ind w:firstLine="562" w:firstLineChars="200"/>
        <w:jc w:val="center"/>
        <w:rPr>
          <w:rFonts w:ascii="Times New Roman" w:hAnsi="Times New Roman" w:eastAsia="宋体" w:cs="Times New Roman"/>
          <w:b/>
          <w:bCs/>
          <w:color w:val="auto"/>
          <w:kern w:val="0"/>
          <w:sz w:val="28"/>
          <w:szCs w:val="28"/>
          <w:highlight w:val="none"/>
        </w:rPr>
      </w:pPr>
      <w:r>
        <w:rPr>
          <w:rFonts w:hint="eastAsia" w:ascii="Times New Roman" w:hAnsi="Times New Roman" w:eastAsia="宋体" w:cs="Times New Roman"/>
          <w:b/>
          <w:bCs/>
          <w:color w:val="auto"/>
          <w:kern w:val="0"/>
          <w:sz w:val="28"/>
          <w:szCs w:val="28"/>
          <w:highlight w:val="none"/>
        </w:rPr>
        <w:t>杭州电子科技大学采购合同（非免税货物类）</w:t>
      </w:r>
    </w:p>
    <w:p>
      <w:pPr>
        <w:spacing w:line="360" w:lineRule="auto"/>
        <w:ind w:firstLine="420" w:firstLineChars="200"/>
        <w:jc w:val="right"/>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合同编号_</w:t>
      </w:r>
      <w:r>
        <w:rPr>
          <w:rFonts w:ascii="Times New Roman" w:hAnsi="Times New Roman" w:eastAsia="宋体" w:cs="Times New Roman"/>
          <w:color w:val="auto"/>
          <w:kern w:val="0"/>
          <w:sz w:val="21"/>
          <w:szCs w:val="20"/>
          <w:highlight w:val="none"/>
        </w:rPr>
        <w:t xml:space="preserve">________________ </w:t>
      </w:r>
    </w:p>
    <w:p>
      <w:pPr>
        <w:keepNext w:val="0"/>
        <w:keepLines w:val="0"/>
        <w:pageBreakBefore w:val="0"/>
        <w:widowControl w:val="0"/>
        <w:kinsoku/>
        <w:wordWrap/>
        <w:overflowPunct/>
        <w:topLinePunct w:val="0"/>
        <w:autoSpaceDE/>
        <w:autoSpaceDN/>
        <w:bidi w:val="0"/>
        <w:adjustRightInd/>
        <w:snapToGrid/>
        <w:spacing w:line="288" w:lineRule="auto"/>
        <w:ind w:firstLine="396" w:firstLineChars="200"/>
        <w:jc w:val="left"/>
        <w:textAlignment w:val="auto"/>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确认书号：</w:t>
      </w:r>
    </w:p>
    <w:p>
      <w:pPr>
        <w:keepNext w:val="0"/>
        <w:keepLines w:val="0"/>
        <w:pageBreakBefore w:val="0"/>
        <w:widowControl w:val="0"/>
        <w:kinsoku/>
        <w:wordWrap/>
        <w:overflowPunct/>
        <w:topLinePunct w:val="0"/>
        <w:autoSpaceDE/>
        <w:autoSpaceDN/>
        <w:bidi w:val="0"/>
        <w:adjustRightInd/>
        <w:snapToGrid/>
        <w:spacing w:line="288" w:lineRule="auto"/>
        <w:ind w:firstLine="396" w:firstLineChars="200"/>
        <w:jc w:val="left"/>
        <w:textAlignment w:val="auto"/>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项目编号：</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jc w:val="left"/>
        <w:textAlignment w:val="auto"/>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甲方（采购人）：杭州电子科技大学</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jc w:val="left"/>
        <w:textAlignment w:val="auto"/>
        <w:rPr>
          <w:rFonts w:hint="eastAsia"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乙方（供应商）：</w:t>
      </w:r>
    </w:p>
    <w:p>
      <w:pPr>
        <w:keepNext w:val="0"/>
        <w:keepLines w:val="0"/>
        <w:pageBreakBefore w:val="0"/>
        <w:widowControl w:val="0"/>
        <w:kinsoku/>
        <w:wordWrap/>
        <w:overflowPunct/>
        <w:topLinePunct w:val="0"/>
        <w:autoSpaceDE/>
        <w:autoSpaceDN/>
        <w:bidi w:val="0"/>
        <w:adjustRightInd/>
        <w:snapToGrid/>
        <w:spacing w:line="288" w:lineRule="auto"/>
        <w:ind w:firstLine="396"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spacing w:val="-6"/>
          <w:kern w:val="0"/>
          <w:sz w:val="21"/>
          <w:szCs w:val="21"/>
          <w:highlight w:val="none"/>
        </w:rPr>
        <w:t>采购代理机构（鉴证方）：</w:t>
      </w:r>
      <w:r>
        <w:rPr>
          <w:rFonts w:hint="eastAsia" w:ascii="Times New Roman" w:hAnsi="Times New Roman" w:eastAsia="宋体" w:cs="Times New Roman"/>
          <w:color w:val="auto"/>
          <w:kern w:val="0"/>
          <w:sz w:val="21"/>
          <w:szCs w:val="20"/>
          <w:highlight w:val="none"/>
          <w:lang w:val="en-US" w:eastAsia="zh-CN"/>
        </w:rPr>
        <w:t>浙江求是招标代理有限公司</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为了保护甲乙双方合法权益，根据项目</w:t>
      </w:r>
      <w:r>
        <w:rPr>
          <w:rFonts w:hint="eastAsia" w:ascii="宋体" w:hAnsi="宋体" w:eastAsia="宋体" w:cs="宋体"/>
          <w:color w:val="auto"/>
          <w:kern w:val="0"/>
          <w:sz w:val="21"/>
          <w:szCs w:val="21"/>
          <w:highlight w:val="none"/>
          <w:u w:val="single"/>
          <w:lang w:eastAsia="zh-CN"/>
        </w:rPr>
        <w:t>下沙校区、生活区、G区研究生公寓水电基础设施改造项目第二批设备采购</w:t>
      </w:r>
      <w:r>
        <w:rPr>
          <w:rFonts w:hint="eastAsia" w:ascii="宋体" w:hAnsi="宋体" w:eastAsia="宋体" w:cs="宋体"/>
          <w:color w:val="auto"/>
          <w:kern w:val="0"/>
          <w:sz w:val="21"/>
          <w:szCs w:val="21"/>
          <w:highlight w:val="none"/>
        </w:rPr>
        <w:t>（项目编号</w:t>
      </w:r>
      <w:r>
        <w:rPr>
          <w:rFonts w:hint="eastAsia" w:ascii="宋体" w:hAnsi="宋体" w:eastAsia="宋体" w:cs="宋体"/>
          <w:color w:val="auto"/>
          <w:kern w:val="0"/>
          <w:sz w:val="21"/>
          <w:szCs w:val="21"/>
          <w:highlight w:val="none"/>
          <w:u w:val="single"/>
          <w:lang w:eastAsia="zh-CN"/>
        </w:rPr>
        <w:t>QSZB-Z(H)-B24133(GK)</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公开招标</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的中标（成交）结果，签署本合同，以资共同遵守。</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一、采购货物与合同价格</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353"/>
        <w:gridCol w:w="3410"/>
        <w:gridCol w:w="767"/>
        <w:gridCol w:w="847"/>
        <w:gridCol w:w="1286"/>
        <w:gridCol w:w="1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货物名称</w:t>
            </w: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品牌、型号等</w:t>
            </w: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w:t>
            </w: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单价</w:t>
            </w: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品牌、型号、详细技术参数（技术参数可以合同附件方式提供）</w:t>
            </w: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合同总价（元，人民币）：小写￥              ，大写：</w:t>
            </w:r>
          </w:p>
        </w:tc>
      </w:tr>
    </w:tbl>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二、供货范围</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合同供货范围包括所有合同货物、相关的技术资料。</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三、质保期、履约保证金与货款结算</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质保期：自验收合格之日起，整机质保期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年，其中</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（配件名称）质保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年（如需要）。超过质保期的货物，终生维修，维修时只收部件成本费。软件的质保期即维护期，乙方应提供升级服务。质保期内质保维护升级等费用包含在合同总价中，不额外收取。</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2.履约保证金（如无则删除本条款）</w:t>
      </w:r>
      <w:r>
        <w:rPr>
          <w:rFonts w:hint="eastAsia" w:ascii="宋体" w:hAnsi="宋体" w:eastAsia="宋体" w:cs="宋体"/>
          <w:b/>
          <w:bCs/>
          <w:color w:val="auto"/>
          <w:kern w:val="0"/>
          <w:sz w:val="21"/>
          <w:szCs w:val="21"/>
          <w:highlight w:val="none"/>
        </w:rPr>
        <w:t>：</w:t>
      </w:r>
      <w:r>
        <w:rPr>
          <w:rFonts w:hint="eastAsia" w:ascii="宋体" w:hAnsi="宋体" w:eastAsia="宋体" w:cs="宋体"/>
          <w:color w:val="auto"/>
          <w:kern w:val="0"/>
          <w:sz w:val="21"/>
          <w:szCs w:val="21"/>
          <w:highlight w:val="none"/>
        </w:rPr>
        <w:t>合同总金额的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货款结算（根据项目要求、采购文件、采购结果，按以下方式选择填写）：</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6"/>
          <w:kern w:val="0"/>
          <w:sz w:val="21"/>
          <w:szCs w:val="21"/>
          <w:highlight w:val="none"/>
        </w:rPr>
        <w:t>1</w:t>
      </w:r>
      <w:r>
        <w:rPr>
          <w:rFonts w:hint="eastAsia" w:ascii="宋体" w:hAnsi="宋体" w:eastAsia="宋体" w:cs="宋体"/>
          <w:color w:val="auto"/>
          <w:kern w:val="0"/>
          <w:sz w:val="21"/>
          <w:szCs w:val="21"/>
          <w:highlight w:val="none"/>
        </w:rPr>
        <w:t>）预付款方式：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lang w:val="en-US" w:eastAsia="zh-CN"/>
        </w:rPr>
        <w:t>40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lang w:val="en-US" w:eastAsia="zh-CN"/>
        </w:rPr>
        <w:t>60</w:t>
      </w:r>
      <w:r>
        <w:rPr>
          <w:rFonts w:hint="eastAsia" w:ascii="宋体" w:hAnsi="宋体" w:eastAsia="宋体" w:cs="宋体"/>
          <w:color w:val="auto"/>
          <w:kern w:val="0"/>
          <w:sz w:val="21"/>
          <w:szCs w:val="21"/>
          <w:highlight w:val="none"/>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lang w:val="en-US" w:eastAsia="zh-CN"/>
        </w:rPr>
        <w:t>30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lang w:val="en-US" w:eastAsia="zh-CN"/>
        </w:rPr>
        <w:t>70</w:t>
      </w:r>
      <w:r>
        <w:rPr>
          <w:rFonts w:hint="eastAsia" w:ascii="宋体" w:hAnsi="宋体" w:eastAsia="宋体" w:cs="宋体"/>
          <w:color w:val="auto"/>
          <w:kern w:val="0"/>
          <w:sz w:val="21"/>
          <w:szCs w:val="21"/>
          <w:highlight w:val="none"/>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③在签订合同时，乙方明确表示主动要求降低预付款比例的，可降低预付款比例（预付款保函同步调整）。</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（2）签订合同时乙方明确表示无需预付款或乙方为大型企业的，可以采用以下付款方式：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w:t>
      </w:r>
      <w:r>
        <w:rPr>
          <w:rFonts w:hint="eastAsia" w:ascii="宋体" w:hAnsi="宋体" w:eastAsia="宋体" w:cs="宋体"/>
          <w:bCs/>
          <w:color w:val="auto"/>
          <w:kern w:val="0"/>
          <w:sz w:val="21"/>
          <w:szCs w:val="21"/>
          <w:highlight w:val="none"/>
        </w:rPr>
        <w:t>货到分期付款：</w:t>
      </w:r>
      <w:r>
        <w:rPr>
          <w:rFonts w:hint="eastAsia" w:ascii="宋体" w:hAnsi="宋体" w:eastAsia="宋体" w:cs="宋体"/>
          <w:color w:val="auto"/>
          <w:kern w:val="0"/>
          <w:sz w:val="21"/>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②货到一次性支付：全部货物送达安装调试完毕，经甲方验收合格，收到发票后10个工作日内，甲方向乙方支付全部合同价款。</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③其它支付形式：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付款前，乙方须交纳合同约定的履约保证金（如有）并提供甲方财务处开具的履约保证金收据，乙方向甲方开具等额有效的合格增值税专用发票。甲方开票信息如下：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单位名称：杭州电子科技大学。税号：12330000470009026T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开户银行：工行杭州高新支行。账号：1202026209008806216</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四、知识产权 </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191" w:name="_Hlk155103594"/>
    </w:p>
    <w:bookmarkEnd w:id="191"/>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2.涉及产品定做的，甲方交付给乙方的设计图纸、样品、模具等商业秘密和知识产权归属于甲方，许可乙方在合同范围内使用，乙方负有保密责任。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乙方违反上述条款导致甲方受损的，由此所导致的所有责任以及甲方所支付的所有费用（包括但不限于律师费、诉讼费等）均由乙方承担。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五、转包或分包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本合同范围的货物，应由乙方直接供应，不得转让他人供应。</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color w:val="auto"/>
          <w:sz w:val="21"/>
          <w:szCs w:val="21"/>
          <w:highlight w:val="none"/>
          <w:lang w:val="en-US" w:eastAsia="zh-CN" w:bidi="ar-SA"/>
        </w:rPr>
        <w:t>2</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snapToGrid w:val="0"/>
          <w:color w:val="auto"/>
          <w:sz w:val="21"/>
          <w:szCs w:val="21"/>
          <w:highlight w:val="none"/>
          <w:lang w:val="en-US" w:eastAsia="zh-CN" w:bidi="ar-SA"/>
        </w:rPr>
        <w:t>除非得到甲方的书面同意，乙方不得将本合同范围的货物分包给他人供应。</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pacing w:val="-6"/>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如有转让或未经甲方同意的分包行为，甲方有权解除合同，没收履约保证金并追究乙方的违约责任。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六、货物交付</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交货期：自合同签订之日起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交货方式：</w:t>
      </w:r>
      <w:bookmarkStart w:id="192" w:name="_Hlk155602651"/>
      <w:r>
        <w:rPr>
          <w:rFonts w:hint="eastAsia" w:ascii="宋体" w:hAnsi="宋体" w:eastAsia="宋体" w:cs="宋体"/>
          <w:color w:val="auto"/>
          <w:kern w:val="0"/>
          <w:sz w:val="21"/>
          <w:szCs w:val="21"/>
          <w:highlight w:val="none"/>
        </w:rPr>
        <w:t>　　　送货上门　　</w:t>
      </w:r>
      <w:bookmarkStart w:id="193" w:name="_Hlk155602451"/>
      <w:r>
        <w:rPr>
          <w:rFonts w:hint="eastAsia" w:ascii="宋体" w:hAnsi="宋体" w:eastAsia="宋体" w:cs="宋体"/>
          <w:color w:val="auto"/>
          <w:kern w:val="0"/>
          <w:sz w:val="21"/>
          <w:szCs w:val="21"/>
          <w:highlight w:val="none"/>
        </w:rPr>
        <w:t>。</w:t>
      </w:r>
      <w:bookmarkEnd w:id="192"/>
      <w:bookmarkEnd w:id="193"/>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交货地点：</w:t>
      </w:r>
      <w:bookmarkStart w:id="194" w:name="_Hlk155602663"/>
      <w:r>
        <w:rPr>
          <w:rFonts w:hint="eastAsia" w:ascii="宋体" w:hAnsi="宋体" w:eastAsia="宋体" w:cs="宋体"/>
          <w:color w:val="auto"/>
          <w:kern w:val="0"/>
          <w:sz w:val="21"/>
          <w:szCs w:val="21"/>
          <w:highlight w:val="none"/>
        </w:rPr>
        <w:t xml:space="preserve"> 　　甲方指定地点　 。</w:t>
      </w:r>
      <w:bookmarkEnd w:id="194"/>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联系人及电话：</w:t>
      </w:r>
      <w:bookmarkStart w:id="195" w:name="_Hlk155181628"/>
      <w:r>
        <w:rPr>
          <w:rFonts w:hint="eastAsia" w:ascii="宋体" w:hAnsi="宋体" w:eastAsia="宋体" w:cs="宋体"/>
          <w:color w:val="auto"/>
          <w:kern w:val="0"/>
          <w:sz w:val="21"/>
          <w:szCs w:val="21"/>
          <w:highlight w:val="none"/>
        </w:rPr>
        <w:t>甲方 姓名_________联系电话</w:t>
      </w:r>
      <w:r>
        <w:rPr>
          <w:rFonts w:hint="eastAsia" w:ascii="宋体" w:hAnsi="宋体" w:eastAsia="宋体" w:cs="宋体"/>
          <w:color w:val="auto"/>
          <w:kern w:val="0"/>
          <w:sz w:val="21"/>
          <w:szCs w:val="21"/>
          <w:highlight w:val="none"/>
          <w:u w:val="single"/>
        </w:rPr>
        <w:t xml:space="preserve">（办公电话及手机号） </w:t>
      </w:r>
      <w:r>
        <w:rPr>
          <w:rFonts w:hint="eastAsia" w:ascii="宋体" w:hAnsi="宋体" w:eastAsia="宋体" w:cs="宋体"/>
          <w:color w:val="auto"/>
          <w:kern w:val="0"/>
          <w:sz w:val="21"/>
          <w:szCs w:val="21"/>
          <w:highlight w:val="none"/>
        </w:rPr>
        <w:t>；乙方 姓名 __________联系电话</w:t>
      </w:r>
      <w:r>
        <w:rPr>
          <w:rFonts w:hint="eastAsia" w:ascii="宋体" w:hAnsi="宋体" w:eastAsia="宋体" w:cs="宋体"/>
          <w:color w:val="auto"/>
          <w:kern w:val="0"/>
          <w:sz w:val="21"/>
          <w:szCs w:val="21"/>
          <w:highlight w:val="none"/>
          <w:u w:val="single"/>
        </w:rPr>
        <w:t xml:space="preserve">（办公电话及手机号） </w:t>
      </w:r>
      <w:bookmarkEnd w:id="195"/>
      <w:r>
        <w:rPr>
          <w:rFonts w:hint="eastAsia" w:ascii="宋体" w:hAnsi="宋体" w:eastAsia="宋体" w:cs="宋体"/>
          <w:color w:val="auto"/>
          <w:kern w:val="0"/>
          <w:sz w:val="21"/>
          <w:szCs w:val="21"/>
          <w:highlight w:val="none"/>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本合同所有物品运抵甲方现场后，乙方应在确保设备外包装完好无损的情况下向甲方交货，出现货物不全，外包装破损等情况，甲方不予接收，由乙方负责更换，其相关费用由乙方负担。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乙方负责在约定期内将货物安全运抵指定地点，运输方式由乙方自行决定，相关费用由乙方承担。运输途中产生的交通事故、人身伤害、财产损失等责任均由乙方自行承担，与甲方无涉。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七、安装与验收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验收由甲方负责实施，甲乙双方验收人员在安装数量和合同价格清单上签字确认。</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最终验收：货物经安装调试完成且符合技术要求后，甲方负责在</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196" w:name="_Hlk155181772"/>
    </w:p>
    <w:bookmarkEnd w:id="196"/>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八、质量保证与售后服务</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w:t>
      </w:r>
      <w:bookmarkStart w:id="197" w:name="_Hlk154577956"/>
      <w:r>
        <w:rPr>
          <w:rFonts w:hint="eastAsia" w:ascii="宋体" w:hAnsi="宋体" w:eastAsia="宋体" w:cs="宋体"/>
          <w:color w:val="auto"/>
          <w:kern w:val="0"/>
          <w:sz w:val="21"/>
          <w:szCs w:val="21"/>
          <w:highlight w:val="none"/>
        </w:rPr>
        <w:t>应按采购文件规定的货物性能、技术要求、质量标准向甲方提供</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月后生产的，全新未经使用的，符合国家法律规定和技术规格、质量标准的出厂原装合格产品。</w:t>
      </w:r>
      <w:bookmarkEnd w:id="197"/>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售后服务</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2.1远程技术支持：乙方应具有稳定的技术支持队伍和完善的服务支持网络，提供</w:t>
      </w:r>
      <w:r>
        <w:rPr>
          <w:rFonts w:hint="eastAsia" w:ascii="宋体" w:hAnsi="宋体" w:eastAsia="宋体" w:cs="宋体"/>
          <w:color w:val="auto"/>
          <w:kern w:val="0"/>
          <w:sz w:val="21"/>
          <w:szCs w:val="21"/>
          <w:highlight w:val="none"/>
          <w:u w:val="single"/>
        </w:rPr>
        <w:t xml:space="preserve"> 7×24小时 </w:t>
      </w:r>
      <w:r>
        <w:rPr>
          <w:rFonts w:hint="eastAsia" w:ascii="宋体" w:hAnsi="宋体" w:eastAsia="宋体" w:cs="宋体"/>
          <w:color w:val="auto"/>
          <w:kern w:val="0"/>
          <w:sz w:val="21"/>
          <w:szCs w:val="21"/>
          <w:highlight w:val="none"/>
        </w:rPr>
        <w:t>技术支持服务，及时响应甲方的技术服务支持需求，提出有效的解决方案，解决甲方在货物使用过程中遇到的实际问题。</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2.2现场技术支持：对于通过电话、邮件等远程技术支持不能解决的问题，乙方应在</w:t>
      </w:r>
      <w:r>
        <w:rPr>
          <w:rFonts w:hint="eastAsia" w:ascii="宋体" w:hAnsi="宋体" w:eastAsia="宋体" w:cs="宋体"/>
          <w:color w:val="auto"/>
          <w:kern w:val="0"/>
          <w:sz w:val="21"/>
          <w:szCs w:val="21"/>
          <w:highlight w:val="none"/>
          <w:u w:val="single"/>
          <w:lang w:val="en-US" w:eastAsia="zh-CN"/>
        </w:rPr>
        <w:t>12</w:t>
      </w:r>
      <w:r>
        <w:rPr>
          <w:rFonts w:hint="eastAsia" w:ascii="宋体" w:hAnsi="宋体" w:eastAsia="宋体" w:cs="宋体"/>
          <w:color w:val="auto"/>
          <w:kern w:val="0"/>
          <w:sz w:val="21"/>
          <w:szCs w:val="21"/>
          <w:highlight w:val="none"/>
        </w:rPr>
        <w:t>小时内派遣相关人员赶赴现场，</w:t>
      </w:r>
      <w:r>
        <w:rPr>
          <w:rFonts w:hint="eastAsia" w:ascii="宋体" w:hAnsi="宋体" w:eastAsia="宋体" w:cs="宋体"/>
          <w:color w:val="auto"/>
          <w:kern w:val="0"/>
          <w:sz w:val="21"/>
          <w:szCs w:val="21"/>
          <w:highlight w:val="none"/>
          <w:u w:val="single"/>
          <w:lang w:val="en-US" w:eastAsia="zh-CN"/>
        </w:rPr>
        <w:t>48</w:t>
      </w:r>
      <w:r>
        <w:rPr>
          <w:rFonts w:hint="eastAsia" w:ascii="宋体" w:hAnsi="宋体" w:eastAsia="宋体" w:cs="宋体"/>
          <w:color w:val="auto"/>
          <w:kern w:val="0"/>
          <w:sz w:val="21"/>
          <w:szCs w:val="21"/>
          <w:highlight w:val="none"/>
        </w:rPr>
        <w:t>小时内维修完毕；发生紧急抢修事故的，乙方应在接到甲方通知后</w:t>
      </w:r>
      <w:r>
        <w:rPr>
          <w:rFonts w:hint="eastAsia" w:ascii="宋体" w:hAnsi="宋体" w:eastAsia="宋体" w:cs="宋体"/>
          <w:color w:val="auto"/>
          <w:kern w:val="0"/>
          <w:sz w:val="21"/>
          <w:szCs w:val="21"/>
          <w:highlight w:val="none"/>
          <w:u w:val="single"/>
          <w:lang w:val="en-US" w:eastAsia="zh-CN"/>
        </w:rPr>
        <w:t>2</w:t>
      </w:r>
      <w:r>
        <w:rPr>
          <w:rFonts w:hint="eastAsia" w:ascii="宋体" w:hAnsi="宋体" w:eastAsia="宋体" w:cs="宋体"/>
          <w:color w:val="auto"/>
          <w:kern w:val="0"/>
          <w:sz w:val="21"/>
          <w:szCs w:val="21"/>
          <w:highlight w:val="none"/>
        </w:rPr>
        <w:t>小时内到达现场抢修，并于到达现场</w:t>
      </w:r>
      <w:r>
        <w:rPr>
          <w:rFonts w:hint="eastAsia" w:ascii="宋体" w:hAnsi="宋体" w:eastAsia="宋体" w:cs="宋体"/>
          <w:color w:val="auto"/>
          <w:kern w:val="0"/>
          <w:sz w:val="21"/>
          <w:szCs w:val="21"/>
          <w:highlight w:val="none"/>
          <w:u w:val="single"/>
          <w:lang w:val="en-US" w:eastAsia="zh-CN"/>
        </w:rPr>
        <w:t>6</w:t>
      </w:r>
      <w:r>
        <w:rPr>
          <w:rFonts w:hint="eastAsia" w:ascii="宋体" w:hAnsi="宋体" w:eastAsia="宋体" w:cs="宋体"/>
          <w:color w:val="auto"/>
          <w:kern w:val="0"/>
          <w:sz w:val="21"/>
          <w:szCs w:val="21"/>
          <w:highlight w:val="none"/>
        </w:rPr>
        <w:t>小时之内排除故障。乙方未在约定时间内修复的或同一货物经</w:t>
      </w:r>
      <w:r>
        <w:rPr>
          <w:rFonts w:hint="eastAsia" w:ascii="宋体" w:hAnsi="宋体" w:eastAsia="宋体" w:cs="宋体"/>
          <w:color w:val="auto"/>
          <w:kern w:val="0"/>
          <w:sz w:val="21"/>
          <w:szCs w:val="21"/>
          <w:highlight w:val="none"/>
          <w:u w:val="single"/>
          <w:lang w:val="en-US" w:eastAsia="zh-CN"/>
        </w:rPr>
        <w:t>2</w:t>
      </w:r>
      <w:r>
        <w:rPr>
          <w:rFonts w:hint="eastAsia" w:ascii="宋体" w:hAnsi="宋体" w:eastAsia="宋体" w:cs="宋体"/>
          <w:color w:val="auto"/>
          <w:kern w:val="0"/>
          <w:sz w:val="21"/>
          <w:szCs w:val="21"/>
          <w:highlight w:val="none"/>
        </w:rPr>
        <w:t>次维修后仍不能稳定、可靠运行的，甲方有权要求乙方免费更换。</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九、保密条款</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甲方无故逾期验收和办理货款支付手续的，每逾期一日，应按逾期付款总额</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向乙方支付违约金。</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乙方逾期交货完工的，每逾期一日，应按合同总价</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向甲方支付违约金。逾期超过约定日期</w:t>
      </w:r>
      <w:r>
        <w:rPr>
          <w:rFonts w:hint="eastAsia" w:ascii="宋体" w:hAnsi="宋体" w:eastAsia="宋体" w:cs="宋体"/>
          <w:color w:val="auto"/>
          <w:kern w:val="0"/>
          <w:sz w:val="21"/>
          <w:szCs w:val="21"/>
          <w:highlight w:val="none"/>
          <w:u w:val="single"/>
        </w:rPr>
        <w:t xml:space="preserve"> 10 </w:t>
      </w:r>
      <w:r>
        <w:rPr>
          <w:rFonts w:hint="eastAsia" w:ascii="宋体" w:hAnsi="宋体" w:eastAsia="宋体" w:cs="宋体"/>
          <w:color w:val="auto"/>
          <w:kern w:val="0"/>
          <w:sz w:val="21"/>
          <w:szCs w:val="21"/>
          <w:highlight w:val="none"/>
        </w:rPr>
        <w:t>个工作日不能交货完工的，甲方有权解除本合同，并要求乙方支付合同总价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乙方未能按约定要求履行保修义务的，</w:t>
      </w:r>
      <w:bookmarkStart w:id="198" w:name="_Hlk154755811"/>
      <w:r>
        <w:rPr>
          <w:rFonts w:hint="eastAsia" w:ascii="宋体" w:hAnsi="宋体" w:eastAsia="宋体" w:cs="宋体"/>
          <w:color w:val="auto"/>
          <w:kern w:val="0"/>
          <w:sz w:val="21"/>
          <w:szCs w:val="21"/>
          <w:highlight w:val="none"/>
        </w:rPr>
        <w:t>每发生一次应向甲方支付</w:t>
      </w:r>
      <w:r>
        <w:rPr>
          <w:rFonts w:hint="eastAsia" w:ascii="宋体" w:hAnsi="宋体" w:eastAsia="宋体" w:cs="宋体"/>
          <w:color w:val="auto"/>
          <w:kern w:val="0"/>
          <w:sz w:val="21"/>
          <w:szCs w:val="21"/>
          <w:highlight w:val="none"/>
          <w:u w:val="single"/>
          <w:lang w:val="en-US" w:eastAsia="zh-CN"/>
        </w:rPr>
        <w:t>3000</w:t>
      </w:r>
      <w:r>
        <w:rPr>
          <w:rFonts w:hint="eastAsia" w:ascii="宋体" w:hAnsi="宋体" w:eastAsia="宋体" w:cs="宋体"/>
          <w:color w:val="auto"/>
          <w:kern w:val="0"/>
          <w:sz w:val="21"/>
          <w:szCs w:val="21"/>
          <w:highlight w:val="none"/>
        </w:rPr>
        <w:t>元的违约金，同时，甲方有权委托第三方进行保修，所产生的费用由乙方承担。</w:t>
      </w:r>
      <w:bookmarkEnd w:id="198"/>
      <w:r>
        <w:rPr>
          <w:rFonts w:hint="eastAsia" w:ascii="宋体" w:hAnsi="宋体" w:eastAsia="宋体" w:cs="宋体"/>
          <w:color w:val="auto"/>
          <w:kern w:val="0"/>
          <w:sz w:val="21"/>
          <w:szCs w:val="21"/>
          <w:highlight w:val="none"/>
        </w:rPr>
        <w:t>若因货物缺陷或乙方服务质量等问题造成甲方或任何人员人身、财产损害的，乙方应承担有关责任并作出相应赔偿。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因乙方其他违约行为导致甲方解除合同的，乙方应向甲方支付合同总价 </w:t>
      </w:r>
      <w:r>
        <w:rPr>
          <w:rFonts w:hint="eastAsia" w:ascii="宋体" w:hAnsi="宋体" w:eastAsia="宋体" w:cs="宋体"/>
          <w:color w:val="auto"/>
          <w:kern w:val="0"/>
          <w:sz w:val="21"/>
          <w:szCs w:val="21"/>
          <w:highlight w:val="none"/>
          <w:u w:val="single"/>
        </w:rPr>
        <w:t>5 %</w:t>
      </w:r>
      <w:r>
        <w:rPr>
          <w:rFonts w:hint="eastAsia" w:ascii="宋体" w:hAnsi="宋体" w:eastAsia="宋体" w:cs="宋体"/>
          <w:color w:val="auto"/>
          <w:kern w:val="0"/>
          <w:sz w:val="21"/>
          <w:szCs w:val="21"/>
          <w:highlight w:val="none"/>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十一、不可抗力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在合同有效期内，任何一方因不可抗力事件导致不能履行合同，则合同履行期可延长，其延长期与不可抗力影响期相同。</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本条所述的“不可抗力”系指双方不可预见、不可避免、不可克服的事件。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不可抗力事件发生后，受不可抗力事件影响的一方应在事件发生后3日内通知对方，并寄送有关权威机构出具的证明。同时应立即尽一切合理努力采取措施，消除影响，减少损失。</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不可抗力事件延续30天以上，双方应通过友好协商，确定是否继续履行合同。</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十二、法律适用与争议解决</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本合同的订立、解释、履行及争议解决，均适用中华人民共和国法律。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本合同履行过程中发生争议的，甲乙双方应友好协商；协商不成的，任何一方可向甲方所在地人民法院起诉。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十三、合同生效及其他</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本合同经甲、乙双方代表签字并加盖单位公章或合同专用章后生效，甲方的单位公章盖采购中心合同专用章（其他部门公章无效）。</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本次采购过程中形成的招标（非招标）文件、投标（响应）文件、澄清承诺、补充协议、附件等</w:t>
      </w:r>
      <w:r>
        <w:rPr>
          <w:rFonts w:hint="eastAsia" w:ascii="宋体" w:hAnsi="宋体" w:eastAsia="宋体" w:cs="宋体"/>
          <w:color w:val="auto"/>
          <w:kern w:val="0"/>
          <w:sz w:val="21"/>
          <w:szCs w:val="21"/>
          <w:highlight w:val="none"/>
          <w:lang w:val="zh-CN"/>
        </w:rPr>
        <w:t>为本合同的组成部分，并构成一个整体，需综合解释、相互补充。如果</w:t>
      </w:r>
      <w:r>
        <w:rPr>
          <w:rFonts w:hint="eastAsia" w:ascii="宋体" w:hAnsi="宋体" w:eastAsia="宋体" w:cs="宋体"/>
          <w:color w:val="auto"/>
          <w:kern w:val="0"/>
          <w:sz w:val="21"/>
          <w:szCs w:val="21"/>
          <w:highlight w:val="none"/>
        </w:rPr>
        <w:t>上述</w:t>
      </w:r>
      <w:r>
        <w:rPr>
          <w:rFonts w:hint="eastAsia" w:ascii="宋体" w:hAnsi="宋体" w:eastAsia="宋体" w:cs="宋体"/>
          <w:color w:val="auto"/>
          <w:kern w:val="0"/>
          <w:sz w:val="21"/>
          <w:szCs w:val="21"/>
          <w:highlight w:val="none"/>
          <w:lang w:val="zh-CN"/>
        </w:rPr>
        <w:t>文件内容出现不一致的情形，那么在保证按照采购文件确定的事项的前提下，组成本合同的多个文件的优先适用顺序如下：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（1）本合同及其补充合同、变更协议；</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（2）中标（成交）通知书；</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（3）投标（</w:t>
      </w:r>
      <w:r>
        <w:rPr>
          <w:rFonts w:hint="eastAsia" w:ascii="宋体" w:hAnsi="宋体" w:eastAsia="宋体" w:cs="宋体"/>
          <w:color w:val="auto"/>
          <w:kern w:val="0"/>
          <w:sz w:val="21"/>
          <w:szCs w:val="21"/>
          <w:highlight w:val="none"/>
          <w:lang w:val="zh-CN"/>
        </w:rPr>
        <w:t>响应）文件（含澄清或者说明文件）；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（4）招标（非招标）</w:t>
      </w:r>
      <w:r>
        <w:rPr>
          <w:rFonts w:hint="eastAsia" w:ascii="宋体" w:hAnsi="宋体" w:eastAsia="宋体" w:cs="宋体"/>
          <w:color w:val="auto"/>
          <w:kern w:val="0"/>
          <w:sz w:val="21"/>
          <w:szCs w:val="21"/>
          <w:highlight w:val="none"/>
          <w:lang w:val="zh-CN"/>
        </w:rPr>
        <w:t>文件（含澄清或者修改文件）；</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（5）</w:t>
      </w:r>
      <w:r>
        <w:rPr>
          <w:rFonts w:hint="eastAsia" w:ascii="宋体" w:hAnsi="宋体" w:eastAsia="宋体" w:cs="宋体"/>
          <w:snapToGrid w:val="0"/>
          <w:color w:val="auto"/>
          <w:sz w:val="21"/>
          <w:szCs w:val="21"/>
          <w:highlight w:val="none"/>
          <w:lang w:val="zh-CN" w:eastAsia="zh-CN" w:bidi="ar-SA"/>
        </w:rPr>
        <w:t>其他相关采购文件。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本合同未尽事宜，遵照《中华人民共和国民法典》有关条文执行。</w:t>
      </w:r>
    </w:p>
    <w:p>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5.</w:t>
      </w:r>
      <w:r>
        <w:rPr>
          <w:rFonts w:hint="eastAsia" w:ascii="宋体" w:hAnsi="宋体" w:eastAsia="宋体" w:cs="宋体"/>
          <w:color w:val="auto"/>
          <w:kern w:val="0"/>
          <w:sz w:val="21"/>
          <w:szCs w:val="21"/>
          <w:highlight w:val="none"/>
        </w:rPr>
        <w:t>本合同一式</w:t>
      </w:r>
      <w:r>
        <w:rPr>
          <w:rFonts w:hint="eastAsia" w:ascii="宋体" w:hAnsi="宋体" w:eastAsia="宋体" w:cs="宋体"/>
          <w:color w:val="auto"/>
          <w:kern w:val="0"/>
          <w:sz w:val="21"/>
          <w:szCs w:val="21"/>
          <w:highlight w:val="none"/>
          <w:lang w:val="en-US" w:eastAsia="zh-CN"/>
        </w:rPr>
        <w:t>伍</w:t>
      </w:r>
      <w:r>
        <w:rPr>
          <w:rFonts w:hint="eastAsia" w:ascii="宋体" w:hAnsi="宋体" w:eastAsia="宋体" w:cs="宋体"/>
          <w:color w:val="auto"/>
          <w:kern w:val="0"/>
          <w:sz w:val="21"/>
          <w:szCs w:val="21"/>
          <w:highlight w:val="none"/>
        </w:rPr>
        <w:t>份，甲方执叁份，乙方执一份，</w:t>
      </w:r>
      <w:r>
        <w:rPr>
          <w:rFonts w:hint="eastAsia" w:ascii="宋体" w:hAnsi="宋体" w:eastAsia="宋体" w:cs="宋体"/>
          <w:color w:val="auto"/>
          <w:kern w:val="0"/>
          <w:sz w:val="21"/>
          <w:szCs w:val="21"/>
          <w:highlight w:val="none"/>
          <w:lang w:val="en-US" w:eastAsia="zh-CN"/>
        </w:rPr>
        <w:t>采购代理机构执一份，</w:t>
      </w:r>
      <w:r>
        <w:rPr>
          <w:rFonts w:hint="eastAsia" w:ascii="宋体" w:hAnsi="宋体" w:eastAsia="宋体" w:cs="宋体"/>
          <w:color w:val="auto"/>
          <w:kern w:val="0"/>
          <w:sz w:val="21"/>
          <w:szCs w:val="21"/>
          <w:highlight w:val="none"/>
        </w:rPr>
        <w:t>具有同等法律效力。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合同附件：   （附件名称）（如有则填写，如无则删除）</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p>
    <w:tbl>
      <w:tblPr>
        <w:tblStyle w:val="23"/>
        <w:tblW w:w="9249" w:type="dxa"/>
        <w:jc w:val="center"/>
        <w:tblInd w:w="0" w:type="dxa"/>
        <w:tblLayout w:type="fixed"/>
        <w:tblCellMar>
          <w:top w:w="0" w:type="dxa"/>
          <w:left w:w="108" w:type="dxa"/>
          <w:bottom w:w="0" w:type="dxa"/>
          <w:right w:w="108" w:type="dxa"/>
        </w:tblCellMar>
      </w:tblPr>
      <w:tblGrid>
        <w:gridCol w:w="5073"/>
        <w:gridCol w:w="4176"/>
      </w:tblGrid>
      <w:tr>
        <w:tblPrEx>
          <w:tblLayout w:type="fixed"/>
        </w:tblPrEx>
        <w:trPr>
          <w:trHeight w:val="632" w:hRule="atLeast"/>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甲方：杭州电子科技大学（公章）</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乙方：（公章）</w:t>
            </w:r>
          </w:p>
        </w:tc>
      </w:tr>
      <w:tr>
        <w:tblPrEx>
          <w:tblLayout w:type="fixed"/>
          <w:tblCellMar>
            <w:top w:w="0" w:type="dxa"/>
            <w:left w:w="108" w:type="dxa"/>
            <w:bottom w:w="0" w:type="dxa"/>
            <w:right w:w="108" w:type="dxa"/>
          </w:tblCellMar>
        </w:tblPrEx>
        <w:trPr>
          <w:trHeight w:val="717" w:hRule="atLeast"/>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地址：杭州下沙高教园区二号大街1158号</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电话： </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电话</w:t>
            </w:r>
            <w:r>
              <w:rPr>
                <w:rFonts w:hint="eastAsia" w:ascii="宋体" w:hAnsi="宋体" w:eastAsia="宋体" w:cs="宋体"/>
                <w:color w:val="auto"/>
                <w:spacing w:val="-6"/>
                <w:kern w:val="0"/>
                <w:sz w:val="21"/>
                <w:szCs w:val="21"/>
                <w:highlight w:val="none"/>
                <w:lang w:eastAsia="zh-CN"/>
              </w:rPr>
              <w:t>：</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开户银行：工行高新支行 </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帐号：1202026209008806216</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帐号</w:t>
            </w:r>
            <w:r>
              <w:rPr>
                <w:rFonts w:hint="eastAsia" w:ascii="宋体" w:hAnsi="宋体" w:eastAsia="宋体" w:cs="宋体"/>
                <w:color w:val="auto"/>
                <w:spacing w:val="-6"/>
                <w:kern w:val="0"/>
                <w:sz w:val="21"/>
                <w:szCs w:val="21"/>
                <w:highlight w:val="none"/>
                <w:lang w:eastAsia="zh-CN"/>
              </w:rPr>
              <w:t>：</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r>
        <w:tblPrEx>
          <w:tblLayout w:type="fixed"/>
          <w:tblCellMar>
            <w:top w:w="0" w:type="dxa"/>
            <w:left w:w="108" w:type="dxa"/>
            <w:bottom w:w="0" w:type="dxa"/>
            <w:right w:w="108" w:type="dxa"/>
          </w:tblCellMar>
        </w:tblPrEx>
        <w:trPr>
          <w:jc w:val="center"/>
        </w:trPr>
        <w:tc>
          <w:tcPr>
            <w:tcW w:w="9249" w:type="dxa"/>
            <w:gridSpan w:val="2"/>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合同鉴证方（公章）：</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代表人：</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bl>
    <w:p>
      <w:pPr>
        <w:autoSpaceDE w:val="0"/>
        <w:autoSpaceDN w:val="0"/>
        <w:adjustRightInd w:val="0"/>
        <w:snapToGrid w:val="0"/>
        <w:spacing w:line="288" w:lineRule="auto"/>
        <w:jc w:val="left"/>
        <w:rPr>
          <w:rFonts w:ascii="宋体" w:hAnsi="宋体" w:eastAsia="宋体" w:cs="Arial"/>
          <w:color w:val="auto"/>
          <w:kern w:val="0"/>
          <w:sz w:val="24"/>
          <w:szCs w:val="24"/>
          <w:highlight w:val="none"/>
        </w:rPr>
      </w:pPr>
    </w:p>
    <w:p>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pPr>
        <w:adjustRightInd w:val="0"/>
        <w:snapToGrid w:val="0"/>
        <w:spacing w:line="288" w:lineRule="auto"/>
        <w:rPr>
          <w:rFonts w:ascii="宋体" w:hAnsi="宋体" w:eastAsia="宋体" w:cs="Times New Roman"/>
          <w:b/>
          <w:bCs/>
          <w:color w:val="auto"/>
          <w:spacing w:val="-6"/>
          <w:sz w:val="24"/>
          <w:szCs w:val="24"/>
          <w:highlight w:val="none"/>
        </w:rPr>
      </w:pPr>
    </w:p>
    <w:p>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pPr>
        <w:adjustRightInd w:val="0"/>
        <w:snapToGrid w:val="0"/>
        <w:spacing w:line="288" w:lineRule="auto"/>
        <w:rPr>
          <w:rFonts w:ascii="宋体" w:hAnsi="宋体" w:eastAsia="宋体" w:cs="Times New Roman"/>
          <w:b/>
          <w:bCs/>
          <w:color w:val="auto"/>
          <w:spacing w:val="-6"/>
          <w:sz w:val="24"/>
          <w:szCs w:val="24"/>
          <w:highlight w:val="none"/>
        </w:rPr>
      </w:pP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w:t>
      </w:r>
      <w:r>
        <w:rPr>
          <w:rFonts w:ascii="宋体" w:hAnsi="宋体" w:eastAsia="宋体" w:cs="宋体"/>
          <w:bCs/>
          <w:color w:val="auto"/>
          <w:spacing w:val="-6"/>
          <w:szCs w:val="21"/>
          <w:highlight w:val="none"/>
        </w:rPr>
        <w:t>1）</w:t>
      </w: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w:t>
      </w:r>
      <w:r>
        <w:rPr>
          <w:rFonts w:hint="eastAsia" w:ascii="宋体" w:hAnsi="宋体" w:eastAsia="宋体" w:cs="宋体"/>
          <w:bCs/>
          <w:color w:val="auto"/>
          <w:spacing w:val="-6"/>
          <w:szCs w:val="21"/>
          <w:highlight w:val="none"/>
        </w:rPr>
        <w:t>材料</w:t>
      </w:r>
      <w:r>
        <w:rPr>
          <w:rFonts w:ascii="宋体" w:hAnsi="宋体" w:eastAsia="宋体" w:cs="宋体"/>
          <w:bCs/>
          <w:color w:val="auto"/>
          <w:spacing w:val="-6"/>
          <w:szCs w:val="21"/>
          <w:highlight w:val="none"/>
        </w:rPr>
        <w:t>。</w:t>
      </w:r>
    </w:p>
    <w:p>
      <w:pPr>
        <w:adjustRightInd w:val="0"/>
        <w:snapToGrid w:val="0"/>
        <w:spacing w:line="288" w:lineRule="auto"/>
        <w:jc w:val="left"/>
        <w:rPr>
          <w:rFonts w:ascii="宋体" w:hAnsi="宋体" w:eastAsia="宋体" w:cs="宋体"/>
          <w:b/>
          <w:color w:val="auto"/>
          <w:spacing w:val="-6"/>
          <w:szCs w:val="21"/>
          <w:highlight w:val="none"/>
        </w:rPr>
      </w:pP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2023年7月（含）</w:t>
      </w:r>
      <w:r>
        <w:rPr>
          <w:rFonts w:ascii="宋体" w:hAnsi="宋体" w:eastAsia="宋体" w:cs="Times New Roman"/>
          <w:color w:val="auto"/>
          <w:spacing w:val="-6"/>
          <w:szCs w:val="21"/>
          <w:highlight w:val="none"/>
        </w:rPr>
        <w:t>以后任意一月）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货物配置清单</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6</w:t>
      </w:r>
      <w:r>
        <w:rPr>
          <w:rFonts w:hint="eastAsia" w:ascii="宋体" w:hAnsi="宋体" w:eastAsia="宋体" w:cs="宋体"/>
          <w:color w:val="auto"/>
          <w:spacing w:val="-6"/>
          <w:szCs w:val="21"/>
          <w:highlight w:val="none"/>
        </w:rPr>
        <w:t>）技术方案：</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设备功能配置</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组织实施方案</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培训</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售后服务</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配件耗材</w:t>
      </w:r>
    </w:p>
    <w:p>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）节能、环保产品证明材料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（8）科技创新相关证明材料</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9</w:t>
      </w:r>
      <w:r>
        <w:rPr>
          <w:rFonts w:ascii="宋体" w:hAnsi="宋体" w:eastAsia="宋体" w:cs="宋体"/>
          <w:color w:val="auto"/>
          <w:spacing w:val="-6"/>
          <w:szCs w:val="21"/>
          <w:highlight w:val="none"/>
        </w:rPr>
        <w:t>）投标人需要说明的其他文件和材料。</w:t>
      </w:r>
    </w:p>
    <w:p>
      <w:pPr>
        <w:adjustRightInd w:val="0"/>
        <w:snapToGrid w:val="0"/>
        <w:spacing w:line="288" w:lineRule="auto"/>
        <w:jc w:val="left"/>
        <w:rPr>
          <w:rFonts w:ascii="宋体" w:hAnsi="宋体" w:eastAsia="宋体" w:cs="Times New Roman"/>
          <w:b/>
          <w:color w:val="auto"/>
          <w:spacing w:val="-6"/>
          <w:szCs w:val="21"/>
          <w:highlight w:val="none"/>
        </w:rPr>
      </w:pP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）中小企业声明函</w:t>
      </w:r>
      <w:bookmarkStart w:id="199" w:name="_Hlk81815656"/>
      <w:r>
        <w:rPr>
          <w:rFonts w:hint="eastAsia" w:ascii="宋体" w:hAnsi="宋体" w:eastAsia="宋体" w:cs="Times New Roman"/>
          <w:color w:val="auto"/>
          <w:spacing w:val="-6"/>
          <w:szCs w:val="21"/>
          <w:highlight w:val="none"/>
        </w:rPr>
        <w:t>（若属于中小企业）</w:t>
      </w:r>
      <w:bookmarkEnd w:id="199"/>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）属于监狱企业的证明文件</w:t>
      </w:r>
      <w:bookmarkStart w:id="200" w:name="_Hlk81815359"/>
      <w:r>
        <w:rPr>
          <w:rFonts w:hint="eastAsia" w:ascii="宋体" w:hAnsi="宋体" w:eastAsia="宋体" w:cs="Times New Roman"/>
          <w:color w:val="auto"/>
          <w:spacing w:val="-6"/>
          <w:szCs w:val="21"/>
          <w:highlight w:val="none"/>
        </w:rPr>
        <w:t>（若属于监狱企业）</w:t>
      </w:r>
      <w:bookmarkEnd w:id="200"/>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w:t>
      </w:r>
      <w:bookmarkStart w:id="201" w:name="OLE_LINK13"/>
      <w:bookmarkStart w:id="202" w:name="OLE_LINK14"/>
      <w:r>
        <w:rPr>
          <w:rFonts w:hint="eastAsia" w:ascii="宋体" w:hAnsi="宋体" w:eastAsia="宋体" w:cs="Times New Roman"/>
          <w:color w:val="auto"/>
          <w:spacing w:val="-6"/>
          <w:szCs w:val="21"/>
          <w:highlight w:val="none"/>
        </w:rPr>
        <w:t>残疾人福利性单位声明函</w:t>
      </w:r>
      <w:bookmarkEnd w:id="201"/>
      <w:bookmarkEnd w:id="202"/>
      <w:bookmarkStart w:id="203" w:name="_Hlk81815372"/>
      <w:r>
        <w:rPr>
          <w:rFonts w:hint="eastAsia" w:ascii="宋体" w:hAnsi="宋体" w:eastAsia="宋体" w:cs="Times New Roman"/>
          <w:color w:val="auto"/>
          <w:spacing w:val="-6"/>
          <w:szCs w:val="21"/>
          <w:highlight w:val="none"/>
        </w:rPr>
        <w:t>（若属于残疾人福利性单位）</w:t>
      </w:r>
      <w:bookmarkEnd w:id="203"/>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pPr>
              <w:tabs>
                <w:tab w:val="left" w:pos="1418"/>
              </w:tabs>
              <w:adjustRightInd w:val="0"/>
              <w:snapToGrid w:val="0"/>
              <w:spacing w:line="288" w:lineRule="auto"/>
              <w:ind w:firstLine="398"/>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评分标准</w:t>
            </w:r>
          </w:p>
        </w:tc>
        <w:tc>
          <w:tcPr>
            <w:tcW w:w="967" w:type="dxa"/>
            <w:vAlign w:val="center"/>
          </w:tcPr>
          <w:p>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自评分</w:t>
            </w:r>
          </w:p>
        </w:tc>
        <w:tc>
          <w:tcPr>
            <w:tcW w:w="1053" w:type="dxa"/>
            <w:vAlign w:val="center"/>
          </w:tcPr>
          <w:p>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自评依据</w:t>
            </w:r>
          </w:p>
        </w:tc>
        <w:tc>
          <w:tcPr>
            <w:tcW w:w="882" w:type="dxa"/>
            <w:vAlign w:val="center"/>
          </w:tcPr>
          <w:p>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pPr>
              <w:adjustRightInd w:val="0"/>
              <w:snapToGrid w:val="0"/>
              <w:spacing w:line="288" w:lineRule="auto"/>
              <w:jc w:val="center"/>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pPr>
              <w:adjustRightInd w:val="0"/>
              <w:snapToGrid w:val="0"/>
              <w:spacing w:line="288" w:lineRule="auto"/>
              <w:jc w:val="center"/>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kern w:val="0"/>
                <w:szCs w:val="21"/>
                <w:highlight w:val="none"/>
              </w:rPr>
            </w:pPr>
          </w:p>
        </w:tc>
        <w:tc>
          <w:tcPr>
            <w:tcW w:w="2091" w:type="dxa"/>
            <w:vAlign w:val="center"/>
          </w:tcPr>
          <w:p>
            <w:pPr>
              <w:adjustRightInd w:val="0"/>
              <w:snapToGrid w:val="0"/>
              <w:spacing w:line="288" w:lineRule="auto"/>
              <w:jc w:val="center"/>
              <w:rPr>
                <w:rFonts w:ascii="宋体" w:hAnsi="宋体" w:eastAsia="宋体" w:cs="Times New Roman"/>
                <w:color w:val="auto"/>
                <w:kern w:val="0"/>
                <w:szCs w:val="21"/>
                <w:highlight w:val="none"/>
              </w:rPr>
            </w:pPr>
          </w:p>
        </w:tc>
        <w:tc>
          <w:tcPr>
            <w:tcW w:w="709" w:type="dxa"/>
            <w:vAlign w:val="center"/>
          </w:tcPr>
          <w:p>
            <w:pPr>
              <w:adjustRightInd w:val="0"/>
              <w:snapToGrid w:val="0"/>
              <w:spacing w:line="288" w:lineRule="auto"/>
              <w:jc w:val="center"/>
              <w:rPr>
                <w:rFonts w:ascii="宋体" w:hAnsi="宋体" w:eastAsia="宋体" w:cs="Times New Roman"/>
                <w:color w:val="auto"/>
                <w:kern w:val="0"/>
                <w:szCs w:val="21"/>
                <w:highlight w:val="none"/>
              </w:rPr>
            </w:pPr>
          </w:p>
        </w:tc>
        <w:tc>
          <w:tcPr>
            <w:tcW w:w="3040" w:type="dxa"/>
            <w:vAlign w:val="center"/>
          </w:tcPr>
          <w:p>
            <w:pPr>
              <w:adjustRightInd w:val="0"/>
              <w:snapToGrid w:val="0"/>
              <w:spacing w:line="288" w:lineRule="auto"/>
              <w:rPr>
                <w:rFonts w:ascii="宋体" w:hAnsi="宋体" w:eastAsia="宋体" w:cs="Times New Roman"/>
                <w:color w:val="auto"/>
                <w:kern w:val="0"/>
                <w:szCs w:val="21"/>
                <w:highlight w:val="none"/>
              </w:rPr>
            </w:pPr>
          </w:p>
        </w:tc>
        <w:tc>
          <w:tcPr>
            <w:tcW w:w="967" w:type="dxa"/>
            <w:vAlign w:val="center"/>
          </w:tcPr>
          <w:p>
            <w:pPr>
              <w:adjustRightInd w:val="0"/>
              <w:snapToGrid w:val="0"/>
              <w:spacing w:line="288" w:lineRule="auto"/>
              <w:jc w:val="center"/>
              <w:rPr>
                <w:rFonts w:ascii="宋体" w:hAnsi="宋体" w:eastAsia="宋体" w:cs="Times New Roman"/>
                <w:color w:val="auto"/>
                <w:szCs w:val="21"/>
                <w:highlight w:val="none"/>
              </w:rPr>
            </w:pPr>
          </w:p>
        </w:tc>
        <w:tc>
          <w:tcPr>
            <w:tcW w:w="1053" w:type="dxa"/>
            <w:vAlign w:val="center"/>
          </w:tcPr>
          <w:p>
            <w:pPr>
              <w:adjustRightInd w:val="0"/>
              <w:snapToGrid w:val="0"/>
              <w:spacing w:line="288" w:lineRule="auto"/>
              <w:jc w:val="center"/>
              <w:rPr>
                <w:rFonts w:ascii="宋体" w:hAnsi="宋体" w:eastAsia="宋体" w:cs="Times New Roman"/>
                <w:color w:val="auto"/>
                <w:szCs w:val="21"/>
                <w:highlight w:val="none"/>
              </w:rPr>
            </w:pPr>
          </w:p>
        </w:tc>
        <w:tc>
          <w:tcPr>
            <w:tcW w:w="882" w:type="dxa"/>
          </w:tcPr>
          <w:p>
            <w:pPr>
              <w:adjustRightInd w:val="0"/>
              <w:snapToGrid w:val="0"/>
              <w:spacing w:line="288" w:lineRule="auto"/>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pPr>
              <w:adjustRightInd w:val="0"/>
              <w:snapToGrid w:val="0"/>
              <w:spacing w:line="288" w:lineRule="auto"/>
              <w:jc w:val="center"/>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pPr>
              <w:adjustRightInd w:val="0"/>
              <w:snapToGrid w:val="0"/>
              <w:spacing w:line="288" w:lineRule="auto"/>
              <w:jc w:val="center"/>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pPr>
              <w:adjustRightInd w:val="0"/>
              <w:snapToGrid w:val="0"/>
              <w:spacing w:line="288" w:lineRule="auto"/>
              <w:jc w:val="center"/>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ascii="宋体" w:hAnsi="宋体" w:eastAsia="宋体" w:cs="Times New Roman"/>
                <w:b/>
                <w:color w:val="auto"/>
                <w:spacing w:val="-6"/>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pPr>
              <w:adjustRightInd w:val="0"/>
              <w:snapToGrid w:val="0"/>
              <w:spacing w:line="288" w:lineRule="auto"/>
              <w:jc w:val="center"/>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pPr>
              <w:adjustRightInd w:val="0"/>
              <w:snapToGrid w:val="0"/>
              <w:spacing w:line="288" w:lineRule="auto"/>
              <w:jc w:val="center"/>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pPr>
              <w:adjustRightInd w:val="0"/>
              <w:snapToGrid w:val="0"/>
              <w:spacing w:line="288" w:lineRule="auto"/>
              <w:jc w:val="center"/>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pPr>
              <w:adjustRightInd w:val="0"/>
              <w:snapToGrid w:val="0"/>
              <w:spacing w:line="288" w:lineRule="auto"/>
              <w:jc w:val="center"/>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pPr>
              <w:adjustRightInd w:val="0"/>
              <w:snapToGrid w:val="0"/>
              <w:spacing w:line="288" w:lineRule="auto"/>
              <w:jc w:val="center"/>
              <w:rPr>
                <w:rFonts w:ascii="宋体" w:hAnsi="宋体" w:eastAsia="宋体" w:cs="Times New Roman"/>
                <w:color w:val="auto"/>
                <w:spacing w:val="-6"/>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pPr>
        <w:adjustRightInd w:val="0"/>
        <w:snapToGrid w:val="0"/>
        <w:spacing w:line="288" w:lineRule="auto"/>
        <w:jc w:val="center"/>
        <w:rPr>
          <w:rFonts w:ascii="宋体" w:hAnsi="宋体" w:eastAsia="宋体" w:cs="宋体"/>
          <w:b/>
          <w:bCs/>
          <w:color w:val="auto"/>
          <w:sz w:val="24"/>
          <w:szCs w:val="24"/>
          <w:highlight w:val="none"/>
        </w:rPr>
      </w:pPr>
    </w:p>
    <w:p>
      <w:pPr>
        <w:adjustRightInd w:val="0"/>
        <w:snapToGrid w:val="0"/>
        <w:spacing w:line="288" w:lineRule="auto"/>
        <w:jc w:val="center"/>
        <w:rPr>
          <w:rFonts w:ascii="宋体" w:hAnsi="宋体" w:eastAsia="宋体" w:cs="宋体"/>
          <w:b/>
          <w:bCs/>
          <w:color w:val="auto"/>
          <w:sz w:val="24"/>
          <w:szCs w:val="24"/>
          <w:highlight w:val="none"/>
        </w:rPr>
      </w:pPr>
    </w:p>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pPr>
        <w:adjustRightInd w:val="0"/>
        <w:snapToGrid w:val="0"/>
        <w:spacing w:line="288" w:lineRule="auto"/>
        <w:rPr>
          <w:rFonts w:ascii="宋体" w:hAnsi="宋体" w:eastAsia="宋体" w:cs="Times New Roman"/>
          <w:bCs/>
          <w:color w:val="auto"/>
          <w:spacing w:val="-6"/>
          <w:szCs w:val="21"/>
          <w:highlight w:val="none"/>
        </w:rPr>
      </w:pP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widowControl/>
        <w:adjustRightInd w:val="0"/>
        <w:snapToGrid w:val="0"/>
        <w:spacing w:line="288" w:lineRule="auto"/>
        <w:jc w:val="left"/>
        <w:rPr>
          <w:rFonts w:ascii="宋体" w:hAnsi="宋体" w:eastAsia="宋体" w:cs="宋体"/>
          <w:b/>
          <w:color w:val="auto"/>
          <w:spacing w:val="-6"/>
          <w:szCs w:val="21"/>
          <w:highlight w:val="none"/>
        </w:rPr>
      </w:pP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杭州电子科技大学下沙校区、生活区、G区研究生公寓水电基础设施改造项目第二批设备采购</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QSZB-Z(H)-B24133(GK)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pPr>
              <w:adjustRightInd w:val="0"/>
              <w:snapToGrid w:val="0"/>
              <w:spacing w:line="288" w:lineRule="auto"/>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pPr>
              <w:adjustRightInd w:val="0"/>
              <w:snapToGrid w:val="0"/>
              <w:spacing w:line="288" w:lineRule="auto"/>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pPr>
              <w:adjustRightInd w:val="0"/>
              <w:snapToGrid w:val="0"/>
              <w:spacing w:line="288" w:lineRule="auto"/>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pPr>
              <w:adjustRightInd w:val="0"/>
              <w:snapToGrid w:val="0"/>
              <w:spacing w:line="288" w:lineRule="auto"/>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pPr>
              <w:adjustRightInd w:val="0"/>
              <w:snapToGrid w:val="0"/>
              <w:spacing w:line="288" w:lineRule="auto"/>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pPr>
              <w:adjustRightInd w:val="0"/>
              <w:snapToGrid w:val="0"/>
              <w:spacing w:line="288" w:lineRule="auto"/>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pPr>
              <w:adjustRightInd w:val="0"/>
              <w:snapToGrid w:val="0"/>
              <w:spacing w:line="288" w:lineRule="auto"/>
              <w:rPr>
                <w:rFonts w:ascii="宋体" w:hAnsi="宋体" w:eastAsia="宋体" w:cs="Times New Roman"/>
                <w:color w:val="auto"/>
                <w:spacing w:val="-6"/>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杭州电子科技大学下沙校区、生活区、G区研究生公寓水电基础设施改造项目第二批设备采购</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QSZB-Z(H)-B24133(GK)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2023年7月（含）</w:t>
      </w:r>
      <w:r>
        <w:rPr>
          <w:rFonts w:hint="eastAsia" w:ascii="宋体" w:hAnsi="宋体" w:eastAsia="宋体" w:cs="Times New Roman"/>
          <w:color w:val="auto"/>
          <w:spacing w:val="-6"/>
          <w:szCs w:val="21"/>
          <w:highlight w:val="none"/>
          <w:u w:val="single"/>
        </w:rPr>
        <w:t>以后任意一月）。</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pPr>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pPr>
        <w:adjustRightInd w:val="0"/>
        <w:snapToGrid w:val="0"/>
        <w:spacing w:line="288" w:lineRule="auto"/>
        <w:rPr>
          <w:rFonts w:ascii="Times New Roman" w:hAnsi="Times New Roman" w:eastAsia="宋体" w:cs="Times New Roman"/>
          <w:color w:val="auto"/>
          <w:szCs w:val="21"/>
          <w:highlight w:val="none"/>
        </w:rPr>
      </w:pPr>
    </w:p>
    <w:p>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2023年7月（含）</w:t>
      </w:r>
      <w:r>
        <w:rPr>
          <w:rFonts w:hint="eastAsia" w:ascii="宋体" w:hAnsi="宋体" w:eastAsia="宋体" w:cs="Times New Roman"/>
          <w:b/>
          <w:bCs/>
          <w:color w:val="auto"/>
          <w:szCs w:val="21"/>
          <w:highlight w:val="none"/>
        </w:rPr>
        <w:t>以后任意一月）</w:t>
      </w:r>
    </w:p>
    <w:p>
      <w:pPr>
        <w:rPr>
          <w:rFonts w:ascii="Times New Roman" w:hAnsi="Times New Roman" w:eastAsia="宋体" w:cs="Times New Roman"/>
          <w:color w:val="auto"/>
          <w:szCs w:val="21"/>
          <w:highlight w:val="none"/>
        </w:rPr>
      </w:pPr>
    </w:p>
    <w:p>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pPr>
              <w:adjustRightInd w:val="0"/>
              <w:snapToGrid w:val="0"/>
              <w:spacing w:line="288" w:lineRule="auto"/>
              <w:rPr>
                <w:rFonts w:ascii="宋体" w:hAnsi="宋体" w:eastAsia="宋体" w:cs="宋体"/>
                <w:b/>
                <w:bCs/>
                <w:color w:val="auto"/>
                <w:szCs w:val="21"/>
                <w:highlight w:val="none"/>
              </w:rPr>
            </w:pPr>
          </w:p>
        </w:tc>
      </w:tr>
    </w:tbl>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下沙校区、生活区、G区研究生公寓水电基础设施改造项目第二批设备采购</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QSZB-Z(H)-B24133(GK)</w:t>
      </w: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adjustRightInd w:val="0"/>
              <w:snapToGrid w:val="0"/>
              <w:spacing w:line="288" w:lineRule="auto"/>
              <w:rPr>
                <w:rFonts w:ascii="宋体" w:hAnsi="宋体" w:eastAsia="宋体" w:cs="宋体"/>
                <w:color w:val="auto"/>
                <w:szCs w:val="21"/>
                <w:highlight w:val="none"/>
              </w:rPr>
            </w:pPr>
          </w:p>
        </w:tc>
        <w:tc>
          <w:tcPr>
            <w:tcW w:w="2574" w:type="dxa"/>
            <w:vAlign w:val="center"/>
          </w:tcPr>
          <w:p>
            <w:pPr>
              <w:adjustRightInd w:val="0"/>
              <w:snapToGrid w:val="0"/>
              <w:spacing w:line="288" w:lineRule="auto"/>
              <w:rPr>
                <w:rFonts w:ascii="宋体" w:hAnsi="宋体" w:eastAsia="宋体" w:cs="宋体"/>
                <w:color w:val="auto"/>
                <w:szCs w:val="21"/>
                <w:highlight w:val="none"/>
              </w:rPr>
            </w:pPr>
          </w:p>
        </w:tc>
        <w:tc>
          <w:tcPr>
            <w:tcW w:w="2124" w:type="dxa"/>
            <w:vAlign w:val="center"/>
          </w:tcPr>
          <w:p>
            <w:pPr>
              <w:adjustRightInd w:val="0"/>
              <w:snapToGrid w:val="0"/>
              <w:spacing w:line="288" w:lineRule="auto"/>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adjustRightInd w:val="0"/>
              <w:snapToGrid w:val="0"/>
              <w:spacing w:line="288" w:lineRule="auto"/>
              <w:rPr>
                <w:rFonts w:ascii="宋体" w:hAnsi="宋体" w:eastAsia="宋体" w:cs="宋体"/>
                <w:color w:val="auto"/>
                <w:szCs w:val="21"/>
                <w:highlight w:val="none"/>
              </w:rPr>
            </w:pPr>
          </w:p>
        </w:tc>
        <w:tc>
          <w:tcPr>
            <w:tcW w:w="2574" w:type="dxa"/>
            <w:vAlign w:val="center"/>
          </w:tcPr>
          <w:p>
            <w:pPr>
              <w:adjustRightInd w:val="0"/>
              <w:snapToGrid w:val="0"/>
              <w:spacing w:line="288" w:lineRule="auto"/>
              <w:rPr>
                <w:rFonts w:ascii="宋体" w:hAnsi="宋体" w:eastAsia="宋体" w:cs="宋体"/>
                <w:color w:val="auto"/>
                <w:szCs w:val="21"/>
                <w:highlight w:val="none"/>
              </w:rPr>
            </w:pPr>
          </w:p>
        </w:tc>
        <w:tc>
          <w:tcPr>
            <w:tcW w:w="2124" w:type="dxa"/>
            <w:vAlign w:val="center"/>
          </w:tcPr>
          <w:p>
            <w:pPr>
              <w:adjustRightInd w:val="0"/>
              <w:snapToGrid w:val="0"/>
              <w:spacing w:line="288" w:lineRule="auto"/>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adjustRightInd w:val="0"/>
              <w:snapToGrid w:val="0"/>
              <w:spacing w:line="288" w:lineRule="auto"/>
              <w:rPr>
                <w:rFonts w:ascii="宋体" w:hAnsi="宋体" w:eastAsia="宋体" w:cs="宋体"/>
                <w:color w:val="auto"/>
                <w:szCs w:val="21"/>
                <w:highlight w:val="none"/>
              </w:rPr>
            </w:pPr>
          </w:p>
        </w:tc>
        <w:tc>
          <w:tcPr>
            <w:tcW w:w="2574" w:type="dxa"/>
            <w:vAlign w:val="center"/>
          </w:tcPr>
          <w:p>
            <w:pPr>
              <w:adjustRightInd w:val="0"/>
              <w:snapToGrid w:val="0"/>
              <w:spacing w:line="288" w:lineRule="auto"/>
              <w:rPr>
                <w:rFonts w:ascii="宋体" w:hAnsi="宋体" w:eastAsia="宋体" w:cs="宋体"/>
                <w:color w:val="auto"/>
                <w:szCs w:val="21"/>
                <w:highlight w:val="none"/>
              </w:rPr>
            </w:pPr>
          </w:p>
        </w:tc>
        <w:tc>
          <w:tcPr>
            <w:tcW w:w="2124" w:type="dxa"/>
            <w:vAlign w:val="center"/>
          </w:tcPr>
          <w:p>
            <w:pPr>
              <w:adjustRightInd w:val="0"/>
              <w:snapToGrid w:val="0"/>
              <w:spacing w:line="288" w:lineRule="auto"/>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pPr>
              <w:adjustRightInd w:val="0"/>
              <w:snapToGrid w:val="0"/>
              <w:spacing w:line="288" w:lineRule="auto"/>
              <w:jc w:val="left"/>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pPr>
              <w:adjustRightInd w:val="0"/>
              <w:snapToGrid w:val="0"/>
              <w:spacing w:line="288" w:lineRule="auto"/>
              <w:jc w:val="left"/>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pPr>
              <w:adjustRightInd w:val="0"/>
              <w:snapToGrid w:val="0"/>
              <w:spacing w:line="288" w:lineRule="auto"/>
              <w:jc w:val="left"/>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adjustRightInd w:val="0"/>
              <w:snapToGrid w:val="0"/>
              <w:spacing w:line="288" w:lineRule="auto"/>
              <w:rPr>
                <w:rFonts w:ascii="宋体" w:hAnsi="宋体" w:eastAsia="宋体" w:cs="宋体"/>
                <w:color w:val="auto"/>
                <w:szCs w:val="21"/>
                <w:highlight w:val="none"/>
              </w:rPr>
            </w:pPr>
          </w:p>
        </w:tc>
        <w:tc>
          <w:tcPr>
            <w:tcW w:w="2574" w:type="dxa"/>
            <w:vAlign w:val="center"/>
          </w:tcPr>
          <w:p>
            <w:pPr>
              <w:adjustRightInd w:val="0"/>
              <w:snapToGrid w:val="0"/>
              <w:spacing w:line="288" w:lineRule="auto"/>
              <w:rPr>
                <w:rFonts w:ascii="宋体" w:hAnsi="宋体" w:eastAsia="宋体" w:cs="宋体"/>
                <w:color w:val="auto"/>
                <w:szCs w:val="21"/>
                <w:highlight w:val="none"/>
              </w:rPr>
            </w:pPr>
          </w:p>
        </w:tc>
        <w:tc>
          <w:tcPr>
            <w:tcW w:w="2124" w:type="dxa"/>
            <w:vAlign w:val="center"/>
          </w:tcPr>
          <w:p>
            <w:pPr>
              <w:adjustRightInd w:val="0"/>
              <w:snapToGrid w:val="0"/>
              <w:spacing w:line="288" w:lineRule="auto"/>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adjustRightInd w:val="0"/>
              <w:snapToGrid w:val="0"/>
              <w:spacing w:line="288" w:lineRule="auto"/>
              <w:rPr>
                <w:rFonts w:ascii="宋体" w:hAnsi="宋体" w:eastAsia="宋体" w:cs="宋体"/>
                <w:color w:val="auto"/>
                <w:szCs w:val="21"/>
                <w:highlight w:val="none"/>
              </w:rPr>
            </w:pPr>
          </w:p>
        </w:tc>
        <w:tc>
          <w:tcPr>
            <w:tcW w:w="2574" w:type="dxa"/>
            <w:vAlign w:val="center"/>
          </w:tcPr>
          <w:p>
            <w:pPr>
              <w:adjustRightInd w:val="0"/>
              <w:snapToGrid w:val="0"/>
              <w:spacing w:line="288" w:lineRule="auto"/>
              <w:rPr>
                <w:rFonts w:ascii="宋体" w:hAnsi="宋体" w:eastAsia="宋体" w:cs="宋体"/>
                <w:color w:val="auto"/>
                <w:szCs w:val="21"/>
                <w:highlight w:val="none"/>
              </w:rPr>
            </w:pPr>
          </w:p>
        </w:tc>
        <w:tc>
          <w:tcPr>
            <w:tcW w:w="2124" w:type="dxa"/>
            <w:vAlign w:val="center"/>
          </w:tcPr>
          <w:p>
            <w:pPr>
              <w:adjustRightInd w:val="0"/>
              <w:snapToGrid w:val="0"/>
              <w:spacing w:line="288" w:lineRule="auto"/>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adjustRightInd w:val="0"/>
              <w:snapToGrid w:val="0"/>
              <w:spacing w:line="288" w:lineRule="auto"/>
              <w:rPr>
                <w:rFonts w:ascii="宋体" w:hAnsi="宋体" w:eastAsia="宋体" w:cs="宋体"/>
                <w:color w:val="auto"/>
                <w:szCs w:val="21"/>
                <w:highlight w:val="none"/>
              </w:rPr>
            </w:pPr>
          </w:p>
        </w:tc>
        <w:tc>
          <w:tcPr>
            <w:tcW w:w="2574" w:type="dxa"/>
            <w:vAlign w:val="center"/>
          </w:tcPr>
          <w:p>
            <w:pPr>
              <w:adjustRightInd w:val="0"/>
              <w:snapToGrid w:val="0"/>
              <w:spacing w:line="288" w:lineRule="auto"/>
              <w:rPr>
                <w:rFonts w:ascii="宋体" w:hAnsi="宋体" w:eastAsia="宋体" w:cs="宋体"/>
                <w:color w:val="auto"/>
                <w:szCs w:val="21"/>
                <w:highlight w:val="none"/>
              </w:rPr>
            </w:pPr>
          </w:p>
        </w:tc>
        <w:tc>
          <w:tcPr>
            <w:tcW w:w="2124" w:type="dxa"/>
            <w:vAlign w:val="center"/>
          </w:tcPr>
          <w:p>
            <w:pPr>
              <w:adjustRightInd w:val="0"/>
              <w:snapToGrid w:val="0"/>
              <w:spacing w:line="288" w:lineRule="auto"/>
              <w:rPr>
                <w:rFonts w:ascii="宋体" w:hAnsi="宋体" w:eastAsia="宋体" w:cs="宋体"/>
                <w:color w:val="auto"/>
                <w:szCs w:val="21"/>
                <w:highlight w:val="none"/>
              </w:rPr>
            </w:pPr>
          </w:p>
        </w:tc>
      </w:tr>
    </w:tbl>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）货物配置清单</w:t>
      </w:r>
      <w:r>
        <w:rPr>
          <w:rFonts w:hint="eastAsia" w:ascii="宋体" w:hAnsi="宋体" w:eastAsia="宋体" w:cs="宋体"/>
          <w:color w:val="auto"/>
          <w:spacing w:val="-6"/>
          <w:szCs w:val="21"/>
          <w:highlight w:val="none"/>
        </w:rPr>
        <w:t>（不含报价）</w:t>
      </w:r>
    </w:p>
    <w:p>
      <w:pPr>
        <w:adjustRightInd w:val="0"/>
        <w:snapToGrid w:val="0"/>
        <w:spacing w:line="288" w:lineRule="auto"/>
        <w:rPr>
          <w:rFonts w:ascii="宋体" w:hAnsi="宋体" w:eastAsia="宋体" w:cs="宋体"/>
          <w:color w:val="auto"/>
          <w:spacing w:val="-6"/>
          <w:szCs w:val="21"/>
          <w:highlight w:val="none"/>
        </w:rPr>
      </w:pPr>
    </w:p>
    <w:tbl>
      <w:tblPr>
        <w:tblStyle w:val="23"/>
        <w:tblW w:w="945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105"/>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r>
    </w:tbl>
    <w:p>
      <w:pPr>
        <w:adjustRightInd w:val="0"/>
        <w:snapToGrid w:val="0"/>
        <w:spacing w:line="288" w:lineRule="auto"/>
        <w:rPr>
          <w:rFonts w:ascii="宋体" w:hAnsi="宋体" w:eastAsia="宋体" w:cs="宋体"/>
          <w:color w:val="auto"/>
          <w:szCs w:val="21"/>
          <w:highlight w:val="none"/>
        </w:rPr>
      </w:pPr>
    </w:p>
    <w:p>
      <w:pPr>
        <w:adjustRightInd w:val="0"/>
        <w:snapToGrid w:val="0"/>
        <w:spacing w:line="288" w:lineRule="auto"/>
        <w:rPr>
          <w:rFonts w:ascii="宋体" w:hAnsi="宋体" w:eastAsia="宋体" w:cs="宋体"/>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utoSpaceDE w:val="0"/>
        <w:autoSpaceDN w:val="0"/>
        <w:adjustRightInd w:val="0"/>
        <w:snapToGrid w:val="0"/>
        <w:spacing w:line="288" w:lineRule="auto"/>
        <w:jc w:val="left"/>
        <w:rPr>
          <w:rFonts w:ascii="宋体" w:hAnsi="宋体" w:eastAsia="宋体" w:cs="宋体"/>
          <w:color w:val="auto"/>
          <w:spacing w:val="-6"/>
          <w:kern w:val="0"/>
          <w:szCs w:val="21"/>
          <w:highlight w:val="none"/>
        </w:rPr>
      </w:pPr>
    </w:p>
    <w:p>
      <w:pPr>
        <w:adjustRightInd w:val="0"/>
        <w:snapToGrid w:val="0"/>
        <w:spacing w:line="288" w:lineRule="auto"/>
        <w:rPr>
          <w:rFonts w:ascii="宋体" w:hAnsi="宋体" w:eastAsia="宋体" w:cs="宋体"/>
          <w:color w:val="auto"/>
          <w:szCs w:val="21"/>
          <w:highlight w:val="none"/>
        </w:rPr>
      </w:pPr>
    </w:p>
    <w:p>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附：产品技术支持材料</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br w:type="page"/>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6</w:t>
      </w:r>
      <w:r>
        <w:rPr>
          <w:rFonts w:hint="eastAsia" w:ascii="宋体" w:hAnsi="宋体" w:eastAsia="宋体" w:cs="宋体"/>
          <w:b/>
          <w:color w:val="auto"/>
          <w:spacing w:val="-6"/>
          <w:szCs w:val="21"/>
          <w:highlight w:val="none"/>
        </w:rPr>
        <w:t>）技术方案</w:t>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设备功能配置</w:t>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组织实施方案</w:t>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培训</w:t>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售后服务</w:t>
      </w:r>
    </w:p>
    <w:p>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配件耗材</w:t>
      </w:r>
    </w:p>
    <w:p>
      <w:pPr>
        <w:adjustRightInd w:val="0"/>
        <w:snapToGrid w:val="0"/>
        <w:spacing w:line="288" w:lineRule="auto"/>
        <w:rPr>
          <w:rFonts w:ascii="宋体" w:hAnsi="宋体" w:eastAsia="宋体" w:cs="宋体"/>
          <w:b/>
          <w:color w:val="auto"/>
          <w:spacing w:val="-6"/>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7</w:t>
      </w:r>
      <w:r>
        <w:rPr>
          <w:rFonts w:hint="eastAsia" w:ascii="宋体" w:hAnsi="宋体" w:eastAsia="宋体" w:cs="宋体"/>
          <w:b/>
          <w:color w:val="auto"/>
          <w:spacing w:val="-6"/>
          <w:szCs w:val="21"/>
          <w:highlight w:val="none"/>
        </w:rPr>
        <w:t>）节能环保产品证明材料</w:t>
      </w:r>
    </w:p>
    <w:p>
      <w:pPr>
        <w:adjustRightInd w:val="0"/>
        <w:snapToGrid w:val="0"/>
        <w:spacing w:line="288"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（8）科技创新相关证明材料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rFonts w:ascii="宋体" w:hAnsi="宋体" w:eastAsia="宋体" w:cs="宋体"/>
          <w:b/>
          <w:color w:val="auto"/>
          <w:spacing w:val="-6"/>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9</w:t>
      </w:r>
      <w:r>
        <w:rPr>
          <w:rFonts w:hint="eastAsia" w:ascii="宋体" w:hAnsi="宋体" w:eastAsia="宋体" w:cs="宋体"/>
          <w:b/>
          <w:color w:val="auto"/>
          <w:spacing w:val="-6"/>
          <w:szCs w:val="21"/>
          <w:highlight w:val="none"/>
        </w:rPr>
        <w:t>）投标人需要说明的其他文件和材料。</w:t>
      </w:r>
    </w:p>
    <w:p>
      <w:pPr>
        <w:widowControl/>
        <w:adjustRightInd w:val="0"/>
        <w:snapToGrid w:val="0"/>
        <w:spacing w:line="288" w:lineRule="auto"/>
        <w:jc w:val="left"/>
        <w:rPr>
          <w:rFonts w:ascii="宋体" w:hAnsi="宋体" w:eastAsia="宋体" w:cs="宋体"/>
          <w:b/>
          <w:color w:val="auto"/>
          <w:spacing w:val="-6"/>
          <w:szCs w:val="21"/>
          <w:highlight w:val="none"/>
        </w:rPr>
      </w:pP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下沙校区、生活区、G区研究生公寓水电基础设施改造项目第二批设备采购</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QSZB-Z(H)-B24133(GK)</w:t>
      </w: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标    项：</w:t>
      </w:r>
    </w:p>
    <w:tbl>
      <w:tblPr>
        <w:tblStyle w:val="23"/>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Times New Roman"/>
                <w:b/>
                <w:color w:val="auto"/>
                <w:spacing w:val="-6"/>
                <w:szCs w:val="21"/>
                <w:highlight w:val="none"/>
              </w:rPr>
              <w:t>说明：▲</w:t>
            </w:r>
            <w:r>
              <w:rPr>
                <w:rFonts w:hint="eastAsia" w:ascii="宋体" w:hAnsi="宋体" w:eastAsia="宋体" w:cs="Times New Roman"/>
                <w:bCs/>
                <w:color w:val="auto"/>
                <w:spacing w:val="-6"/>
                <w:szCs w:val="21"/>
                <w:highlight w:val="none"/>
                <w:lang w:eastAsia="zh-CN"/>
              </w:rPr>
              <w:t>采购人将以合同形式有偿取得货物或服务，不接受投标人给予的赠品、回扣或者与采购无关的其他商品、服务</w:t>
            </w:r>
            <w:r>
              <w:rPr>
                <w:rFonts w:ascii="宋体" w:hAnsi="宋体" w:eastAsia="宋体" w:cs="Times New Roman"/>
                <w:bCs/>
                <w:color w:val="auto"/>
                <w:spacing w:val="-6"/>
                <w:szCs w:val="21"/>
                <w:highlight w:val="none"/>
              </w:rPr>
              <w:t>。</w:t>
            </w:r>
          </w:p>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pPr>
              <w:adjustRightInd w:val="0"/>
              <w:snapToGrid w:val="0"/>
              <w:spacing w:line="288" w:lineRule="auto"/>
              <w:rPr>
                <w:rFonts w:ascii="宋体" w:hAnsi="宋体" w:eastAsia="宋体" w:cs="宋体"/>
                <w:b/>
                <w:bCs/>
                <w:color w:val="auto"/>
                <w:szCs w:val="21"/>
                <w:highlight w:val="none"/>
              </w:rPr>
            </w:pPr>
          </w:p>
          <w:p>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pPr>
              <w:adjustRightInd w:val="0"/>
              <w:snapToGrid w:val="0"/>
              <w:spacing w:line="288" w:lineRule="auto"/>
              <w:rPr>
                <w:rFonts w:ascii="宋体" w:hAnsi="宋体" w:eastAsia="宋体" w:cs="宋体"/>
                <w:b/>
                <w:bCs/>
                <w:color w:val="auto"/>
                <w:szCs w:val="21"/>
                <w:highlight w:val="none"/>
              </w:rPr>
            </w:pPr>
          </w:p>
          <w:p>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pPr>
              <w:adjustRightInd w:val="0"/>
              <w:snapToGrid w:val="0"/>
              <w:spacing w:line="288" w:lineRule="auto"/>
              <w:rPr>
                <w:rFonts w:ascii="宋体" w:hAnsi="宋体" w:eastAsia="宋体" w:cs="宋体"/>
                <w:b/>
                <w:bCs/>
                <w:color w:val="auto"/>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adjustRightInd w:val="0"/>
        <w:snapToGrid w:val="0"/>
        <w:spacing w:line="288" w:lineRule="auto"/>
        <w:rPr>
          <w:rFonts w:ascii="宋体" w:hAnsi="宋体" w:eastAsia="宋体" w:cs="Times New Roman"/>
          <w:bCs/>
          <w:color w:val="auto"/>
          <w:spacing w:val="-6"/>
          <w:szCs w:val="21"/>
          <w:highlight w:val="none"/>
        </w:rPr>
      </w:pPr>
      <w:r>
        <w:rPr>
          <w:rFonts w:ascii="宋体" w:hAnsi="宋体" w:eastAsia="宋体" w:cs="Times New Roman"/>
          <w:bCs/>
          <w:color w:val="auto"/>
          <w:spacing w:val="-6"/>
          <w:szCs w:val="21"/>
          <w:highlight w:val="none"/>
        </w:rPr>
        <w:t>1.</w:t>
      </w:r>
      <w:r>
        <w:rPr>
          <w:rFonts w:hint="eastAsia" w:ascii="宋体" w:hAnsi="宋体" w:eastAsia="宋体" w:cs="Times New Roman"/>
          <w:bCs/>
          <w:color w:val="auto"/>
          <w:spacing w:val="-6"/>
          <w:szCs w:val="21"/>
          <w:highlight w:val="none"/>
        </w:rPr>
        <w:t>此表在不改变格式要求的情况下，可自行增行。</w:t>
      </w:r>
    </w:p>
    <w:p>
      <w:pPr>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Cs/>
          <w:color w:val="auto"/>
          <w:spacing w:val="-6"/>
          <w:szCs w:val="21"/>
          <w:highlight w:val="none"/>
        </w:rPr>
        <w:t>2.有关本项目实施所涉及的一切费用均计入报价。</w:t>
      </w:r>
    </w:p>
    <w:p>
      <w:pPr>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pPr>
        <w:adjustRightInd w:val="0"/>
        <w:snapToGrid w:val="0"/>
        <w:spacing w:line="288" w:lineRule="auto"/>
        <w:jc w:val="center"/>
        <w:outlineLvl w:val="2"/>
        <w:rPr>
          <w:rFonts w:hint="eastAsia" w:ascii="宋体" w:hAnsi="宋体" w:eastAsia="宋体" w:cs="宋体"/>
          <w:b/>
          <w:i w:val="0"/>
          <w:iCs w:val="0"/>
          <w:color w:val="auto"/>
          <w:spacing w:val="-6"/>
          <w:szCs w:val="21"/>
          <w:highlight w:val="none"/>
          <w:lang w:eastAsia="zh-CN"/>
        </w:rPr>
      </w:pPr>
      <w:r>
        <w:rPr>
          <w:rFonts w:hint="eastAsia" w:ascii="宋体" w:hAnsi="宋体" w:eastAsia="宋体" w:cs="宋体"/>
          <w:b/>
          <w:i w:val="0"/>
          <w:iCs w:val="0"/>
          <w:color w:val="auto"/>
          <w:spacing w:val="-6"/>
          <w:szCs w:val="21"/>
          <w:highlight w:val="none"/>
        </w:rPr>
        <w:t>（</w:t>
      </w:r>
      <w:r>
        <w:rPr>
          <w:rFonts w:ascii="宋体" w:hAnsi="宋体" w:eastAsia="宋体" w:cs="宋体"/>
          <w:b/>
          <w:i w:val="0"/>
          <w:iCs w:val="0"/>
          <w:color w:val="auto"/>
          <w:spacing w:val="-6"/>
          <w:szCs w:val="21"/>
          <w:highlight w:val="none"/>
        </w:rPr>
        <w:t>2</w:t>
      </w:r>
      <w:r>
        <w:rPr>
          <w:rFonts w:hint="eastAsia" w:ascii="宋体" w:hAnsi="宋体" w:eastAsia="宋体" w:cs="宋体"/>
          <w:b/>
          <w:i w:val="0"/>
          <w:iCs w:val="0"/>
          <w:color w:val="auto"/>
          <w:spacing w:val="-6"/>
          <w:szCs w:val="21"/>
          <w:highlight w:val="none"/>
        </w:rPr>
        <w:t>）</w:t>
      </w:r>
      <w:r>
        <w:rPr>
          <w:rFonts w:ascii="宋体" w:hAnsi="宋体" w:eastAsia="宋体" w:cs="宋体"/>
          <w:b/>
          <w:i w:val="0"/>
          <w:iCs w:val="0"/>
          <w:color w:val="auto"/>
          <w:spacing w:val="-6"/>
          <w:szCs w:val="21"/>
          <w:highlight w:val="none"/>
        </w:rPr>
        <w:t>中小企业声明函（货物）</w:t>
      </w:r>
      <w:r>
        <w:rPr>
          <w:rFonts w:hint="eastAsia" w:ascii="宋体" w:hAnsi="宋体" w:eastAsia="宋体" w:cs="宋体"/>
          <w:b/>
          <w:i w:val="0"/>
          <w:iCs w:val="0"/>
          <w:color w:val="auto"/>
          <w:spacing w:val="-6"/>
          <w:szCs w:val="21"/>
          <w:highlight w:val="none"/>
        </w:rPr>
        <w:t>（若属于中小企业）</w:t>
      </w:r>
      <w:r>
        <w:rPr>
          <w:rFonts w:hint="eastAsia" w:ascii="宋体" w:hAnsi="宋体" w:eastAsia="宋体" w:cs="宋体"/>
          <w:b/>
          <w:i w:val="0"/>
          <w:iCs w:val="0"/>
          <w:color w:val="auto"/>
          <w:spacing w:val="-6"/>
          <w:szCs w:val="21"/>
          <w:highlight w:val="none"/>
          <w:lang w:eastAsia="zh-CN"/>
        </w:rPr>
        <w:t>（</w:t>
      </w:r>
      <w:r>
        <w:rPr>
          <w:rFonts w:hint="eastAsia" w:ascii="宋体" w:hAnsi="宋体" w:eastAsia="宋体" w:cs="宋体"/>
          <w:b/>
          <w:i w:val="0"/>
          <w:iCs w:val="0"/>
          <w:color w:val="auto"/>
          <w:spacing w:val="-6"/>
          <w:szCs w:val="21"/>
          <w:highlight w:val="none"/>
          <w:lang w:val="en-US" w:eastAsia="zh-CN"/>
        </w:rPr>
        <w:t>标项一</w:t>
      </w:r>
      <w:r>
        <w:rPr>
          <w:rFonts w:hint="eastAsia" w:ascii="宋体" w:hAnsi="宋体" w:eastAsia="宋体" w:cs="宋体"/>
          <w:b/>
          <w:i w:val="0"/>
          <w:iCs w:val="0"/>
          <w:color w:val="auto"/>
          <w:spacing w:val="-6"/>
          <w:szCs w:val="21"/>
          <w:highlight w:val="none"/>
          <w:lang w:eastAsia="zh-CN"/>
        </w:rPr>
        <w:t>）</w:t>
      </w:r>
    </w:p>
    <w:p>
      <w:pPr>
        <w:adjustRightInd w:val="0"/>
        <w:snapToGrid w:val="0"/>
        <w:spacing w:line="288" w:lineRule="auto"/>
        <w:ind w:firstLine="498" w:firstLineChars="236"/>
        <w:rPr>
          <w:rFonts w:ascii="宋体" w:hAnsi="宋体" w:eastAsia="宋体" w:cs="Times New Roman"/>
          <w:b/>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本公司（联合体）郑重声明，根据《政府采购促进中小企业发展管理办法》（财库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rPr>
        <w:t>下沙校区、生活区、G区研究生公寓水电基础设施改造项目第二批设备采购</w:t>
      </w:r>
      <w:r>
        <w:rPr>
          <w:rFonts w:ascii="宋体" w:hAnsi="宋体" w:eastAsia="宋体" w:cs="Times New Roman"/>
          <w:i w:val="0"/>
          <w:iCs w:val="0"/>
          <w:color w:val="auto"/>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rPr>
        <w:t>干式变压器1</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2.</w:t>
      </w:r>
      <w:r>
        <w:rPr>
          <w:rFonts w:hint="eastAsia" w:ascii="宋体" w:hAnsi="宋体" w:eastAsia="宋体" w:cs="Times New Roman"/>
          <w:i w:val="0"/>
          <w:iCs w:val="0"/>
          <w:color w:val="auto"/>
          <w:szCs w:val="21"/>
          <w:highlight w:val="none"/>
          <w:u w:val="single"/>
        </w:rPr>
        <w:t>干式变压器外壳</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10kV环网柜1</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10kV环网柜2</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5</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0.4kV开关柜1</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6</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0.4kV开关柜2</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7</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w:t>
      </w: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8</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w:t>
      </w: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9</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UPS电源柜</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10</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双电源照明配电箱</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1</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变电所电缆温度监测</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w:t>
      </w:r>
      <w:r>
        <w:rPr>
          <w:rFonts w:ascii="宋体" w:hAnsi="宋体" w:eastAsia="宋体" w:cs="Times New Roman"/>
          <w:i w:val="0"/>
          <w:iCs w:val="0"/>
          <w:color w:val="auto"/>
          <w:szCs w:val="21"/>
          <w:highlight w:val="none"/>
          <w:u w:val="single"/>
        </w:rPr>
        <w:t>2.</w:t>
      </w:r>
      <w:r>
        <w:rPr>
          <w:rFonts w:hint="eastAsia" w:ascii="宋体" w:hAnsi="宋体" w:eastAsia="宋体" w:cs="Times New Roman"/>
          <w:i w:val="0"/>
          <w:iCs w:val="0"/>
          <w:color w:val="auto"/>
          <w:szCs w:val="21"/>
          <w:highlight w:val="none"/>
          <w:u w:val="single"/>
        </w:rPr>
        <w:t>低压智能站控终端</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变压器、无功补偿柜灭火系统</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14</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变电所内改造项</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5</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变电所内拆除重建项</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16</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一次模拟图板</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7</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安全工器具</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18</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干式变压器2</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lang w:eastAsia="zh-CN"/>
        </w:rPr>
      </w:pPr>
      <w:r>
        <w:rPr>
          <w:rFonts w:hint="eastAsia" w:ascii="宋体" w:hAnsi="宋体" w:eastAsia="宋体" w:cs="Times New Roman"/>
          <w:i w:val="0"/>
          <w:iCs w:val="0"/>
          <w:color w:val="auto"/>
          <w:szCs w:val="21"/>
          <w:highlight w:val="none"/>
          <w:u w:val="single"/>
          <w:lang w:val="en-US" w:eastAsia="zh-CN"/>
        </w:rPr>
        <w:t>19</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密集型母线槽</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u w:val="single"/>
          <w:lang w:eastAsia="zh-CN"/>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企业名称（盖章）：</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日期：</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rPr>
        <w:t>注：</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1.</w:t>
      </w:r>
      <w:r>
        <w:rPr>
          <w:rFonts w:hint="eastAsia" w:ascii="宋体" w:hAnsi="宋体" w:eastAsia="宋体" w:cs="Times New Roman"/>
          <w:i w:val="0"/>
          <w:iCs w:val="0"/>
          <w:color w:val="auto"/>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2.</w:t>
      </w:r>
      <w:r>
        <w:rPr>
          <w:rFonts w:hint="eastAsia" w:ascii="宋体" w:hAnsi="宋体" w:eastAsia="宋体" w:cs="Times New Roman"/>
          <w:i w:val="0"/>
          <w:iCs w:val="0"/>
          <w:color w:val="auto"/>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3</w:t>
      </w:r>
      <w:r>
        <w:rPr>
          <w:rFonts w:hint="eastAsia" w:ascii="宋体" w:hAnsi="宋体" w:eastAsia="宋体" w:cs="Times New Roman"/>
          <w:i w:val="0"/>
          <w:iCs w:val="0"/>
          <w:color w:val="auto"/>
          <w:szCs w:val="21"/>
          <w:highlight w:val="none"/>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4</w:t>
      </w:r>
      <w:r>
        <w:rPr>
          <w:rFonts w:hint="eastAsia" w:ascii="宋体" w:hAnsi="宋体" w:eastAsia="宋体" w:cs="Times New Roman"/>
          <w:i w:val="0"/>
          <w:iCs w:val="0"/>
          <w:color w:val="auto"/>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s="Times New Roman"/>
          <w:i w:val="0"/>
          <w:iCs w:val="0"/>
          <w:color w:val="auto"/>
          <w:szCs w:val="22"/>
          <w:highlight w:val="none"/>
          <w:u w:val="single"/>
        </w:rPr>
      </w:pPr>
      <w:r>
        <w:rPr>
          <w:rFonts w:ascii="宋体" w:hAnsi="宋体" w:eastAsia="宋体" w:cs="Times New Roman"/>
          <w:i w:val="0"/>
          <w:iCs w:val="0"/>
          <w:color w:val="auto"/>
          <w:szCs w:val="21"/>
          <w:highlight w:val="none"/>
          <w:u w:val="single"/>
        </w:rPr>
        <w:t>5.</w:t>
      </w:r>
      <w:r>
        <w:rPr>
          <w:rFonts w:hint="eastAsia" w:ascii="宋体" w:hAnsi="宋体" w:eastAsia="宋体" w:cs="Times New Roman"/>
          <w:i w:val="0"/>
          <w:iCs w:val="0"/>
          <w:color w:val="auto"/>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s="Times New Roman"/>
          <w:i w:val="0"/>
          <w:iCs w:val="0"/>
          <w:color w:val="auto"/>
          <w:szCs w:val="22"/>
          <w:highlight w:val="none"/>
          <w:u w:val="single"/>
        </w:rPr>
        <w:t>不享受中小企业扶持政策。</w:t>
      </w:r>
    </w:p>
    <w:p>
      <w:pPr>
        <w:adjustRightInd w:val="0"/>
        <w:snapToGrid w:val="0"/>
        <w:spacing w:line="288" w:lineRule="auto"/>
        <w:ind w:firstLine="495" w:firstLineChars="236"/>
        <w:rPr>
          <w:rFonts w:ascii="宋体" w:hAnsi="宋体" w:eastAsia="宋体" w:cs="宋体"/>
          <w:i w:val="0"/>
          <w:iCs w:val="0"/>
          <w:color w:val="auto"/>
          <w:szCs w:val="21"/>
          <w:highlight w:val="none"/>
          <w:u w:val="single"/>
        </w:rPr>
      </w:pPr>
      <w:r>
        <w:rPr>
          <w:rFonts w:hint="eastAsia" w:ascii="宋体" w:hAnsi="宋体" w:eastAsia="宋体" w:cs="Times New Roman"/>
          <w:i w:val="0"/>
          <w:iCs w:val="0"/>
          <w:color w:val="auto"/>
          <w:szCs w:val="21"/>
          <w:highlight w:val="none"/>
          <w:u w:val="single"/>
        </w:rPr>
        <w:t>6</w:t>
      </w:r>
      <w:r>
        <w:rPr>
          <w:rFonts w:ascii="宋体" w:hAnsi="宋体" w:eastAsia="宋体" w:cs="Times New Roman"/>
          <w:i w:val="0"/>
          <w:iCs w:val="0"/>
          <w:color w:val="auto"/>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pPr>
        <w:adjustRightInd w:val="0"/>
        <w:snapToGrid w:val="0"/>
        <w:spacing w:line="288" w:lineRule="auto"/>
        <w:jc w:val="center"/>
        <w:outlineLvl w:val="2"/>
        <w:rPr>
          <w:rFonts w:hint="eastAsia" w:ascii="宋体" w:hAnsi="宋体" w:eastAsia="宋体" w:cs="宋体"/>
          <w:b/>
          <w:i w:val="0"/>
          <w:iCs w:val="0"/>
          <w:color w:val="auto"/>
          <w:spacing w:val="-6"/>
          <w:szCs w:val="21"/>
          <w:highlight w:val="none"/>
          <w:lang w:eastAsia="zh-CN"/>
        </w:rPr>
      </w:pPr>
      <w:r>
        <w:rPr>
          <w:rFonts w:hint="eastAsia" w:ascii="宋体" w:hAnsi="宋体" w:eastAsia="宋体" w:cs="宋体"/>
          <w:b/>
          <w:i w:val="0"/>
          <w:iCs w:val="0"/>
          <w:color w:val="auto"/>
          <w:spacing w:val="-6"/>
          <w:szCs w:val="21"/>
          <w:highlight w:val="none"/>
        </w:rPr>
        <w:t>（</w:t>
      </w:r>
      <w:r>
        <w:rPr>
          <w:rFonts w:ascii="宋体" w:hAnsi="宋体" w:eastAsia="宋体" w:cs="宋体"/>
          <w:b/>
          <w:i w:val="0"/>
          <w:iCs w:val="0"/>
          <w:color w:val="auto"/>
          <w:spacing w:val="-6"/>
          <w:szCs w:val="21"/>
          <w:highlight w:val="none"/>
        </w:rPr>
        <w:t>2</w:t>
      </w:r>
      <w:r>
        <w:rPr>
          <w:rFonts w:hint="eastAsia" w:ascii="宋体" w:hAnsi="宋体" w:eastAsia="宋体" w:cs="宋体"/>
          <w:b/>
          <w:i w:val="0"/>
          <w:iCs w:val="0"/>
          <w:color w:val="auto"/>
          <w:spacing w:val="-6"/>
          <w:szCs w:val="21"/>
          <w:highlight w:val="none"/>
        </w:rPr>
        <w:t>）</w:t>
      </w:r>
      <w:r>
        <w:rPr>
          <w:rFonts w:ascii="宋体" w:hAnsi="宋体" w:eastAsia="宋体" w:cs="宋体"/>
          <w:b/>
          <w:i w:val="0"/>
          <w:iCs w:val="0"/>
          <w:color w:val="auto"/>
          <w:spacing w:val="-6"/>
          <w:szCs w:val="21"/>
          <w:highlight w:val="none"/>
        </w:rPr>
        <w:t>中小企业声明函（货物）</w:t>
      </w:r>
      <w:r>
        <w:rPr>
          <w:rFonts w:hint="eastAsia" w:ascii="宋体" w:hAnsi="宋体" w:eastAsia="宋体" w:cs="宋体"/>
          <w:b/>
          <w:i w:val="0"/>
          <w:iCs w:val="0"/>
          <w:color w:val="auto"/>
          <w:spacing w:val="-6"/>
          <w:szCs w:val="21"/>
          <w:highlight w:val="none"/>
        </w:rPr>
        <w:t>（若属于中小企业）</w:t>
      </w:r>
      <w:r>
        <w:rPr>
          <w:rFonts w:hint="eastAsia" w:ascii="宋体" w:hAnsi="宋体" w:eastAsia="宋体" w:cs="宋体"/>
          <w:b/>
          <w:i w:val="0"/>
          <w:iCs w:val="0"/>
          <w:color w:val="auto"/>
          <w:spacing w:val="-6"/>
          <w:szCs w:val="21"/>
          <w:highlight w:val="none"/>
          <w:lang w:eastAsia="zh-CN"/>
        </w:rPr>
        <w:t>（</w:t>
      </w:r>
      <w:r>
        <w:rPr>
          <w:rFonts w:hint="eastAsia" w:ascii="宋体" w:hAnsi="宋体" w:eastAsia="宋体" w:cs="宋体"/>
          <w:b/>
          <w:i w:val="0"/>
          <w:iCs w:val="0"/>
          <w:color w:val="auto"/>
          <w:spacing w:val="-6"/>
          <w:szCs w:val="21"/>
          <w:highlight w:val="none"/>
          <w:lang w:val="en-US" w:eastAsia="zh-CN"/>
        </w:rPr>
        <w:t>标项二</w:t>
      </w:r>
      <w:r>
        <w:rPr>
          <w:rFonts w:hint="eastAsia" w:ascii="宋体" w:hAnsi="宋体" w:eastAsia="宋体" w:cs="宋体"/>
          <w:b/>
          <w:i w:val="0"/>
          <w:iCs w:val="0"/>
          <w:color w:val="auto"/>
          <w:spacing w:val="-6"/>
          <w:szCs w:val="21"/>
          <w:highlight w:val="none"/>
          <w:lang w:eastAsia="zh-CN"/>
        </w:rPr>
        <w:t>）</w:t>
      </w:r>
    </w:p>
    <w:p>
      <w:pPr>
        <w:adjustRightInd w:val="0"/>
        <w:snapToGrid w:val="0"/>
        <w:spacing w:line="288" w:lineRule="auto"/>
        <w:ind w:firstLine="498" w:firstLineChars="236"/>
        <w:rPr>
          <w:rFonts w:ascii="宋体" w:hAnsi="宋体" w:eastAsia="宋体" w:cs="Times New Roman"/>
          <w:b/>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本公司（联合体）郑重声明，根据《政府采购促进中小企业发展管理办法》（财库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rPr>
        <w:t>下沙校区、生活区、G区研究生公寓水电基础设施改造项目第二批设备采购</w:t>
      </w:r>
      <w:r>
        <w:rPr>
          <w:rFonts w:ascii="宋体" w:hAnsi="宋体" w:eastAsia="宋体" w:cs="Times New Roman"/>
          <w:i w:val="0"/>
          <w:iCs w:val="0"/>
          <w:color w:val="auto"/>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rPr>
        <w:t>干式变压器1</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2.</w:t>
      </w:r>
      <w:r>
        <w:rPr>
          <w:rFonts w:hint="eastAsia" w:ascii="宋体" w:hAnsi="宋体" w:eastAsia="宋体" w:cs="Times New Roman"/>
          <w:i w:val="0"/>
          <w:iCs w:val="0"/>
          <w:color w:val="auto"/>
          <w:szCs w:val="21"/>
          <w:highlight w:val="none"/>
          <w:u w:val="single"/>
        </w:rPr>
        <w:t>干式变压器外壳</w:t>
      </w:r>
      <w:r>
        <w:rPr>
          <w:rFonts w:hint="eastAsia" w:ascii="宋体" w:hAnsi="宋体" w:eastAsia="宋体" w:cs="Times New Roman"/>
          <w:i w:val="0"/>
          <w:iCs w:val="0"/>
          <w:color w:val="auto"/>
          <w:szCs w:val="21"/>
          <w:highlight w:val="none"/>
          <w:u w:val="single"/>
          <w:lang w:val="en-US" w:eastAsia="zh-CN"/>
        </w:rPr>
        <w:t>1</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10kV环网柜1</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10kV环网柜2</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5</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0.4kV开关柜1</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6</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0.4kV开关柜2</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7</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w:t>
      </w: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8</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w:t>
      </w: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u w:val="single"/>
          <w:lang w:val="en-US" w:eastAsia="zh-CN"/>
        </w:rPr>
      </w:pPr>
      <w:r>
        <w:rPr>
          <w:rFonts w:hint="eastAsia" w:ascii="宋体" w:hAnsi="宋体" w:eastAsia="宋体" w:cs="Times New Roman"/>
          <w:i w:val="0"/>
          <w:iCs w:val="0"/>
          <w:color w:val="auto"/>
          <w:szCs w:val="21"/>
          <w:highlight w:val="none"/>
          <w:u w:val="single"/>
          <w:lang w:val="en-US" w:eastAsia="zh-CN"/>
        </w:rPr>
        <w:t>9</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密集型母线槽</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10</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UPS电源柜</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11</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双电源照明配电箱</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2</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变电所电缆温度监测</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低压智能站控终端</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变压器、无功补偿柜灭火系统</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15</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变电所内改造项</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6</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变电所内拆除重建项</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17</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一次模拟图板</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8</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安全工器具</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18</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干式变压器2</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u w:val="none"/>
          <w:lang w:eastAsia="zh-CN"/>
        </w:rPr>
      </w:pPr>
      <w:r>
        <w:rPr>
          <w:rFonts w:hint="eastAsia" w:ascii="宋体" w:hAnsi="宋体" w:eastAsia="宋体" w:cs="Times New Roman"/>
          <w:i w:val="0"/>
          <w:iCs w:val="0"/>
          <w:color w:val="auto"/>
          <w:szCs w:val="21"/>
          <w:highlight w:val="none"/>
          <w:u w:val="single"/>
          <w:lang w:val="en-US" w:eastAsia="zh-CN"/>
        </w:rPr>
        <w:t>19</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干式变压器外壳2</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u w:val="none"/>
          <w:lang w:eastAsia="zh-CN"/>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u w:val="none"/>
          <w:lang w:eastAsia="zh-CN"/>
        </w:rPr>
      </w:pPr>
      <w:r>
        <w:rPr>
          <w:rFonts w:hint="eastAsia" w:ascii="宋体" w:hAnsi="宋体" w:eastAsia="宋体" w:cs="Times New Roman"/>
          <w:i w:val="0"/>
          <w:iCs w:val="0"/>
          <w:color w:val="auto"/>
          <w:szCs w:val="21"/>
          <w:highlight w:val="none"/>
          <w:u w:val="single"/>
          <w:lang w:val="en-US" w:eastAsia="zh-CN"/>
        </w:rPr>
        <w:t>20</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0.4kV开关柜5</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u w:val="single"/>
          <w:lang w:eastAsia="zh-CN"/>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企业名称（盖章）：</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日期：</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rPr>
        <w:t>注：</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1.</w:t>
      </w:r>
      <w:r>
        <w:rPr>
          <w:rFonts w:hint="eastAsia" w:ascii="宋体" w:hAnsi="宋体" w:eastAsia="宋体" w:cs="Times New Roman"/>
          <w:i w:val="0"/>
          <w:iCs w:val="0"/>
          <w:color w:val="auto"/>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2.</w:t>
      </w:r>
      <w:r>
        <w:rPr>
          <w:rFonts w:hint="eastAsia" w:ascii="宋体" w:hAnsi="宋体" w:eastAsia="宋体" w:cs="Times New Roman"/>
          <w:i w:val="0"/>
          <w:iCs w:val="0"/>
          <w:color w:val="auto"/>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3</w:t>
      </w:r>
      <w:r>
        <w:rPr>
          <w:rFonts w:hint="eastAsia" w:ascii="宋体" w:hAnsi="宋体" w:eastAsia="宋体" w:cs="Times New Roman"/>
          <w:i w:val="0"/>
          <w:iCs w:val="0"/>
          <w:color w:val="auto"/>
          <w:szCs w:val="21"/>
          <w:highlight w:val="none"/>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4</w:t>
      </w:r>
      <w:r>
        <w:rPr>
          <w:rFonts w:hint="eastAsia" w:ascii="宋体" w:hAnsi="宋体" w:eastAsia="宋体" w:cs="Times New Roman"/>
          <w:i w:val="0"/>
          <w:iCs w:val="0"/>
          <w:color w:val="auto"/>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s="Times New Roman"/>
          <w:i w:val="0"/>
          <w:iCs w:val="0"/>
          <w:color w:val="auto"/>
          <w:szCs w:val="22"/>
          <w:highlight w:val="none"/>
          <w:u w:val="single"/>
        </w:rPr>
      </w:pPr>
      <w:r>
        <w:rPr>
          <w:rFonts w:ascii="宋体" w:hAnsi="宋体" w:eastAsia="宋体" w:cs="Times New Roman"/>
          <w:i w:val="0"/>
          <w:iCs w:val="0"/>
          <w:color w:val="auto"/>
          <w:szCs w:val="21"/>
          <w:highlight w:val="none"/>
          <w:u w:val="single"/>
        </w:rPr>
        <w:t>5.</w:t>
      </w:r>
      <w:r>
        <w:rPr>
          <w:rFonts w:hint="eastAsia" w:ascii="宋体" w:hAnsi="宋体" w:eastAsia="宋体" w:cs="Times New Roman"/>
          <w:i w:val="0"/>
          <w:iCs w:val="0"/>
          <w:color w:val="auto"/>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s="Times New Roman"/>
          <w:i w:val="0"/>
          <w:iCs w:val="0"/>
          <w:color w:val="auto"/>
          <w:szCs w:val="22"/>
          <w:highlight w:val="none"/>
          <w:u w:val="single"/>
        </w:rPr>
        <w:t>不享受中小企业扶持政策。</w:t>
      </w:r>
    </w:p>
    <w:p>
      <w:pPr>
        <w:adjustRightInd w:val="0"/>
        <w:snapToGrid w:val="0"/>
        <w:spacing w:line="288" w:lineRule="auto"/>
        <w:ind w:firstLine="495" w:firstLineChars="236"/>
        <w:rPr>
          <w:rFonts w:ascii="宋体" w:hAnsi="宋体" w:eastAsia="宋体" w:cs="宋体"/>
          <w:i w:val="0"/>
          <w:iCs w:val="0"/>
          <w:color w:val="auto"/>
          <w:szCs w:val="21"/>
          <w:highlight w:val="none"/>
          <w:u w:val="single"/>
        </w:rPr>
      </w:pPr>
      <w:r>
        <w:rPr>
          <w:rFonts w:hint="eastAsia" w:ascii="宋体" w:hAnsi="宋体" w:eastAsia="宋体" w:cs="Times New Roman"/>
          <w:i w:val="0"/>
          <w:iCs w:val="0"/>
          <w:color w:val="auto"/>
          <w:szCs w:val="21"/>
          <w:highlight w:val="none"/>
          <w:u w:val="single"/>
        </w:rPr>
        <w:t>6</w:t>
      </w:r>
      <w:r>
        <w:rPr>
          <w:rFonts w:ascii="宋体" w:hAnsi="宋体" w:eastAsia="宋体" w:cs="Times New Roman"/>
          <w:i w:val="0"/>
          <w:iCs w:val="0"/>
          <w:color w:val="auto"/>
          <w:szCs w:val="21"/>
          <w:highlight w:val="none"/>
          <w:u w:val="single"/>
        </w:rPr>
        <w:t>.如项目包含“多件”标的物的，需按标的物项数逐项填写。</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rPr>
        <w:t>注：</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1.</w:t>
      </w:r>
      <w:r>
        <w:rPr>
          <w:rFonts w:hint="eastAsia" w:ascii="宋体" w:hAnsi="宋体" w:eastAsia="宋体" w:cs="Times New Roman"/>
          <w:i w:val="0"/>
          <w:iCs w:val="0"/>
          <w:color w:val="auto"/>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2.</w:t>
      </w:r>
      <w:r>
        <w:rPr>
          <w:rFonts w:hint="eastAsia" w:ascii="宋体" w:hAnsi="宋体" w:eastAsia="宋体" w:cs="Times New Roman"/>
          <w:i w:val="0"/>
          <w:iCs w:val="0"/>
          <w:color w:val="auto"/>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3</w:t>
      </w:r>
      <w:r>
        <w:rPr>
          <w:rFonts w:hint="eastAsia" w:ascii="宋体" w:hAnsi="宋体" w:eastAsia="宋体" w:cs="Times New Roman"/>
          <w:i w:val="0"/>
          <w:iCs w:val="0"/>
          <w:color w:val="auto"/>
          <w:szCs w:val="21"/>
          <w:highlight w:val="none"/>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4</w:t>
      </w:r>
      <w:r>
        <w:rPr>
          <w:rFonts w:hint="eastAsia" w:ascii="宋体" w:hAnsi="宋体" w:eastAsia="宋体" w:cs="Times New Roman"/>
          <w:i w:val="0"/>
          <w:iCs w:val="0"/>
          <w:color w:val="auto"/>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s="Times New Roman"/>
          <w:i w:val="0"/>
          <w:iCs w:val="0"/>
          <w:color w:val="auto"/>
          <w:szCs w:val="22"/>
          <w:highlight w:val="none"/>
          <w:u w:val="single"/>
        </w:rPr>
      </w:pPr>
      <w:r>
        <w:rPr>
          <w:rFonts w:ascii="宋体" w:hAnsi="宋体" w:eastAsia="宋体" w:cs="Times New Roman"/>
          <w:i w:val="0"/>
          <w:iCs w:val="0"/>
          <w:color w:val="auto"/>
          <w:szCs w:val="21"/>
          <w:highlight w:val="none"/>
          <w:u w:val="single"/>
        </w:rPr>
        <w:t>5.</w:t>
      </w:r>
      <w:r>
        <w:rPr>
          <w:rFonts w:hint="eastAsia" w:ascii="宋体" w:hAnsi="宋体" w:eastAsia="宋体" w:cs="Times New Roman"/>
          <w:i w:val="0"/>
          <w:iCs w:val="0"/>
          <w:color w:val="auto"/>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s="Times New Roman"/>
          <w:i w:val="0"/>
          <w:iCs w:val="0"/>
          <w:color w:val="auto"/>
          <w:szCs w:val="22"/>
          <w:highlight w:val="none"/>
          <w:u w:val="single"/>
        </w:rPr>
        <w:t>不享受中小企业扶持政策。</w:t>
      </w:r>
    </w:p>
    <w:p>
      <w:pPr>
        <w:adjustRightInd w:val="0"/>
        <w:snapToGrid w:val="0"/>
        <w:spacing w:line="288" w:lineRule="auto"/>
        <w:ind w:firstLine="495" w:firstLineChars="236"/>
        <w:rPr>
          <w:rFonts w:ascii="宋体" w:hAnsi="宋体" w:eastAsia="宋体" w:cs="宋体"/>
          <w:i w:val="0"/>
          <w:iCs w:val="0"/>
          <w:color w:val="auto"/>
          <w:szCs w:val="21"/>
          <w:highlight w:val="none"/>
          <w:u w:val="single"/>
        </w:rPr>
      </w:pPr>
      <w:r>
        <w:rPr>
          <w:rFonts w:hint="eastAsia" w:ascii="宋体" w:hAnsi="宋体" w:eastAsia="宋体" w:cs="Times New Roman"/>
          <w:i w:val="0"/>
          <w:iCs w:val="0"/>
          <w:color w:val="auto"/>
          <w:szCs w:val="21"/>
          <w:highlight w:val="none"/>
          <w:u w:val="single"/>
        </w:rPr>
        <w:t>6</w:t>
      </w:r>
      <w:r>
        <w:rPr>
          <w:rFonts w:ascii="宋体" w:hAnsi="宋体" w:eastAsia="宋体" w:cs="Times New Roman"/>
          <w:i w:val="0"/>
          <w:iCs w:val="0"/>
          <w:color w:val="auto"/>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pPr>
        <w:adjustRightInd w:val="0"/>
        <w:snapToGrid w:val="0"/>
        <w:spacing w:line="288" w:lineRule="auto"/>
        <w:jc w:val="center"/>
        <w:outlineLvl w:val="2"/>
        <w:rPr>
          <w:rFonts w:hint="eastAsia" w:ascii="宋体" w:hAnsi="宋体" w:eastAsia="宋体" w:cs="宋体"/>
          <w:b/>
          <w:i w:val="0"/>
          <w:iCs w:val="0"/>
          <w:color w:val="auto"/>
          <w:spacing w:val="-6"/>
          <w:szCs w:val="21"/>
          <w:highlight w:val="none"/>
          <w:lang w:eastAsia="zh-CN"/>
        </w:rPr>
      </w:pPr>
      <w:r>
        <w:rPr>
          <w:rFonts w:hint="eastAsia" w:ascii="宋体" w:hAnsi="宋体" w:eastAsia="宋体" w:cs="宋体"/>
          <w:b/>
          <w:i w:val="0"/>
          <w:iCs w:val="0"/>
          <w:color w:val="auto"/>
          <w:spacing w:val="-6"/>
          <w:szCs w:val="21"/>
          <w:highlight w:val="none"/>
        </w:rPr>
        <w:t>（</w:t>
      </w:r>
      <w:r>
        <w:rPr>
          <w:rFonts w:ascii="宋体" w:hAnsi="宋体" w:eastAsia="宋体" w:cs="宋体"/>
          <w:b/>
          <w:i w:val="0"/>
          <w:iCs w:val="0"/>
          <w:color w:val="auto"/>
          <w:spacing w:val="-6"/>
          <w:szCs w:val="21"/>
          <w:highlight w:val="none"/>
        </w:rPr>
        <w:t>2</w:t>
      </w:r>
      <w:r>
        <w:rPr>
          <w:rFonts w:hint="eastAsia" w:ascii="宋体" w:hAnsi="宋体" w:eastAsia="宋体" w:cs="宋体"/>
          <w:b/>
          <w:i w:val="0"/>
          <w:iCs w:val="0"/>
          <w:color w:val="auto"/>
          <w:spacing w:val="-6"/>
          <w:szCs w:val="21"/>
          <w:highlight w:val="none"/>
        </w:rPr>
        <w:t>）</w:t>
      </w:r>
      <w:r>
        <w:rPr>
          <w:rFonts w:ascii="宋体" w:hAnsi="宋体" w:eastAsia="宋体" w:cs="宋体"/>
          <w:b/>
          <w:i w:val="0"/>
          <w:iCs w:val="0"/>
          <w:color w:val="auto"/>
          <w:spacing w:val="-6"/>
          <w:szCs w:val="21"/>
          <w:highlight w:val="none"/>
        </w:rPr>
        <w:t>中小企业声明函（货物）</w:t>
      </w:r>
      <w:r>
        <w:rPr>
          <w:rFonts w:hint="eastAsia" w:ascii="宋体" w:hAnsi="宋体" w:eastAsia="宋体" w:cs="宋体"/>
          <w:b/>
          <w:i w:val="0"/>
          <w:iCs w:val="0"/>
          <w:color w:val="auto"/>
          <w:spacing w:val="-6"/>
          <w:szCs w:val="21"/>
          <w:highlight w:val="none"/>
        </w:rPr>
        <w:t>（若属于中小企业）</w:t>
      </w:r>
      <w:r>
        <w:rPr>
          <w:rFonts w:hint="eastAsia" w:ascii="宋体" w:hAnsi="宋体" w:eastAsia="宋体" w:cs="宋体"/>
          <w:b/>
          <w:i w:val="0"/>
          <w:iCs w:val="0"/>
          <w:color w:val="auto"/>
          <w:spacing w:val="-6"/>
          <w:szCs w:val="21"/>
          <w:highlight w:val="none"/>
          <w:lang w:eastAsia="zh-CN"/>
        </w:rPr>
        <w:t>（</w:t>
      </w:r>
      <w:r>
        <w:rPr>
          <w:rFonts w:hint="eastAsia" w:ascii="宋体" w:hAnsi="宋体" w:eastAsia="宋体" w:cs="宋体"/>
          <w:b/>
          <w:i w:val="0"/>
          <w:iCs w:val="0"/>
          <w:color w:val="auto"/>
          <w:spacing w:val="-6"/>
          <w:szCs w:val="21"/>
          <w:highlight w:val="none"/>
          <w:lang w:val="en-US" w:eastAsia="zh-CN"/>
        </w:rPr>
        <w:t>标项三</w:t>
      </w:r>
      <w:r>
        <w:rPr>
          <w:rFonts w:hint="eastAsia" w:ascii="宋体" w:hAnsi="宋体" w:eastAsia="宋体" w:cs="宋体"/>
          <w:b/>
          <w:i w:val="0"/>
          <w:iCs w:val="0"/>
          <w:color w:val="auto"/>
          <w:spacing w:val="-6"/>
          <w:szCs w:val="21"/>
          <w:highlight w:val="none"/>
          <w:lang w:eastAsia="zh-CN"/>
        </w:rPr>
        <w:t>）</w:t>
      </w:r>
    </w:p>
    <w:p>
      <w:pPr>
        <w:adjustRightInd w:val="0"/>
        <w:snapToGrid w:val="0"/>
        <w:spacing w:line="288" w:lineRule="auto"/>
        <w:ind w:firstLine="498" w:firstLineChars="236"/>
        <w:rPr>
          <w:rFonts w:ascii="宋体" w:hAnsi="宋体" w:eastAsia="宋体" w:cs="Times New Roman"/>
          <w:b/>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本公司（联合体）郑重声明，根据《政府采购促进中小企业发展管理办法》（财库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rPr>
        <w:t>下沙校区、生活区、G区研究生公寓水电基础设施改造项目第二批设备采购</w:t>
      </w:r>
      <w:r>
        <w:rPr>
          <w:rFonts w:ascii="宋体" w:hAnsi="宋体" w:eastAsia="宋体" w:cs="Times New Roman"/>
          <w:i w:val="0"/>
          <w:iCs w:val="0"/>
          <w:color w:val="auto"/>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rPr>
        <w:t>干式变压器1</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2.</w:t>
      </w:r>
      <w:r>
        <w:rPr>
          <w:rFonts w:hint="eastAsia" w:ascii="宋体" w:hAnsi="宋体" w:eastAsia="宋体" w:cs="Times New Roman"/>
          <w:i w:val="0"/>
          <w:iCs w:val="0"/>
          <w:color w:val="auto"/>
          <w:szCs w:val="21"/>
          <w:highlight w:val="none"/>
          <w:u w:val="single"/>
        </w:rPr>
        <w:t>干式变压器外壳</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10kV环网柜1</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10kV环网柜2</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5</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0.4kV开关柜1</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6</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0.4kV开关柜2</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7</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w:t>
      </w: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8</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w:t>
      </w: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u w:val="single"/>
          <w:lang w:val="en-US" w:eastAsia="zh-CN"/>
        </w:rPr>
      </w:pPr>
      <w:r>
        <w:rPr>
          <w:rFonts w:hint="eastAsia" w:ascii="宋体" w:hAnsi="宋体" w:eastAsia="宋体" w:cs="Times New Roman"/>
          <w:i w:val="0"/>
          <w:iCs w:val="0"/>
          <w:color w:val="auto"/>
          <w:szCs w:val="21"/>
          <w:highlight w:val="none"/>
          <w:u w:val="single"/>
          <w:lang w:val="en-US" w:eastAsia="zh-CN"/>
        </w:rPr>
        <w:t>9</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密集型母线槽</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u w:val="single"/>
          <w:lang w:eastAsia="zh-CN"/>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10</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UPS电源柜</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11</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双电源照明配电箱</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2</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变电所电缆温度监测</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低压智能站控终端</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变压器、无功补偿柜灭火系统</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15</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变电所内改造项</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6</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变电所内拆除重建项</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17</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一次模拟图板</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8</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安全工器具</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lang w:eastAsia="zh-CN"/>
        </w:rPr>
      </w:pPr>
      <w:r>
        <w:rPr>
          <w:rFonts w:hint="eastAsia" w:ascii="宋体" w:hAnsi="宋体" w:eastAsia="宋体" w:cs="Times New Roman"/>
          <w:i w:val="0"/>
          <w:iCs w:val="0"/>
          <w:color w:val="auto"/>
          <w:szCs w:val="21"/>
          <w:highlight w:val="none"/>
          <w:u w:val="single"/>
          <w:lang w:val="en-US" w:eastAsia="zh-CN"/>
        </w:rPr>
        <w:t>18</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干式变压器2</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lang w:eastAsia="zh-CN"/>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企业名称（盖章）：</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日期：</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rPr>
        <w:t>注：</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1.</w:t>
      </w:r>
      <w:r>
        <w:rPr>
          <w:rFonts w:hint="eastAsia" w:ascii="宋体" w:hAnsi="宋体" w:eastAsia="宋体" w:cs="Times New Roman"/>
          <w:i w:val="0"/>
          <w:iCs w:val="0"/>
          <w:color w:val="auto"/>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2.</w:t>
      </w:r>
      <w:r>
        <w:rPr>
          <w:rFonts w:hint="eastAsia" w:ascii="宋体" w:hAnsi="宋体" w:eastAsia="宋体" w:cs="Times New Roman"/>
          <w:i w:val="0"/>
          <w:iCs w:val="0"/>
          <w:color w:val="auto"/>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3</w:t>
      </w:r>
      <w:r>
        <w:rPr>
          <w:rFonts w:hint="eastAsia" w:ascii="宋体" w:hAnsi="宋体" w:eastAsia="宋体" w:cs="Times New Roman"/>
          <w:i w:val="0"/>
          <w:iCs w:val="0"/>
          <w:color w:val="auto"/>
          <w:szCs w:val="21"/>
          <w:highlight w:val="none"/>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4</w:t>
      </w:r>
      <w:r>
        <w:rPr>
          <w:rFonts w:hint="eastAsia" w:ascii="宋体" w:hAnsi="宋体" w:eastAsia="宋体" w:cs="Times New Roman"/>
          <w:i w:val="0"/>
          <w:iCs w:val="0"/>
          <w:color w:val="auto"/>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s="Times New Roman"/>
          <w:i w:val="0"/>
          <w:iCs w:val="0"/>
          <w:color w:val="auto"/>
          <w:szCs w:val="22"/>
          <w:highlight w:val="none"/>
          <w:u w:val="single"/>
        </w:rPr>
      </w:pPr>
      <w:r>
        <w:rPr>
          <w:rFonts w:ascii="宋体" w:hAnsi="宋体" w:eastAsia="宋体" w:cs="Times New Roman"/>
          <w:i w:val="0"/>
          <w:iCs w:val="0"/>
          <w:color w:val="auto"/>
          <w:szCs w:val="21"/>
          <w:highlight w:val="none"/>
          <w:u w:val="single"/>
        </w:rPr>
        <w:t>5.</w:t>
      </w:r>
      <w:r>
        <w:rPr>
          <w:rFonts w:hint="eastAsia" w:ascii="宋体" w:hAnsi="宋体" w:eastAsia="宋体" w:cs="Times New Roman"/>
          <w:i w:val="0"/>
          <w:iCs w:val="0"/>
          <w:color w:val="auto"/>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s="Times New Roman"/>
          <w:i w:val="0"/>
          <w:iCs w:val="0"/>
          <w:color w:val="auto"/>
          <w:szCs w:val="22"/>
          <w:highlight w:val="none"/>
          <w:u w:val="single"/>
        </w:rPr>
        <w:t>不享受中小企业扶持政策。</w:t>
      </w:r>
    </w:p>
    <w:p>
      <w:pPr>
        <w:adjustRightInd w:val="0"/>
        <w:snapToGrid w:val="0"/>
        <w:spacing w:line="288" w:lineRule="auto"/>
        <w:ind w:firstLine="495" w:firstLineChars="236"/>
        <w:rPr>
          <w:rFonts w:ascii="宋体" w:hAnsi="宋体" w:eastAsia="宋体" w:cs="宋体"/>
          <w:i w:val="0"/>
          <w:iCs w:val="0"/>
          <w:color w:val="auto"/>
          <w:szCs w:val="21"/>
          <w:highlight w:val="none"/>
          <w:u w:val="single"/>
        </w:rPr>
      </w:pPr>
      <w:r>
        <w:rPr>
          <w:rFonts w:hint="eastAsia" w:ascii="宋体" w:hAnsi="宋体" w:eastAsia="宋体" w:cs="Times New Roman"/>
          <w:i w:val="0"/>
          <w:iCs w:val="0"/>
          <w:color w:val="auto"/>
          <w:szCs w:val="21"/>
          <w:highlight w:val="none"/>
          <w:u w:val="single"/>
        </w:rPr>
        <w:t>6</w:t>
      </w:r>
      <w:r>
        <w:rPr>
          <w:rFonts w:ascii="宋体" w:hAnsi="宋体" w:eastAsia="宋体" w:cs="Times New Roman"/>
          <w:i w:val="0"/>
          <w:iCs w:val="0"/>
          <w:color w:val="auto"/>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pPr>
        <w:adjustRightInd w:val="0"/>
        <w:snapToGrid w:val="0"/>
        <w:spacing w:line="288" w:lineRule="auto"/>
        <w:jc w:val="center"/>
        <w:outlineLvl w:val="2"/>
        <w:rPr>
          <w:rFonts w:hint="eastAsia" w:ascii="宋体" w:hAnsi="宋体" w:eastAsia="宋体" w:cs="宋体"/>
          <w:b/>
          <w:i w:val="0"/>
          <w:iCs w:val="0"/>
          <w:color w:val="auto"/>
          <w:spacing w:val="-6"/>
          <w:szCs w:val="21"/>
          <w:highlight w:val="none"/>
          <w:lang w:eastAsia="zh-CN"/>
        </w:rPr>
      </w:pPr>
      <w:r>
        <w:rPr>
          <w:rFonts w:hint="eastAsia" w:ascii="宋体" w:hAnsi="宋体" w:eastAsia="宋体" w:cs="宋体"/>
          <w:b/>
          <w:i w:val="0"/>
          <w:iCs w:val="0"/>
          <w:color w:val="auto"/>
          <w:spacing w:val="-6"/>
          <w:szCs w:val="21"/>
          <w:highlight w:val="none"/>
        </w:rPr>
        <w:t>（</w:t>
      </w:r>
      <w:r>
        <w:rPr>
          <w:rFonts w:ascii="宋体" w:hAnsi="宋体" w:eastAsia="宋体" w:cs="宋体"/>
          <w:b/>
          <w:i w:val="0"/>
          <w:iCs w:val="0"/>
          <w:color w:val="auto"/>
          <w:spacing w:val="-6"/>
          <w:szCs w:val="21"/>
          <w:highlight w:val="none"/>
        </w:rPr>
        <w:t>2</w:t>
      </w:r>
      <w:r>
        <w:rPr>
          <w:rFonts w:hint="eastAsia" w:ascii="宋体" w:hAnsi="宋体" w:eastAsia="宋体" w:cs="宋体"/>
          <w:b/>
          <w:i w:val="0"/>
          <w:iCs w:val="0"/>
          <w:color w:val="auto"/>
          <w:spacing w:val="-6"/>
          <w:szCs w:val="21"/>
          <w:highlight w:val="none"/>
        </w:rPr>
        <w:t>）</w:t>
      </w:r>
      <w:r>
        <w:rPr>
          <w:rFonts w:ascii="宋体" w:hAnsi="宋体" w:eastAsia="宋体" w:cs="宋体"/>
          <w:b/>
          <w:i w:val="0"/>
          <w:iCs w:val="0"/>
          <w:color w:val="auto"/>
          <w:spacing w:val="-6"/>
          <w:szCs w:val="21"/>
          <w:highlight w:val="none"/>
        </w:rPr>
        <w:t>中小企业声明函（货物）</w:t>
      </w:r>
      <w:r>
        <w:rPr>
          <w:rFonts w:hint="eastAsia" w:ascii="宋体" w:hAnsi="宋体" w:eastAsia="宋体" w:cs="宋体"/>
          <w:b/>
          <w:i w:val="0"/>
          <w:iCs w:val="0"/>
          <w:color w:val="auto"/>
          <w:spacing w:val="-6"/>
          <w:szCs w:val="21"/>
          <w:highlight w:val="none"/>
        </w:rPr>
        <w:t>（若属于中小企业）</w:t>
      </w:r>
      <w:r>
        <w:rPr>
          <w:rFonts w:hint="eastAsia" w:ascii="宋体" w:hAnsi="宋体" w:eastAsia="宋体" w:cs="宋体"/>
          <w:b/>
          <w:i w:val="0"/>
          <w:iCs w:val="0"/>
          <w:color w:val="auto"/>
          <w:spacing w:val="-6"/>
          <w:szCs w:val="21"/>
          <w:highlight w:val="none"/>
          <w:lang w:eastAsia="zh-CN"/>
        </w:rPr>
        <w:t>（</w:t>
      </w:r>
      <w:r>
        <w:rPr>
          <w:rFonts w:hint="eastAsia" w:ascii="宋体" w:hAnsi="宋体" w:eastAsia="宋体" w:cs="宋体"/>
          <w:b/>
          <w:i w:val="0"/>
          <w:iCs w:val="0"/>
          <w:color w:val="auto"/>
          <w:spacing w:val="-6"/>
          <w:szCs w:val="21"/>
          <w:highlight w:val="none"/>
          <w:lang w:val="en-US" w:eastAsia="zh-CN"/>
        </w:rPr>
        <w:t>标项四</w:t>
      </w:r>
      <w:r>
        <w:rPr>
          <w:rFonts w:hint="eastAsia" w:ascii="宋体" w:hAnsi="宋体" w:eastAsia="宋体" w:cs="宋体"/>
          <w:b/>
          <w:i w:val="0"/>
          <w:iCs w:val="0"/>
          <w:color w:val="auto"/>
          <w:spacing w:val="-6"/>
          <w:szCs w:val="21"/>
          <w:highlight w:val="none"/>
          <w:lang w:eastAsia="zh-CN"/>
        </w:rPr>
        <w:t>）</w:t>
      </w:r>
    </w:p>
    <w:p>
      <w:pPr>
        <w:adjustRightInd w:val="0"/>
        <w:snapToGrid w:val="0"/>
        <w:spacing w:line="288" w:lineRule="auto"/>
        <w:rPr>
          <w:rFonts w:ascii="宋体" w:hAnsi="宋体" w:eastAsia="宋体" w:cs="Times New Roman"/>
          <w:b/>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本公司（联合体）郑重声明，根据《政府采购促进中小企业发展管理办法》（财库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rPr>
        <w:t>下沙校区、生活区、G区研究生公寓水电基础设施改造项目第二批设备采购</w:t>
      </w:r>
      <w:r>
        <w:rPr>
          <w:rFonts w:ascii="宋体" w:hAnsi="宋体" w:eastAsia="宋体" w:cs="Times New Roman"/>
          <w:i w:val="0"/>
          <w:iCs w:val="0"/>
          <w:color w:val="auto"/>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rPr>
        <w:t>干式变压器1</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2.</w:t>
      </w:r>
      <w:r>
        <w:rPr>
          <w:rFonts w:hint="eastAsia" w:ascii="宋体" w:hAnsi="宋体" w:eastAsia="宋体" w:cs="Times New Roman"/>
          <w:i w:val="0"/>
          <w:iCs w:val="0"/>
          <w:color w:val="auto"/>
          <w:szCs w:val="21"/>
          <w:highlight w:val="none"/>
          <w:u w:val="single"/>
        </w:rPr>
        <w:t>干式变压器外壳</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10kV环网柜1</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10kV环网柜2</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5</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0.4kV开关柜1</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6</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0.4kV开关柜2</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7</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w:t>
      </w: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8</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0.4kV开关柜</w:t>
      </w: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u w:val="single"/>
          <w:lang w:val="en-US" w:eastAsia="zh-CN"/>
        </w:rPr>
      </w:pPr>
      <w:r>
        <w:rPr>
          <w:rFonts w:hint="eastAsia" w:ascii="宋体" w:hAnsi="宋体" w:eastAsia="宋体" w:cs="Times New Roman"/>
          <w:i w:val="0"/>
          <w:iCs w:val="0"/>
          <w:color w:val="auto"/>
          <w:szCs w:val="21"/>
          <w:highlight w:val="none"/>
          <w:u w:val="single"/>
          <w:lang w:val="en-US" w:eastAsia="zh-CN"/>
        </w:rPr>
        <w:t>9</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密集型母线槽</w:t>
      </w:r>
      <w:r>
        <w:rPr>
          <w:rFonts w:hint="eastAsia" w:ascii="宋体" w:hAnsi="宋体" w:eastAsia="宋体" w:cs="Times New Roman"/>
          <w:i w:val="0"/>
          <w:iCs w:val="0"/>
          <w:color w:val="auto"/>
          <w:szCs w:val="21"/>
          <w:highlight w:val="none"/>
          <w:u w:val="single"/>
          <w:lang w:val="en-US" w:eastAsia="zh-CN"/>
        </w:rPr>
        <w:t>1</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u w:val="single"/>
          <w:lang w:eastAsia="zh-CN"/>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10</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UPS电源柜</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11</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双电源照明配电箱</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2</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变电所电缆温度监测</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低压智能站控终端</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变压器、无功补偿柜灭火系统</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15</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变电所内改造项</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6</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变电所内拆除重建项</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17</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一次模拟图板</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u w:val="single"/>
          <w:lang w:eastAsia="zh-CN"/>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lang w:val="en-US" w:eastAsia="zh-CN"/>
        </w:rPr>
        <w:t>8</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安全工器具</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u w:val="single"/>
          <w:lang w:eastAsia="zh-CN"/>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u w:val="single"/>
          <w:lang w:val="en-US" w:eastAsia="zh-CN"/>
        </w:rPr>
      </w:pPr>
      <w:r>
        <w:rPr>
          <w:rFonts w:hint="eastAsia" w:ascii="宋体" w:hAnsi="宋体" w:eastAsia="宋体" w:cs="Times New Roman"/>
          <w:i w:val="0"/>
          <w:iCs w:val="0"/>
          <w:color w:val="auto"/>
          <w:szCs w:val="21"/>
          <w:highlight w:val="none"/>
          <w:u w:val="single"/>
          <w:lang w:val="en-US" w:eastAsia="zh-CN"/>
        </w:rPr>
        <w:t>19</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密集型母线槽</w:t>
      </w:r>
      <w:r>
        <w:rPr>
          <w:rFonts w:hint="eastAsia" w:ascii="宋体" w:hAnsi="宋体" w:eastAsia="宋体" w:cs="Times New Roman"/>
          <w:i w:val="0"/>
          <w:iCs w:val="0"/>
          <w:color w:val="auto"/>
          <w:szCs w:val="21"/>
          <w:highlight w:val="none"/>
          <w:u w:val="single"/>
          <w:lang w:val="en-US" w:eastAsia="zh-CN"/>
        </w:rPr>
        <w:t>2</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u w:val="single"/>
          <w:lang w:eastAsia="zh-CN"/>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企业名称（盖章）：</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日期：</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rPr>
        <w:t>注：</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1.</w:t>
      </w:r>
      <w:r>
        <w:rPr>
          <w:rFonts w:hint="eastAsia" w:ascii="宋体" w:hAnsi="宋体" w:eastAsia="宋体" w:cs="Times New Roman"/>
          <w:i w:val="0"/>
          <w:iCs w:val="0"/>
          <w:color w:val="auto"/>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2.</w:t>
      </w:r>
      <w:r>
        <w:rPr>
          <w:rFonts w:hint="eastAsia" w:ascii="宋体" w:hAnsi="宋体" w:eastAsia="宋体" w:cs="Times New Roman"/>
          <w:i w:val="0"/>
          <w:iCs w:val="0"/>
          <w:color w:val="auto"/>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3</w:t>
      </w:r>
      <w:r>
        <w:rPr>
          <w:rFonts w:hint="eastAsia" w:ascii="宋体" w:hAnsi="宋体" w:eastAsia="宋体" w:cs="Times New Roman"/>
          <w:i w:val="0"/>
          <w:iCs w:val="0"/>
          <w:color w:val="auto"/>
          <w:szCs w:val="21"/>
          <w:highlight w:val="none"/>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4</w:t>
      </w:r>
      <w:r>
        <w:rPr>
          <w:rFonts w:hint="eastAsia" w:ascii="宋体" w:hAnsi="宋体" w:eastAsia="宋体" w:cs="Times New Roman"/>
          <w:i w:val="0"/>
          <w:iCs w:val="0"/>
          <w:color w:val="auto"/>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s="Times New Roman"/>
          <w:i w:val="0"/>
          <w:iCs w:val="0"/>
          <w:color w:val="auto"/>
          <w:szCs w:val="22"/>
          <w:highlight w:val="none"/>
          <w:u w:val="single"/>
        </w:rPr>
      </w:pPr>
      <w:r>
        <w:rPr>
          <w:rFonts w:ascii="宋体" w:hAnsi="宋体" w:eastAsia="宋体" w:cs="Times New Roman"/>
          <w:i w:val="0"/>
          <w:iCs w:val="0"/>
          <w:color w:val="auto"/>
          <w:szCs w:val="21"/>
          <w:highlight w:val="none"/>
          <w:u w:val="single"/>
        </w:rPr>
        <w:t>5.</w:t>
      </w:r>
      <w:r>
        <w:rPr>
          <w:rFonts w:hint="eastAsia" w:ascii="宋体" w:hAnsi="宋体" w:eastAsia="宋体" w:cs="Times New Roman"/>
          <w:i w:val="0"/>
          <w:iCs w:val="0"/>
          <w:color w:val="auto"/>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s="Times New Roman"/>
          <w:i w:val="0"/>
          <w:iCs w:val="0"/>
          <w:color w:val="auto"/>
          <w:szCs w:val="22"/>
          <w:highlight w:val="none"/>
          <w:u w:val="single"/>
        </w:rPr>
        <w:t>不享受中小企业扶持政策。</w:t>
      </w:r>
    </w:p>
    <w:p>
      <w:pPr>
        <w:adjustRightInd w:val="0"/>
        <w:snapToGrid w:val="0"/>
        <w:spacing w:line="288" w:lineRule="auto"/>
        <w:ind w:firstLine="495" w:firstLineChars="236"/>
        <w:rPr>
          <w:rFonts w:ascii="宋体" w:hAnsi="宋体" w:eastAsia="宋体" w:cs="宋体"/>
          <w:i w:val="0"/>
          <w:iCs w:val="0"/>
          <w:color w:val="auto"/>
          <w:szCs w:val="21"/>
          <w:highlight w:val="none"/>
          <w:u w:val="single"/>
        </w:rPr>
      </w:pPr>
      <w:r>
        <w:rPr>
          <w:rFonts w:hint="eastAsia" w:ascii="宋体" w:hAnsi="宋体" w:eastAsia="宋体" w:cs="Times New Roman"/>
          <w:i w:val="0"/>
          <w:iCs w:val="0"/>
          <w:color w:val="auto"/>
          <w:szCs w:val="21"/>
          <w:highlight w:val="none"/>
          <w:u w:val="single"/>
        </w:rPr>
        <w:t>6</w:t>
      </w:r>
      <w:r>
        <w:rPr>
          <w:rFonts w:ascii="宋体" w:hAnsi="宋体" w:eastAsia="宋体" w:cs="Times New Roman"/>
          <w:i w:val="0"/>
          <w:iCs w:val="0"/>
          <w:color w:val="auto"/>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）属于监狱企业的证明文件（若属于监狱企业）</w:t>
      </w:r>
    </w:p>
    <w:p>
      <w:pPr>
        <w:adjustRightInd w:val="0"/>
        <w:snapToGrid w:val="0"/>
        <w:spacing w:line="288" w:lineRule="auto"/>
        <w:rPr>
          <w:rFonts w:ascii="宋体" w:hAnsi="宋体" w:eastAsia="宋体" w:cs="宋体"/>
          <w:color w:val="auto"/>
          <w:kern w:val="0"/>
          <w:szCs w:val="21"/>
          <w:highlight w:val="none"/>
        </w:rPr>
      </w:pPr>
    </w:p>
    <w:p>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）残疾人福利性单位声明函（若属于残疾人福利性单位）</w:t>
      </w:r>
    </w:p>
    <w:p>
      <w:pPr>
        <w:adjustRightInd w:val="0"/>
        <w:snapToGrid w:val="0"/>
        <w:spacing w:line="288" w:lineRule="auto"/>
        <w:rPr>
          <w:rFonts w:ascii="宋体" w:hAnsi="宋体" w:eastAsia="宋体" w:cs="Times New Roman"/>
          <w:b/>
          <w:color w:val="auto"/>
          <w:spacing w:val="6"/>
          <w:szCs w:val="21"/>
          <w:highlight w:val="none"/>
        </w:rPr>
      </w:pPr>
    </w:p>
    <w:p>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pPr>
        <w:snapToGrid w:val="0"/>
        <w:spacing w:line="288" w:lineRule="auto"/>
        <w:rPr>
          <w:rFonts w:ascii="宋体" w:hAnsi="宋体" w:eastAsia="宋体" w:cs="仿宋_GB2312"/>
          <w:color w:val="auto"/>
          <w:szCs w:val="21"/>
          <w:highlight w:val="none"/>
          <w:u w:val="single"/>
        </w:rPr>
      </w:pPr>
    </w:p>
    <w:p>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pPr>
        <w:snapToGrid w:val="0"/>
        <w:spacing w:line="288" w:lineRule="auto"/>
        <w:rPr>
          <w:rFonts w:ascii="宋体" w:hAnsi="宋体" w:eastAsia="宋体" w:cs="宋体"/>
          <w:b/>
          <w:bCs/>
          <w:color w:val="auto"/>
          <w:szCs w:val="21"/>
          <w:highlight w:val="none"/>
        </w:rPr>
      </w:pPr>
    </w:p>
    <w:p>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p>
      <w:pPr>
        <w:snapToGrid w:val="0"/>
        <w:spacing w:line="288" w:lineRule="auto"/>
        <w:rPr>
          <w:rFonts w:ascii="宋体" w:hAnsi="宋体" w:eastAsia="宋体" w:cs="宋体"/>
          <w:color w:val="auto"/>
          <w:szCs w:val="21"/>
          <w:highlight w:val="none"/>
        </w:rPr>
      </w:pPr>
      <w:r>
        <w:rPr>
          <w:rFonts w:ascii="宋体" w:hAnsi="宋体" w:eastAsia="宋体" w:cs="Times New Roman"/>
          <w:b/>
          <w:bCs/>
          <w:color w:val="auto"/>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highlight w:val="none"/>
        </w:rPr>
        <w:t xml:space="preserve"> </w:t>
      </w:r>
      <w:r>
        <w:rPr>
          <w:rFonts w:ascii="宋体" w:hAnsi="宋体" w:eastAsia="宋体" w:cs="Times New Roman"/>
          <w:b/>
          <w:bCs/>
          <w:color w:val="auto"/>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w:t>
      </w:r>
      <w:r>
        <w:rPr>
          <w:rFonts w:hint="eastAsia" w:ascii="宋体" w:hAnsi="宋体" w:eastAsia="宋体" w:cs="Arial"/>
          <w:color w:val="auto"/>
          <w:szCs w:val="21"/>
          <w:highlight w:val="none"/>
        </w:rPr>
        <w:t>所有联合体成员各方签署授权书，授权书载明的</w:t>
      </w:r>
      <w:r>
        <w:rPr>
          <w:rFonts w:hint="eastAsia" w:ascii="宋体" w:hAnsi="宋体" w:eastAsia="宋体" w:cs="仿宋_GB2312"/>
          <w:color w:val="auto"/>
          <w:kern w:val="0"/>
          <w:szCs w:val="21"/>
          <w:highlight w:val="none"/>
          <w:lang w:val="zh-CN"/>
        </w:rPr>
        <w:t>授权代表根据招标文件规定及投标内容而对采购人、采购机构所作的任何合法承诺，包括书面澄清及相应等均对联合投标各方产生约束力。</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，对联合体报价给予3%</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ascii="宋体" w:hAnsi="宋体" w:eastAsia="宋体" w:cs="仿宋_GB2312"/>
          <w:color w:val="auto"/>
          <w:kern w:val="0"/>
          <w:szCs w:val="21"/>
          <w:highlight w:val="none"/>
          <w:lang w:val="zh-CN"/>
        </w:rPr>
      </w:pPr>
    </w:p>
    <w:p>
      <w:pPr>
        <w:snapToGrid w:val="0"/>
        <w:spacing w:line="288" w:lineRule="auto"/>
        <w:ind w:firstLine="422" w:firstLineChars="201"/>
        <w:rPr>
          <w:rFonts w:ascii="宋体" w:hAnsi="宋体" w:eastAsia="宋体" w:cs="仿宋_GB2312"/>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pPr>
        <w:snapToGrid w:val="0"/>
        <w:spacing w:line="288" w:lineRule="auto"/>
        <w:ind w:firstLine="424" w:firstLineChars="201"/>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Times New Roman"/>
          <w:b/>
          <w:bCs/>
          <w:color w:val="auto"/>
          <w:szCs w:val="21"/>
          <w:highlight w:val="none"/>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的，对大中型企业的报价给予3%</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pPr>
        <w:snapToGrid w:val="0"/>
        <w:spacing w:line="288" w:lineRule="auto"/>
        <w:rPr>
          <w:rFonts w:ascii="宋体" w:hAnsi="宋体" w:eastAsia="宋体" w:cs="仿宋_GB2312"/>
          <w:color w:val="auto"/>
          <w:kern w:val="0"/>
          <w:szCs w:val="21"/>
          <w:highlight w:val="none"/>
          <w:lang w:val="zh-CN"/>
        </w:rPr>
      </w:pPr>
    </w:p>
    <w:p>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pPr>
        <w:snapToGrid w:val="0"/>
        <w:spacing w:line="288" w:lineRule="auto"/>
        <w:ind w:firstLine="424" w:firstLineChars="201"/>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pPr>
        <w:snapToGrid w:val="0"/>
        <w:spacing w:line="288" w:lineRule="auto"/>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pPr>
        <w:rPr>
          <w:rFonts w:ascii="等线" w:hAnsi="等线" w:eastAsia="等线" w:cs="Times New Roman"/>
          <w:color w:val="auto"/>
          <w:highlight w:val="none"/>
        </w:rPr>
      </w:pPr>
    </w:p>
    <w:p>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Borders>
        <w:top w:val="none" w:sz="0" w:space="0"/>
        <w:left w:val="none" w:sz="0" w:space="0"/>
        <w:bottom w:val="none" w:sz="0" w:space="0"/>
        <w:right w:val="none" w:sz="0" w:space="0"/>
      </w:pgBorders>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E4ODU1ZDI4ZjRlZTBmMGUxNzdkOGJmNDk2YjlmMTQ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3A2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6E7C3D"/>
    <w:rsid w:val="01F81427"/>
    <w:rsid w:val="021A23AD"/>
    <w:rsid w:val="03295346"/>
    <w:rsid w:val="03F93561"/>
    <w:rsid w:val="03FE3BD1"/>
    <w:rsid w:val="049C442B"/>
    <w:rsid w:val="05C26D7F"/>
    <w:rsid w:val="05D34727"/>
    <w:rsid w:val="078548EB"/>
    <w:rsid w:val="07DB5C37"/>
    <w:rsid w:val="08931933"/>
    <w:rsid w:val="0A407EEC"/>
    <w:rsid w:val="0B4A1776"/>
    <w:rsid w:val="0C786503"/>
    <w:rsid w:val="0D1A04C9"/>
    <w:rsid w:val="0D480494"/>
    <w:rsid w:val="0DC257D5"/>
    <w:rsid w:val="0E260475"/>
    <w:rsid w:val="0F5E4359"/>
    <w:rsid w:val="10594D39"/>
    <w:rsid w:val="10757130"/>
    <w:rsid w:val="112B34AD"/>
    <w:rsid w:val="11FF5827"/>
    <w:rsid w:val="13396C08"/>
    <w:rsid w:val="13840673"/>
    <w:rsid w:val="17842EAA"/>
    <w:rsid w:val="17D03810"/>
    <w:rsid w:val="18090C43"/>
    <w:rsid w:val="1842500F"/>
    <w:rsid w:val="18FB5F15"/>
    <w:rsid w:val="19CD59A2"/>
    <w:rsid w:val="1B321622"/>
    <w:rsid w:val="1BA82B38"/>
    <w:rsid w:val="1C645B53"/>
    <w:rsid w:val="1DAA2945"/>
    <w:rsid w:val="1F2E1F3E"/>
    <w:rsid w:val="1F9C38D3"/>
    <w:rsid w:val="205D4AAB"/>
    <w:rsid w:val="20767551"/>
    <w:rsid w:val="212705BE"/>
    <w:rsid w:val="21633856"/>
    <w:rsid w:val="21DB64E2"/>
    <w:rsid w:val="221C4C30"/>
    <w:rsid w:val="22A70B6C"/>
    <w:rsid w:val="23C14303"/>
    <w:rsid w:val="23E67A65"/>
    <w:rsid w:val="23FF4622"/>
    <w:rsid w:val="2448694F"/>
    <w:rsid w:val="24E061E0"/>
    <w:rsid w:val="27432BC1"/>
    <w:rsid w:val="27F0275A"/>
    <w:rsid w:val="28486025"/>
    <w:rsid w:val="28580092"/>
    <w:rsid w:val="28711C8E"/>
    <w:rsid w:val="28BC23D4"/>
    <w:rsid w:val="29505C0C"/>
    <w:rsid w:val="2AA10ED5"/>
    <w:rsid w:val="2ADA0518"/>
    <w:rsid w:val="2C5165FD"/>
    <w:rsid w:val="2C921974"/>
    <w:rsid w:val="2DA44472"/>
    <w:rsid w:val="2DBE14C9"/>
    <w:rsid w:val="2E2B31E3"/>
    <w:rsid w:val="2F380CDF"/>
    <w:rsid w:val="2F6A64D8"/>
    <w:rsid w:val="30616EA9"/>
    <w:rsid w:val="313833D0"/>
    <w:rsid w:val="31A44D82"/>
    <w:rsid w:val="321B36E9"/>
    <w:rsid w:val="32BE120D"/>
    <w:rsid w:val="32D86553"/>
    <w:rsid w:val="330C0EF9"/>
    <w:rsid w:val="333D579D"/>
    <w:rsid w:val="33506DE6"/>
    <w:rsid w:val="33B56928"/>
    <w:rsid w:val="33E54995"/>
    <w:rsid w:val="34004E73"/>
    <w:rsid w:val="34C82D26"/>
    <w:rsid w:val="35194EAC"/>
    <w:rsid w:val="35A54CED"/>
    <w:rsid w:val="35B75AD9"/>
    <w:rsid w:val="35EC7605"/>
    <w:rsid w:val="368B4201"/>
    <w:rsid w:val="37534CA7"/>
    <w:rsid w:val="37D824F1"/>
    <w:rsid w:val="3B0C4DFA"/>
    <w:rsid w:val="3B3D4F30"/>
    <w:rsid w:val="3C4D26C6"/>
    <w:rsid w:val="3D044EFC"/>
    <w:rsid w:val="3E6946AD"/>
    <w:rsid w:val="3EB60CB3"/>
    <w:rsid w:val="3EBD3DAB"/>
    <w:rsid w:val="3EC436F9"/>
    <w:rsid w:val="3F031722"/>
    <w:rsid w:val="3F3228BB"/>
    <w:rsid w:val="3F740895"/>
    <w:rsid w:val="3FA9041D"/>
    <w:rsid w:val="3FB93DC6"/>
    <w:rsid w:val="402A691C"/>
    <w:rsid w:val="40375A1F"/>
    <w:rsid w:val="404B0237"/>
    <w:rsid w:val="41AE12CA"/>
    <w:rsid w:val="422E66F3"/>
    <w:rsid w:val="4275164D"/>
    <w:rsid w:val="430A3262"/>
    <w:rsid w:val="43135430"/>
    <w:rsid w:val="43DC5198"/>
    <w:rsid w:val="4419783F"/>
    <w:rsid w:val="46A824B9"/>
    <w:rsid w:val="46BB170B"/>
    <w:rsid w:val="47510906"/>
    <w:rsid w:val="495D70F7"/>
    <w:rsid w:val="498C1364"/>
    <w:rsid w:val="4B7D5F80"/>
    <w:rsid w:val="4BF40741"/>
    <w:rsid w:val="4C012BF3"/>
    <w:rsid w:val="4C5E019B"/>
    <w:rsid w:val="4DF315F0"/>
    <w:rsid w:val="4F64249F"/>
    <w:rsid w:val="4F6E1200"/>
    <w:rsid w:val="4F87381A"/>
    <w:rsid w:val="4FEE189E"/>
    <w:rsid w:val="500B7C38"/>
    <w:rsid w:val="511C1242"/>
    <w:rsid w:val="52A51138"/>
    <w:rsid w:val="535769C9"/>
    <w:rsid w:val="536E58AE"/>
    <w:rsid w:val="53F038EA"/>
    <w:rsid w:val="54E01333"/>
    <w:rsid w:val="56DB758F"/>
    <w:rsid w:val="56FA6FC0"/>
    <w:rsid w:val="5791313A"/>
    <w:rsid w:val="595F7677"/>
    <w:rsid w:val="596B3BE3"/>
    <w:rsid w:val="59BA69E3"/>
    <w:rsid w:val="5A4E0BD0"/>
    <w:rsid w:val="5A661DF4"/>
    <w:rsid w:val="5ACF0178"/>
    <w:rsid w:val="5BC709A1"/>
    <w:rsid w:val="5C3E17F9"/>
    <w:rsid w:val="5C483ABC"/>
    <w:rsid w:val="5D3A6920"/>
    <w:rsid w:val="5D8135CC"/>
    <w:rsid w:val="5ED57F57"/>
    <w:rsid w:val="5EFC2D81"/>
    <w:rsid w:val="5FC56DE7"/>
    <w:rsid w:val="600446EC"/>
    <w:rsid w:val="600D2EE6"/>
    <w:rsid w:val="621760F6"/>
    <w:rsid w:val="62246B60"/>
    <w:rsid w:val="636E1AE4"/>
    <w:rsid w:val="63961EC9"/>
    <w:rsid w:val="64092DA1"/>
    <w:rsid w:val="644F1ACD"/>
    <w:rsid w:val="64F67C08"/>
    <w:rsid w:val="65454AE5"/>
    <w:rsid w:val="67060D39"/>
    <w:rsid w:val="67E670C9"/>
    <w:rsid w:val="67FF1998"/>
    <w:rsid w:val="680D1D99"/>
    <w:rsid w:val="68D22665"/>
    <w:rsid w:val="69431270"/>
    <w:rsid w:val="6A7F4F75"/>
    <w:rsid w:val="6AC041D0"/>
    <w:rsid w:val="6ACA16F9"/>
    <w:rsid w:val="6B16774A"/>
    <w:rsid w:val="6B580C58"/>
    <w:rsid w:val="6BAE31D5"/>
    <w:rsid w:val="6C5F0FCB"/>
    <w:rsid w:val="6CA41763"/>
    <w:rsid w:val="6D0C5DBC"/>
    <w:rsid w:val="6DBF4308"/>
    <w:rsid w:val="6ECE2681"/>
    <w:rsid w:val="6EDB3967"/>
    <w:rsid w:val="7041297D"/>
    <w:rsid w:val="71377E1B"/>
    <w:rsid w:val="72340F9C"/>
    <w:rsid w:val="72C706E6"/>
    <w:rsid w:val="72FA7650"/>
    <w:rsid w:val="734A60F9"/>
    <w:rsid w:val="73A153CC"/>
    <w:rsid w:val="75924397"/>
    <w:rsid w:val="75C00D58"/>
    <w:rsid w:val="767B0AF0"/>
    <w:rsid w:val="77211FDC"/>
    <w:rsid w:val="774152C9"/>
    <w:rsid w:val="78183480"/>
    <w:rsid w:val="793070F8"/>
    <w:rsid w:val="79900BD0"/>
    <w:rsid w:val="79D825C1"/>
    <w:rsid w:val="7B5D131E"/>
    <w:rsid w:val="7C064FD8"/>
    <w:rsid w:val="7C0B43E5"/>
    <w:rsid w:val="7C4F2EC7"/>
    <w:rsid w:val="7CCD2ACE"/>
    <w:rsid w:val="7DB41B16"/>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Layout w:type="fixed"/>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09">
    <w:name w:val="*正文"/>
    <w:qFormat/>
    <w:uiPriority w:val="0"/>
    <w:pPr>
      <w:widowControl w:val="0"/>
      <w:spacing w:line="360" w:lineRule="auto"/>
      <w:jc w:val="center"/>
    </w:pPr>
    <w:rPr>
      <w:rFonts w:ascii="宋体" w:hAnsi="宋体" w:eastAsia="宋体" w:cs="Times New Roman"/>
      <w:kern w:val="2"/>
      <w:sz w:val="21"/>
      <w:szCs w:val="20"/>
      <w:lang w:val="en-US" w:eastAsia="zh-CN" w:bidi="ar-SA"/>
    </w:rPr>
  </w:style>
  <w:style w:type="paragraph" w:customStyle="1" w:styleId="110">
    <w:name w:val="列出段落1111"/>
    <w:qFormat/>
    <w:uiPriority w:val="34"/>
    <w:pPr>
      <w:widowControl w:val="0"/>
      <w:ind w:left="720"/>
      <w:contextualSpacing/>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87</Pages>
  <Words>57066</Words>
  <Characters>62690</Characters>
  <Lines>220</Lines>
  <Paragraphs>62</Paragraphs>
  <TotalTime>1145</TotalTime>
  <ScaleCrop>false</ScaleCrop>
  <LinksUpToDate>false</LinksUpToDate>
  <CharactersWithSpaces>64219</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浙江求是招标代理有限公司</cp:lastModifiedBy>
  <cp:lastPrinted>2024-05-09T06:14:00Z</cp:lastPrinted>
  <dcterms:modified xsi:type="dcterms:W3CDTF">2024-05-17T07:09:45Z</dcterms:modified>
  <cp:revision>1036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F1CEE0FD43FF4CB28CA90BB588794FB8_13</vt:lpwstr>
  </property>
</Properties>
</file>