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autoSpaceDE w:val="0"/>
              <w:autoSpaceDN w:val="0"/>
              <w:adjustRightInd w:val="0"/>
              <w:spacing w:line="360" w:lineRule="auto"/>
              <w:rPr>
                <w:rFonts w:ascii="宋体" w:hAnsi="宋体" w:cs="宋体"/>
                <w:color w:val="000000"/>
                <w:szCs w:val="21"/>
                <w:highlight w:val="none"/>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asciiTheme="majorEastAsia" w:hAnsiTheme="majorEastAsia" w:eastAsiaTheme="majorEastAsia"/>
                <w:lang w:val="en-US" w:eastAsia="zh-CN"/>
              </w:rPr>
              <w:t>杭州电子科技大学东岳校区海洋大楼六楼环境改造工程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杭州电子科技大学东岳校区海洋大楼六楼环境改造工程</w:t>
            </w:r>
            <w:r>
              <w:rPr>
                <w:rFonts w:hint="eastAsia" w:hAnsi="宋体" w:cs="宋体"/>
                <w:lang w:val="en-US" w:eastAsia="zh-CN"/>
              </w:rPr>
              <w:t>工程量清单内所有内容，海洋大楼六楼局部的装饰和安装工程改造</w:t>
            </w:r>
            <w:r>
              <w:rPr>
                <w:rFonts w:hint="eastAsia" w:cs="宋体" w:asciiTheme="majorEastAsia" w:hAnsiTheme="majorEastAsia" w:eastAsiaTheme="majorEastAsia"/>
                <w:color w:val="000000"/>
              </w:rPr>
              <w:t>。</w:t>
            </w:r>
            <w:r>
              <w:rPr>
                <w:rFonts w:hint="eastAsia" w:cs="宋体" w:asciiTheme="majorEastAsia" w:hAnsiTheme="majorEastAsia" w:eastAsiaTheme="majorEastAsia"/>
                <w:color w:val="000000"/>
                <w:lang w:val="en-US" w:eastAsia="zh-CN"/>
              </w:rPr>
              <w:t>改造面积约500平方米。</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pStyle w:val="3"/>
              <w:spacing w:line="360" w:lineRule="auto"/>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w:t>
            </w:r>
            <w:r>
              <w:rPr>
                <w:rFonts w:hint="eastAsia" w:ascii="宋体" w:hAnsi="宋体" w:eastAsia="宋体" w:cs="宋体"/>
                <w:color w:val="auto"/>
                <w:kern w:val="24"/>
                <w:sz w:val="21"/>
                <w:szCs w:val="21"/>
                <w:lang w:val="en-US" w:eastAsia="zh-CN"/>
              </w:rPr>
              <w:t>瓷砖、木饰面、不锈钢板等</w:t>
            </w:r>
            <w:r>
              <w:rPr>
                <w:rFonts w:hint="eastAsia" w:ascii="宋体" w:hAnsi="宋体" w:eastAsia="宋体" w:cs="宋体"/>
                <w:color w:val="auto"/>
                <w:kern w:val="24"/>
                <w:sz w:val="21"/>
                <w:szCs w:val="21"/>
              </w:rPr>
              <w:t>）及铝合金型材、玻璃等均区分颜色，请投标单位自行充分考虑不同颜色和规格的报价的影响，中标后由招标人确定具体颜色，投标不得有异议，综合单价不作调整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4"/>
                <w:sz w:val="21"/>
                <w:szCs w:val="21"/>
                <w:highlight w:val="none"/>
                <w:lang w:eastAsia="zh-CN"/>
              </w:rPr>
            </w:pPr>
            <w:r>
              <w:rPr>
                <w:rFonts w:hint="eastAsia" w:ascii="宋体" w:hAnsi="宋体" w:eastAsia="宋体" w:cs="宋体"/>
                <w:color w:val="auto"/>
                <w:kern w:val="24"/>
                <w:sz w:val="21"/>
                <w:szCs w:val="21"/>
                <w:lang w:val="en-US" w:eastAsia="zh-CN"/>
              </w:rPr>
              <w:t>7、</w:t>
            </w:r>
            <w:r>
              <w:rPr>
                <w:rFonts w:hint="eastAsia" w:ascii="宋体" w:hAnsi="宋体" w:eastAsia="宋体" w:cs="宋体"/>
                <w:color w:val="auto"/>
                <w:kern w:val="24"/>
                <w:sz w:val="21"/>
                <w:szCs w:val="21"/>
              </w:rPr>
              <w:t>砌体拉结筋本清单按浇筑混凝土竖向构件时预留考虑，工程量已计入相应钢筋工程中。</w:t>
            </w:r>
            <w:r>
              <w:rPr>
                <w:rFonts w:hint="eastAsia" w:ascii="宋体" w:hAnsi="宋体" w:eastAsia="宋体" w:cs="宋体"/>
                <w:color w:val="auto"/>
                <w:kern w:val="24"/>
                <w:sz w:val="21"/>
                <w:szCs w:val="21"/>
                <w:highlight w:val="none"/>
              </w:rPr>
              <w:t>实际施工时无论采用何种施工方法，结算时均不做调整，投标人在投标报价需根据自行确定的施工方案综合考虑报价</w:t>
            </w:r>
            <w:r>
              <w:rPr>
                <w:rFonts w:hint="eastAsia" w:ascii="宋体" w:hAnsi="宋体" w:eastAsia="宋体" w:cs="宋体"/>
                <w:color w:val="auto"/>
                <w:kern w:val="24"/>
                <w:sz w:val="21"/>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8、楼地面找平厚度投标单位需根据现场实际情况综合考虑，其造价在相应清单中已充分考虑；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eastAsia="宋体" w:cs="宋体"/>
                <w:sz w:val="21"/>
                <w:szCs w:val="21"/>
                <w:highlight w:val="none"/>
                <w:lang w:val="en-US" w:eastAsia="zh-CN"/>
              </w:rPr>
              <w:t>10、</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11、所有木龙骨、基层板等木质基层均做防火防潮三防处理，防火等级至B1级；</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12、广告二次深化设计内容不计入本次清单；</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13、给排水系统中给水排水立管利旧</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14、消火栓系统中消防立管利旧</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15、强电系统中照明总箱（6AL1）进线电缆及配管按照50m/回路计入；</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16、综合布线系统进线6芯光纤预留100m；</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17、暖通工程系统不计入清单，空调配电敷设到位；</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18、视频监控部分只计预埋管盒，其余不计入清单。</w:t>
            </w:r>
          </w:p>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pStyle w:val="3"/>
              <w:spacing w:line="360" w:lineRule="auto"/>
              <w:rPr>
                <w:rFonts w:hint="default" w:ascii="Times New Roman" w:hAnsi="Times New Roman" w:eastAsia="宋体" w:cs="Times New Roman"/>
                <w:b/>
                <w:kern w:val="1"/>
                <w:sz w:val="21"/>
                <w:szCs w:val="21"/>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存储服务器</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华为、大华、华三</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网络机柜</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图腾、南凌、锐捷、华三</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sz w:val="21"/>
                      <w:szCs w:val="21"/>
                      <w:lang w:val="en-US" w:eastAsia="zh-CN"/>
                    </w:rPr>
                  </w:pPr>
                  <w:r>
                    <w:rPr>
                      <w:rFonts w:hint="eastAsia" w:ascii="宋体" w:hAnsi="宋体" w:cs="宋体"/>
                      <w:sz w:val="21"/>
                      <w:szCs w:val="21"/>
                      <w:lang w:val="en-US" w:eastAsia="zh-CN"/>
                    </w:rPr>
                    <w:t>地砖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sz w:val="21"/>
                      <w:szCs w:val="21"/>
                      <w:lang w:val="en-US" w:eastAsia="zh-CN"/>
                    </w:rPr>
                  </w:pPr>
                  <w:r>
                    <w:rPr>
                      <w:rFonts w:hint="eastAsia" w:ascii="宋体" w:hAnsi="宋体" w:cs="宋体"/>
                      <w:sz w:val="21"/>
                      <w:szCs w:val="21"/>
                      <w:lang w:val="en-US" w:eastAsia="zh-CN"/>
                    </w:rPr>
                    <w:t>东鹏、</w:t>
                  </w:r>
                  <w:bookmarkStart w:id="0" w:name="_GoBack"/>
                  <w:bookmarkEnd w:id="0"/>
                  <w:r>
                    <w:rPr>
                      <w:rFonts w:hint="eastAsia" w:ascii="宋体" w:hAnsi="宋体" w:cs="宋体"/>
                      <w:sz w:val="21"/>
                      <w:szCs w:val="21"/>
                      <w:lang w:val="en-US" w:eastAsia="zh-CN"/>
                    </w:rPr>
                    <w:t>马可波罗、冠珠</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注意：涂料、油漆、多层板、细木工板要达到环保E1级标准。</w:t>
            </w:r>
            <w:r>
              <w:rPr>
                <w:rFonts w:ascii="宋体" w:hAnsi="宋体" w:cs="宋体"/>
                <w:kern w:val="0"/>
                <w:szCs w:val="21"/>
                <w:highlight w:val="none"/>
                <w:lang w:val="zh-CN"/>
              </w:rPr>
              <w:t xml:space="preserve"> </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762635"/>
              <wp:effectExtent l="4445" t="4445" r="22860" b="13970"/>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76263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宋体" w:hAnsi="宋体" w:eastAsia="宋体" w:cs="宋体"/>
                              <w:sz w:val="21"/>
                              <w:szCs w:val="21"/>
                              <w:lang w:val="en-US" w:eastAsia="zh-CN"/>
                            </w:rPr>
                            <w:t xml:space="preserve">杭州电子科技大学东岳校区海洋大楼六楼环境改造工程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eastAsia="宋体" w:cs="宋体"/>
                              <w:sz w:val="21"/>
                              <w:szCs w:val="21"/>
                              <w:lang w:val="en-US" w:eastAsia="zh-CN"/>
                            </w:rPr>
                            <w:t>5</w:t>
                          </w:r>
                          <w:r>
                            <w:rPr>
                              <w:rFonts w:hint="eastAsia" w:ascii="宋体" w:hAnsi="宋体" w:eastAsia="宋体" w:cs="宋体"/>
                              <w:sz w:val="21"/>
                              <w:szCs w:val="21"/>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60.05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twAVtkAAAAKAQAADwAA&#10;AAAAAAABACAAAAAiAAAAZHJzL2Rvd25yZXYueG1sUEsBAhQAFAAAAAgAh07iQPzwEhYVAgAATQQA&#10;AA4AAAAAAAAAAQAgAAAAKAEAAGRycy9lMm9Eb2MueG1sUEsFBgAAAAAGAAYAWQEAAK8FA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宋体" w:hAnsi="宋体" w:eastAsia="宋体" w:cs="宋体"/>
                        <w:sz w:val="21"/>
                        <w:szCs w:val="21"/>
                        <w:lang w:val="en-US" w:eastAsia="zh-CN"/>
                      </w:rPr>
                      <w:t xml:space="preserve">杭州电子科技大学东岳校区海洋大楼六楼环境改造工程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eastAsia="宋体" w:cs="宋体"/>
                        <w:sz w:val="21"/>
                        <w:szCs w:val="21"/>
                        <w:lang w:val="en-US" w:eastAsia="zh-CN"/>
                      </w:rPr>
                      <w:t>5</w:t>
                    </w:r>
                    <w:r>
                      <w:rPr>
                        <w:rFonts w:hint="eastAsia" w:ascii="宋体" w:hAnsi="宋体" w:eastAsia="宋体" w:cs="宋体"/>
                        <w:sz w:val="21"/>
                        <w:szCs w:val="21"/>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mQzZWUyY2EzNzMwYTU2NjliODNiOWVlYzYyNjQ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396B4C"/>
    <w:rsid w:val="0E613268"/>
    <w:rsid w:val="0F090DE9"/>
    <w:rsid w:val="12BF28AB"/>
    <w:rsid w:val="13347445"/>
    <w:rsid w:val="158F443B"/>
    <w:rsid w:val="17A4103D"/>
    <w:rsid w:val="17B943BD"/>
    <w:rsid w:val="18E13BCB"/>
    <w:rsid w:val="1A003988"/>
    <w:rsid w:val="1AEE7B63"/>
    <w:rsid w:val="1B617245"/>
    <w:rsid w:val="1B6E25C4"/>
    <w:rsid w:val="1C025A25"/>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C430BA5"/>
    <w:rsid w:val="2E6115DE"/>
    <w:rsid w:val="2EE638B2"/>
    <w:rsid w:val="315546E1"/>
    <w:rsid w:val="32421F05"/>
    <w:rsid w:val="3251196A"/>
    <w:rsid w:val="32D541E9"/>
    <w:rsid w:val="344572AC"/>
    <w:rsid w:val="35596F99"/>
    <w:rsid w:val="38631C99"/>
    <w:rsid w:val="38741687"/>
    <w:rsid w:val="3B464036"/>
    <w:rsid w:val="3CD46665"/>
    <w:rsid w:val="4033368A"/>
    <w:rsid w:val="40CB28E7"/>
    <w:rsid w:val="432E0D70"/>
    <w:rsid w:val="438C4271"/>
    <w:rsid w:val="43C024AB"/>
    <w:rsid w:val="453B44DF"/>
    <w:rsid w:val="4698326B"/>
    <w:rsid w:val="497242D2"/>
    <w:rsid w:val="49951CE4"/>
    <w:rsid w:val="49A41BDF"/>
    <w:rsid w:val="4A3F4DA2"/>
    <w:rsid w:val="4A62606A"/>
    <w:rsid w:val="4A652AEB"/>
    <w:rsid w:val="4B90280D"/>
    <w:rsid w:val="4C1C277B"/>
    <w:rsid w:val="4CD13B0A"/>
    <w:rsid w:val="4DC223CE"/>
    <w:rsid w:val="4E110852"/>
    <w:rsid w:val="50456116"/>
    <w:rsid w:val="50B60EBE"/>
    <w:rsid w:val="526B2003"/>
    <w:rsid w:val="53973ACB"/>
    <w:rsid w:val="54016821"/>
    <w:rsid w:val="55FA2C72"/>
    <w:rsid w:val="56AD2A37"/>
    <w:rsid w:val="56C63E25"/>
    <w:rsid w:val="57255D0E"/>
    <w:rsid w:val="578564E2"/>
    <w:rsid w:val="585821BA"/>
    <w:rsid w:val="587766E0"/>
    <w:rsid w:val="588C69A8"/>
    <w:rsid w:val="591F3539"/>
    <w:rsid w:val="5C5F065B"/>
    <w:rsid w:val="5CE9261B"/>
    <w:rsid w:val="5F681F1D"/>
    <w:rsid w:val="5FDE3F8D"/>
    <w:rsid w:val="644A7BC0"/>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4362</Words>
  <Characters>4592</Characters>
  <Lines>37</Lines>
  <Paragraphs>10</Paragraphs>
  <TotalTime>0</TotalTime>
  <ScaleCrop>false</ScaleCrop>
  <LinksUpToDate>false</LinksUpToDate>
  <CharactersWithSpaces>4610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聪</cp:lastModifiedBy>
  <cp:lastPrinted>2022-07-05T06:43:00Z</cp:lastPrinted>
  <dcterms:modified xsi:type="dcterms:W3CDTF">2023-11-08T08:09:44Z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CC07AE87BEEE4EF0BA3A4B2C2397955B</vt:lpwstr>
  </property>
</Properties>
</file>