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jc w:val="center"/>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杭州电子科技大学</w:t>
      </w:r>
    </w:p>
    <w:p>
      <w:pPr>
        <w:adjustRightInd w:val="0"/>
        <w:snapToGrid w:val="0"/>
        <w:spacing w:line="288" w:lineRule="auto"/>
        <w:jc w:val="center"/>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大数据工程技术人员实训平台</w:t>
      </w:r>
    </w:p>
    <w:p>
      <w:pPr>
        <w:adjustRightInd w:val="0"/>
        <w:snapToGrid w:val="0"/>
        <w:spacing w:line="288" w:lineRule="auto"/>
        <w:jc w:val="center"/>
        <w:rPr>
          <w:rFonts w:ascii="楷体" w:hAnsi="楷体" w:eastAsia="楷体" w:cs="楷体"/>
          <w:b/>
          <w:bCs/>
          <w:color w:val="auto"/>
          <w:sz w:val="48"/>
          <w:szCs w:val="48"/>
          <w:highlight w:val="none"/>
        </w:rPr>
      </w:pPr>
    </w:p>
    <w:p>
      <w:pPr>
        <w:adjustRightInd w:val="0"/>
        <w:snapToGrid w:val="0"/>
        <w:spacing w:line="288" w:lineRule="auto"/>
        <w:jc w:val="center"/>
        <w:rPr>
          <w:rFonts w:ascii="楷体" w:hAnsi="楷体" w:eastAsia="楷体" w:cs="楷体"/>
          <w:b/>
          <w:bCs/>
          <w:color w:val="auto"/>
          <w:sz w:val="48"/>
          <w:szCs w:val="48"/>
          <w:highlight w:val="none"/>
        </w:rPr>
      </w:pPr>
    </w:p>
    <w:p>
      <w:pPr>
        <w:adjustRightInd w:val="0"/>
        <w:snapToGrid w:val="0"/>
        <w:spacing w:line="288" w:lineRule="auto"/>
        <w:jc w:val="center"/>
        <w:rPr>
          <w:rFonts w:ascii="楷体" w:hAnsi="楷体" w:eastAsia="楷体" w:cs="楷体"/>
          <w:b/>
          <w:bCs/>
          <w:color w:val="auto"/>
          <w:sz w:val="72"/>
          <w:szCs w:val="72"/>
          <w:highlight w:val="none"/>
        </w:rPr>
      </w:pPr>
      <w:r>
        <w:rPr>
          <w:rFonts w:hint="eastAsia" w:ascii="楷体" w:hAnsi="楷体" w:eastAsia="楷体" w:cs="楷体"/>
          <w:b/>
          <w:bCs/>
          <w:color w:val="auto"/>
          <w:sz w:val="72"/>
          <w:szCs w:val="72"/>
          <w:highlight w:val="none"/>
        </w:rPr>
        <w:t>磋商文件</w:t>
      </w:r>
    </w:p>
    <w:p>
      <w:pPr>
        <w:adjustRightInd w:val="0"/>
        <w:snapToGrid w:val="0"/>
        <w:spacing w:line="288" w:lineRule="auto"/>
        <w:jc w:val="center"/>
        <w:rPr>
          <w:rFonts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t>（线上电子交易）</w:t>
      </w:r>
    </w:p>
    <w:p>
      <w:pPr>
        <w:adjustRightInd w:val="0"/>
        <w:snapToGrid w:val="0"/>
        <w:spacing w:line="288" w:lineRule="auto"/>
        <w:jc w:val="center"/>
        <w:rPr>
          <w:rFonts w:ascii="楷体" w:hAnsi="楷体" w:eastAsia="楷体" w:cs="楷体"/>
          <w:b/>
          <w:bCs/>
          <w:color w:val="auto"/>
          <w:sz w:val="36"/>
          <w:szCs w:val="36"/>
          <w:highlight w:val="none"/>
        </w:rPr>
      </w:pPr>
    </w:p>
    <w:p>
      <w:pPr>
        <w:adjustRightInd w:val="0"/>
        <w:snapToGrid w:val="0"/>
        <w:spacing w:line="288" w:lineRule="auto"/>
        <w:jc w:val="center"/>
        <w:rPr>
          <w:rFonts w:ascii="楷体" w:hAnsi="楷体" w:eastAsia="楷体" w:cs="楷体"/>
          <w:b/>
          <w:bCs/>
          <w:color w:val="auto"/>
          <w:sz w:val="36"/>
          <w:szCs w:val="36"/>
          <w:highlight w:val="none"/>
        </w:rPr>
      </w:pPr>
    </w:p>
    <w:p>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项目名称：大数据工程技术人员实训平台</w:t>
      </w:r>
    </w:p>
    <w:p>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项目编号：QSZB-Z(H)-B23232(CS)</w:t>
      </w:r>
    </w:p>
    <w:p>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 购 人：杭州电子科技大学</w:t>
      </w:r>
    </w:p>
    <w:p>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采购代理机构：浙江求是招标代理有限公司</w:t>
      </w:r>
    </w:p>
    <w:p>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采购计划文号：</w:t>
      </w:r>
      <w:r>
        <w:rPr>
          <w:rFonts w:hint="eastAsia" w:ascii="楷体" w:hAnsi="楷体" w:eastAsia="楷体" w:cs="Times New Roman"/>
          <w:b/>
          <w:color w:val="auto"/>
          <w:spacing w:val="-6"/>
          <w:sz w:val="30"/>
          <w:szCs w:val="30"/>
          <w:highlight w:val="none"/>
        </w:rPr>
        <w:t>[2023]37075号</w:t>
      </w:r>
    </w:p>
    <w:p>
      <w:pPr>
        <w:widowControl/>
        <w:adjustRightInd w:val="0"/>
        <w:snapToGrid w:val="0"/>
        <w:spacing w:line="288" w:lineRule="auto"/>
        <w:jc w:val="left"/>
        <w:rPr>
          <w:rFonts w:ascii="楷体" w:hAnsi="楷体" w:eastAsia="楷体" w:cs="楷体"/>
          <w:b/>
          <w:bCs/>
          <w:color w:val="auto"/>
          <w:sz w:val="30"/>
          <w:szCs w:val="30"/>
          <w:highlight w:val="none"/>
        </w:rPr>
      </w:pPr>
      <w:r>
        <w:rPr>
          <w:rFonts w:ascii="楷体" w:hAnsi="楷体" w:eastAsia="楷体" w:cs="楷体"/>
          <w:b/>
          <w:bCs/>
          <w:color w:val="auto"/>
          <w:sz w:val="30"/>
          <w:szCs w:val="30"/>
          <w:highlight w:val="none"/>
        </w:rPr>
        <w:br w:type="page"/>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jc w:val="center"/>
        <w:outlineLvl w:val="0"/>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 xml:space="preserve">目 </w:t>
      </w:r>
      <w:r>
        <w:rPr>
          <w:rFonts w:ascii="楷体" w:hAnsi="楷体" w:eastAsia="楷体" w:cs="楷体"/>
          <w:b/>
          <w:bCs/>
          <w:color w:val="auto"/>
          <w:sz w:val="48"/>
          <w:szCs w:val="48"/>
          <w:highlight w:val="none"/>
        </w:rPr>
        <w:t xml:space="preserve"> </w:t>
      </w:r>
      <w:r>
        <w:rPr>
          <w:rFonts w:hint="eastAsia" w:ascii="楷体" w:hAnsi="楷体" w:eastAsia="楷体" w:cs="楷体"/>
          <w:b/>
          <w:bCs/>
          <w:color w:val="auto"/>
          <w:sz w:val="48"/>
          <w:szCs w:val="48"/>
          <w:highlight w:val="none"/>
        </w:rPr>
        <w:t>录</w:t>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第一章  采购邀请</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第二章  采购需求</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第三章  供应商须知</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第四章  评审方法和评审标准</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第五章  拟签订的合同文本</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第六章  响应文件格式</w:t>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ind w:firstLine="602" w:firstLineChars="200"/>
        <w:rPr>
          <w:rFonts w:cs="楷体"/>
          <w:b/>
          <w:bCs/>
          <w:color w:val="auto"/>
          <w:sz w:val="30"/>
          <w:szCs w:val="30"/>
          <w:highlight w:val="none"/>
        </w:rPr>
        <w:sectPr>
          <w:headerReference r:id="rId3" w:type="default"/>
          <w:pgSz w:w="11906" w:h="16838"/>
          <w:pgMar w:top="1247" w:right="1247" w:bottom="1247" w:left="1247" w:header="85" w:footer="992" w:gutter="0"/>
          <w:cols w:space="425" w:num="1"/>
          <w:docGrid w:type="lines" w:linePitch="312" w:charSpace="0"/>
        </w:sectPr>
      </w:pPr>
    </w:p>
    <w:p>
      <w:pPr>
        <w:adjustRightInd w:val="0"/>
        <w:snapToGrid w:val="0"/>
        <w:spacing w:line="288" w:lineRule="auto"/>
        <w:jc w:val="center"/>
        <w:outlineLvl w:val="0"/>
        <w:rPr>
          <w:rFonts w:cs="楷体"/>
          <w:color w:val="auto"/>
          <w:sz w:val="21"/>
          <w:szCs w:val="21"/>
          <w:highlight w:val="none"/>
        </w:rPr>
      </w:pPr>
      <w:r>
        <w:rPr>
          <w:rFonts w:hint="eastAsia"/>
          <w:b/>
          <w:bCs/>
          <w:color w:val="auto"/>
          <w:sz w:val="32"/>
          <w:szCs w:val="32"/>
          <w:highlight w:val="none"/>
        </w:rPr>
        <w:t xml:space="preserve">第一章 </w:t>
      </w:r>
      <w:r>
        <w:rPr>
          <w:b/>
          <w:bCs/>
          <w:color w:val="auto"/>
          <w:sz w:val="32"/>
          <w:szCs w:val="32"/>
          <w:highlight w:val="none"/>
        </w:rPr>
        <w:t xml:space="preserve"> </w:t>
      </w:r>
      <w:r>
        <w:rPr>
          <w:rFonts w:hint="eastAsia"/>
          <w:b/>
          <w:bCs/>
          <w:color w:val="auto"/>
          <w:sz w:val="32"/>
          <w:szCs w:val="32"/>
          <w:highlight w:val="none"/>
        </w:rPr>
        <w:t>采购邀请</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rPr>
        <w:t>项目概况</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u w:val="single"/>
        </w:rPr>
        <w:t xml:space="preserve"> 大数据工程技术人员实训平台 </w:t>
      </w:r>
      <w:r>
        <w:rPr>
          <w:rFonts w:hint="eastAsia"/>
          <w:b/>
          <w:color w:val="auto"/>
          <w:sz w:val="21"/>
          <w:szCs w:val="21"/>
          <w:highlight w:val="none"/>
        </w:rPr>
        <w:t>采购项目的潜在供应商应在</w:t>
      </w:r>
      <w:r>
        <w:rPr>
          <w:rFonts w:hint="eastAsia"/>
          <w:b/>
          <w:color w:val="auto"/>
          <w:sz w:val="21"/>
          <w:szCs w:val="21"/>
          <w:highlight w:val="none"/>
          <w:u w:val="single"/>
        </w:rPr>
        <w:t xml:space="preserve"> 政府采购云平台（https://www.zcygov.cn） </w:t>
      </w:r>
      <w:r>
        <w:rPr>
          <w:rFonts w:hint="eastAsia"/>
          <w:b/>
          <w:color w:val="auto"/>
          <w:sz w:val="21"/>
          <w:szCs w:val="21"/>
          <w:highlight w:val="none"/>
        </w:rPr>
        <w:t>获取（下载）采购文件，并于</w:t>
      </w:r>
      <w:r>
        <w:rPr>
          <w:rFonts w:hint="eastAsia"/>
          <w:b/>
          <w:color w:val="auto"/>
          <w:sz w:val="21"/>
          <w:szCs w:val="21"/>
          <w:highlight w:val="none"/>
          <w:u w:val="single"/>
        </w:rPr>
        <w:t xml:space="preserve"> 2023年</w:t>
      </w:r>
      <w:r>
        <w:rPr>
          <w:rFonts w:hint="eastAsia"/>
          <w:b/>
          <w:color w:val="auto"/>
          <w:sz w:val="21"/>
          <w:szCs w:val="21"/>
          <w:highlight w:val="none"/>
          <w:u w:val="single"/>
          <w:lang w:eastAsia="zh-CN"/>
        </w:rPr>
        <w:t>7月20日13:30:00</w:t>
      </w:r>
      <w:r>
        <w:rPr>
          <w:rFonts w:hint="eastAsia"/>
          <w:b/>
          <w:color w:val="auto"/>
          <w:sz w:val="21"/>
          <w:szCs w:val="21"/>
          <w:highlight w:val="none"/>
          <w:u w:val="single"/>
        </w:rPr>
        <w:t xml:space="preserve"> </w:t>
      </w:r>
      <w:r>
        <w:rPr>
          <w:rFonts w:hint="eastAsia"/>
          <w:b/>
          <w:bCs/>
          <w:color w:val="auto"/>
          <w:sz w:val="21"/>
          <w:szCs w:val="21"/>
          <w:highlight w:val="none"/>
        </w:rPr>
        <w:t>（北京时间）前提交（上传）响应文件</w:t>
      </w:r>
      <w:r>
        <w:rPr>
          <w:rFonts w:hint="eastAsia"/>
          <w:b/>
          <w:color w:val="auto"/>
          <w:sz w:val="21"/>
          <w:szCs w:val="21"/>
          <w:highlight w:val="none"/>
        </w:rPr>
        <w:t>。</w:t>
      </w:r>
    </w:p>
    <w:p>
      <w:pPr>
        <w:adjustRightInd w:val="0"/>
        <w:snapToGrid w:val="0"/>
        <w:spacing w:line="288" w:lineRule="auto"/>
        <w:rPr>
          <w:b/>
          <w:color w:val="auto"/>
          <w:sz w:val="21"/>
          <w:szCs w:val="21"/>
          <w:highlight w:val="none"/>
        </w:rPr>
      </w:pPr>
      <w:bookmarkStart w:id="0" w:name="_Toc35393790"/>
      <w:bookmarkStart w:id="1" w:name="_Toc28359002"/>
      <w:bookmarkStart w:id="2" w:name="_Toc35393621"/>
      <w:bookmarkStart w:id="3" w:name="_Toc28359079"/>
      <w:bookmarkStart w:id="4" w:name="_Hlk24379207"/>
      <w:r>
        <w:rPr>
          <w:rFonts w:hint="eastAsia"/>
          <w:b/>
          <w:color w:val="auto"/>
          <w:sz w:val="21"/>
          <w:szCs w:val="21"/>
          <w:highlight w:val="none"/>
        </w:rPr>
        <w:t>一、项目基本情况</w:t>
      </w:r>
      <w:bookmarkEnd w:id="0"/>
      <w:bookmarkEnd w:id="1"/>
      <w:bookmarkEnd w:id="2"/>
      <w:bookmarkEnd w:id="3"/>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项目编号：</w:t>
      </w:r>
      <w:r>
        <w:rPr>
          <w:rFonts w:hint="eastAsia"/>
          <w:bCs/>
          <w:color w:val="auto"/>
          <w:sz w:val="21"/>
          <w:szCs w:val="21"/>
          <w:highlight w:val="none"/>
        </w:rPr>
        <w:t>QSZB-Z(H)-B23232(CS)</w:t>
      </w:r>
    </w:p>
    <w:p>
      <w:pPr>
        <w:adjustRightInd w:val="0"/>
        <w:snapToGrid w:val="0"/>
        <w:spacing w:line="288" w:lineRule="auto"/>
        <w:ind w:firstLine="420" w:firstLineChars="200"/>
        <w:rPr>
          <w:color w:val="auto"/>
          <w:sz w:val="21"/>
          <w:szCs w:val="21"/>
          <w:highlight w:val="none"/>
        </w:rPr>
      </w:pPr>
      <w:r>
        <w:rPr>
          <w:color w:val="auto"/>
          <w:sz w:val="21"/>
          <w:szCs w:val="21"/>
          <w:highlight w:val="none"/>
        </w:rPr>
        <w:t>2.</w:t>
      </w:r>
      <w:r>
        <w:rPr>
          <w:rFonts w:hint="eastAsia"/>
          <w:color w:val="auto"/>
          <w:sz w:val="21"/>
          <w:szCs w:val="21"/>
          <w:highlight w:val="none"/>
        </w:rPr>
        <w:t>项目名称：大数据工程技术人员实训平台</w:t>
      </w:r>
    </w:p>
    <w:p>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采购方式：竞争性磋商</w:t>
      </w:r>
    </w:p>
    <w:bookmarkEnd w:id="4"/>
    <w:p>
      <w:pPr>
        <w:adjustRightInd w:val="0"/>
        <w:snapToGrid w:val="0"/>
        <w:spacing w:line="288"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预算金额（元）：750000</w:t>
      </w:r>
    </w:p>
    <w:p>
      <w:pPr>
        <w:adjustRightInd w:val="0"/>
        <w:snapToGrid w:val="0"/>
        <w:spacing w:line="288" w:lineRule="auto"/>
        <w:ind w:firstLine="420" w:firstLineChars="200"/>
        <w:rPr>
          <w:color w:val="auto"/>
          <w:sz w:val="21"/>
          <w:szCs w:val="21"/>
          <w:highlight w:val="none"/>
        </w:rPr>
      </w:pPr>
      <w:r>
        <w:rPr>
          <w:color w:val="auto"/>
          <w:sz w:val="21"/>
          <w:szCs w:val="21"/>
          <w:highlight w:val="none"/>
        </w:rPr>
        <w:t>5.</w:t>
      </w:r>
      <w:r>
        <w:rPr>
          <w:rFonts w:hint="eastAsia"/>
          <w:color w:val="auto"/>
          <w:sz w:val="21"/>
          <w:szCs w:val="21"/>
          <w:highlight w:val="none"/>
        </w:rPr>
        <w:t>最高限价（元）：750000</w:t>
      </w:r>
    </w:p>
    <w:p>
      <w:pPr>
        <w:adjustRightInd w:val="0"/>
        <w:snapToGrid w:val="0"/>
        <w:spacing w:line="288" w:lineRule="auto"/>
        <w:ind w:firstLine="420" w:firstLineChars="200"/>
        <w:rPr>
          <w:color w:val="auto"/>
          <w:spacing w:val="-6"/>
          <w:sz w:val="21"/>
          <w:szCs w:val="21"/>
          <w:highlight w:val="none"/>
        </w:rPr>
      </w:pPr>
      <w:r>
        <w:rPr>
          <w:color w:val="auto"/>
          <w:sz w:val="21"/>
          <w:szCs w:val="21"/>
          <w:highlight w:val="none"/>
        </w:rPr>
        <w:t>6.</w:t>
      </w:r>
      <w:r>
        <w:rPr>
          <w:rFonts w:hint="eastAsia"/>
          <w:color w:val="auto"/>
          <w:sz w:val="21"/>
          <w:szCs w:val="21"/>
          <w:highlight w:val="none"/>
        </w:rPr>
        <w:t>合同履约期限：</w:t>
      </w:r>
      <w:r>
        <w:rPr>
          <w:rFonts w:hint="eastAsia"/>
          <w:color w:val="auto"/>
          <w:spacing w:val="-6"/>
          <w:sz w:val="21"/>
          <w:szCs w:val="21"/>
          <w:highlight w:val="none"/>
        </w:rPr>
        <w:t>合同签订之日起</w:t>
      </w:r>
      <w:r>
        <w:rPr>
          <w:color w:val="auto"/>
          <w:spacing w:val="-6"/>
          <w:sz w:val="21"/>
          <w:szCs w:val="21"/>
          <w:highlight w:val="none"/>
        </w:rPr>
        <w:t>30</w:t>
      </w:r>
      <w:r>
        <w:rPr>
          <w:rFonts w:hint="eastAsia"/>
          <w:color w:val="auto"/>
          <w:spacing w:val="-6"/>
          <w:sz w:val="21"/>
          <w:szCs w:val="21"/>
          <w:highlight w:val="none"/>
        </w:rPr>
        <w:t>天内交付</w:t>
      </w:r>
    </w:p>
    <w:p>
      <w:pPr>
        <w:adjustRightInd w:val="0"/>
        <w:snapToGrid w:val="0"/>
        <w:spacing w:line="288" w:lineRule="auto"/>
        <w:ind w:firstLine="420" w:firstLineChars="200"/>
        <w:rPr>
          <w:color w:val="auto"/>
          <w:sz w:val="21"/>
          <w:szCs w:val="21"/>
          <w:highlight w:val="none"/>
        </w:rPr>
      </w:pPr>
      <w:r>
        <w:rPr>
          <w:color w:val="auto"/>
          <w:sz w:val="21"/>
          <w:szCs w:val="21"/>
          <w:highlight w:val="none"/>
        </w:rPr>
        <w:t>7.</w:t>
      </w:r>
      <w:r>
        <w:rPr>
          <w:rFonts w:hint="eastAsia"/>
          <w:color w:val="auto"/>
          <w:sz w:val="21"/>
          <w:szCs w:val="21"/>
          <w:highlight w:val="none"/>
        </w:rPr>
        <w:t>本项目接受联合体响应。</w:t>
      </w:r>
    </w:p>
    <w:p>
      <w:pPr>
        <w:adjustRightInd w:val="0"/>
        <w:snapToGrid w:val="0"/>
        <w:spacing w:line="288" w:lineRule="auto"/>
        <w:ind w:firstLine="420" w:firstLineChars="200"/>
        <w:rPr>
          <w:color w:val="auto"/>
          <w:sz w:val="21"/>
          <w:szCs w:val="21"/>
          <w:highlight w:val="none"/>
        </w:rPr>
      </w:pPr>
      <w:r>
        <w:rPr>
          <w:color w:val="auto"/>
          <w:sz w:val="21"/>
          <w:szCs w:val="21"/>
          <w:highlight w:val="none"/>
        </w:rPr>
        <w:t>8.</w:t>
      </w:r>
      <w:r>
        <w:rPr>
          <w:rFonts w:hint="eastAsia"/>
          <w:color w:val="auto"/>
          <w:sz w:val="21"/>
          <w:szCs w:val="21"/>
          <w:highlight w:val="none"/>
        </w:rPr>
        <w:t>采购需求：</w:t>
      </w:r>
    </w:p>
    <w:tbl>
      <w:tblPr>
        <w:tblStyle w:val="11"/>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19" w:hRule="atLeast"/>
        </w:trPr>
        <w:tc>
          <w:tcPr>
            <w:tcW w:w="675" w:type="dxa"/>
            <w:tcBorders>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3006" w:type="dxa"/>
            <w:tcBorders>
              <w:right w:val="single" w:color="auto" w:sz="4" w:space="0"/>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名称</w:t>
            </w:r>
          </w:p>
        </w:tc>
        <w:tc>
          <w:tcPr>
            <w:tcW w:w="708" w:type="dxa"/>
            <w:tcBorders>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数量</w:t>
            </w:r>
          </w:p>
        </w:tc>
        <w:tc>
          <w:tcPr>
            <w:tcW w:w="709" w:type="dxa"/>
            <w:tcBorders>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单位</w:t>
            </w:r>
          </w:p>
        </w:tc>
        <w:tc>
          <w:tcPr>
            <w:tcW w:w="3119" w:type="dxa"/>
            <w:tcBorders>
              <w:right w:val="single" w:color="auto" w:sz="4" w:space="0"/>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简要技术需求或服务要求</w:t>
            </w:r>
          </w:p>
        </w:tc>
        <w:tc>
          <w:tcPr>
            <w:tcW w:w="1276" w:type="dxa"/>
            <w:tcBorders>
              <w:right w:val="single" w:color="auto" w:sz="4" w:space="0"/>
              <w:tl2br w:val="nil"/>
              <w:tr2bl w:val="nil"/>
            </w:tcBorders>
            <w:vAlign w:val="center"/>
          </w:tcPr>
          <w:p>
            <w:pPr>
              <w:adjustRightInd w:val="0"/>
              <w:snapToGrid w:val="0"/>
              <w:spacing w:line="288" w:lineRule="auto"/>
              <w:jc w:val="center"/>
              <w:rPr>
                <w:b/>
                <w:bCs/>
                <w:color w:val="auto"/>
                <w:sz w:val="21"/>
                <w:szCs w:val="21"/>
                <w:highlight w:val="none"/>
              </w:rPr>
            </w:pPr>
            <w:r>
              <w:rPr>
                <w:rFonts w:hint="eastAsia"/>
                <w:b/>
                <w:color w:val="auto"/>
                <w:sz w:val="21"/>
                <w:szCs w:val="21"/>
                <w:highlight w:val="none"/>
              </w:rPr>
              <w:t>是否允许采购进口产品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675" w:type="dxa"/>
            <w:tcBorders>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1</w:t>
            </w:r>
          </w:p>
        </w:tc>
        <w:tc>
          <w:tcPr>
            <w:tcW w:w="3006" w:type="dxa"/>
            <w:tcBorders>
              <w:right w:val="single" w:color="auto" w:sz="4" w:space="0"/>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大数据工程技术人员实训平台</w:t>
            </w:r>
          </w:p>
        </w:tc>
        <w:tc>
          <w:tcPr>
            <w:tcW w:w="708" w:type="dxa"/>
            <w:tcBorders>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1</w:t>
            </w:r>
          </w:p>
        </w:tc>
        <w:tc>
          <w:tcPr>
            <w:tcW w:w="709" w:type="dxa"/>
            <w:tcBorders>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批</w:t>
            </w:r>
          </w:p>
        </w:tc>
        <w:tc>
          <w:tcPr>
            <w:tcW w:w="3119" w:type="dxa"/>
            <w:tcBorders>
              <w:right w:val="single" w:color="auto" w:sz="4" w:space="0"/>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详见采购文件</w:t>
            </w:r>
          </w:p>
        </w:tc>
        <w:tc>
          <w:tcPr>
            <w:tcW w:w="1276" w:type="dxa"/>
            <w:tcBorders>
              <w:right w:val="single" w:color="auto" w:sz="4" w:space="0"/>
              <w:tl2br w:val="nil"/>
              <w:tr2bl w:val="nil"/>
            </w:tcBorders>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否</w:t>
            </w:r>
          </w:p>
        </w:tc>
      </w:tr>
    </w:tbl>
    <w:p>
      <w:pPr>
        <w:adjustRightInd w:val="0"/>
        <w:snapToGrid w:val="0"/>
        <w:spacing w:line="288" w:lineRule="auto"/>
        <w:rPr>
          <w:b/>
          <w:color w:val="auto"/>
          <w:sz w:val="21"/>
          <w:szCs w:val="21"/>
          <w:highlight w:val="none"/>
        </w:rPr>
      </w:pPr>
      <w:bookmarkStart w:id="5" w:name="_Toc35393791"/>
      <w:bookmarkStart w:id="6" w:name="_Toc35393622"/>
      <w:bookmarkStart w:id="7" w:name="_Toc28359080"/>
      <w:bookmarkStart w:id="8" w:name="_Toc28359003"/>
      <w:r>
        <w:rPr>
          <w:rFonts w:hint="eastAsia"/>
          <w:b/>
          <w:color w:val="auto"/>
          <w:sz w:val="21"/>
          <w:szCs w:val="21"/>
          <w:highlight w:val="none"/>
        </w:rPr>
        <w:t>二、申请人的资格要求：</w:t>
      </w:r>
      <w:bookmarkEnd w:id="5"/>
      <w:bookmarkEnd w:id="6"/>
      <w:bookmarkEnd w:id="7"/>
      <w:bookmarkEnd w:id="8"/>
    </w:p>
    <w:p>
      <w:pPr>
        <w:adjustRightInd w:val="0"/>
        <w:snapToGrid w:val="0"/>
        <w:spacing w:line="288" w:lineRule="auto"/>
        <w:ind w:firstLine="420" w:firstLineChars="200"/>
        <w:jc w:val="left"/>
        <w:rPr>
          <w:color w:val="auto"/>
          <w:sz w:val="21"/>
          <w:szCs w:val="21"/>
          <w:highlight w:val="none"/>
        </w:rPr>
      </w:pPr>
      <w:bookmarkStart w:id="9" w:name="_Toc28359081"/>
      <w:bookmarkStart w:id="10" w:name="_Toc28359004"/>
      <w:r>
        <w:rPr>
          <w:rFonts w:hint="eastAsia"/>
          <w:color w:val="auto"/>
          <w:sz w:val="21"/>
          <w:szCs w:val="21"/>
          <w:highlight w:val="none"/>
        </w:rPr>
        <w:t>1.满足《中华人民共和国政府采购法》第二十二条规定，未被“信用中国”（www.creditchina.gov.cn）、中国政府采购网（www.ccgp.gov.cn）列入失信被执行人、重大税收违法案件当事人名单、政府采购严重违法失信行为记录名单。</w:t>
      </w:r>
    </w:p>
    <w:p>
      <w:pPr>
        <w:adjustRightInd w:val="0"/>
        <w:snapToGrid w:val="0"/>
        <w:spacing w:line="288" w:lineRule="auto"/>
        <w:ind w:firstLine="420" w:firstLineChars="200"/>
        <w:rPr>
          <w:rFonts w:cs="Times New Roman"/>
          <w:color w:val="auto"/>
          <w:sz w:val="21"/>
          <w:szCs w:val="21"/>
          <w:highlight w:val="none"/>
        </w:rPr>
      </w:pPr>
      <w:r>
        <w:rPr>
          <w:rFonts w:hint="eastAsia" w:cs="Times New Roman"/>
          <w:color w:val="auto"/>
          <w:sz w:val="21"/>
          <w:szCs w:val="21"/>
          <w:highlight w:val="none"/>
        </w:rPr>
        <w:t>2.落实政府采购政策需满足的资格要求：本项目整体专门面向中小企业采购。提供货物由中小企业制造，即货物由中小企业生产且使用该中小企业商号或者注册商标；供应商提供的货物既有中小企业制造货物，也有大型企业制造货物的，不符合本项目资格要求。监狱企业、残疾人福利性单位视同小型、微型企业。</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3.本项目的特定资格要求：无。</w:t>
      </w:r>
    </w:p>
    <w:p>
      <w:pPr>
        <w:adjustRightInd w:val="0"/>
        <w:snapToGrid w:val="0"/>
        <w:spacing w:line="288" w:lineRule="auto"/>
        <w:rPr>
          <w:b/>
          <w:color w:val="auto"/>
          <w:sz w:val="21"/>
          <w:szCs w:val="21"/>
          <w:highlight w:val="none"/>
        </w:rPr>
      </w:pPr>
      <w:bookmarkStart w:id="11" w:name="_Toc35393792"/>
      <w:bookmarkStart w:id="12" w:name="_Toc35393623"/>
      <w:r>
        <w:rPr>
          <w:rFonts w:hint="eastAsia"/>
          <w:b/>
          <w:color w:val="auto"/>
          <w:sz w:val="21"/>
          <w:szCs w:val="21"/>
          <w:highlight w:val="none"/>
        </w:rPr>
        <w:t>三、获取（下载）采购文件</w:t>
      </w:r>
      <w:bookmarkEnd w:id="9"/>
      <w:bookmarkEnd w:id="10"/>
      <w:bookmarkEnd w:id="11"/>
      <w:bookmarkEnd w:id="12"/>
    </w:p>
    <w:p>
      <w:pPr>
        <w:adjustRightInd w:val="0"/>
        <w:snapToGrid w:val="0"/>
        <w:spacing w:line="288" w:lineRule="auto"/>
        <w:ind w:firstLine="420" w:firstLineChars="200"/>
        <w:rPr>
          <w:color w:val="auto"/>
          <w:sz w:val="21"/>
          <w:szCs w:val="21"/>
          <w:highlight w:val="none"/>
        </w:rPr>
      </w:pPr>
      <w:bookmarkStart w:id="13" w:name="_Toc28359005"/>
      <w:bookmarkStart w:id="14" w:name="_Toc35393793"/>
      <w:bookmarkStart w:id="15" w:name="_Toc35393624"/>
      <w:bookmarkStart w:id="16" w:name="_Toc28359082"/>
      <w:r>
        <w:rPr>
          <w:rFonts w:hint="eastAsia"/>
          <w:color w:val="auto"/>
          <w:sz w:val="21"/>
          <w:szCs w:val="21"/>
          <w:highlight w:val="none"/>
        </w:rPr>
        <w:t>时间：2023年</w:t>
      </w:r>
      <w:r>
        <w:rPr>
          <w:rFonts w:hint="eastAsia"/>
          <w:color w:val="auto"/>
          <w:sz w:val="21"/>
          <w:szCs w:val="21"/>
          <w:highlight w:val="none"/>
          <w:lang w:val="en-US" w:eastAsia="zh-CN"/>
        </w:rPr>
        <w:t>7</w:t>
      </w:r>
      <w:r>
        <w:rPr>
          <w:rFonts w:hint="eastAsia"/>
          <w:color w:val="auto"/>
          <w:sz w:val="21"/>
          <w:szCs w:val="21"/>
          <w:highlight w:val="none"/>
        </w:rPr>
        <w:t>月</w:t>
      </w:r>
      <w:r>
        <w:rPr>
          <w:rFonts w:hint="eastAsia"/>
          <w:color w:val="auto"/>
          <w:sz w:val="21"/>
          <w:szCs w:val="21"/>
          <w:highlight w:val="none"/>
          <w:lang w:val="en-US" w:eastAsia="zh-CN"/>
        </w:rPr>
        <w:t>4</w:t>
      </w:r>
      <w:r>
        <w:rPr>
          <w:rFonts w:hint="eastAsia"/>
          <w:color w:val="auto"/>
          <w:sz w:val="21"/>
          <w:szCs w:val="21"/>
          <w:highlight w:val="none"/>
        </w:rPr>
        <w:t>日至2023年</w:t>
      </w:r>
      <w:r>
        <w:rPr>
          <w:rFonts w:hint="eastAsia"/>
          <w:color w:val="auto"/>
          <w:sz w:val="21"/>
          <w:szCs w:val="21"/>
          <w:highlight w:val="none"/>
          <w:lang w:eastAsia="zh-CN"/>
        </w:rPr>
        <w:t>7月20日</w:t>
      </w:r>
      <w:r>
        <w:rPr>
          <w:rFonts w:hint="eastAsia"/>
          <w:color w:val="auto"/>
          <w:sz w:val="21"/>
          <w:szCs w:val="21"/>
          <w:highlight w:val="none"/>
        </w:rPr>
        <w:t>，每天上午00:00至12:00，下午12:00至23:59（北京时间，线上获取法定节假日均可，线下获取文件法定节假日除外）</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地点（网址）：政府采购云平台（https://www.zcygov.cn）</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方式：供应商登录政采云平台</w:t>
      </w:r>
      <w:r>
        <w:rPr>
          <w:color w:val="auto"/>
          <w:sz w:val="21"/>
          <w:szCs w:val="21"/>
          <w:highlight w:val="none"/>
        </w:rPr>
        <w:t>https://www.zcygov.cn/在线申请获取采购文件（进入“项目采购”应用，在获取采购文件菜单中选择项目，申请获取采购文件）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售价（元）：0</w:t>
      </w:r>
    </w:p>
    <w:p>
      <w:pPr>
        <w:adjustRightInd w:val="0"/>
        <w:snapToGrid w:val="0"/>
        <w:spacing w:line="288" w:lineRule="auto"/>
        <w:rPr>
          <w:b/>
          <w:color w:val="auto"/>
          <w:sz w:val="21"/>
          <w:szCs w:val="21"/>
          <w:highlight w:val="none"/>
        </w:rPr>
      </w:pPr>
      <w:r>
        <w:rPr>
          <w:rFonts w:hint="eastAsia"/>
          <w:b/>
          <w:color w:val="auto"/>
          <w:sz w:val="21"/>
          <w:szCs w:val="21"/>
          <w:highlight w:val="none"/>
        </w:rPr>
        <w:t>四、</w:t>
      </w:r>
      <w:bookmarkEnd w:id="13"/>
      <w:bookmarkEnd w:id="14"/>
      <w:bookmarkEnd w:id="15"/>
      <w:bookmarkEnd w:id="16"/>
      <w:r>
        <w:rPr>
          <w:rFonts w:hint="eastAsia"/>
          <w:b/>
          <w:color w:val="auto"/>
          <w:sz w:val="21"/>
          <w:szCs w:val="21"/>
          <w:highlight w:val="none"/>
        </w:rPr>
        <w:t>响应文件提交（上传）</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截止时间：2023年</w:t>
      </w:r>
      <w:r>
        <w:rPr>
          <w:rFonts w:hint="eastAsia"/>
          <w:bCs/>
          <w:color w:val="auto"/>
          <w:sz w:val="21"/>
          <w:szCs w:val="21"/>
          <w:highlight w:val="none"/>
          <w:lang w:eastAsia="zh-CN"/>
        </w:rPr>
        <w:t>7月20日13:30:00</w:t>
      </w:r>
      <w:r>
        <w:rPr>
          <w:rFonts w:hint="eastAsia"/>
          <w:bCs/>
          <w:color w:val="auto"/>
          <w:sz w:val="21"/>
          <w:szCs w:val="21"/>
          <w:highlight w:val="none"/>
        </w:rPr>
        <w:t>（北京时间）</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（网址）：政府采购云平台（https://www.zcygov.cn）</w:t>
      </w:r>
    </w:p>
    <w:p>
      <w:pPr>
        <w:adjustRightInd w:val="0"/>
        <w:snapToGrid w:val="0"/>
        <w:spacing w:line="288" w:lineRule="auto"/>
        <w:rPr>
          <w:b/>
          <w:color w:val="auto"/>
          <w:sz w:val="21"/>
          <w:szCs w:val="21"/>
          <w:highlight w:val="none"/>
        </w:rPr>
      </w:pPr>
      <w:bookmarkStart w:id="17" w:name="_Toc35393794"/>
      <w:bookmarkStart w:id="18" w:name="_Toc28359007"/>
      <w:bookmarkStart w:id="19" w:name="_Toc35393625"/>
      <w:bookmarkStart w:id="20" w:name="_Toc28359084"/>
      <w:r>
        <w:rPr>
          <w:rFonts w:hint="eastAsia"/>
          <w:b/>
          <w:color w:val="auto"/>
          <w:sz w:val="21"/>
          <w:szCs w:val="21"/>
          <w:highlight w:val="none"/>
        </w:rPr>
        <w:t>五、响应文件开启</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开启时间：2023年</w:t>
      </w:r>
      <w:r>
        <w:rPr>
          <w:rFonts w:hint="eastAsia"/>
          <w:bCs/>
          <w:color w:val="auto"/>
          <w:sz w:val="21"/>
          <w:szCs w:val="21"/>
          <w:highlight w:val="none"/>
          <w:lang w:eastAsia="zh-CN"/>
        </w:rPr>
        <w:t>7月20日13:30:00</w:t>
      </w:r>
      <w:r>
        <w:rPr>
          <w:rFonts w:hint="eastAsia"/>
          <w:bCs/>
          <w:color w:val="auto"/>
          <w:sz w:val="21"/>
          <w:szCs w:val="21"/>
          <w:highlight w:val="none"/>
        </w:rPr>
        <w:t>（北京时间）</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（网址）：政府采购云平台（https://www.zcygov.cn）</w:t>
      </w:r>
      <w:r>
        <w:rPr>
          <w:rFonts w:hint="eastAsia" w:cs="Times New Roman"/>
          <w:color w:val="auto"/>
          <w:sz w:val="21"/>
          <w:szCs w:val="21"/>
          <w:highlight w:val="none"/>
        </w:rPr>
        <w:t>/杭州市西湖区玉古路173号中田大厦21楼（求是招标会议室</w:t>
      </w:r>
      <w:r>
        <w:rPr>
          <w:rFonts w:hint="eastAsia" w:cs="Times New Roman"/>
          <w:color w:val="auto"/>
          <w:sz w:val="21"/>
          <w:szCs w:val="21"/>
          <w:highlight w:val="none"/>
          <w:lang w:val="en-US" w:eastAsia="zh-CN"/>
        </w:rPr>
        <w:t>2</w:t>
      </w:r>
      <w:r>
        <w:rPr>
          <w:rFonts w:hint="eastAsia" w:cs="Times New Roman"/>
          <w:color w:val="auto"/>
          <w:sz w:val="21"/>
          <w:szCs w:val="21"/>
          <w:highlight w:val="none"/>
        </w:rPr>
        <w:t>）</w:t>
      </w:r>
    </w:p>
    <w:p>
      <w:pPr>
        <w:adjustRightInd w:val="0"/>
        <w:snapToGrid w:val="0"/>
        <w:spacing w:line="288" w:lineRule="auto"/>
        <w:rPr>
          <w:b/>
          <w:color w:val="auto"/>
          <w:sz w:val="21"/>
          <w:szCs w:val="21"/>
          <w:highlight w:val="none"/>
        </w:rPr>
      </w:pPr>
      <w:r>
        <w:rPr>
          <w:rFonts w:hint="eastAsia"/>
          <w:b/>
          <w:color w:val="auto"/>
          <w:sz w:val="21"/>
          <w:szCs w:val="21"/>
          <w:highlight w:val="none"/>
        </w:rPr>
        <w:t>六、公告期限</w:t>
      </w:r>
      <w:bookmarkEnd w:id="17"/>
      <w:bookmarkEnd w:id="18"/>
      <w:bookmarkEnd w:id="19"/>
      <w:bookmarkEnd w:id="20"/>
      <w:bookmarkStart w:id="44" w:name="_GoBack"/>
      <w:bookmarkEnd w:id="44"/>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自本公告发布之日起3个工作日。</w:t>
      </w:r>
    </w:p>
    <w:p>
      <w:pPr>
        <w:adjustRightInd w:val="0"/>
        <w:snapToGrid w:val="0"/>
        <w:spacing w:line="288" w:lineRule="auto"/>
        <w:rPr>
          <w:b/>
          <w:color w:val="auto"/>
          <w:sz w:val="21"/>
          <w:szCs w:val="21"/>
          <w:highlight w:val="none"/>
        </w:rPr>
      </w:pPr>
      <w:bookmarkStart w:id="21" w:name="_Toc35393626"/>
      <w:bookmarkStart w:id="22" w:name="_Toc35393795"/>
      <w:r>
        <w:rPr>
          <w:rFonts w:hint="eastAsia"/>
          <w:b/>
          <w:color w:val="auto"/>
          <w:sz w:val="21"/>
          <w:szCs w:val="21"/>
          <w:highlight w:val="none"/>
        </w:rPr>
        <w:t>七、其他补充事宜</w:t>
      </w:r>
      <w:bookmarkEnd w:id="21"/>
      <w:bookmarkEnd w:id="22"/>
    </w:p>
    <w:p>
      <w:pPr>
        <w:adjustRightInd w:val="0"/>
        <w:snapToGrid w:val="0"/>
        <w:spacing w:line="288" w:lineRule="auto"/>
        <w:ind w:firstLine="420" w:firstLineChars="200"/>
        <w:rPr>
          <w:rFonts w:cs="Times New Roman"/>
          <w:color w:val="auto"/>
          <w:sz w:val="21"/>
          <w:szCs w:val="21"/>
          <w:highlight w:val="none"/>
        </w:rPr>
      </w:pPr>
      <w:bookmarkStart w:id="23" w:name="_Toc35393627"/>
      <w:bookmarkStart w:id="24" w:name="_Toc28359085"/>
      <w:bookmarkStart w:id="25" w:name="_Toc28359008"/>
      <w:bookmarkStart w:id="26" w:name="_Toc35393796"/>
      <w:r>
        <w:rPr>
          <w:rFonts w:cs="Times New Roman"/>
          <w:color w:val="auto"/>
          <w:sz w:val="21"/>
          <w:szCs w:val="21"/>
          <w:highlight w:val="none"/>
        </w:rPr>
        <w:t>1.《浙江省财政厅关于进一步发挥政府采购政策功能全力推动经济稳进提质的通知》 （浙财采监（2022）3号）、《浙江省财政厅关于进一步促进政府采购公平竞争打造最优营商环境的通知》（浙财采监（2021）22号）已分别于2022年1月29日和2022年2月1日开始实施，此前有关规定与上述文件内容不一致的，按上述文件要求执行。</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4.其他事项：</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w:t>
      </w:r>
      <w:r>
        <w:rPr>
          <w:rFonts w:hint="eastAsia" w:cs="Times New Roman"/>
          <w:color w:val="auto"/>
          <w:sz w:val="21"/>
          <w:szCs w:val="21"/>
          <w:highlight w:val="none"/>
        </w:rPr>
        <w:t>1</w:t>
      </w:r>
      <w:r>
        <w:rPr>
          <w:rFonts w:cs="Times New Roman"/>
          <w:color w:val="auto"/>
          <w:sz w:val="21"/>
          <w:szCs w:val="21"/>
          <w:highlight w:val="none"/>
        </w:rPr>
        <w:t>）需要落实的政府采购政策：包括节约资源、保护环境、促进中小企业发展等。详见磋商文件的第</w:t>
      </w:r>
      <w:r>
        <w:rPr>
          <w:rFonts w:hint="eastAsia" w:cs="Times New Roman"/>
          <w:color w:val="auto"/>
          <w:sz w:val="21"/>
          <w:szCs w:val="21"/>
          <w:highlight w:val="none"/>
        </w:rPr>
        <w:t>三章-采购项目需要落实的政府采购政策</w:t>
      </w:r>
      <w:r>
        <w:rPr>
          <w:rFonts w:cs="Times New Roman"/>
          <w:color w:val="auto"/>
          <w:sz w:val="21"/>
          <w:szCs w:val="21"/>
          <w:highlight w:val="none"/>
        </w:rPr>
        <w:t>。</w:t>
      </w:r>
    </w:p>
    <w:p>
      <w:pPr>
        <w:adjustRightInd w:val="0"/>
        <w:snapToGrid w:val="0"/>
        <w:spacing w:line="288" w:lineRule="auto"/>
        <w:ind w:firstLine="420" w:firstLineChars="200"/>
        <w:rPr>
          <w:bCs/>
          <w:color w:val="auto"/>
          <w:sz w:val="21"/>
          <w:szCs w:val="21"/>
          <w:highlight w:val="none"/>
        </w:rPr>
      </w:pPr>
      <w:r>
        <w:rPr>
          <w:rFonts w:hint="eastAsia" w:cs="Times New Roman"/>
          <w:color w:val="auto"/>
          <w:sz w:val="21"/>
          <w:szCs w:val="21"/>
          <w:highlight w:val="none"/>
        </w:rPr>
        <w:t>▲</w:t>
      </w:r>
      <w:bookmarkStart w:id="27" w:name="_Hlk92271072"/>
      <w:r>
        <w:rPr>
          <w:rFonts w:hint="eastAsia" w:cs="Times New Roman"/>
          <w:color w:val="auto"/>
          <w:sz w:val="21"/>
          <w:szCs w:val="21"/>
          <w:highlight w:val="none"/>
        </w:rPr>
        <w:t>（2）</w:t>
      </w:r>
      <w:r>
        <w:rPr>
          <w:rFonts w:cs="Times New Roman"/>
          <w:color w:val="auto"/>
          <w:sz w:val="21"/>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7"/>
    </w:p>
    <w:p>
      <w:pPr>
        <w:adjustRightInd w:val="0"/>
        <w:snapToGrid w:val="0"/>
        <w:spacing w:line="288" w:lineRule="auto"/>
        <w:rPr>
          <w:b/>
          <w:color w:val="auto"/>
          <w:sz w:val="21"/>
          <w:szCs w:val="21"/>
          <w:highlight w:val="none"/>
        </w:rPr>
      </w:pPr>
      <w:r>
        <w:rPr>
          <w:rFonts w:hint="eastAsia"/>
          <w:b/>
          <w:color w:val="auto"/>
          <w:sz w:val="21"/>
          <w:szCs w:val="21"/>
          <w:highlight w:val="none"/>
        </w:rPr>
        <w:t>八、凡对本次采购提出询问、质疑、投诉请按以下方式联系</w:t>
      </w:r>
      <w:bookmarkEnd w:id="23"/>
      <w:bookmarkEnd w:id="24"/>
      <w:bookmarkEnd w:id="25"/>
      <w:bookmarkEnd w:id="26"/>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1.采购人信息</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名称：杭州电子科技大学</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地址：杭州市钱塘区白杨街道2号大街1158号</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传真：/</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项目联系人（询问）：刘老师</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项目联系方式（询问）：13646710179</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质疑联系人：李老师</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质疑联系方式：0571-86878697</w:t>
      </w:r>
    </w:p>
    <w:p>
      <w:pPr>
        <w:adjustRightInd w:val="0"/>
        <w:snapToGrid w:val="0"/>
        <w:spacing w:line="288" w:lineRule="auto"/>
        <w:ind w:firstLine="424" w:firstLineChars="202"/>
        <w:rPr>
          <w:color w:val="auto"/>
          <w:sz w:val="21"/>
          <w:szCs w:val="21"/>
          <w:highlight w:val="none"/>
        </w:rPr>
      </w:pPr>
    </w:p>
    <w:p>
      <w:pPr>
        <w:adjustRightInd w:val="0"/>
        <w:snapToGrid w:val="0"/>
        <w:spacing w:line="288" w:lineRule="auto"/>
        <w:ind w:firstLine="424" w:firstLineChars="202"/>
        <w:rPr>
          <w:color w:val="auto"/>
          <w:sz w:val="21"/>
          <w:szCs w:val="21"/>
          <w:highlight w:val="none"/>
        </w:rPr>
      </w:pPr>
      <w:r>
        <w:rPr>
          <w:color w:val="auto"/>
          <w:sz w:val="21"/>
          <w:szCs w:val="21"/>
          <w:highlight w:val="none"/>
        </w:rPr>
        <w:t>2.采购代理机构信息</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名称：浙江求是招标代理有限公司</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地址：杭州市西湖区玉古路</w:t>
      </w:r>
      <w:r>
        <w:rPr>
          <w:color w:val="auto"/>
          <w:sz w:val="21"/>
          <w:szCs w:val="21"/>
          <w:highlight w:val="none"/>
        </w:rPr>
        <w:t>173号中田大厦</w:t>
      </w:r>
      <w:r>
        <w:rPr>
          <w:rFonts w:hint="eastAsia"/>
          <w:color w:val="auto"/>
          <w:sz w:val="21"/>
          <w:szCs w:val="21"/>
          <w:highlight w:val="none"/>
        </w:rPr>
        <w:t>21楼</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传真：</w:t>
      </w:r>
      <w:r>
        <w:rPr>
          <w:color w:val="auto"/>
          <w:sz w:val="21"/>
          <w:szCs w:val="21"/>
          <w:highlight w:val="none"/>
        </w:rPr>
        <w:t>/</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项目联系人（询问）：陈应俭、俞炳</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项目联系方式（询问）：0571-87670302</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质疑联系人：刘璐</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质疑联系方式：</w:t>
      </w:r>
      <w:r>
        <w:rPr>
          <w:color w:val="auto"/>
          <w:sz w:val="21"/>
          <w:szCs w:val="21"/>
          <w:highlight w:val="none"/>
        </w:rPr>
        <w:t>0571-81110356</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质疑邮箱：</w:t>
      </w:r>
      <w:r>
        <w:rPr>
          <w:color w:val="auto"/>
          <w:sz w:val="21"/>
          <w:szCs w:val="21"/>
          <w:highlight w:val="none"/>
        </w:rPr>
        <w:t>jdkh@qszb.net</w:t>
      </w:r>
    </w:p>
    <w:p>
      <w:pPr>
        <w:adjustRightInd w:val="0"/>
        <w:snapToGrid w:val="0"/>
        <w:spacing w:line="288" w:lineRule="auto"/>
        <w:ind w:firstLine="424" w:firstLineChars="202"/>
        <w:rPr>
          <w:color w:val="auto"/>
          <w:sz w:val="21"/>
          <w:szCs w:val="21"/>
          <w:highlight w:val="none"/>
        </w:rPr>
      </w:pP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3.同级政府采购监督管理部门</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名称：杭州电子科技大学国有资产与实验室管理处</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地址：杭州市钱塘区白杨街道2号大街1158号</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传真：/</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联系人：亓老师</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监督投诉电话：0571-87713574</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政策咨询：何一平、冯华，0571-87058424、87055741</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预算金额未达100万元的采购项目，由采购人处理采购争议。</w:t>
      </w:r>
    </w:p>
    <w:p>
      <w:pPr>
        <w:adjustRightInd w:val="0"/>
        <w:snapToGrid w:val="0"/>
        <w:spacing w:line="288" w:lineRule="auto"/>
        <w:rPr>
          <w:color w:val="auto"/>
          <w:sz w:val="21"/>
          <w:szCs w:val="21"/>
          <w:highlight w:val="none"/>
        </w:rPr>
      </w:pP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若对项目采购电子交易系统操作有疑问，可登录政采云（</w:t>
      </w:r>
      <w:r>
        <w:rPr>
          <w:color w:val="auto"/>
          <w:kern w:val="0"/>
          <w:sz w:val="21"/>
          <w:szCs w:val="21"/>
          <w:highlight w:val="none"/>
        </w:rPr>
        <w:t>https://www.zcygov.cn/），点击右侧咨询小采，获取采小蜜智能服务管家帮助，或拨打政采云服务热线400-881-7190获取热线服务帮助。</w:t>
      </w:r>
    </w:p>
    <w:p>
      <w:pPr>
        <w:adjustRightInd w:val="0"/>
        <w:snapToGrid w:val="0"/>
        <w:spacing w:line="288" w:lineRule="auto"/>
        <w:ind w:firstLine="420" w:firstLineChars="200"/>
        <w:rPr>
          <w:color w:val="auto"/>
          <w:kern w:val="0"/>
          <w:sz w:val="21"/>
          <w:szCs w:val="21"/>
          <w:highlight w:val="none"/>
        </w:rPr>
      </w:pPr>
      <w:r>
        <w:rPr>
          <w:color w:val="auto"/>
          <w:kern w:val="0"/>
          <w:sz w:val="21"/>
          <w:szCs w:val="21"/>
          <w:highlight w:val="none"/>
        </w:rPr>
        <w:t>CA问题联系电话（人工）：汇信CA 400-888-4636；天谷CA 400-087-8198。</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第二章  采购需求</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一、为落实政府采购政策需满足的要求：</w:t>
      </w:r>
    </w:p>
    <w:tbl>
      <w:tblPr>
        <w:tblStyle w:val="11"/>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3302"/>
        <w:gridCol w:w="56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b/>
                <w:bCs/>
                <w:color w:val="auto"/>
                <w:sz w:val="21"/>
                <w:szCs w:val="21"/>
                <w:highlight w:val="none"/>
              </w:rPr>
            </w:pPr>
            <w:bookmarkStart w:id="28" w:name="_Hlk45005599"/>
            <w:r>
              <w:rPr>
                <w:rFonts w:hint="eastAsia"/>
                <w:b/>
                <w:bCs/>
                <w:color w:val="auto"/>
                <w:sz w:val="21"/>
                <w:szCs w:val="21"/>
                <w:highlight w:val="none"/>
              </w:rPr>
              <w:t>序号</w:t>
            </w:r>
          </w:p>
        </w:tc>
        <w:tc>
          <w:tcPr>
            <w:tcW w:w="3302" w:type="dxa"/>
            <w:vAlign w:val="center"/>
          </w:tcPr>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政策名称</w:t>
            </w:r>
          </w:p>
        </w:tc>
        <w:tc>
          <w:tcPr>
            <w:tcW w:w="5608" w:type="dxa"/>
            <w:vAlign w:val="center"/>
          </w:tcPr>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1</w:t>
            </w:r>
          </w:p>
        </w:tc>
        <w:tc>
          <w:tcPr>
            <w:tcW w:w="3302"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政府采购进口产品</w:t>
            </w:r>
          </w:p>
        </w:tc>
        <w:tc>
          <w:tcPr>
            <w:tcW w:w="5608"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不允许采购进口产品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2</w:t>
            </w:r>
          </w:p>
        </w:tc>
        <w:tc>
          <w:tcPr>
            <w:tcW w:w="3302"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政府强制采购节能产品</w:t>
            </w:r>
          </w:p>
        </w:tc>
        <w:tc>
          <w:tcPr>
            <w:tcW w:w="5608"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3</w:t>
            </w:r>
          </w:p>
        </w:tc>
        <w:tc>
          <w:tcPr>
            <w:tcW w:w="3302"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政府优先采购节能、环保产品</w:t>
            </w:r>
          </w:p>
        </w:tc>
        <w:tc>
          <w:tcPr>
            <w:tcW w:w="5608"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提供材料详见磋商文件第六章“商务和技术文件”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color w:val="auto"/>
                <w:sz w:val="21"/>
                <w:szCs w:val="21"/>
                <w:highlight w:val="none"/>
              </w:rPr>
            </w:pPr>
            <w:r>
              <w:rPr>
                <w:rFonts w:hint="eastAsia"/>
                <w:color w:val="auto"/>
                <w:sz w:val="21"/>
                <w:szCs w:val="21"/>
                <w:highlight w:val="none"/>
              </w:rPr>
              <w:t>4</w:t>
            </w:r>
          </w:p>
        </w:tc>
        <w:tc>
          <w:tcPr>
            <w:tcW w:w="3302" w:type="dxa"/>
            <w:vAlign w:val="center"/>
          </w:tcPr>
          <w:p>
            <w:pPr>
              <w:adjustRightInd w:val="0"/>
              <w:snapToGrid w:val="0"/>
              <w:spacing w:line="288" w:lineRule="auto"/>
              <w:jc w:val="left"/>
              <w:rPr>
                <w:color w:val="auto"/>
                <w:sz w:val="21"/>
                <w:szCs w:val="18"/>
                <w:highlight w:val="none"/>
              </w:rPr>
            </w:pPr>
            <w:r>
              <w:rPr>
                <w:rFonts w:hint="eastAsia"/>
                <w:color w:val="auto"/>
                <w:sz w:val="21"/>
                <w:szCs w:val="18"/>
                <w:highlight w:val="none"/>
              </w:rPr>
              <w:t>政府采购支持科技创新</w:t>
            </w:r>
          </w:p>
        </w:tc>
        <w:tc>
          <w:tcPr>
            <w:tcW w:w="5608" w:type="dxa"/>
            <w:vAlign w:val="center"/>
          </w:tcPr>
          <w:p>
            <w:pPr>
              <w:adjustRightInd w:val="0"/>
              <w:snapToGrid w:val="0"/>
              <w:spacing w:line="288" w:lineRule="auto"/>
              <w:jc w:val="left"/>
              <w:rPr>
                <w:color w:val="auto"/>
                <w:sz w:val="21"/>
                <w:szCs w:val="18"/>
                <w:highlight w:val="none"/>
              </w:rPr>
            </w:pPr>
            <w:r>
              <w:rPr>
                <w:rFonts w:hint="eastAsia"/>
                <w:color w:val="auto"/>
                <w:sz w:val="21"/>
                <w:szCs w:val="18"/>
                <w:highlight w:val="none"/>
              </w:rPr>
              <w:t>提供材料详见招标文件第六章“商务和技术文件”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5</w:t>
            </w:r>
          </w:p>
        </w:tc>
        <w:tc>
          <w:tcPr>
            <w:tcW w:w="3302" w:type="dxa"/>
            <w:vAlign w:val="center"/>
          </w:tcPr>
          <w:p>
            <w:pPr>
              <w:adjustRightInd w:val="0"/>
              <w:snapToGrid w:val="0"/>
              <w:spacing w:line="288" w:lineRule="auto"/>
              <w:jc w:val="left"/>
              <w:rPr>
                <w:color w:val="auto"/>
                <w:sz w:val="21"/>
                <w:szCs w:val="21"/>
                <w:highlight w:val="none"/>
              </w:rPr>
            </w:pPr>
            <w:r>
              <w:rPr>
                <w:rFonts w:hint="eastAsia"/>
                <w:color w:val="auto"/>
                <w:sz w:val="21"/>
                <w:szCs w:val="21"/>
                <w:highlight w:val="none"/>
              </w:rPr>
              <w:t>政府采购促进中小企业发展</w:t>
            </w:r>
          </w:p>
        </w:tc>
        <w:tc>
          <w:tcPr>
            <w:tcW w:w="5608" w:type="dxa"/>
            <w:vAlign w:val="center"/>
          </w:tcPr>
          <w:p>
            <w:pPr>
              <w:adjustRightInd w:val="0"/>
              <w:snapToGrid w:val="0"/>
              <w:spacing w:line="288" w:lineRule="auto"/>
              <w:jc w:val="left"/>
              <w:rPr>
                <w:color w:val="auto"/>
                <w:sz w:val="21"/>
                <w:szCs w:val="21"/>
                <w:highlight w:val="none"/>
              </w:rPr>
            </w:pPr>
            <w:r>
              <w:rPr>
                <w:rFonts w:hint="eastAsia"/>
                <w:color w:val="auto"/>
                <w:sz w:val="21"/>
                <w:szCs w:val="21"/>
                <w:highlight w:val="none"/>
              </w:rPr>
              <w:t>提供材料详见磋商文件第六章“资格文件”</w:t>
            </w:r>
          </w:p>
          <w:p>
            <w:pPr>
              <w:adjustRightInd w:val="0"/>
              <w:snapToGrid w:val="0"/>
              <w:spacing w:line="288" w:lineRule="auto"/>
              <w:jc w:val="left"/>
              <w:rPr>
                <w:rFonts w:cs="Times New Roman"/>
                <w:b/>
                <w:bCs/>
                <w:color w:val="auto"/>
                <w:sz w:val="21"/>
                <w:szCs w:val="21"/>
                <w:highlight w:val="none"/>
              </w:rPr>
            </w:pPr>
            <w:r>
              <w:rPr>
                <w:rFonts w:hint="eastAsia" w:cs="Times New Roman"/>
                <w:b/>
                <w:bCs/>
                <w:color w:val="auto"/>
                <w:sz w:val="21"/>
                <w:szCs w:val="21"/>
                <w:highlight w:val="none"/>
              </w:rPr>
              <w:t>本项目属性为：货物</w:t>
            </w:r>
          </w:p>
          <w:p>
            <w:pPr>
              <w:adjustRightInd w:val="0"/>
              <w:snapToGrid w:val="0"/>
              <w:spacing w:line="288" w:lineRule="auto"/>
              <w:jc w:val="left"/>
              <w:rPr>
                <w:rFonts w:cs="Times New Roman"/>
                <w:b/>
                <w:bCs/>
                <w:color w:val="auto"/>
                <w:sz w:val="21"/>
                <w:szCs w:val="21"/>
                <w:highlight w:val="none"/>
              </w:rPr>
            </w:pPr>
            <w:r>
              <w:rPr>
                <w:rFonts w:hint="eastAsia" w:cs="Times New Roman"/>
                <w:b/>
                <w:bCs/>
                <w:color w:val="auto"/>
                <w:sz w:val="21"/>
                <w:szCs w:val="21"/>
                <w:highlight w:val="none"/>
              </w:rPr>
              <w:t>采购标的对应的中小企业划分标准所属行业：工业</w:t>
            </w:r>
          </w:p>
          <w:p>
            <w:pPr>
              <w:adjustRightInd w:val="0"/>
              <w:snapToGrid w:val="0"/>
              <w:spacing w:line="288" w:lineRule="auto"/>
              <w:jc w:val="left"/>
              <w:rPr>
                <w:b/>
                <w:bCs/>
                <w:color w:val="auto"/>
                <w:sz w:val="21"/>
                <w:szCs w:val="21"/>
                <w:highlight w:val="none"/>
              </w:rPr>
            </w:pPr>
            <w:r>
              <w:rPr>
                <w:rFonts w:hint="eastAsia" w:cs="Times New Roman"/>
                <w:b/>
                <w:bCs/>
                <w:color w:val="auto"/>
                <w:sz w:val="21"/>
                <w:szCs w:val="21"/>
                <w:highlight w:val="none"/>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color w:val="auto"/>
                <w:sz w:val="21"/>
                <w:szCs w:val="21"/>
                <w:highlight w:val="none"/>
              </w:rPr>
            </w:pPr>
            <w:r>
              <w:rPr>
                <w:rFonts w:hint="eastAsia"/>
                <w:color w:val="auto"/>
                <w:sz w:val="21"/>
                <w:szCs w:val="21"/>
                <w:highlight w:val="none"/>
              </w:rPr>
              <w:t>6</w:t>
            </w:r>
          </w:p>
        </w:tc>
        <w:tc>
          <w:tcPr>
            <w:tcW w:w="3302" w:type="dxa"/>
            <w:vAlign w:val="center"/>
          </w:tcPr>
          <w:p>
            <w:pPr>
              <w:adjustRightInd w:val="0"/>
              <w:snapToGrid w:val="0"/>
              <w:spacing w:line="288" w:lineRule="auto"/>
              <w:jc w:val="left"/>
              <w:rPr>
                <w:color w:val="auto"/>
                <w:sz w:val="21"/>
                <w:szCs w:val="21"/>
                <w:highlight w:val="none"/>
              </w:rPr>
            </w:pPr>
            <w:r>
              <w:rPr>
                <w:rFonts w:hint="eastAsia"/>
                <w:color w:val="auto"/>
                <w:sz w:val="21"/>
                <w:szCs w:val="21"/>
                <w:highlight w:val="none"/>
              </w:rPr>
              <w:t>政府采购支持监狱企业发展</w:t>
            </w:r>
          </w:p>
        </w:tc>
        <w:tc>
          <w:tcPr>
            <w:tcW w:w="5608" w:type="dxa"/>
            <w:vAlign w:val="center"/>
          </w:tcPr>
          <w:p>
            <w:pPr>
              <w:adjustRightInd w:val="0"/>
              <w:snapToGrid w:val="0"/>
              <w:spacing w:line="288" w:lineRule="auto"/>
              <w:jc w:val="left"/>
              <w:rPr>
                <w:rFonts w:cs="Times New Roman"/>
                <w:b/>
                <w:bCs/>
                <w:color w:val="auto"/>
                <w:sz w:val="21"/>
                <w:szCs w:val="21"/>
                <w:highlight w:val="none"/>
              </w:rPr>
            </w:pPr>
            <w:r>
              <w:rPr>
                <w:rFonts w:hint="eastAsia"/>
                <w:color w:val="auto"/>
                <w:sz w:val="21"/>
                <w:szCs w:val="21"/>
                <w:highlight w:val="none"/>
              </w:rPr>
              <w:t>提供材料详见磋商文件第六章“资格文件”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18" w:type="dxa"/>
            <w:vAlign w:val="center"/>
          </w:tcPr>
          <w:p>
            <w:pPr>
              <w:adjustRightInd w:val="0"/>
              <w:snapToGrid w:val="0"/>
              <w:spacing w:line="288" w:lineRule="auto"/>
              <w:jc w:val="left"/>
              <w:rPr>
                <w:color w:val="auto"/>
                <w:sz w:val="21"/>
                <w:szCs w:val="21"/>
                <w:highlight w:val="none"/>
              </w:rPr>
            </w:pPr>
            <w:r>
              <w:rPr>
                <w:rFonts w:hint="eastAsia"/>
                <w:color w:val="auto"/>
                <w:sz w:val="21"/>
                <w:szCs w:val="21"/>
                <w:highlight w:val="none"/>
              </w:rPr>
              <w:t>7</w:t>
            </w:r>
          </w:p>
        </w:tc>
        <w:tc>
          <w:tcPr>
            <w:tcW w:w="3302" w:type="dxa"/>
            <w:vAlign w:val="center"/>
          </w:tcPr>
          <w:p>
            <w:pPr>
              <w:adjustRightInd w:val="0"/>
              <w:snapToGrid w:val="0"/>
              <w:spacing w:line="288" w:lineRule="auto"/>
              <w:jc w:val="left"/>
              <w:rPr>
                <w:color w:val="auto"/>
                <w:sz w:val="21"/>
                <w:szCs w:val="21"/>
                <w:highlight w:val="none"/>
              </w:rPr>
            </w:pPr>
            <w:r>
              <w:rPr>
                <w:rFonts w:hint="eastAsia"/>
                <w:color w:val="auto"/>
                <w:sz w:val="21"/>
                <w:szCs w:val="21"/>
                <w:highlight w:val="none"/>
              </w:rPr>
              <w:t>政府采购促进残疾人就业</w:t>
            </w:r>
          </w:p>
        </w:tc>
        <w:tc>
          <w:tcPr>
            <w:tcW w:w="5608" w:type="dxa"/>
            <w:vAlign w:val="center"/>
          </w:tcPr>
          <w:p>
            <w:pPr>
              <w:adjustRightInd w:val="0"/>
              <w:snapToGrid w:val="0"/>
              <w:spacing w:line="288" w:lineRule="auto"/>
              <w:jc w:val="left"/>
              <w:rPr>
                <w:color w:val="auto"/>
                <w:sz w:val="21"/>
                <w:szCs w:val="21"/>
                <w:highlight w:val="none"/>
              </w:rPr>
            </w:pPr>
            <w:r>
              <w:rPr>
                <w:rFonts w:hint="eastAsia"/>
                <w:color w:val="auto"/>
                <w:sz w:val="21"/>
                <w:szCs w:val="21"/>
                <w:highlight w:val="none"/>
              </w:rPr>
              <w:t>提供材料详见磋商文件第六章“资格文件”</w:t>
            </w:r>
          </w:p>
        </w:tc>
      </w:tr>
      <w:bookmarkEnd w:id="28"/>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二、采购资金的支付方式、时间、条件：</w:t>
      </w:r>
    </w:p>
    <w:tbl>
      <w:tblPr>
        <w:tblStyle w:val="11"/>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cs="Times New Roman"/>
                <w:b/>
                <w:color w:val="auto"/>
                <w:spacing w:val="-6"/>
                <w:sz w:val="21"/>
                <w:szCs w:val="21"/>
                <w:highlight w:val="none"/>
              </w:rPr>
            </w:pPr>
            <w:bookmarkStart w:id="29" w:name="_Hlk45005608"/>
            <w:r>
              <w:rPr>
                <w:rFonts w:hint="eastAsia" w:cs="Times New Roman"/>
                <w:b/>
                <w:color w:val="auto"/>
                <w:spacing w:val="-6"/>
                <w:sz w:val="21"/>
                <w:szCs w:val="21"/>
                <w:highlight w:val="none"/>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1.合同签订后一周内，成交供应商向采购人提交合同总价1%的履约保证金，履约保证金在合同履约期间无违约情形的，项目验收结束后，于一周内退还（不计息）；</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2.提交方式：支票、汇票、本票或金融机构、担保机构出具的保函等非现金形式。</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注：履约保证金如采用银行转账方式提交，具体转账信息如下：</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收款单位（户名）：杭州电子科技大学</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开户银行：工行高新支行</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银行账号：1202026209008806216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cs="Times New Roman"/>
                <w:b/>
                <w:color w:val="auto"/>
                <w:spacing w:val="-6"/>
                <w:sz w:val="21"/>
                <w:szCs w:val="21"/>
                <w:highlight w:val="none"/>
              </w:rPr>
            </w:pPr>
            <w:r>
              <w:rPr>
                <w:rFonts w:hint="eastAsia" w:cs="Times New Roman"/>
                <w:b/>
                <w:color w:val="auto"/>
                <w:spacing w:val="-6"/>
                <w:sz w:val="21"/>
                <w:szCs w:val="21"/>
                <w:highlight w:val="none"/>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1.供应商为中小企业的，合同生效以及具备实施条件后7个工作日内，且供应商已向采购人提交银行、保险公司等金融机构出具的预付款保函的，采购人向供应商支付合同总价的40%；货物在供应商安装调试完毕并经采购人验收合格后，采购人在收到发票后7个工作日内，向供应商支付合同总价的60%。</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2.供应商为大型企业的，合同生效以及具备实施条件后7个工作日内，且供应商已向采购人提交银行、保险公司等金融机构出具的预付款保函的，采购人向供应商支付合同总价的30%；货物在供应商安装调试完毕并经采购人验收合格后，采购人在收到发票后7个工作日内，向供应商支付合同总价的70%。</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3.在签订合同时，供应商明确表示无需预付款或者主动要求降低预付款比例的，可降低预付款比例（预付款保函同步调整）。</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4.供应商明确表示无需预付款时，付款方式按以下要求执行：货物送达并经采购人初步验收后5个工作日内，采购人向供应商支付合同总价的75%；货物由供应商安装调试完毕并经采购人验收合格后，采购人向供应商支付合同总价的25%。</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三、成交方需提供增值税专用发票，开票信息如下：</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抬头：杭州电子科技大学</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税号：12330000470009026T</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地址：杭州市下沙高教园区杭州电子科技大学</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电话：0571-86915020</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开户银行：工行高新支行</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银行账号：1202026209008806216</w:t>
            </w:r>
          </w:p>
        </w:tc>
      </w:tr>
      <w:bookmarkEnd w:id="29"/>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三、服务要求（技术要求里另有注明的以技术要求为准）：</w:t>
      </w:r>
    </w:p>
    <w:tbl>
      <w:tblPr>
        <w:tblStyle w:val="11"/>
        <w:tblW w:w="9498"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bookmarkStart w:id="30" w:name="_Hlk97039632"/>
            <w:r>
              <w:rPr>
                <w:rFonts w:hint="eastAsia"/>
                <w:b/>
                <w:bCs/>
                <w:color w:val="auto"/>
                <w:sz w:val="21"/>
                <w:szCs w:val="21"/>
                <w:highlight w:val="none"/>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合同签订之日起</w:t>
            </w:r>
            <w:r>
              <w:rPr>
                <w:color w:val="auto"/>
                <w:sz w:val="21"/>
                <w:szCs w:val="21"/>
                <w:highlight w:val="none"/>
              </w:rPr>
              <w:t>30</w:t>
            </w:r>
            <w:r>
              <w:rPr>
                <w:rFonts w:hint="eastAsia"/>
                <w:color w:val="auto"/>
                <w:sz w:val="21"/>
                <w:szCs w:val="21"/>
                <w:highlight w:val="none"/>
              </w:rPr>
              <w:t>天内交付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采购人指定地点</w:t>
            </w:r>
          </w:p>
        </w:tc>
      </w:tr>
      <w:bookmarkEnd w:id="30"/>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color w:val="auto"/>
                <w:sz w:val="21"/>
                <w:szCs w:val="21"/>
                <w:highlight w:val="none"/>
              </w:rPr>
              <w:t>▲</w:t>
            </w:r>
            <w:r>
              <w:rPr>
                <w:rFonts w:hint="eastAsia"/>
                <w:b/>
                <w:bCs/>
                <w:color w:val="auto"/>
                <w:sz w:val="21"/>
                <w:szCs w:val="21"/>
                <w:highlight w:val="none"/>
              </w:rPr>
              <w:t>质保期</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3年，项目验收合格后开始计算。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color w:val="auto"/>
                <w:sz w:val="21"/>
                <w:szCs w:val="21"/>
                <w:highlight w:val="none"/>
              </w:rPr>
              <w:t>1</w:t>
            </w:r>
            <w:r>
              <w:rPr>
                <w:rFonts w:hint="eastAsia"/>
                <w:color w:val="auto"/>
                <w:sz w:val="21"/>
                <w:szCs w:val="21"/>
                <w:highlight w:val="none"/>
              </w:rPr>
              <w:t>.在质保期内，供应商应对货物出现的质量及安全问题负责处理解决并承担一切费用。</w:t>
            </w:r>
          </w:p>
          <w:p>
            <w:pPr>
              <w:adjustRightInd w:val="0"/>
              <w:snapToGrid w:val="0"/>
              <w:spacing w:line="288" w:lineRule="auto"/>
              <w:rPr>
                <w:color w:val="auto"/>
                <w:sz w:val="21"/>
                <w:szCs w:val="21"/>
                <w:highlight w:val="none"/>
              </w:rPr>
            </w:pPr>
            <w:r>
              <w:rPr>
                <w:color w:val="auto"/>
                <w:sz w:val="21"/>
                <w:szCs w:val="21"/>
                <w:highlight w:val="none"/>
              </w:rPr>
              <w:t>2.</w:t>
            </w:r>
            <w:r>
              <w:rPr>
                <w:rFonts w:hint="eastAsia"/>
                <w:color w:val="auto"/>
                <w:sz w:val="21"/>
                <w:szCs w:val="21"/>
                <w:highlight w:val="none"/>
              </w:rPr>
              <w:t>质保期内出现无法排除的故障，供应商需无条件更换同型号产品。</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质保期满后，供应商继续为采购人服务，仅收取零配件成本费。</w:t>
            </w:r>
          </w:p>
          <w:p>
            <w:pPr>
              <w:adjustRightInd w:val="0"/>
              <w:snapToGrid w:val="0"/>
              <w:spacing w:line="288" w:lineRule="auto"/>
              <w:rPr>
                <w:color w:val="auto"/>
                <w:sz w:val="21"/>
                <w:szCs w:val="21"/>
                <w:highlight w:val="none"/>
              </w:rPr>
            </w:pPr>
            <w:r>
              <w:rPr>
                <w:color w:val="auto"/>
                <w:sz w:val="21"/>
                <w:szCs w:val="21"/>
                <w:highlight w:val="none"/>
              </w:rPr>
              <w:t>4.</w:t>
            </w:r>
            <w:r>
              <w:rPr>
                <w:rFonts w:hint="eastAsia"/>
                <w:color w:val="auto"/>
                <w:sz w:val="21"/>
                <w:szCs w:val="21"/>
                <w:highlight w:val="none"/>
              </w:rPr>
              <w:t>因人为因素出现的故障不在免费保修范围内。</w:t>
            </w:r>
          </w:p>
          <w:p>
            <w:pPr>
              <w:adjustRightInd w:val="0"/>
              <w:snapToGrid w:val="0"/>
              <w:spacing w:line="288" w:lineRule="auto"/>
              <w:rPr>
                <w:color w:val="auto"/>
                <w:sz w:val="21"/>
                <w:szCs w:val="21"/>
                <w:highlight w:val="none"/>
                <w:u w:val="single"/>
              </w:rPr>
            </w:pPr>
            <w:r>
              <w:rPr>
                <w:color w:val="auto"/>
                <w:sz w:val="21"/>
                <w:szCs w:val="21"/>
                <w:highlight w:val="none"/>
              </w:rPr>
              <w:t>5</w:t>
            </w:r>
            <w:r>
              <w:rPr>
                <w:rFonts w:hint="eastAsia"/>
                <w:color w:val="auto"/>
                <w:sz w:val="21"/>
                <w:szCs w:val="21"/>
                <w:highlight w:val="none"/>
              </w:rPr>
              <w:t>.</w:t>
            </w:r>
            <w:r>
              <w:rPr>
                <w:rFonts w:hint="eastAsia"/>
                <w:color w:val="auto"/>
                <w:sz w:val="21"/>
                <w:szCs w:val="21"/>
                <w:highlight w:val="none"/>
                <w:u w:val="single"/>
              </w:rPr>
              <w:t>如在使用过程中发生质量问题，供应商维修响应时间：1小时以内；</w:t>
            </w:r>
          </w:p>
          <w:p>
            <w:pPr>
              <w:adjustRightInd w:val="0"/>
              <w:snapToGrid w:val="0"/>
              <w:spacing w:line="288" w:lineRule="auto"/>
              <w:rPr>
                <w:color w:val="auto"/>
                <w:sz w:val="21"/>
                <w:szCs w:val="21"/>
                <w:highlight w:val="none"/>
                <w:u w:val="single"/>
              </w:rPr>
            </w:pPr>
            <w:r>
              <w:rPr>
                <w:rFonts w:hint="eastAsia"/>
                <w:color w:val="auto"/>
                <w:sz w:val="21"/>
                <w:szCs w:val="21"/>
                <w:highlight w:val="none"/>
                <w:u w:val="single"/>
              </w:rPr>
              <w:t>电话技术支持时间：2小时以内；</w:t>
            </w:r>
          </w:p>
          <w:p>
            <w:pPr>
              <w:adjustRightInd w:val="0"/>
              <w:snapToGrid w:val="0"/>
              <w:spacing w:line="288" w:lineRule="auto"/>
              <w:rPr>
                <w:color w:val="auto"/>
                <w:sz w:val="21"/>
                <w:szCs w:val="21"/>
                <w:highlight w:val="none"/>
              </w:rPr>
            </w:pPr>
            <w:r>
              <w:rPr>
                <w:rFonts w:hint="eastAsia"/>
                <w:color w:val="auto"/>
                <w:sz w:val="21"/>
                <w:szCs w:val="21"/>
                <w:highlight w:val="none"/>
                <w:u w:val="single"/>
              </w:rPr>
              <w:t>若需上门维修，则在：24小时内到达现场并进行维修；不超过48小时解决故障。</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1.验收由采购人负责实施；</w:t>
            </w:r>
          </w:p>
          <w:p>
            <w:pPr>
              <w:adjustRightInd w:val="0"/>
              <w:snapToGrid w:val="0"/>
              <w:spacing w:line="288" w:lineRule="auto"/>
              <w:rPr>
                <w:color w:val="auto"/>
                <w:sz w:val="21"/>
                <w:szCs w:val="21"/>
                <w:highlight w:val="none"/>
              </w:rPr>
            </w:pPr>
            <w:r>
              <w:rPr>
                <w:rFonts w:hint="eastAsia"/>
                <w:color w:val="auto"/>
                <w:sz w:val="21"/>
                <w:szCs w:val="21"/>
                <w:highlight w:val="none"/>
              </w:rPr>
              <w:t>2.验收依据：</w:t>
            </w:r>
          </w:p>
          <w:p>
            <w:pPr>
              <w:adjustRightInd w:val="0"/>
              <w:snapToGrid w:val="0"/>
              <w:spacing w:line="288" w:lineRule="auto"/>
              <w:rPr>
                <w:color w:val="auto"/>
                <w:sz w:val="21"/>
                <w:szCs w:val="21"/>
                <w:highlight w:val="none"/>
              </w:rPr>
            </w:pPr>
            <w:r>
              <w:rPr>
                <w:rFonts w:hint="eastAsia"/>
                <w:color w:val="auto"/>
                <w:sz w:val="21"/>
                <w:szCs w:val="21"/>
                <w:highlight w:val="none"/>
              </w:rPr>
              <w:t>2.1合同、磋商文件、响应文件；</w:t>
            </w:r>
          </w:p>
          <w:p>
            <w:pPr>
              <w:adjustRightInd w:val="0"/>
              <w:snapToGrid w:val="0"/>
              <w:spacing w:line="288" w:lineRule="auto"/>
              <w:rPr>
                <w:color w:val="auto"/>
                <w:sz w:val="21"/>
                <w:szCs w:val="21"/>
                <w:highlight w:val="none"/>
              </w:rPr>
            </w:pPr>
            <w:r>
              <w:rPr>
                <w:rFonts w:hint="eastAsia"/>
                <w:color w:val="auto"/>
                <w:sz w:val="21"/>
                <w:szCs w:val="21"/>
                <w:highlight w:val="none"/>
              </w:rPr>
              <w:t>2.2供应商提供的技术规格、经采购人认可的合同货物的有效检验文件；</w:t>
            </w:r>
          </w:p>
          <w:p>
            <w:pPr>
              <w:adjustRightInd w:val="0"/>
              <w:snapToGrid w:val="0"/>
              <w:spacing w:line="288" w:lineRule="auto"/>
              <w:rPr>
                <w:color w:val="auto"/>
                <w:sz w:val="21"/>
                <w:szCs w:val="21"/>
                <w:highlight w:val="none"/>
              </w:rPr>
            </w:pPr>
            <w:r>
              <w:rPr>
                <w:rFonts w:hint="eastAsia"/>
                <w:color w:val="auto"/>
                <w:sz w:val="21"/>
                <w:szCs w:val="21"/>
                <w:highlight w:val="none"/>
              </w:rPr>
              <w:t>2.3供应商响应文件中提供的经采购人认可的合同货物的验收标准（符合中国有关的国家、地方、行业标准）和检测办法及相应检测手段。</w:t>
            </w:r>
          </w:p>
          <w:p>
            <w:pPr>
              <w:adjustRightInd w:val="0"/>
              <w:snapToGrid w:val="0"/>
              <w:spacing w:line="288" w:lineRule="auto"/>
              <w:rPr>
                <w:color w:val="auto"/>
                <w:sz w:val="21"/>
                <w:szCs w:val="21"/>
                <w:highlight w:val="none"/>
              </w:rPr>
            </w:pPr>
            <w:r>
              <w:rPr>
                <w:rFonts w:hint="eastAsia"/>
                <w:color w:val="auto"/>
                <w:sz w:val="21"/>
                <w:szCs w:val="21"/>
                <w:highlight w:val="none"/>
              </w:rPr>
              <w:t>3.供应商应派员在所供货物到采购人处时进行到货验收，有需要时能联系产品制造商到场共同验收，若发现任何损坏及质量问题，供应商负责妥善处理直至采购人满意，由此产生的费用由供应商承担。</w:t>
            </w:r>
          </w:p>
          <w:p>
            <w:pPr>
              <w:adjustRightInd w:val="0"/>
              <w:snapToGrid w:val="0"/>
              <w:spacing w:line="288" w:lineRule="auto"/>
              <w:rPr>
                <w:color w:val="auto"/>
                <w:sz w:val="21"/>
                <w:szCs w:val="21"/>
                <w:highlight w:val="none"/>
              </w:rPr>
            </w:pPr>
            <w:r>
              <w:rPr>
                <w:rFonts w:hint="eastAsia"/>
                <w:color w:val="auto"/>
                <w:sz w:val="21"/>
                <w:szCs w:val="21"/>
                <w:highlight w:val="none"/>
              </w:rPr>
              <w:t>4.验收合格的条件：</w:t>
            </w:r>
          </w:p>
          <w:p>
            <w:pPr>
              <w:adjustRightInd w:val="0"/>
              <w:snapToGrid w:val="0"/>
              <w:spacing w:line="288" w:lineRule="auto"/>
              <w:rPr>
                <w:color w:val="auto"/>
                <w:sz w:val="21"/>
                <w:szCs w:val="21"/>
                <w:highlight w:val="none"/>
              </w:rPr>
            </w:pPr>
            <w:r>
              <w:rPr>
                <w:rFonts w:hint="eastAsia"/>
                <w:color w:val="auto"/>
                <w:sz w:val="21"/>
                <w:szCs w:val="21"/>
                <w:highlight w:val="none"/>
              </w:rPr>
              <w:t>4.1所供货物符合产品标准和合同的要求；</w:t>
            </w:r>
          </w:p>
          <w:p>
            <w:pPr>
              <w:adjustRightInd w:val="0"/>
              <w:snapToGrid w:val="0"/>
              <w:spacing w:line="288" w:lineRule="auto"/>
              <w:rPr>
                <w:color w:val="auto"/>
                <w:sz w:val="21"/>
                <w:szCs w:val="21"/>
                <w:highlight w:val="none"/>
              </w:rPr>
            </w:pPr>
            <w:r>
              <w:rPr>
                <w:rFonts w:hint="eastAsia"/>
                <w:color w:val="auto"/>
                <w:sz w:val="21"/>
                <w:szCs w:val="21"/>
                <w:highlight w:val="none"/>
              </w:rPr>
              <w:t>4.2在进行测试和验收过程中发现的问题已被解决并得到采购人的认可；</w:t>
            </w:r>
          </w:p>
          <w:p>
            <w:pPr>
              <w:adjustRightInd w:val="0"/>
              <w:snapToGrid w:val="0"/>
              <w:spacing w:line="288" w:lineRule="auto"/>
              <w:rPr>
                <w:color w:val="auto"/>
                <w:sz w:val="21"/>
                <w:szCs w:val="21"/>
                <w:highlight w:val="none"/>
              </w:rPr>
            </w:pPr>
            <w:r>
              <w:rPr>
                <w:rFonts w:hint="eastAsia"/>
                <w:color w:val="auto"/>
                <w:sz w:val="21"/>
                <w:szCs w:val="21"/>
                <w:highlight w:val="none"/>
              </w:rPr>
              <w:t>4.3合同中规定的所有货物和材料均已交付；</w:t>
            </w:r>
          </w:p>
          <w:p>
            <w:pPr>
              <w:adjustRightInd w:val="0"/>
              <w:snapToGrid w:val="0"/>
              <w:spacing w:line="288" w:lineRule="auto"/>
              <w:rPr>
                <w:color w:val="auto"/>
                <w:sz w:val="21"/>
                <w:szCs w:val="21"/>
                <w:highlight w:val="none"/>
              </w:rPr>
            </w:pPr>
            <w:r>
              <w:rPr>
                <w:rFonts w:hint="eastAsia"/>
                <w:color w:val="auto"/>
                <w:sz w:val="21"/>
                <w:szCs w:val="21"/>
                <w:highlight w:val="none"/>
              </w:rPr>
              <w:t>4.4所供货物已通过使用单位组织的验收；</w:t>
            </w:r>
          </w:p>
          <w:p>
            <w:pPr>
              <w:adjustRightInd w:val="0"/>
              <w:snapToGrid w:val="0"/>
              <w:spacing w:line="288" w:lineRule="auto"/>
              <w:rPr>
                <w:color w:val="auto"/>
                <w:sz w:val="21"/>
                <w:szCs w:val="21"/>
                <w:highlight w:val="none"/>
              </w:rPr>
            </w:pPr>
            <w:r>
              <w:rPr>
                <w:rFonts w:hint="eastAsia"/>
                <w:color w:val="auto"/>
                <w:sz w:val="21"/>
                <w:szCs w:val="21"/>
                <w:highlight w:val="none"/>
              </w:rPr>
              <w:t>4.5所有相关的技术文件及资料均已提交并得到接受。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供应商应按磋商文件规定的货物性能、技术要求、质量标准向采购人提供未经使用的全新产品，符合国家法律规定和技术规格、质量标准的出厂原装合格产品。</w:t>
            </w:r>
          </w:p>
          <w:p>
            <w:pPr>
              <w:adjustRightInd w:val="0"/>
              <w:snapToGrid w:val="0"/>
              <w:spacing w:line="288" w:lineRule="auto"/>
              <w:rPr>
                <w:color w:val="auto"/>
                <w:sz w:val="21"/>
                <w:szCs w:val="21"/>
                <w:highlight w:val="none"/>
              </w:rPr>
            </w:pPr>
            <w:r>
              <w:rPr>
                <w:color w:val="auto"/>
                <w:sz w:val="21"/>
                <w:szCs w:val="21"/>
                <w:highlight w:val="none"/>
              </w:rPr>
              <w:t>2</w:t>
            </w:r>
            <w:r>
              <w:rPr>
                <w:rFonts w:hint="eastAsia"/>
                <w:color w:val="auto"/>
                <w:sz w:val="21"/>
                <w:szCs w:val="21"/>
                <w:highlight w:val="none"/>
              </w:rPr>
              <w:t>.技术支持：</w:t>
            </w:r>
          </w:p>
          <w:p>
            <w:pPr>
              <w:adjustRightInd w:val="0"/>
              <w:snapToGrid w:val="0"/>
              <w:spacing w:line="288" w:lineRule="auto"/>
              <w:rPr>
                <w:color w:val="auto"/>
                <w:sz w:val="21"/>
                <w:szCs w:val="21"/>
                <w:highlight w:val="none"/>
              </w:rPr>
            </w:pPr>
            <w:r>
              <w:rPr>
                <w:rFonts w:hint="eastAsia"/>
                <w:color w:val="auto"/>
                <w:sz w:val="21"/>
                <w:szCs w:val="21"/>
                <w:highlight w:val="none"/>
              </w:rPr>
              <w:t>供应商应及时免费提供合同货物软件的升级，免费提供合同货物新功能和应用的资料。</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.安装调试：</w:t>
            </w:r>
            <w:r>
              <w:rPr>
                <w:color w:val="auto"/>
                <w:sz w:val="21"/>
                <w:szCs w:val="21"/>
                <w:highlight w:val="none"/>
              </w:rPr>
              <w:t xml:space="preserve"> </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.1安装地点：采购人指定地点；</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.2安装完成时间：接到采购人通知后在规定时间内完成安装和调试，如在规定的时间内由于供应商的原因不能完成安装和调试，供应商应承担由此给采购人造成的损失；</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.3如供应商委托国内代理（或其他机构）负责安装或配合安装应在签约时指明，但供应商仍要对合同货物及其安装质量负全部责任；</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.4安装标准：符合我国国家有关技术规范要求和技术标准，所有的软件和硬件必须保证同时安装到位；</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.5供应商免费提供合同货物的安装服务；</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.6供应商在响应文件中应提供安装调试计划、对安装场地和环境的要求。</w:t>
            </w:r>
          </w:p>
          <w:p>
            <w:pPr>
              <w:adjustRightInd w:val="0"/>
              <w:snapToGrid w:val="0"/>
              <w:spacing w:line="288" w:lineRule="auto"/>
              <w:rPr>
                <w:color w:val="auto"/>
                <w:sz w:val="21"/>
                <w:szCs w:val="21"/>
                <w:highlight w:val="none"/>
              </w:rPr>
            </w:pPr>
            <w:r>
              <w:rPr>
                <w:color w:val="auto"/>
                <w:sz w:val="21"/>
                <w:szCs w:val="21"/>
                <w:highlight w:val="none"/>
              </w:rPr>
              <w:t>4</w:t>
            </w:r>
            <w:r>
              <w:rPr>
                <w:rFonts w:hint="eastAsia"/>
                <w:color w:val="auto"/>
                <w:sz w:val="21"/>
                <w:szCs w:val="21"/>
                <w:highlight w:val="none"/>
              </w:rPr>
              <w:t>.供应商应提供质保期满后主要零部件报价单、质保期满后维护费、软件升级及其相关服务内容；</w:t>
            </w:r>
          </w:p>
          <w:p>
            <w:pPr>
              <w:adjustRightInd w:val="0"/>
              <w:snapToGrid w:val="0"/>
              <w:spacing w:line="288" w:lineRule="auto"/>
              <w:rPr>
                <w:color w:val="auto"/>
                <w:sz w:val="21"/>
                <w:szCs w:val="21"/>
                <w:highlight w:val="none"/>
              </w:rPr>
            </w:pPr>
            <w:r>
              <w:rPr>
                <w:color w:val="auto"/>
                <w:sz w:val="21"/>
                <w:szCs w:val="21"/>
                <w:highlight w:val="none"/>
              </w:rPr>
              <w:t>5</w:t>
            </w:r>
            <w:r>
              <w:rPr>
                <w:rFonts w:hint="eastAsia"/>
                <w:color w:val="auto"/>
                <w:sz w:val="21"/>
                <w:szCs w:val="21"/>
                <w:highlight w:val="none"/>
              </w:rPr>
              <w:t>.供货时提供有关的全套技术文件。</w:t>
            </w:r>
          </w:p>
          <w:p>
            <w:pPr>
              <w:adjustRightInd w:val="0"/>
              <w:snapToGrid w:val="0"/>
              <w:spacing w:line="288" w:lineRule="auto"/>
              <w:rPr>
                <w:color w:val="auto"/>
                <w:sz w:val="21"/>
                <w:szCs w:val="21"/>
                <w:highlight w:val="none"/>
              </w:rPr>
            </w:pPr>
            <w:r>
              <w:rPr>
                <w:rFonts w:hint="eastAsia"/>
                <w:color w:val="auto"/>
                <w:sz w:val="21"/>
                <w:szCs w:val="21"/>
                <w:highlight w:val="none"/>
              </w:rPr>
              <w:t>6</w:t>
            </w:r>
            <w:r>
              <w:rPr>
                <w:color w:val="auto"/>
                <w:sz w:val="21"/>
                <w:szCs w:val="21"/>
                <w:highlight w:val="none"/>
              </w:rPr>
              <w:t>.</w:t>
            </w:r>
            <w:r>
              <w:rPr>
                <w:rFonts w:hint="eastAsia" w:cs="Times New Roman"/>
                <w:color w:val="auto"/>
                <w:spacing w:val="-6"/>
                <w:sz w:val="21"/>
                <w:szCs w:val="21"/>
                <w:highlight w:val="none"/>
              </w:rPr>
              <w:t>供应商应保证所提供的货物或其中任何一部分均不会侵犯第三方的知识产权。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培训</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供应商应对采购人的操作人员、维修人员免费进行培训；</w:t>
            </w:r>
          </w:p>
          <w:p>
            <w:pPr>
              <w:adjustRightInd w:val="0"/>
              <w:snapToGrid w:val="0"/>
              <w:spacing w:line="288" w:lineRule="auto"/>
              <w:rPr>
                <w:color w:val="auto"/>
                <w:sz w:val="21"/>
                <w:szCs w:val="21"/>
                <w:highlight w:val="none"/>
              </w:rPr>
            </w:pPr>
            <w:r>
              <w:rPr>
                <w:rFonts w:hint="eastAsia"/>
                <w:color w:val="auto"/>
                <w:sz w:val="21"/>
                <w:szCs w:val="21"/>
                <w:highlight w:val="none"/>
              </w:rPr>
              <w:t>供应商应提供相应的培训计划；</w:t>
            </w:r>
          </w:p>
          <w:p>
            <w:pPr>
              <w:adjustRightInd w:val="0"/>
              <w:snapToGrid w:val="0"/>
              <w:spacing w:line="288" w:lineRule="auto"/>
              <w:rPr>
                <w:color w:val="auto"/>
                <w:sz w:val="21"/>
                <w:szCs w:val="21"/>
                <w:highlight w:val="none"/>
              </w:rPr>
            </w:pPr>
            <w:r>
              <w:rPr>
                <w:rFonts w:hint="eastAsia"/>
                <w:color w:val="auto"/>
                <w:sz w:val="21"/>
                <w:szCs w:val="21"/>
                <w:highlight w:val="none"/>
              </w:rPr>
              <w:t>上述内容的实现方式、时间、地点、人数应在响应文件中详细说明。</w:t>
            </w:r>
          </w:p>
        </w:tc>
      </w:tr>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b/>
          <w:bCs/>
          <w:color w:val="auto"/>
          <w:sz w:val="21"/>
          <w:szCs w:val="21"/>
          <w:highlight w:val="none"/>
        </w:rPr>
        <w:t>四、技术要求</w:t>
      </w:r>
      <w:r>
        <w:rPr>
          <w:rFonts w:hint="eastAsia"/>
          <w:b/>
          <w:bCs/>
          <w:color w:val="auto"/>
          <w:sz w:val="21"/>
          <w:szCs w:val="21"/>
          <w:highlight w:val="none"/>
        </w:rPr>
        <w:t>：</w:t>
      </w:r>
    </w:p>
    <w:p>
      <w:pPr>
        <w:adjustRightInd w:val="0"/>
        <w:snapToGrid w:val="0"/>
        <w:spacing w:line="288" w:lineRule="auto"/>
        <w:rPr>
          <w:b/>
          <w:bCs/>
          <w:color w:val="auto"/>
          <w:sz w:val="21"/>
          <w:szCs w:val="21"/>
          <w:highlight w:val="none"/>
        </w:rPr>
      </w:pPr>
      <w:r>
        <w:rPr>
          <w:rFonts w:hint="eastAsia"/>
          <w:b/>
          <w:bCs/>
          <w:color w:val="auto"/>
          <w:sz w:val="21"/>
          <w:szCs w:val="21"/>
          <w:highlight w:val="none"/>
        </w:rPr>
        <w:t>1</w:t>
      </w:r>
      <w:r>
        <w:rPr>
          <w:b/>
          <w:bCs/>
          <w:color w:val="auto"/>
          <w:sz w:val="21"/>
          <w:szCs w:val="21"/>
          <w:highlight w:val="none"/>
        </w:rPr>
        <w:t>.</w:t>
      </w:r>
      <w:r>
        <w:rPr>
          <w:rFonts w:hint="eastAsia"/>
          <w:b/>
          <w:bCs/>
          <w:color w:val="auto"/>
          <w:sz w:val="21"/>
          <w:szCs w:val="21"/>
          <w:highlight w:val="none"/>
        </w:rPr>
        <w:t>需执行的国家相关标准、行业标准、地方标准或者其他标准、规范：</w:t>
      </w:r>
      <w:r>
        <w:rPr>
          <w:rFonts w:hint="eastAsia"/>
          <w:color w:val="auto"/>
          <w:sz w:val="21"/>
          <w:szCs w:val="21"/>
          <w:highlight w:val="none"/>
        </w:rPr>
        <w:t>如技术要求中未注明需执行的国家相关标准、行业标准、地方标准或者其他标准、规范的，执行最新标准、规范。</w:t>
      </w:r>
    </w:p>
    <w:p>
      <w:pPr>
        <w:adjustRightInd w:val="0"/>
        <w:snapToGrid w:val="0"/>
        <w:spacing w:line="288" w:lineRule="auto"/>
        <w:rPr>
          <w:b/>
          <w:bCs/>
          <w:color w:val="auto"/>
          <w:sz w:val="21"/>
          <w:szCs w:val="21"/>
          <w:highlight w:val="none"/>
        </w:rPr>
      </w:pPr>
      <w:r>
        <w:rPr>
          <w:b/>
          <w:bCs/>
          <w:color w:val="auto"/>
          <w:sz w:val="21"/>
          <w:szCs w:val="21"/>
          <w:highlight w:val="none"/>
        </w:rPr>
        <w:t>2</w:t>
      </w:r>
      <w:r>
        <w:rPr>
          <w:rFonts w:hint="eastAsia"/>
          <w:b/>
          <w:bCs/>
          <w:color w:val="auto"/>
          <w:sz w:val="21"/>
          <w:szCs w:val="21"/>
          <w:highlight w:val="none"/>
        </w:rPr>
        <w:t>.需实现的功能或者目标：满足大数据工程技术人员实训平台的使用需求。</w:t>
      </w:r>
    </w:p>
    <w:p>
      <w:pPr>
        <w:adjustRightInd w:val="0"/>
        <w:snapToGrid w:val="0"/>
        <w:spacing w:line="288" w:lineRule="auto"/>
        <w:rPr>
          <w:rFonts w:cs="Times New Roman"/>
          <w:b/>
          <w:bCs/>
          <w:color w:val="auto"/>
          <w:spacing w:val="-4"/>
          <w:sz w:val="21"/>
          <w:szCs w:val="21"/>
          <w:highlight w:val="none"/>
        </w:rPr>
      </w:pPr>
      <w:r>
        <w:rPr>
          <w:rFonts w:cs="Times New Roman"/>
          <w:b/>
          <w:bCs/>
          <w:color w:val="auto"/>
          <w:spacing w:val="-4"/>
          <w:sz w:val="21"/>
          <w:szCs w:val="21"/>
          <w:highlight w:val="none"/>
        </w:rPr>
        <w:t>3.</w:t>
      </w:r>
      <w:r>
        <w:rPr>
          <w:rFonts w:hint="eastAsia" w:cs="Times New Roman"/>
          <w:b/>
          <w:bCs/>
          <w:color w:val="auto"/>
          <w:spacing w:val="-4"/>
          <w:sz w:val="21"/>
          <w:szCs w:val="21"/>
          <w:highlight w:val="none"/>
        </w:rPr>
        <w:t>需满足的质量、安全、技术规格、物理特性等要求：</w:t>
      </w:r>
    </w:p>
    <w:tbl>
      <w:tblPr>
        <w:tblStyle w:val="11"/>
        <w:tblW w:w="100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947"/>
        <w:gridCol w:w="731"/>
        <w:gridCol w:w="694"/>
        <w:gridCol w:w="60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1947"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名称</w:t>
            </w:r>
          </w:p>
        </w:tc>
        <w:tc>
          <w:tcPr>
            <w:tcW w:w="73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数量</w:t>
            </w:r>
          </w:p>
        </w:tc>
        <w:tc>
          <w:tcPr>
            <w:tcW w:w="694"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单位</w:t>
            </w:r>
          </w:p>
        </w:tc>
        <w:tc>
          <w:tcPr>
            <w:tcW w:w="6029"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（功能或者目标）、质量、安全、技术规格、物理特性等要求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1</w:t>
            </w:r>
          </w:p>
        </w:tc>
        <w:tc>
          <w:tcPr>
            <w:tcW w:w="1947"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大数据工程技术人员实训平台</w:t>
            </w: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（核心产品）</w:t>
            </w:r>
          </w:p>
        </w:tc>
        <w:tc>
          <w:tcPr>
            <w:tcW w:w="73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1</w:t>
            </w:r>
          </w:p>
        </w:tc>
        <w:tc>
          <w:tcPr>
            <w:tcW w:w="694"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项</w:t>
            </w:r>
          </w:p>
        </w:tc>
        <w:tc>
          <w:tcPr>
            <w:tcW w:w="6029" w:type="dxa"/>
            <w:vAlign w:val="center"/>
          </w:tcPr>
          <w:p>
            <w:pPr>
              <w:pStyle w:val="4"/>
              <w:ind w:firstLine="0"/>
              <w:rPr>
                <w:rFonts w:hAnsi="宋体" w:cs="宋体"/>
                <w:b/>
                <w:bCs/>
                <w:color w:val="auto"/>
                <w:sz w:val="21"/>
                <w:szCs w:val="21"/>
                <w:highlight w:val="none"/>
              </w:rPr>
            </w:pPr>
            <w:r>
              <w:rPr>
                <w:rFonts w:hint="eastAsia" w:hAnsi="宋体" w:cs="宋体"/>
                <w:b/>
                <w:bCs/>
                <w:color w:val="auto"/>
                <w:sz w:val="21"/>
                <w:szCs w:val="21"/>
                <w:highlight w:val="none"/>
              </w:rPr>
              <w:t>一、实训系统：</w:t>
            </w:r>
          </w:p>
          <w:p>
            <w:pPr>
              <w:pStyle w:val="4"/>
              <w:ind w:firstLine="0"/>
              <w:rPr>
                <w:rFonts w:hAnsi="宋体" w:cs="宋体"/>
                <w:color w:val="auto"/>
                <w:sz w:val="21"/>
                <w:szCs w:val="21"/>
                <w:highlight w:val="none"/>
              </w:rPr>
            </w:pPr>
            <w:r>
              <w:rPr>
                <w:rFonts w:hint="eastAsia" w:hAnsi="宋体" w:cs="宋体"/>
                <w:color w:val="auto"/>
                <w:sz w:val="21"/>
                <w:szCs w:val="21"/>
                <w:highlight w:val="none"/>
              </w:rPr>
              <w:t>1.系统要求以先进的容器化技术为基础，借助容器治理技术，提供秒级启动、故障自恢复、信息安全隔离、快速干净清理、可伸缩、便于升级等能力，实现高效便捷管理实训环境；</w:t>
            </w:r>
          </w:p>
          <w:p>
            <w:pPr>
              <w:pStyle w:val="4"/>
              <w:ind w:firstLine="0"/>
              <w:rPr>
                <w:rFonts w:hAnsi="宋体" w:cs="宋体"/>
                <w:color w:val="auto"/>
                <w:sz w:val="21"/>
                <w:szCs w:val="21"/>
                <w:highlight w:val="none"/>
              </w:rPr>
            </w:pPr>
            <w:r>
              <w:rPr>
                <w:rFonts w:hint="eastAsia" w:hAnsi="宋体" w:cs="宋体"/>
                <w:color w:val="auto"/>
                <w:sz w:val="21"/>
                <w:szCs w:val="21"/>
                <w:highlight w:val="none"/>
              </w:rPr>
              <w:t>2.系统须提供实训环境的动态创建功能，支持平台资源的动态管理；</w:t>
            </w:r>
          </w:p>
          <w:p>
            <w:pPr>
              <w:pStyle w:val="4"/>
              <w:ind w:firstLine="0"/>
              <w:rPr>
                <w:rFonts w:hAnsi="宋体" w:cs="宋体"/>
                <w:color w:val="auto"/>
                <w:sz w:val="21"/>
                <w:szCs w:val="21"/>
                <w:highlight w:val="none"/>
              </w:rPr>
            </w:pPr>
            <w:r>
              <w:rPr>
                <w:rFonts w:hint="eastAsia" w:hAnsi="宋体" w:cs="宋体"/>
                <w:color w:val="auto"/>
                <w:sz w:val="21"/>
                <w:szCs w:val="21"/>
                <w:highlight w:val="none"/>
              </w:rPr>
              <w:t>3.系统须提供快速进入实训环境功能，支持不超过1秒进入实训环境能力；</w:t>
            </w:r>
          </w:p>
          <w:p>
            <w:pPr>
              <w:pStyle w:val="4"/>
              <w:ind w:firstLine="0"/>
              <w:rPr>
                <w:rFonts w:hAnsi="宋体" w:cs="宋体"/>
                <w:color w:val="auto"/>
                <w:sz w:val="21"/>
                <w:szCs w:val="21"/>
                <w:highlight w:val="none"/>
              </w:rPr>
            </w:pPr>
            <w:r>
              <w:rPr>
                <w:rFonts w:hint="eastAsia" w:hAnsi="宋体" w:cs="宋体"/>
                <w:color w:val="auto"/>
                <w:sz w:val="21"/>
                <w:szCs w:val="21"/>
                <w:highlight w:val="none"/>
              </w:rPr>
              <w:t>4.系统须支持服务器节点数的后续扩容，实现支持更多的用户进行并发实训操作；</w:t>
            </w:r>
          </w:p>
          <w:p>
            <w:pPr>
              <w:pStyle w:val="4"/>
              <w:ind w:firstLine="0"/>
              <w:rPr>
                <w:rFonts w:hAnsi="宋体" w:cs="宋体"/>
                <w:color w:val="auto"/>
                <w:sz w:val="21"/>
                <w:szCs w:val="21"/>
                <w:highlight w:val="none"/>
              </w:rPr>
            </w:pPr>
            <w:r>
              <w:rPr>
                <w:rFonts w:hint="eastAsia" w:hAnsi="宋体" w:cs="宋体"/>
                <w:color w:val="auto"/>
                <w:sz w:val="21"/>
                <w:szCs w:val="21"/>
                <w:highlight w:val="none"/>
              </w:rPr>
              <w:t>5.系统须提供B/S架构，前后端以及内部各模块间都采用Restful接口交换数据；</w:t>
            </w:r>
          </w:p>
          <w:p>
            <w:pPr>
              <w:pStyle w:val="4"/>
              <w:ind w:firstLine="0"/>
              <w:rPr>
                <w:rFonts w:hAnsi="宋体" w:cs="宋体"/>
                <w:color w:val="auto"/>
                <w:sz w:val="21"/>
                <w:szCs w:val="21"/>
                <w:highlight w:val="none"/>
              </w:rPr>
            </w:pPr>
            <w:r>
              <w:rPr>
                <w:rFonts w:hint="eastAsia" w:hAnsi="宋体" w:cs="宋体"/>
                <w:color w:val="auto"/>
                <w:sz w:val="21"/>
                <w:szCs w:val="21"/>
                <w:highlight w:val="none"/>
              </w:rPr>
              <w:t>6.安全性：系统须支持权限隔离，保护用户数据私密性；</w:t>
            </w:r>
          </w:p>
          <w:p>
            <w:pPr>
              <w:pStyle w:val="4"/>
              <w:ind w:firstLine="0"/>
              <w:rPr>
                <w:rFonts w:hAnsi="宋体" w:cs="宋体"/>
                <w:color w:val="auto"/>
                <w:sz w:val="21"/>
                <w:szCs w:val="21"/>
                <w:highlight w:val="none"/>
              </w:rPr>
            </w:pPr>
            <w:r>
              <w:rPr>
                <w:rFonts w:hint="eastAsia" w:hAnsi="宋体" w:cs="宋体"/>
                <w:color w:val="auto"/>
                <w:sz w:val="21"/>
                <w:szCs w:val="21"/>
                <w:highlight w:val="none"/>
              </w:rPr>
              <w:t>7.系统须具有可靠的数据存储和恢复能力，多节点冗余架构设计，性能随节点数量的增加而线性增加，支持多节点自动负载均衡及故障转移；</w:t>
            </w:r>
          </w:p>
          <w:p>
            <w:pPr>
              <w:pStyle w:val="4"/>
              <w:ind w:firstLine="0"/>
              <w:rPr>
                <w:rFonts w:hAnsi="宋体" w:cs="宋体"/>
                <w:color w:val="auto"/>
                <w:sz w:val="21"/>
                <w:szCs w:val="21"/>
                <w:highlight w:val="none"/>
              </w:rPr>
            </w:pPr>
            <w:r>
              <w:rPr>
                <w:rFonts w:hint="eastAsia" w:hAnsi="宋体" w:cs="宋体"/>
                <w:color w:val="auto"/>
                <w:sz w:val="21"/>
                <w:szCs w:val="21"/>
                <w:highlight w:val="none"/>
              </w:rPr>
              <w:t>8.系统须提供应用全生命周期管理，支持自动释放用户多余的应用空间；</w:t>
            </w:r>
          </w:p>
          <w:p>
            <w:pPr>
              <w:pStyle w:val="4"/>
              <w:ind w:firstLine="0"/>
              <w:rPr>
                <w:rFonts w:hAnsi="宋体" w:cs="宋体"/>
                <w:color w:val="auto"/>
                <w:sz w:val="21"/>
                <w:szCs w:val="21"/>
                <w:highlight w:val="none"/>
              </w:rPr>
            </w:pPr>
            <w:r>
              <w:rPr>
                <w:rFonts w:hint="eastAsia" w:hAnsi="宋体" w:cs="宋体"/>
                <w:color w:val="auto"/>
                <w:sz w:val="21"/>
                <w:szCs w:val="21"/>
                <w:highlight w:val="none"/>
              </w:rPr>
              <w:t>9.系统须支持限制对资源的使用量和并发数；</w:t>
            </w:r>
          </w:p>
          <w:p>
            <w:pPr>
              <w:pStyle w:val="4"/>
              <w:ind w:firstLine="0"/>
              <w:rPr>
                <w:rFonts w:hAnsi="宋体" w:cs="宋体"/>
                <w:color w:val="auto"/>
                <w:sz w:val="21"/>
                <w:szCs w:val="21"/>
                <w:highlight w:val="none"/>
              </w:rPr>
            </w:pPr>
            <w:r>
              <w:rPr>
                <w:rFonts w:hint="eastAsia" w:hAnsi="宋体" w:cs="宋体"/>
                <w:color w:val="auto"/>
                <w:sz w:val="21"/>
                <w:szCs w:val="21"/>
                <w:highlight w:val="none"/>
              </w:rPr>
              <w:t>10.系统须支持实时管控系统和用户的资源使用情况，包括服务器（CPU和内存、网络、存储）、用户并发个数；</w:t>
            </w:r>
          </w:p>
          <w:p>
            <w:pPr>
              <w:pStyle w:val="4"/>
              <w:ind w:firstLine="0"/>
              <w:rPr>
                <w:rFonts w:hAnsi="宋体" w:cs="宋体"/>
                <w:color w:val="auto"/>
                <w:sz w:val="21"/>
                <w:szCs w:val="21"/>
                <w:highlight w:val="none"/>
              </w:rPr>
            </w:pPr>
            <w:r>
              <w:rPr>
                <w:rFonts w:hint="eastAsia" w:hAnsi="宋体" w:cs="宋体"/>
                <w:color w:val="auto"/>
                <w:sz w:val="21"/>
                <w:szCs w:val="21"/>
                <w:highlight w:val="none"/>
              </w:rPr>
              <w:t>11.系统须提供实时的系统资源动态图表；</w:t>
            </w:r>
          </w:p>
          <w:p>
            <w:pPr>
              <w:pStyle w:val="4"/>
              <w:ind w:firstLine="0"/>
              <w:rPr>
                <w:rFonts w:hAnsi="宋体" w:cs="宋体"/>
                <w:color w:val="auto"/>
                <w:sz w:val="21"/>
                <w:szCs w:val="21"/>
                <w:highlight w:val="none"/>
              </w:rPr>
            </w:pPr>
            <w:r>
              <w:rPr>
                <w:rFonts w:hint="eastAsia" w:hAnsi="宋体" w:cs="宋体"/>
                <w:color w:val="auto"/>
                <w:sz w:val="21"/>
                <w:szCs w:val="21"/>
                <w:highlight w:val="none"/>
              </w:rPr>
              <w:t>12.系统须提供学生账号、教师账号、管理员账号的登录功能，支持账号验证且只允许用户单点登录平台；</w:t>
            </w:r>
          </w:p>
          <w:p>
            <w:pPr>
              <w:pStyle w:val="4"/>
              <w:ind w:firstLine="0"/>
              <w:rPr>
                <w:rFonts w:hAnsi="宋体" w:cs="宋体"/>
                <w:color w:val="auto"/>
                <w:sz w:val="21"/>
                <w:szCs w:val="21"/>
                <w:highlight w:val="none"/>
              </w:rPr>
            </w:pPr>
            <w:r>
              <w:rPr>
                <w:rFonts w:hint="eastAsia" w:hAnsi="宋体" w:cs="宋体"/>
                <w:color w:val="auto"/>
                <w:sz w:val="21"/>
                <w:szCs w:val="21"/>
                <w:highlight w:val="none"/>
              </w:rPr>
              <w:t>13.系统须提供实训查询、实训列表、实训详情查看的功能；</w:t>
            </w:r>
          </w:p>
          <w:p>
            <w:pPr>
              <w:pStyle w:val="4"/>
              <w:ind w:firstLine="0"/>
              <w:rPr>
                <w:rFonts w:hAnsi="宋体" w:cs="宋体"/>
                <w:color w:val="auto"/>
                <w:sz w:val="21"/>
                <w:szCs w:val="21"/>
                <w:highlight w:val="none"/>
              </w:rPr>
            </w:pPr>
            <w:r>
              <w:rPr>
                <w:rFonts w:hint="eastAsia" w:hAnsi="宋体" w:cs="宋体"/>
                <w:color w:val="auto"/>
                <w:sz w:val="21"/>
                <w:szCs w:val="21"/>
                <w:highlight w:val="none"/>
              </w:rPr>
              <w:t>14.系统须提供根据不同实训类别进行实训筛选功能，实训类别是基于标签（包括最新、最热、已完成、未完成等标签）进行实训分类；</w:t>
            </w:r>
          </w:p>
          <w:p>
            <w:pPr>
              <w:pStyle w:val="4"/>
              <w:ind w:firstLine="0"/>
              <w:rPr>
                <w:rFonts w:hAnsi="宋体" w:cs="宋体"/>
                <w:color w:val="auto"/>
                <w:sz w:val="21"/>
                <w:szCs w:val="21"/>
                <w:highlight w:val="none"/>
              </w:rPr>
            </w:pPr>
            <w:r>
              <w:rPr>
                <w:rFonts w:hint="eastAsia" w:hAnsi="宋体" w:cs="宋体"/>
                <w:color w:val="auto"/>
                <w:sz w:val="21"/>
                <w:szCs w:val="21"/>
                <w:highlight w:val="none"/>
              </w:rPr>
              <w:t>15.系统须提供每个实训对应的实训环境，并提供进入实训环境的实训按钮；</w:t>
            </w:r>
          </w:p>
          <w:p>
            <w:pPr>
              <w:pStyle w:val="4"/>
              <w:ind w:firstLine="0"/>
              <w:rPr>
                <w:rFonts w:hAnsi="宋体" w:cs="宋体"/>
                <w:color w:val="auto"/>
                <w:sz w:val="21"/>
                <w:szCs w:val="21"/>
                <w:highlight w:val="none"/>
              </w:rPr>
            </w:pPr>
            <w:r>
              <w:rPr>
                <w:rFonts w:hint="eastAsia" w:hAnsi="宋体" w:cs="宋体"/>
                <w:color w:val="auto"/>
                <w:sz w:val="21"/>
                <w:szCs w:val="21"/>
                <w:highlight w:val="none"/>
              </w:rPr>
              <w:t>16.系统须提供学员实训情况统计功能；</w:t>
            </w:r>
          </w:p>
          <w:p>
            <w:pPr>
              <w:pStyle w:val="4"/>
              <w:ind w:firstLine="0"/>
              <w:rPr>
                <w:rFonts w:hAnsi="宋体" w:cs="宋体"/>
                <w:color w:val="auto"/>
                <w:sz w:val="21"/>
                <w:szCs w:val="21"/>
                <w:highlight w:val="none"/>
              </w:rPr>
            </w:pPr>
            <w:r>
              <w:rPr>
                <w:rFonts w:hint="eastAsia" w:hAnsi="宋体" w:cs="宋体"/>
                <w:color w:val="auto"/>
                <w:sz w:val="21"/>
                <w:szCs w:val="21"/>
                <w:highlight w:val="none"/>
              </w:rPr>
              <w:t>17.系统须提供实训手册、实训报告、实训操作同屏功能，支持用户全屏查看手册，支持用户全屏实训，支持用户全屏编写报告；</w:t>
            </w:r>
          </w:p>
          <w:p>
            <w:pPr>
              <w:pStyle w:val="4"/>
              <w:ind w:firstLine="0"/>
              <w:rPr>
                <w:rFonts w:hAnsi="宋体" w:cs="宋体"/>
                <w:color w:val="auto"/>
                <w:sz w:val="21"/>
                <w:szCs w:val="21"/>
                <w:highlight w:val="none"/>
              </w:rPr>
            </w:pPr>
            <w:r>
              <w:rPr>
                <w:rFonts w:hint="eastAsia" w:hAnsi="宋体" w:cs="宋体"/>
                <w:color w:val="auto"/>
                <w:sz w:val="21"/>
                <w:szCs w:val="21"/>
                <w:highlight w:val="none"/>
              </w:rPr>
              <w:t>18.系统需要支持用户复制实训手册中的代码段；</w:t>
            </w:r>
          </w:p>
          <w:p>
            <w:pPr>
              <w:pStyle w:val="4"/>
              <w:ind w:firstLine="0"/>
              <w:rPr>
                <w:rFonts w:hAnsi="宋体" w:cs="宋体"/>
                <w:color w:val="auto"/>
                <w:sz w:val="21"/>
                <w:szCs w:val="21"/>
                <w:highlight w:val="none"/>
              </w:rPr>
            </w:pPr>
            <w:r>
              <w:rPr>
                <w:rFonts w:hint="eastAsia" w:hAnsi="宋体" w:cs="宋体"/>
                <w:color w:val="auto"/>
                <w:sz w:val="21"/>
                <w:szCs w:val="21"/>
                <w:highlight w:val="none"/>
              </w:rPr>
              <w:t>19.系统须提供实训操作全局操作功能包括：存档、提交、退出、求助；</w:t>
            </w:r>
          </w:p>
          <w:p>
            <w:pPr>
              <w:pStyle w:val="4"/>
              <w:ind w:firstLine="0"/>
              <w:rPr>
                <w:rFonts w:hAnsi="宋体" w:cs="宋体"/>
                <w:color w:val="auto"/>
                <w:sz w:val="21"/>
                <w:szCs w:val="21"/>
                <w:highlight w:val="none"/>
              </w:rPr>
            </w:pPr>
            <w:r>
              <w:rPr>
                <w:rFonts w:hint="eastAsia" w:hAnsi="宋体" w:cs="宋体"/>
                <w:color w:val="auto"/>
                <w:sz w:val="21"/>
                <w:szCs w:val="21"/>
                <w:highlight w:val="none"/>
              </w:rPr>
              <w:t>20.系统须支持用户撰写实训报告，实训报告提供图片库、代码库、保存、预览、全屏的功能，支持图片、文字、代码、表格的输入。插入的图片只能是实训环境截图的图片，保证报告真实性；</w:t>
            </w:r>
          </w:p>
          <w:p>
            <w:pPr>
              <w:pStyle w:val="4"/>
              <w:ind w:firstLine="0"/>
              <w:rPr>
                <w:rFonts w:hAnsi="宋体" w:cs="宋体"/>
                <w:color w:val="auto"/>
                <w:sz w:val="21"/>
                <w:szCs w:val="21"/>
                <w:highlight w:val="none"/>
              </w:rPr>
            </w:pPr>
            <w:r>
              <w:rPr>
                <w:rFonts w:hint="eastAsia" w:hAnsi="宋体" w:cs="宋体"/>
                <w:color w:val="auto"/>
                <w:sz w:val="21"/>
                <w:szCs w:val="21"/>
                <w:highlight w:val="none"/>
              </w:rPr>
              <w:t>21.系统须提供终端和桌面切换功能，进入虚机默认展示终端，支持切换到图形化页面；切换时间不超过3秒；</w:t>
            </w:r>
          </w:p>
          <w:p>
            <w:pPr>
              <w:pStyle w:val="4"/>
              <w:ind w:firstLine="0"/>
              <w:rPr>
                <w:rFonts w:hAnsi="宋体" w:cs="宋体"/>
                <w:color w:val="auto"/>
                <w:sz w:val="21"/>
                <w:szCs w:val="21"/>
                <w:highlight w:val="none"/>
              </w:rPr>
            </w:pPr>
            <w:r>
              <w:rPr>
                <w:rFonts w:hint="eastAsia" w:hAnsi="宋体" w:cs="宋体"/>
                <w:color w:val="auto"/>
                <w:sz w:val="21"/>
                <w:szCs w:val="21"/>
                <w:highlight w:val="none"/>
              </w:rPr>
              <w:t>22.系统须提供模拟考试功能，支持用户进行模拟考试；</w:t>
            </w:r>
          </w:p>
          <w:p>
            <w:pPr>
              <w:pStyle w:val="4"/>
              <w:ind w:firstLine="0"/>
              <w:rPr>
                <w:rFonts w:hAnsi="宋体" w:cs="宋体"/>
                <w:color w:val="auto"/>
                <w:sz w:val="21"/>
                <w:szCs w:val="21"/>
                <w:highlight w:val="none"/>
              </w:rPr>
            </w:pPr>
            <w:r>
              <w:rPr>
                <w:rFonts w:hint="eastAsia" w:hAnsi="宋体" w:cs="宋体"/>
                <w:color w:val="auto"/>
                <w:sz w:val="21"/>
                <w:szCs w:val="21"/>
                <w:highlight w:val="none"/>
              </w:rPr>
              <w:t>23.系统须提供模拟考试信息介绍及模拟考试入口；</w:t>
            </w:r>
          </w:p>
          <w:p>
            <w:pPr>
              <w:pStyle w:val="4"/>
              <w:ind w:firstLine="0"/>
              <w:rPr>
                <w:rFonts w:hAnsi="宋体" w:cs="宋体"/>
                <w:color w:val="auto"/>
                <w:sz w:val="21"/>
                <w:szCs w:val="21"/>
                <w:highlight w:val="none"/>
              </w:rPr>
            </w:pPr>
            <w:r>
              <w:rPr>
                <w:rFonts w:hint="eastAsia" w:hAnsi="宋体" w:cs="宋体"/>
                <w:color w:val="auto"/>
                <w:sz w:val="21"/>
                <w:szCs w:val="21"/>
                <w:highlight w:val="none"/>
              </w:rPr>
              <w:t>24.系统须提供模拟考试题目、模拟考试报告、模拟考试操作功能；</w:t>
            </w:r>
          </w:p>
          <w:p>
            <w:pPr>
              <w:pStyle w:val="4"/>
              <w:ind w:firstLine="0"/>
              <w:rPr>
                <w:rFonts w:hAnsi="宋体" w:cs="宋体"/>
                <w:color w:val="auto"/>
                <w:sz w:val="21"/>
                <w:szCs w:val="21"/>
                <w:highlight w:val="none"/>
              </w:rPr>
            </w:pPr>
            <w:r>
              <w:rPr>
                <w:rFonts w:hint="eastAsia" w:hAnsi="宋体" w:cs="宋体"/>
                <w:color w:val="auto"/>
                <w:sz w:val="21"/>
                <w:szCs w:val="21"/>
                <w:highlight w:val="none"/>
              </w:rPr>
              <w:t>25.系统须提供模拟考试实训操作全局操作功能包括：提交、退出；</w:t>
            </w:r>
          </w:p>
          <w:p>
            <w:pPr>
              <w:pStyle w:val="4"/>
              <w:ind w:firstLine="0"/>
              <w:rPr>
                <w:rFonts w:hAnsi="宋体" w:cs="宋体"/>
                <w:color w:val="auto"/>
                <w:sz w:val="21"/>
                <w:szCs w:val="21"/>
                <w:highlight w:val="none"/>
              </w:rPr>
            </w:pPr>
            <w:r>
              <w:rPr>
                <w:rFonts w:hint="eastAsia" w:hAnsi="宋体" w:cs="宋体"/>
                <w:color w:val="auto"/>
                <w:sz w:val="21"/>
                <w:szCs w:val="21"/>
                <w:highlight w:val="none"/>
              </w:rPr>
              <w:t>26.系统须提供教师查看并批阅学生提交的实训报告、考试报告，支持下载报告；支持录入分数和评语；</w:t>
            </w:r>
          </w:p>
          <w:p>
            <w:pPr>
              <w:pStyle w:val="4"/>
              <w:ind w:firstLine="0"/>
              <w:rPr>
                <w:rFonts w:hAnsi="宋体" w:cs="宋体"/>
                <w:color w:val="auto"/>
                <w:sz w:val="21"/>
                <w:szCs w:val="21"/>
                <w:highlight w:val="none"/>
              </w:rPr>
            </w:pPr>
            <w:r>
              <w:rPr>
                <w:rFonts w:hint="eastAsia" w:hAnsi="宋体" w:cs="宋体"/>
                <w:color w:val="auto"/>
                <w:sz w:val="21"/>
                <w:szCs w:val="21"/>
                <w:highlight w:val="none"/>
              </w:rPr>
              <w:t>27.系统须提供实训操作过程中异常退出（包括手动误关闭浏览器退出、本机断电自动退出、系统性能不稳定卡住退出、本机断网自动退出等异常情况）后可再次进入同一实训环境的功能；</w:t>
            </w:r>
          </w:p>
          <w:p>
            <w:pPr>
              <w:pStyle w:val="4"/>
              <w:ind w:firstLine="0"/>
              <w:rPr>
                <w:rFonts w:hAnsi="宋体" w:cs="宋体"/>
                <w:color w:val="auto"/>
                <w:sz w:val="21"/>
                <w:szCs w:val="21"/>
                <w:highlight w:val="none"/>
              </w:rPr>
            </w:pPr>
            <w:r>
              <w:rPr>
                <w:rFonts w:hint="eastAsia" w:hAnsi="宋体" w:cs="宋体"/>
                <w:color w:val="auto"/>
                <w:sz w:val="21"/>
                <w:szCs w:val="21"/>
                <w:highlight w:val="none"/>
              </w:rPr>
              <w:t>28.系统须支持用户点击进入实训节点打开图形化桌面；</w:t>
            </w:r>
          </w:p>
          <w:p>
            <w:pPr>
              <w:pStyle w:val="4"/>
              <w:ind w:firstLine="0"/>
              <w:rPr>
                <w:rFonts w:hAnsi="宋体" w:cs="宋体"/>
                <w:color w:val="auto"/>
                <w:sz w:val="21"/>
                <w:szCs w:val="21"/>
                <w:highlight w:val="none"/>
              </w:rPr>
            </w:pPr>
            <w:r>
              <w:rPr>
                <w:rFonts w:hint="eastAsia" w:hAnsi="宋体" w:cs="宋体"/>
                <w:color w:val="auto"/>
                <w:sz w:val="21"/>
                <w:szCs w:val="21"/>
                <w:highlight w:val="none"/>
              </w:rPr>
              <w:t>29.系统须提供实训评测功能，支持系统判断学生实训操作是否正确，允许学生、教师查看实训评测结果；</w:t>
            </w:r>
          </w:p>
          <w:p>
            <w:pPr>
              <w:pStyle w:val="4"/>
              <w:ind w:firstLine="0"/>
              <w:rPr>
                <w:rFonts w:hAnsi="宋体" w:cs="宋体"/>
                <w:color w:val="auto"/>
                <w:sz w:val="21"/>
                <w:szCs w:val="21"/>
                <w:highlight w:val="none"/>
              </w:rPr>
            </w:pPr>
            <w:r>
              <w:rPr>
                <w:rFonts w:hint="eastAsia" w:hAnsi="宋体" w:cs="宋体"/>
                <w:color w:val="auto"/>
                <w:sz w:val="21"/>
                <w:szCs w:val="21"/>
                <w:highlight w:val="none"/>
              </w:rPr>
              <w:t>30.系统须提供实训环境的全屏、粘贴、截图、刷新操作，允许将本地代码粘贴到实训环境中进行代码的执行；</w:t>
            </w:r>
          </w:p>
          <w:p>
            <w:pPr>
              <w:pStyle w:val="4"/>
              <w:ind w:firstLine="0"/>
              <w:rPr>
                <w:rFonts w:hAnsi="宋体" w:cs="宋体"/>
                <w:color w:val="auto"/>
                <w:sz w:val="21"/>
                <w:szCs w:val="21"/>
                <w:highlight w:val="none"/>
              </w:rPr>
            </w:pPr>
            <w:r>
              <w:rPr>
                <w:rFonts w:hint="eastAsia" w:hAnsi="宋体" w:cs="宋体"/>
                <w:color w:val="auto"/>
                <w:sz w:val="21"/>
                <w:szCs w:val="21"/>
                <w:highlight w:val="none"/>
              </w:rPr>
              <w:t>31.系统须提供实训环境预启动功能，能够后台静默批量启动实验镜像环境；</w:t>
            </w:r>
          </w:p>
          <w:p>
            <w:pPr>
              <w:pStyle w:val="4"/>
              <w:ind w:firstLine="0"/>
              <w:rPr>
                <w:rFonts w:hAnsi="宋体" w:cs="宋体"/>
                <w:color w:val="auto"/>
                <w:sz w:val="21"/>
                <w:szCs w:val="21"/>
                <w:highlight w:val="none"/>
              </w:rPr>
            </w:pPr>
            <w:r>
              <w:rPr>
                <w:rFonts w:hint="eastAsia" w:hAnsi="宋体" w:cs="宋体"/>
                <w:color w:val="auto"/>
                <w:sz w:val="21"/>
                <w:szCs w:val="21"/>
                <w:highlight w:val="none"/>
              </w:rPr>
              <w:t>32.系统须提供管理员手动重启、关闭特定实训环境的功能。</w:t>
            </w:r>
          </w:p>
          <w:p>
            <w:pPr>
              <w:pStyle w:val="4"/>
              <w:ind w:firstLine="0"/>
              <w:rPr>
                <w:rFonts w:hAnsi="宋体" w:cs="宋体"/>
                <w:b/>
                <w:bCs/>
                <w:color w:val="auto"/>
                <w:sz w:val="21"/>
                <w:szCs w:val="21"/>
                <w:highlight w:val="none"/>
              </w:rPr>
            </w:pPr>
            <w:r>
              <w:rPr>
                <w:rFonts w:hint="eastAsia" w:hAnsi="宋体" w:cs="宋体"/>
                <w:b/>
                <w:bCs/>
                <w:color w:val="auto"/>
                <w:sz w:val="21"/>
                <w:szCs w:val="21"/>
                <w:highlight w:val="none"/>
              </w:rPr>
              <w:t>二、数据采集中间平台——AIOT云平台：</w:t>
            </w:r>
          </w:p>
          <w:p>
            <w:pPr>
              <w:pStyle w:val="4"/>
              <w:ind w:firstLine="0"/>
              <w:rPr>
                <w:rFonts w:hAnsi="宋体" w:cs="宋体"/>
                <w:color w:val="auto"/>
                <w:sz w:val="21"/>
                <w:szCs w:val="21"/>
                <w:highlight w:val="none"/>
              </w:rPr>
            </w:pPr>
            <w:r>
              <w:rPr>
                <w:rFonts w:hint="eastAsia" w:hAnsi="宋体" w:cs="宋体"/>
                <w:color w:val="auto"/>
                <w:sz w:val="21"/>
                <w:szCs w:val="21"/>
                <w:highlight w:val="none"/>
              </w:rPr>
              <w:t>1.具备项目管理功能，提供定制化的项目中心集中管理；</w:t>
            </w:r>
          </w:p>
          <w:p>
            <w:pPr>
              <w:pStyle w:val="4"/>
              <w:ind w:firstLine="0"/>
              <w:rPr>
                <w:rFonts w:hAnsi="宋体" w:cs="宋体"/>
                <w:color w:val="auto"/>
                <w:sz w:val="21"/>
                <w:szCs w:val="21"/>
                <w:highlight w:val="none"/>
              </w:rPr>
            </w:pPr>
            <w:r>
              <w:rPr>
                <w:rFonts w:hint="eastAsia" w:hAnsi="宋体" w:cs="宋体"/>
                <w:color w:val="auto"/>
                <w:sz w:val="21"/>
                <w:szCs w:val="21"/>
                <w:highlight w:val="none"/>
              </w:rPr>
              <w:t>2.支持物联网SAAS项目的新建并支持授权API的自动生成功能；</w:t>
            </w:r>
          </w:p>
          <w:p>
            <w:pPr>
              <w:pStyle w:val="4"/>
              <w:ind w:firstLine="0"/>
              <w:rPr>
                <w:rFonts w:hAnsi="宋体" w:cs="宋体"/>
                <w:color w:val="auto"/>
                <w:sz w:val="21"/>
                <w:szCs w:val="21"/>
                <w:highlight w:val="none"/>
              </w:rPr>
            </w:pPr>
            <w:r>
              <w:rPr>
                <w:rFonts w:hint="eastAsia" w:hAnsi="宋体" w:cs="宋体"/>
                <w:color w:val="auto"/>
                <w:sz w:val="21"/>
                <w:szCs w:val="21"/>
                <w:highlight w:val="none"/>
              </w:rPr>
              <w:t>3.支持物联网云网关的配置，支持云网关的设备管理、编辑等功能；</w:t>
            </w:r>
          </w:p>
          <w:p>
            <w:pPr>
              <w:pStyle w:val="4"/>
              <w:ind w:firstLine="0"/>
              <w:rPr>
                <w:rFonts w:hAnsi="宋体" w:cs="宋体"/>
                <w:color w:val="auto"/>
                <w:sz w:val="21"/>
                <w:szCs w:val="21"/>
                <w:highlight w:val="none"/>
              </w:rPr>
            </w:pPr>
            <w:r>
              <w:rPr>
                <w:rFonts w:hint="eastAsia" w:hAnsi="宋体" w:cs="宋体"/>
                <w:color w:val="auto"/>
                <w:sz w:val="21"/>
                <w:szCs w:val="21"/>
                <w:highlight w:val="none"/>
              </w:rPr>
              <w:t>4.云平台与物联网项目云网关之间的心跳轮询时间可在3-15S之间灵活设置；</w:t>
            </w:r>
          </w:p>
          <w:p>
            <w:pPr>
              <w:pStyle w:val="4"/>
              <w:ind w:firstLine="0"/>
              <w:rPr>
                <w:rFonts w:hAnsi="宋体" w:cs="宋体"/>
                <w:color w:val="auto"/>
                <w:sz w:val="21"/>
                <w:szCs w:val="21"/>
                <w:highlight w:val="none"/>
              </w:rPr>
            </w:pPr>
            <w:r>
              <w:rPr>
                <w:rFonts w:hint="eastAsia" w:hAnsi="宋体" w:cs="宋体"/>
                <w:color w:val="auto"/>
                <w:sz w:val="21"/>
                <w:szCs w:val="21"/>
                <w:highlight w:val="none"/>
              </w:rPr>
              <w:t>5.兼容行业中常见的物联网功能节点，至少支持数字量Modbus、模拟量Modbus及Zigbee无线传输类型的节点管理；</w:t>
            </w:r>
          </w:p>
          <w:p>
            <w:pPr>
              <w:pStyle w:val="4"/>
              <w:ind w:firstLine="0"/>
              <w:rPr>
                <w:rFonts w:hAnsi="宋体" w:cs="宋体"/>
                <w:color w:val="auto"/>
                <w:sz w:val="21"/>
                <w:szCs w:val="21"/>
                <w:highlight w:val="none"/>
              </w:rPr>
            </w:pPr>
            <w:r>
              <w:rPr>
                <w:rFonts w:hint="eastAsia" w:hAnsi="宋体" w:cs="宋体"/>
                <w:color w:val="auto"/>
                <w:sz w:val="21"/>
                <w:szCs w:val="21"/>
                <w:highlight w:val="none"/>
              </w:rPr>
              <w:t>6.支持至少15种以上常用传感器节点，支持温度、湿度、水温、二氧化碳、光照、风速、大气压力、空气质量、可燃气体、火焰、红外对射传感器等；</w:t>
            </w:r>
          </w:p>
          <w:p>
            <w:pPr>
              <w:pStyle w:val="4"/>
              <w:ind w:firstLine="0"/>
              <w:rPr>
                <w:rFonts w:hAnsi="宋体" w:cs="宋体"/>
                <w:color w:val="auto"/>
                <w:sz w:val="21"/>
                <w:szCs w:val="21"/>
                <w:highlight w:val="none"/>
              </w:rPr>
            </w:pPr>
            <w:r>
              <w:rPr>
                <w:rFonts w:hint="eastAsia" w:hAnsi="宋体" w:cs="宋体"/>
                <w:color w:val="auto"/>
                <w:sz w:val="21"/>
                <w:szCs w:val="21"/>
                <w:highlight w:val="none"/>
              </w:rPr>
              <w:t>7.同时支持手动与默认的物联网节点配置方案，提供至少一种默认节点配置方案；</w:t>
            </w:r>
          </w:p>
          <w:p>
            <w:pPr>
              <w:pStyle w:val="4"/>
              <w:ind w:firstLine="0"/>
              <w:rPr>
                <w:rFonts w:hAnsi="宋体" w:cs="宋体"/>
                <w:color w:val="auto"/>
                <w:sz w:val="21"/>
                <w:szCs w:val="21"/>
                <w:highlight w:val="none"/>
              </w:rPr>
            </w:pPr>
            <w:r>
              <w:rPr>
                <w:rFonts w:hint="eastAsia" w:hAnsi="宋体" w:cs="宋体"/>
                <w:color w:val="auto"/>
                <w:sz w:val="21"/>
                <w:szCs w:val="21"/>
                <w:highlight w:val="none"/>
              </w:rPr>
              <w:t>8.支持物联网节点的状态查询并按需控制。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2</w:t>
            </w:r>
          </w:p>
        </w:tc>
        <w:tc>
          <w:tcPr>
            <w:tcW w:w="1947"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大数据工程技术人员实训资源（初级）</w:t>
            </w:r>
          </w:p>
        </w:tc>
        <w:tc>
          <w:tcPr>
            <w:tcW w:w="73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1</w:t>
            </w:r>
          </w:p>
        </w:tc>
        <w:tc>
          <w:tcPr>
            <w:tcW w:w="694"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项</w:t>
            </w:r>
          </w:p>
        </w:tc>
        <w:tc>
          <w:tcPr>
            <w:tcW w:w="6029" w:type="dxa"/>
            <w:vAlign w:val="center"/>
          </w:tcPr>
          <w:p>
            <w:pPr>
              <w:pStyle w:val="4"/>
              <w:ind w:firstLine="0"/>
              <w:rPr>
                <w:rFonts w:hAnsi="宋体" w:cs="宋体"/>
                <w:color w:val="auto"/>
                <w:sz w:val="21"/>
                <w:szCs w:val="21"/>
                <w:highlight w:val="none"/>
              </w:rPr>
            </w:pPr>
            <w:r>
              <w:rPr>
                <w:rFonts w:hint="eastAsia" w:hAnsi="宋体" w:cs="宋体"/>
                <w:color w:val="auto"/>
                <w:sz w:val="21"/>
                <w:szCs w:val="21"/>
                <w:highlight w:val="none"/>
              </w:rPr>
              <w:t>1.须提供基于大数据工程实训平台的实训案例，能够支撑大数据工程技术人员初级相关的实训教学，包括系统搭建、数据处理、数据分析、数据管理等案例，包含大数据服务器系统搭建、大数据存储系统搭建、大数据作业开发系统搭建、大数据传输系统搭建、大数据查询系统搭建、大数据安全系统搭建、网络数据处理、离线数据处理、实时数据处理、交互式数据处理、数据检索、BI数据分析、数据统计分析、数据挖掘、数据可视化、元数据管理等16个实验，须提供对应的包括实训环境、数据、实验代码、实训手册、教学课件等资源；</w:t>
            </w:r>
          </w:p>
          <w:p>
            <w:pPr>
              <w:pStyle w:val="4"/>
              <w:ind w:firstLine="0"/>
              <w:rPr>
                <w:rFonts w:hAnsi="宋体" w:cs="宋体"/>
                <w:color w:val="auto"/>
                <w:sz w:val="21"/>
                <w:szCs w:val="21"/>
                <w:highlight w:val="none"/>
              </w:rPr>
            </w:pPr>
            <w:r>
              <w:rPr>
                <w:rFonts w:hint="eastAsia" w:hAnsi="宋体" w:cs="宋体"/>
                <w:color w:val="auto"/>
                <w:sz w:val="21"/>
                <w:szCs w:val="21"/>
                <w:highlight w:val="none"/>
              </w:rPr>
              <w:t>2.《大数据存储系统搭建》实训案例中非关系型数据库和关系型数据仓库的操作须使用HBASE、hive、HDFS等相关组件；</w:t>
            </w:r>
          </w:p>
          <w:p>
            <w:pPr>
              <w:pStyle w:val="4"/>
              <w:ind w:firstLine="0"/>
              <w:rPr>
                <w:rFonts w:hAnsi="宋体" w:cs="宋体"/>
                <w:color w:val="auto"/>
                <w:sz w:val="21"/>
                <w:szCs w:val="21"/>
                <w:highlight w:val="none"/>
              </w:rPr>
            </w:pPr>
            <w:r>
              <w:rPr>
                <w:rFonts w:hint="eastAsia" w:hAnsi="宋体" w:cs="宋体"/>
                <w:color w:val="auto"/>
                <w:sz w:val="21"/>
                <w:szCs w:val="21"/>
                <w:highlight w:val="none"/>
              </w:rPr>
              <w:t>3.《大数据作业开发系统搭建》和《大数据服务器系统搭建》实训案例须提供zabbix服务组件实现系统资源监控功能；</w:t>
            </w:r>
          </w:p>
          <w:p>
            <w:pPr>
              <w:pStyle w:val="4"/>
              <w:ind w:firstLine="0"/>
              <w:rPr>
                <w:rFonts w:hAnsi="宋体" w:cs="宋体"/>
                <w:color w:val="auto"/>
                <w:sz w:val="21"/>
                <w:szCs w:val="21"/>
                <w:highlight w:val="none"/>
              </w:rPr>
            </w:pPr>
            <w:r>
              <w:rPr>
                <w:rFonts w:hint="eastAsia" w:hAnsi="宋体" w:cs="宋体"/>
                <w:color w:val="auto"/>
                <w:sz w:val="21"/>
                <w:szCs w:val="21"/>
                <w:highlight w:val="none"/>
              </w:rPr>
              <w:t>4.《大数据传输系统搭建》实训案例须支持kafka、flume、SQOOP等相关服务组件的安装以及配置功能；</w:t>
            </w:r>
          </w:p>
          <w:p>
            <w:pPr>
              <w:pStyle w:val="4"/>
              <w:ind w:firstLine="0"/>
              <w:rPr>
                <w:rFonts w:hAnsi="宋体" w:cs="宋体"/>
                <w:color w:val="auto"/>
                <w:sz w:val="21"/>
                <w:szCs w:val="21"/>
                <w:highlight w:val="none"/>
              </w:rPr>
            </w:pPr>
            <w:r>
              <w:rPr>
                <w:rFonts w:hint="eastAsia" w:hAnsi="宋体" w:cs="宋体"/>
                <w:color w:val="auto"/>
                <w:sz w:val="21"/>
                <w:szCs w:val="21"/>
                <w:highlight w:val="none"/>
              </w:rPr>
              <w:t>5.《大数据查询系统搭建》实训案例须支持trino服务配置、支持kylin以及druid服务组件；</w:t>
            </w:r>
          </w:p>
          <w:p>
            <w:pPr>
              <w:pStyle w:val="4"/>
              <w:ind w:firstLine="0"/>
              <w:rPr>
                <w:rFonts w:hAnsi="宋体" w:cs="宋体"/>
                <w:color w:val="auto"/>
                <w:sz w:val="21"/>
                <w:szCs w:val="21"/>
                <w:highlight w:val="none"/>
              </w:rPr>
            </w:pPr>
            <w:r>
              <w:rPr>
                <w:rFonts w:hint="eastAsia" w:hAnsi="宋体" w:cs="宋体"/>
                <w:color w:val="auto"/>
                <w:sz w:val="21"/>
                <w:szCs w:val="21"/>
                <w:highlight w:val="none"/>
              </w:rPr>
              <w:t>6.《大数据安全系统搭建》实训案例安全认证操作须支持kerberos组件，数据访问权限管理操作需要支持ranger组件；</w:t>
            </w:r>
          </w:p>
          <w:p>
            <w:pPr>
              <w:pStyle w:val="4"/>
              <w:ind w:firstLine="0"/>
              <w:rPr>
                <w:rFonts w:hAnsi="宋体" w:cs="宋体"/>
                <w:color w:val="auto"/>
                <w:sz w:val="21"/>
                <w:szCs w:val="21"/>
                <w:highlight w:val="none"/>
              </w:rPr>
            </w:pPr>
            <w:r>
              <w:rPr>
                <w:rFonts w:hint="eastAsia" w:hAnsi="宋体" w:cs="宋体"/>
                <w:color w:val="auto"/>
                <w:sz w:val="21"/>
                <w:szCs w:val="21"/>
                <w:highlight w:val="none"/>
              </w:rPr>
              <w:t>7.《元数据管理》实训案例数据血缘关系查询操作须支持atlas组件，且支持hive元数据的全量以及增量导入；</w:t>
            </w:r>
          </w:p>
          <w:p>
            <w:pPr>
              <w:pStyle w:val="4"/>
              <w:ind w:firstLine="0"/>
              <w:rPr>
                <w:rFonts w:hAnsi="宋体" w:cs="宋体"/>
                <w:color w:val="auto"/>
                <w:sz w:val="21"/>
                <w:szCs w:val="21"/>
                <w:highlight w:val="none"/>
              </w:rPr>
            </w:pPr>
            <w:r>
              <w:rPr>
                <w:rFonts w:hint="eastAsia" w:hAnsi="宋体" w:cs="宋体"/>
                <w:color w:val="auto"/>
                <w:sz w:val="21"/>
                <w:szCs w:val="21"/>
                <w:highlight w:val="none"/>
              </w:rPr>
              <w:t>8.《网络数据处理》实训案例的数据预处理以及数仓实现操作需要使用hive、SQOOP等服务组件；</w:t>
            </w:r>
          </w:p>
          <w:p>
            <w:pPr>
              <w:pStyle w:val="4"/>
              <w:ind w:firstLine="0"/>
              <w:rPr>
                <w:rFonts w:hAnsi="宋体" w:cs="宋体"/>
                <w:color w:val="auto"/>
                <w:sz w:val="21"/>
                <w:szCs w:val="21"/>
                <w:highlight w:val="none"/>
              </w:rPr>
            </w:pPr>
            <w:r>
              <w:rPr>
                <w:rFonts w:hint="eastAsia" w:hAnsi="宋体" w:cs="宋体"/>
                <w:color w:val="auto"/>
                <w:sz w:val="21"/>
                <w:szCs w:val="21"/>
                <w:highlight w:val="none"/>
              </w:rPr>
              <w:t>9.《离线数据处理》实训案例数仓实现操作须支持hive和sqopp服务组件，spark操作须支持sparkSQL以及Spark连接hive等；构建任务流操作时须提供dolphinscheduler组件；</w:t>
            </w:r>
          </w:p>
          <w:p>
            <w:pPr>
              <w:pStyle w:val="4"/>
              <w:ind w:firstLine="0"/>
              <w:rPr>
                <w:rFonts w:hAnsi="宋体" w:cs="宋体"/>
                <w:color w:val="auto"/>
                <w:sz w:val="21"/>
                <w:szCs w:val="21"/>
                <w:highlight w:val="none"/>
              </w:rPr>
            </w:pPr>
            <w:r>
              <w:rPr>
                <w:rFonts w:hint="eastAsia" w:hAnsi="宋体" w:cs="宋体"/>
                <w:color w:val="auto"/>
                <w:sz w:val="21"/>
                <w:szCs w:val="21"/>
                <w:highlight w:val="none"/>
              </w:rPr>
              <w:t>10.《实时数据处理》实训案例Druid的可视化操作需要使用turnilo组件；须支持kafka作为channel和Sink与flume集成；</w:t>
            </w:r>
          </w:p>
          <w:p>
            <w:pPr>
              <w:pStyle w:val="4"/>
              <w:ind w:firstLine="0"/>
              <w:rPr>
                <w:rFonts w:hAnsi="宋体" w:cs="宋体"/>
                <w:color w:val="auto"/>
                <w:sz w:val="21"/>
                <w:szCs w:val="21"/>
                <w:highlight w:val="none"/>
              </w:rPr>
            </w:pPr>
            <w:r>
              <w:rPr>
                <w:rFonts w:hint="eastAsia" w:hAnsi="宋体" w:cs="宋体"/>
                <w:color w:val="auto"/>
                <w:sz w:val="21"/>
                <w:szCs w:val="21"/>
                <w:highlight w:val="none"/>
              </w:rPr>
              <w:t>11.《交互式数据处理》实训案例kylin流式操作需要使用kylin组件，kylin的可视化操作须使用zepplin组件；</w:t>
            </w:r>
          </w:p>
          <w:p>
            <w:pPr>
              <w:pStyle w:val="4"/>
              <w:ind w:firstLine="0"/>
              <w:rPr>
                <w:rFonts w:hAnsi="宋体" w:cs="宋体"/>
                <w:color w:val="auto"/>
                <w:sz w:val="21"/>
                <w:szCs w:val="21"/>
                <w:highlight w:val="none"/>
              </w:rPr>
            </w:pPr>
            <w:r>
              <w:rPr>
                <w:rFonts w:hint="eastAsia" w:hAnsi="宋体" w:cs="宋体"/>
                <w:color w:val="auto"/>
                <w:sz w:val="21"/>
                <w:szCs w:val="21"/>
                <w:highlight w:val="none"/>
              </w:rPr>
              <w:t>12.《基于ElasticSearch的数据检索》实训案例须提供ElasticSearch、logstash、kibana的运行环境，支持IK分词器和pinyin分词器；</w:t>
            </w:r>
          </w:p>
          <w:p>
            <w:pPr>
              <w:pStyle w:val="4"/>
              <w:ind w:firstLine="0"/>
              <w:rPr>
                <w:rFonts w:hAnsi="宋体" w:cs="宋体"/>
                <w:color w:val="auto"/>
                <w:sz w:val="21"/>
                <w:szCs w:val="21"/>
                <w:highlight w:val="none"/>
              </w:rPr>
            </w:pPr>
            <w:r>
              <w:rPr>
                <w:rFonts w:hint="eastAsia" w:hAnsi="宋体" w:cs="宋体"/>
                <w:color w:val="auto"/>
                <w:sz w:val="21"/>
                <w:szCs w:val="21"/>
                <w:highlight w:val="none"/>
              </w:rPr>
              <w:t>13.《数据统计分析》实训案例须提供RStudio的开发工具，支持SparkR的运行环境以及程序开发；</w:t>
            </w:r>
          </w:p>
          <w:p>
            <w:pPr>
              <w:pStyle w:val="4"/>
              <w:ind w:firstLine="0"/>
              <w:rPr>
                <w:rFonts w:hAnsi="宋体" w:cs="宋体"/>
                <w:color w:val="auto"/>
                <w:sz w:val="21"/>
                <w:szCs w:val="21"/>
                <w:highlight w:val="none"/>
              </w:rPr>
            </w:pPr>
            <w:r>
              <w:rPr>
                <w:rFonts w:hint="eastAsia" w:hAnsi="宋体" w:cs="宋体"/>
                <w:color w:val="auto"/>
                <w:sz w:val="21"/>
                <w:szCs w:val="21"/>
                <w:highlight w:val="none"/>
              </w:rPr>
              <w:t>14.《BI数据分析》实训案例BI数据分析操作需要使用Metabase组件；</w:t>
            </w:r>
          </w:p>
          <w:p>
            <w:pPr>
              <w:pStyle w:val="4"/>
              <w:ind w:firstLine="0"/>
              <w:rPr>
                <w:rFonts w:hAnsi="宋体" w:cs="宋体"/>
                <w:color w:val="auto"/>
                <w:sz w:val="21"/>
                <w:szCs w:val="21"/>
                <w:highlight w:val="none"/>
              </w:rPr>
            </w:pPr>
            <w:r>
              <w:rPr>
                <w:rFonts w:hint="eastAsia" w:hAnsi="宋体" w:cs="宋体"/>
                <w:color w:val="auto"/>
                <w:sz w:val="21"/>
                <w:szCs w:val="21"/>
                <w:highlight w:val="none"/>
              </w:rPr>
              <w:t>15.《数据挖掘建模》实训案例须支持pyspark的运行环境，支持pyspark的开发工具jupyter；</w:t>
            </w:r>
          </w:p>
          <w:p>
            <w:pPr>
              <w:pStyle w:val="4"/>
              <w:ind w:firstLine="0"/>
              <w:rPr>
                <w:rFonts w:hAnsi="宋体" w:cs="宋体"/>
                <w:color w:val="auto"/>
                <w:sz w:val="21"/>
                <w:szCs w:val="21"/>
                <w:highlight w:val="none"/>
              </w:rPr>
            </w:pPr>
            <w:r>
              <w:rPr>
                <w:rFonts w:hint="eastAsia" w:hAnsi="宋体" w:cs="宋体"/>
                <w:color w:val="auto"/>
                <w:sz w:val="21"/>
                <w:szCs w:val="21"/>
                <w:highlight w:val="none"/>
              </w:rPr>
              <w:t>16.《数据可视化开发》实训案例数据可视化变成操作需要提供VSCode的开发工具，支持echars开发；</w:t>
            </w:r>
          </w:p>
          <w:p>
            <w:pPr>
              <w:pStyle w:val="4"/>
              <w:ind w:firstLine="0"/>
              <w:rPr>
                <w:rFonts w:hAnsi="宋体" w:cs="宋体"/>
                <w:color w:val="auto"/>
                <w:sz w:val="21"/>
                <w:szCs w:val="21"/>
                <w:highlight w:val="none"/>
              </w:rPr>
            </w:pPr>
            <w:r>
              <w:rPr>
                <w:rFonts w:hint="eastAsia" w:hAnsi="宋体" w:cs="宋体"/>
                <w:color w:val="auto"/>
                <w:sz w:val="21"/>
                <w:szCs w:val="21"/>
                <w:highlight w:val="none"/>
              </w:rPr>
              <w:t>17.数据开发工具须提供语法高亮、SQL语法纠错功能、友好的运行错误码提示和实时的运行日志，并支持作业全生命周期状态展示；</w:t>
            </w:r>
          </w:p>
          <w:p>
            <w:pPr>
              <w:pStyle w:val="4"/>
              <w:ind w:firstLine="0"/>
              <w:rPr>
                <w:rFonts w:hAnsi="宋体" w:cs="宋体"/>
                <w:color w:val="auto"/>
                <w:sz w:val="21"/>
                <w:szCs w:val="21"/>
                <w:highlight w:val="none"/>
              </w:rPr>
            </w:pPr>
            <w:r>
              <w:rPr>
                <w:rFonts w:hint="eastAsia" w:hAnsi="宋体" w:cs="宋体"/>
                <w:color w:val="auto"/>
                <w:sz w:val="21"/>
                <w:szCs w:val="21"/>
                <w:highlight w:val="none"/>
              </w:rPr>
              <w:t>18.数据开发工具须支持多数据源，支持JDBC数据源，支持CSV上传；支持数据开发节点的数据集直接展示；</w:t>
            </w:r>
          </w:p>
          <w:p>
            <w:pPr>
              <w:pStyle w:val="4"/>
              <w:ind w:firstLine="0"/>
              <w:rPr>
                <w:rFonts w:hAnsi="宋体" w:cs="宋体"/>
                <w:color w:val="auto"/>
                <w:sz w:val="21"/>
                <w:szCs w:val="21"/>
                <w:highlight w:val="none"/>
              </w:rPr>
            </w:pPr>
            <w:r>
              <w:rPr>
                <w:rFonts w:hint="eastAsia" w:hAnsi="宋体" w:cs="宋体"/>
                <w:color w:val="auto"/>
                <w:sz w:val="21"/>
                <w:szCs w:val="21"/>
                <w:highlight w:val="none"/>
              </w:rPr>
              <w:t>19.须提供任务进度可视化展示的数据开发工具，用户运行后可通过可视化的方式展示任务当前进度；</w:t>
            </w:r>
          </w:p>
          <w:p>
            <w:pPr>
              <w:pStyle w:val="4"/>
              <w:ind w:firstLine="0"/>
              <w:rPr>
                <w:rFonts w:hAnsi="宋体" w:cs="宋体"/>
                <w:color w:val="auto"/>
                <w:sz w:val="21"/>
                <w:szCs w:val="21"/>
                <w:highlight w:val="none"/>
              </w:rPr>
            </w:pPr>
            <w:r>
              <w:rPr>
                <w:rFonts w:hint="eastAsia" w:hAnsi="宋体" w:cs="宋体"/>
                <w:color w:val="auto"/>
                <w:sz w:val="21"/>
                <w:szCs w:val="21"/>
                <w:highlight w:val="none"/>
              </w:rPr>
              <w:t>20.须提供支持批量任务调度的数据实训节点，支持工作流立即执行、定时调度和统一工作流的并发执行和工作流的条件执行等多种场景；</w:t>
            </w:r>
          </w:p>
          <w:p>
            <w:pPr>
              <w:pStyle w:val="4"/>
              <w:ind w:firstLine="0"/>
              <w:rPr>
                <w:rFonts w:hAnsi="宋体" w:cs="宋体"/>
                <w:color w:val="auto"/>
                <w:sz w:val="21"/>
                <w:szCs w:val="21"/>
                <w:highlight w:val="none"/>
              </w:rPr>
            </w:pPr>
            <w:r>
              <w:rPr>
                <w:rFonts w:hint="eastAsia" w:hAnsi="宋体" w:cs="宋体"/>
                <w:color w:val="auto"/>
                <w:sz w:val="21"/>
                <w:szCs w:val="21"/>
                <w:highlight w:val="none"/>
              </w:rPr>
              <w:t>21.须提供工作流式的图形化拖拽开发环境的数据实训节点，支持组件拖拽式操作，支持组件脚本编程和参数配置；</w:t>
            </w:r>
          </w:p>
          <w:p>
            <w:pPr>
              <w:pStyle w:val="4"/>
              <w:ind w:firstLine="0"/>
              <w:rPr>
                <w:rFonts w:hAnsi="宋体" w:cs="宋体"/>
                <w:color w:val="auto"/>
                <w:sz w:val="21"/>
                <w:szCs w:val="21"/>
                <w:highlight w:val="none"/>
              </w:rPr>
            </w:pPr>
            <w:r>
              <w:rPr>
                <w:rFonts w:hint="eastAsia" w:hAnsi="宋体" w:cs="宋体"/>
                <w:color w:val="auto"/>
                <w:sz w:val="21"/>
                <w:szCs w:val="21"/>
                <w:highlight w:val="none"/>
              </w:rPr>
              <w:t>22.须提供连接组件构建工作流的数据实训节点，支持工作流的运行和结果查看；</w:t>
            </w:r>
          </w:p>
          <w:p>
            <w:pPr>
              <w:pStyle w:val="4"/>
              <w:ind w:firstLine="0"/>
              <w:rPr>
                <w:rFonts w:hAnsi="宋体" w:cs="宋体"/>
                <w:color w:val="auto"/>
                <w:sz w:val="21"/>
                <w:szCs w:val="21"/>
                <w:highlight w:val="none"/>
              </w:rPr>
            </w:pPr>
            <w:r>
              <w:rPr>
                <w:rFonts w:hint="eastAsia" w:hAnsi="宋体" w:cs="宋体"/>
                <w:color w:val="auto"/>
                <w:sz w:val="21"/>
                <w:szCs w:val="21"/>
                <w:highlight w:val="none"/>
              </w:rPr>
              <w:t>23.须提供Kylin、durid作为OLAP的数据实训节点；</w:t>
            </w:r>
          </w:p>
          <w:p>
            <w:pPr>
              <w:pStyle w:val="4"/>
              <w:ind w:firstLine="0"/>
              <w:rPr>
                <w:rFonts w:hAnsi="宋体" w:cs="宋体"/>
                <w:color w:val="auto"/>
                <w:sz w:val="21"/>
                <w:szCs w:val="21"/>
                <w:highlight w:val="none"/>
              </w:rPr>
            </w:pPr>
            <w:r>
              <w:rPr>
                <w:rFonts w:hint="eastAsia" w:hAnsi="宋体" w:cs="宋体"/>
                <w:color w:val="auto"/>
                <w:sz w:val="21"/>
                <w:szCs w:val="21"/>
                <w:highlight w:val="none"/>
              </w:rPr>
              <w:t>24.数据实训节点须内置主流大数据分部署存储系统、支持分布式数据仓库Hive和分布式列式存储NoSql数据库HBase；</w:t>
            </w:r>
          </w:p>
          <w:p>
            <w:pPr>
              <w:pStyle w:val="4"/>
              <w:ind w:firstLine="0"/>
              <w:rPr>
                <w:rFonts w:hAnsi="宋体" w:cs="宋体"/>
                <w:color w:val="auto"/>
                <w:sz w:val="21"/>
                <w:szCs w:val="21"/>
                <w:highlight w:val="none"/>
              </w:rPr>
            </w:pPr>
            <w:r>
              <w:rPr>
                <w:rFonts w:hint="eastAsia" w:hAnsi="宋体" w:cs="宋体"/>
                <w:color w:val="auto"/>
                <w:sz w:val="21"/>
                <w:szCs w:val="21"/>
                <w:highlight w:val="none"/>
              </w:rPr>
              <w:t>25.数据实训节点须支持主流大数据计算引擎，包括mr引擎、spark引擎等；</w:t>
            </w:r>
          </w:p>
          <w:p>
            <w:pPr>
              <w:pStyle w:val="4"/>
              <w:ind w:firstLine="0"/>
              <w:rPr>
                <w:rFonts w:hAnsi="宋体" w:cs="宋体"/>
                <w:color w:val="auto"/>
                <w:sz w:val="21"/>
                <w:szCs w:val="21"/>
                <w:highlight w:val="none"/>
              </w:rPr>
            </w:pPr>
            <w:r>
              <w:rPr>
                <w:rFonts w:hint="eastAsia" w:hAnsi="宋体" w:cs="宋体"/>
                <w:color w:val="auto"/>
                <w:sz w:val="21"/>
                <w:szCs w:val="21"/>
                <w:highlight w:val="none"/>
              </w:rPr>
              <w:t>26.数据实训节点须支持python和shell脚本运行环境；</w:t>
            </w:r>
          </w:p>
          <w:p>
            <w:pPr>
              <w:pStyle w:val="4"/>
              <w:ind w:firstLine="0"/>
              <w:rPr>
                <w:rFonts w:hAnsi="宋体" w:cs="宋体"/>
                <w:color w:val="auto"/>
                <w:sz w:val="21"/>
                <w:szCs w:val="21"/>
                <w:highlight w:val="none"/>
              </w:rPr>
            </w:pPr>
            <w:r>
              <w:rPr>
                <w:rFonts w:hint="eastAsia" w:hAnsi="宋体" w:cs="宋体"/>
                <w:color w:val="auto"/>
                <w:sz w:val="21"/>
                <w:szCs w:val="21"/>
                <w:highlight w:val="none"/>
              </w:rPr>
              <w:t>27.数据实训节点须提供多语言支持的spark开发环境，如scala、pyspark、sparkR等；</w:t>
            </w:r>
          </w:p>
          <w:p>
            <w:pPr>
              <w:pStyle w:val="4"/>
              <w:ind w:firstLine="0"/>
              <w:rPr>
                <w:rFonts w:hAnsi="宋体" w:cs="宋体"/>
                <w:color w:val="auto"/>
                <w:sz w:val="21"/>
                <w:szCs w:val="21"/>
                <w:highlight w:val="none"/>
              </w:rPr>
            </w:pPr>
            <w:r>
              <w:rPr>
                <w:rFonts w:hint="eastAsia" w:hAnsi="宋体" w:cs="宋体"/>
                <w:color w:val="auto"/>
                <w:sz w:val="21"/>
                <w:szCs w:val="21"/>
                <w:highlight w:val="none"/>
              </w:rPr>
              <w:t>28.数据实训节点须支持多种数据查询语言，如SQL、SparkSQL、HQL等；</w:t>
            </w:r>
          </w:p>
          <w:p>
            <w:pPr>
              <w:pStyle w:val="4"/>
              <w:ind w:firstLine="0"/>
              <w:rPr>
                <w:rFonts w:hAnsi="宋体" w:cs="宋体"/>
                <w:color w:val="auto"/>
                <w:sz w:val="21"/>
                <w:szCs w:val="21"/>
                <w:highlight w:val="none"/>
              </w:rPr>
            </w:pPr>
            <w:r>
              <w:rPr>
                <w:rFonts w:hint="eastAsia" w:hAnsi="宋体" w:cs="宋体"/>
                <w:color w:val="auto"/>
                <w:sz w:val="21"/>
                <w:szCs w:val="21"/>
                <w:highlight w:val="none"/>
              </w:rPr>
              <w:t>29数据实训节点须支持执行多种脚本语言，支持执行SparkSQL脚本语言；支持执行Scala编程语言；支持执行Python脚本语言；支持执行Hql脚本语言；支持执行Shell脚本语言；</w:t>
            </w:r>
          </w:p>
          <w:p>
            <w:pPr>
              <w:pStyle w:val="4"/>
              <w:ind w:firstLine="0"/>
              <w:rPr>
                <w:rFonts w:hAnsi="宋体" w:cs="宋体"/>
                <w:color w:val="auto"/>
                <w:sz w:val="21"/>
                <w:szCs w:val="21"/>
                <w:highlight w:val="none"/>
              </w:rPr>
            </w:pPr>
            <w:r>
              <w:rPr>
                <w:rFonts w:hint="eastAsia" w:hAnsi="宋体" w:cs="宋体"/>
                <w:color w:val="auto"/>
                <w:sz w:val="21"/>
                <w:szCs w:val="21"/>
                <w:highlight w:val="none"/>
              </w:rPr>
              <w:t>30.须提供Hadoop核心HDFS、YARN组件的版本不低于3.2.0；</w:t>
            </w:r>
          </w:p>
          <w:p>
            <w:pPr>
              <w:pStyle w:val="4"/>
              <w:ind w:firstLine="0"/>
              <w:rPr>
                <w:rFonts w:hAnsi="宋体" w:cs="宋体"/>
                <w:color w:val="auto"/>
                <w:sz w:val="21"/>
                <w:szCs w:val="21"/>
                <w:highlight w:val="none"/>
              </w:rPr>
            </w:pPr>
            <w:r>
              <w:rPr>
                <w:rFonts w:hint="eastAsia" w:hAnsi="宋体" w:cs="宋体"/>
                <w:color w:val="auto"/>
                <w:sz w:val="21"/>
                <w:szCs w:val="21"/>
                <w:highlight w:val="none"/>
              </w:rPr>
              <w:t>31系统实训案例须按照《大数据工程技术人员国家职业技术技能标准》提供大数据处理与应用方向、大数据分析与挖掘方向、数据管理方向及大数据基础技术的实训环境。</w:t>
            </w:r>
          </w:p>
          <w:p>
            <w:pPr>
              <w:pStyle w:val="4"/>
              <w:ind w:firstLine="0"/>
              <w:rPr>
                <w:rFonts w:hAnsi="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3</w:t>
            </w:r>
          </w:p>
        </w:tc>
        <w:tc>
          <w:tcPr>
            <w:tcW w:w="1947"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教学资源包</w:t>
            </w:r>
          </w:p>
        </w:tc>
        <w:tc>
          <w:tcPr>
            <w:tcW w:w="73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1</w:t>
            </w:r>
          </w:p>
        </w:tc>
        <w:tc>
          <w:tcPr>
            <w:tcW w:w="694"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项</w:t>
            </w:r>
          </w:p>
        </w:tc>
        <w:tc>
          <w:tcPr>
            <w:tcW w:w="6029" w:type="dxa"/>
            <w:vAlign w:val="center"/>
          </w:tcPr>
          <w:p>
            <w:pPr>
              <w:pStyle w:val="4"/>
              <w:ind w:firstLine="0"/>
              <w:rPr>
                <w:rFonts w:hAnsi="宋体" w:cs="宋体"/>
                <w:color w:val="auto"/>
                <w:sz w:val="21"/>
                <w:szCs w:val="21"/>
                <w:highlight w:val="none"/>
              </w:rPr>
            </w:pPr>
            <w:r>
              <w:rPr>
                <w:rFonts w:hint="eastAsia" w:hAnsi="宋体" w:cs="宋体"/>
                <w:color w:val="auto"/>
                <w:sz w:val="21"/>
                <w:szCs w:val="21"/>
                <w:highlight w:val="none"/>
              </w:rPr>
              <w:t>1.教学资源包包含训练题库、授课PPT、自学视频等，满足3个方向线上的自学及模拟训练刷题；</w:t>
            </w:r>
          </w:p>
          <w:p>
            <w:pPr>
              <w:pStyle w:val="4"/>
              <w:ind w:firstLine="0"/>
              <w:rPr>
                <w:rFonts w:hAnsi="宋体" w:cs="宋体"/>
                <w:color w:val="auto"/>
                <w:sz w:val="21"/>
                <w:szCs w:val="21"/>
                <w:highlight w:val="none"/>
              </w:rPr>
            </w:pPr>
            <w:r>
              <w:rPr>
                <w:rFonts w:hint="eastAsia" w:hAnsi="宋体" w:cs="宋体"/>
                <w:color w:val="auto"/>
                <w:sz w:val="21"/>
                <w:szCs w:val="21"/>
                <w:highlight w:val="none"/>
              </w:rPr>
              <w:t>2.3个方向题库共计不少于1200道理论题和45道实操题；</w:t>
            </w:r>
          </w:p>
          <w:p>
            <w:pPr>
              <w:pStyle w:val="4"/>
              <w:ind w:firstLine="0"/>
              <w:rPr>
                <w:rFonts w:hAnsi="宋体" w:cs="宋体"/>
                <w:color w:val="auto"/>
                <w:sz w:val="21"/>
                <w:szCs w:val="21"/>
                <w:highlight w:val="none"/>
              </w:rPr>
            </w:pPr>
            <w:r>
              <w:rPr>
                <w:rFonts w:hint="eastAsia" w:hAnsi="宋体" w:cs="宋体"/>
                <w:color w:val="auto"/>
                <w:sz w:val="21"/>
                <w:szCs w:val="21"/>
                <w:highlight w:val="none"/>
              </w:rPr>
              <w:t>3.3个方向PPT共计不少于45份；</w:t>
            </w:r>
          </w:p>
          <w:p>
            <w:pPr>
              <w:pStyle w:val="4"/>
              <w:ind w:firstLine="0"/>
              <w:rPr>
                <w:rFonts w:hAnsi="宋体" w:cs="宋体"/>
                <w:color w:val="auto"/>
                <w:sz w:val="21"/>
                <w:szCs w:val="21"/>
                <w:highlight w:val="none"/>
              </w:rPr>
            </w:pPr>
            <w:r>
              <w:rPr>
                <w:rFonts w:hint="eastAsia" w:hAnsi="宋体" w:cs="宋体"/>
                <w:color w:val="auto"/>
                <w:sz w:val="21"/>
                <w:szCs w:val="21"/>
                <w:highlight w:val="none"/>
              </w:rPr>
              <w:t>4.3个方向自学视频共计不少于45个。</w:t>
            </w:r>
          </w:p>
        </w:tc>
      </w:tr>
    </w:tbl>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4.演示：</w:t>
      </w:r>
    </w:p>
    <w:p>
      <w:pPr>
        <w:adjustRightInd w:val="0"/>
        <w:snapToGrid w:val="0"/>
        <w:spacing w:line="288" w:lineRule="auto"/>
        <w:ind w:firstLine="422" w:firstLineChars="200"/>
        <w:rPr>
          <w:rFonts w:cs="Times New Roman"/>
          <w:b/>
          <w:bCs/>
          <w:color w:val="auto"/>
          <w:sz w:val="21"/>
          <w:szCs w:val="21"/>
          <w:highlight w:val="none"/>
        </w:rPr>
      </w:pPr>
      <w:r>
        <w:rPr>
          <w:rFonts w:hint="eastAsia" w:cs="Times New Roman"/>
          <w:b/>
          <w:bCs/>
          <w:color w:val="auto"/>
          <w:sz w:val="21"/>
          <w:szCs w:val="21"/>
          <w:highlight w:val="none"/>
        </w:rPr>
        <w:t>▲4.1 供应商演示内容需为真人操作软件录制的视频进行，以PPT、非真人操作软件录制的视频、图片等视同未演示，响应无效；</w:t>
      </w:r>
    </w:p>
    <w:p>
      <w:pPr>
        <w:adjustRightInd w:val="0"/>
        <w:snapToGrid w:val="0"/>
        <w:spacing w:line="288" w:lineRule="auto"/>
        <w:ind w:firstLine="422" w:firstLineChars="200"/>
        <w:rPr>
          <w:rFonts w:cs="Times New Roman"/>
          <w:b/>
          <w:bCs/>
          <w:color w:val="auto"/>
          <w:sz w:val="21"/>
          <w:szCs w:val="21"/>
          <w:highlight w:val="none"/>
        </w:rPr>
      </w:pPr>
      <w:r>
        <w:rPr>
          <w:rFonts w:hint="eastAsia" w:cs="Times New Roman"/>
          <w:b/>
          <w:bCs/>
          <w:color w:val="auto"/>
          <w:sz w:val="21"/>
          <w:szCs w:val="21"/>
          <w:highlight w:val="none"/>
        </w:rPr>
        <w:t>4.2 演示内容如下：</w:t>
      </w:r>
    </w:p>
    <w:p>
      <w:pPr>
        <w:spacing w:line="288" w:lineRule="auto"/>
        <w:ind w:firstLine="420" w:firstLineChars="200"/>
        <w:rPr>
          <w:bCs/>
          <w:color w:val="auto"/>
          <w:sz w:val="21"/>
          <w:szCs w:val="21"/>
          <w:highlight w:val="none"/>
        </w:rPr>
      </w:pPr>
      <w:r>
        <w:rPr>
          <w:rFonts w:hint="eastAsia"/>
          <w:bCs/>
          <w:color w:val="auto"/>
          <w:sz w:val="21"/>
          <w:szCs w:val="21"/>
          <w:highlight w:val="none"/>
        </w:rPr>
        <w:t>（1）系统须提供快速进入实训环境功能，支持不超过1秒进入实训环境能力；</w:t>
      </w:r>
    </w:p>
    <w:p>
      <w:pPr>
        <w:spacing w:line="288" w:lineRule="auto"/>
        <w:ind w:firstLine="420" w:firstLineChars="200"/>
        <w:rPr>
          <w:bCs/>
          <w:color w:val="auto"/>
          <w:sz w:val="21"/>
          <w:szCs w:val="21"/>
          <w:highlight w:val="none"/>
        </w:rPr>
      </w:pPr>
      <w:r>
        <w:rPr>
          <w:rFonts w:hint="eastAsia"/>
          <w:bCs/>
          <w:color w:val="auto"/>
          <w:sz w:val="21"/>
          <w:szCs w:val="21"/>
          <w:highlight w:val="none"/>
        </w:rPr>
        <w:t>（2）系统须提供实时的系统资源动态图表；</w:t>
      </w:r>
    </w:p>
    <w:p>
      <w:pPr>
        <w:spacing w:line="288" w:lineRule="auto"/>
        <w:ind w:firstLine="420" w:firstLineChars="200"/>
        <w:rPr>
          <w:bCs/>
          <w:color w:val="auto"/>
          <w:sz w:val="21"/>
          <w:szCs w:val="21"/>
          <w:highlight w:val="none"/>
        </w:rPr>
      </w:pPr>
      <w:r>
        <w:rPr>
          <w:rFonts w:hint="eastAsia"/>
          <w:bCs/>
          <w:color w:val="auto"/>
          <w:sz w:val="21"/>
          <w:szCs w:val="21"/>
          <w:highlight w:val="none"/>
        </w:rPr>
        <w:t>（3）系统须提供实训手册、实训报告、实训操作同屏功能，支持用户全屏查看手册，支持用户全屏实训，支持用户全屏编写报告；</w:t>
      </w:r>
    </w:p>
    <w:p>
      <w:pPr>
        <w:spacing w:line="288" w:lineRule="auto"/>
        <w:ind w:firstLine="420" w:firstLineChars="200"/>
        <w:rPr>
          <w:bCs/>
          <w:color w:val="auto"/>
          <w:sz w:val="21"/>
          <w:szCs w:val="21"/>
          <w:highlight w:val="none"/>
        </w:rPr>
      </w:pPr>
      <w:r>
        <w:rPr>
          <w:rFonts w:hint="eastAsia"/>
          <w:bCs/>
          <w:color w:val="auto"/>
          <w:sz w:val="21"/>
          <w:szCs w:val="21"/>
          <w:highlight w:val="none"/>
        </w:rPr>
        <w:t>（4）系统须支持用户撰写实训报告，实训报告提供图片库、代码库、保存、预览、全屏的功能，支持图片、文字、代码、表格的输入。插入的图片只能是实训环境截图的图片，保证报告真实性；</w:t>
      </w:r>
    </w:p>
    <w:p>
      <w:pPr>
        <w:spacing w:line="288" w:lineRule="auto"/>
        <w:ind w:firstLine="420" w:firstLineChars="200"/>
        <w:rPr>
          <w:bCs/>
          <w:color w:val="auto"/>
          <w:sz w:val="21"/>
          <w:szCs w:val="21"/>
          <w:highlight w:val="none"/>
        </w:rPr>
      </w:pPr>
      <w:r>
        <w:rPr>
          <w:rFonts w:hint="eastAsia"/>
          <w:bCs/>
          <w:color w:val="auto"/>
          <w:sz w:val="21"/>
          <w:szCs w:val="21"/>
          <w:highlight w:val="none"/>
        </w:rPr>
        <w:t>（5）系统须提供终端和桌面切换功能，进入虚机默认展示终端，支持切换到图形化页面；切换时间不超过3秒；</w:t>
      </w:r>
    </w:p>
    <w:p>
      <w:pPr>
        <w:spacing w:line="288" w:lineRule="auto"/>
        <w:ind w:firstLine="420" w:firstLineChars="200"/>
        <w:rPr>
          <w:bCs/>
          <w:color w:val="auto"/>
          <w:sz w:val="21"/>
          <w:szCs w:val="21"/>
          <w:highlight w:val="none"/>
        </w:rPr>
      </w:pPr>
      <w:r>
        <w:rPr>
          <w:rFonts w:hint="eastAsia"/>
          <w:bCs/>
          <w:color w:val="auto"/>
          <w:sz w:val="21"/>
          <w:szCs w:val="21"/>
          <w:highlight w:val="none"/>
        </w:rPr>
        <w:t>（6）系统须提供教师查看并批阅学生提交的实训报告、考试报告，支持下载报告；支持录入分数和评语；</w:t>
      </w:r>
    </w:p>
    <w:p>
      <w:pPr>
        <w:spacing w:line="288" w:lineRule="auto"/>
        <w:ind w:firstLine="420" w:firstLineChars="200"/>
        <w:rPr>
          <w:bCs/>
          <w:color w:val="auto"/>
          <w:sz w:val="21"/>
          <w:szCs w:val="21"/>
          <w:highlight w:val="none"/>
        </w:rPr>
      </w:pPr>
      <w:r>
        <w:rPr>
          <w:rFonts w:hint="eastAsia"/>
          <w:bCs/>
          <w:color w:val="auto"/>
          <w:sz w:val="21"/>
          <w:szCs w:val="21"/>
          <w:highlight w:val="none"/>
        </w:rPr>
        <w:t>（7）系统须提供实训操作过程中异常退出（包括手动误关闭浏览器退出、本机断电自动退出、系统性能不稳定卡住退出、本机断网自动退出等异常情况）后可再次进入同一实训环境的功能；</w:t>
      </w:r>
    </w:p>
    <w:p>
      <w:pPr>
        <w:spacing w:line="288" w:lineRule="auto"/>
        <w:ind w:firstLine="420" w:firstLineChars="200"/>
        <w:rPr>
          <w:bCs/>
          <w:strike/>
          <w:color w:val="auto"/>
          <w:sz w:val="21"/>
          <w:szCs w:val="21"/>
          <w:highlight w:val="none"/>
        </w:rPr>
      </w:pPr>
      <w:r>
        <w:rPr>
          <w:rFonts w:hint="eastAsia"/>
          <w:bCs/>
          <w:color w:val="auto"/>
          <w:sz w:val="21"/>
          <w:szCs w:val="21"/>
          <w:highlight w:val="none"/>
        </w:rPr>
        <w:t>（8）系统须提供实训环境预启动功能，能够后台静默批量启动实验镜像环境；</w:t>
      </w:r>
    </w:p>
    <w:p>
      <w:pPr>
        <w:spacing w:line="288" w:lineRule="auto"/>
        <w:ind w:firstLine="420" w:firstLineChars="200"/>
        <w:rPr>
          <w:bCs/>
          <w:color w:val="auto"/>
          <w:sz w:val="21"/>
          <w:szCs w:val="21"/>
          <w:highlight w:val="none"/>
        </w:rPr>
      </w:pPr>
      <w:r>
        <w:rPr>
          <w:rFonts w:hint="eastAsia"/>
          <w:bCs/>
          <w:color w:val="auto"/>
          <w:sz w:val="21"/>
          <w:szCs w:val="21"/>
          <w:highlight w:val="none"/>
        </w:rPr>
        <w:t>（9）系统须提供管理员手动重启、关闭特定实训环境的功能；</w:t>
      </w:r>
    </w:p>
    <w:p>
      <w:pPr>
        <w:spacing w:line="288" w:lineRule="auto"/>
        <w:ind w:firstLine="420" w:firstLineChars="200"/>
        <w:rPr>
          <w:color w:val="auto"/>
          <w:highlight w:val="none"/>
        </w:rPr>
      </w:pPr>
      <w:r>
        <w:rPr>
          <w:rFonts w:hint="eastAsia"/>
          <w:bCs/>
          <w:color w:val="auto"/>
          <w:sz w:val="21"/>
          <w:szCs w:val="21"/>
          <w:highlight w:val="none"/>
        </w:rPr>
        <w:t>（1</w:t>
      </w:r>
      <w:r>
        <w:rPr>
          <w:bCs/>
          <w:color w:val="auto"/>
          <w:sz w:val="21"/>
          <w:szCs w:val="21"/>
          <w:highlight w:val="none"/>
        </w:rPr>
        <w:t>0</w:t>
      </w:r>
      <w:r>
        <w:rPr>
          <w:rFonts w:hint="eastAsia"/>
          <w:bCs/>
          <w:color w:val="auto"/>
          <w:sz w:val="21"/>
          <w:szCs w:val="21"/>
          <w:highlight w:val="none"/>
        </w:rPr>
        <w:t>）系统须提供实训评测功能，支持系统判断学生实训操作是否正确，允许学生、教师查看实训评测结果</w:t>
      </w:r>
      <w:r>
        <w:rPr>
          <w:rFonts w:hint="eastAsia"/>
          <w:bCs/>
          <w:color w:val="auto"/>
          <w:sz w:val="21"/>
          <w:szCs w:val="21"/>
          <w:highlight w:val="none"/>
          <w:lang w:eastAsia="zh-CN"/>
        </w:rPr>
        <w:t>。</w:t>
      </w:r>
    </w:p>
    <w:p>
      <w:pPr>
        <w:spacing w:line="288" w:lineRule="auto"/>
        <w:ind w:firstLine="422" w:firstLineChars="200"/>
        <w:rPr>
          <w:b/>
          <w:color w:val="auto"/>
          <w:sz w:val="21"/>
          <w:szCs w:val="21"/>
          <w:highlight w:val="none"/>
        </w:rPr>
      </w:pPr>
      <w:r>
        <w:rPr>
          <w:rFonts w:hint="eastAsia"/>
          <w:b/>
          <w:color w:val="auto"/>
          <w:sz w:val="21"/>
          <w:szCs w:val="21"/>
          <w:highlight w:val="none"/>
        </w:rPr>
        <w:t>4.3 演示U盘：</w:t>
      </w:r>
    </w:p>
    <w:p>
      <w:pPr>
        <w:spacing w:line="288" w:lineRule="auto"/>
        <w:ind w:firstLine="420" w:firstLineChars="200"/>
        <w:rPr>
          <w:bCs/>
          <w:color w:val="auto"/>
          <w:sz w:val="21"/>
          <w:szCs w:val="21"/>
          <w:highlight w:val="none"/>
        </w:rPr>
      </w:pPr>
      <w:r>
        <w:rPr>
          <w:rFonts w:hint="eastAsia"/>
          <w:bCs/>
          <w:color w:val="auto"/>
          <w:sz w:val="21"/>
          <w:szCs w:val="21"/>
          <w:highlight w:val="none"/>
        </w:rPr>
        <w:t>（1）根据“电子交易/不见面开评标”原则，供应商需将以上演示及讲解过程录制视频，演示时长不超过15分钟以.mp4格式存储于U盘。</w:t>
      </w:r>
    </w:p>
    <w:p>
      <w:pPr>
        <w:spacing w:line="288" w:lineRule="auto"/>
        <w:ind w:firstLine="420" w:firstLineChars="200"/>
        <w:rPr>
          <w:bCs/>
          <w:color w:val="auto"/>
          <w:sz w:val="21"/>
          <w:szCs w:val="21"/>
          <w:highlight w:val="none"/>
        </w:rPr>
      </w:pPr>
      <w:r>
        <w:rPr>
          <w:rFonts w:hint="eastAsia"/>
          <w:bCs/>
          <w:color w:val="auto"/>
          <w:sz w:val="21"/>
          <w:szCs w:val="21"/>
          <w:highlight w:val="none"/>
        </w:rPr>
        <w:t>（2）演示U盘可以EMS或顺丰邮寄形式在响应截止时间前递交，演示U盘应当密封包装并在包装上标注演示U盘、响应项目名称、响应供应商名称并加盖公章。</w:t>
      </w:r>
    </w:p>
    <w:p>
      <w:pPr>
        <w:adjustRightInd w:val="0"/>
        <w:snapToGrid w:val="0"/>
        <w:spacing w:line="288" w:lineRule="auto"/>
        <w:rPr>
          <w:rFonts w:cs="Times New Roman"/>
          <w:b/>
          <w:bCs/>
          <w:color w:val="auto"/>
          <w:sz w:val="21"/>
          <w:szCs w:val="21"/>
          <w:highlight w:val="none"/>
        </w:rPr>
      </w:pPr>
      <w:r>
        <w:rPr>
          <w:rFonts w:hint="eastAsia"/>
          <w:bCs/>
          <w:color w:val="auto"/>
          <w:spacing w:val="-4"/>
          <w:sz w:val="21"/>
          <w:szCs w:val="21"/>
          <w:highlight w:val="none"/>
        </w:rPr>
        <w:t>（3）未按磋商文件要求提供演示U盘造成专家无法正常评审的风险由供应商自行承担。</w:t>
      </w:r>
    </w:p>
    <w:p>
      <w:pPr>
        <w:widowControl/>
        <w:adjustRightInd w:val="0"/>
        <w:snapToGrid w:val="0"/>
        <w:spacing w:line="288" w:lineRule="auto"/>
        <w:jc w:val="left"/>
        <w:rPr>
          <w:rFonts w:cs="Times New Roman"/>
          <w:color w:val="auto"/>
          <w:sz w:val="21"/>
          <w:szCs w:val="21"/>
          <w:highlight w:val="none"/>
        </w:rPr>
      </w:pPr>
      <w:r>
        <w:rPr>
          <w:rFonts w:cs="Times New Roman"/>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第三章  供应商须知</w:t>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供应商须知前附表</w:t>
      </w:r>
    </w:p>
    <w:tbl>
      <w:tblPr>
        <w:tblStyle w:val="11"/>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条款号</w:t>
            </w:r>
          </w:p>
        </w:tc>
        <w:tc>
          <w:tcPr>
            <w:tcW w:w="170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内容</w:t>
            </w:r>
          </w:p>
        </w:tc>
        <w:tc>
          <w:tcPr>
            <w:tcW w:w="6663"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（一）</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适用范围</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本磋商文件适用于杭州电子科技大学大数据工程技术人员实训平台的磋商、评审、成交、验收、合同履约、付款等（法律、法规另有规定的，从其规定）。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（二）</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采购方式</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本次采购采用竞争性磋商（线上电子交易）方式进行。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（三）</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竞争性磋商委托</w:t>
            </w:r>
          </w:p>
        </w:tc>
        <w:tc>
          <w:tcPr>
            <w:tcW w:w="6663" w:type="dxa"/>
            <w:vAlign w:val="center"/>
          </w:tcPr>
          <w:p>
            <w:pPr>
              <w:adjustRightInd w:val="0"/>
              <w:snapToGrid w:val="0"/>
              <w:spacing w:line="288" w:lineRule="auto"/>
              <w:rPr>
                <w:color w:val="auto"/>
                <w:sz w:val="21"/>
                <w:szCs w:val="21"/>
                <w:highlight w:val="none"/>
              </w:rPr>
            </w:pPr>
            <w:r>
              <w:rPr>
                <w:color w:val="auto"/>
                <w:sz w:val="21"/>
                <w:szCs w:val="21"/>
                <w:highlight w:val="none"/>
              </w:rPr>
              <w:t>▲1.供应商代表是法定代表人（单位负责人、自然人本人）的，须提供本人身份证明。</w:t>
            </w:r>
          </w:p>
          <w:p>
            <w:pPr>
              <w:adjustRightInd w:val="0"/>
              <w:snapToGrid w:val="0"/>
              <w:spacing w:line="288" w:lineRule="auto"/>
              <w:rPr>
                <w:color w:val="auto"/>
                <w:sz w:val="21"/>
                <w:szCs w:val="21"/>
                <w:highlight w:val="none"/>
              </w:rPr>
            </w:pPr>
            <w:r>
              <w:rPr>
                <w:color w:val="auto"/>
                <w:sz w:val="21"/>
                <w:szCs w:val="21"/>
                <w:highlight w:val="none"/>
              </w:rPr>
              <w:t>▲2.供应商代表不是法定代表人（单位负责人、自然人本人）的，须提供授权委托书（格式详见磋商文件第六章）和授权代表社保缴纳证明（</w:t>
            </w:r>
            <w:r>
              <w:rPr>
                <w:rFonts w:hint="eastAsia"/>
                <w:color w:val="auto"/>
                <w:sz w:val="21"/>
                <w:szCs w:val="21"/>
                <w:highlight w:val="none"/>
              </w:rPr>
              <w:t>2022年12月</w:t>
            </w:r>
            <w:r>
              <w:rPr>
                <w:color w:val="auto"/>
                <w:sz w:val="21"/>
                <w:szCs w:val="21"/>
                <w:highlight w:val="none"/>
              </w:rPr>
              <w:t>（含）以后任意一月）；</w:t>
            </w:r>
          </w:p>
          <w:p>
            <w:pPr>
              <w:adjustRightInd w:val="0"/>
              <w:snapToGrid w:val="0"/>
              <w:spacing w:line="288" w:lineRule="auto"/>
              <w:rPr>
                <w:color w:val="auto"/>
                <w:sz w:val="21"/>
                <w:szCs w:val="21"/>
                <w:highlight w:val="none"/>
              </w:rPr>
            </w:pPr>
            <w:r>
              <w:rPr>
                <w:color w:val="auto"/>
                <w:sz w:val="21"/>
                <w:szCs w:val="21"/>
                <w:highlight w:val="none"/>
              </w:rPr>
              <w:t>▲3.供应商委派不在本单位缴纳社保的人员作为授权代表的，应当在响应文件中，说明具体原因、授权代表缴纳社保的单位，并附列该授权代表缴纳社保清单。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（四）</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磋商费用</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1.不论磋商结果如何，供应商均应自行承担所有与磋商有关的全部费用；</w:t>
            </w:r>
          </w:p>
          <w:p>
            <w:pPr>
              <w:adjustRightInd w:val="0"/>
              <w:snapToGrid w:val="0"/>
              <w:spacing w:line="288" w:lineRule="auto"/>
              <w:rPr>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pPr>
              <w:adjustRightInd w:val="0"/>
              <w:snapToGrid w:val="0"/>
              <w:spacing w:line="288" w:lineRule="auto"/>
              <w:rPr>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adjustRightInd w:val="0"/>
              <w:snapToGrid w:val="0"/>
              <w:spacing w:line="288" w:lineRule="auto"/>
              <w:rPr>
                <w:color w:val="auto"/>
                <w:sz w:val="21"/>
                <w:szCs w:val="21"/>
                <w:highlight w:val="none"/>
              </w:rPr>
            </w:pPr>
            <w:bookmarkStart w:id="31" w:name="_Hlk71808378"/>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代理服务费收费标准（差额累进）：成交金额的1.05%，不足3000元的按3000元计。</w:t>
            </w:r>
            <w:bookmarkEnd w:id="3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（五）</w:t>
            </w:r>
          </w:p>
        </w:tc>
        <w:tc>
          <w:tcPr>
            <w:tcW w:w="1701" w:type="dxa"/>
            <w:vAlign w:val="center"/>
          </w:tcPr>
          <w:p>
            <w:pPr>
              <w:adjustRightInd w:val="0"/>
              <w:snapToGrid w:val="0"/>
              <w:spacing w:line="288" w:lineRule="auto"/>
              <w:jc w:val="center"/>
              <w:rPr>
                <w:color w:val="auto"/>
                <w:sz w:val="21"/>
                <w:szCs w:val="21"/>
                <w:highlight w:val="none"/>
              </w:rPr>
            </w:pPr>
            <w:r>
              <w:rPr>
                <w:rFonts w:hint="eastAsia" w:cs="Times New Roman"/>
                <w:color w:val="auto"/>
                <w:spacing w:val="-6"/>
                <w:sz w:val="21"/>
                <w:szCs w:val="21"/>
                <w:highlight w:val="none"/>
              </w:rPr>
              <w:t>磋商保证金（元）</w:t>
            </w:r>
          </w:p>
        </w:tc>
        <w:tc>
          <w:tcPr>
            <w:tcW w:w="6663" w:type="dxa"/>
            <w:vAlign w:val="center"/>
          </w:tcPr>
          <w:p>
            <w:pPr>
              <w:adjustRightInd w:val="0"/>
              <w:snapToGrid w:val="0"/>
              <w:spacing w:line="288" w:lineRule="auto"/>
              <w:rPr>
                <w:color w:val="auto"/>
                <w:sz w:val="21"/>
                <w:szCs w:val="21"/>
                <w:highlight w:val="none"/>
              </w:rPr>
            </w:pPr>
            <w:r>
              <w:rPr>
                <w:rFonts w:hint="eastAsia" w:cs="Times New Roman"/>
                <w:color w:val="auto"/>
                <w:spacing w:val="-6"/>
                <w:sz w:val="21"/>
                <w:szCs w:val="21"/>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（六）</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联合体响应</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本项目接受联合体响应。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（七）</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转包与分包</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lang w:bidi="ar"/>
              </w:rPr>
              <w:t>1.本项目不允许转包；</w:t>
            </w: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lang w:bidi="ar"/>
              </w:rPr>
              <w:t>2.</w:t>
            </w:r>
            <w:r>
              <w:rPr>
                <w:rFonts w:hint="eastAsia"/>
                <w:color w:val="auto"/>
                <w:sz w:val="21"/>
                <w:szCs w:val="21"/>
                <w:highlight w:val="none"/>
                <w:lang w:bidi="ar"/>
              </w:rPr>
              <w:t>供应商根据磋商文件的规定和采购项目的实际情况，拟在成交后将成交项目的非主体、非关键性工作分包的，应当在响应文件中载明分包承担主体，分包承担主体应当具备相应资质条件且不得再次分包。</w:t>
            </w:r>
          </w:p>
          <w:p>
            <w:pPr>
              <w:rPr>
                <w:color w:val="auto"/>
                <w:sz w:val="21"/>
                <w:szCs w:val="21"/>
                <w:highlight w:val="none"/>
              </w:rPr>
            </w:pPr>
            <w:r>
              <w:rPr>
                <w:rFonts w:hint="eastAsia" w:cs="Times New Roman"/>
                <w:color w:val="auto"/>
                <w:spacing w:val="-6"/>
                <w:sz w:val="21"/>
                <w:szCs w:val="21"/>
                <w:highlight w:val="none"/>
                <w:lang w:bidi="ar"/>
              </w:rPr>
              <w:t>3.可以分包履行的（非主体、非关键性的工作）具体内容、金额或者比例：</w:t>
            </w:r>
            <w:r>
              <w:rPr>
                <w:rFonts w:hint="eastAsia" w:cs="Times New Roman"/>
                <w:color w:val="auto"/>
                <w:spacing w:val="-6"/>
                <w:sz w:val="21"/>
                <w:szCs w:val="21"/>
                <w:highlight w:val="none"/>
                <w:u w:val="single"/>
                <w:lang w:bidi="ar"/>
              </w:rPr>
              <w:t>教学资源包</w:t>
            </w:r>
            <w:r>
              <w:rPr>
                <w:rFonts w:hint="eastAsia"/>
                <w:color w:val="auto"/>
                <w:spacing w:val="-6"/>
                <w:sz w:val="21"/>
                <w:szCs w:val="21"/>
                <w:highlight w:val="none"/>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（八）</w:t>
            </w:r>
          </w:p>
        </w:tc>
        <w:tc>
          <w:tcPr>
            <w:tcW w:w="1701" w:type="dxa"/>
            <w:vAlign w:val="center"/>
          </w:tcPr>
          <w:p>
            <w:pPr>
              <w:adjustRightInd w:val="0"/>
              <w:snapToGrid w:val="0"/>
              <w:spacing w:line="288" w:lineRule="auto"/>
              <w:jc w:val="center"/>
              <w:rPr>
                <w:color w:val="auto"/>
                <w:sz w:val="21"/>
                <w:szCs w:val="21"/>
                <w:highlight w:val="none"/>
              </w:rPr>
            </w:pPr>
            <w:r>
              <w:rPr>
                <w:rFonts w:hint="eastAsia"/>
                <w:b/>
                <w:bCs/>
                <w:color w:val="auto"/>
                <w:sz w:val="21"/>
                <w:szCs w:val="21"/>
                <w:highlight w:val="none"/>
              </w:rPr>
              <w:t>信用记录</w:t>
            </w:r>
          </w:p>
        </w:tc>
        <w:tc>
          <w:tcPr>
            <w:tcW w:w="6663" w:type="dxa"/>
            <w:vAlign w:val="center"/>
          </w:tcPr>
          <w:p>
            <w:pPr>
              <w:adjustRightInd w:val="0"/>
              <w:snapToGrid w:val="0"/>
              <w:spacing w:line="288" w:lineRule="auto"/>
              <w:rPr>
                <w:bCs/>
                <w:color w:val="auto"/>
                <w:sz w:val="21"/>
                <w:szCs w:val="21"/>
                <w:highlight w:val="none"/>
              </w:rPr>
            </w:pPr>
            <w:bookmarkStart w:id="32" w:name="_Hlk71808489"/>
            <w:r>
              <w:rPr>
                <w:rFonts w:hint="eastAsia"/>
                <w:bCs/>
                <w:color w:val="auto"/>
                <w:sz w:val="21"/>
                <w:szCs w:val="21"/>
                <w:highlight w:val="none"/>
              </w:rPr>
              <w:t>根据财库[2016]125号《关于在政府采购活动中查询及使用信用记录有关问题的通知》要求，采购代理机构会对供应商信用记录进行查询并甄别。信用</w:t>
            </w:r>
            <w:r>
              <w:rPr>
                <w:rFonts w:hint="eastAsia"/>
                <w:color w:val="auto"/>
                <w:sz w:val="21"/>
                <w:szCs w:val="21"/>
                <w:highlight w:val="none"/>
              </w:rPr>
              <w:t>信息查询的截止时点：响应截止时间；</w:t>
            </w:r>
          </w:p>
          <w:p>
            <w:pPr>
              <w:adjustRightInd w:val="0"/>
              <w:snapToGrid w:val="0"/>
              <w:spacing w:line="288" w:lineRule="auto"/>
              <w:rPr>
                <w:color w:val="auto"/>
                <w:sz w:val="21"/>
                <w:szCs w:val="21"/>
                <w:highlight w:val="none"/>
              </w:rPr>
            </w:pPr>
            <w:r>
              <w:rPr>
                <w:rFonts w:hint="eastAsia"/>
                <w:color w:val="auto"/>
                <w:sz w:val="21"/>
                <w:szCs w:val="21"/>
                <w:highlight w:val="none"/>
              </w:rPr>
              <w:t>（</w:t>
            </w:r>
            <w:r>
              <w:rPr>
                <w:color w:val="auto"/>
                <w:sz w:val="21"/>
                <w:szCs w:val="21"/>
                <w:highlight w:val="none"/>
              </w:rPr>
              <w:t>1</w:t>
            </w:r>
            <w:r>
              <w:rPr>
                <w:rFonts w:hint="eastAsia"/>
                <w:color w:val="auto"/>
                <w:sz w:val="21"/>
                <w:szCs w:val="21"/>
                <w:highlight w:val="none"/>
              </w:rPr>
              <w:t>）查询渠道：“信用中国”（www.creditchina.gov.cn）、“中国政府采购网”（www.ccgp.gov.cn）；</w:t>
            </w:r>
          </w:p>
          <w:p>
            <w:pPr>
              <w:adjustRightInd w:val="0"/>
              <w:snapToGrid w:val="0"/>
              <w:spacing w:line="288" w:lineRule="auto"/>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）信用信息查询记录和证据留存具体方式：采购代理机构经办人和监督人员将查询网页打印、签名与其他采购文件一并保存；</w:t>
            </w:r>
          </w:p>
          <w:p>
            <w:pPr>
              <w:adjustRightInd w:val="0"/>
              <w:snapToGrid w:val="0"/>
              <w:spacing w:line="288" w:lineRule="auto"/>
              <w:rPr>
                <w:bCs/>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bCs/>
                <w:color w:val="auto"/>
                <w:sz w:val="21"/>
                <w:szCs w:val="21"/>
                <w:highlight w:val="none"/>
              </w:rPr>
              <w:t>）信用信息的使用规则：供应商被列入失信被执行人、重大税收违法案件当事人名单、政府采购严重违法失信行为记录名单的，拒绝其参与政府采购活动。</w:t>
            </w:r>
            <w:bookmarkEnd w:id="32"/>
          </w:p>
          <w:p>
            <w:pPr>
              <w:adjustRightInd w:val="0"/>
              <w:snapToGrid w:val="0"/>
              <w:spacing w:line="288" w:lineRule="auto"/>
              <w:rPr>
                <w:color w:val="auto"/>
                <w:sz w:val="21"/>
                <w:szCs w:val="21"/>
                <w:highlight w:val="none"/>
              </w:rPr>
            </w:pPr>
            <w:r>
              <w:rPr>
                <w:rFonts w:hint="eastAsia"/>
                <w:bCs/>
                <w:color w:val="auto"/>
                <w:sz w:val="21"/>
                <w:szCs w:val="21"/>
                <w:highlight w:val="none"/>
              </w:rPr>
              <w:t>（4）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（九）</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资格审查要求的资格证明材料</w:t>
            </w:r>
          </w:p>
        </w:tc>
        <w:tc>
          <w:tcPr>
            <w:tcW w:w="6663" w:type="dxa"/>
            <w:vAlign w:val="center"/>
          </w:tcPr>
          <w:p>
            <w:pPr>
              <w:adjustRightInd w:val="0"/>
              <w:snapToGrid w:val="0"/>
              <w:spacing w:line="288" w:lineRule="auto"/>
              <w:rPr>
                <w:b/>
                <w:bCs/>
                <w:color w:val="auto"/>
                <w:sz w:val="21"/>
                <w:szCs w:val="21"/>
                <w:highlight w:val="none"/>
              </w:rPr>
            </w:pPr>
            <w:r>
              <w:rPr>
                <w:rFonts w:hint="eastAsia"/>
                <w:b/>
                <w:bCs/>
                <w:color w:val="auto"/>
                <w:sz w:val="21"/>
                <w:szCs w:val="21"/>
                <w:highlight w:val="none"/>
              </w:rPr>
              <w:t>资格审查要求的资格证明材料(均需加盖公章)：</w:t>
            </w:r>
          </w:p>
          <w:p>
            <w:pPr>
              <w:adjustRightInd w:val="0"/>
              <w:snapToGrid w:val="0"/>
              <w:spacing w:line="288" w:lineRule="auto"/>
              <w:rPr>
                <w:color w:val="auto"/>
                <w:sz w:val="21"/>
                <w:szCs w:val="21"/>
                <w:highlight w:val="none"/>
              </w:rPr>
            </w:pPr>
            <w:r>
              <w:rPr>
                <w:rFonts w:hint="eastAsia"/>
                <w:color w:val="auto"/>
                <w:sz w:val="21"/>
                <w:szCs w:val="21"/>
                <w:highlight w:val="none"/>
              </w:rPr>
              <w:t>（1）有效的法人或者其他组织的营业执照等证明文件，自然人的身份证明</w:t>
            </w: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w:t>
            </w:r>
            <w:r>
              <w:rPr>
                <w:rFonts w:cs="Times New Roman"/>
                <w:color w:val="auto"/>
                <w:sz w:val="21"/>
                <w:szCs w:val="21"/>
                <w:highlight w:val="none"/>
              </w:rPr>
              <w:t>2）</w:t>
            </w:r>
            <w:r>
              <w:rPr>
                <w:rFonts w:hint="eastAsia" w:cs="Times New Roman"/>
                <w:color w:val="auto"/>
                <w:sz w:val="21"/>
                <w:szCs w:val="21"/>
                <w:highlight w:val="none"/>
              </w:rPr>
              <w:t>符合参加政府采购活动应当具备的一般条件的承诺函</w:t>
            </w: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w:t>
            </w:r>
            <w:r>
              <w:rPr>
                <w:rFonts w:cs="Times New Roman"/>
                <w:color w:val="auto"/>
                <w:sz w:val="21"/>
                <w:szCs w:val="21"/>
                <w:highlight w:val="none"/>
              </w:rPr>
              <w:t>3）落实政府采购政策需满足的资格要求：</w:t>
            </w:r>
          </w:p>
          <w:p>
            <w:pPr>
              <w:adjustRightInd w:val="0"/>
              <w:snapToGrid w:val="0"/>
              <w:spacing w:line="288" w:lineRule="auto"/>
              <w:rPr>
                <w:rFonts w:cs="Times New Roman"/>
                <w:color w:val="auto"/>
                <w:sz w:val="21"/>
                <w:szCs w:val="21"/>
                <w:highlight w:val="none"/>
              </w:rPr>
            </w:pPr>
            <w:r>
              <w:rPr>
                <w:rFonts w:cs="Times New Roman"/>
                <w:color w:val="auto"/>
                <w:sz w:val="21"/>
                <w:szCs w:val="21"/>
                <w:highlight w:val="none"/>
              </w:rPr>
              <w:t>中小企业声明函（若属于中小企业）</w:t>
            </w:r>
          </w:p>
          <w:p>
            <w:pPr>
              <w:adjustRightInd w:val="0"/>
              <w:snapToGrid w:val="0"/>
              <w:spacing w:line="288" w:lineRule="auto"/>
              <w:rPr>
                <w:rFonts w:cs="Times New Roman"/>
                <w:color w:val="auto"/>
                <w:sz w:val="21"/>
                <w:szCs w:val="21"/>
                <w:highlight w:val="none"/>
              </w:rPr>
            </w:pPr>
            <w:r>
              <w:rPr>
                <w:rFonts w:cs="Times New Roman"/>
                <w:color w:val="auto"/>
                <w:sz w:val="21"/>
                <w:szCs w:val="21"/>
                <w:highlight w:val="none"/>
              </w:rPr>
              <w:t>属于监狱企业的证明文件（若属于监狱企业）</w:t>
            </w:r>
          </w:p>
          <w:p>
            <w:pPr>
              <w:adjustRightInd w:val="0"/>
              <w:snapToGrid w:val="0"/>
              <w:spacing w:line="288" w:lineRule="auto"/>
              <w:rPr>
                <w:rFonts w:cs="Times New Roman"/>
                <w:color w:val="auto"/>
                <w:sz w:val="21"/>
                <w:szCs w:val="21"/>
                <w:highlight w:val="none"/>
              </w:rPr>
            </w:pPr>
            <w:r>
              <w:rPr>
                <w:rFonts w:cs="Times New Roman"/>
                <w:color w:val="auto"/>
                <w:sz w:val="21"/>
                <w:szCs w:val="21"/>
                <w:highlight w:val="none"/>
              </w:rPr>
              <w:t>残疾人福利性单位声明函（若属于残疾人福利性单位）</w:t>
            </w:r>
          </w:p>
          <w:p>
            <w:pPr>
              <w:adjustRightInd w:val="0"/>
              <w:snapToGrid w:val="0"/>
              <w:spacing w:line="288" w:lineRule="auto"/>
              <w:rPr>
                <w:b/>
                <w:bCs/>
                <w:color w:val="auto"/>
                <w:sz w:val="21"/>
                <w:szCs w:val="21"/>
                <w:highlight w:val="none"/>
              </w:rPr>
            </w:pPr>
            <w:r>
              <w:rPr>
                <w:rFonts w:hint="eastAsia" w:cs="Times New Roman"/>
                <w:color w:val="auto"/>
                <w:sz w:val="21"/>
                <w:szCs w:val="21"/>
                <w:highlight w:val="none"/>
              </w:rPr>
              <w:t>（</w:t>
            </w:r>
            <w:r>
              <w:rPr>
                <w:rFonts w:cs="Times New Roman"/>
                <w:color w:val="auto"/>
                <w:sz w:val="21"/>
                <w:szCs w:val="21"/>
                <w:highlight w:val="none"/>
              </w:rPr>
              <w:t>4）</w:t>
            </w:r>
            <w:r>
              <w:rPr>
                <w:rFonts w:hint="eastAsia" w:cs="Times New Roman"/>
                <w:color w:val="auto"/>
                <w:sz w:val="21"/>
                <w:szCs w:val="21"/>
                <w:highlight w:val="none"/>
              </w:rPr>
              <w:t>本项目的特定资格要求</w:t>
            </w:r>
            <w:r>
              <w:rPr>
                <w:rFonts w:cs="Times New Roman"/>
                <w:color w:val="auto"/>
                <w:sz w:val="21"/>
                <w:szCs w:val="21"/>
                <w:highlight w:val="none"/>
              </w:rPr>
              <w:t>证明材料：无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w:t>
            </w:r>
          </w:p>
        </w:tc>
        <w:tc>
          <w:tcPr>
            <w:tcW w:w="1701" w:type="dxa"/>
            <w:vAlign w:val="center"/>
          </w:tcPr>
          <w:p>
            <w:pPr>
              <w:adjustRightInd w:val="0"/>
              <w:snapToGrid w:val="0"/>
              <w:spacing w:line="288" w:lineRule="auto"/>
              <w:jc w:val="center"/>
              <w:rPr>
                <w:color w:val="auto"/>
                <w:sz w:val="21"/>
                <w:szCs w:val="21"/>
                <w:highlight w:val="none"/>
              </w:rPr>
            </w:pPr>
            <w:r>
              <w:rPr>
                <w:rFonts w:hint="eastAsia"/>
                <w:b/>
                <w:bCs/>
                <w:color w:val="auto"/>
                <w:sz w:val="21"/>
                <w:szCs w:val="21"/>
                <w:highlight w:val="none"/>
              </w:rPr>
              <w:t>响应文件份数</w:t>
            </w:r>
          </w:p>
        </w:tc>
        <w:tc>
          <w:tcPr>
            <w:tcW w:w="6663" w:type="dxa"/>
            <w:vAlign w:val="center"/>
          </w:tcPr>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21楼H室，浙江求是招标代理有限公司（俞炳）收，电话：0571-87670302，寄出后将（快递单号、项目名称、公司名称、联系方式等相关信息）发至：zb02@qszb.net，以便查收）。</w:t>
            </w:r>
          </w:p>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特别说明：双休日和法定节假日不收件，供应商自行承担邮寄风险。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（十一）</w:t>
            </w:r>
          </w:p>
        </w:tc>
        <w:tc>
          <w:tcPr>
            <w:tcW w:w="1701" w:type="dxa"/>
            <w:vAlign w:val="center"/>
          </w:tcPr>
          <w:p>
            <w:pPr>
              <w:adjustRightInd w:val="0"/>
              <w:snapToGrid w:val="0"/>
              <w:spacing w:line="288" w:lineRule="auto"/>
              <w:jc w:val="center"/>
              <w:rPr>
                <w:color w:val="auto"/>
                <w:sz w:val="21"/>
                <w:szCs w:val="21"/>
                <w:highlight w:val="none"/>
              </w:rPr>
            </w:pPr>
            <w:r>
              <w:rPr>
                <w:rFonts w:hint="eastAsia"/>
                <w:b/>
                <w:bCs/>
                <w:color w:val="auto"/>
                <w:sz w:val="21"/>
                <w:szCs w:val="21"/>
                <w:highlight w:val="none"/>
              </w:rPr>
              <w:t>磋商报价</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报价应按磋商文件要求的格式编制、填写报价内容（可自行增行），未按磋商文件要求编制、填写的响应文件可能被拒绝；</w:t>
            </w:r>
          </w:p>
          <w:p>
            <w:pPr>
              <w:adjustRightInd w:val="0"/>
              <w:snapToGrid w:val="0"/>
              <w:spacing w:line="288" w:lineRule="auto"/>
              <w:rPr>
                <w:color w:val="auto"/>
                <w:sz w:val="21"/>
                <w:szCs w:val="21"/>
                <w:highlight w:val="none"/>
              </w:rPr>
            </w:pPr>
            <w:r>
              <w:rPr>
                <w:color w:val="auto"/>
                <w:sz w:val="21"/>
                <w:szCs w:val="21"/>
                <w:highlight w:val="none"/>
              </w:rPr>
              <w:t>2</w:t>
            </w:r>
            <w:r>
              <w:rPr>
                <w:rFonts w:hint="eastAsia"/>
                <w:color w:val="auto"/>
                <w:sz w:val="21"/>
                <w:szCs w:val="21"/>
                <w:highlight w:val="none"/>
              </w:rPr>
              <w:t>.本次磋商采用人民币报价；</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.最后磋商报价是履行合同的最终价格，有关本项目实施所涉及的一切费用均计入报价。</w:t>
            </w:r>
          </w:p>
          <w:p>
            <w:pPr>
              <w:adjustRightInd w:val="0"/>
              <w:snapToGrid w:val="0"/>
              <w:spacing w:line="288" w:lineRule="auto"/>
              <w:rPr>
                <w:color w:val="auto"/>
                <w:sz w:val="21"/>
                <w:szCs w:val="21"/>
                <w:highlight w:val="none"/>
              </w:rPr>
            </w:pPr>
            <w:r>
              <w:rPr>
                <w:rFonts w:hint="eastAsia"/>
                <w:color w:val="auto"/>
                <w:sz w:val="21"/>
                <w:szCs w:val="21"/>
                <w:highlight w:val="none"/>
              </w:rPr>
              <w:t>▲</w:t>
            </w:r>
            <w:r>
              <w:rPr>
                <w:color w:val="auto"/>
                <w:sz w:val="21"/>
                <w:szCs w:val="21"/>
                <w:highlight w:val="none"/>
              </w:rPr>
              <w:t>4.</w:t>
            </w:r>
            <w:r>
              <w:rPr>
                <w:rFonts w:hint="eastAsia"/>
                <w:color w:val="auto"/>
                <w:sz w:val="21"/>
                <w:szCs w:val="21"/>
                <w:highlight w:val="none"/>
              </w:rPr>
              <w:t>采购人将以合同形式有偿取得货物或服务，不接受供应商给予的赠品、回扣或者与采购无关的其他商品、服务，不得出现“0元”“免费赠送”等形式的无偿报价，否则视为响应文件含有采购人不能接受的附加条件的，响应无效</w:t>
            </w:r>
            <w:r>
              <w:rPr>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（十二）</w:t>
            </w:r>
          </w:p>
        </w:tc>
        <w:tc>
          <w:tcPr>
            <w:tcW w:w="1701" w:type="dxa"/>
            <w:vAlign w:val="center"/>
          </w:tcPr>
          <w:p>
            <w:pPr>
              <w:adjustRightInd w:val="0"/>
              <w:snapToGrid w:val="0"/>
              <w:spacing w:line="288" w:lineRule="auto"/>
              <w:jc w:val="center"/>
              <w:rPr>
                <w:color w:val="auto"/>
                <w:sz w:val="21"/>
                <w:szCs w:val="21"/>
                <w:highlight w:val="none"/>
              </w:rPr>
            </w:pPr>
            <w:r>
              <w:rPr>
                <w:rFonts w:hint="eastAsia"/>
                <w:b/>
                <w:bCs/>
                <w:color w:val="auto"/>
                <w:sz w:val="21"/>
                <w:szCs w:val="21"/>
                <w:highlight w:val="none"/>
              </w:rPr>
              <w:t>响应有效期</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（十三）</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评审方法和评审标准</w:t>
            </w:r>
          </w:p>
        </w:tc>
        <w:tc>
          <w:tcPr>
            <w:tcW w:w="6663" w:type="dxa"/>
            <w:vAlign w:val="center"/>
          </w:tcPr>
          <w:p>
            <w:pPr>
              <w:adjustRightInd w:val="0"/>
              <w:snapToGrid w:val="0"/>
              <w:spacing w:line="288" w:lineRule="auto"/>
              <w:rPr>
                <w:color w:val="auto"/>
                <w:sz w:val="21"/>
                <w:szCs w:val="21"/>
                <w:highlight w:val="none"/>
              </w:rPr>
            </w:pPr>
            <w:r>
              <w:rPr>
                <w:color w:val="auto"/>
                <w:sz w:val="21"/>
                <w:szCs w:val="21"/>
                <w:highlight w:val="none"/>
              </w:rPr>
              <w:t>详见“</w:t>
            </w:r>
            <w:r>
              <w:rPr>
                <w:rFonts w:hint="eastAsia"/>
                <w:color w:val="auto"/>
                <w:sz w:val="21"/>
                <w:szCs w:val="21"/>
                <w:highlight w:val="none"/>
              </w:rPr>
              <w:t>第四章  评审方法和评审标准</w:t>
            </w:r>
            <w:r>
              <w:rPr>
                <w:color w:val="auto"/>
                <w:sz w:val="21"/>
                <w:szCs w:val="21"/>
                <w:highlight w:val="none"/>
              </w:rPr>
              <w:t>”</w:t>
            </w:r>
            <w:r>
              <w:rPr>
                <w:rFonts w:hint="eastAsia"/>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color w:val="auto"/>
                <w:sz w:val="21"/>
                <w:szCs w:val="21"/>
                <w:highlight w:val="none"/>
              </w:rPr>
              <w:t>（</w:t>
            </w:r>
            <w:r>
              <w:rPr>
                <w:rFonts w:hint="eastAsia"/>
                <w:color w:val="auto"/>
                <w:sz w:val="21"/>
                <w:szCs w:val="21"/>
                <w:highlight w:val="none"/>
              </w:rPr>
              <w:t>十四</w:t>
            </w:r>
            <w:r>
              <w:rPr>
                <w:color w:val="auto"/>
                <w:sz w:val="21"/>
                <w:szCs w:val="21"/>
                <w:highlight w:val="none"/>
              </w:rPr>
              <w:t>）</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评审结果公示</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评审结果公示媒体：浙江政府采购网（http://zfcg.czt.zj.gov.cn）。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（十五）</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签订合同</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成交通知书发出之日起30日内。</w:t>
            </w:r>
          </w:p>
        </w:tc>
      </w:tr>
    </w:tbl>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一、总则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供应商应仔细阅读磋商文件的所有内容，按照磋商文件的要求提交响应文件，并对所提供的全部资料的真实性承担法律责任。</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（一）适用范围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本磋商文件适用于杭州电子科技大学大数据工程技术人员实训平台的磋商、评审、成交、验收、合同履约、付款等（法律、法规另有规定的，从其规定）。</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（二）定义</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1.“采购人”系指杭州电子科技大学；</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2.“采购代理机构”系指组织本次竞争性磋商的浙江求是招标代理有限公司；</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3.“供应商”系指响应磋商、参加竞争的法人、其他组织或者自然人；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4.“书面形式”包括合同书、信件和数据电文(包括电报、电传、传真、电子数据交换和电子邮件)等可以有形地表现所载内容的形式；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pPr>
        <w:adjustRightInd w:val="0"/>
        <w:snapToGrid w:val="0"/>
        <w:spacing w:line="288" w:lineRule="auto"/>
        <w:ind w:firstLine="420" w:firstLineChars="200"/>
        <w:jc w:val="left"/>
        <w:rPr>
          <w:rFonts w:cs="Times New Roman"/>
          <w:color w:val="auto"/>
          <w:sz w:val="21"/>
          <w:szCs w:val="21"/>
          <w:highlight w:val="none"/>
        </w:rPr>
      </w:pPr>
      <w:r>
        <w:rPr>
          <w:rFonts w:cs="Times New Roman"/>
          <w:color w:val="auto"/>
          <w:sz w:val="21"/>
          <w:szCs w:val="21"/>
          <w:highlight w:val="none"/>
        </w:rPr>
        <w:t>“电子签名”系指数据电文中以电子形式所含、所附用于识别签名人身份并表明签名人认可其中内容的数据；</w:t>
      </w:r>
      <w:r>
        <w:rPr>
          <w:rFonts w:hint="eastAsia" w:cs="Times New Roman"/>
          <w:color w:val="auto"/>
          <w:sz w:val="21"/>
          <w:szCs w:val="21"/>
          <w:highlight w:val="none"/>
        </w:rPr>
        <w:t>“公章”系指单位法定名称章。因特殊原因需要使用冠以法定名称的业务专用章的，响应时须提供《业务专用章使用说明函》（附件1）。</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磋商文件对响应文件签署、盖章的要求适用于电子签名。</w:t>
      </w:r>
    </w:p>
    <w:p>
      <w:pPr>
        <w:adjustRightInd w:val="0"/>
        <w:snapToGrid w:val="0"/>
        <w:spacing w:line="288" w:lineRule="auto"/>
        <w:ind w:firstLine="420" w:firstLineChars="200"/>
        <w:rPr>
          <w:color w:val="auto"/>
          <w:sz w:val="21"/>
          <w:szCs w:val="21"/>
          <w:highlight w:val="none"/>
        </w:rPr>
      </w:pPr>
      <w:r>
        <w:rPr>
          <w:color w:val="auto"/>
          <w:sz w:val="21"/>
          <w:szCs w:val="21"/>
          <w:highlight w:val="none"/>
        </w:rPr>
        <w:t>6</w:t>
      </w:r>
      <w:r>
        <w:rPr>
          <w:rFonts w:hint="eastAsia"/>
          <w:color w:val="auto"/>
          <w:sz w:val="21"/>
          <w:szCs w:val="21"/>
          <w:highlight w:val="none"/>
        </w:rPr>
        <w:t>.“▲”系指实质性要求条款，供应商应当做出实质性响应。</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（三）采购方式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本次采购采用竞争性磋商（线上电子交易）方式进行。</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（四）竞争性磋商委托</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▲1.供应商代表是法定代表人（单位负责人、自然人本人）的，须提供本人身份证明。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▲2.供应商代表不是法定代表人（单位负责人、自然人本人）的，须提供授权委托书（格式详见磋商文件第六章）和授权代表社保缴纳证明（2022年12月（含）以后任意一月）；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▲3.供应商委派不在本单位缴纳社保的人员作为授权代表的，应当在响应文件中，说明具体原因、授权代表缴纳社保的单位，并附列该授权代表缴纳社保清单。</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（五）磋商费用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1.不论磋商结果如何，供应商均应自行承担所有与磋商有关的全部费用；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代理服务费收费标准：成交金额的1.05%，不足3000元的按3000元计。</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5.磋商保证金（元）：无</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（六）联合体响应</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本项目接受联合体响应。</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两个以上的自然人、法人或者其他组织可以组成一个联合体，以一个供应商的身份共同参加政府采购。</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（七）转包与分包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lang w:bidi="ar"/>
        </w:rPr>
        <w:t>1.本项目不允许转包；</w:t>
      </w:r>
    </w:p>
    <w:p>
      <w:pPr>
        <w:adjustRightInd w:val="0"/>
        <w:snapToGrid w:val="0"/>
        <w:spacing w:line="288" w:lineRule="auto"/>
        <w:ind w:firstLine="420" w:firstLineChars="200"/>
        <w:rPr>
          <w:rFonts w:cs="Times New Roman"/>
          <w:color w:val="auto"/>
          <w:sz w:val="21"/>
          <w:szCs w:val="21"/>
          <w:highlight w:val="none"/>
        </w:rPr>
      </w:pPr>
      <w:r>
        <w:rPr>
          <w:rFonts w:hint="eastAsia" w:cs="Times New Roman"/>
          <w:color w:val="auto"/>
          <w:sz w:val="21"/>
          <w:szCs w:val="21"/>
          <w:highlight w:val="none"/>
          <w:lang w:bidi="ar"/>
        </w:rPr>
        <w:t>2.</w:t>
      </w:r>
      <w:r>
        <w:rPr>
          <w:rFonts w:hint="eastAsia"/>
          <w:color w:val="auto"/>
          <w:sz w:val="21"/>
          <w:szCs w:val="21"/>
          <w:highlight w:val="none"/>
          <w:lang w:bidi="ar"/>
        </w:rPr>
        <w:t>供应商根据磋商文件的规定和采购项目的实际情况，拟在成交后将成交项目的非主体、非关键性工作分包的，应当在响应文件中载明分包承担主体，分包承担主体应当具备相应资质条件且不得再次分包。</w:t>
      </w:r>
    </w:p>
    <w:p>
      <w:pPr>
        <w:adjustRightInd w:val="0"/>
        <w:snapToGrid w:val="0"/>
        <w:spacing w:line="288" w:lineRule="auto"/>
        <w:ind w:firstLine="396" w:firstLineChars="200"/>
        <w:rPr>
          <w:color w:val="auto"/>
          <w:sz w:val="21"/>
          <w:szCs w:val="21"/>
          <w:highlight w:val="none"/>
        </w:rPr>
      </w:pPr>
      <w:r>
        <w:rPr>
          <w:rFonts w:hint="eastAsia" w:cs="Times New Roman"/>
          <w:color w:val="auto"/>
          <w:spacing w:val="-6"/>
          <w:sz w:val="21"/>
          <w:szCs w:val="21"/>
          <w:highlight w:val="none"/>
          <w:lang w:bidi="ar"/>
        </w:rPr>
        <w:t>3.可以分包履行的（非主体、非关键性的工作）具体内容、金额或者比例：</w:t>
      </w:r>
      <w:r>
        <w:rPr>
          <w:rFonts w:hint="eastAsia" w:cs="Times New Roman"/>
          <w:color w:val="auto"/>
          <w:spacing w:val="-6"/>
          <w:sz w:val="21"/>
          <w:szCs w:val="21"/>
          <w:highlight w:val="none"/>
          <w:u w:val="single"/>
          <w:lang w:bidi="ar"/>
        </w:rPr>
        <w:t>教学资源包</w:t>
      </w:r>
      <w:r>
        <w:rPr>
          <w:rFonts w:hint="eastAsia"/>
          <w:color w:val="auto"/>
          <w:spacing w:val="-6"/>
          <w:sz w:val="21"/>
          <w:szCs w:val="21"/>
          <w:highlight w:val="none"/>
          <w:lang w:bidi="ar"/>
        </w:rPr>
        <w:t>。</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（八）质疑和投诉</w:t>
      </w:r>
    </w:p>
    <w:p>
      <w:pPr>
        <w:adjustRightInd w:val="0"/>
        <w:snapToGrid w:val="0"/>
        <w:spacing w:line="288" w:lineRule="auto"/>
        <w:ind w:firstLine="396" w:firstLineChars="200"/>
        <w:jc w:val="left"/>
        <w:rPr>
          <w:rFonts w:cs="Times New Roman"/>
          <w:color w:val="auto"/>
          <w:spacing w:val="-6"/>
          <w:sz w:val="21"/>
          <w:szCs w:val="21"/>
          <w:highlight w:val="none"/>
        </w:rPr>
      </w:pPr>
      <w:bookmarkStart w:id="33" w:name="_Hlk92273406"/>
      <w:bookmarkStart w:id="34" w:name="_Hlk71884065"/>
      <w:r>
        <w:rPr>
          <w:rFonts w:hint="eastAsia" w:cs="Times New Roman"/>
          <w:color w:val="auto"/>
          <w:spacing w:val="-6"/>
          <w:sz w:val="21"/>
          <w:szCs w:val="21"/>
          <w:highlight w:val="none"/>
        </w:rPr>
        <w:t>1</w:t>
      </w:r>
      <w:r>
        <w:rPr>
          <w:rFonts w:cs="Times New Roman"/>
          <w:color w:val="auto"/>
          <w:spacing w:val="-6"/>
          <w:sz w:val="21"/>
          <w:szCs w:val="21"/>
          <w:highlight w:val="none"/>
        </w:rPr>
        <w:t>.</w:t>
      </w:r>
      <w:r>
        <w:rPr>
          <w:rFonts w:hint="eastAsia" w:cs="Times New Roman"/>
          <w:color w:val="auto"/>
          <w:spacing w:val="-6"/>
          <w:sz w:val="21"/>
          <w:szCs w:val="21"/>
          <w:highlight w:val="none"/>
        </w:rPr>
        <w:t>供应商认为采购文件、采购过程、中标或者成交结果使自己的权益受到损害的，可以在知道或者应知其权益受到损害之日起</w:t>
      </w:r>
      <w:r>
        <w:rPr>
          <w:rFonts w:cs="Times New Roman"/>
          <w:color w:val="auto"/>
          <w:spacing w:val="-6"/>
          <w:sz w:val="21"/>
          <w:szCs w:val="21"/>
          <w:highlight w:val="none"/>
        </w:rPr>
        <w:t>7个工作日内，以书面形式向采购人、采购代理机构提出质疑。</w:t>
      </w:r>
      <w:r>
        <w:rPr>
          <w:rFonts w:hint="eastAsia" w:cs="Times New Roman"/>
          <w:color w:val="auto"/>
          <w:spacing w:val="-6"/>
          <w:sz w:val="21"/>
          <w:szCs w:val="21"/>
          <w:highlight w:val="none"/>
        </w:rPr>
        <w:t>质疑供应商对采购人、采购代理机构的答复不满意，或者采购人、采购代理机构未在规定时间内作出答复的，可以在答复期满后</w:t>
      </w:r>
      <w:r>
        <w:rPr>
          <w:rFonts w:cs="Times New Roman"/>
          <w:color w:val="auto"/>
          <w:spacing w:val="-6"/>
          <w:sz w:val="21"/>
          <w:szCs w:val="21"/>
          <w:highlight w:val="none"/>
        </w:rPr>
        <w:t>15个工作日内向</w:t>
      </w:r>
      <w:r>
        <w:rPr>
          <w:rFonts w:hint="eastAsia" w:cs="Times New Roman"/>
          <w:color w:val="auto"/>
          <w:spacing w:val="-6"/>
          <w:sz w:val="21"/>
          <w:szCs w:val="21"/>
          <w:highlight w:val="none"/>
        </w:rPr>
        <w:t>本级财政部门</w:t>
      </w:r>
      <w:r>
        <w:rPr>
          <w:rFonts w:cs="Times New Roman"/>
          <w:color w:val="auto"/>
          <w:spacing w:val="-6"/>
          <w:sz w:val="21"/>
          <w:szCs w:val="21"/>
          <w:highlight w:val="none"/>
        </w:rPr>
        <w:t>提起投诉。</w:t>
      </w:r>
      <w:bookmarkEnd w:id="33"/>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2.供应商提出质疑应当提交质疑函和必要的证明材料，质疑函范本、投诉书范本请到浙江政府采购网下载专区</w:t>
      </w:r>
      <w:r>
        <w:rPr>
          <w:b/>
          <w:bCs/>
          <w:color w:val="auto"/>
          <w:sz w:val="21"/>
          <w:szCs w:val="21"/>
          <w:highlight w:val="none"/>
        </w:rPr>
        <w:t>下载。</w:t>
      </w:r>
      <w:r>
        <w:rPr>
          <w:rFonts w:hint="eastAsia"/>
          <w:b/>
          <w:bCs/>
          <w:color w:val="auto"/>
          <w:sz w:val="21"/>
          <w:szCs w:val="21"/>
          <w:highlight w:val="none"/>
        </w:rPr>
        <w:t>质疑函应当包括下列内容：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（1）供应商的姓名或者名称、地址、邮编、联系人及联系电话；</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（2）质疑项目的名称、编号；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（3）具体、明确的质疑事项和与质疑事项相关的请求；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（4）事实依据；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（5）必要的法律依据；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（6）提出质疑的日期。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供应商为自然人的，应当由本人签名；供应商为法人或者其他组织的，应当由法定代表人、主要负责人，或者其授权代表签名或者盖章，并加盖公章。</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3.提出质疑的供应商应当是参与本项目磋商响应活动的供应商。</w:t>
      </w:r>
      <w:r>
        <w:rPr>
          <w:rFonts w:hint="eastAsia"/>
          <w:b/>
          <w:bCs/>
          <w:color w:val="auto"/>
          <w:sz w:val="21"/>
          <w:szCs w:val="21"/>
          <w:highlight w:val="none"/>
        </w:rPr>
        <w:t>供应商在法定质疑期内应一次性提出针对同一采购程序环节的质疑。</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4.根据《政府采购质疑和投诉办法》第三十七条的规定，投诉人在全国范围12个月内三次以上投诉查无实据的，由财政部门列入不良行为记录名单。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投诉人有下列行为之一的，属于虚假、恶意投诉，由财政部门列入不良行为记录名单，禁止其1至3年内参加政府采购活动：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（1）捏造事实；</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（2）提供虚假材料；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（3）以非法手段取得证明材料。证据来源的合法性存在明显疑问，投诉人无法证明其取得方式合法的，视为以非法手段取得证明材料。</w:t>
      </w:r>
    </w:p>
    <w:bookmarkEnd w:id="34"/>
    <w:p>
      <w:pPr>
        <w:adjustRightInd w:val="0"/>
        <w:snapToGrid w:val="0"/>
        <w:spacing w:line="288" w:lineRule="auto"/>
        <w:outlineLvl w:val="2"/>
        <w:rPr>
          <w:b/>
          <w:color w:val="auto"/>
          <w:spacing w:val="-6"/>
          <w:kern w:val="0"/>
          <w:sz w:val="21"/>
          <w:szCs w:val="21"/>
          <w:highlight w:val="none"/>
        </w:rPr>
      </w:pPr>
      <w:bookmarkStart w:id="35" w:name="_Hlk92273111"/>
      <w:r>
        <w:rPr>
          <w:b/>
          <w:color w:val="auto"/>
          <w:spacing w:val="-6"/>
          <w:kern w:val="0"/>
          <w:sz w:val="21"/>
          <w:szCs w:val="21"/>
          <w:highlight w:val="none"/>
        </w:rPr>
        <w:t>（</w:t>
      </w:r>
      <w:r>
        <w:rPr>
          <w:rFonts w:hint="eastAsia"/>
          <w:b/>
          <w:color w:val="auto"/>
          <w:spacing w:val="-6"/>
          <w:kern w:val="0"/>
          <w:sz w:val="21"/>
          <w:szCs w:val="21"/>
          <w:highlight w:val="none"/>
        </w:rPr>
        <w:t>九</w:t>
      </w:r>
      <w:r>
        <w:rPr>
          <w:b/>
          <w:color w:val="auto"/>
          <w:spacing w:val="-6"/>
          <w:kern w:val="0"/>
          <w:sz w:val="21"/>
          <w:szCs w:val="21"/>
          <w:highlight w:val="none"/>
        </w:rPr>
        <w:t>）</w:t>
      </w:r>
      <w:r>
        <w:rPr>
          <w:rFonts w:hint="eastAsia"/>
          <w:b/>
          <w:color w:val="auto"/>
          <w:spacing w:val="-6"/>
          <w:kern w:val="0"/>
          <w:sz w:val="21"/>
          <w:szCs w:val="21"/>
          <w:highlight w:val="none"/>
        </w:rPr>
        <w:t>采购项目需要落实的政府采购政策</w:t>
      </w:r>
    </w:p>
    <w:p>
      <w:pPr>
        <w:adjustRightInd w:val="0"/>
        <w:snapToGrid w:val="0"/>
        <w:spacing w:line="288" w:lineRule="auto"/>
        <w:ind w:firstLine="398" w:firstLineChars="200"/>
        <w:jc w:val="left"/>
        <w:rPr>
          <w:rFonts w:cs="Times New Roman"/>
          <w:color w:val="auto"/>
          <w:spacing w:val="-6"/>
          <w:sz w:val="21"/>
          <w:szCs w:val="21"/>
          <w:highlight w:val="none"/>
        </w:rPr>
      </w:pPr>
      <w:r>
        <w:rPr>
          <w:rFonts w:hint="eastAsia" w:cs="Times New Roman"/>
          <w:b/>
          <w:bCs/>
          <w:color w:val="auto"/>
          <w:spacing w:val="-6"/>
          <w:sz w:val="21"/>
          <w:szCs w:val="21"/>
          <w:highlight w:val="none"/>
        </w:rPr>
        <w:t>1</w:t>
      </w:r>
      <w:r>
        <w:rPr>
          <w:rFonts w:cs="Times New Roman"/>
          <w:b/>
          <w:bCs/>
          <w:color w:val="auto"/>
          <w:spacing w:val="-6"/>
          <w:sz w:val="21"/>
          <w:szCs w:val="21"/>
          <w:highlight w:val="none"/>
        </w:rPr>
        <w:t>.</w:t>
      </w:r>
      <w:r>
        <w:rPr>
          <w:rFonts w:cs="Times New Roman"/>
          <w:color w:val="auto"/>
          <w:spacing w:val="-6"/>
          <w:sz w:val="21"/>
          <w:szCs w:val="21"/>
          <w:highlight w:val="none"/>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机构不会对其加以限制，仍将按照公平竞争原则实施采购）。</w:t>
      </w:r>
    </w:p>
    <w:p>
      <w:pPr>
        <w:adjustRightInd w:val="0"/>
        <w:snapToGrid w:val="0"/>
        <w:spacing w:line="288" w:lineRule="auto"/>
        <w:ind w:firstLine="398" w:firstLineChars="200"/>
        <w:jc w:val="left"/>
        <w:rPr>
          <w:rFonts w:cs="Times New Roman"/>
          <w:b/>
          <w:bCs/>
          <w:color w:val="auto"/>
          <w:spacing w:val="-6"/>
          <w:sz w:val="21"/>
          <w:szCs w:val="21"/>
          <w:highlight w:val="none"/>
        </w:rPr>
      </w:pPr>
      <w:r>
        <w:rPr>
          <w:rFonts w:cs="Times New Roman"/>
          <w:b/>
          <w:bCs/>
          <w:color w:val="auto"/>
          <w:spacing w:val="-6"/>
          <w:sz w:val="21"/>
          <w:szCs w:val="21"/>
          <w:highlight w:val="none"/>
        </w:rPr>
        <w:t>2.支持绿色发展</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供应商须按磋商文件要求提供相关产品认证证书。</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▲采购人拟采购的产品属于政府强制采购的节能产品品目清单范围的，供应商未按磋商文件要求提供国家确定的认证机构出具的、有效的节能产品认证证书的，</w:t>
      </w:r>
      <w:r>
        <w:rPr>
          <w:rFonts w:hint="eastAsia" w:cs="Times New Roman"/>
          <w:color w:val="auto"/>
          <w:spacing w:val="-6"/>
          <w:sz w:val="21"/>
          <w:szCs w:val="21"/>
          <w:highlight w:val="none"/>
          <w:u w:val="single"/>
        </w:rPr>
        <w:t>响应</w:t>
      </w:r>
      <w:r>
        <w:rPr>
          <w:rFonts w:cs="Times New Roman"/>
          <w:color w:val="auto"/>
          <w:spacing w:val="-6"/>
          <w:sz w:val="21"/>
          <w:szCs w:val="21"/>
          <w:highlight w:val="none"/>
          <w:u w:val="single"/>
        </w:rPr>
        <w:t>无效。</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修缮、装修类项目采购建材的，采购人应将绿色建筑和绿色建材性能、指标等作为实质性条件纳入磋商文件和合同。</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pPr>
        <w:adjustRightInd w:val="0"/>
        <w:snapToGrid w:val="0"/>
        <w:spacing w:line="288" w:lineRule="auto"/>
        <w:ind w:firstLine="398" w:firstLineChars="200"/>
        <w:jc w:val="left"/>
        <w:rPr>
          <w:rFonts w:cs="Times New Roman"/>
          <w:b/>
          <w:bCs/>
          <w:color w:val="auto"/>
          <w:spacing w:val="-6"/>
          <w:sz w:val="21"/>
          <w:szCs w:val="21"/>
          <w:highlight w:val="none"/>
        </w:rPr>
      </w:pPr>
      <w:r>
        <w:rPr>
          <w:rFonts w:hint="eastAsia" w:cs="Times New Roman"/>
          <w:b/>
          <w:bCs/>
          <w:color w:val="auto"/>
          <w:spacing w:val="-6"/>
          <w:sz w:val="21"/>
          <w:szCs w:val="21"/>
          <w:highlight w:val="none"/>
        </w:rPr>
        <w:t>3.支持科技创新</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优先推荐专精特新中小企业、创新产品参加政府采购活动。对省级以上主管部门认定的首台套产品，自纳入《省推广应用指导目录》起三年内参加政府采购活动，视同已具备相应销售业绩，业绩分为满分。</w:t>
      </w:r>
    </w:p>
    <w:p>
      <w:pPr>
        <w:adjustRightInd w:val="0"/>
        <w:snapToGrid w:val="0"/>
        <w:spacing w:line="288" w:lineRule="auto"/>
        <w:ind w:firstLine="398" w:firstLineChars="200"/>
        <w:jc w:val="left"/>
        <w:rPr>
          <w:rFonts w:cs="Times New Roman"/>
          <w:b/>
          <w:bCs/>
          <w:color w:val="auto"/>
          <w:spacing w:val="-6"/>
          <w:sz w:val="21"/>
          <w:szCs w:val="21"/>
          <w:highlight w:val="none"/>
        </w:rPr>
      </w:pPr>
      <w:r>
        <w:rPr>
          <w:rFonts w:hint="eastAsia" w:cs="Times New Roman"/>
          <w:b/>
          <w:bCs/>
          <w:color w:val="auto"/>
          <w:spacing w:val="-6"/>
          <w:sz w:val="21"/>
          <w:szCs w:val="21"/>
          <w:highlight w:val="none"/>
        </w:rPr>
        <w:t>4</w:t>
      </w:r>
      <w:r>
        <w:rPr>
          <w:rFonts w:cs="Times New Roman"/>
          <w:b/>
          <w:bCs/>
          <w:color w:val="auto"/>
          <w:spacing w:val="-6"/>
          <w:sz w:val="21"/>
          <w:szCs w:val="21"/>
          <w:highlight w:val="none"/>
        </w:rPr>
        <w:t>.支持中小企业发展</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符合中小企业划分标准的个体工商户，在政府采购活动中视同中小企业。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在政府采购活动中，供应商提供的货物、工程或者服务符合下列情形的，享受中小企业扶持政策：</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在货物采购项目中，供应商提供的货物既有中小企业制造货物，也有大型企业制造货物的，不享受中小企业扶持政策。</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以联合体形式参加政府采购活动，联合体各方均为中小企业的，联合体视同中小企业。其中，联合体各方均为小微企业的，联合体视同小微企业。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对于未预留份额专门面向中小企业的政府采购货物或服务项目，以及预留份额政府采购货物或服务项目中的非预留部分标项，对小型和微型企业的</w:t>
      </w:r>
      <w:r>
        <w:rPr>
          <w:rFonts w:hint="eastAsia" w:cs="Times New Roman"/>
          <w:color w:val="auto"/>
          <w:spacing w:val="-6"/>
          <w:sz w:val="21"/>
          <w:szCs w:val="21"/>
          <w:highlight w:val="none"/>
        </w:rPr>
        <w:t>最后</w:t>
      </w:r>
      <w:r>
        <w:rPr>
          <w:rFonts w:cs="Times New Roman"/>
          <w:color w:val="auto"/>
          <w:spacing w:val="-6"/>
          <w:sz w:val="21"/>
          <w:szCs w:val="21"/>
          <w:highlight w:val="none"/>
        </w:rPr>
        <w:t>报价给予</w:t>
      </w:r>
      <w:r>
        <w:rPr>
          <w:rFonts w:hint="eastAsia" w:cs="Times New Roman"/>
          <w:color w:val="auto"/>
          <w:spacing w:val="-6"/>
          <w:sz w:val="21"/>
          <w:szCs w:val="21"/>
          <w:highlight w:val="none"/>
          <w:lang w:eastAsia="zh-CN"/>
        </w:rPr>
        <w:t>10%</w:t>
      </w:r>
      <w:r>
        <w:rPr>
          <w:rFonts w:cs="Times New Roman"/>
          <w:color w:val="auto"/>
          <w:spacing w:val="-6"/>
          <w:sz w:val="21"/>
          <w:szCs w:val="21"/>
          <w:highlight w:val="none"/>
        </w:rPr>
        <w:t>的扣除，用扣除后的价格参与评审。接受大中型企业与小微企业组成联合体或者允许大中型企业向一家或者多家小微企业分包的政府采购货物或服务项目，对于联合协议或者分包意向协议约定小微企业的合同份额占到合同总金额30%以上的，对联合体或者大中型企业的报价给予</w:t>
      </w:r>
      <w:r>
        <w:rPr>
          <w:rFonts w:hint="eastAsia" w:cs="Times New Roman"/>
          <w:color w:val="auto"/>
          <w:spacing w:val="-6"/>
          <w:sz w:val="21"/>
          <w:szCs w:val="21"/>
          <w:highlight w:val="none"/>
          <w:lang w:eastAsia="zh-CN"/>
        </w:rPr>
        <w:t>4%</w:t>
      </w:r>
      <w:r>
        <w:rPr>
          <w:rFonts w:cs="Times New Roman"/>
          <w:color w:val="auto"/>
          <w:spacing w:val="-6"/>
          <w:sz w:val="21"/>
          <w:szCs w:val="21"/>
          <w:highlight w:val="none"/>
        </w:rPr>
        <w:t>的扣除，用扣除后的价格参加评审。组成联合体或者接受分包的小微企业与联合体内其他企业、分包企业之间存在直接控</w:t>
      </w:r>
      <w:r>
        <w:rPr>
          <w:rFonts w:hint="eastAsia" w:cs="Times New Roman"/>
          <w:color w:val="auto"/>
          <w:spacing w:val="-6"/>
          <w:sz w:val="21"/>
          <w:szCs w:val="21"/>
          <w:highlight w:val="none"/>
        </w:rPr>
        <w:t>股、管理关系的，不享受价格扣除优惠政策。</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符合《关于促进残疾人就业政府采购政策的通知》（财库〔2017〕141号）规定的条件并提供《残疾人福利性单位声明函》的残疾人福利性单位视同小型、微型企业；</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符合《关于政府采购支持监狱企业发展有关问题的通知》（财库[2014]68号）规定的监狱企业并提供由省级以上监狱管理局、戒毒管理局（含新疆生产建设兵团）出具的属于监狱企业证明文件的，视同为小型、微型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可享受中小企业扶持政策的供应商应按照磋商文件格式要求提供《中小企业声明函》，供应商提供的《中小企业声明函》与实际情况不符的，不享受中小企业扶持政策。声明内容不实的，属于提供虚假材料谋取中标、成交的，依法承担法律责任。</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中小企业享受扶持政策获得政府采购合同的，小微企业不得将合同分包给大中型企业，中型企业不得将合同分包给大型企业。</w:t>
      </w:r>
      <w:bookmarkEnd w:id="35"/>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除财库</w:t>
      </w:r>
      <w:r>
        <w:rPr>
          <w:rFonts w:cs="Times New Roman"/>
          <w:color w:val="auto"/>
          <w:spacing w:val="-6"/>
          <w:sz w:val="21"/>
          <w:szCs w:val="21"/>
          <w:highlight w:val="none"/>
        </w:rPr>
        <w:t>《政府采购促进中小企业发展管理办法》</w:t>
      </w:r>
      <w:r>
        <w:rPr>
          <w:rFonts w:hint="eastAsia" w:cs="Times New Roman"/>
          <w:color w:val="auto"/>
          <w:spacing w:val="-6"/>
          <w:sz w:val="21"/>
          <w:szCs w:val="21"/>
          <w:highlight w:val="none"/>
        </w:rPr>
        <w:t>（财库〔</w:t>
      </w:r>
      <w:r>
        <w:rPr>
          <w:rFonts w:cs="Times New Roman"/>
          <w:color w:val="auto"/>
          <w:spacing w:val="-6"/>
          <w:sz w:val="21"/>
          <w:szCs w:val="21"/>
          <w:highlight w:val="none"/>
        </w:rPr>
        <w:t>2020〕46号</w:t>
      </w:r>
      <w:r>
        <w:rPr>
          <w:rFonts w:hint="eastAsia" w:cs="Times New Roman"/>
          <w:color w:val="auto"/>
          <w:spacing w:val="-6"/>
          <w:sz w:val="21"/>
          <w:szCs w:val="21"/>
          <w:highlight w:val="none"/>
        </w:rPr>
        <w:t>）、</w:t>
      </w:r>
      <w:r>
        <w:rPr>
          <w:rFonts w:cs="Times New Roman"/>
          <w:color w:val="auto"/>
          <w:spacing w:val="-6"/>
          <w:sz w:val="21"/>
          <w:szCs w:val="21"/>
          <w:highlight w:val="none"/>
        </w:rPr>
        <w:t>《关于促进残疾人就业政府采购政策的通知》（财库〔2017〕141号）</w:t>
      </w:r>
      <w:r>
        <w:rPr>
          <w:rFonts w:hint="eastAsia" w:cs="Times New Roman"/>
          <w:color w:val="auto"/>
          <w:spacing w:val="-6"/>
          <w:sz w:val="21"/>
          <w:szCs w:val="21"/>
          <w:highlight w:val="none"/>
        </w:rPr>
        <w:t>、</w:t>
      </w:r>
      <w:r>
        <w:rPr>
          <w:rFonts w:cs="Times New Roman"/>
          <w:color w:val="auto"/>
          <w:spacing w:val="-6"/>
          <w:sz w:val="21"/>
          <w:szCs w:val="21"/>
          <w:highlight w:val="none"/>
        </w:rPr>
        <w:t>《关于政府采购支持监狱企业发展有关问题的通知》（财库[2014]68号）规定企业类型以外的供应商不享受中小企业扶持政策</w:t>
      </w:r>
      <w:r>
        <w:rPr>
          <w:rFonts w:hint="eastAsia" w:cs="Times New Roman"/>
          <w:color w:val="auto"/>
          <w:spacing w:val="-6"/>
          <w:sz w:val="21"/>
          <w:szCs w:val="21"/>
          <w:highlight w:val="none"/>
        </w:rPr>
        <w:t>。</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二、磋商文件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（一）磋商文件的构成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本磋商文件由以下部分组成：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1.采购邀请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2.采购需求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3.供应商须知</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4.评审方法和评审标准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5.拟签订的合同文本</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6.响应文件格式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7.本项目磋商文件的澄清、答复、修改、补充的内容</w:t>
      </w:r>
    </w:p>
    <w:p>
      <w:pPr>
        <w:adjustRightInd w:val="0"/>
        <w:snapToGrid w:val="0"/>
        <w:spacing w:line="288" w:lineRule="auto"/>
        <w:rPr>
          <w:b/>
          <w:bCs/>
          <w:color w:val="auto"/>
          <w:sz w:val="21"/>
          <w:szCs w:val="21"/>
          <w:highlight w:val="none"/>
        </w:rPr>
      </w:pPr>
      <w:r>
        <w:rPr>
          <w:rFonts w:hint="eastAsia"/>
          <w:b/>
          <w:bCs/>
          <w:color w:val="auto"/>
          <w:sz w:val="21"/>
          <w:szCs w:val="21"/>
          <w:highlight w:val="none"/>
        </w:rPr>
        <w:t>（二）供应商的风险</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供应商没有按照磋商文件要求提供全部资料，或者供应商没有对磋商文件在各方面作出实质性响应是供应商的风险，并可能导致其响应被拒绝。</w:t>
      </w:r>
    </w:p>
    <w:p>
      <w:pPr>
        <w:adjustRightInd w:val="0"/>
        <w:snapToGrid w:val="0"/>
        <w:spacing w:line="288" w:lineRule="auto"/>
        <w:rPr>
          <w:b/>
          <w:bCs/>
          <w:color w:val="auto"/>
          <w:sz w:val="21"/>
          <w:szCs w:val="21"/>
          <w:highlight w:val="none"/>
        </w:rPr>
      </w:pPr>
      <w:r>
        <w:rPr>
          <w:rFonts w:hint="eastAsia"/>
          <w:b/>
          <w:bCs/>
          <w:color w:val="auto"/>
          <w:sz w:val="21"/>
          <w:szCs w:val="21"/>
          <w:highlight w:val="none"/>
        </w:rPr>
        <w:t>（三）磋商文件的澄清与修改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1.提交首次响应文件截止之日前，采购人、采购代理机构可以对已发出的磋商文件进行必要的澄清或者修改，澄清或者修改的内容作为磋商文件的组成部分。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澄清或者修改的内容可能影响响应文件编制的，采购人、采购代理机构会在提交首次响应文件截止时间至少5日前，以书面形式通知所有获取磋商文件的供应商；不足5日的，采购人、采购代理机构会顺延提交首次响应文件截止时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磋商文件的修改将以书面形式通知所有获取磋商文件的供应商，并对其具有约束力。供应商在收到上述通知后，应立即向采购代理机构回函确认。若无书面回函确认，视同供应商已收到磋商文件修改的通知，并受其约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3.磋商文件澄清、答复、修改、补充的内容为磋商文件的组成部分。当磋商文件与磋商文件的答复、澄清、修改、补充通知就同一内容的表述不一致时，以最后发出的书面形式文件为准。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4.磋商文件的澄清、答复、修改或补充都应该通过本采购代理机构以法定形式发布，采购人非通过本机构，不得擅自澄清、答复、修改或补充磋商文件。</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三、响应文件的编制</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（一）响应文件的组成</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响应文件（电子加密响应文件）由</w:t>
      </w:r>
      <w:r>
        <w:rPr>
          <w:rFonts w:hint="eastAsia" w:cs="Times New Roman"/>
          <w:b/>
          <w:color w:val="auto"/>
          <w:spacing w:val="-6"/>
          <w:sz w:val="21"/>
          <w:szCs w:val="21"/>
          <w:highlight w:val="none"/>
        </w:rPr>
        <w:t>资格文件、报价文件、商务和技术文件三部分</w:t>
      </w:r>
      <w:r>
        <w:rPr>
          <w:rFonts w:hint="eastAsia" w:cs="Times New Roman"/>
          <w:bCs/>
          <w:color w:val="auto"/>
          <w:spacing w:val="-6"/>
          <w:sz w:val="21"/>
          <w:szCs w:val="21"/>
          <w:highlight w:val="none"/>
        </w:rPr>
        <w:t>组成（格式详见磋商文件第六章）。供应商应将响应文件各部分</w:t>
      </w:r>
      <w:r>
        <w:rPr>
          <w:rFonts w:hint="eastAsia" w:cs="Times New Roman"/>
          <w:b/>
          <w:color w:val="auto"/>
          <w:spacing w:val="-6"/>
          <w:sz w:val="21"/>
          <w:szCs w:val="21"/>
          <w:highlight w:val="none"/>
        </w:rPr>
        <w:t>分别上传</w:t>
      </w:r>
      <w:r>
        <w:rPr>
          <w:rFonts w:hint="eastAsia" w:cs="Times New Roman"/>
          <w:bCs/>
          <w:color w:val="auto"/>
          <w:spacing w:val="-6"/>
          <w:sz w:val="21"/>
          <w:szCs w:val="21"/>
          <w:highlight w:val="none"/>
        </w:rPr>
        <w:t>至政府采购云平台指定位置。</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响应文件组成：详见“第六章</w:t>
      </w:r>
      <w:r>
        <w:rPr>
          <w:rFonts w:cs="Times New Roman"/>
          <w:color w:val="auto"/>
          <w:spacing w:val="-6"/>
          <w:sz w:val="21"/>
          <w:szCs w:val="21"/>
          <w:highlight w:val="none"/>
        </w:rPr>
        <w:t xml:space="preserve">  </w:t>
      </w:r>
      <w:r>
        <w:rPr>
          <w:rFonts w:hint="eastAsia" w:cs="Times New Roman"/>
          <w:color w:val="auto"/>
          <w:spacing w:val="-6"/>
          <w:sz w:val="21"/>
          <w:szCs w:val="21"/>
          <w:highlight w:val="none"/>
        </w:rPr>
        <w:t>响应</w:t>
      </w:r>
      <w:r>
        <w:rPr>
          <w:rFonts w:cs="Times New Roman"/>
          <w:color w:val="auto"/>
          <w:spacing w:val="-6"/>
          <w:sz w:val="21"/>
          <w:szCs w:val="21"/>
          <w:highlight w:val="none"/>
        </w:rPr>
        <w:t>文件格式</w:t>
      </w:r>
      <w:r>
        <w:rPr>
          <w:rFonts w:hint="eastAsia" w:cs="Times New Roman"/>
          <w:color w:val="auto"/>
          <w:spacing w:val="-6"/>
          <w:sz w:val="21"/>
          <w:szCs w:val="21"/>
          <w:highlight w:val="none"/>
        </w:rPr>
        <w:t>”目录</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如供应商提供的产品技术支持材料与采购需求偏离表响应不一致，以产品技术支持材料为准。</w:t>
      </w:r>
    </w:p>
    <w:p>
      <w:pPr>
        <w:adjustRightInd w:val="0"/>
        <w:snapToGrid w:val="0"/>
        <w:spacing w:line="288" w:lineRule="auto"/>
        <w:rPr>
          <w:b/>
          <w:bCs/>
          <w:color w:val="auto"/>
          <w:sz w:val="21"/>
          <w:szCs w:val="21"/>
          <w:highlight w:val="none"/>
        </w:rPr>
      </w:pPr>
      <w:r>
        <w:rPr>
          <w:rFonts w:hint="eastAsia"/>
          <w:b/>
          <w:bCs/>
          <w:color w:val="auto"/>
          <w:sz w:val="21"/>
          <w:szCs w:val="21"/>
          <w:highlight w:val="none"/>
        </w:rPr>
        <w:t>（二）响应文件的签署和份数</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2.响应文件须由供应商在规定位置加盖公章</w:t>
      </w:r>
      <w:bookmarkStart w:id="36" w:name="_Hlk96329193"/>
      <w:r>
        <w:rPr>
          <w:rFonts w:hint="eastAsia"/>
          <w:color w:val="auto"/>
          <w:sz w:val="21"/>
          <w:szCs w:val="21"/>
          <w:highlight w:val="none"/>
        </w:rPr>
        <w:t>，供应商应写全称。</w:t>
      </w:r>
      <w:bookmarkEnd w:id="36"/>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3.响应文件不得涂改，若有修改错漏处，须由供应商加盖公章，或者由供应商代表签名。响应文件因字迹潦草或表达不清所引起的后果由供应商负责。</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4.响应文件份数：</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21楼H室，浙江求是招标代理有限公司（俞炳）收，电话：0571-87670302，寄出后将（快递单号、项目名称、公司名称、联系方式等相关信息）发至：zb02@qszb.net，以便查收）。</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特别说明：双休日和法定节假日不收件，供应商自行承担邮寄风险。</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pPr>
        <w:adjustRightInd w:val="0"/>
        <w:snapToGrid w:val="0"/>
        <w:spacing w:line="288" w:lineRule="auto"/>
        <w:rPr>
          <w:b/>
          <w:bCs/>
          <w:color w:val="auto"/>
          <w:sz w:val="21"/>
          <w:szCs w:val="21"/>
          <w:highlight w:val="none"/>
        </w:rPr>
      </w:pPr>
      <w:r>
        <w:rPr>
          <w:rFonts w:hint="eastAsia"/>
          <w:b/>
          <w:bCs/>
          <w:color w:val="auto"/>
          <w:sz w:val="21"/>
          <w:szCs w:val="21"/>
          <w:highlight w:val="none"/>
        </w:rPr>
        <w:t>（三）响应文件的上传、递交、修改和撤回</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1.响应文件的上传、递交：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（1）电子加密响应文件的上传：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▲a.供应商应在响应文件提交截止时间前将电子加密响应文件成功上传至政府采购云平台，否则响应无效；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b.电子加密响应文件成功上传后，供应商可自行打印响应文件接收回执。</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（2）备份响应文件的密封包装、递交：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a.供应商在政府采购云平台完成电子加密响应文件的上传后，可以EMS或顺丰邮寄形式在响应文件提交截止时间前递交以介质（U盘）存储的数据电文形式的备份响应文件；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b.备份响应文件应当密封包装并在包装上标注响应项目名称、供应商名称并加盖公章（非电子签章），供应商逾期送达或者未密封包装的备份响应文件采购代理机构将予以拒收；</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▲c.通过政府采购云平台成功上传的电子加密响应文件已按时解密的，备份响应文件自动失效。</w:t>
      </w:r>
    </w:p>
    <w:p>
      <w:pPr>
        <w:adjustRightInd w:val="0"/>
        <w:snapToGrid w:val="0"/>
        <w:spacing w:line="288" w:lineRule="auto"/>
        <w:ind w:firstLine="420" w:firstLineChars="200"/>
        <w:jc w:val="left"/>
        <w:rPr>
          <w:rFonts w:cs="Times New Roman"/>
          <w:color w:val="auto"/>
          <w:spacing w:val="-6"/>
          <w:sz w:val="21"/>
          <w:szCs w:val="21"/>
          <w:highlight w:val="none"/>
        </w:rPr>
      </w:pPr>
      <w:r>
        <w:rPr>
          <w:rFonts w:hint="eastAsia"/>
          <w:color w:val="auto"/>
          <w:sz w:val="21"/>
          <w:szCs w:val="21"/>
          <w:highlight w:val="none"/>
        </w:rPr>
        <w:t>▲d.供应商仅递交备份响应文件而未将电子加密响应文件成功上传至政府采购云平台的，响应无效。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代理机构将予以拒收。</w:t>
      </w:r>
    </w:p>
    <w:p>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供应商</w:t>
      </w:r>
      <w:r>
        <w:rPr>
          <w:color w:val="auto"/>
          <w:sz w:val="21"/>
          <w:szCs w:val="21"/>
          <w:highlight w:val="none"/>
        </w:rPr>
        <w:t>因未在线参加开标而导致电子加密</w:t>
      </w:r>
      <w:r>
        <w:rPr>
          <w:rFonts w:hint="eastAsia"/>
          <w:color w:val="auto"/>
          <w:sz w:val="21"/>
          <w:szCs w:val="21"/>
          <w:highlight w:val="none"/>
        </w:rPr>
        <w:t>响应</w:t>
      </w:r>
      <w:r>
        <w:rPr>
          <w:color w:val="auto"/>
          <w:sz w:val="21"/>
          <w:szCs w:val="21"/>
          <w:highlight w:val="none"/>
        </w:rPr>
        <w:t>文件无法按时解密等一切后果由</w:t>
      </w:r>
      <w:r>
        <w:rPr>
          <w:rFonts w:hint="eastAsia"/>
          <w:color w:val="auto"/>
          <w:sz w:val="21"/>
          <w:szCs w:val="21"/>
          <w:highlight w:val="none"/>
        </w:rPr>
        <w:t>供应商</w:t>
      </w:r>
      <w:r>
        <w:rPr>
          <w:color w:val="auto"/>
          <w:sz w:val="21"/>
          <w:szCs w:val="21"/>
          <w:highlight w:val="none"/>
        </w:rPr>
        <w:t>自行承担。</w:t>
      </w:r>
    </w:p>
    <w:p>
      <w:pPr>
        <w:adjustRightInd w:val="0"/>
        <w:snapToGrid w:val="0"/>
        <w:spacing w:line="288"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供应商</w:t>
      </w:r>
      <w:r>
        <w:rPr>
          <w:color w:val="auto"/>
          <w:sz w:val="21"/>
          <w:szCs w:val="21"/>
          <w:highlight w:val="none"/>
        </w:rPr>
        <w:t>应按照</w:t>
      </w:r>
      <w:r>
        <w:rPr>
          <w:rFonts w:hint="eastAsia"/>
          <w:color w:val="auto"/>
          <w:sz w:val="21"/>
          <w:szCs w:val="21"/>
          <w:highlight w:val="none"/>
        </w:rPr>
        <w:t>磋商</w:t>
      </w:r>
      <w:r>
        <w:rPr>
          <w:color w:val="auto"/>
          <w:sz w:val="21"/>
          <w:szCs w:val="21"/>
          <w:highlight w:val="none"/>
        </w:rPr>
        <w:t>文件和政府采购云平台的要求，根据</w:t>
      </w:r>
      <w:r>
        <w:rPr>
          <w:rFonts w:hint="eastAsia"/>
          <w:color w:val="auto"/>
          <w:sz w:val="21"/>
          <w:szCs w:val="21"/>
          <w:highlight w:val="none"/>
        </w:rPr>
        <w:t>响应</w:t>
      </w:r>
      <w:r>
        <w:rPr>
          <w:color w:val="auto"/>
          <w:sz w:val="21"/>
          <w:szCs w:val="21"/>
          <w:highlight w:val="none"/>
        </w:rPr>
        <w:t>文件的组成规定的内容及顺序通过政采云电子交易客户端（政采云响应客户端）编制加密</w:t>
      </w:r>
      <w:r>
        <w:rPr>
          <w:rFonts w:hint="eastAsia"/>
          <w:color w:val="auto"/>
          <w:sz w:val="21"/>
          <w:szCs w:val="21"/>
          <w:highlight w:val="none"/>
        </w:rPr>
        <w:t>响应</w:t>
      </w:r>
      <w:r>
        <w:rPr>
          <w:color w:val="auto"/>
          <w:sz w:val="21"/>
          <w:szCs w:val="21"/>
          <w:highlight w:val="none"/>
        </w:rPr>
        <w:t>文件。</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供应商可通过浙江省“电子交易/不见面开评标”学习专题提前进行专题学习，熟悉操作，避免影响采购活动（https://edu.zcygov.cn/luban/e-biding）。</w:t>
      </w:r>
    </w:p>
    <w:p>
      <w:pPr>
        <w:adjustRightInd w:val="0"/>
        <w:snapToGrid w:val="0"/>
        <w:spacing w:line="288" w:lineRule="auto"/>
        <w:rPr>
          <w:b/>
          <w:bCs/>
          <w:color w:val="auto"/>
          <w:sz w:val="21"/>
          <w:szCs w:val="21"/>
          <w:highlight w:val="none"/>
        </w:rPr>
      </w:pPr>
      <w:r>
        <w:rPr>
          <w:rFonts w:hint="eastAsia"/>
          <w:b/>
          <w:bCs/>
          <w:color w:val="auto"/>
          <w:sz w:val="21"/>
          <w:szCs w:val="21"/>
          <w:highlight w:val="none"/>
        </w:rPr>
        <w:t>（四）响应文件的语言及计量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响应文件以及供应商与采购人或采购代理机构就有关磋商响应事宜的所有来往函电，均应以中文汉语书写。除签名、盖章、专用名称等特殊情形外，以中文汉语以外的文字表述的响应文件视同未提供（有中文汉语说明的除外）。</w:t>
      </w:r>
    </w:p>
    <w:p>
      <w:pPr>
        <w:adjustRightInd w:val="0"/>
        <w:snapToGrid w:val="0"/>
        <w:spacing w:line="288" w:lineRule="auto"/>
        <w:rPr>
          <w:b/>
          <w:bCs/>
          <w:color w:val="auto"/>
          <w:sz w:val="21"/>
          <w:szCs w:val="21"/>
          <w:highlight w:val="none"/>
        </w:rPr>
      </w:pPr>
      <w:r>
        <w:rPr>
          <w:rFonts w:hint="eastAsia"/>
          <w:b/>
          <w:bCs/>
          <w:color w:val="auto"/>
          <w:sz w:val="21"/>
          <w:szCs w:val="21"/>
          <w:highlight w:val="none"/>
        </w:rPr>
        <w:t>（五）磋商报价</w:t>
      </w:r>
    </w:p>
    <w:p>
      <w:pPr>
        <w:adjustRightInd w:val="0"/>
        <w:snapToGrid w:val="0"/>
        <w:spacing w:line="288" w:lineRule="auto"/>
        <w:ind w:firstLine="420" w:firstLineChars="200"/>
        <w:rPr>
          <w:color w:val="auto"/>
          <w:sz w:val="21"/>
          <w:szCs w:val="21"/>
          <w:highlight w:val="none"/>
        </w:rPr>
      </w:pPr>
      <w:r>
        <w:rPr>
          <w:color w:val="auto"/>
          <w:sz w:val="21"/>
          <w:szCs w:val="21"/>
          <w:highlight w:val="none"/>
        </w:rPr>
        <w:t>1.报价应按磋商文件要求的格式编制、填写报价内容（可自行增行），未按磋商文件要求编制、填写的响应文件可能被拒绝；</w:t>
      </w:r>
    </w:p>
    <w:p>
      <w:pPr>
        <w:adjustRightInd w:val="0"/>
        <w:snapToGrid w:val="0"/>
        <w:spacing w:line="288" w:lineRule="auto"/>
        <w:ind w:firstLine="420" w:firstLineChars="200"/>
        <w:rPr>
          <w:color w:val="auto"/>
          <w:sz w:val="21"/>
          <w:szCs w:val="21"/>
          <w:highlight w:val="none"/>
        </w:rPr>
      </w:pPr>
      <w:r>
        <w:rPr>
          <w:color w:val="auto"/>
          <w:sz w:val="21"/>
          <w:szCs w:val="21"/>
          <w:highlight w:val="none"/>
        </w:rPr>
        <w:t>2.本次磋商采用人民币报价；</w:t>
      </w:r>
    </w:p>
    <w:p>
      <w:pPr>
        <w:adjustRightInd w:val="0"/>
        <w:snapToGrid w:val="0"/>
        <w:spacing w:line="288" w:lineRule="auto"/>
        <w:ind w:firstLine="420" w:firstLineChars="200"/>
        <w:rPr>
          <w:color w:val="auto"/>
          <w:sz w:val="21"/>
          <w:szCs w:val="21"/>
          <w:highlight w:val="none"/>
        </w:rPr>
      </w:pPr>
      <w:r>
        <w:rPr>
          <w:color w:val="auto"/>
          <w:sz w:val="21"/>
          <w:szCs w:val="21"/>
          <w:highlight w:val="none"/>
        </w:rPr>
        <w:t>3.最后磋商报价是履行合同的最终价格，</w:t>
      </w:r>
      <w:r>
        <w:rPr>
          <w:rFonts w:hint="eastAsia"/>
          <w:color w:val="auto"/>
          <w:sz w:val="21"/>
          <w:szCs w:val="21"/>
          <w:highlight w:val="none"/>
        </w:rPr>
        <w:t>有关本项目实施所涉及的一切费用均计入报价</w:t>
      </w:r>
      <w:r>
        <w:rPr>
          <w:color w:val="auto"/>
          <w:sz w:val="21"/>
          <w:szCs w:val="21"/>
          <w:highlight w:val="none"/>
        </w:rPr>
        <w:t>。</w:t>
      </w:r>
    </w:p>
    <w:p>
      <w:pPr>
        <w:pStyle w:val="5"/>
        <w:adjustRightInd w:val="0"/>
        <w:snapToGrid w:val="0"/>
        <w:spacing w:before="0" w:beforeLines="0" w:after="0" w:afterLines="0" w:line="288" w:lineRule="auto"/>
        <w:ind w:firstLine="420" w:firstLineChars="200"/>
        <w:jc w:val="left"/>
        <w:rPr>
          <w:rFonts w:hAnsi="宋体" w:eastAsia="宋体"/>
          <w:color w:val="auto"/>
          <w:sz w:val="21"/>
          <w:szCs w:val="21"/>
          <w:highlight w:val="none"/>
        </w:rPr>
      </w:pPr>
      <w:r>
        <w:rPr>
          <w:rFonts w:hint="eastAsia" w:hAnsi="宋体" w:eastAsia="宋体" w:cs="宋体"/>
          <w:color w:val="auto"/>
          <w:sz w:val="21"/>
          <w:szCs w:val="21"/>
          <w:highlight w:val="none"/>
        </w:rPr>
        <w:t>▲4</w:t>
      </w:r>
      <w:r>
        <w:rPr>
          <w:rFonts w:hAnsi="宋体" w:eastAsia="宋体" w:cs="宋体"/>
          <w:color w:val="auto"/>
          <w:sz w:val="21"/>
          <w:szCs w:val="21"/>
          <w:highlight w:val="none"/>
        </w:rPr>
        <w:t>.</w:t>
      </w:r>
      <w:r>
        <w:rPr>
          <w:rFonts w:hint="eastAsia" w:hAnsi="宋体" w:eastAsia="宋体" w:cs="宋体"/>
          <w:color w:val="auto"/>
          <w:sz w:val="21"/>
          <w:szCs w:val="21"/>
          <w:highlight w:val="none"/>
        </w:rPr>
        <w:t>采购人将以合同形式有偿取得货物或服务，不接受供应商给予的赠品、回扣或者与采购无关的其他商品、服务，不得出现“0元”“免费赠送”等形式的无偿报价，否则视为响应文件含有采购人不能接受的附加条件的，响应无效</w:t>
      </w:r>
      <w:r>
        <w:rPr>
          <w:rFonts w:hAnsi="宋体" w:eastAsia="宋体" w:cs="宋体"/>
          <w:color w:val="auto"/>
          <w:sz w:val="21"/>
          <w:szCs w:val="21"/>
          <w:highlight w:val="none"/>
        </w:rPr>
        <w:t>。</w:t>
      </w:r>
    </w:p>
    <w:p>
      <w:pPr>
        <w:adjustRightInd w:val="0"/>
        <w:snapToGrid w:val="0"/>
        <w:spacing w:line="288" w:lineRule="auto"/>
        <w:rPr>
          <w:b/>
          <w:bCs/>
          <w:color w:val="auto"/>
          <w:sz w:val="21"/>
          <w:szCs w:val="21"/>
          <w:highlight w:val="none"/>
        </w:rPr>
      </w:pPr>
      <w:r>
        <w:rPr>
          <w:rFonts w:hint="eastAsia"/>
          <w:b/>
          <w:bCs/>
          <w:color w:val="auto"/>
          <w:sz w:val="21"/>
          <w:szCs w:val="21"/>
          <w:highlight w:val="none"/>
        </w:rPr>
        <w:t>（六）响应有效期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p>
      <w:pPr>
        <w:widowControl/>
        <w:adjustRightInd w:val="0"/>
        <w:snapToGrid w:val="0"/>
        <w:spacing w:line="288" w:lineRule="auto"/>
        <w:jc w:val="left"/>
        <w:rPr>
          <w:b/>
          <w:bCs/>
          <w:color w:val="auto"/>
          <w:sz w:val="21"/>
          <w:szCs w:val="21"/>
          <w:highlight w:val="none"/>
        </w:rPr>
      </w:pPr>
      <w:r>
        <w:rPr>
          <w:b/>
          <w:bCs/>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四、响应无效情形</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未响应磋商文件“▲”标记条款要求的，响应无效。</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1.在资格审查时，如发现下列情形之一的，响应文件将被视为无效：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（1）资格证明材料不全的，或者不符合磋商文件要求的；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）供应商不具备磋商文件中规定的资格要求的；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（3）资格文件未按要求签署、盖章的；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预留份额专门面向中小企业采购的项目（包括整体、联合体、分包形式），供应商提供《中小企业声明函》内容不实的；《中小企业声明函》填写不全（从业人员、营业收入、资产总额在中小企业划型标准规定中不涉及的除外），或未按照《中小企业声明函》要求填写的。</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2.在符合性审查、商务和技术评审时，如发现下列情形之一的，响应文件将被视为无效：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（1）商务和技术文件未按要求签署、盖章的；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（2）未提供或未按要求提供投标函、授权委托书；</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（3）委托授权代表参加投标但未提供符合要求的授权代表社保缴纳证明；</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（4）未提供或未如实提供采购需求偏离表的；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（5）明显不符合磋商文件要求，</w:t>
      </w:r>
      <w:r>
        <w:rPr>
          <w:rFonts w:hint="eastAsia"/>
          <w:color w:val="auto"/>
          <w:spacing w:val="-6"/>
          <w:sz w:val="21"/>
          <w:szCs w:val="21"/>
          <w:highlight w:val="none"/>
        </w:rPr>
        <w:t>或</w:t>
      </w:r>
      <w:r>
        <w:rPr>
          <w:rFonts w:hint="eastAsia"/>
          <w:color w:val="auto"/>
          <w:sz w:val="21"/>
          <w:szCs w:val="21"/>
          <w:highlight w:val="none"/>
        </w:rPr>
        <w:t>负偏离达到规定数目的，视为采购人不能接受的附加条件</w:t>
      </w:r>
      <w:r>
        <w:rPr>
          <w:color w:val="auto"/>
          <w:spacing w:val="-6"/>
          <w:sz w:val="21"/>
          <w:szCs w:val="21"/>
          <w:highlight w:val="none"/>
        </w:rPr>
        <w:t>；</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6</w:t>
      </w:r>
      <w:r>
        <w:rPr>
          <w:rFonts w:hint="eastAsia"/>
          <w:color w:val="auto"/>
          <w:sz w:val="21"/>
          <w:szCs w:val="21"/>
          <w:highlight w:val="none"/>
        </w:rPr>
        <w:t>）响应技术方案不明确，存在一个或一个以上备选（替代）响应方案的；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7</w:t>
      </w:r>
      <w:r>
        <w:rPr>
          <w:rFonts w:hint="eastAsia"/>
          <w:color w:val="auto"/>
          <w:sz w:val="21"/>
          <w:szCs w:val="21"/>
          <w:highlight w:val="none"/>
        </w:rPr>
        <w:t>）响应文件含有采购人不能接受的附加条件的；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8</w:t>
      </w:r>
      <w:r>
        <w:rPr>
          <w:rFonts w:hint="eastAsia"/>
          <w:color w:val="auto"/>
          <w:sz w:val="21"/>
          <w:szCs w:val="21"/>
          <w:highlight w:val="none"/>
        </w:rPr>
        <w:t>）法律、法规和磋商文件规定的其他无效情形。</w:t>
      </w:r>
    </w:p>
    <w:p>
      <w:pPr>
        <w:adjustRightInd w:val="0"/>
        <w:snapToGrid w:val="0"/>
        <w:spacing w:line="288" w:lineRule="auto"/>
        <w:ind w:firstLine="422" w:firstLineChars="200"/>
        <w:jc w:val="left"/>
        <w:rPr>
          <w:b/>
          <w:bCs/>
          <w:color w:val="auto"/>
          <w:sz w:val="21"/>
          <w:szCs w:val="21"/>
          <w:highlight w:val="none"/>
        </w:rPr>
      </w:pPr>
      <w:r>
        <w:rPr>
          <w:rFonts w:hint="eastAsia"/>
          <w:b/>
          <w:bCs/>
          <w:color w:val="auto"/>
          <w:sz w:val="21"/>
          <w:szCs w:val="21"/>
          <w:highlight w:val="none"/>
        </w:rPr>
        <w:t>3.在报价评审时，如发现下列情形之一的，响应文件将被视为无效：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（1）最后报价超过磋商文件中规定的预算金额或最高限价的；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（2）最后报价具有选择性的。</w:t>
      </w:r>
    </w:p>
    <w:p>
      <w:pPr>
        <w:widowControl/>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特别说明：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4.有下列情形之一的，视为供应商串通，其响应无效：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（1）不同供应商的响应文件由同一单位或者个人编制；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（2）不同供应商委托同一单位或者个人办理磋商事宜；</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（3）不同供应商的响应文件载明的项目管理成员或者联系人员为同一人；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（4）不同供应商的响应文件异常一致或者最后报价呈规律性差异；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（5）不同供应商的响应文件相互混装。</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五、响应文件开启</w:t>
      </w:r>
    </w:p>
    <w:p>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采购</w:t>
      </w:r>
      <w:r>
        <w:rPr>
          <w:rFonts w:hint="eastAsia" w:cs="仿宋_GB2312"/>
          <w:color w:val="auto"/>
          <w:kern w:val="0"/>
          <w:sz w:val="21"/>
          <w:szCs w:val="21"/>
          <w:highlight w:val="none"/>
        </w:rPr>
        <w:t>代理</w:t>
      </w:r>
      <w:r>
        <w:rPr>
          <w:rFonts w:cs="仿宋_GB2312"/>
          <w:color w:val="auto"/>
          <w:kern w:val="0"/>
          <w:sz w:val="21"/>
          <w:szCs w:val="21"/>
          <w:highlight w:val="none"/>
        </w:rPr>
        <w:t>机构按照磋商文件规定的时间通过电子交易平台组织开启，所有供应商均应当准时在线参加。供应商不足3家的，不得开启。</w:t>
      </w:r>
    </w:p>
    <w:p>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开启时，电子交易平台按开启时间自动提取所有响应文件。</w:t>
      </w:r>
      <w:r>
        <w:rPr>
          <w:rFonts w:hint="eastAsia" w:cs="仿宋_GB2312"/>
          <w:color w:val="auto"/>
          <w:kern w:val="0"/>
          <w:sz w:val="21"/>
          <w:szCs w:val="21"/>
          <w:highlight w:val="none"/>
        </w:rPr>
        <w:t>采购人或代理</w:t>
      </w:r>
      <w:r>
        <w:rPr>
          <w:rFonts w:cs="仿宋_GB2312"/>
          <w:color w:val="auto"/>
          <w:kern w:val="0"/>
          <w:sz w:val="21"/>
          <w:szCs w:val="21"/>
          <w:highlight w:val="none"/>
        </w:rPr>
        <w:t>机构依托电子交易平台发起开始解密指令，供应商按照平台提示和磋商文件的规定在半小时内完成在线解密。</w:t>
      </w:r>
    </w:p>
    <w:p>
      <w:pPr>
        <w:adjustRightInd w:val="0"/>
        <w:snapToGrid w:val="0"/>
        <w:spacing w:line="288" w:lineRule="auto"/>
        <w:ind w:firstLine="422" w:firstLineChars="200"/>
        <w:rPr>
          <w:rFonts w:cs="仿宋_GB2312"/>
          <w:b/>
          <w:color w:val="auto"/>
          <w:sz w:val="21"/>
          <w:szCs w:val="21"/>
          <w:highlight w:val="none"/>
        </w:rPr>
      </w:pPr>
      <w:r>
        <w:rPr>
          <w:rFonts w:hint="eastAsia" w:cs="仿宋_GB2312"/>
          <w:b/>
          <w:color w:val="auto"/>
          <w:sz w:val="21"/>
          <w:szCs w:val="21"/>
          <w:highlight w:val="none"/>
        </w:rPr>
        <w:t>响应文件未按时解密，供应商提供了备份响应文件的，以备份响应文件作为依据，否则视为响应文件撤回。响应文件已按时解密的，备份响应文件自动失效。</w:t>
      </w:r>
    </w:p>
    <w:p>
      <w:pPr>
        <w:adjustRightInd w:val="0"/>
        <w:snapToGrid w:val="0"/>
        <w:spacing w:line="288" w:lineRule="auto"/>
        <w:ind w:firstLine="398" w:firstLineChars="200"/>
        <w:rPr>
          <w:rFonts w:cs="Times New Roman"/>
          <w:b/>
          <w:bCs/>
          <w:color w:val="auto"/>
          <w:spacing w:val="-6"/>
          <w:sz w:val="21"/>
          <w:szCs w:val="21"/>
          <w:highlight w:val="none"/>
        </w:rPr>
      </w:pPr>
    </w:p>
    <w:p>
      <w:pPr>
        <w:adjustRightInd w:val="0"/>
        <w:snapToGrid w:val="0"/>
        <w:spacing w:line="288" w:lineRule="auto"/>
        <w:ind w:firstLine="398" w:firstLineChars="200"/>
        <w:rPr>
          <w:rFonts w:cs="Times New Roman"/>
          <w:b/>
          <w:bCs/>
          <w:color w:val="auto"/>
          <w:spacing w:val="-6"/>
          <w:sz w:val="21"/>
          <w:szCs w:val="21"/>
          <w:highlight w:val="none"/>
        </w:rPr>
      </w:pPr>
      <w:r>
        <w:rPr>
          <w:rFonts w:hint="eastAsia" w:cs="Times New Roman"/>
          <w:b/>
          <w:bCs/>
          <w:color w:val="auto"/>
          <w:spacing w:val="-6"/>
          <w:sz w:val="21"/>
          <w:szCs w:val="21"/>
          <w:highlight w:val="none"/>
        </w:rPr>
        <w:t>特别说明：如遇政府采购云平台电子化开启或评审程序调整的，按调整后程序执行。</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六、评审程序</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磋商文件内容违反国家有关强制性规定的，磋商小组应当停止评审并向采购人或者采购代理机构说明情况。</w:t>
      </w:r>
    </w:p>
    <w:p>
      <w:pPr>
        <w:widowControl/>
        <w:adjustRightInd w:val="0"/>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（一）</w:t>
      </w:r>
      <w:r>
        <w:rPr>
          <w:rFonts w:cs="仿宋_GB2312"/>
          <w:b/>
          <w:color w:val="auto"/>
          <w:sz w:val="21"/>
          <w:szCs w:val="21"/>
          <w:highlight w:val="none"/>
        </w:rPr>
        <w:t>资格审查</w:t>
      </w:r>
    </w:p>
    <w:p>
      <w:pPr>
        <w:adjustRightInd w:val="0"/>
        <w:snapToGrid w:val="0"/>
        <w:spacing w:line="288" w:lineRule="auto"/>
        <w:ind w:firstLine="422" w:firstLineChars="201"/>
        <w:rPr>
          <w:rFonts w:cs="仿宋_GB2312"/>
          <w:color w:val="auto"/>
          <w:sz w:val="21"/>
          <w:szCs w:val="21"/>
          <w:highlight w:val="none"/>
        </w:rPr>
      </w:pPr>
      <w:r>
        <w:rPr>
          <w:rFonts w:cs="Arial"/>
          <w:color w:val="auto"/>
          <w:kern w:val="0"/>
          <w:sz w:val="21"/>
          <w:szCs w:val="21"/>
          <w:highlight w:val="none"/>
        </w:rPr>
        <w:t>开启后，</w:t>
      </w:r>
      <w:r>
        <w:rPr>
          <w:rFonts w:hint="eastAsia" w:cs="仿宋_GB2312"/>
          <w:color w:val="auto"/>
          <w:sz w:val="21"/>
          <w:szCs w:val="21"/>
          <w:highlight w:val="none"/>
        </w:rPr>
        <w:t>磋商小组依据法律法规和磋商文件的规定，对供应商的资格条件进行审查。</w:t>
      </w:r>
    </w:p>
    <w:p>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对未通过资格审查的供应商，</w:t>
      </w:r>
      <w:r>
        <w:rPr>
          <w:rFonts w:hint="eastAsia" w:cs="仿宋_GB2312"/>
          <w:color w:val="auto"/>
          <w:sz w:val="21"/>
          <w:szCs w:val="21"/>
          <w:highlight w:val="none"/>
        </w:rPr>
        <w:t>磋商小组</w:t>
      </w:r>
      <w:r>
        <w:rPr>
          <w:rFonts w:cs="仿宋_GB2312"/>
          <w:color w:val="auto"/>
          <w:sz w:val="21"/>
          <w:szCs w:val="21"/>
          <w:highlight w:val="none"/>
        </w:rPr>
        <w:t>告知其未通过的原因。</w:t>
      </w:r>
    </w:p>
    <w:p>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通过资格审查的供应商不足3家的，不再评标。</w:t>
      </w:r>
    </w:p>
    <w:p>
      <w:pPr>
        <w:adjustRightInd w:val="0"/>
        <w:snapToGrid w:val="0"/>
        <w:spacing w:line="288" w:lineRule="auto"/>
        <w:ind w:firstLine="424" w:firstLineChars="201"/>
        <w:rPr>
          <w:rFonts w:cs="仿宋_GB2312"/>
          <w:b/>
          <w:color w:val="auto"/>
          <w:sz w:val="21"/>
          <w:szCs w:val="21"/>
          <w:highlight w:val="none"/>
        </w:rPr>
      </w:pPr>
      <w:r>
        <w:rPr>
          <w:rFonts w:hint="eastAsia" w:cs="仿宋_GB2312"/>
          <w:b/>
          <w:color w:val="auto"/>
          <w:sz w:val="21"/>
          <w:szCs w:val="21"/>
          <w:highlight w:val="none"/>
        </w:rPr>
        <w:t>（二）</w:t>
      </w:r>
      <w:r>
        <w:rPr>
          <w:rFonts w:cs="仿宋_GB2312"/>
          <w:b/>
          <w:color w:val="auto"/>
          <w:sz w:val="21"/>
          <w:szCs w:val="21"/>
          <w:highlight w:val="none"/>
        </w:rPr>
        <w:t>信用信息查询</w:t>
      </w:r>
    </w:p>
    <w:p>
      <w:pPr>
        <w:adjustRightInd w:val="0"/>
        <w:snapToGrid w:val="0"/>
        <w:spacing w:line="288" w:lineRule="auto"/>
        <w:ind w:firstLine="422" w:firstLineChars="201"/>
        <w:rPr>
          <w:rFonts w:cs="Arial"/>
          <w:color w:val="auto"/>
          <w:kern w:val="0"/>
          <w:sz w:val="21"/>
          <w:szCs w:val="21"/>
          <w:highlight w:val="none"/>
        </w:rPr>
      </w:pPr>
      <w:r>
        <w:rPr>
          <w:rFonts w:hint="eastAsia" w:cs="Arial"/>
          <w:color w:val="auto"/>
          <w:kern w:val="0"/>
          <w:sz w:val="21"/>
          <w:szCs w:val="21"/>
          <w:highlight w:val="none"/>
        </w:rPr>
        <w:t>根据财库[2016]125号《关于在政府采购活动中查询及使用信用记录有关问题的通知》要求，采购代理机构会对供应商信用记录进行查询并甄别。信用信息查询的截止时点：响应截止时间；</w:t>
      </w:r>
    </w:p>
    <w:p>
      <w:pPr>
        <w:adjustRightInd w:val="0"/>
        <w:snapToGrid w:val="0"/>
        <w:spacing w:line="288" w:lineRule="auto"/>
        <w:ind w:firstLine="422" w:firstLineChars="201"/>
        <w:rPr>
          <w:rFonts w:cs="Arial"/>
          <w:color w:val="auto"/>
          <w:kern w:val="0"/>
          <w:sz w:val="21"/>
          <w:szCs w:val="21"/>
          <w:highlight w:val="none"/>
        </w:rPr>
      </w:pPr>
      <w:r>
        <w:rPr>
          <w:rFonts w:hint="eastAsia" w:cs="Arial"/>
          <w:color w:val="auto"/>
          <w:kern w:val="0"/>
          <w:sz w:val="21"/>
          <w:szCs w:val="21"/>
          <w:highlight w:val="none"/>
        </w:rPr>
        <w:t>（1）查询渠道：“信用中国”（www.creditchina.gov.cn）、“中国政府采购网”（www.ccgp.gov.cn）；</w:t>
      </w:r>
    </w:p>
    <w:p>
      <w:pPr>
        <w:adjustRightInd w:val="0"/>
        <w:snapToGrid w:val="0"/>
        <w:spacing w:line="288" w:lineRule="auto"/>
        <w:ind w:firstLine="422" w:firstLineChars="201"/>
        <w:rPr>
          <w:rFonts w:cs="Arial"/>
          <w:color w:val="auto"/>
          <w:kern w:val="0"/>
          <w:sz w:val="21"/>
          <w:szCs w:val="21"/>
          <w:highlight w:val="none"/>
        </w:rPr>
      </w:pPr>
      <w:r>
        <w:rPr>
          <w:rFonts w:hint="eastAsia" w:cs="Arial"/>
          <w:color w:val="auto"/>
          <w:kern w:val="0"/>
          <w:sz w:val="21"/>
          <w:szCs w:val="21"/>
          <w:highlight w:val="none"/>
        </w:rPr>
        <w:t>（2）信用信息查询记录和证据留存具体方式：采购代理机构经办人和监督人员将查询网页打印、签名与其他采购文件一并保存；</w:t>
      </w:r>
    </w:p>
    <w:p>
      <w:pPr>
        <w:adjustRightInd w:val="0"/>
        <w:snapToGrid w:val="0"/>
        <w:spacing w:line="288" w:lineRule="auto"/>
        <w:ind w:firstLine="422" w:firstLineChars="201"/>
        <w:rPr>
          <w:rFonts w:cs="Arial"/>
          <w:color w:val="auto"/>
          <w:kern w:val="0"/>
          <w:sz w:val="21"/>
          <w:szCs w:val="21"/>
          <w:highlight w:val="none"/>
        </w:rPr>
      </w:pPr>
      <w:r>
        <w:rPr>
          <w:rFonts w:hint="eastAsia" w:cs="Arial"/>
          <w:color w:val="auto"/>
          <w:kern w:val="0"/>
          <w:sz w:val="21"/>
          <w:szCs w:val="21"/>
          <w:highlight w:val="none"/>
        </w:rPr>
        <w:t>（3）信用信息的使用规则：供应商被列入失信被执行人、重大税收违法案件当事人名单、政府采购严重违法失信行为记录名单的，拒绝其参与政府采购活动。</w:t>
      </w:r>
    </w:p>
    <w:p>
      <w:pPr>
        <w:adjustRightInd w:val="0"/>
        <w:snapToGrid w:val="0"/>
        <w:spacing w:line="288" w:lineRule="auto"/>
        <w:ind w:firstLine="422" w:firstLineChars="201"/>
        <w:rPr>
          <w:color w:val="auto"/>
          <w:kern w:val="0"/>
          <w:sz w:val="21"/>
          <w:szCs w:val="21"/>
          <w:highlight w:val="none"/>
        </w:rPr>
      </w:pPr>
      <w:r>
        <w:rPr>
          <w:rFonts w:hint="eastAsia" w:cs="Arial"/>
          <w:color w:val="auto"/>
          <w:kern w:val="0"/>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（三）</w:t>
      </w:r>
      <w:r>
        <w:rPr>
          <w:rFonts w:cs="Arial"/>
          <w:b/>
          <w:color w:val="auto"/>
          <w:kern w:val="0"/>
          <w:sz w:val="21"/>
          <w:szCs w:val="21"/>
          <w:highlight w:val="none"/>
        </w:rPr>
        <w:t>符合性审查</w:t>
      </w:r>
    </w:p>
    <w:p>
      <w:pPr>
        <w:adjustRightInd w:val="0"/>
        <w:snapToGrid w:val="0"/>
        <w:spacing w:line="288" w:lineRule="auto"/>
        <w:ind w:firstLine="424" w:firstLineChars="202"/>
        <w:rPr>
          <w:rFonts w:cs="Arial"/>
          <w:color w:val="auto"/>
          <w:kern w:val="0"/>
          <w:sz w:val="21"/>
          <w:szCs w:val="21"/>
          <w:highlight w:val="none"/>
        </w:rPr>
      </w:pPr>
      <w:r>
        <w:rPr>
          <w:rFonts w:cs="Arial"/>
          <w:color w:val="auto"/>
          <w:kern w:val="0"/>
          <w:sz w:val="21"/>
          <w:szCs w:val="21"/>
          <w:highlight w:val="none"/>
        </w:rPr>
        <w:t>磋商小组对符合资格的</w:t>
      </w:r>
      <w:r>
        <w:rPr>
          <w:rFonts w:hint="eastAsia" w:cs="Arial"/>
          <w:color w:val="auto"/>
          <w:kern w:val="0"/>
          <w:sz w:val="21"/>
          <w:szCs w:val="21"/>
          <w:highlight w:val="none"/>
        </w:rPr>
        <w:t>供应商</w:t>
      </w:r>
      <w:r>
        <w:rPr>
          <w:rFonts w:cs="Arial"/>
          <w:color w:val="auto"/>
          <w:kern w:val="0"/>
          <w:sz w:val="21"/>
          <w:szCs w:val="21"/>
          <w:highlight w:val="none"/>
        </w:rPr>
        <w:t>的</w:t>
      </w:r>
      <w:r>
        <w:rPr>
          <w:rFonts w:hint="eastAsia" w:cs="Arial"/>
          <w:color w:val="auto"/>
          <w:kern w:val="0"/>
          <w:sz w:val="21"/>
          <w:szCs w:val="21"/>
          <w:highlight w:val="none"/>
        </w:rPr>
        <w:t>响应</w:t>
      </w:r>
      <w:r>
        <w:rPr>
          <w:rFonts w:cs="Arial"/>
          <w:color w:val="auto"/>
          <w:kern w:val="0"/>
          <w:sz w:val="21"/>
          <w:szCs w:val="21"/>
          <w:highlight w:val="none"/>
        </w:rPr>
        <w:t>文件进行符合性审查，以确定其是否满足磋商文件的实质性要求。</w:t>
      </w:r>
    </w:p>
    <w:p>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（四）磋商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磋商小组所有成员应当集中与单一供应商分别进行磋商，并给予所有参加磋商的供应商平等的磋商机会。</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对磋商文件作出的实质性变动是磋商文件的有效组成部分，磋商小组</w:t>
      </w:r>
      <w:r>
        <w:rPr>
          <w:rFonts w:hint="eastAsia"/>
          <w:color w:val="auto"/>
          <w:kern w:val="0"/>
          <w:sz w:val="21"/>
          <w:szCs w:val="21"/>
          <w:highlight w:val="none"/>
        </w:rPr>
        <w:t>通过政府采购云平台</w:t>
      </w:r>
      <w:r>
        <w:rPr>
          <w:rFonts w:hint="eastAsia" w:cs="Arial"/>
          <w:color w:val="auto"/>
          <w:kern w:val="0"/>
          <w:sz w:val="21"/>
          <w:szCs w:val="21"/>
          <w:highlight w:val="none"/>
        </w:rPr>
        <w:t>以书面形式同时通知所有参加磋商的供应商。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供应商应当按照磋商文件的变动情况和磋商小组的要求</w:t>
      </w:r>
      <w:r>
        <w:rPr>
          <w:rFonts w:hint="eastAsia"/>
          <w:color w:val="auto"/>
          <w:kern w:val="0"/>
          <w:sz w:val="21"/>
          <w:szCs w:val="21"/>
          <w:highlight w:val="none"/>
        </w:rPr>
        <w:t>通过政府采购云平台</w:t>
      </w:r>
      <w:r>
        <w:rPr>
          <w:rFonts w:hint="eastAsia" w:cs="Arial"/>
          <w:color w:val="auto"/>
          <w:kern w:val="0"/>
          <w:sz w:val="21"/>
          <w:szCs w:val="21"/>
          <w:highlight w:val="none"/>
        </w:rPr>
        <w:t>提交磋商记录，并由其法定代表人或授权代表签名或者加盖公章。</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供应商的磋商内容无法通过政府采购云平台上传的，可在规定时间内（不少于半小时）通过指定的电子邮箱（zb02@qszb.net</w:t>
      </w:r>
      <w:r>
        <w:rPr>
          <w:color w:val="auto"/>
          <w:kern w:val="0"/>
          <w:sz w:val="21"/>
          <w:szCs w:val="21"/>
          <w:highlight w:val="none"/>
        </w:rPr>
        <w:t>）或传真号码（0571-87666116）提交。</w:t>
      </w:r>
    </w:p>
    <w:p>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（五）最后报价</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磋商文件能够详细列明采购标的的技术、服务要求的，磋商结束后，磋商小组应当要求所有实质性响应的供应商在规定时间内提交最后报价，提交最后报价的供应商不得少于</w:t>
      </w:r>
      <w:r>
        <w:rPr>
          <w:rFonts w:cs="Arial"/>
          <w:color w:val="auto"/>
          <w:kern w:val="0"/>
          <w:sz w:val="21"/>
          <w:szCs w:val="21"/>
          <w:highlight w:val="none"/>
        </w:rPr>
        <w:t>3家。</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磋商文件不能详细列明采购标的的技术、服务要求，需经磋商由供应商提供最终设计方案或解决方案的，磋商结束后，磋商小组应当按照少数服从多数的原则投票推荐</w:t>
      </w:r>
      <w:r>
        <w:rPr>
          <w:rFonts w:cs="Arial"/>
          <w:color w:val="auto"/>
          <w:kern w:val="0"/>
          <w:sz w:val="21"/>
          <w:szCs w:val="21"/>
          <w:highlight w:val="none"/>
        </w:rPr>
        <w:t>3家以上供应商的设计方案或者解决方案，并要求其在规定时间内提交最后报价。</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最后报价是供应商响应文件的有效组成部分。符合《政府采购竞争性磋商采购方式管理暂行办法》（财库〔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）第三条第一、四项情形的，提交最后报价的供应商可以为</w:t>
      </w:r>
      <w:r>
        <w:rPr>
          <w:rFonts w:cs="Arial"/>
          <w:color w:val="auto"/>
          <w:kern w:val="0"/>
          <w:sz w:val="21"/>
          <w:szCs w:val="21"/>
          <w:highlight w:val="none"/>
        </w:rPr>
        <w:t>2家。</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（六）综合评分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经磋商确定最终采购需求和提交最后报价的供应商后，由磋商小组采用</w:t>
      </w:r>
      <w:r>
        <w:rPr>
          <w:rFonts w:hint="eastAsia" w:cs="Arial"/>
          <w:b/>
          <w:bCs/>
          <w:color w:val="auto"/>
          <w:kern w:val="0"/>
          <w:sz w:val="21"/>
          <w:szCs w:val="21"/>
          <w:highlight w:val="none"/>
        </w:rPr>
        <w:t>综合评分法</w:t>
      </w:r>
      <w:r>
        <w:rPr>
          <w:rFonts w:hint="eastAsia" w:cs="Arial"/>
          <w:color w:val="auto"/>
          <w:kern w:val="0"/>
          <w:sz w:val="21"/>
          <w:szCs w:val="21"/>
          <w:highlight w:val="none"/>
        </w:rPr>
        <w:t>对提交最后报价的供应商的响应文件和最后报价进行综合评分。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综合评分法，是指响应文件满足磋商文件全部实质性要求且按评审因素的量化指标评审得分最高的供应商为成交候选供应商的评审方法。</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（七）</w:t>
      </w:r>
      <w:r>
        <w:rPr>
          <w:rFonts w:cs="Arial"/>
          <w:b/>
          <w:color w:val="auto"/>
          <w:kern w:val="0"/>
          <w:sz w:val="21"/>
          <w:szCs w:val="21"/>
          <w:highlight w:val="none"/>
        </w:rPr>
        <w:t>汇总商务技术得分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磋商小组各成员独立对进入最后报价的供应商的商务和技术文件进行评价，并汇总商务技术得分情况。</w:t>
      </w:r>
    </w:p>
    <w:p>
      <w:pPr>
        <w:adjustRightInd w:val="0"/>
        <w:snapToGrid w:val="0"/>
        <w:spacing w:line="288" w:lineRule="auto"/>
        <w:ind w:firstLine="424" w:firstLineChars="202"/>
        <w:rPr>
          <w:rFonts w:cs="Arial"/>
          <w:color w:val="auto"/>
          <w:kern w:val="0"/>
          <w:sz w:val="21"/>
          <w:szCs w:val="21"/>
          <w:highlight w:val="none"/>
        </w:rPr>
      </w:pPr>
      <w:bookmarkStart w:id="37" w:name="_Hlk94088579"/>
      <w:r>
        <w:rPr>
          <w:rFonts w:hint="eastAsia" w:cs="Arial"/>
          <w:color w:val="auto"/>
          <w:kern w:val="0"/>
          <w:sz w:val="21"/>
          <w:szCs w:val="21"/>
          <w:highlight w:val="none"/>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bookmarkEnd w:id="37"/>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（八）排序与推荐</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磋商小组应当根据综合评分情况，按照评审得分由高到低顺序推荐</w:t>
      </w:r>
      <w:r>
        <w:rPr>
          <w:rFonts w:cs="Arial"/>
          <w:color w:val="auto"/>
          <w:kern w:val="0"/>
          <w:sz w:val="21"/>
          <w:szCs w:val="21"/>
          <w:highlight w:val="none"/>
        </w:rPr>
        <w:t>3名以上成交候选供应商，并编写评审报告。符合</w:t>
      </w:r>
      <w:r>
        <w:rPr>
          <w:rFonts w:hint="eastAsia" w:cs="Arial"/>
          <w:color w:val="auto"/>
          <w:kern w:val="0"/>
          <w:sz w:val="21"/>
          <w:szCs w:val="21"/>
          <w:highlight w:val="none"/>
        </w:rPr>
        <w:t>《政府采购竞争性磋商采购方式管理暂行办法》（财库〔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w:t>
      </w:r>
      <w:r>
        <w:rPr>
          <w:rFonts w:cs="Arial"/>
          <w:color w:val="auto"/>
          <w:kern w:val="0"/>
          <w:sz w:val="21"/>
          <w:szCs w:val="21"/>
          <w:highlight w:val="none"/>
        </w:rPr>
        <w:t>第二十一条第三款情形的，可以推荐2家成交候选供应商。评审得分相同的，按照最后报价由低到高的顺序推荐。评审得分且最后报价相同的，按照技术指标优劣顺序推荐。</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提供相同品牌产品且通过资格审查、符合性审查的不同供应商参加同一合同项下磋商的，按一家供应商计算，评审后得分最高的同品牌供应商获得成交供应商推荐资格；评审得分相同的，由采购人或者采购人委托磋商小组按照磋商文件规定的方式确定一个供应商获得成交供应商推荐资格，磋商文件未规定的采取随机抽取方式确定，其他同品牌供应商不作为成交候选人。</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非单一产品采购项目，采购人应当根据采购项目技术构成、产品价格比重等合理确定核心产品，并在磋商文件中载明。多家供应商提供的核心产品品牌相同的，按前款规定处理。</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（九）</w:t>
      </w:r>
      <w:r>
        <w:rPr>
          <w:rFonts w:cs="Arial"/>
          <w:b/>
          <w:color w:val="auto"/>
          <w:kern w:val="0"/>
          <w:sz w:val="21"/>
          <w:szCs w:val="21"/>
          <w:highlight w:val="none"/>
        </w:rPr>
        <w:t>编写评标报告</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pPr>
        <w:adjustRightInd w:val="0"/>
        <w:snapToGrid w:val="0"/>
        <w:spacing w:line="288" w:lineRule="auto"/>
        <w:ind w:firstLine="426" w:firstLineChars="202"/>
        <w:rPr>
          <w:b/>
          <w:bCs/>
          <w:color w:val="auto"/>
          <w:sz w:val="21"/>
          <w:szCs w:val="21"/>
          <w:highlight w:val="none"/>
        </w:rPr>
      </w:pPr>
      <w:r>
        <w:rPr>
          <w:rFonts w:hint="eastAsia" w:cs="Arial"/>
          <w:b/>
          <w:color w:val="auto"/>
          <w:kern w:val="0"/>
          <w:sz w:val="21"/>
          <w:szCs w:val="21"/>
          <w:highlight w:val="none"/>
        </w:rPr>
        <w:t>（十）补充说明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采用竞争性磋商采购方式采购的政府购买服务项目（含政府和社会资本合作项目），在采购过程中符合要求的供应商（社会资本）只有2家的，竞争性磋商采购活动可以继续进行。</w:t>
      </w:r>
    </w:p>
    <w:p>
      <w:pPr>
        <w:widowControl/>
        <w:adjustRightInd w:val="0"/>
        <w:snapToGrid w:val="0"/>
        <w:spacing w:line="288" w:lineRule="auto"/>
        <w:jc w:val="left"/>
        <w:rPr>
          <w:rFonts w:cs="Times New Roman"/>
          <w:b/>
          <w:color w:val="auto"/>
          <w:spacing w:val="-6"/>
          <w:sz w:val="21"/>
          <w:szCs w:val="21"/>
          <w:highlight w:val="none"/>
        </w:rPr>
      </w:pPr>
      <w:r>
        <w:rPr>
          <w:rFonts w:cs="Times New Roman"/>
          <w:b/>
          <w:color w:val="auto"/>
          <w:spacing w:val="-6"/>
          <w:sz w:val="21"/>
          <w:szCs w:val="21"/>
          <w:highlight w:val="none"/>
        </w:rPr>
        <w:br w:type="page"/>
      </w:r>
    </w:p>
    <w:p>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七、成交与合同</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（一）成交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代理机构在评审结束后2个工作日内将评审报告送采购人确认。采购人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2.采购代理机构在成交供应商确定后</w:t>
      </w:r>
      <w:r>
        <w:rPr>
          <w:color w:val="auto"/>
          <w:sz w:val="21"/>
          <w:szCs w:val="21"/>
          <w:highlight w:val="none"/>
        </w:rPr>
        <w:t>2个工作日内公告成交结果，同时向成交供应商发出成交通知书，并将磋商文件随成交结果同时公告。</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w:t>
      </w:r>
      <w:r>
        <w:rPr>
          <w:color w:val="auto"/>
          <w:sz w:val="21"/>
          <w:szCs w:val="21"/>
          <w:highlight w:val="none"/>
        </w:rPr>
        <w:t>.</w:t>
      </w:r>
      <w:r>
        <w:rPr>
          <w:rFonts w:hint="eastAsia"/>
          <w:color w:val="auto"/>
          <w:sz w:val="21"/>
          <w:szCs w:val="21"/>
          <w:highlight w:val="none"/>
        </w:rPr>
        <w:t>评审结果公示媒体：浙江政府采购网（http://zfcg.czt.zj.gov.cn）。</w:t>
      </w:r>
    </w:p>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（二）合同授予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成交后无正当理由拒不与采购人签订政府采购合同，将被取消成交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adjustRightInd w:val="0"/>
        <w:snapToGrid w:val="0"/>
        <w:spacing w:line="288" w:lineRule="auto"/>
        <w:rPr>
          <w:color w:val="auto"/>
          <w:sz w:val="21"/>
          <w:szCs w:val="21"/>
          <w:highlight w:val="none"/>
        </w:rPr>
      </w:pPr>
    </w:p>
    <w:p>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八、</w:t>
      </w:r>
      <w:r>
        <w:rPr>
          <w:rFonts w:cs="Times New Roman"/>
          <w:b/>
          <w:color w:val="auto"/>
          <w:spacing w:val="-6"/>
          <w:sz w:val="21"/>
          <w:szCs w:val="21"/>
          <w:highlight w:val="none"/>
        </w:rPr>
        <w:t>验</w:t>
      </w:r>
      <w:r>
        <w:rPr>
          <w:rFonts w:hint="eastAsia" w:cs="Times New Roman"/>
          <w:b/>
          <w:color w:val="auto"/>
          <w:spacing w:val="-6"/>
          <w:sz w:val="21"/>
          <w:szCs w:val="21"/>
          <w:highlight w:val="none"/>
        </w:rPr>
        <w:t xml:space="preserve"> </w:t>
      </w:r>
      <w:r>
        <w:rPr>
          <w:rFonts w:cs="Times New Roman"/>
          <w:b/>
          <w:color w:val="auto"/>
          <w:spacing w:val="-6"/>
          <w:sz w:val="21"/>
          <w:szCs w:val="21"/>
          <w:highlight w:val="none"/>
        </w:rPr>
        <w:t xml:space="preserve"> 收</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采购人可以邀请参加本项目的其他供应商或者第三方机构参与验收。参与验收的供应商或者第三方机构的意见作为</w:t>
      </w:r>
      <w:r>
        <w:rPr>
          <w:rFonts w:hint="eastAsia" w:cs="Helvetica"/>
          <w:color w:val="auto"/>
          <w:kern w:val="0"/>
          <w:sz w:val="21"/>
          <w:szCs w:val="21"/>
          <w:highlight w:val="none"/>
        </w:rPr>
        <w:t>验收书的参考资料一并存档。</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pPr>
        <w:adjustRightInd w:val="0"/>
        <w:snapToGrid w:val="0"/>
        <w:spacing w:line="288" w:lineRule="auto"/>
        <w:rPr>
          <w:color w:val="auto"/>
          <w:sz w:val="21"/>
          <w:szCs w:val="21"/>
          <w:highlight w:val="none"/>
        </w:rPr>
      </w:pP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九、可中止电子交易活动的情形</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采购过程中出现以下情形，导致电子交易平台无法正常运行，或者无法保证电子交易的公平、公正和安全时，采购代理机构可中止电子交易活动：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1.电子交易平台发生故障而无法登录访问的；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2.电子交易平台应用或数据库出现错误，不能进行正常操作的；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3.电子交易平台发现严重安全漏洞，有潜在泄密危险的；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4.病毒发作导致不能进行正常操作的；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5.其他无法保证电子交易的公平、公正和安全的情况。</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出现前款规定情形，不影响采购公平、公正性的，采购代理机构可以待上述情形消除后继续组织电子交易活动；影响或可能影响采购公平、公正性的，应当重新采购。</w:t>
      </w: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第四章  评审方法和评审标准</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一、评审方法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本次评审采用综合评分法，总分为100分。评分过程中采用四舍五入法，并保留小数2位。</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供应商评审综合得分=商务分+技术分+价格分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二、评审标准</w:t>
      </w:r>
    </w:p>
    <w:tbl>
      <w:tblPr>
        <w:tblStyle w:val="12"/>
        <w:tblW w:w="96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12"/>
        <w:gridCol w:w="669"/>
        <w:gridCol w:w="72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712"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评审因素</w:t>
            </w:r>
          </w:p>
        </w:tc>
        <w:tc>
          <w:tcPr>
            <w:tcW w:w="669"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分值</w:t>
            </w:r>
          </w:p>
        </w:tc>
        <w:tc>
          <w:tcPr>
            <w:tcW w:w="7237"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18" w:type="dxa"/>
            <w:gridSpan w:val="3"/>
            <w:vAlign w:val="center"/>
          </w:tcPr>
          <w:p>
            <w:pPr>
              <w:adjustRightInd w:val="0"/>
              <w:snapToGrid w:val="0"/>
              <w:rPr>
                <w:b/>
                <w:bCs/>
                <w:color w:val="auto"/>
                <w:sz w:val="21"/>
                <w:szCs w:val="21"/>
                <w:highlight w:val="none"/>
              </w:rPr>
            </w:pPr>
            <w:r>
              <w:rPr>
                <w:rFonts w:hint="eastAsia"/>
                <w:b/>
                <w:bCs/>
                <w:color w:val="auto"/>
                <w:sz w:val="21"/>
                <w:szCs w:val="21"/>
                <w:highlight w:val="none"/>
              </w:rPr>
              <w:t>价格分（30）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712"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最后磋商报价</w:t>
            </w:r>
          </w:p>
        </w:tc>
        <w:tc>
          <w:tcPr>
            <w:tcW w:w="669"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30</w:t>
            </w:r>
          </w:p>
        </w:tc>
        <w:tc>
          <w:tcPr>
            <w:tcW w:w="7237" w:type="dxa"/>
          </w:tcPr>
          <w:p>
            <w:pPr>
              <w:adjustRightInd w:val="0"/>
              <w:snapToGrid w:val="0"/>
              <w:rPr>
                <w:color w:val="auto"/>
                <w:sz w:val="21"/>
                <w:szCs w:val="21"/>
                <w:highlight w:val="none"/>
              </w:rPr>
            </w:pPr>
            <w:r>
              <w:rPr>
                <w:rFonts w:hint="eastAsia"/>
                <w:color w:val="auto"/>
                <w:sz w:val="21"/>
                <w:szCs w:val="21"/>
                <w:highlight w:val="none"/>
              </w:rPr>
              <w:t>价格分采用低价优先法计算，即满足磋商文件要求且最后磋商报价最低的供应商的价格为磋商基准价，其价格分为满分。其他供应商的价格分统一按照下列公式计算：</w:t>
            </w:r>
          </w:p>
          <w:p>
            <w:pPr>
              <w:adjustRightInd w:val="0"/>
              <w:snapToGrid w:val="0"/>
              <w:rPr>
                <w:color w:val="auto"/>
                <w:sz w:val="21"/>
                <w:szCs w:val="21"/>
                <w:highlight w:val="none"/>
              </w:rPr>
            </w:pPr>
            <w:r>
              <w:rPr>
                <w:rFonts w:hint="eastAsia"/>
                <w:color w:val="auto"/>
                <w:sz w:val="21"/>
                <w:szCs w:val="21"/>
                <w:highlight w:val="none"/>
              </w:rPr>
              <w:t>磋商报价得分=（磋商基准价/最后磋商报价）×30%×100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18" w:type="dxa"/>
            <w:gridSpan w:val="3"/>
          </w:tcPr>
          <w:p>
            <w:pPr>
              <w:widowControl/>
              <w:jc w:val="left"/>
              <w:rPr>
                <w:color w:val="auto"/>
                <w:sz w:val="21"/>
                <w:szCs w:val="21"/>
                <w:highlight w:val="none"/>
              </w:rPr>
            </w:pPr>
            <w:r>
              <w:rPr>
                <w:rFonts w:hint="eastAsia"/>
                <w:b/>
                <w:bCs/>
                <w:color w:val="auto"/>
                <w:sz w:val="21"/>
                <w:szCs w:val="21"/>
                <w:highlight w:val="none"/>
              </w:rPr>
              <w:t>商务分（4）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712"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响应方信誉</w:t>
            </w:r>
          </w:p>
        </w:tc>
        <w:tc>
          <w:tcPr>
            <w:tcW w:w="669"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1</w:t>
            </w:r>
          </w:p>
        </w:tc>
        <w:tc>
          <w:tcPr>
            <w:tcW w:w="7237" w:type="dxa"/>
            <w:vAlign w:val="center"/>
          </w:tcPr>
          <w:p>
            <w:pPr>
              <w:adjustRightInd w:val="0"/>
              <w:snapToGrid w:val="0"/>
              <w:rPr>
                <w:color w:val="auto"/>
                <w:sz w:val="21"/>
                <w:szCs w:val="21"/>
                <w:highlight w:val="none"/>
              </w:rPr>
            </w:pPr>
            <w:r>
              <w:rPr>
                <w:rFonts w:hint="eastAsia"/>
                <w:color w:val="auto"/>
                <w:sz w:val="21"/>
                <w:szCs w:val="21"/>
                <w:highlight w:val="none"/>
              </w:rPr>
              <w:t>供应商具有有效的质量管理体系认证证书的得1分（提供证书扫描件、国家认证认可监督管理委员会官网（http://www.cnca.gov.cn/）查询截图，不提供不得分）。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712"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业绩</w:t>
            </w:r>
          </w:p>
        </w:tc>
        <w:tc>
          <w:tcPr>
            <w:tcW w:w="669"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3</w:t>
            </w:r>
          </w:p>
        </w:tc>
        <w:tc>
          <w:tcPr>
            <w:tcW w:w="7237" w:type="dxa"/>
            <w:vAlign w:val="center"/>
          </w:tcPr>
          <w:p>
            <w:pPr>
              <w:adjustRightInd w:val="0"/>
              <w:snapToGrid w:val="0"/>
              <w:rPr>
                <w:color w:val="auto"/>
                <w:sz w:val="21"/>
                <w:szCs w:val="21"/>
                <w:highlight w:val="none"/>
              </w:rPr>
            </w:pPr>
            <w:r>
              <w:rPr>
                <w:rFonts w:hint="eastAsia"/>
                <w:color w:val="auto"/>
                <w:sz w:val="21"/>
                <w:szCs w:val="21"/>
                <w:highlight w:val="none"/>
              </w:rPr>
              <w:t>供应商自2020年1月1日以来（以合同签订时间为准）同类合同业绩（以提供的完整合同扫描件为准）：每提供1份合同业绩得1分，最高得3分。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618" w:type="dxa"/>
            <w:gridSpan w:val="3"/>
          </w:tcPr>
          <w:p>
            <w:pPr>
              <w:ind w:right="120" w:rightChars="50"/>
              <w:jc w:val="left"/>
              <w:rPr>
                <w:color w:val="auto"/>
                <w:sz w:val="21"/>
                <w:szCs w:val="21"/>
                <w:highlight w:val="none"/>
              </w:rPr>
            </w:pPr>
            <w:r>
              <w:rPr>
                <w:rFonts w:hint="eastAsia"/>
                <w:b/>
                <w:bCs/>
                <w:color w:val="auto"/>
                <w:sz w:val="21"/>
                <w:szCs w:val="21"/>
                <w:highlight w:val="none"/>
              </w:rPr>
              <w:t>技术分（66）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1712"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响应程度</w:t>
            </w:r>
          </w:p>
        </w:tc>
        <w:tc>
          <w:tcPr>
            <w:tcW w:w="669" w:type="dxa"/>
            <w:vAlign w:val="center"/>
          </w:tcPr>
          <w:p>
            <w:pPr>
              <w:adjustRightInd w:val="0"/>
              <w:snapToGrid w:val="0"/>
              <w:jc w:val="center"/>
              <w:rPr>
                <w:b/>
                <w:bCs/>
                <w:color w:val="auto"/>
                <w:sz w:val="21"/>
                <w:szCs w:val="21"/>
                <w:highlight w:val="none"/>
              </w:rPr>
            </w:pPr>
            <w:r>
              <w:rPr>
                <w:b/>
                <w:bCs/>
                <w:color w:val="auto"/>
                <w:sz w:val="21"/>
                <w:szCs w:val="21"/>
                <w:highlight w:val="none"/>
              </w:rPr>
              <w:t>20</w:t>
            </w:r>
          </w:p>
        </w:tc>
        <w:tc>
          <w:tcPr>
            <w:tcW w:w="7237" w:type="dxa"/>
            <w:vAlign w:val="center"/>
          </w:tcPr>
          <w:p>
            <w:pPr>
              <w:ind w:right="120" w:rightChars="50"/>
              <w:rPr>
                <w:color w:val="auto"/>
                <w:sz w:val="21"/>
                <w:szCs w:val="21"/>
                <w:highlight w:val="none"/>
              </w:rPr>
            </w:pPr>
            <w:r>
              <w:rPr>
                <w:rFonts w:hint="eastAsia"/>
                <w:color w:val="auto"/>
                <w:sz w:val="21"/>
                <w:szCs w:val="21"/>
                <w:highlight w:val="none"/>
              </w:rPr>
              <w:t>不符合（负偏离）技术要求中标注“▲”条款（不可偏离）的响应文件无效，满足或明显优于磋商文件明确的全部技术条款要求的该项得满分；</w:t>
            </w:r>
          </w:p>
          <w:p>
            <w:pPr>
              <w:ind w:right="120" w:rightChars="50"/>
              <w:rPr>
                <w:color w:val="auto"/>
                <w:sz w:val="21"/>
                <w:szCs w:val="21"/>
                <w:highlight w:val="none"/>
              </w:rPr>
            </w:pPr>
            <w:r>
              <w:rPr>
                <w:rFonts w:hint="eastAsia"/>
                <w:color w:val="auto"/>
                <w:sz w:val="21"/>
                <w:szCs w:val="21"/>
                <w:highlight w:val="none"/>
              </w:rPr>
              <w:t>技术条款低于技术要求（负偏离）的每项扣</w:t>
            </w:r>
            <w:r>
              <w:rPr>
                <w:color w:val="auto"/>
                <w:sz w:val="21"/>
                <w:szCs w:val="21"/>
                <w:highlight w:val="none"/>
              </w:rPr>
              <w:t>4</w:t>
            </w:r>
            <w:r>
              <w:rPr>
                <w:rFonts w:hint="eastAsia"/>
                <w:color w:val="auto"/>
                <w:sz w:val="21"/>
                <w:szCs w:val="21"/>
                <w:highlight w:val="none"/>
              </w:rPr>
              <w:t>分；</w:t>
            </w:r>
          </w:p>
          <w:p>
            <w:pPr>
              <w:ind w:right="120" w:rightChars="50"/>
              <w:rPr>
                <w:color w:val="auto"/>
                <w:sz w:val="21"/>
                <w:szCs w:val="21"/>
                <w:highlight w:val="none"/>
              </w:rPr>
            </w:pPr>
            <w:r>
              <w:rPr>
                <w:rFonts w:hint="eastAsia"/>
                <w:color w:val="auto"/>
                <w:sz w:val="21"/>
                <w:szCs w:val="21"/>
                <w:highlight w:val="none"/>
              </w:rPr>
              <w:t>负偏离</w:t>
            </w:r>
            <w:r>
              <w:rPr>
                <w:color w:val="auto"/>
                <w:sz w:val="21"/>
                <w:szCs w:val="21"/>
                <w:highlight w:val="none"/>
              </w:rPr>
              <w:t>5</w:t>
            </w:r>
            <w:r>
              <w:rPr>
                <w:rFonts w:hint="eastAsia"/>
                <w:color w:val="auto"/>
                <w:sz w:val="21"/>
                <w:szCs w:val="21"/>
                <w:highlight w:val="none"/>
              </w:rPr>
              <w:t>项及以上的，视为采购人不能接受的附加条件。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7" w:hRule="atLeast"/>
        </w:trPr>
        <w:tc>
          <w:tcPr>
            <w:tcW w:w="1712" w:type="dxa"/>
            <w:vMerge w:val="restart"/>
            <w:vAlign w:val="center"/>
          </w:tcPr>
          <w:p>
            <w:pPr>
              <w:adjustRightInd w:val="0"/>
              <w:snapToGrid w:val="0"/>
              <w:jc w:val="center"/>
              <w:rPr>
                <w:b/>
                <w:bCs/>
                <w:color w:val="auto"/>
                <w:sz w:val="21"/>
                <w:szCs w:val="21"/>
                <w:highlight w:val="none"/>
              </w:rPr>
            </w:pPr>
            <w:r>
              <w:rPr>
                <w:rFonts w:hint="eastAsia"/>
                <w:b/>
                <w:bCs/>
                <w:color w:val="auto"/>
                <w:sz w:val="21"/>
                <w:szCs w:val="21"/>
                <w:highlight w:val="none"/>
              </w:rPr>
              <w:t>技术方案</w:t>
            </w:r>
          </w:p>
        </w:tc>
        <w:tc>
          <w:tcPr>
            <w:tcW w:w="669"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5</w:t>
            </w:r>
          </w:p>
        </w:tc>
        <w:tc>
          <w:tcPr>
            <w:tcW w:w="7237" w:type="dxa"/>
            <w:vAlign w:val="center"/>
          </w:tcPr>
          <w:p>
            <w:pPr>
              <w:ind w:right="120" w:rightChars="50"/>
              <w:rPr>
                <w:color w:val="auto"/>
                <w:sz w:val="21"/>
                <w:szCs w:val="21"/>
                <w:highlight w:val="none"/>
              </w:rPr>
            </w:pPr>
            <w:r>
              <w:rPr>
                <w:rFonts w:hint="eastAsia"/>
                <w:color w:val="auto"/>
                <w:sz w:val="21"/>
                <w:szCs w:val="21"/>
                <w:highlight w:val="none"/>
              </w:rPr>
              <w:t>供应商整体技术方案完整性、先进性、合理性情况。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1" w:hRule="atLeast"/>
        </w:trPr>
        <w:tc>
          <w:tcPr>
            <w:tcW w:w="1712" w:type="dxa"/>
            <w:vMerge w:val="continue"/>
            <w:vAlign w:val="center"/>
          </w:tcPr>
          <w:p>
            <w:pPr>
              <w:adjustRightInd w:val="0"/>
              <w:snapToGrid w:val="0"/>
              <w:jc w:val="center"/>
              <w:rPr>
                <w:b/>
                <w:bCs/>
                <w:color w:val="auto"/>
                <w:sz w:val="21"/>
                <w:szCs w:val="21"/>
                <w:highlight w:val="none"/>
              </w:rPr>
            </w:pPr>
          </w:p>
        </w:tc>
        <w:tc>
          <w:tcPr>
            <w:tcW w:w="669"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5</w:t>
            </w:r>
          </w:p>
        </w:tc>
        <w:tc>
          <w:tcPr>
            <w:tcW w:w="7237" w:type="dxa"/>
            <w:vAlign w:val="center"/>
          </w:tcPr>
          <w:p>
            <w:pPr>
              <w:ind w:right="120" w:rightChars="50"/>
              <w:rPr>
                <w:color w:val="auto"/>
                <w:sz w:val="21"/>
                <w:szCs w:val="21"/>
                <w:highlight w:val="none"/>
              </w:rPr>
            </w:pPr>
            <w:r>
              <w:rPr>
                <w:rFonts w:hint="eastAsia"/>
                <w:color w:val="auto"/>
                <w:sz w:val="21"/>
                <w:szCs w:val="21"/>
                <w:highlight w:val="none"/>
              </w:rPr>
              <w:t>供应商技术方案是否清晰考虑到项目使用特点，技术方案的针对性情况。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12"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项目实施方案</w:t>
            </w:r>
          </w:p>
        </w:tc>
        <w:tc>
          <w:tcPr>
            <w:tcW w:w="669"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5</w:t>
            </w:r>
          </w:p>
        </w:tc>
        <w:tc>
          <w:tcPr>
            <w:tcW w:w="7237" w:type="dxa"/>
            <w:vAlign w:val="center"/>
          </w:tcPr>
          <w:p>
            <w:pPr>
              <w:adjustRightInd w:val="0"/>
              <w:snapToGrid w:val="0"/>
              <w:rPr>
                <w:color w:val="auto"/>
                <w:sz w:val="21"/>
                <w:szCs w:val="21"/>
                <w:highlight w:val="none"/>
              </w:rPr>
            </w:pPr>
            <w:r>
              <w:rPr>
                <w:rFonts w:hint="eastAsia"/>
                <w:color w:val="auto"/>
                <w:sz w:val="21"/>
                <w:szCs w:val="21"/>
                <w:highlight w:val="none"/>
              </w:rPr>
              <w:t>供应商项目实施方案的科学性、合理性、规范性和可操作性情况。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07" w:hRule="atLeast"/>
        </w:trPr>
        <w:tc>
          <w:tcPr>
            <w:tcW w:w="1712"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拟投入人员</w:t>
            </w:r>
          </w:p>
        </w:tc>
        <w:tc>
          <w:tcPr>
            <w:tcW w:w="669"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5</w:t>
            </w:r>
          </w:p>
        </w:tc>
        <w:tc>
          <w:tcPr>
            <w:tcW w:w="7237" w:type="dxa"/>
            <w:vAlign w:val="center"/>
          </w:tcPr>
          <w:p>
            <w:pPr>
              <w:adjustRightInd w:val="0"/>
              <w:snapToGrid w:val="0"/>
              <w:rPr>
                <w:color w:val="auto"/>
                <w:sz w:val="21"/>
                <w:szCs w:val="21"/>
                <w:highlight w:val="none"/>
              </w:rPr>
            </w:pPr>
            <w:r>
              <w:rPr>
                <w:rFonts w:hint="eastAsia"/>
                <w:color w:val="auto"/>
                <w:sz w:val="21"/>
                <w:szCs w:val="21"/>
                <w:highlight w:val="none"/>
              </w:rPr>
              <w:t>供应商拟投入本项目的项目组成员整体情况，包括工作履历、经验、专业能力等（提供供应商本单位近3个月任意一月为其缴纳社保的证明材料，不提供不得分）。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12"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进度与风险控制方案</w:t>
            </w:r>
          </w:p>
        </w:tc>
        <w:tc>
          <w:tcPr>
            <w:tcW w:w="669" w:type="dxa"/>
            <w:vAlign w:val="center"/>
          </w:tcPr>
          <w:p>
            <w:pPr>
              <w:adjustRightInd w:val="0"/>
              <w:snapToGrid w:val="0"/>
              <w:jc w:val="center"/>
              <w:rPr>
                <w:b/>
                <w:bCs/>
                <w:color w:val="auto"/>
                <w:sz w:val="21"/>
                <w:szCs w:val="21"/>
                <w:highlight w:val="none"/>
              </w:rPr>
            </w:pPr>
            <w:r>
              <w:rPr>
                <w:b/>
                <w:bCs/>
                <w:color w:val="auto"/>
                <w:sz w:val="21"/>
                <w:szCs w:val="21"/>
                <w:highlight w:val="none"/>
              </w:rPr>
              <w:t>3</w:t>
            </w:r>
          </w:p>
        </w:tc>
        <w:tc>
          <w:tcPr>
            <w:tcW w:w="7237" w:type="dxa"/>
            <w:vAlign w:val="center"/>
          </w:tcPr>
          <w:p>
            <w:pPr>
              <w:ind w:right="120" w:rightChars="50"/>
              <w:rPr>
                <w:color w:val="auto"/>
                <w:sz w:val="21"/>
                <w:szCs w:val="21"/>
                <w:highlight w:val="none"/>
              </w:rPr>
            </w:pPr>
            <w:r>
              <w:rPr>
                <w:rFonts w:hint="eastAsia"/>
                <w:color w:val="auto"/>
                <w:sz w:val="21"/>
                <w:szCs w:val="21"/>
                <w:highlight w:val="none"/>
              </w:rPr>
              <w:t>供应商进度与风险控制措施的完善性、具体可行性、关键节点可控性情况。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12"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售后服务</w:t>
            </w:r>
          </w:p>
        </w:tc>
        <w:tc>
          <w:tcPr>
            <w:tcW w:w="669"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5</w:t>
            </w:r>
          </w:p>
        </w:tc>
        <w:tc>
          <w:tcPr>
            <w:tcW w:w="7237" w:type="dxa"/>
            <w:vAlign w:val="center"/>
          </w:tcPr>
          <w:p>
            <w:pPr>
              <w:adjustRightInd w:val="0"/>
              <w:snapToGrid w:val="0"/>
              <w:rPr>
                <w:color w:val="auto"/>
                <w:sz w:val="21"/>
                <w:szCs w:val="21"/>
                <w:highlight w:val="none"/>
              </w:rPr>
            </w:pPr>
            <w:r>
              <w:rPr>
                <w:rFonts w:hint="eastAsia"/>
                <w:color w:val="auto"/>
                <w:sz w:val="21"/>
                <w:szCs w:val="21"/>
                <w:highlight w:val="none"/>
              </w:rPr>
              <w:t>供应商售后服务方案的完善性，内容是否详尽、措施是否得当、响应是否迅速，应急方案是否合理可行且能够对系统关键指标进行精准运维监测。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12"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培训</w:t>
            </w:r>
          </w:p>
        </w:tc>
        <w:tc>
          <w:tcPr>
            <w:tcW w:w="669" w:type="dxa"/>
            <w:vAlign w:val="center"/>
          </w:tcPr>
          <w:p>
            <w:pPr>
              <w:adjustRightInd w:val="0"/>
              <w:snapToGrid w:val="0"/>
              <w:jc w:val="center"/>
              <w:rPr>
                <w:b/>
                <w:bCs/>
                <w:color w:val="auto"/>
                <w:sz w:val="21"/>
                <w:szCs w:val="21"/>
                <w:highlight w:val="none"/>
              </w:rPr>
            </w:pPr>
            <w:r>
              <w:rPr>
                <w:b/>
                <w:bCs/>
                <w:color w:val="auto"/>
                <w:kern w:val="0"/>
                <w:sz w:val="21"/>
                <w:szCs w:val="21"/>
                <w:highlight w:val="none"/>
              </w:rPr>
              <w:t>3</w:t>
            </w:r>
          </w:p>
        </w:tc>
        <w:tc>
          <w:tcPr>
            <w:tcW w:w="7237" w:type="dxa"/>
            <w:vAlign w:val="center"/>
          </w:tcPr>
          <w:p>
            <w:pPr>
              <w:numPr>
                <w:ilvl w:val="255"/>
                <w:numId w:val="0"/>
              </w:numPr>
              <w:adjustRightInd w:val="0"/>
              <w:snapToGrid w:val="0"/>
              <w:rPr>
                <w:color w:val="auto"/>
                <w:sz w:val="21"/>
                <w:szCs w:val="21"/>
                <w:highlight w:val="none"/>
              </w:rPr>
            </w:pPr>
            <w:r>
              <w:rPr>
                <w:rFonts w:hint="eastAsia"/>
                <w:color w:val="auto"/>
                <w:kern w:val="0"/>
                <w:sz w:val="21"/>
                <w:szCs w:val="21"/>
                <w:highlight w:val="none"/>
              </w:rPr>
              <w:t>供应商培训方案的合理性、可行性。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12" w:type="dxa"/>
            <w:vAlign w:val="center"/>
          </w:tcPr>
          <w:p>
            <w:pPr>
              <w:adjustRightInd w:val="0"/>
              <w:snapToGrid w:val="0"/>
              <w:jc w:val="center"/>
              <w:rPr>
                <w:b/>
                <w:bCs/>
                <w:color w:val="auto"/>
                <w:sz w:val="21"/>
                <w:szCs w:val="21"/>
                <w:highlight w:val="none"/>
              </w:rPr>
            </w:pPr>
            <w:r>
              <w:rPr>
                <w:rFonts w:hint="eastAsia"/>
                <w:b/>
                <w:bCs/>
                <w:color w:val="auto"/>
                <w:sz w:val="21"/>
                <w:szCs w:val="21"/>
                <w:highlight w:val="none"/>
              </w:rPr>
              <w:t>演示</w:t>
            </w:r>
          </w:p>
        </w:tc>
        <w:tc>
          <w:tcPr>
            <w:tcW w:w="669" w:type="dxa"/>
            <w:vAlign w:val="center"/>
          </w:tcPr>
          <w:p>
            <w:pPr>
              <w:adjustRightInd w:val="0"/>
              <w:snapToGrid w:val="0"/>
              <w:jc w:val="center"/>
              <w:rPr>
                <w:b/>
                <w:bCs/>
                <w:color w:val="auto"/>
                <w:kern w:val="0"/>
                <w:sz w:val="21"/>
                <w:szCs w:val="21"/>
                <w:highlight w:val="none"/>
              </w:rPr>
            </w:pPr>
            <w:r>
              <w:rPr>
                <w:rFonts w:hint="eastAsia"/>
                <w:b/>
                <w:bCs/>
                <w:color w:val="auto"/>
                <w:kern w:val="0"/>
                <w:sz w:val="21"/>
                <w:szCs w:val="21"/>
                <w:highlight w:val="none"/>
              </w:rPr>
              <w:t>15</w:t>
            </w:r>
          </w:p>
        </w:tc>
        <w:tc>
          <w:tcPr>
            <w:tcW w:w="7237" w:type="dxa"/>
            <w:vAlign w:val="center"/>
          </w:tcPr>
          <w:p>
            <w:pPr>
              <w:numPr>
                <w:ilvl w:val="255"/>
                <w:numId w:val="0"/>
              </w:numPr>
              <w:adjustRightInd w:val="0"/>
              <w:snapToGrid w:val="0"/>
              <w:rPr>
                <w:color w:val="auto"/>
                <w:kern w:val="0"/>
                <w:sz w:val="21"/>
                <w:szCs w:val="21"/>
                <w:highlight w:val="none"/>
              </w:rPr>
            </w:pPr>
            <w:r>
              <w:rPr>
                <w:rFonts w:hint="eastAsia"/>
                <w:color w:val="auto"/>
                <w:kern w:val="0"/>
                <w:sz w:val="21"/>
                <w:szCs w:val="21"/>
                <w:highlight w:val="none"/>
              </w:rPr>
              <w:t>供应商根据第二章 采购需求“4.演示”的要求进行演示，每项演示最高得1.5分。</w:t>
            </w:r>
          </w:p>
        </w:tc>
      </w:tr>
    </w:tbl>
    <w:p>
      <w:pPr>
        <w:adjustRightInd w:val="0"/>
        <w:snapToGrid w:val="0"/>
        <w:spacing w:line="288" w:lineRule="auto"/>
        <w:jc w:val="left"/>
        <w:rPr>
          <w:b/>
          <w:color w:val="auto"/>
          <w:sz w:val="21"/>
          <w:szCs w:val="21"/>
          <w:highlight w:val="none"/>
        </w:rPr>
      </w:pPr>
      <w:r>
        <w:rPr>
          <w:rFonts w:hint="eastAsia"/>
          <w:b/>
          <w:color w:val="auto"/>
          <w:sz w:val="21"/>
          <w:szCs w:val="21"/>
          <w:highlight w:val="none"/>
        </w:rPr>
        <w:t>说明</w:t>
      </w:r>
      <w:r>
        <w:rPr>
          <w:b/>
          <w:color w:val="auto"/>
          <w:sz w:val="21"/>
          <w:szCs w:val="21"/>
          <w:highlight w:val="none"/>
        </w:rPr>
        <w:t>：</w:t>
      </w:r>
      <w:r>
        <w:rPr>
          <w:rFonts w:hint="eastAsia"/>
          <w:b/>
          <w:color w:val="auto"/>
          <w:sz w:val="21"/>
          <w:szCs w:val="21"/>
          <w:highlight w:val="none"/>
        </w:rPr>
        <w:t>本项目专门面向中小企业采购，不再执行价格评审优惠的扶持政策。</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第五章  拟签订的合同文本</w:t>
      </w:r>
    </w:p>
    <w:p>
      <w:pPr>
        <w:adjustRightInd w:val="0"/>
        <w:snapToGrid w:val="0"/>
        <w:spacing w:line="288" w:lineRule="auto"/>
        <w:jc w:val="center"/>
        <w:rPr>
          <w:b/>
          <w:bCs/>
          <w:color w:val="auto"/>
          <w:sz w:val="21"/>
          <w:szCs w:val="21"/>
          <w:highlight w:val="none"/>
        </w:rPr>
      </w:pPr>
      <w:r>
        <w:rPr>
          <w:rFonts w:hint="eastAsia"/>
          <w:b/>
          <w:color w:val="auto"/>
          <w:spacing w:val="-6"/>
          <w:sz w:val="21"/>
          <w:szCs w:val="21"/>
          <w:highlight w:val="none"/>
        </w:rPr>
        <w:t>政府采购合同</w:t>
      </w:r>
    </w:p>
    <w:p>
      <w:pPr>
        <w:adjustRightInd w:val="0"/>
        <w:snapToGrid w:val="0"/>
        <w:spacing w:line="288" w:lineRule="auto"/>
        <w:rPr>
          <w:color w:val="auto"/>
          <w:sz w:val="21"/>
          <w:szCs w:val="21"/>
          <w:highlight w:val="none"/>
        </w:rPr>
      </w:pPr>
    </w:p>
    <w:p>
      <w:pPr>
        <w:snapToGrid w:val="0"/>
        <w:spacing w:line="288" w:lineRule="auto"/>
        <w:rPr>
          <w:color w:val="auto"/>
          <w:spacing w:val="-6"/>
          <w:sz w:val="21"/>
          <w:szCs w:val="21"/>
          <w:highlight w:val="none"/>
        </w:rPr>
      </w:pPr>
      <w:r>
        <w:rPr>
          <w:rFonts w:hint="eastAsia"/>
          <w:color w:val="auto"/>
          <w:spacing w:val="-6"/>
          <w:sz w:val="21"/>
          <w:szCs w:val="21"/>
          <w:highlight w:val="none"/>
        </w:rPr>
        <w:t>采购编号：QSZB-Z(H)-B23232(CS)</w:t>
      </w:r>
    </w:p>
    <w:p>
      <w:pPr>
        <w:snapToGrid w:val="0"/>
        <w:spacing w:line="288" w:lineRule="auto"/>
        <w:rPr>
          <w:color w:val="auto"/>
          <w:spacing w:val="-6"/>
          <w:sz w:val="21"/>
          <w:szCs w:val="21"/>
          <w:highlight w:val="none"/>
        </w:rPr>
      </w:pPr>
      <w:r>
        <w:rPr>
          <w:rFonts w:hint="eastAsia"/>
          <w:color w:val="auto"/>
          <w:spacing w:val="-6"/>
          <w:sz w:val="21"/>
          <w:szCs w:val="21"/>
          <w:highlight w:val="none"/>
        </w:rPr>
        <w:t>确认书编号：[2023]37075号</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甲方（需方）：杭州电子科技大学</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乙方（供方）：</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采购代理机构：浙江求是招标代理有限公司</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签约时间、地点：</w:t>
      </w:r>
      <w:r>
        <w:rPr>
          <w:rFonts w:hint="eastAsia" w:cs="Times New Roman"/>
          <w:color w:val="auto"/>
          <w:spacing w:val="-6"/>
          <w:sz w:val="21"/>
          <w:szCs w:val="21"/>
          <w:highlight w:val="none"/>
        </w:rPr>
        <w:t>2023</w:t>
      </w:r>
      <w:r>
        <w:rPr>
          <w:rFonts w:hint="eastAsia"/>
          <w:color w:val="auto"/>
          <w:spacing w:val="-6"/>
          <w:sz w:val="21"/>
          <w:szCs w:val="21"/>
          <w:highlight w:val="none"/>
        </w:rPr>
        <w:t>年</w:t>
      </w:r>
      <w:r>
        <w:rPr>
          <w:rFonts w:hint="eastAsia" w:cs="Times New Roman"/>
          <w:color w:val="auto"/>
          <w:spacing w:val="-6"/>
          <w:sz w:val="21"/>
          <w:szCs w:val="21"/>
          <w:highlight w:val="none"/>
        </w:rPr>
        <w:t xml:space="preserve">  </w:t>
      </w:r>
      <w:r>
        <w:rPr>
          <w:rFonts w:hint="eastAsia"/>
          <w:color w:val="auto"/>
          <w:spacing w:val="-6"/>
          <w:sz w:val="21"/>
          <w:szCs w:val="21"/>
          <w:highlight w:val="none"/>
        </w:rPr>
        <w:t>月</w:t>
      </w:r>
      <w:r>
        <w:rPr>
          <w:rFonts w:hint="eastAsia" w:cs="Times New Roman"/>
          <w:color w:val="auto"/>
          <w:spacing w:val="-6"/>
          <w:sz w:val="21"/>
          <w:szCs w:val="21"/>
          <w:highlight w:val="none"/>
        </w:rPr>
        <w:t xml:space="preserve">   </w:t>
      </w:r>
      <w:r>
        <w:rPr>
          <w:rFonts w:hint="eastAsia"/>
          <w:color w:val="auto"/>
          <w:spacing w:val="-6"/>
          <w:sz w:val="21"/>
          <w:szCs w:val="21"/>
          <w:highlight w:val="none"/>
        </w:rPr>
        <w:t>日，杭州</w:t>
      </w:r>
    </w:p>
    <w:p>
      <w:pPr>
        <w:snapToGrid w:val="0"/>
        <w:spacing w:line="288" w:lineRule="auto"/>
        <w:rPr>
          <w:rFonts w:cs="Times New Roman"/>
          <w:b/>
          <w:color w:val="auto"/>
          <w:spacing w:val="-6"/>
          <w:sz w:val="21"/>
          <w:szCs w:val="21"/>
          <w:highlight w:val="none"/>
        </w:rPr>
      </w:pPr>
      <w:r>
        <w:rPr>
          <w:rFonts w:hint="eastAsia" w:cs="Times New Roman"/>
          <w:b/>
          <w:color w:val="auto"/>
          <w:spacing w:val="-6"/>
          <w:sz w:val="21"/>
          <w:szCs w:val="21"/>
          <w:highlight w:val="none"/>
        </w:rPr>
        <w:t xml:space="preserve"> </w:t>
      </w:r>
    </w:p>
    <w:p>
      <w:pPr>
        <w:snapToGrid w:val="0"/>
        <w:spacing w:line="288" w:lineRule="auto"/>
        <w:ind w:left="-204" w:leftChars="-85" w:right="26" w:rightChars="11" w:firstLine="396" w:firstLineChars="200"/>
        <w:rPr>
          <w:rFonts w:cs="Times New Roman"/>
          <w:color w:val="auto"/>
          <w:spacing w:val="-6"/>
          <w:sz w:val="21"/>
          <w:szCs w:val="21"/>
          <w:highlight w:val="none"/>
        </w:rPr>
      </w:pPr>
      <w:r>
        <w:rPr>
          <w:rFonts w:hint="eastAsia"/>
          <w:color w:val="auto"/>
          <w:spacing w:val="-6"/>
          <w:sz w:val="21"/>
          <w:szCs w:val="21"/>
          <w:highlight w:val="none"/>
        </w:rPr>
        <w:t>甲、乙双方根据浙江求是招标代理有限公司关于杭州电子科技大学</w:t>
      </w:r>
      <w:r>
        <w:rPr>
          <w:rFonts w:hint="eastAsia" w:cs="Times New Roman"/>
          <w:color w:val="auto"/>
          <w:spacing w:val="-6"/>
          <w:sz w:val="21"/>
          <w:szCs w:val="21"/>
          <w:highlight w:val="none"/>
          <w:u w:val="single"/>
        </w:rPr>
        <w:t xml:space="preserve">  大数据工程技术人员实训平台  </w:t>
      </w:r>
      <w:r>
        <w:rPr>
          <w:rFonts w:hint="eastAsia"/>
          <w:color w:val="auto"/>
          <w:spacing w:val="-6"/>
          <w:sz w:val="21"/>
          <w:szCs w:val="21"/>
          <w:highlight w:val="none"/>
        </w:rPr>
        <w:t>项目竞争性磋商采购的结果，签署本合同。</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第一条：采购标的物清单及合同价格</w:t>
      </w:r>
    </w:p>
    <w:tbl>
      <w:tblPr>
        <w:tblStyle w:val="11"/>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2013"/>
        <w:gridCol w:w="1980"/>
        <w:gridCol w:w="805"/>
        <w:gridCol w:w="805"/>
        <w:gridCol w:w="1409"/>
        <w:gridCol w:w="18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序号</w:t>
            </w:r>
          </w:p>
        </w:tc>
        <w:tc>
          <w:tcPr>
            <w:tcW w:w="2013"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名称</w:t>
            </w:r>
          </w:p>
        </w:tc>
        <w:tc>
          <w:tcPr>
            <w:tcW w:w="198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具体内容</w:t>
            </w: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数量</w:t>
            </w: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单位</w:t>
            </w:r>
          </w:p>
        </w:tc>
        <w:tc>
          <w:tcPr>
            <w:tcW w:w="1409"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单价</w:t>
            </w:r>
          </w:p>
        </w:tc>
        <w:tc>
          <w:tcPr>
            <w:tcW w:w="1811"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1</w:t>
            </w:r>
          </w:p>
        </w:tc>
        <w:tc>
          <w:tcPr>
            <w:tcW w:w="2013" w:type="dxa"/>
            <w:tcBorders>
              <w:top w:val="single" w:color="auto" w:sz="4" w:space="0"/>
              <w:left w:val="nil"/>
              <w:bottom w:val="single" w:color="auto" w:sz="4" w:space="0"/>
              <w:right w:val="single" w:color="auto" w:sz="4" w:space="0"/>
            </w:tcBorders>
            <w:vAlign w:val="center"/>
          </w:tcPr>
          <w:p>
            <w:pPr>
              <w:snapToGrid w:val="0"/>
              <w:spacing w:line="288" w:lineRule="auto"/>
              <w:ind w:left="204" w:leftChars="85"/>
              <w:jc w:val="center"/>
              <w:rPr>
                <w:rFonts w:cs="Times New Roman"/>
                <w:color w:val="auto"/>
                <w:spacing w:val="-6"/>
                <w:sz w:val="21"/>
                <w:szCs w:val="21"/>
                <w:highlight w:val="none"/>
              </w:rPr>
            </w:pPr>
          </w:p>
        </w:tc>
        <w:tc>
          <w:tcPr>
            <w:tcW w:w="1980" w:type="dxa"/>
            <w:tcBorders>
              <w:top w:val="single" w:color="auto" w:sz="4" w:space="0"/>
              <w:left w:val="nil"/>
              <w:bottom w:val="single" w:color="auto" w:sz="4" w:space="0"/>
              <w:right w:val="single" w:color="auto" w:sz="4" w:space="0"/>
            </w:tcBorders>
          </w:tcPr>
          <w:p>
            <w:pPr>
              <w:snapToGrid w:val="0"/>
              <w:spacing w:line="288" w:lineRule="auto"/>
              <w:rPr>
                <w:rFonts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p>
        </w:tc>
        <w:tc>
          <w:tcPr>
            <w:tcW w:w="1409"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p>
        </w:tc>
        <w:tc>
          <w:tcPr>
            <w:tcW w:w="1811" w:type="dxa"/>
            <w:tcBorders>
              <w:top w:val="single" w:color="auto" w:sz="4" w:space="0"/>
              <w:left w:val="nil"/>
              <w:bottom w:val="single" w:color="auto" w:sz="4" w:space="0"/>
              <w:right w:val="single" w:color="auto" w:sz="4" w:space="0"/>
            </w:tcBorders>
            <w:vAlign w:val="center"/>
          </w:tcPr>
          <w:p>
            <w:pPr>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2</w:t>
            </w:r>
          </w:p>
        </w:tc>
        <w:tc>
          <w:tcPr>
            <w:tcW w:w="2013" w:type="dxa"/>
            <w:tcBorders>
              <w:top w:val="single" w:color="auto" w:sz="4" w:space="0"/>
              <w:left w:val="nil"/>
              <w:bottom w:val="single" w:color="auto" w:sz="4" w:space="0"/>
              <w:right w:val="single" w:color="auto" w:sz="4" w:space="0"/>
            </w:tcBorders>
            <w:vAlign w:val="center"/>
          </w:tcPr>
          <w:p>
            <w:pPr>
              <w:snapToGrid w:val="0"/>
              <w:spacing w:line="288" w:lineRule="auto"/>
              <w:ind w:left="204" w:leftChars="85"/>
              <w:jc w:val="center"/>
              <w:rPr>
                <w:rFonts w:cs="Times New Roman"/>
                <w:color w:val="auto"/>
                <w:spacing w:val="-6"/>
                <w:sz w:val="21"/>
                <w:szCs w:val="21"/>
                <w:highlight w:val="none"/>
              </w:rPr>
            </w:pPr>
          </w:p>
        </w:tc>
        <w:tc>
          <w:tcPr>
            <w:tcW w:w="1980" w:type="dxa"/>
            <w:tcBorders>
              <w:top w:val="single" w:color="auto" w:sz="4" w:space="0"/>
              <w:left w:val="nil"/>
              <w:bottom w:val="single" w:color="auto" w:sz="4" w:space="0"/>
              <w:right w:val="single" w:color="auto" w:sz="4" w:space="0"/>
            </w:tcBorders>
          </w:tcPr>
          <w:p>
            <w:pPr>
              <w:snapToGrid w:val="0"/>
              <w:spacing w:line="288" w:lineRule="auto"/>
              <w:rPr>
                <w:rFonts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p>
        </w:tc>
        <w:tc>
          <w:tcPr>
            <w:tcW w:w="1409"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p>
        </w:tc>
        <w:tc>
          <w:tcPr>
            <w:tcW w:w="1811" w:type="dxa"/>
            <w:tcBorders>
              <w:top w:val="single" w:color="auto" w:sz="4" w:space="0"/>
              <w:left w:val="nil"/>
              <w:bottom w:val="single" w:color="auto" w:sz="4" w:space="0"/>
              <w:right w:val="single" w:color="auto" w:sz="4" w:space="0"/>
            </w:tcBorders>
            <w:vAlign w:val="center"/>
          </w:tcPr>
          <w:p>
            <w:pPr>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9628" w:type="dxa"/>
            <w:gridSpan w:val="7"/>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left"/>
              <w:rPr>
                <w:rFonts w:cs="Times New Roman"/>
                <w:color w:val="auto"/>
                <w:spacing w:val="-6"/>
                <w:sz w:val="21"/>
                <w:szCs w:val="21"/>
                <w:highlight w:val="none"/>
              </w:rPr>
            </w:pPr>
            <w:r>
              <w:rPr>
                <w:rFonts w:hint="eastAsia" w:cs="Times New Roman"/>
                <w:color w:val="auto"/>
                <w:spacing w:val="-6"/>
                <w:sz w:val="21"/>
                <w:szCs w:val="21"/>
                <w:highlight w:val="none"/>
              </w:rPr>
              <w:t>合同总价（人民币）：</w:t>
            </w:r>
          </w:p>
        </w:tc>
      </w:tr>
    </w:tbl>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注：</w:t>
      </w:r>
      <w:r>
        <w:rPr>
          <w:rFonts w:hint="eastAsia" w:cs="Times New Roman"/>
          <w:color w:val="auto"/>
          <w:spacing w:val="-6"/>
          <w:sz w:val="21"/>
          <w:szCs w:val="21"/>
          <w:highlight w:val="none"/>
        </w:rPr>
        <w:t>1、以上合同总价包括将货物运抵甲方指定地点的运费及安装调试、培训等一切费用。</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第二条：质量保证及售后服务</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 乙方应按招标文件规定的货物性能、技术要求、质量标准向甲方提供未经使用的全新产品，符合国家法律规定和技术规格、质量标准的出厂原装合格产品；进口商品是获得国家商检局颁布安全许可证的出厂原装合格产品。</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 乙方提供的货物在质保期内因货物本身的质量问题发生故障，乙方应负责免费更换。对达不到技术要求者，根据实际情况，经双方协商，可按以下办法处理：</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⑴更换：由乙方承担所发生的全部费用。</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⑵贬值处理：由甲乙双方合议定价。</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⑶退货处理：乙方应退还甲方支付的合同款，同时应承担该货物的直接费用（运输、保险、检验、货款利息及银行手续费等）。</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3. 如在使用过程中发生质量问题，乙方在接到甲方通知后在</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小时内到达甲方现场。</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4. 在质保期内，乙方应对货物出现的质量及安全问题负责处理解决并承担一切费用。</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 xml:space="preserve">5. </w:t>
      </w:r>
      <w:r>
        <w:rPr>
          <w:rFonts w:hint="eastAsia"/>
          <w:color w:val="auto"/>
          <w:spacing w:val="-6"/>
          <w:sz w:val="21"/>
          <w:szCs w:val="21"/>
          <w:highlight w:val="none"/>
        </w:rPr>
        <w:t>上述的货物免费保修期为</w:t>
      </w:r>
      <w:r>
        <w:rPr>
          <w:rFonts w:hint="eastAsia" w:ascii="Times New Roman" w:hAnsi="Times New Roman"/>
          <w:color w:val="auto"/>
          <w:spacing w:val="-6"/>
          <w:sz w:val="21"/>
          <w:szCs w:val="21"/>
          <w:highlight w:val="none"/>
        </w:rPr>
        <w:t>主机</w:t>
      </w:r>
      <w:r>
        <w:rPr>
          <w:rFonts w:hint="eastAsia" w:ascii="Times New Roman" w:hAnsi="Times New Roman" w:cs="Times New Roman"/>
          <w:color w:val="auto"/>
          <w:spacing w:val="-6"/>
          <w:sz w:val="21"/>
          <w:szCs w:val="21"/>
          <w:highlight w:val="none"/>
          <w:u w:val="single"/>
        </w:rPr>
        <w:t xml:space="preserve">   </w:t>
      </w:r>
      <w:r>
        <w:rPr>
          <w:rFonts w:hint="eastAsia" w:ascii="Times New Roman" w:hAnsi="Times New Roman"/>
          <w:color w:val="auto"/>
          <w:spacing w:val="-6"/>
          <w:sz w:val="21"/>
          <w:szCs w:val="21"/>
          <w:highlight w:val="none"/>
        </w:rPr>
        <w:t>年（配件</w:t>
      </w:r>
      <w:r>
        <w:rPr>
          <w:rFonts w:hint="eastAsia" w:ascii="Times New Roman" w:hAnsi="Times New Roman" w:cs="Times New Roman"/>
          <w:color w:val="auto"/>
          <w:spacing w:val="-6"/>
          <w:sz w:val="21"/>
          <w:szCs w:val="21"/>
          <w:highlight w:val="none"/>
          <w:u w:val="single"/>
        </w:rPr>
        <w:t xml:space="preserve">   </w:t>
      </w:r>
      <w:r>
        <w:rPr>
          <w:rFonts w:hint="eastAsia" w:ascii="Times New Roman" w:hAnsi="Times New Roman"/>
          <w:color w:val="auto"/>
          <w:spacing w:val="-6"/>
          <w:sz w:val="21"/>
          <w:szCs w:val="21"/>
          <w:highlight w:val="none"/>
        </w:rPr>
        <w:t>年）</w:t>
      </w:r>
      <w:r>
        <w:rPr>
          <w:rFonts w:hint="eastAsia"/>
          <w:color w:val="auto"/>
          <w:spacing w:val="-6"/>
          <w:sz w:val="21"/>
          <w:szCs w:val="21"/>
          <w:highlight w:val="none"/>
        </w:rPr>
        <w:t>，因人为因素出现的故障不在免费保修范围内。超过保修期的机器设备，终生维修，维修时只收部件成本费。</w:t>
      </w:r>
    </w:p>
    <w:p>
      <w:pPr>
        <w:snapToGrid w:val="0"/>
        <w:spacing w:line="288" w:lineRule="auto"/>
        <w:ind w:firstLine="420"/>
        <w:rPr>
          <w:rFonts w:cs="Times New Roman"/>
          <w:b/>
          <w:color w:val="auto"/>
          <w:spacing w:val="-6"/>
          <w:sz w:val="21"/>
          <w:szCs w:val="21"/>
          <w:highlight w:val="none"/>
        </w:rPr>
      </w:pPr>
      <w:r>
        <w:rPr>
          <w:rFonts w:hint="eastAsia"/>
          <w:b/>
          <w:color w:val="auto"/>
          <w:spacing w:val="-6"/>
          <w:sz w:val="21"/>
          <w:szCs w:val="21"/>
          <w:highlight w:val="none"/>
        </w:rPr>
        <w:t>第三条：技术资料</w:t>
      </w:r>
    </w:p>
    <w:p>
      <w:pPr>
        <w:tabs>
          <w:tab w:val="left" w:pos="0"/>
        </w:tabs>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1. 乙方应按招标文件规定的时间向甲方提供使用货物的有关技术资料。</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snapToGrid w:val="0"/>
        <w:spacing w:line="288" w:lineRule="auto"/>
        <w:ind w:left="340" w:hanging="340" w:hangingChars="171"/>
        <w:rPr>
          <w:rFonts w:cs="Times New Roman"/>
          <w:b/>
          <w:color w:val="auto"/>
          <w:spacing w:val="-6"/>
          <w:sz w:val="21"/>
          <w:szCs w:val="21"/>
          <w:highlight w:val="none"/>
        </w:rPr>
      </w:pPr>
      <w:r>
        <w:rPr>
          <w:rFonts w:hint="eastAsia"/>
          <w:b/>
          <w:color w:val="auto"/>
          <w:spacing w:val="-6"/>
          <w:sz w:val="21"/>
          <w:szCs w:val="21"/>
          <w:highlight w:val="none"/>
        </w:rPr>
        <w:t>第四条：知识产权</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乙方应保证所提供的货物或其任何一部分均不会侵犯任何第三方的知识产权</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第五条：交货时间、地点</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1.交货时间：合同签订之日起</w:t>
      </w:r>
      <w:r>
        <w:rPr>
          <w:rFonts w:cs="Times New Roman"/>
          <w:color w:val="auto"/>
          <w:spacing w:val="-6"/>
          <w:sz w:val="21"/>
          <w:szCs w:val="21"/>
          <w:highlight w:val="none"/>
        </w:rPr>
        <w:t>30</w:t>
      </w:r>
      <w:r>
        <w:rPr>
          <w:rFonts w:hint="eastAsia" w:cs="Times New Roman"/>
          <w:color w:val="auto"/>
          <w:spacing w:val="-6"/>
          <w:sz w:val="21"/>
          <w:szCs w:val="21"/>
          <w:highlight w:val="none"/>
        </w:rPr>
        <w:t>天内交付。</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 xml:space="preserve">2.交货地点：甲方指定地点。 </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 xml:space="preserve">第六条：售后服务 </w:t>
      </w:r>
    </w:p>
    <w:p>
      <w:pPr>
        <w:snapToGrid w:val="0"/>
        <w:spacing w:line="288" w:lineRule="auto"/>
        <w:ind w:right="26" w:rightChars="11" w:firstLine="420"/>
        <w:rPr>
          <w:rFonts w:cs="Times New Roman"/>
          <w:color w:val="auto"/>
          <w:spacing w:val="-6"/>
          <w:sz w:val="21"/>
          <w:szCs w:val="21"/>
          <w:highlight w:val="none"/>
        </w:rPr>
      </w:pPr>
      <w:r>
        <w:rPr>
          <w:rFonts w:hint="eastAsia"/>
          <w:color w:val="auto"/>
          <w:spacing w:val="-6"/>
          <w:sz w:val="21"/>
          <w:szCs w:val="21"/>
          <w:highlight w:val="none"/>
        </w:rPr>
        <w:t>设备自验收合格后起保修主机</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年（配件</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年）。维修响应时间：</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小时以内，电话技术支持；若需上门维修，则</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小时内到达现场并进行维修；保修期后，乙方继续为甲方服务，仅收取零配件成本费。保修内出现无法排除的故障，乙方需无条件为甲方更换同型号产品。</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第七条：调试与验收</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 甲方对乙方提交的货物依据招标文件上的技术规格要求和国家有关质量标准进行现场初步验收，外观、说明书符合招标文件技术要求的，给予签收，初步验收不合格的不予签收。</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 乙方交货前应对产品作出全面检查和对验收文件进行整理，并列出清单，作为甲方收货验收和使用的技术条件依据，检验的结果应随货物交甲方。</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3. 甲方对乙方提供的货物在使用前进行调试时，乙方需负责安装并培训甲方的使用操作人员，并协助甲方一起调试，直到符合技术要求，甲方才做最终验收。</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4. 对技术复杂的货物，甲方应请国家认可的专业检测机构参与初步验收及最终验收，并由其出具质量检测报告。</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5. 验收时乙方必须在现场，验收完毕后作出验收结果报告；验收费用由乙方负责。</w:t>
      </w:r>
    </w:p>
    <w:p>
      <w:pPr>
        <w:snapToGrid w:val="0"/>
        <w:spacing w:line="288" w:lineRule="auto"/>
        <w:ind w:right="26" w:rightChars="11"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 xml:space="preserve">6. </w:t>
      </w:r>
      <w:r>
        <w:rPr>
          <w:rFonts w:hint="eastAsia"/>
          <w:color w:val="auto"/>
          <w:spacing w:val="-6"/>
          <w:sz w:val="21"/>
          <w:szCs w:val="21"/>
          <w:highlight w:val="none"/>
        </w:rPr>
        <w:t>如发现有重大的质量问题，供甲方均同意提请国家法定检测机构鉴定，如检测结果证明产品无质量问题，由甲方承担检测费用；如检测结果证明产品有质量问题，由乙方承担检测费用，同时乙方同意甲方无条件退货并支付给甲方货款总价</w:t>
      </w:r>
      <w:r>
        <w:rPr>
          <w:rFonts w:hint="eastAsia" w:cs="Times New Roman"/>
          <w:color w:val="auto"/>
          <w:spacing w:val="-6"/>
          <w:sz w:val="21"/>
          <w:szCs w:val="21"/>
          <w:highlight w:val="none"/>
        </w:rPr>
        <w:t>10％的赔偿金。</w:t>
      </w:r>
    </w:p>
    <w:p>
      <w:pPr>
        <w:snapToGrid w:val="0"/>
        <w:spacing w:line="288" w:lineRule="auto"/>
        <w:rPr>
          <w:b/>
          <w:color w:val="auto"/>
          <w:spacing w:val="-6"/>
          <w:kern w:val="0"/>
          <w:sz w:val="21"/>
          <w:szCs w:val="21"/>
          <w:highlight w:val="none"/>
        </w:rPr>
      </w:pPr>
      <w:r>
        <w:rPr>
          <w:rFonts w:hint="eastAsia"/>
          <w:b/>
          <w:color w:val="auto"/>
          <w:spacing w:val="-6"/>
          <w:sz w:val="21"/>
          <w:szCs w:val="21"/>
          <w:highlight w:val="none"/>
        </w:rPr>
        <w:t>第八条：货款的支付</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1.履约保证金：</w:t>
      </w:r>
    </w:p>
    <w:p>
      <w:pPr>
        <w:adjustRightInd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合同签订后一周内，乙方向甲方提交合同总价1%的履约保证金，履约保证金在合同履约期间无违约情形的，项目验收结束后，于一周内退还（不计息）；</w:t>
      </w:r>
    </w:p>
    <w:p>
      <w:pPr>
        <w:adjustRightInd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提交方式：支票、汇票、本票或金融机构、担保机构出具的保函等非现金形式或银行转账。</w:t>
      </w:r>
    </w:p>
    <w:p>
      <w:pPr>
        <w:adjustRightInd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注：履约保证金如采用银行转账方式提交，具体转账信息如下：</w:t>
      </w:r>
    </w:p>
    <w:p>
      <w:pPr>
        <w:adjustRightInd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收款单位（户名）：杭州电子科技大学</w:t>
      </w:r>
    </w:p>
    <w:p>
      <w:pPr>
        <w:adjustRightInd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开户银行：工行高新支行</w:t>
      </w:r>
    </w:p>
    <w:p>
      <w:pPr>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银行账号：1202026209008806216</w:t>
      </w:r>
    </w:p>
    <w:p>
      <w:pPr>
        <w:snapToGrid w:val="0"/>
        <w:spacing w:line="288" w:lineRule="auto"/>
        <w:ind w:firstLine="396" w:firstLineChars="200"/>
        <w:rPr>
          <w:rFonts w:cs="Times New Roman"/>
          <w:bCs/>
          <w:color w:val="auto"/>
          <w:spacing w:val="-6"/>
          <w:sz w:val="21"/>
          <w:szCs w:val="21"/>
          <w:highlight w:val="none"/>
        </w:rPr>
      </w:pPr>
      <w:r>
        <w:rPr>
          <w:rFonts w:hint="eastAsia" w:cs="Times New Roman"/>
          <w:color w:val="auto"/>
          <w:spacing w:val="-6"/>
          <w:sz w:val="21"/>
          <w:szCs w:val="21"/>
          <w:highlight w:val="none"/>
        </w:rPr>
        <w:t>2.</w:t>
      </w:r>
      <w:r>
        <w:rPr>
          <w:rFonts w:hint="eastAsia" w:cs="Times New Roman"/>
          <w:bCs/>
          <w:color w:val="auto"/>
          <w:spacing w:val="-6"/>
          <w:sz w:val="21"/>
          <w:szCs w:val="21"/>
          <w:highlight w:val="none"/>
        </w:rPr>
        <w:t>付款方式：</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1.乙方为中小企业的，合同生效以及具备实施条件后7个工作日内，且乙方已向甲方提交银行、保险公司等金融机构出具的预付款保函的，甲方向乙方支付合同总价的40%；货物在乙方安装调试完毕并经甲方验收合格后，甲方在收到发票后7个工作日内，向乙方支付合同总价的60%。</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2.乙方为大型企业的，合同生效以及具备实施条件后7个工作日内，且乙方已向甲方提交银行、保险公司等金融机构出具的预付款保函的，甲方向乙方支付合同总价的30%；货物在乙方安装调试完毕并经甲方验收合格后，甲方在收到发票后7个工作日内，向乙方支付合同总价的70%。</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3.在签订合同时，乙方明确表示无需预付款或者主动要求降低预付款比例的，可降低预付款比例（预付款保函同步调整）。</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4.乙方明确表示无需预付款时，付款方式按以下要求执行：货物送达并经甲方初步验收后5个工作日内，甲方向乙方支付合同总价的75%；货物由乙方安装调试完毕并经甲方验收合格后，甲方向乙方支付合同总价的25%。</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注：乙方需提供增值税专用发票，开票信息如下：</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抬头：杭州电子科技大学</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税号：12330000470009026T</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地址：杭州市下沙高教园区杭州电子科技大学</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电话：0571-86915020</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开户银行：工行高新支行</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银行账号：1202026209008806216</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第九条：违约责任</w:t>
      </w:r>
    </w:p>
    <w:p>
      <w:pPr>
        <w:numPr>
          <w:ilvl w:val="0"/>
          <w:numId w:val="1"/>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乙方逾期履行合同的，自逾期之日起，向甲方每日偿付合同总价千分之五的滞纳金。</w:t>
      </w:r>
    </w:p>
    <w:p>
      <w:pPr>
        <w:numPr>
          <w:ilvl w:val="0"/>
          <w:numId w:val="1"/>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甲方逾期支付货款的，自逾期之日起，向乙方每日偿付未付价款千分之五的滞纳金。</w:t>
      </w:r>
    </w:p>
    <w:p>
      <w:pPr>
        <w:numPr>
          <w:ilvl w:val="0"/>
          <w:numId w:val="1"/>
        </w:numPr>
        <w:snapToGrid w:val="0"/>
        <w:spacing w:line="288" w:lineRule="auto"/>
        <w:ind w:right="26" w:rightChars="11" w:firstLine="396" w:firstLineChars="200"/>
        <w:rPr>
          <w:rFonts w:cs="Times New Roman"/>
          <w:color w:val="auto"/>
          <w:spacing w:val="-6"/>
          <w:sz w:val="21"/>
          <w:szCs w:val="21"/>
          <w:highlight w:val="none"/>
        </w:rPr>
      </w:pPr>
      <w:r>
        <w:rPr>
          <w:rFonts w:hint="eastAsia"/>
          <w:color w:val="auto"/>
          <w:spacing w:val="-6"/>
          <w:sz w:val="21"/>
          <w:szCs w:val="21"/>
          <w:highlight w:val="none"/>
        </w:rPr>
        <w:t>如验收不能达到质量功能（性能）标准，合同商品由乙方在验收后一周内运离交付地点，所需费用由乙方承担。如乙方在一个月内不处理（搬走）合同商品，视为乙方放弃该商品，甲方有权自行处置（包括废物处理）。同时，乙方要支付给甲方总货款的</w:t>
      </w:r>
      <w:r>
        <w:rPr>
          <w:rFonts w:hint="eastAsia" w:cs="Times New Roman"/>
          <w:color w:val="auto"/>
          <w:spacing w:val="-6"/>
          <w:sz w:val="21"/>
          <w:szCs w:val="21"/>
          <w:highlight w:val="none"/>
        </w:rPr>
        <w:t>20％作为违约赔偿金。</w:t>
      </w:r>
    </w:p>
    <w:p>
      <w:pPr>
        <w:numPr>
          <w:ilvl w:val="0"/>
          <w:numId w:val="1"/>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乙方所交的货物品种、型号、规格、技术参数、质量不符合合同规定及招标文件规定标准的，甲方有权拒收该货物，乙方愿意更换货物但逾期交货的，按乙方逾期交货处理。乙方拒绝更换货物的，甲方可单方面解除合同。</w:t>
      </w:r>
    </w:p>
    <w:p>
      <w:pPr>
        <w:snapToGrid w:val="0"/>
        <w:spacing w:line="288" w:lineRule="auto"/>
        <w:ind w:firstLine="420"/>
        <w:rPr>
          <w:rFonts w:cs="Times New Roman"/>
          <w:b/>
          <w:color w:val="auto"/>
          <w:spacing w:val="-6"/>
          <w:sz w:val="21"/>
          <w:szCs w:val="21"/>
          <w:highlight w:val="none"/>
        </w:rPr>
      </w:pPr>
      <w:r>
        <w:rPr>
          <w:rFonts w:hint="eastAsia"/>
          <w:b/>
          <w:color w:val="auto"/>
          <w:spacing w:val="-6"/>
          <w:sz w:val="21"/>
          <w:szCs w:val="21"/>
          <w:highlight w:val="none"/>
        </w:rPr>
        <w:t>第十条：不可抗力事件处理</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 在合同有效期内，任何一方因不可抗力事件导致不能履行合同，则合同履行期可延长，其延长期与不可抗力影响期相同。</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 不可抗力事件发生后，应立即通知对方，并寄送有关权威机构出具的证明。</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3. 不可抗力事件延续120天以上，双方应通过友好协商，确定是否继续履行合同。</w:t>
      </w:r>
    </w:p>
    <w:p>
      <w:pPr>
        <w:snapToGrid w:val="0"/>
        <w:spacing w:line="288" w:lineRule="auto"/>
        <w:ind w:right="-588" w:rightChars="-245"/>
        <w:rPr>
          <w:rFonts w:cs="Times New Roman"/>
          <w:b/>
          <w:color w:val="auto"/>
          <w:spacing w:val="-6"/>
          <w:sz w:val="21"/>
          <w:szCs w:val="21"/>
          <w:highlight w:val="none"/>
        </w:rPr>
      </w:pPr>
      <w:r>
        <w:rPr>
          <w:rFonts w:hint="eastAsia"/>
          <w:b/>
          <w:color w:val="auto"/>
          <w:spacing w:val="-6"/>
          <w:sz w:val="21"/>
          <w:szCs w:val="21"/>
          <w:highlight w:val="none"/>
        </w:rPr>
        <w:t>第十一条：争议解决</w:t>
      </w:r>
    </w:p>
    <w:p>
      <w:pPr>
        <w:snapToGrid w:val="0"/>
        <w:spacing w:line="288" w:lineRule="auto"/>
        <w:ind w:right="26" w:rightChars="11" w:firstLine="396" w:firstLineChars="200"/>
        <w:rPr>
          <w:rFonts w:cs="Times New Roman"/>
          <w:color w:val="auto"/>
          <w:spacing w:val="-6"/>
          <w:sz w:val="21"/>
          <w:szCs w:val="21"/>
          <w:highlight w:val="none"/>
        </w:rPr>
      </w:pPr>
      <w:r>
        <w:rPr>
          <w:rFonts w:hint="eastAsia"/>
          <w:color w:val="auto"/>
          <w:spacing w:val="-6"/>
          <w:sz w:val="21"/>
          <w:szCs w:val="21"/>
          <w:highlight w:val="none"/>
        </w:rPr>
        <w:t>本合同未尽事宜由三方协商解决，如协商不成，三方同意将本合同引起的争议提交杭州仲裁委员会仲裁解决，仲裁为终局。</w:t>
      </w:r>
    </w:p>
    <w:p>
      <w:pPr>
        <w:snapToGrid w:val="0"/>
        <w:spacing w:line="288" w:lineRule="auto"/>
        <w:ind w:right="-588" w:rightChars="-245"/>
        <w:rPr>
          <w:rFonts w:cs="Times New Roman"/>
          <w:b/>
          <w:color w:val="auto"/>
          <w:spacing w:val="-6"/>
          <w:sz w:val="21"/>
          <w:szCs w:val="21"/>
          <w:highlight w:val="none"/>
        </w:rPr>
      </w:pPr>
      <w:r>
        <w:rPr>
          <w:rFonts w:hint="eastAsia"/>
          <w:b/>
          <w:color w:val="auto"/>
          <w:spacing w:val="-6"/>
          <w:sz w:val="21"/>
          <w:szCs w:val="21"/>
          <w:highlight w:val="none"/>
        </w:rPr>
        <w:t>第十二条：合同生效</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1.合同经三方法定代表人或授权代表签字并加盖单位公章后生效。</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2.合同执行中涉及采购资金和采购内容修改或补充的，须经财政部门审批，并签书面补充协议报政府采购监督管理部门备案，方可作为主合同不可分割的一部分。</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3.本合同附件、采购文件、响应文件、询标澄清、成交通知书均为合同的组成部分，与本合同具有同等法律效力。</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4.本合同未尽事宜，遵照《民法典》有关条文执行。</w:t>
      </w:r>
    </w:p>
    <w:p>
      <w:pPr>
        <w:ind w:firstLine="396" w:firstLineChars="200"/>
        <w:rPr>
          <w:rFonts w:cs="Times New Roman"/>
          <w:color w:val="auto"/>
          <w:spacing w:val="-6"/>
          <w:sz w:val="21"/>
          <w:szCs w:val="21"/>
          <w:highlight w:val="none"/>
        </w:rPr>
      </w:pPr>
      <w:r>
        <w:rPr>
          <w:rFonts w:hint="eastAsia"/>
          <w:color w:val="auto"/>
          <w:spacing w:val="-6"/>
          <w:sz w:val="21"/>
          <w:szCs w:val="21"/>
          <w:highlight w:val="none"/>
          <w:lang w:bidi="ar"/>
        </w:rPr>
        <w:t>5.本合同一式五份，乙方、采购代理机构各执壹份，甲方执叁份。</w:t>
      </w:r>
    </w:p>
    <w:tbl>
      <w:tblPr>
        <w:tblStyle w:val="11"/>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23"/>
        <w:gridCol w:w="46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9628" w:type="dxa"/>
            <w:gridSpan w:val="2"/>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5023" w:type="dxa"/>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甲方（需方）：（公章）</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乙方（供方）：（公章）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7" w:hRule="atLeast"/>
        </w:trPr>
        <w:tc>
          <w:tcPr>
            <w:tcW w:w="5023" w:type="dxa"/>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甲方代表：</w:t>
            </w:r>
          </w:p>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乙方代表：</w:t>
            </w:r>
          </w:p>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地址：杭州市下沙高教园区</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邮编：310018</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电话：86878697</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传真：86878697</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开户银行：工行高新支行</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帐号：1202026209008806216</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签字日期：      年  月  日</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签字日期：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74" w:hRule="atLeast"/>
        </w:trPr>
        <w:tc>
          <w:tcPr>
            <w:tcW w:w="5023" w:type="dxa"/>
            <w:vMerge w:val="restart"/>
            <w:tcBorders>
              <w:top w:val="nil"/>
              <w:left w:val="single" w:color="auto" w:sz="4" w:space="0"/>
              <w:bottom w:val="single" w:color="auto" w:sz="4" w:space="0"/>
              <w:right w:val="single" w:color="auto" w:sz="4" w:space="0"/>
            </w:tcBorders>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采购代理机构：浙江求是招标代理有限公司（公章）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27" w:hRule="atLeast"/>
        </w:trPr>
        <w:tc>
          <w:tcPr>
            <w:tcW w:w="5023" w:type="dxa"/>
            <w:vMerge w:val="restart"/>
            <w:tcBorders>
              <w:top w:val="nil"/>
              <w:left w:val="single" w:color="auto" w:sz="4" w:space="0"/>
              <w:bottom w:val="single" w:color="auto" w:sz="4" w:space="0"/>
              <w:right w:val="single" w:color="auto" w:sz="4" w:space="0"/>
            </w:tcBorders>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采购代理机构代表：</w:t>
            </w:r>
          </w:p>
          <w:p>
            <w:pPr>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27" w:hRule="atLeast"/>
        </w:trPr>
        <w:tc>
          <w:tcPr>
            <w:tcW w:w="5023" w:type="dxa"/>
            <w:tcBorders>
              <w:top w:val="nil"/>
              <w:left w:val="single" w:color="auto" w:sz="4" w:space="0"/>
              <w:bottom w:val="single" w:color="auto" w:sz="4" w:space="0"/>
              <w:right w:val="single" w:color="auto" w:sz="4" w:space="0"/>
            </w:tcBorders>
            <w:vAlign w:val="center"/>
          </w:tcPr>
          <w:p>
            <w:pPr>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签约时间：    年   月   日</w:t>
            </w:r>
          </w:p>
        </w:tc>
      </w:tr>
    </w:tbl>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第六章  响应文件格式</w:t>
      </w:r>
    </w:p>
    <w:p>
      <w:pPr>
        <w:adjustRightInd w:val="0"/>
        <w:snapToGrid w:val="0"/>
        <w:spacing w:line="288" w:lineRule="auto"/>
        <w:rPr>
          <w:color w:val="auto"/>
          <w:sz w:val="21"/>
          <w:szCs w:val="21"/>
          <w:highlight w:val="none"/>
        </w:rPr>
      </w:pP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 xml:space="preserve">目 </w:t>
      </w:r>
      <w:r>
        <w:rPr>
          <w:b/>
          <w:bCs/>
          <w:color w:val="auto"/>
          <w:sz w:val="21"/>
          <w:szCs w:val="21"/>
          <w:highlight w:val="none"/>
        </w:rPr>
        <w:t xml:space="preserve"> </w:t>
      </w:r>
      <w:r>
        <w:rPr>
          <w:rFonts w:hint="eastAsia"/>
          <w:b/>
          <w:bCs/>
          <w:color w:val="auto"/>
          <w:sz w:val="21"/>
          <w:szCs w:val="21"/>
          <w:highlight w:val="none"/>
        </w:rPr>
        <w:t>录</w:t>
      </w:r>
    </w:p>
    <w:p>
      <w:pPr>
        <w:adjustRightInd w:val="0"/>
        <w:snapToGrid w:val="0"/>
        <w:spacing w:line="288" w:lineRule="auto"/>
        <w:rPr>
          <w:color w:val="auto"/>
          <w:sz w:val="21"/>
          <w:szCs w:val="21"/>
          <w:highlight w:val="none"/>
        </w:rPr>
      </w:pPr>
    </w:p>
    <w:p>
      <w:pPr>
        <w:adjustRightInd w:val="0"/>
        <w:snapToGrid w:val="0"/>
        <w:spacing w:line="288" w:lineRule="auto"/>
        <w:ind w:firstLine="422" w:firstLineChars="200"/>
        <w:rPr>
          <w:b/>
          <w:bCs/>
          <w:color w:val="auto"/>
          <w:sz w:val="21"/>
          <w:szCs w:val="21"/>
          <w:highlight w:val="none"/>
        </w:rPr>
      </w:pPr>
      <w:bookmarkStart w:id="38" w:name="_Hlk71884160"/>
      <w:r>
        <w:rPr>
          <w:rFonts w:hint="eastAsia"/>
          <w:b/>
          <w:bCs/>
          <w:color w:val="auto"/>
          <w:sz w:val="21"/>
          <w:szCs w:val="21"/>
          <w:highlight w:val="none"/>
        </w:rPr>
        <w:t>▲1.资格文件（单独上传）</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资格审查要求的资格证明材料(均需加盖公章)：</w:t>
      </w:r>
    </w:p>
    <w:bookmarkEnd w:id="38"/>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（1）有效的法人或者其他组织的营业执照等证明文件，自然人的身份证明</w:t>
      </w:r>
    </w:p>
    <w:p>
      <w:pPr>
        <w:adjustRightInd w:val="0"/>
        <w:snapToGrid w:val="0"/>
        <w:spacing w:line="288" w:lineRule="auto"/>
        <w:ind w:firstLine="422" w:firstLineChars="200"/>
        <w:rPr>
          <w:b/>
          <w:bCs/>
          <w:color w:val="auto"/>
          <w:sz w:val="21"/>
          <w:szCs w:val="21"/>
          <w:highlight w:val="none"/>
        </w:rPr>
      </w:pPr>
      <w:bookmarkStart w:id="39" w:name="_Hlk71884127"/>
      <w:r>
        <w:rPr>
          <w:rFonts w:hint="eastAsia"/>
          <w:b/>
          <w:bCs/>
          <w:color w:val="auto"/>
          <w:sz w:val="21"/>
          <w:szCs w:val="21"/>
          <w:highlight w:val="none"/>
        </w:rPr>
        <w:t>（</w:t>
      </w:r>
      <w:r>
        <w:rPr>
          <w:b/>
          <w:bCs/>
          <w:color w:val="auto"/>
          <w:sz w:val="21"/>
          <w:szCs w:val="21"/>
          <w:highlight w:val="none"/>
        </w:rPr>
        <w:t>2）符合参加政府采购活动应当具备的一般条件的承诺函</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w:t>
      </w:r>
      <w:r>
        <w:rPr>
          <w:b/>
          <w:bCs/>
          <w:color w:val="auto"/>
          <w:sz w:val="21"/>
          <w:szCs w:val="21"/>
          <w:highlight w:val="none"/>
        </w:rPr>
        <w:t>3）落实政府采购政策需满足的资格要求：</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中小企业声明函（若属于中小企业）</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属于监狱企业的证明文件（若属于监狱企业）</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残疾人福利性单位声明函（若属于残疾人福利性单位）</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w:t>
      </w:r>
      <w:r>
        <w:rPr>
          <w:b/>
          <w:bCs/>
          <w:color w:val="auto"/>
          <w:sz w:val="21"/>
          <w:szCs w:val="21"/>
          <w:highlight w:val="none"/>
        </w:rPr>
        <w:t>4）</w:t>
      </w:r>
      <w:r>
        <w:rPr>
          <w:rFonts w:hint="eastAsia"/>
          <w:b/>
          <w:bCs/>
          <w:color w:val="auto"/>
          <w:sz w:val="21"/>
          <w:szCs w:val="21"/>
          <w:highlight w:val="none"/>
        </w:rPr>
        <w:t>本项目的特定资格要求</w:t>
      </w:r>
      <w:r>
        <w:rPr>
          <w:b/>
          <w:bCs/>
          <w:color w:val="auto"/>
          <w:sz w:val="21"/>
          <w:szCs w:val="21"/>
          <w:highlight w:val="none"/>
        </w:rPr>
        <w:t>证明材料：无</w:t>
      </w:r>
    </w:p>
    <w:p>
      <w:pPr>
        <w:adjustRightInd w:val="0"/>
        <w:snapToGrid w:val="0"/>
        <w:spacing w:line="288" w:lineRule="auto"/>
        <w:ind w:firstLine="398" w:firstLineChars="200"/>
        <w:rPr>
          <w:b/>
          <w:bCs/>
          <w:color w:val="auto"/>
          <w:sz w:val="21"/>
          <w:szCs w:val="21"/>
          <w:highlight w:val="none"/>
        </w:rPr>
      </w:pPr>
      <w:r>
        <w:rPr>
          <w:rFonts w:hint="eastAsia"/>
          <w:b/>
          <w:color w:val="auto"/>
          <w:spacing w:val="-6"/>
          <w:sz w:val="21"/>
          <w:szCs w:val="21"/>
          <w:highlight w:val="none"/>
        </w:rPr>
        <w:t>▲联合体响应的，联合体各方均应提供资格文件（</w:t>
      </w:r>
      <w:r>
        <w:rPr>
          <w:b/>
          <w:color w:val="auto"/>
          <w:spacing w:val="-6"/>
          <w:sz w:val="21"/>
          <w:szCs w:val="21"/>
          <w:highlight w:val="none"/>
        </w:rPr>
        <w:t>1）、（2）</w:t>
      </w:r>
      <w:r>
        <w:rPr>
          <w:rFonts w:hint="eastAsia"/>
          <w:b/>
          <w:color w:val="auto"/>
          <w:spacing w:val="-6"/>
          <w:sz w:val="21"/>
          <w:szCs w:val="21"/>
          <w:highlight w:val="none"/>
        </w:rPr>
        <w:t>材料</w:t>
      </w:r>
      <w:r>
        <w:rPr>
          <w:b/>
          <w:color w:val="auto"/>
          <w:spacing w:val="-6"/>
          <w:sz w:val="21"/>
          <w:szCs w:val="21"/>
          <w:highlight w:val="none"/>
        </w:rPr>
        <w:t>。</w:t>
      </w:r>
    </w:p>
    <w:p>
      <w:pPr>
        <w:adjustRightInd w:val="0"/>
        <w:snapToGrid w:val="0"/>
        <w:spacing w:line="288" w:lineRule="auto"/>
        <w:ind w:firstLine="422" w:firstLineChars="200"/>
        <w:rPr>
          <w:b/>
          <w:bCs/>
          <w:color w:val="auto"/>
          <w:sz w:val="21"/>
          <w:szCs w:val="21"/>
          <w:highlight w:val="none"/>
        </w:rPr>
      </w:pPr>
    </w:p>
    <w:bookmarkEnd w:id="39"/>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2.报价文件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（1）初次报价一览表</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3.商务和技术文件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（1）响应函</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（2）授权委托书/法定代表人（单位负责人、自然人本人）身份证明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附：授权代表社保缴纳证明（2022年12月（含）以后任意一月）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color w:val="auto"/>
          <w:sz w:val="21"/>
          <w:szCs w:val="21"/>
          <w:highlight w:val="none"/>
        </w:rPr>
        <w:t>）供应商同类合同一览表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4）采购需求偏离表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5）货物配置清单</w:t>
      </w:r>
    </w:p>
    <w:p>
      <w:pPr>
        <w:adjustRightInd w:val="0"/>
        <w:snapToGrid w:val="0"/>
        <w:spacing w:line="288" w:lineRule="auto"/>
        <w:ind w:firstLine="420" w:firstLineChars="200"/>
        <w:rPr>
          <w:color w:val="auto"/>
          <w:sz w:val="21"/>
          <w:szCs w:val="21"/>
          <w:highlight w:val="none"/>
        </w:rPr>
      </w:pPr>
      <w:bookmarkStart w:id="40" w:name="_Hlk71884196"/>
      <w:r>
        <w:rPr>
          <w:rFonts w:hint="eastAsia"/>
          <w:color w:val="auto"/>
          <w:sz w:val="21"/>
          <w:szCs w:val="21"/>
          <w:highlight w:val="none"/>
        </w:rPr>
        <w:t>（</w:t>
      </w:r>
      <w:r>
        <w:rPr>
          <w:color w:val="auto"/>
          <w:sz w:val="21"/>
          <w:szCs w:val="21"/>
          <w:highlight w:val="none"/>
        </w:rPr>
        <w:t>6）技术方案：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项目实施方案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安装调试验收</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售后服务</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技术服务、培训</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配件耗材</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w:t>
      </w:r>
      <w:r>
        <w:rPr>
          <w:rFonts w:cs="Times New Roman"/>
          <w:color w:val="auto"/>
          <w:spacing w:val="-6"/>
          <w:sz w:val="21"/>
          <w:szCs w:val="21"/>
          <w:highlight w:val="none"/>
        </w:rPr>
        <w:t>7</w:t>
      </w:r>
      <w:r>
        <w:rPr>
          <w:rFonts w:hint="eastAsia" w:cs="Times New Roman"/>
          <w:color w:val="auto"/>
          <w:spacing w:val="-6"/>
          <w:sz w:val="21"/>
          <w:szCs w:val="21"/>
          <w:highlight w:val="none"/>
        </w:rPr>
        <w:t>）节能、环保产品证明材料</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（8）科技创新相关证明材料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（9</w:t>
      </w:r>
      <w:r>
        <w:rPr>
          <w:color w:val="auto"/>
          <w:sz w:val="21"/>
          <w:szCs w:val="21"/>
          <w:highlight w:val="none"/>
        </w:rPr>
        <w:t>）</w:t>
      </w:r>
      <w:r>
        <w:rPr>
          <w:rFonts w:hint="eastAsia"/>
          <w:color w:val="auto"/>
          <w:sz w:val="21"/>
          <w:szCs w:val="21"/>
          <w:highlight w:val="none"/>
        </w:rPr>
        <w:t>供应商</w:t>
      </w:r>
      <w:r>
        <w:rPr>
          <w:color w:val="auto"/>
          <w:sz w:val="21"/>
          <w:szCs w:val="21"/>
          <w:highlight w:val="none"/>
        </w:rPr>
        <w:t>需要说明的其他文件和材料</w:t>
      </w:r>
      <w:bookmarkEnd w:id="40"/>
    </w:p>
    <w:p>
      <w:pPr>
        <w:adjustRightInd w:val="0"/>
        <w:snapToGrid w:val="0"/>
        <w:spacing w:line="288" w:lineRule="auto"/>
        <w:ind w:firstLine="420" w:firstLineChars="200"/>
        <w:rPr>
          <w:color w:val="auto"/>
          <w:sz w:val="21"/>
          <w:szCs w:val="21"/>
          <w:highlight w:val="none"/>
        </w:rPr>
      </w:pP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资格文件</w:t>
      </w:r>
    </w:p>
    <w:p>
      <w:pPr>
        <w:adjustRightInd w:val="0"/>
        <w:snapToGrid w:val="0"/>
        <w:spacing w:line="288" w:lineRule="auto"/>
        <w:jc w:val="center"/>
        <w:rPr>
          <w:b/>
          <w:bCs/>
          <w:color w:val="auto"/>
          <w:sz w:val="21"/>
          <w:szCs w:val="21"/>
          <w:highlight w:val="none"/>
        </w:rPr>
      </w:pPr>
    </w:p>
    <w:p>
      <w:pPr>
        <w:adjustRightInd w:val="0"/>
        <w:snapToGrid w:val="0"/>
        <w:spacing w:line="288" w:lineRule="auto"/>
        <w:jc w:val="center"/>
        <w:rPr>
          <w:b/>
          <w:bCs/>
          <w:color w:val="auto"/>
          <w:sz w:val="21"/>
          <w:szCs w:val="21"/>
          <w:highlight w:val="none"/>
        </w:rPr>
      </w:pPr>
    </w:p>
    <w:p>
      <w:pPr>
        <w:adjustRightInd w:val="0"/>
        <w:snapToGrid w:val="0"/>
        <w:spacing w:line="288" w:lineRule="auto"/>
        <w:jc w:val="center"/>
        <w:rPr>
          <w:b/>
          <w:bCs/>
          <w:color w:val="auto"/>
          <w:sz w:val="21"/>
          <w:szCs w:val="21"/>
          <w:highlight w:val="none"/>
        </w:rPr>
      </w:pPr>
      <w:bookmarkStart w:id="41" w:name="_Hlk94097338"/>
      <w:r>
        <w:rPr>
          <w:rFonts w:hint="eastAsia"/>
          <w:b/>
          <w:bCs/>
          <w:color w:val="auto"/>
          <w:sz w:val="21"/>
          <w:szCs w:val="21"/>
          <w:highlight w:val="none"/>
        </w:rPr>
        <w:t>资格审查要求的资格证明材料(均需加盖公章)</w:t>
      </w:r>
    </w:p>
    <w:bookmarkEnd w:id="41"/>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（1）有效的法人或者其他组织的营业执照等证明文件，自然人的身份证明</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1.如供应商是企业（包括合伙企业），提供在工商部门注册的有效“企业法人营业执照”或“营业执照”；</w:t>
      </w:r>
    </w:p>
    <w:p>
      <w:pPr>
        <w:adjustRightInd w:val="0"/>
        <w:snapToGrid w:val="0"/>
        <w:spacing w:line="288" w:lineRule="auto"/>
        <w:rPr>
          <w:b/>
          <w:bCs/>
          <w:color w:val="auto"/>
          <w:sz w:val="21"/>
          <w:szCs w:val="21"/>
          <w:highlight w:val="none"/>
        </w:rPr>
      </w:pPr>
      <w:r>
        <w:rPr>
          <w:rFonts w:hint="eastAsia"/>
          <w:b/>
          <w:bCs/>
          <w:color w:val="auto"/>
          <w:sz w:val="21"/>
          <w:szCs w:val="21"/>
          <w:highlight w:val="none"/>
        </w:rPr>
        <w:t>2.如供应商是事业单位，提供有效的“事业单位法人证书”；</w:t>
      </w:r>
    </w:p>
    <w:p>
      <w:pPr>
        <w:adjustRightInd w:val="0"/>
        <w:snapToGrid w:val="0"/>
        <w:spacing w:line="288" w:lineRule="auto"/>
        <w:rPr>
          <w:b/>
          <w:bCs/>
          <w:color w:val="auto"/>
          <w:sz w:val="21"/>
          <w:szCs w:val="21"/>
          <w:highlight w:val="none"/>
        </w:rPr>
      </w:pPr>
      <w:r>
        <w:rPr>
          <w:rFonts w:hint="eastAsia"/>
          <w:b/>
          <w:bCs/>
          <w:color w:val="auto"/>
          <w:sz w:val="21"/>
          <w:szCs w:val="21"/>
          <w:highlight w:val="none"/>
        </w:rPr>
        <w:t>3.如供应商是非企业专业服务机构的，提供执业许可证等证明文件；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4.如供应商是个体工商户，提供有效的“个体工商户营业执照”；</w:t>
      </w:r>
    </w:p>
    <w:p>
      <w:pPr>
        <w:adjustRightInd w:val="0"/>
        <w:snapToGrid w:val="0"/>
        <w:spacing w:line="288" w:lineRule="auto"/>
        <w:rPr>
          <w:b/>
          <w:bCs/>
          <w:color w:val="auto"/>
          <w:sz w:val="21"/>
          <w:szCs w:val="21"/>
          <w:highlight w:val="none"/>
        </w:rPr>
      </w:pPr>
      <w:r>
        <w:rPr>
          <w:rFonts w:hint="eastAsia"/>
          <w:b/>
          <w:bCs/>
          <w:color w:val="auto"/>
          <w:sz w:val="21"/>
          <w:szCs w:val="21"/>
          <w:highlight w:val="none"/>
        </w:rPr>
        <w:t>5.如供应商是自然人，提供有效的自然人身份证明。</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rFonts w:cs="Times New Roman"/>
          <w:b/>
          <w:bCs/>
          <w:color w:val="auto"/>
          <w:sz w:val="21"/>
          <w:szCs w:val="21"/>
          <w:highlight w:val="none"/>
          <w:shd w:val="clear" w:color="auto" w:fill="FFFFFF"/>
        </w:rPr>
      </w:pPr>
      <w:r>
        <w:rPr>
          <w:rFonts w:hint="eastAsia" w:cs="Times New Roman"/>
          <w:b/>
          <w:color w:val="auto"/>
          <w:spacing w:val="-6"/>
          <w:sz w:val="21"/>
          <w:szCs w:val="21"/>
          <w:highlight w:val="none"/>
        </w:rPr>
        <w:t>（2）</w:t>
      </w:r>
      <w:r>
        <w:rPr>
          <w:rFonts w:hint="eastAsia" w:cs="Times New Roman"/>
          <w:b/>
          <w:bCs/>
          <w:color w:val="auto"/>
          <w:sz w:val="21"/>
          <w:szCs w:val="21"/>
          <w:highlight w:val="none"/>
        </w:rPr>
        <w:t>符合参加政府采购活动应当具备的一般条件的承诺函</w:t>
      </w:r>
    </w:p>
    <w:p>
      <w:pPr>
        <w:adjustRightInd w:val="0"/>
        <w:snapToGrid w:val="0"/>
        <w:spacing w:line="288" w:lineRule="auto"/>
        <w:rPr>
          <w:rFonts w:cs="Times New Roman"/>
          <w:color w:val="auto"/>
          <w:sz w:val="21"/>
          <w:szCs w:val="21"/>
          <w:highlight w:val="none"/>
          <w:shd w:val="clear" w:color="auto" w:fill="FFFFFF"/>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致：杭州电子科技大学、浙江求是招标代理有限公司</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我方</w:t>
      </w:r>
      <w:r>
        <w:rPr>
          <w:rFonts w:hint="eastAsia" w:cs="Times New Roman"/>
          <w:color w:val="auto"/>
          <w:spacing w:val="-6"/>
          <w:sz w:val="21"/>
          <w:szCs w:val="21"/>
          <w:highlight w:val="none"/>
          <w:u w:val="single"/>
        </w:rPr>
        <w:t xml:space="preserve">（供应商名称）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参加</w:t>
      </w:r>
      <w:r>
        <w:rPr>
          <w:rFonts w:hint="eastAsia" w:cs="Times New Roman"/>
          <w:color w:val="auto"/>
          <w:spacing w:val="-6"/>
          <w:sz w:val="21"/>
          <w:szCs w:val="21"/>
          <w:highlight w:val="none"/>
          <w:u w:val="single"/>
        </w:rPr>
        <w:t xml:space="preserve">（项目名称）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hint="eastAsia" w:cs="Times New Roman"/>
          <w:color w:val="auto"/>
          <w:spacing w:val="-6"/>
          <w:sz w:val="21"/>
          <w:szCs w:val="21"/>
          <w:highlight w:val="none"/>
        </w:rPr>
        <w:t>项目的采购活动并承诺如下：</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一、我方满足《中华人民共和国政府采购法》第二十二条规定：</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（一）具有独立承担民事责任的能力；</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（二）具有良好的商业信誉和健全的财务会计制度；</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（三）具有履行合同所必需的设备和专业技术能力；</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（四）有依法缴纳税收和社会保障资金的良好记录；</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（五）参加本项目政府采购活动前三年内，在经营活动中</w:t>
      </w:r>
      <w:r>
        <w:rPr>
          <w:rFonts w:hint="eastAsia" w:cs="Times New Roman"/>
          <w:b/>
          <w:color w:val="auto"/>
          <w:spacing w:val="-6"/>
          <w:sz w:val="21"/>
          <w:szCs w:val="21"/>
          <w:highlight w:val="none"/>
          <w:u w:val="single"/>
        </w:rPr>
        <w:t xml:space="preserve">  没有  </w:t>
      </w:r>
      <w:r>
        <w:rPr>
          <w:rFonts w:hint="eastAsia" w:cs="Times New Roman"/>
          <w:color w:val="auto"/>
          <w:spacing w:val="-6"/>
          <w:sz w:val="21"/>
          <w:szCs w:val="21"/>
          <w:highlight w:val="none"/>
        </w:rPr>
        <w:t>重大违法记录。（重大违法记录是指供应商因违法经营受到刑事处罚或者责令停产停业、吊销许可证或者执照、较大数额罚款等行政处罚）</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（六）法律、行政法规规定的其他条件。</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二、未被信用中国（www.creditchina.gov.cn)、中国政府采购网（www.ccgp.gov.cn）列入失信被执行人、重大税收违法案件当事人名单、政府采购严重违法失信行为记录名单。</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三、不存在以下情况：</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（一）单位负责人为同一人或者存在直接控股、管理关系的不同供应商参加同一合同项下的政府采购活动的；</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（二）为采购项目提供整体设计、规范编制或者项目管理、监理、检测等服务后再参加该采购项目的其他采购活动的。</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四、以上事项如有虚假或隐瞒，我方愿意承担一切后果和责任。</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widowControl/>
        <w:adjustRightInd w:val="0"/>
        <w:snapToGrid w:val="0"/>
        <w:spacing w:line="288" w:lineRule="auto"/>
        <w:jc w:val="left"/>
        <w:rPr>
          <w:color w:val="auto"/>
          <w:sz w:val="21"/>
          <w:szCs w:val="21"/>
          <w:highlight w:val="none"/>
        </w:rPr>
      </w:pPr>
      <w:r>
        <w:rPr>
          <w:color w:val="auto"/>
          <w:sz w:val="21"/>
          <w:szCs w:val="21"/>
          <w:highlight w:val="none"/>
        </w:rPr>
        <w:br w:type="page"/>
      </w:r>
    </w:p>
    <w:p>
      <w:pPr>
        <w:adjustRightInd w:val="0"/>
        <w:snapToGrid w:val="0"/>
        <w:spacing w:line="288" w:lineRule="auto"/>
        <w:ind w:firstLine="469" w:firstLineChars="236"/>
        <w:jc w:val="center"/>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3）落实政府采购政策需满足的资格要求：</w:t>
      </w:r>
    </w:p>
    <w:p>
      <w:pPr>
        <w:adjustRightInd w:val="0"/>
        <w:snapToGrid w:val="0"/>
        <w:spacing w:line="288" w:lineRule="auto"/>
        <w:ind w:firstLine="469" w:firstLineChars="236"/>
        <w:jc w:val="center"/>
        <w:outlineLvl w:val="2"/>
        <w:rPr>
          <w:b/>
          <w:color w:val="auto"/>
          <w:spacing w:val="-6"/>
          <w:sz w:val="21"/>
          <w:szCs w:val="21"/>
          <w:highlight w:val="none"/>
        </w:rPr>
      </w:pPr>
    </w:p>
    <w:p>
      <w:pPr>
        <w:adjustRightInd w:val="0"/>
        <w:snapToGrid w:val="0"/>
        <w:spacing w:line="288" w:lineRule="auto"/>
        <w:ind w:firstLine="498" w:firstLineChars="236"/>
        <w:jc w:val="center"/>
        <w:outlineLvl w:val="2"/>
        <w:rPr>
          <w:b/>
          <w:bCs/>
          <w:color w:val="auto"/>
          <w:sz w:val="21"/>
          <w:szCs w:val="21"/>
          <w:highlight w:val="none"/>
        </w:rPr>
      </w:pPr>
      <w:r>
        <w:rPr>
          <w:b/>
          <w:bCs/>
          <w:color w:val="auto"/>
          <w:sz w:val="21"/>
          <w:szCs w:val="21"/>
          <w:highlight w:val="none"/>
        </w:rPr>
        <w:t>中小企业声明函（货物）</w:t>
      </w:r>
      <w:r>
        <w:rPr>
          <w:rFonts w:hint="eastAsia"/>
          <w:b/>
          <w:bCs/>
          <w:color w:val="auto"/>
          <w:sz w:val="21"/>
          <w:szCs w:val="21"/>
          <w:highlight w:val="none"/>
        </w:rPr>
        <w:t>（若属于中小企业）</w:t>
      </w:r>
    </w:p>
    <w:p>
      <w:pPr>
        <w:adjustRightInd w:val="0"/>
        <w:snapToGrid w:val="0"/>
        <w:spacing w:line="288" w:lineRule="auto"/>
        <w:ind w:firstLine="498" w:firstLineChars="236"/>
        <w:rPr>
          <w:b/>
          <w:color w:val="auto"/>
          <w:sz w:val="21"/>
          <w:szCs w:val="21"/>
          <w:highlight w:val="none"/>
        </w:rPr>
      </w:pPr>
    </w:p>
    <w:p>
      <w:pPr>
        <w:adjustRightInd w:val="0"/>
        <w:snapToGrid w:val="0"/>
        <w:spacing w:line="288" w:lineRule="auto"/>
        <w:ind w:firstLine="495" w:firstLineChars="236"/>
        <w:rPr>
          <w:color w:val="auto"/>
          <w:sz w:val="21"/>
          <w:szCs w:val="21"/>
          <w:highlight w:val="none"/>
        </w:rPr>
      </w:pPr>
      <w:r>
        <w:rPr>
          <w:color w:val="auto"/>
          <w:sz w:val="21"/>
          <w:szCs w:val="21"/>
          <w:highlight w:val="none"/>
        </w:rPr>
        <w:t>本公司（联合体）郑重声明，根据《政府采购促进中小企业发展管理办法》（财库</w:t>
      </w:r>
      <w:r>
        <w:rPr>
          <w:rFonts w:hint="eastAsia"/>
          <w:color w:val="auto"/>
          <w:sz w:val="21"/>
          <w:szCs w:val="21"/>
          <w:highlight w:val="none"/>
        </w:rPr>
        <w:t>﹝</w:t>
      </w:r>
      <w:r>
        <w:rPr>
          <w:color w:val="auto"/>
          <w:sz w:val="21"/>
          <w:szCs w:val="21"/>
          <w:highlight w:val="none"/>
        </w:rPr>
        <w:t>2020</w:t>
      </w:r>
      <w:r>
        <w:rPr>
          <w:rFonts w:hint="eastAsia"/>
          <w:color w:val="auto"/>
          <w:sz w:val="21"/>
          <w:szCs w:val="21"/>
          <w:highlight w:val="none"/>
        </w:rPr>
        <w:t>﹞</w:t>
      </w:r>
      <w:r>
        <w:rPr>
          <w:color w:val="auto"/>
          <w:sz w:val="21"/>
          <w:szCs w:val="21"/>
          <w:highlight w:val="none"/>
        </w:rPr>
        <w:t>46 号）的规定，本公司（联合体）参加</w:t>
      </w:r>
      <w:r>
        <w:rPr>
          <w:rFonts w:hint="eastAsia"/>
          <w:color w:val="auto"/>
          <w:sz w:val="21"/>
          <w:szCs w:val="21"/>
          <w:highlight w:val="none"/>
          <w:u w:val="single"/>
        </w:rPr>
        <w:t>杭州电子科技大学</w:t>
      </w:r>
      <w:r>
        <w:rPr>
          <w:color w:val="auto"/>
          <w:sz w:val="21"/>
          <w:szCs w:val="21"/>
          <w:highlight w:val="none"/>
        </w:rPr>
        <w:t>的</w:t>
      </w:r>
      <w:r>
        <w:rPr>
          <w:rFonts w:hint="eastAsia"/>
          <w:color w:val="auto"/>
          <w:sz w:val="21"/>
          <w:szCs w:val="21"/>
          <w:highlight w:val="none"/>
          <w:u w:val="single"/>
        </w:rPr>
        <w:t>大数据工程技术人员实训平台</w:t>
      </w:r>
      <w:r>
        <w:rPr>
          <w:color w:val="auto"/>
          <w:sz w:val="21"/>
          <w:szCs w:val="21"/>
          <w:highlight w:val="none"/>
        </w:rPr>
        <w:t>采购活动，提供的货物全部由符合政策要求的中小企业制造。相关企业（含联合体中的中小企业、签订分包意向协议的中小企业）的具体情况如下：</w:t>
      </w:r>
    </w:p>
    <w:p>
      <w:pPr>
        <w:adjustRightInd w:val="0"/>
        <w:snapToGrid w:val="0"/>
        <w:spacing w:line="288" w:lineRule="auto"/>
        <w:ind w:firstLine="495" w:firstLineChars="236"/>
        <w:rPr>
          <w:color w:val="auto"/>
          <w:sz w:val="21"/>
          <w:szCs w:val="21"/>
          <w:highlight w:val="none"/>
        </w:rPr>
      </w:pPr>
      <w:r>
        <w:rPr>
          <w:color w:val="auto"/>
          <w:sz w:val="21"/>
          <w:szCs w:val="21"/>
          <w:highlight w:val="none"/>
          <w:u w:val="single"/>
        </w:rPr>
        <w:t>1.</w:t>
      </w:r>
      <w:r>
        <w:rPr>
          <w:rFonts w:hint="eastAsia"/>
          <w:color w:val="auto"/>
          <w:sz w:val="21"/>
          <w:szCs w:val="21"/>
          <w:highlight w:val="none"/>
          <w:u w:val="single"/>
        </w:rPr>
        <w:t>大数据工程技术人员实训平台</w:t>
      </w:r>
      <w:r>
        <w:rPr>
          <w:color w:val="auto"/>
          <w:sz w:val="21"/>
          <w:szCs w:val="21"/>
          <w:highlight w:val="none"/>
        </w:rPr>
        <w:t xml:space="preserve"> ，属于</w:t>
      </w:r>
      <w:r>
        <w:rPr>
          <w:rFonts w:hint="eastAsia"/>
          <w:color w:val="auto"/>
          <w:sz w:val="21"/>
          <w:szCs w:val="21"/>
          <w:highlight w:val="none"/>
        </w:rPr>
        <w:t>工业</w:t>
      </w:r>
      <w:r>
        <w:rPr>
          <w:color w:val="auto"/>
          <w:sz w:val="21"/>
          <w:szCs w:val="21"/>
          <w:highlight w:val="none"/>
        </w:rPr>
        <w:t>；制造商为</w:t>
      </w:r>
      <w:r>
        <w:rPr>
          <w:color w:val="auto"/>
          <w:sz w:val="21"/>
          <w:szCs w:val="21"/>
          <w:highlight w:val="none"/>
          <w:u w:val="single"/>
        </w:rPr>
        <w:t>（企业名称）</w:t>
      </w:r>
      <w:r>
        <w:rPr>
          <w:color w:val="auto"/>
          <w:sz w:val="21"/>
          <w:szCs w:val="21"/>
          <w:highlight w:val="none"/>
        </w:rPr>
        <w:t>，从业人员</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人，营业收入为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万元，资产总额为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万元，属于</w:t>
      </w:r>
      <w:r>
        <w:rPr>
          <w:color w:val="auto"/>
          <w:sz w:val="21"/>
          <w:szCs w:val="21"/>
          <w:highlight w:val="none"/>
          <w:u w:val="single"/>
        </w:rPr>
        <w:t>（中型企业、小型企业、微型企业）</w:t>
      </w:r>
      <w:r>
        <w:rPr>
          <w:rFonts w:hint="eastAsia"/>
          <w:color w:val="auto"/>
          <w:sz w:val="21"/>
          <w:szCs w:val="21"/>
          <w:highlight w:val="none"/>
          <w:u w:val="single"/>
        </w:rPr>
        <w:t>。</w:t>
      </w:r>
    </w:p>
    <w:p>
      <w:pPr>
        <w:adjustRightInd w:val="0"/>
        <w:snapToGrid w:val="0"/>
        <w:spacing w:line="288" w:lineRule="auto"/>
        <w:ind w:firstLine="495" w:firstLineChars="236"/>
        <w:rPr>
          <w:color w:val="auto"/>
          <w:sz w:val="21"/>
          <w:szCs w:val="21"/>
          <w:highlight w:val="none"/>
        </w:rPr>
      </w:pPr>
      <w:r>
        <w:rPr>
          <w:color w:val="auto"/>
          <w:sz w:val="21"/>
          <w:szCs w:val="21"/>
          <w:highlight w:val="none"/>
        </w:rPr>
        <w:t>以上企业，不属于大企业的分支机构，不存在控股股东为大企业的情形，也不存在与大企业的负责人为同一人的情形。</w:t>
      </w:r>
    </w:p>
    <w:p>
      <w:pPr>
        <w:adjustRightInd w:val="0"/>
        <w:snapToGrid w:val="0"/>
        <w:spacing w:line="288" w:lineRule="auto"/>
        <w:ind w:firstLine="495" w:firstLineChars="236"/>
        <w:rPr>
          <w:color w:val="auto"/>
          <w:sz w:val="21"/>
          <w:szCs w:val="21"/>
          <w:highlight w:val="none"/>
        </w:rPr>
      </w:pPr>
      <w:r>
        <w:rPr>
          <w:color w:val="auto"/>
          <w:sz w:val="21"/>
          <w:szCs w:val="21"/>
          <w:highlight w:val="none"/>
        </w:rPr>
        <w:t>本企业对上述声明内容的真实性负责。如有虚假，将依法承担相应责任。</w:t>
      </w:r>
    </w:p>
    <w:p>
      <w:pPr>
        <w:adjustRightInd w:val="0"/>
        <w:snapToGrid w:val="0"/>
        <w:spacing w:line="288" w:lineRule="auto"/>
        <w:ind w:firstLine="495" w:firstLineChars="236"/>
        <w:rPr>
          <w:color w:val="auto"/>
          <w:sz w:val="21"/>
          <w:szCs w:val="21"/>
          <w:highlight w:val="none"/>
        </w:rPr>
      </w:pPr>
    </w:p>
    <w:p>
      <w:pPr>
        <w:adjustRightInd w:val="0"/>
        <w:snapToGrid w:val="0"/>
        <w:spacing w:line="288" w:lineRule="auto"/>
        <w:ind w:firstLine="495" w:firstLineChars="236"/>
        <w:rPr>
          <w:color w:val="auto"/>
          <w:sz w:val="21"/>
          <w:szCs w:val="21"/>
          <w:highlight w:val="none"/>
        </w:rPr>
      </w:pPr>
      <w:r>
        <w:rPr>
          <w:color w:val="auto"/>
          <w:sz w:val="21"/>
          <w:szCs w:val="21"/>
          <w:highlight w:val="none"/>
        </w:rPr>
        <w:t>企业名称（盖章）：</w:t>
      </w:r>
    </w:p>
    <w:p>
      <w:pPr>
        <w:adjustRightInd w:val="0"/>
        <w:snapToGrid w:val="0"/>
        <w:spacing w:line="288" w:lineRule="auto"/>
        <w:ind w:firstLine="495" w:firstLineChars="236"/>
        <w:rPr>
          <w:color w:val="auto"/>
          <w:sz w:val="21"/>
          <w:szCs w:val="21"/>
          <w:highlight w:val="none"/>
        </w:rPr>
      </w:pPr>
      <w:r>
        <w:rPr>
          <w:color w:val="auto"/>
          <w:sz w:val="21"/>
          <w:szCs w:val="21"/>
          <w:highlight w:val="none"/>
        </w:rPr>
        <w:t>日期：</w:t>
      </w:r>
    </w:p>
    <w:p>
      <w:pPr>
        <w:adjustRightInd w:val="0"/>
        <w:snapToGrid w:val="0"/>
        <w:spacing w:line="288" w:lineRule="auto"/>
        <w:ind w:firstLine="495" w:firstLineChars="236"/>
        <w:rPr>
          <w:color w:val="auto"/>
          <w:sz w:val="21"/>
          <w:szCs w:val="21"/>
          <w:highlight w:val="none"/>
        </w:rPr>
      </w:pP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注：</w:t>
      </w: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中小企业参加政府采购活动，应当出具财库〔2020〕46号文件规定的《中小企业声明函》，否则不得享受相关中小企业扶持政策。</w:t>
      </w: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2</w:t>
      </w:r>
      <w:r>
        <w:rPr>
          <w:color w:val="auto"/>
          <w:sz w:val="21"/>
          <w:szCs w:val="21"/>
          <w:highlight w:val="none"/>
        </w:rPr>
        <w:t>.</w:t>
      </w:r>
      <w:r>
        <w:rPr>
          <w:rFonts w:hint="eastAsia"/>
          <w:color w:val="auto"/>
          <w:sz w:val="21"/>
          <w:szCs w:val="21"/>
          <w:highlight w:val="none"/>
        </w:rPr>
        <w:t>从业人员、营业收入、资产总额填报上一年度数据，无上一年度数据的新成立企业可不填报。</w:t>
      </w:r>
    </w:p>
    <w:p>
      <w:pPr>
        <w:adjustRightInd w:val="0"/>
        <w:snapToGrid w:val="0"/>
        <w:spacing w:line="288" w:lineRule="auto"/>
        <w:ind w:firstLine="495" w:firstLineChars="236"/>
        <w:rPr>
          <w:rFonts w:cs="Times New Roman"/>
          <w:color w:val="auto"/>
          <w:sz w:val="21"/>
          <w:szCs w:val="21"/>
          <w:highlight w:val="none"/>
        </w:rPr>
      </w:pPr>
      <w:bookmarkStart w:id="42" w:name="_Hlk71885339"/>
      <w:r>
        <w:rPr>
          <w:rFonts w:cs="Times New Roman"/>
          <w:color w:val="auto"/>
          <w:sz w:val="21"/>
          <w:szCs w:val="21"/>
          <w:highlight w:val="none"/>
        </w:rPr>
        <w:t>3.</w:t>
      </w:r>
      <w:r>
        <w:rPr>
          <w:rFonts w:hint="eastAsia" w:cs="Times New Roman"/>
          <w:color w:val="auto"/>
          <w:sz w:val="21"/>
          <w:szCs w:val="21"/>
          <w:highlight w:val="none"/>
        </w:rPr>
        <w:t>《中小企业声明函》填写不全的，视为未提供《中小企业声明函》（从业人员、营业收入、资产总额在中小企业划型标准规定中不涉及的除外），或未按照《中小企业声明函》要求填写的，不享受中小企业扶持政策。</w:t>
      </w:r>
      <w:r>
        <w:rPr>
          <w:color w:val="auto"/>
          <w:sz w:val="21"/>
          <w:szCs w:val="21"/>
          <w:highlight w:val="none"/>
        </w:rPr>
        <w:t>如项目包含“多件”标的物的，需按标的物项数逐项填写。</w:t>
      </w: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供应商提供《中小企业声明函》内容不实的，属于提供虚假材料谋取中标、成交，依照《中华人民共和国政府采购法》等国家有关规定追究相应责任。</w:t>
      </w:r>
      <w:bookmarkEnd w:id="42"/>
    </w:p>
    <w:p>
      <w:pPr>
        <w:adjustRightInd w:val="0"/>
        <w:snapToGrid w:val="0"/>
        <w:spacing w:line="288" w:lineRule="auto"/>
        <w:ind w:firstLine="495" w:firstLineChars="236"/>
        <w:rPr>
          <w:rFonts w:cs="Times New Roman"/>
          <w:color w:val="auto"/>
          <w:sz w:val="21"/>
          <w:szCs w:val="21"/>
          <w:highlight w:val="none"/>
        </w:rPr>
      </w:pPr>
      <w:r>
        <w:rPr>
          <w:rFonts w:hint="eastAsia" w:cs="Times New Roman"/>
          <w:color w:val="auto"/>
          <w:sz w:val="21"/>
          <w:szCs w:val="21"/>
          <w:highlight w:val="none"/>
        </w:rPr>
        <w:t>5.本项目只以《中小企业声明函》作为评判供应商是否属于中小企业的唯一依据。</w:t>
      </w:r>
    </w:p>
    <w:p>
      <w:pPr>
        <w:widowControl/>
        <w:adjustRightInd w:val="0"/>
        <w:snapToGrid w:val="0"/>
        <w:spacing w:line="288" w:lineRule="auto"/>
        <w:ind w:firstLine="495" w:firstLineChars="236"/>
        <w:jc w:val="left"/>
        <w:rPr>
          <w:color w:val="auto"/>
          <w:sz w:val="21"/>
          <w:szCs w:val="21"/>
          <w:highlight w:val="none"/>
        </w:rPr>
      </w:pPr>
      <w:r>
        <w:rPr>
          <w:color w:val="auto"/>
          <w:sz w:val="21"/>
          <w:szCs w:val="21"/>
          <w:highlight w:val="none"/>
        </w:rPr>
        <w:br w:type="page"/>
      </w:r>
    </w:p>
    <w:p>
      <w:pPr>
        <w:adjustRightInd w:val="0"/>
        <w:snapToGrid w:val="0"/>
        <w:spacing w:line="288" w:lineRule="auto"/>
        <w:jc w:val="center"/>
        <w:outlineLvl w:val="2"/>
        <w:rPr>
          <w:color w:val="auto"/>
          <w:kern w:val="0"/>
          <w:sz w:val="21"/>
          <w:szCs w:val="21"/>
          <w:highlight w:val="none"/>
        </w:rPr>
      </w:pPr>
      <w:r>
        <w:rPr>
          <w:rFonts w:hint="eastAsia"/>
          <w:b/>
          <w:color w:val="auto"/>
          <w:spacing w:val="-6"/>
          <w:sz w:val="21"/>
          <w:szCs w:val="21"/>
          <w:highlight w:val="none"/>
        </w:rPr>
        <w:t>属于监狱企业的证明文件（若属于监狱企业）</w:t>
      </w:r>
    </w:p>
    <w:p>
      <w:pPr>
        <w:adjustRightInd w:val="0"/>
        <w:snapToGrid w:val="0"/>
        <w:spacing w:line="288" w:lineRule="auto"/>
        <w:rPr>
          <w:color w:val="auto"/>
          <w:kern w:val="0"/>
          <w:sz w:val="21"/>
          <w:szCs w:val="21"/>
          <w:highlight w:val="none"/>
        </w:rPr>
      </w:pPr>
    </w:p>
    <w:p>
      <w:pPr>
        <w:adjustRightInd w:val="0"/>
        <w:snapToGrid w:val="0"/>
        <w:spacing w:line="288" w:lineRule="auto"/>
        <w:ind w:firstLine="373" w:firstLineChars="177"/>
        <w:rPr>
          <w:b/>
          <w:bCs/>
          <w:color w:val="auto"/>
          <w:sz w:val="21"/>
          <w:szCs w:val="21"/>
          <w:highlight w:val="none"/>
        </w:rPr>
      </w:pPr>
      <w:r>
        <w:rPr>
          <w:rFonts w:hint="eastAsia"/>
          <w:b/>
          <w:bCs/>
          <w:color w:val="auto"/>
          <w:kern w:val="0"/>
          <w:sz w:val="21"/>
          <w:szCs w:val="21"/>
          <w:highlight w:val="none"/>
        </w:rPr>
        <w:t>监狱企业参加政府采购活动时，应当提供由省级以上监狱管理局、戒毒管理局（含新疆生产建设兵团）出具的属于监狱企业的证明文件。</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二、在政府采购活动中，监狱企业视同小型、微型企业，享受预留份额、评审中价格扣除等政府采购促进中小企业发展的政府采购政策。</w:t>
      </w:r>
    </w:p>
    <w:p>
      <w:pPr>
        <w:widowControl/>
        <w:adjustRightInd w:val="0"/>
        <w:snapToGrid w:val="0"/>
        <w:spacing w:line="288" w:lineRule="auto"/>
        <w:jc w:val="left"/>
        <w:rPr>
          <w:b/>
          <w:color w:val="auto"/>
          <w:spacing w:val="-6"/>
          <w:sz w:val="21"/>
          <w:szCs w:val="21"/>
          <w:highlight w:val="none"/>
        </w:rPr>
      </w:pPr>
      <w:r>
        <w:rPr>
          <w:b/>
          <w:color w:val="auto"/>
          <w:spacing w:val="-6"/>
          <w:sz w:val="21"/>
          <w:szCs w:val="21"/>
          <w:highlight w:val="none"/>
        </w:rPr>
        <w:br w:type="page"/>
      </w:r>
    </w:p>
    <w:p>
      <w:pPr>
        <w:adjustRightInd w:val="0"/>
        <w:snapToGrid w:val="0"/>
        <w:spacing w:line="288" w:lineRule="auto"/>
        <w:jc w:val="center"/>
        <w:outlineLvl w:val="2"/>
        <w:rPr>
          <w:b/>
          <w:color w:val="auto"/>
          <w:spacing w:val="-6"/>
          <w:sz w:val="21"/>
          <w:szCs w:val="21"/>
          <w:highlight w:val="none"/>
        </w:rPr>
      </w:pPr>
      <w:r>
        <w:rPr>
          <w:rFonts w:hint="eastAsia"/>
          <w:b/>
          <w:color w:val="auto"/>
          <w:spacing w:val="-6"/>
          <w:sz w:val="21"/>
          <w:szCs w:val="21"/>
          <w:highlight w:val="none"/>
        </w:rPr>
        <w:t>残疾人福利性单位声明函（若属于残疾人福利性单位）</w:t>
      </w:r>
    </w:p>
    <w:p>
      <w:pPr>
        <w:adjustRightInd w:val="0"/>
        <w:snapToGrid w:val="0"/>
        <w:spacing w:line="288" w:lineRule="auto"/>
        <w:rPr>
          <w:rFonts w:cs="Times New Roman"/>
          <w:b/>
          <w:color w:val="auto"/>
          <w:spacing w:val="6"/>
          <w:sz w:val="21"/>
          <w:szCs w:val="21"/>
          <w:highlight w:val="none"/>
        </w:rPr>
      </w:pPr>
    </w:p>
    <w:p>
      <w:pPr>
        <w:adjustRightInd w:val="0"/>
        <w:snapToGrid w:val="0"/>
        <w:spacing w:line="288" w:lineRule="auto"/>
        <w:ind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本单位郑重声明，根据《财政部 民政部 中国残疾人联合会关于促进残疾人就业政府采购政策的通知》（财库</w:t>
      </w:r>
      <w:r>
        <w:rPr>
          <w:rFonts w:hint="eastAsia" w:cs="Times New Roman"/>
          <w:color w:val="auto"/>
          <w:sz w:val="21"/>
          <w:szCs w:val="21"/>
          <w:highlight w:val="none"/>
        </w:rPr>
        <w:t>〔2017〕 141</w:t>
      </w:r>
      <w:r>
        <w:rPr>
          <w:rFonts w:hint="eastAsia" w:cs="Times New Roman"/>
          <w:color w:val="auto"/>
          <w:spacing w:val="6"/>
          <w:sz w:val="21"/>
          <w:szCs w:val="21"/>
          <w:highlight w:val="none"/>
        </w:rPr>
        <w:t>号）的规定，</w:t>
      </w:r>
      <w:r>
        <w:rPr>
          <w:rFonts w:hint="eastAsia" w:cs="Times New Roman"/>
          <w:b/>
          <w:bCs/>
          <w:color w:val="auto"/>
          <w:spacing w:val="6"/>
          <w:sz w:val="21"/>
          <w:szCs w:val="21"/>
          <w:highlight w:val="none"/>
        </w:rPr>
        <w:t>本单位为符合条件的残疾人福利性单位</w:t>
      </w:r>
      <w:r>
        <w:rPr>
          <w:rFonts w:hint="eastAsia" w:cs="Times New Roman"/>
          <w:color w:val="auto"/>
          <w:spacing w:val="6"/>
          <w:sz w:val="21"/>
          <w:szCs w:val="21"/>
          <w:highlight w:val="none"/>
        </w:rPr>
        <w:t>，且本单位参加______（采购人）单位的______（项目名称）项目采购活动提供本单位制造的货物，或者提供其他残疾人福利性单位制造的货物（不包括使用非残疾人福利性单位注册商标的货物）。</w:t>
      </w:r>
    </w:p>
    <w:p>
      <w:pPr>
        <w:adjustRightInd w:val="0"/>
        <w:snapToGrid w:val="0"/>
        <w:spacing w:line="288" w:lineRule="auto"/>
        <w:ind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本单位对上述声明的真实性负责。如有虚假，将依法承担相应责任。</w:t>
      </w:r>
    </w:p>
    <w:p>
      <w:pPr>
        <w:tabs>
          <w:tab w:val="left" w:pos="4860"/>
        </w:tabs>
        <w:adjustRightInd w:val="0"/>
        <w:snapToGrid w:val="0"/>
        <w:spacing w:line="288" w:lineRule="auto"/>
        <w:ind w:right="1560"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单位名称（盖章）：</w:t>
      </w:r>
    </w:p>
    <w:p>
      <w:pPr>
        <w:tabs>
          <w:tab w:val="left" w:pos="4860"/>
        </w:tabs>
        <w:adjustRightInd w:val="0"/>
        <w:snapToGrid w:val="0"/>
        <w:spacing w:line="288" w:lineRule="auto"/>
        <w:ind w:right="1560"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日  期：</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一、享受政府采购支持政策的残疾人福利性单位应当同时满足以下条件：</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（一）安置的残疾人占本单位在职职工人数的比例不低于25%（含25%），并且安置的残疾人人数不少于10人（含10人）；</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（二）依法与安置的每位残疾人签订了一年以上（含一年）的劳动合同或服务协议；</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（三）为安置的每位残疾人按月足额缴纳了基本养老保险、基本医疗保险、失业保险、工伤保险和生育保险等社会保险费；</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（四）通过银行等金融机构向安置的每位残疾人，按月支付了不低于单位所在区县适用的经省级人民政府批准的月最低工资标准的工资；</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（五）提供本单位制造的货物、承担的工程或者服务（以下简称产品），或者提供其他残疾人福利性单位制造的货物（不包括使用非残疾人福利性单位注册商标的货物）。</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二、符合条件的残疾人福利性单位在参加政府采购活动时，应当提供财库</w:t>
      </w:r>
      <w:r>
        <w:rPr>
          <w:color w:val="auto"/>
          <w:sz w:val="21"/>
          <w:szCs w:val="21"/>
          <w:highlight w:val="none"/>
        </w:rPr>
        <w:t>[2017]141号</w:t>
      </w:r>
      <w:r>
        <w:rPr>
          <w:rFonts w:hint="eastAsia"/>
          <w:color w:val="auto"/>
          <w:sz w:val="21"/>
          <w:szCs w:val="21"/>
          <w:highlight w:val="none"/>
        </w:rPr>
        <w:t>文件规定的《残疾人福利性单位声明函》，并对声明的真实性负责。</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三、在政府采购活动中，残疾人福利性单位视同小型、微型企业，享受预留份额、评审中价格扣除等促进中小企业发展的政府采购政策。</w:t>
      </w:r>
    </w:p>
    <w:p>
      <w:pPr>
        <w:pStyle w:val="9"/>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残疾人福利性单位属于小型、微型企业的，不重复享受政策。</w:t>
      </w:r>
    </w:p>
    <w:p>
      <w:pPr>
        <w:widowControl/>
        <w:adjustRightInd w:val="0"/>
        <w:snapToGrid w:val="0"/>
        <w:spacing w:line="288" w:lineRule="auto"/>
        <w:jc w:val="left"/>
        <w:rPr>
          <w:rFonts w:cs="Times New Roman"/>
          <w:b/>
          <w:bCs/>
          <w:color w:val="auto"/>
          <w:spacing w:val="-6"/>
          <w:sz w:val="21"/>
          <w:szCs w:val="21"/>
          <w:highlight w:val="none"/>
        </w:rPr>
      </w:pPr>
      <w:r>
        <w:rPr>
          <w:rFonts w:cs="Times New Roman"/>
          <w:b/>
          <w:bCs/>
          <w:color w:val="auto"/>
          <w:spacing w:val="-6"/>
          <w:sz w:val="21"/>
          <w:szCs w:val="21"/>
          <w:highlight w:val="none"/>
        </w:rPr>
        <w:br w:type="page"/>
      </w:r>
    </w:p>
    <w:p>
      <w:pPr>
        <w:adjustRightInd w:val="0"/>
        <w:snapToGrid w:val="0"/>
        <w:spacing w:line="288" w:lineRule="auto"/>
        <w:jc w:val="left"/>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4</w:t>
      </w:r>
      <w:r>
        <w:rPr>
          <w:rFonts w:hint="eastAsia"/>
          <w:b/>
          <w:color w:val="auto"/>
          <w:spacing w:val="-6"/>
          <w:sz w:val="21"/>
          <w:szCs w:val="21"/>
          <w:highlight w:val="none"/>
        </w:rPr>
        <w:t>）本项目的特定资格要求证明材料：无</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报价文件</w:t>
      </w:r>
    </w:p>
    <w:p>
      <w:pPr>
        <w:adjustRightInd w:val="0"/>
        <w:snapToGrid w:val="0"/>
        <w:spacing w:line="288" w:lineRule="auto"/>
        <w:rPr>
          <w:color w:val="auto"/>
          <w:highlight w:val="none"/>
        </w:rPr>
      </w:pPr>
      <w:r>
        <w:rPr>
          <w:rFonts w:hint="eastAsia"/>
          <w:color w:val="auto"/>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（1）初次报价一览表</w:t>
      </w:r>
    </w:p>
    <w:p>
      <w:pPr>
        <w:adjustRightInd w:val="0"/>
        <w:snapToGrid w:val="0"/>
        <w:spacing w:line="288" w:lineRule="auto"/>
        <w:rPr>
          <w:color w:val="auto"/>
          <w:sz w:val="21"/>
          <w:szCs w:val="21"/>
          <w:highlight w:val="none"/>
        </w:rPr>
      </w:pPr>
      <w:r>
        <w:rPr>
          <w:rFonts w:hint="eastAsia"/>
          <w:color w:val="auto"/>
          <w:sz w:val="21"/>
          <w:szCs w:val="21"/>
          <w:highlight w:val="none"/>
        </w:rPr>
        <w:t>采 购 人：杭州电子科技大学</w:t>
      </w:r>
    </w:p>
    <w:p>
      <w:pPr>
        <w:adjustRightInd w:val="0"/>
        <w:snapToGrid w:val="0"/>
        <w:spacing w:line="288" w:lineRule="auto"/>
        <w:rPr>
          <w:color w:val="auto"/>
          <w:sz w:val="21"/>
          <w:szCs w:val="21"/>
          <w:highlight w:val="none"/>
        </w:rPr>
      </w:pPr>
      <w:r>
        <w:rPr>
          <w:rFonts w:hint="eastAsia"/>
          <w:color w:val="auto"/>
          <w:sz w:val="21"/>
          <w:szCs w:val="21"/>
          <w:highlight w:val="none"/>
        </w:rPr>
        <w:t>项目名称：大数据工程技术人员实训平台</w:t>
      </w:r>
    </w:p>
    <w:p>
      <w:pPr>
        <w:adjustRightInd w:val="0"/>
        <w:snapToGrid w:val="0"/>
        <w:spacing w:line="288" w:lineRule="auto"/>
        <w:rPr>
          <w:color w:val="auto"/>
          <w:sz w:val="21"/>
          <w:szCs w:val="21"/>
          <w:highlight w:val="none"/>
        </w:rPr>
      </w:pPr>
      <w:r>
        <w:rPr>
          <w:rFonts w:hint="eastAsia"/>
          <w:color w:val="auto"/>
          <w:sz w:val="21"/>
          <w:szCs w:val="21"/>
          <w:highlight w:val="none"/>
        </w:rPr>
        <w:t>项目编号：QSZB-Z(H)-B23232(CS)</w:t>
      </w:r>
    </w:p>
    <w:tbl>
      <w:tblPr>
        <w:tblStyle w:val="11"/>
        <w:tblW w:w="991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39"/>
        <w:gridCol w:w="708"/>
        <w:gridCol w:w="1702"/>
        <w:gridCol w:w="756"/>
        <w:gridCol w:w="1011"/>
        <w:gridCol w:w="1323"/>
        <w:gridCol w:w="1863"/>
        <w:gridCol w:w="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名称</w:t>
            </w: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品牌</w:t>
            </w: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规格型号</w:t>
            </w: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数量</w:t>
            </w: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单价（元）</w:t>
            </w: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金额（元）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9918" w:type="dxa"/>
            <w:gridSpan w:val="9"/>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b/>
                <w:bCs/>
                <w:color w:val="auto"/>
                <w:sz w:val="21"/>
                <w:szCs w:val="21"/>
                <w:highlight w:val="none"/>
              </w:rPr>
            </w:pPr>
            <w:r>
              <w:rPr>
                <w:rFonts w:hint="eastAsia"/>
                <w:b/>
                <w:color w:val="auto"/>
                <w:spacing w:val="-6"/>
                <w:sz w:val="21"/>
                <w:szCs w:val="21"/>
                <w:highlight w:val="none"/>
              </w:rPr>
              <w:t>▲</w:t>
            </w:r>
            <w:r>
              <w:rPr>
                <w:rFonts w:hint="eastAsia" w:cs="Times New Roman"/>
                <w:b/>
                <w:color w:val="auto"/>
                <w:spacing w:val="-6"/>
                <w:sz w:val="21"/>
                <w:szCs w:val="21"/>
                <w:highlight w:val="none"/>
              </w:rPr>
              <w:t>说明：采购人将以合同形式有偿取得货物或服务，不接受供应商给予的赠品、回扣或者与采购无关的其他商品、服务，不得出现“0元”“免费赠送”等形式的无偿报价，否则视为响应文件含有采购人不能接受的附加条件的，响应无效。</w:t>
            </w: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总价（人民币元）</w:t>
            </w:r>
          </w:p>
          <w:p>
            <w:pPr>
              <w:adjustRightInd w:val="0"/>
              <w:snapToGrid w:val="0"/>
              <w:spacing w:line="288" w:lineRule="auto"/>
              <w:rPr>
                <w:b/>
                <w:bCs/>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小写：_________________________</w:t>
            </w:r>
          </w:p>
          <w:p>
            <w:pPr>
              <w:adjustRightInd w:val="0"/>
              <w:snapToGrid w:val="0"/>
              <w:spacing w:line="288" w:lineRule="auto"/>
              <w:rPr>
                <w:b/>
                <w:bCs/>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大写：_________________________</w:t>
            </w:r>
          </w:p>
          <w:p>
            <w:pPr>
              <w:adjustRightInd w:val="0"/>
              <w:snapToGrid w:val="0"/>
              <w:spacing w:line="288" w:lineRule="auto"/>
              <w:rPr>
                <w:b/>
                <w:bCs/>
                <w:color w:val="auto"/>
                <w:sz w:val="21"/>
                <w:szCs w:val="21"/>
                <w:highlight w:val="none"/>
              </w:rPr>
            </w:pPr>
          </w:p>
        </w:tc>
      </w:tr>
    </w:tbl>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说明：</w:t>
      </w:r>
    </w:p>
    <w:p>
      <w:pPr>
        <w:adjustRightInd w:val="0"/>
        <w:snapToGrid w:val="0"/>
        <w:spacing w:line="288" w:lineRule="auto"/>
        <w:rPr>
          <w:rFonts w:cs="Times New Roman"/>
          <w:bCs/>
          <w:color w:val="auto"/>
          <w:spacing w:val="-6"/>
          <w:sz w:val="21"/>
          <w:szCs w:val="21"/>
          <w:highlight w:val="none"/>
        </w:rPr>
      </w:pPr>
      <w:r>
        <w:rPr>
          <w:rFonts w:cs="Times New Roman"/>
          <w:bCs/>
          <w:color w:val="auto"/>
          <w:spacing w:val="-6"/>
          <w:sz w:val="21"/>
          <w:szCs w:val="21"/>
          <w:highlight w:val="none"/>
        </w:rPr>
        <w:t>1.</w:t>
      </w:r>
      <w:r>
        <w:rPr>
          <w:rFonts w:hint="eastAsia" w:cs="Times New Roman"/>
          <w:bCs/>
          <w:color w:val="auto"/>
          <w:spacing w:val="-6"/>
          <w:sz w:val="21"/>
          <w:szCs w:val="21"/>
          <w:highlight w:val="none"/>
        </w:rPr>
        <w:t>此表在不改变格式要求的情况下，可自行增行。</w:t>
      </w:r>
    </w:p>
    <w:p>
      <w:pPr>
        <w:adjustRightInd w:val="0"/>
        <w:snapToGrid w:val="0"/>
        <w:spacing w:line="288" w:lineRule="auto"/>
        <w:jc w:val="left"/>
        <w:rPr>
          <w:rFonts w:cs="Times New Roman"/>
          <w:b/>
          <w:color w:val="auto"/>
          <w:spacing w:val="-6"/>
          <w:sz w:val="21"/>
          <w:szCs w:val="21"/>
          <w:highlight w:val="none"/>
        </w:rPr>
      </w:pPr>
      <w:r>
        <w:rPr>
          <w:rFonts w:cs="Times New Roman"/>
          <w:bCs/>
          <w:color w:val="auto"/>
          <w:spacing w:val="-6"/>
          <w:sz w:val="21"/>
          <w:szCs w:val="21"/>
          <w:highlight w:val="none"/>
        </w:rPr>
        <w:t>2.有关本项目实施所涉及的一切费用均计入报价。</w:t>
      </w:r>
    </w:p>
    <w:p>
      <w:pPr>
        <w:adjustRightInd w:val="0"/>
        <w:snapToGrid w:val="0"/>
        <w:spacing w:line="288" w:lineRule="auto"/>
        <w:jc w:val="left"/>
        <w:rPr>
          <w:rFonts w:cs="Times New Roman"/>
          <w:b/>
          <w:color w:val="auto"/>
          <w:spacing w:val="-6"/>
          <w:sz w:val="21"/>
          <w:szCs w:val="21"/>
          <w:highlight w:val="none"/>
        </w:rPr>
      </w:pPr>
      <w:r>
        <w:rPr>
          <w:rFonts w:cs="Times New Roman"/>
          <w:b/>
          <w:color w:val="auto"/>
          <w:spacing w:val="-6"/>
          <w:sz w:val="21"/>
          <w:szCs w:val="21"/>
          <w:highlight w:val="none"/>
        </w:rPr>
        <w:t>3.以上表格要求细分项目及报价，在“规格型号（或具体服务）”一栏中，货物类项目填写规格型号，服务类项目填写具体服务。</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商务和技术文件</w:t>
      </w:r>
    </w:p>
    <w:p>
      <w:pPr>
        <w:adjustRightInd w:val="0"/>
        <w:snapToGrid w:val="0"/>
        <w:spacing w:line="288" w:lineRule="auto"/>
        <w:rPr>
          <w:color w:val="auto"/>
          <w:highlight w:val="none"/>
        </w:rPr>
      </w:pPr>
      <w:r>
        <w:rPr>
          <w:rFonts w:hint="eastAsia"/>
          <w:color w:val="auto"/>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（1）响应函</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致：杭州电子科技大学、浙江求是招标代理有限公司</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ind w:firstLine="396" w:firstLineChars="200"/>
        <w:rPr>
          <w:color w:val="auto"/>
          <w:sz w:val="21"/>
          <w:szCs w:val="21"/>
          <w:highlight w:val="none"/>
        </w:rPr>
      </w:pPr>
      <w:r>
        <w:rPr>
          <w:rFonts w:hint="eastAsia" w:cs="Times New Roman"/>
          <w:color w:val="auto"/>
          <w:spacing w:val="-6"/>
          <w:sz w:val="21"/>
          <w:szCs w:val="21"/>
          <w:highlight w:val="none"/>
        </w:rPr>
        <w:t>我方参加</w:t>
      </w:r>
      <w:r>
        <w:rPr>
          <w:rFonts w:hint="eastAsia" w:cs="Times New Roman"/>
          <w:bCs/>
          <w:color w:val="auto"/>
          <w:spacing w:val="-6"/>
          <w:sz w:val="21"/>
          <w:szCs w:val="21"/>
          <w:highlight w:val="none"/>
          <w:u w:val="single"/>
        </w:rPr>
        <w:t>杭州电子科技大学大数据工程技术人员实训平台</w:t>
      </w:r>
      <w:r>
        <w:rPr>
          <w:rFonts w:hint="eastAsia" w:cs="Times New Roman"/>
          <w:color w:val="auto"/>
          <w:spacing w:val="-6"/>
          <w:sz w:val="21"/>
          <w:szCs w:val="21"/>
          <w:highlight w:val="none"/>
          <w:u w:val="single"/>
        </w:rPr>
        <w:t>（项目编号</w:t>
      </w:r>
      <w:r>
        <w:rPr>
          <w:rFonts w:hint="eastAsia" w:cs="Times New Roman"/>
          <w:bCs/>
          <w:color w:val="auto"/>
          <w:spacing w:val="-6"/>
          <w:sz w:val="21"/>
          <w:szCs w:val="21"/>
          <w:highlight w:val="none"/>
          <w:u w:val="single"/>
        </w:rPr>
        <w:t>：QSZB-Z(H)-B23232(CS)</w:t>
      </w:r>
      <w:r>
        <w:rPr>
          <w:rFonts w:hint="eastAsia" w:cs="Times New Roman"/>
          <w:color w:val="auto"/>
          <w:spacing w:val="-6"/>
          <w:sz w:val="21"/>
          <w:szCs w:val="21"/>
          <w:highlight w:val="none"/>
          <w:u w:val="single"/>
        </w:rPr>
        <w:t>）</w:t>
      </w:r>
      <w:r>
        <w:rPr>
          <w:rFonts w:hint="eastAsia" w:cs="Times New Roman"/>
          <w:color w:val="auto"/>
          <w:spacing w:val="-6"/>
          <w:sz w:val="21"/>
          <w:szCs w:val="21"/>
          <w:highlight w:val="none"/>
        </w:rPr>
        <w:t>项目，为此，我方提交电子加密响应文件一份、以介质（U盘）存储的数据电文形式的</w:t>
      </w:r>
      <w:r>
        <w:rPr>
          <w:rFonts w:hint="eastAsia" w:cs="Times New Roman"/>
          <w:color w:val="auto"/>
          <w:spacing w:val="-6"/>
          <w:sz w:val="21"/>
          <w:szCs w:val="21"/>
          <w:highlight w:val="none"/>
          <w:u w:val="single"/>
        </w:rPr>
        <w:t xml:space="preserve">备份响应文件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份</w:t>
      </w:r>
      <w:r>
        <w:rPr>
          <w:rFonts w:hint="eastAsia" w:cs="Times New Roman"/>
          <w:color w:val="auto"/>
          <w:spacing w:val="-6"/>
          <w:sz w:val="21"/>
          <w:szCs w:val="21"/>
          <w:highlight w:val="none"/>
        </w:rPr>
        <w:t>。宣布同意如下：</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1.我方已详细审查全部“磋商文件”，包括修改文件（如有）以及全部参考资料和有关附件，已经了解我方对于磋商文件、采购过程、成交结果有依法进行询问、质疑、投诉的权利及相关渠道和要求。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2.我方在磋商响应之前已经与贵方进行了充分的沟通，完全理解并接受磋商文件的各项规定和要求，对磋商文件的合理性、合法性不再有异议。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3.响应有效期自提交响应文件的截止之日起</w:t>
      </w:r>
      <w:r>
        <w:rPr>
          <w:rFonts w:hint="eastAsia"/>
          <w:color w:val="auto"/>
          <w:sz w:val="21"/>
          <w:szCs w:val="21"/>
          <w:highlight w:val="none"/>
          <w:u w:val="single"/>
        </w:rPr>
        <w:t>90</w:t>
      </w:r>
      <w:r>
        <w:rPr>
          <w:rFonts w:hint="eastAsia"/>
          <w:color w:val="auto"/>
          <w:sz w:val="21"/>
          <w:szCs w:val="21"/>
          <w:highlight w:val="none"/>
        </w:rPr>
        <w:t>天。</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4.如成交，本响应文件至本项目合同履行完毕止均保持有效，我方将按“磋商文件”及政府采购法律、法规的规定履行合同责任和义务。关于代理服务费，我方承诺按照磋商文件的规定履行并承担相应的责任。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5.我方同意按照贵方要求提供与磋商有关的一切数据或资料。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6.与本磋商有关的一切正式往来信函联系：</w:t>
      </w:r>
    </w:p>
    <w:tbl>
      <w:tblPr>
        <w:tblStyle w:val="12"/>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联系人：</w:t>
            </w:r>
          </w:p>
        </w:tc>
        <w:tc>
          <w:tcPr>
            <w:tcW w:w="6808" w:type="dxa"/>
          </w:tcPr>
          <w:p>
            <w:pPr>
              <w:adjustRightInd w:val="0"/>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职务：</w:t>
            </w:r>
          </w:p>
        </w:tc>
        <w:tc>
          <w:tcPr>
            <w:tcW w:w="6808" w:type="dxa"/>
          </w:tcPr>
          <w:p>
            <w:pPr>
              <w:adjustRightInd w:val="0"/>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手机：</w:t>
            </w:r>
          </w:p>
        </w:tc>
        <w:tc>
          <w:tcPr>
            <w:tcW w:w="6808" w:type="dxa"/>
          </w:tcPr>
          <w:p>
            <w:pPr>
              <w:adjustRightInd w:val="0"/>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电子邮箱：</w:t>
            </w:r>
          </w:p>
        </w:tc>
        <w:tc>
          <w:tcPr>
            <w:tcW w:w="6808" w:type="dxa"/>
          </w:tcPr>
          <w:p>
            <w:pPr>
              <w:adjustRightInd w:val="0"/>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地址：</w:t>
            </w:r>
          </w:p>
        </w:tc>
        <w:tc>
          <w:tcPr>
            <w:tcW w:w="6808" w:type="dxa"/>
          </w:tcPr>
          <w:p>
            <w:pPr>
              <w:adjustRightInd w:val="0"/>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开户银行：</w:t>
            </w:r>
          </w:p>
        </w:tc>
        <w:tc>
          <w:tcPr>
            <w:tcW w:w="6808" w:type="dxa"/>
          </w:tcPr>
          <w:p>
            <w:pPr>
              <w:adjustRightInd w:val="0"/>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银行账号：</w:t>
            </w:r>
          </w:p>
        </w:tc>
        <w:tc>
          <w:tcPr>
            <w:tcW w:w="6808" w:type="dxa"/>
          </w:tcPr>
          <w:p>
            <w:pPr>
              <w:adjustRightInd w:val="0"/>
              <w:snapToGrid w:val="0"/>
              <w:spacing w:line="288" w:lineRule="auto"/>
              <w:rPr>
                <w:rFonts w:cs="Times New Roman"/>
                <w:color w:val="auto"/>
                <w:spacing w:val="-6"/>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widowControl/>
        <w:adjustRightInd w:val="0"/>
        <w:snapToGrid w:val="0"/>
        <w:spacing w:line="288" w:lineRule="auto"/>
        <w:jc w:val="left"/>
        <w:rPr>
          <w:color w:val="auto"/>
          <w:sz w:val="21"/>
          <w:szCs w:val="21"/>
          <w:highlight w:val="none"/>
        </w:rPr>
      </w:pPr>
      <w:r>
        <w:rPr>
          <w:color w:val="auto"/>
          <w:sz w:val="21"/>
          <w:szCs w:val="21"/>
          <w:highlight w:val="none"/>
        </w:rPr>
        <w:br w:type="page"/>
      </w:r>
    </w:p>
    <w:p>
      <w:pPr>
        <w:adjustRightInd w:val="0"/>
        <w:snapToGrid w:val="0"/>
        <w:spacing w:line="288" w:lineRule="auto"/>
        <w:ind w:firstLine="498" w:firstLineChars="236"/>
        <w:jc w:val="center"/>
        <w:outlineLvl w:val="2"/>
        <w:rPr>
          <w:rFonts w:cs="Times New Roman"/>
          <w:b/>
          <w:bCs/>
          <w:color w:val="auto"/>
          <w:sz w:val="21"/>
          <w:szCs w:val="21"/>
          <w:highlight w:val="none"/>
        </w:rPr>
      </w:pPr>
      <w:r>
        <w:rPr>
          <w:rFonts w:hint="eastAsia" w:cs="Times New Roman"/>
          <w:b/>
          <w:bCs/>
          <w:color w:val="auto"/>
          <w:sz w:val="21"/>
          <w:szCs w:val="21"/>
          <w:highlight w:val="none"/>
        </w:rPr>
        <w:t>（</w:t>
      </w:r>
      <w:r>
        <w:rPr>
          <w:rFonts w:cs="Times New Roman"/>
          <w:b/>
          <w:bCs/>
          <w:color w:val="auto"/>
          <w:sz w:val="21"/>
          <w:szCs w:val="21"/>
          <w:highlight w:val="none"/>
        </w:rPr>
        <w:t>2</w:t>
      </w:r>
      <w:r>
        <w:rPr>
          <w:rFonts w:hint="eastAsia" w:cs="Times New Roman"/>
          <w:b/>
          <w:bCs/>
          <w:color w:val="auto"/>
          <w:sz w:val="21"/>
          <w:szCs w:val="21"/>
          <w:highlight w:val="none"/>
        </w:rPr>
        <w:t>）授权委托书</w:t>
      </w:r>
    </w:p>
    <w:p>
      <w:pPr>
        <w:adjustRightInd w:val="0"/>
        <w:snapToGrid w:val="0"/>
        <w:spacing w:line="288" w:lineRule="auto"/>
        <w:rPr>
          <w:rFonts w:cs="Times New Roman"/>
          <w:b/>
          <w:bCs/>
          <w:color w:val="auto"/>
          <w:spacing w:val="-6"/>
          <w:sz w:val="21"/>
          <w:szCs w:val="21"/>
          <w:highlight w:val="none"/>
        </w:rPr>
      </w:pPr>
    </w:p>
    <w:p>
      <w:pPr>
        <w:adjustRightInd w:val="0"/>
        <w:snapToGrid w:val="0"/>
        <w:spacing w:line="288" w:lineRule="auto"/>
        <w:rPr>
          <w:rFonts w:cs="Times New Roman"/>
          <w:b/>
          <w:color w:val="auto"/>
          <w:spacing w:val="-6"/>
          <w:sz w:val="21"/>
          <w:szCs w:val="21"/>
          <w:highlight w:val="none"/>
        </w:rPr>
      </w:pPr>
      <w:r>
        <w:rPr>
          <w:rFonts w:hint="eastAsia" w:cs="Times New Roman"/>
          <w:b/>
          <w:color w:val="auto"/>
          <w:spacing w:val="-6"/>
          <w:sz w:val="21"/>
          <w:szCs w:val="21"/>
          <w:highlight w:val="none"/>
        </w:rPr>
        <w:t>致：杭州电子科技大学、浙江求是招标代理有限公司</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现授权委托：</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（授权代表姓名）（身份证号码：</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，手机：</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）以我方的名义参加</w:t>
      </w:r>
      <w:r>
        <w:rPr>
          <w:rFonts w:hint="eastAsia" w:cs="Times New Roman"/>
          <w:bCs/>
          <w:color w:val="auto"/>
          <w:spacing w:val="-6"/>
          <w:sz w:val="21"/>
          <w:szCs w:val="21"/>
          <w:highlight w:val="none"/>
        </w:rPr>
        <w:t>杭州电子科技大学大数据工程技术人员实训平台项目（项目编号：QSZB-Z(H)-B23232(CS)）</w:t>
      </w:r>
      <w:r>
        <w:rPr>
          <w:rFonts w:hint="eastAsia" w:cs="Times New Roman"/>
          <w:color w:val="auto"/>
          <w:spacing w:val="-6"/>
          <w:sz w:val="21"/>
          <w:szCs w:val="21"/>
          <w:highlight w:val="none"/>
        </w:rPr>
        <w:t>的采购活动，并代表我方全权办理针对上述项目的响应、评审、签约等具体事务和签署相关文件。</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我方对被授权人的签名负全部责任。</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在撤销授权的书面通知以前，本授权书一直有效。被授权人在授权书有效期内签署的所有文件不因授权的撤销而失效。</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被授权人无转委托权，特此告知。</w:t>
      </w:r>
    </w:p>
    <w:p>
      <w:pPr>
        <w:adjustRightInd w:val="0"/>
        <w:snapToGrid w:val="0"/>
        <w:spacing w:line="288" w:lineRule="auto"/>
        <w:ind w:firstLine="368" w:firstLineChars="186"/>
        <w:rPr>
          <w:rFonts w:cs="Times New Roman"/>
          <w:color w:val="auto"/>
          <w:spacing w:val="-6"/>
          <w:sz w:val="21"/>
          <w:szCs w:val="21"/>
          <w:highlight w:val="none"/>
          <w:u w:val="single"/>
        </w:rPr>
      </w:pPr>
      <w:r>
        <w:rPr>
          <w:rFonts w:hint="eastAsia" w:cs="Times New Roman"/>
          <w:color w:val="auto"/>
          <w:spacing w:val="-6"/>
          <w:sz w:val="21"/>
          <w:szCs w:val="21"/>
          <w:highlight w:val="none"/>
          <w:u w:val="single"/>
        </w:rPr>
        <w:t>▲提供授权代表社保缴纳证明（2022年12月（含）以后任意一月）。</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注：</w:t>
      </w: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1、供应商委派不在本单位缴纳社保的人员作为授权代表的，应当在响应文件中，说明具体原因、授权代表缴纳社保的单位，并附列该授权代表缴纳社保清单。</w:t>
      </w: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2、供应商是联合体的，联合体各成员均应在“授权委托书”上盖章（电子签名</w:t>
      </w:r>
      <w:r>
        <w:rPr>
          <w:rFonts w:cs="Times New Roman"/>
          <w:color w:val="auto"/>
          <w:sz w:val="21"/>
          <w:szCs w:val="21"/>
          <w:highlight w:val="none"/>
        </w:rPr>
        <w:t>/公章）</w:t>
      </w:r>
      <w:r>
        <w:rPr>
          <w:rFonts w:hint="eastAsia" w:cs="Times New Roman"/>
          <w:color w:val="auto"/>
          <w:sz w:val="21"/>
          <w:szCs w:val="21"/>
          <w:highlight w:val="none"/>
        </w:rPr>
        <w:t>。</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p>
    <w:p>
      <w:pPr>
        <w:adjustRightInd w:val="0"/>
        <w:snapToGrid w:val="0"/>
        <w:spacing w:line="288" w:lineRule="auto"/>
        <w:jc w:val="center"/>
        <w:outlineLvl w:val="2"/>
        <w:rPr>
          <w:rFonts w:cs="Times New Roman"/>
          <w:b/>
          <w:bCs/>
          <w:color w:val="auto"/>
          <w:spacing w:val="-6"/>
          <w:sz w:val="21"/>
          <w:szCs w:val="21"/>
          <w:highlight w:val="none"/>
        </w:rPr>
      </w:pPr>
      <w:r>
        <w:rPr>
          <w:rFonts w:hint="eastAsia" w:cs="Times New Roman"/>
          <w:b/>
          <w:bCs/>
          <w:color w:val="auto"/>
          <w:sz w:val="21"/>
          <w:szCs w:val="21"/>
          <w:highlight w:val="none"/>
        </w:rPr>
        <w:t>（2）法定代表人（单位负责人、自然人本人）</w:t>
      </w:r>
      <w:r>
        <w:rPr>
          <w:rFonts w:hint="eastAsia" w:cs="Times New Roman"/>
          <w:b/>
          <w:bCs/>
          <w:color w:val="auto"/>
          <w:spacing w:val="-6"/>
          <w:sz w:val="21"/>
          <w:szCs w:val="21"/>
          <w:highlight w:val="none"/>
        </w:rPr>
        <w:t>身份证明</w:t>
      </w:r>
    </w:p>
    <w:p>
      <w:pPr>
        <w:adjustRightInd w:val="0"/>
        <w:snapToGrid w:val="0"/>
        <w:spacing w:line="288" w:lineRule="auto"/>
        <w:ind w:firstLine="495" w:firstLineChars="236"/>
        <w:jc w:val="center"/>
        <w:rPr>
          <w:rFonts w:cs="Times New Roman"/>
          <w:color w:val="auto"/>
          <w:sz w:val="21"/>
          <w:szCs w:val="21"/>
          <w:highlight w:val="none"/>
        </w:rPr>
      </w:pPr>
      <w:r>
        <w:rPr>
          <w:rFonts w:hint="eastAsia" w:cs="Times New Roman"/>
          <w:color w:val="auto"/>
          <w:sz w:val="21"/>
          <w:szCs w:val="21"/>
          <w:highlight w:val="none"/>
        </w:rPr>
        <w:t>（适用于：法定代表人（单位负责人、自然人本人）</w:t>
      </w:r>
      <w:r>
        <w:rPr>
          <w:rFonts w:hint="eastAsia" w:cs="Times New Roman"/>
          <w:color w:val="auto"/>
          <w:spacing w:val="-6"/>
          <w:sz w:val="21"/>
          <w:szCs w:val="21"/>
          <w:highlight w:val="none"/>
        </w:rPr>
        <w:t>代表供应商参加采购活动</w:t>
      </w:r>
      <w:r>
        <w:rPr>
          <w:rFonts w:hint="eastAsia" w:cs="Times New Roman"/>
          <w:color w:val="auto"/>
          <w:sz w:val="21"/>
          <w:szCs w:val="21"/>
          <w:highlight w:val="none"/>
        </w:rPr>
        <w:t>）</w:t>
      </w:r>
    </w:p>
    <w:p>
      <w:pPr>
        <w:adjustRightInd w:val="0"/>
        <w:snapToGrid w:val="0"/>
        <w:spacing w:line="288" w:lineRule="auto"/>
        <w:jc w:val="left"/>
        <w:rPr>
          <w:rFonts w:cs="Times New Roman"/>
          <w:color w:val="auto"/>
          <w:sz w:val="21"/>
          <w:szCs w:val="21"/>
          <w:highlight w:val="none"/>
        </w:rPr>
      </w:pPr>
      <w:r>
        <w:rPr>
          <w:rFonts w:hint="eastAsia"/>
          <w:bCs/>
          <w:color w:val="auto"/>
          <w:sz w:val="21"/>
          <w:szCs w:val="21"/>
          <w:highlight w:val="none"/>
        </w:rPr>
        <w:t>身份证件复印件</w:t>
      </w:r>
    </w:p>
    <w:tbl>
      <w:tblPr>
        <w:tblStyle w:val="27"/>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39" w:hRule="atLeast"/>
        </w:trPr>
        <w:tc>
          <w:tcPr>
            <w:tcW w:w="4701" w:type="dxa"/>
          </w:tcPr>
          <w:p>
            <w:pPr>
              <w:adjustRightInd w:val="0"/>
              <w:snapToGrid w:val="0"/>
              <w:spacing w:line="288" w:lineRule="auto"/>
              <w:rPr>
                <w:bCs/>
                <w:color w:val="auto"/>
                <w:sz w:val="21"/>
                <w:szCs w:val="21"/>
                <w:highlight w:val="none"/>
              </w:rPr>
            </w:pPr>
            <w:r>
              <w:rPr>
                <w:rFonts w:hint="eastAsia"/>
                <w:bCs/>
                <w:color w:val="auto"/>
                <w:sz w:val="21"/>
                <w:szCs w:val="21"/>
                <w:highlight w:val="none"/>
              </w:rPr>
              <w:t>正面：</w:t>
            </w:r>
          </w:p>
        </w:tc>
        <w:tc>
          <w:tcPr>
            <w:tcW w:w="4701" w:type="dxa"/>
          </w:tcPr>
          <w:p>
            <w:pPr>
              <w:adjustRightInd w:val="0"/>
              <w:snapToGrid w:val="0"/>
              <w:spacing w:line="288" w:lineRule="auto"/>
              <w:rPr>
                <w:bCs/>
                <w:color w:val="auto"/>
                <w:sz w:val="21"/>
                <w:szCs w:val="21"/>
                <w:highlight w:val="none"/>
              </w:rPr>
            </w:pPr>
            <w:r>
              <w:rPr>
                <w:rFonts w:hint="eastAsia"/>
                <w:bCs/>
                <w:color w:val="auto"/>
                <w:sz w:val="21"/>
                <w:szCs w:val="21"/>
                <w:highlight w:val="none"/>
              </w:rPr>
              <w:t>反面：</w:t>
            </w:r>
          </w:p>
        </w:tc>
      </w:tr>
    </w:tbl>
    <w:p>
      <w:pPr>
        <w:adjustRightInd w:val="0"/>
        <w:snapToGrid w:val="0"/>
        <w:spacing w:line="288" w:lineRule="auto"/>
        <w:rPr>
          <w:rFonts w:cs="Times New Roman"/>
          <w:color w:val="auto"/>
          <w:sz w:val="21"/>
          <w:szCs w:val="21"/>
          <w:highlight w:val="none"/>
        </w:rPr>
      </w:pPr>
    </w:p>
    <w:p>
      <w:pPr>
        <w:widowControl/>
        <w:adjustRightInd w:val="0"/>
        <w:snapToGrid w:val="0"/>
        <w:spacing w:line="288" w:lineRule="auto"/>
        <w:jc w:val="left"/>
        <w:rPr>
          <w:rFonts w:cs="Times New Roman"/>
          <w:color w:val="auto"/>
          <w:sz w:val="21"/>
          <w:szCs w:val="21"/>
          <w:highlight w:val="none"/>
        </w:rPr>
      </w:pPr>
      <w:r>
        <w:rPr>
          <w:rFonts w:cs="Times New Roman"/>
          <w:color w:val="auto"/>
          <w:sz w:val="21"/>
          <w:szCs w:val="21"/>
          <w:highlight w:val="none"/>
        </w:rPr>
        <w:br w:type="page"/>
      </w:r>
    </w:p>
    <w:p>
      <w:pPr>
        <w:adjustRightInd w:val="0"/>
        <w:snapToGrid w:val="0"/>
        <w:spacing w:line="288" w:lineRule="auto"/>
        <w:jc w:val="left"/>
        <w:outlineLvl w:val="2"/>
        <w:rPr>
          <w:rFonts w:cs="Times New Roman"/>
          <w:b/>
          <w:bCs/>
          <w:color w:val="auto"/>
          <w:sz w:val="21"/>
          <w:szCs w:val="21"/>
          <w:highlight w:val="none"/>
        </w:rPr>
      </w:pPr>
      <w:r>
        <w:rPr>
          <w:rFonts w:hint="eastAsia" w:cs="Times New Roman"/>
          <w:b/>
          <w:bCs/>
          <w:color w:val="auto"/>
          <w:sz w:val="21"/>
          <w:szCs w:val="21"/>
          <w:highlight w:val="none"/>
        </w:rPr>
        <w:t>附：授权代表社保缴纳证明（2022年12月（含）以后任意一月）</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3</w:t>
      </w:r>
      <w:r>
        <w:rPr>
          <w:rFonts w:hint="eastAsia"/>
          <w:b/>
          <w:bCs/>
          <w:color w:val="auto"/>
          <w:sz w:val="21"/>
          <w:szCs w:val="21"/>
          <w:highlight w:val="none"/>
        </w:rPr>
        <w:t>）供应商同类合同一览表</w:t>
      </w:r>
    </w:p>
    <w:tbl>
      <w:tblPr>
        <w:tblStyle w:val="12"/>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1268"/>
        <w:gridCol w:w="1282"/>
        <w:gridCol w:w="1432"/>
        <w:gridCol w:w="1256"/>
        <w:gridCol w:w="899"/>
        <w:gridCol w:w="995"/>
        <w:gridCol w:w="17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1268"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采购人</w:t>
            </w:r>
          </w:p>
        </w:tc>
        <w:tc>
          <w:tcPr>
            <w:tcW w:w="128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项目名称</w:t>
            </w:r>
          </w:p>
        </w:tc>
        <w:tc>
          <w:tcPr>
            <w:tcW w:w="143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数量</w:t>
            </w:r>
          </w:p>
        </w:tc>
        <w:tc>
          <w:tcPr>
            <w:tcW w:w="1256"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合同金额</w:t>
            </w: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（万元）</w:t>
            </w:r>
          </w:p>
        </w:tc>
        <w:tc>
          <w:tcPr>
            <w:tcW w:w="899"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附件页码</w:t>
            </w:r>
          </w:p>
        </w:tc>
        <w:tc>
          <w:tcPr>
            <w:tcW w:w="99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合同签订时间</w:t>
            </w:r>
          </w:p>
        </w:tc>
        <w:tc>
          <w:tcPr>
            <w:tcW w:w="1718"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采购人联系人</w:t>
            </w: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spacing w:line="288" w:lineRule="auto"/>
              <w:jc w:val="center"/>
              <w:rPr>
                <w:color w:val="auto"/>
                <w:sz w:val="21"/>
                <w:szCs w:val="21"/>
                <w:highlight w:val="none"/>
              </w:rPr>
            </w:pPr>
          </w:p>
        </w:tc>
        <w:tc>
          <w:tcPr>
            <w:tcW w:w="1268" w:type="dxa"/>
            <w:vAlign w:val="center"/>
          </w:tcPr>
          <w:p>
            <w:pPr>
              <w:adjustRightInd w:val="0"/>
              <w:snapToGrid w:val="0"/>
              <w:spacing w:line="288" w:lineRule="auto"/>
              <w:jc w:val="center"/>
              <w:rPr>
                <w:color w:val="auto"/>
                <w:sz w:val="21"/>
                <w:szCs w:val="21"/>
                <w:highlight w:val="none"/>
              </w:rPr>
            </w:pPr>
          </w:p>
        </w:tc>
        <w:tc>
          <w:tcPr>
            <w:tcW w:w="1282" w:type="dxa"/>
            <w:vAlign w:val="center"/>
          </w:tcPr>
          <w:p>
            <w:pPr>
              <w:adjustRightInd w:val="0"/>
              <w:snapToGrid w:val="0"/>
              <w:spacing w:line="288" w:lineRule="auto"/>
              <w:jc w:val="center"/>
              <w:rPr>
                <w:color w:val="auto"/>
                <w:sz w:val="21"/>
                <w:szCs w:val="21"/>
                <w:highlight w:val="none"/>
              </w:rPr>
            </w:pPr>
          </w:p>
        </w:tc>
        <w:tc>
          <w:tcPr>
            <w:tcW w:w="1432" w:type="dxa"/>
            <w:vAlign w:val="center"/>
          </w:tcPr>
          <w:p>
            <w:pPr>
              <w:adjustRightInd w:val="0"/>
              <w:snapToGrid w:val="0"/>
              <w:spacing w:line="288" w:lineRule="auto"/>
              <w:jc w:val="center"/>
              <w:rPr>
                <w:color w:val="auto"/>
                <w:sz w:val="21"/>
                <w:szCs w:val="21"/>
                <w:highlight w:val="none"/>
              </w:rPr>
            </w:pPr>
          </w:p>
        </w:tc>
        <w:tc>
          <w:tcPr>
            <w:tcW w:w="1256" w:type="dxa"/>
            <w:vAlign w:val="center"/>
          </w:tcPr>
          <w:p>
            <w:pPr>
              <w:adjustRightInd w:val="0"/>
              <w:snapToGrid w:val="0"/>
              <w:spacing w:line="288" w:lineRule="auto"/>
              <w:jc w:val="center"/>
              <w:rPr>
                <w:color w:val="auto"/>
                <w:sz w:val="21"/>
                <w:szCs w:val="21"/>
                <w:highlight w:val="none"/>
              </w:rPr>
            </w:pPr>
          </w:p>
        </w:tc>
        <w:tc>
          <w:tcPr>
            <w:tcW w:w="899" w:type="dxa"/>
            <w:vAlign w:val="center"/>
          </w:tcPr>
          <w:p>
            <w:pPr>
              <w:adjustRightInd w:val="0"/>
              <w:snapToGrid w:val="0"/>
              <w:spacing w:line="288" w:lineRule="auto"/>
              <w:jc w:val="center"/>
              <w:rPr>
                <w:color w:val="auto"/>
                <w:sz w:val="21"/>
                <w:szCs w:val="21"/>
                <w:highlight w:val="none"/>
              </w:rPr>
            </w:pPr>
          </w:p>
        </w:tc>
        <w:tc>
          <w:tcPr>
            <w:tcW w:w="995" w:type="dxa"/>
            <w:vAlign w:val="center"/>
          </w:tcPr>
          <w:p>
            <w:pPr>
              <w:adjustRightInd w:val="0"/>
              <w:snapToGrid w:val="0"/>
              <w:spacing w:line="288" w:lineRule="auto"/>
              <w:jc w:val="center"/>
              <w:rPr>
                <w:color w:val="auto"/>
                <w:sz w:val="21"/>
                <w:szCs w:val="21"/>
                <w:highlight w:val="none"/>
              </w:rPr>
            </w:pPr>
          </w:p>
        </w:tc>
        <w:tc>
          <w:tcPr>
            <w:tcW w:w="1718"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spacing w:line="288" w:lineRule="auto"/>
              <w:jc w:val="center"/>
              <w:rPr>
                <w:color w:val="auto"/>
                <w:sz w:val="21"/>
                <w:szCs w:val="21"/>
                <w:highlight w:val="none"/>
              </w:rPr>
            </w:pPr>
          </w:p>
        </w:tc>
        <w:tc>
          <w:tcPr>
            <w:tcW w:w="1268" w:type="dxa"/>
            <w:vAlign w:val="center"/>
          </w:tcPr>
          <w:p>
            <w:pPr>
              <w:adjustRightInd w:val="0"/>
              <w:snapToGrid w:val="0"/>
              <w:spacing w:line="288" w:lineRule="auto"/>
              <w:jc w:val="center"/>
              <w:rPr>
                <w:color w:val="auto"/>
                <w:sz w:val="21"/>
                <w:szCs w:val="21"/>
                <w:highlight w:val="none"/>
              </w:rPr>
            </w:pPr>
          </w:p>
        </w:tc>
        <w:tc>
          <w:tcPr>
            <w:tcW w:w="1282" w:type="dxa"/>
            <w:vAlign w:val="center"/>
          </w:tcPr>
          <w:p>
            <w:pPr>
              <w:adjustRightInd w:val="0"/>
              <w:snapToGrid w:val="0"/>
              <w:spacing w:line="288" w:lineRule="auto"/>
              <w:jc w:val="center"/>
              <w:rPr>
                <w:color w:val="auto"/>
                <w:sz w:val="21"/>
                <w:szCs w:val="21"/>
                <w:highlight w:val="none"/>
              </w:rPr>
            </w:pPr>
          </w:p>
        </w:tc>
        <w:tc>
          <w:tcPr>
            <w:tcW w:w="1432" w:type="dxa"/>
            <w:vAlign w:val="center"/>
          </w:tcPr>
          <w:p>
            <w:pPr>
              <w:adjustRightInd w:val="0"/>
              <w:snapToGrid w:val="0"/>
              <w:spacing w:line="288" w:lineRule="auto"/>
              <w:jc w:val="center"/>
              <w:rPr>
                <w:color w:val="auto"/>
                <w:sz w:val="21"/>
                <w:szCs w:val="21"/>
                <w:highlight w:val="none"/>
              </w:rPr>
            </w:pPr>
          </w:p>
        </w:tc>
        <w:tc>
          <w:tcPr>
            <w:tcW w:w="1256" w:type="dxa"/>
            <w:vAlign w:val="center"/>
          </w:tcPr>
          <w:p>
            <w:pPr>
              <w:adjustRightInd w:val="0"/>
              <w:snapToGrid w:val="0"/>
              <w:spacing w:line="288" w:lineRule="auto"/>
              <w:jc w:val="center"/>
              <w:rPr>
                <w:color w:val="auto"/>
                <w:sz w:val="21"/>
                <w:szCs w:val="21"/>
                <w:highlight w:val="none"/>
              </w:rPr>
            </w:pPr>
          </w:p>
        </w:tc>
        <w:tc>
          <w:tcPr>
            <w:tcW w:w="899" w:type="dxa"/>
            <w:vAlign w:val="center"/>
          </w:tcPr>
          <w:p>
            <w:pPr>
              <w:adjustRightInd w:val="0"/>
              <w:snapToGrid w:val="0"/>
              <w:spacing w:line="288" w:lineRule="auto"/>
              <w:jc w:val="center"/>
              <w:rPr>
                <w:color w:val="auto"/>
                <w:sz w:val="21"/>
                <w:szCs w:val="21"/>
                <w:highlight w:val="none"/>
              </w:rPr>
            </w:pPr>
          </w:p>
        </w:tc>
        <w:tc>
          <w:tcPr>
            <w:tcW w:w="995" w:type="dxa"/>
            <w:vAlign w:val="center"/>
          </w:tcPr>
          <w:p>
            <w:pPr>
              <w:adjustRightInd w:val="0"/>
              <w:snapToGrid w:val="0"/>
              <w:spacing w:line="288" w:lineRule="auto"/>
              <w:jc w:val="center"/>
              <w:rPr>
                <w:color w:val="auto"/>
                <w:sz w:val="21"/>
                <w:szCs w:val="21"/>
                <w:highlight w:val="none"/>
              </w:rPr>
            </w:pPr>
          </w:p>
        </w:tc>
        <w:tc>
          <w:tcPr>
            <w:tcW w:w="1718"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spacing w:line="288" w:lineRule="auto"/>
              <w:jc w:val="center"/>
              <w:rPr>
                <w:color w:val="auto"/>
                <w:sz w:val="21"/>
                <w:szCs w:val="21"/>
                <w:highlight w:val="none"/>
              </w:rPr>
            </w:pPr>
          </w:p>
        </w:tc>
        <w:tc>
          <w:tcPr>
            <w:tcW w:w="1268" w:type="dxa"/>
            <w:vAlign w:val="center"/>
          </w:tcPr>
          <w:p>
            <w:pPr>
              <w:adjustRightInd w:val="0"/>
              <w:snapToGrid w:val="0"/>
              <w:spacing w:line="288" w:lineRule="auto"/>
              <w:jc w:val="center"/>
              <w:rPr>
                <w:color w:val="auto"/>
                <w:sz w:val="21"/>
                <w:szCs w:val="21"/>
                <w:highlight w:val="none"/>
              </w:rPr>
            </w:pPr>
          </w:p>
        </w:tc>
        <w:tc>
          <w:tcPr>
            <w:tcW w:w="1282" w:type="dxa"/>
            <w:vAlign w:val="center"/>
          </w:tcPr>
          <w:p>
            <w:pPr>
              <w:adjustRightInd w:val="0"/>
              <w:snapToGrid w:val="0"/>
              <w:spacing w:line="288" w:lineRule="auto"/>
              <w:jc w:val="center"/>
              <w:rPr>
                <w:color w:val="auto"/>
                <w:sz w:val="21"/>
                <w:szCs w:val="21"/>
                <w:highlight w:val="none"/>
              </w:rPr>
            </w:pPr>
          </w:p>
        </w:tc>
        <w:tc>
          <w:tcPr>
            <w:tcW w:w="1432" w:type="dxa"/>
            <w:vAlign w:val="center"/>
          </w:tcPr>
          <w:p>
            <w:pPr>
              <w:adjustRightInd w:val="0"/>
              <w:snapToGrid w:val="0"/>
              <w:spacing w:line="288" w:lineRule="auto"/>
              <w:jc w:val="center"/>
              <w:rPr>
                <w:color w:val="auto"/>
                <w:sz w:val="21"/>
                <w:szCs w:val="21"/>
                <w:highlight w:val="none"/>
              </w:rPr>
            </w:pPr>
          </w:p>
        </w:tc>
        <w:tc>
          <w:tcPr>
            <w:tcW w:w="1256" w:type="dxa"/>
            <w:vAlign w:val="center"/>
          </w:tcPr>
          <w:p>
            <w:pPr>
              <w:adjustRightInd w:val="0"/>
              <w:snapToGrid w:val="0"/>
              <w:spacing w:line="288" w:lineRule="auto"/>
              <w:jc w:val="center"/>
              <w:rPr>
                <w:color w:val="auto"/>
                <w:sz w:val="21"/>
                <w:szCs w:val="21"/>
                <w:highlight w:val="none"/>
              </w:rPr>
            </w:pPr>
          </w:p>
        </w:tc>
        <w:tc>
          <w:tcPr>
            <w:tcW w:w="899" w:type="dxa"/>
            <w:vAlign w:val="center"/>
          </w:tcPr>
          <w:p>
            <w:pPr>
              <w:adjustRightInd w:val="0"/>
              <w:snapToGrid w:val="0"/>
              <w:spacing w:line="288" w:lineRule="auto"/>
              <w:jc w:val="center"/>
              <w:rPr>
                <w:color w:val="auto"/>
                <w:sz w:val="21"/>
                <w:szCs w:val="21"/>
                <w:highlight w:val="none"/>
              </w:rPr>
            </w:pPr>
          </w:p>
        </w:tc>
        <w:tc>
          <w:tcPr>
            <w:tcW w:w="995" w:type="dxa"/>
            <w:vAlign w:val="center"/>
          </w:tcPr>
          <w:p>
            <w:pPr>
              <w:adjustRightInd w:val="0"/>
              <w:snapToGrid w:val="0"/>
              <w:spacing w:line="288" w:lineRule="auto"/>
              <w:jc w:val="center"/>
              <w:rPr>
                <w:color w:val="auto"/>
                <w:sz w:val="21"/>
                <w:szCs w:val="21"/>
                <w:highlight w:val="none"/>
              </w:rPr>
            </w:pPr>
          </w:p>
        </w:tc>
        <w:tc>
          <w:tcPr>
            <w:tcW w:w="1718"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spacing w:line="288" w:lineRule="auto"/>
              <w:jc w:val="center"/>
              <w:rPr>
                <w:color w:val="auto"/>
                <w:sz w:val="21"/>
                <w:szCs w:val="21"/>
                <w:highlight w:val="none"/>
              </w:rPr>
            </w:pPr>
          </w:p>
        </w:tc>
        <w:tc>
          <w:tcPr>
            <w:tcW w:w="1268" w:type="dxa"/>
            <w:vAlign w:val="center"/>
          </w:tcPr>
          <w:p>
            <w:pPr>
              <w:adjustRightInd w:val="0"/>
              <w:snapToGrid w:val="0"/>
              <w:spacing w:line="288" w:lineRule="auto"/>
              <w:jc w:val="center"/>
              <w:rPr>
                <w:color w:val="auto"/>
                <w:sz w:val="21"/>
                <w:szCs w:val="21"/>
                <w:highlight w:val="none"/>
              </w:rPr>
            </w:pPr>
          </w:p>
        </w:tc>
        <w:tc>
          <w:tcPr>
            <w:tcW w:w="1282" w:type="dxa"/>
            <w:vAlign w:val="center"/>
          </w:tcPr>
          <w:p>
            <w:pPr>
              <w:adjustRightInd w:val="0"/>
              <w:snapToGrid w:val="0"/>
              <w:spacing w:line="288" w:lineRule="auto"/>
              <w:jc w:val="center"/>
              <w:rPr>
                <w:color w:val="auto"/>
                <w:sz w:val="21"/>
                <w:szCs w:val="21"/>
                <w:highlight w:val="none"/>
              </w:rPr>
            </w:pPr>
          </w:p>
        </w:tc>
        <w:tc>
          <w:tcPr>
            <w:tcW w:w="1432" w:type="dxa"/>
            <w:vAlign w:val="center"/>
          </w:tcPr>
          <w:p>
            <w:pPr>
              <w:adjustRightInd w:val="0"/>
              <w:snapToGrid w:val="0"/>
              <w:spacing w:line="288" w:lineRule="auto"/>
              <w:jc w:val="center"/>
              <w:rPr>
                <w:color w:val="auto"/>
                <w:sz w:val="21"/>
                <w:szCs w:val="21"/>
                <w:highlight w:val="none"/>
              </w:rPr>
            </w:pPr>
          </w:p>
        </w:tc>
        <w:tc>
          <w:tcPr>
            <w:tcW w:w="1256" w:type="dxa"/>
            <w:vAlign w:val="center"/>
          </w:tcPr>
          <w:p>
            <w:pPr>
              <w:adjustRightInd w:val="0"/>
              <w:snapToGrid w:val="0"/>
              <w:spacing w:line="288" w:lineRule="auto"/>
              <w:jc w:val="center"/>
              <w:rPr>
                <w:color w:val="auto"/>
                <w:sz w:val="21"/>
                <w:szCs w:val="21"/>
                <w:highlight w:val="none"/>
              </w:rPr>
            </w:pPr>
          </w:p>
        </w:tc>
        <w:tc>
          <w:tcPr>
            <w:tcW w:w="899" w:type="dxa"/>
            <w:vAlign w:val="center"/>
          </w:tcPr>
          <w:p>
            <w:pPr>
              <w:adjustRightInd w:val="0"/>
              <w:snapToGrid w:val="0"/>
              <w:spacing w:line="288" w:lineRule="auto"/>
              <w:jc w:val="center"/>
              <w:rPr>
                <w:color w:val="auto"/>
                <w:sz w:val="21"/>
                <w:szCs w:val="21"/>
                <w:highlight w:val="none"/>
              </w:rPr>
            </w:pPr>
          </w:p>
        </w:tc>
        <w:tc>
          <w:tcPr>
            <w:tcW w:w="995" w:type="dxa"/>
            <w:vAlign w:val="center"/>
          </w:tcPr>
          <w:p>
            <w:pPr>
              <w:adjustRightInd w:val="0"/>
              <w:snapToGrid w:val="0"/>
              <w:spacing w:line="288" w:lineRule="auto"/>
              <w:jc w:val="center"/>
              <w:rPr>
                <w:color w:val="auto"/>
                <w:sz w:val="21"/>
                <w:szCs w:val="21"/>
                <w:highlight w:val="none"/>
              </w:rPr>
            </w:pPr>
          </w:p>
        </w:tc>
        <w:tc>
          <w:tcPr>
            <w:tcW w:w="1718" w:type="dxa"/>
            <w:vAlign w:val="center"/>
          </w:tcPr>
          <w:p>
            <w:pPr>
              <w:adjustRightInd w:val="0"/>
              <w:snapToGrid w:val="0"/>
              <w:spacing w:line="288" w:lineRule="auto"/>
              <w:jc w:val="center"/>
              <w:rPr>
                <w:color w:val="auto"/>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1.供应商须提供上述业绩合同扫描件；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2.所有合同扫描件应清晰，应能体现合同签订时间、双方签名盖章等内容；</w:t>
      </w:r>
    </w:p>
    <w:p>
      <w:pPr>
        <w:adjustRightInd w:val="0"/>
        <w:snapToGrid w:val="0"/>
        <w:spacing w:line="288" w:lineRule="auto"/>
        <w:rPr>
          <w:b/>
          <w:bCs/>
          <w:color w:val="auto"/>
          <w:sz w:val="21"/>
          <w:szCs w:val="21"/>
          <w:highlight w:val="none"/>
        </w:rPr>
      </w:pPr>
      <w:r>
        <w:rPr>
          <w:rFonts w:hint="eastAsia"/>
          <w:b/>
          <w:bCs/>
          <w:color w:val="auto"/>
          <w:sz w:val="21"/>
          <w:szCs w:val="21"/>
          <w:highlight w:val="none"/>
        </w:rPr>
        <w:t>3.供应商应在不涉及商业秘密的前提下尽可能提供详细的合同扫描件内容。</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4</w:t>
      </w:r>
      <w:r>
        <w:rPr>
          <w:rFonts w:hint="eastAsia"/>
          <w:b/>
          <w:bCs/>
          <w:color w:val="auto"/>
          <w:sz w:val="21"/>
          <w:szCs w:val="21"/>
          <w:highlight w:val="none"/>
        </w:rPr>
        <w:t>）采购需求偏离表</w:t>
      </w:r>
    </w:p>
    <w:p>
      <w:pPr>
        <w:adjustRightInd w:val="0"/>
        <w:snapToGrid w:val="0"/>
        <w:spacing w:line="288" w:lineRule="auto"/>
        <w:rPr>
          <w:color w:val="auto"/>
          <w:sz w:val="21"/>
          <w:szCs w:val="21"/>
          <w:highlight w:val="none"/>
        </w:rPr>
      </w:pPr>
      <w:r>
        <w:rPr>
          <w:rFonts w:hint="eastAsia"/>
          <w:color w:val="auto"/>
          <w:sz w:val="21"/>
          <w:szCs w:val="21"/>
          <w:highlight w:val="none"/>
        </w:rPr>
        <w:t>采 购 人：杭州电子科技大学</w:t>
      </w:r>
    </w:p>
    <w:p>
      <w:pPr>
        <w:adjustRightInd w:val="0"/>
        <w:snapToGrid w:val="0"/>
        <w:spacing w:line="288" w:lineRule="auto"/>
        <w:rPr>
          <w:color w:val="auto"/>
          <w:sz w:val="21"/>
          <w:szCs w:val="21"/>
          <w:highlight w:val="none"/>
        </w:rPr>
      </w:pPr>
      <w:r>
        <w:rPr>
          <w:rFonts w:hint="eastAsia"/>
          <w:color w:val="auto"/>
          <w:sz w:val="21"/>
          <w:szCs w:val="21"/>
          <w:highlight w:val="none"/>
        </w:rPr>
        <w:t>项目名称：大数据工程技术人员实训平台</w:t>
      </w:r>
    </w:p>
    <w:p>
      <w:pPr>
        <w:adjustRightInd w:val="0"/>
        <w:snapToGrid w:val="0"/>
        <w:spacing w:line="288" w:lineRule="auto"/>
        <w:rPr>
          <w:color w:val="auto"/>
          <w:sz w:val="21"/>
          <w:szCs w:val="21"/>
          <w:highlight w:val="none"/>
        </w:rPr>
      </w:pPr>
      <w:r>
        <w:rPr>
          <w:rFonts w:hint="eastAsia"/>
          <w:color w:val="auto"/>
          <w:sz w:val="21"/>
          <w:szCs w:val="21"/>
          <w:highlight w:val="none"/>
        </w:rPr>
        <w:t>项目编号：QSZB-Z(H)-B23232(CS)</w:t>
      </w:r>
    </w:p>
    <w:tbl>
      <w:tblPr>
        <w:tblStyle w:val="12"/>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4"/>
        <w:gridCol w:w="3286"/>
        <w:gridCol w:w="2911"/>
        <w:gridCol w:w="24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3286"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磋商文件要求</w:t>
            </w:r>
          </w:p>
        </w:tc>
        <w:tc>
          <w:tcPr>
            <w:tcW w:w="291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响应规格</w:t>
            </w:r>
          </w:p>
        </w:tc>
        <w:tc>
          <w:tcPr>
            <w:tcW w:w="2407"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adjustRightInd w:val="0"/>
              <w:snapToGrid w:val="0"/>
              <w:spacing w:line="288" w:lineRule="auto"/>
              <w:rPr>
                <w:b/>
                <w:bCs/>
                <w:color w:val="auto"/>
                <w:sz w:val="21"/>
                <w:szCs w:val="21"/>
                <w:highlight w:val="none"/>
              </w:rPr>
            </w:pPr>
            <w:r>
              <w:rPr>
                <w:rFonts w:hint="eastAsia"/>
                <w:b/>
                <w:bCs/>
                <w:color w:val="auto"/>
                <w:sz w:val="21"/>
                <w:szCs w:val="21"/>
                <w:highlight w:val="none"/>
              </w:rPr>
              <w:t>采购资金的支付方式、时间、条件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2</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adjustRightInd w:val="0"/>
              <w:snapToGrid w:val="0"/>
              <w:spacing w:line="288" w:lineRule="auto"/>
              <w:rPr>
                <w:color w:val="auto"/>
                <w:sz w:val="21"/>
                <w:szCs w:val="21"/>
                <w:highlight w:val="none"/>
              </w:rPr>
            </w:pPr>
            <w:r>
              <w:rPr>
                <w:rFonts w:hint="eastAsia"/>
                <w:b/>
                <w:bCs/>
                <w:color w:val="auto"/>
                <w:sz w:val="21"/>
                <w:szCs w:val="21"/>
                <w:highlight w:val="none"/>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2</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adjustRightInd w:val="0"/>
              <w:snapToGrid w:val="0"/>
              <w:spacing w:line="288" w:lineRule="auto"/>
              <w:rPr>
                <w:color w:val="auto"/>
                <w:sz w:val="21"/>
                <w:szCs w:val="21"/>
                <w:highlight w:val="none"/>
              </w:rPr>
            </w:pPr>
            <w:r>
              <w:rPr>
                <w:rFonts w:hint="eastAsia"/>
                <w:b/>
                <w:bCs/>
                <w:color w:val="auto"/>
                <w:sz w:val="21"/>
                <w:szCs w:val="21"/>
                <w:highlight w:val="none"/>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2</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1.逐项按照磋商文件要求填写响应规格；</w:t>
      </w:r>
    </w:p>
    <w:p>
      <w:pPr>
        <w:adjustRightInd w:val="0"/>
        <w:snapToGrid w:val="0"/>
        <w:spacing w:line="288" w:lineRule="auto"/>
        <w:rPr>
          <w:b/>
          <w:bCs/>
          <w:color w:val="auto"/>
          <w:sz w:val="21"/>
          <w:szCs w:val="21"/>
          <w:highlight w:val="none"/>
        </w:rPr>
      </w:pPr>
      <w:r>
        <w:rPr>
          <w:rFonts w:hint="eastAsia"/>
          <w:b/>
          <w:bCs/>
          <w:color w:val="auto"/>
          <w:sz w:val="21"/>
          <w:szCs w:val="21"/>
          <w:highlight w:val="none"/>
        </w:rPr>
        <w:t>2.偏离说明是指对磋商文件要求存在不同之处的解释说明。偏离系指：正偏离（高于采购需求）、负偏离（低于采购需求）、无偏离（满足采购需求）；</w:t>
      </w:r>
    </w:p>
    <w:p>
      <w:pPr>
        <w:adjustRightInd w:val="0"/>
        <w:snapToGrid w:val="0"/>
        <w:spacing w:line="288" w:lineRule="auto"/>
        <w:rPr>
          <w:b/>
          <w:bCs/>
          <w:color w:val="auto"/>
          <w:sz w:val="21"/>
          <w:szCs w:val="21"/>
          <w:highlight w:val="none"/>
        </w:rPr>
      </w:pPr>
      <w:r>
        <w:rPr>
          <w:rFonts w:hint="eastAsia"/>
          <w:b/>
          <w:bCs/>
          <w:color w:val="auto"/>
          <w:sz w:val="21"/>
          <w:szCs w:val="21"/>
          <w:highlight w:val="none"/>
        </w:rPr>
        <w:t>3.如不填写或未如实填写，自行承担磋商响应风险。</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5</w:t>
      </w:r>
      <w:r>
        <w:rPr>
          <w:rFonts w:hint="eastAsia"/>
          <w:b/>
          <w:bCs/>
          <w:color w:val="auto"/>
          <w:sz w:val="21"/>
          <w:szCs w:val="21"/>
          <w:highlight w:val="none"/>
        </w:rPr>
        <w:t>）货物配置清单</w:t>
      </w:r>
      <w:r>
        <w:rPr>
          <w:rFonts w:hint="eastAsia"/>
          <w:color w:val="auto"/>
          <w:sz w:val="21"/>
          <w:szCs w:val="21"/>
          <w:highlight w:val="none"/>
        </w:rPr>
        <w:t>（不含报价）</w:t>
      </w:r>
    </w:p>
    <w:p>
      <w:pPr>
        <w:adjustRightInd w:val="0"/>
        <w:snapToGrid w:val="0"/>
        <w:spacing w:line="288" w:lineRule="auto"/>
        <w:rPr>
          <w:color w:val="auto"/>
          <w:sz w:val="21"/>
          <w:szCs w:val="21"/>
          <w:highlight w:val="none"/>
        </w:rPr>
      </w:pPr>
    </w:p>
    <w:tbl>
      <w:tblPr>
        <w:tblStyle w:val="11"/>
        <w:tblW w:w="957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011"/>
        <w:gridCol w:w="2218"/>
        <w:gridCol w:w="756"/>
        <w:gridCol w:w="1011"/>
        <w:gridCol w:w="202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名称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品牌</w:t>
            </w: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规格型号</w:t>
            </w: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数量</w:t>
            </w: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配置（可另附页）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附：产品技术支持材料</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rPr>
          <w:b/>
          <w:color w:val="auto"/>
          <w:spacing w:val="-6"/>
          <w:sz w:val="21"/>
          <w:szCs w:val="21"/>
          <w:highlight w:val="none"/>
        </w:rPr>
      </w:pPr>
      <w:bookmarkStart w:id="43" w:name="_Hlk71885757"/>
      <w:r>
        <w:rPr>
          <w:rFonts w:hint="eastAsia"/>
          <w:b/>
          <w:color w:val="auto"/>
          <w:spacing w:val="-6"/>
          <w:sz w:val="21"/>
          <w:szCs w:val="21"/>
          <w:highlight w:val="none"/>
        </w:rPr>
        <w:t>（6）技术方案：</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项目实施方案</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安装调试验收</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售后服务</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技术服务、培训</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配件耗材</w:t>
      </w:r>
    </w:p>
    <w:p>
      <w:pPr>
        <w:adjustRightInd w:val="0"/>
        <w:snapToGrid w:val="0"/>
        <w:spacing w:line="288" w:lineRule="auto"/>
        <w:rPr>
          <w:b/>
          <w:color w:val="auto"/>
          <w:spacing w:val="-6"/>
          <w:sz w:val="21"/>
          <w:szCs w:val="21"/>
          <w:highlight w:val="none"/>
        </w:rPr>
      </w:pPr>
    </w:p>
    <w:p>
      <w:pPr>
        <w:adjustRightInd w:val="0"/>
        <w:snapToGrid w:val="0"/>
        <w:spacing w:line="288" w:lineRule="auto"/>
        <w:rPr>
          <w:b/>
          <w:color w:val="auto"/>
          <w:spacing w:val="-6"/>
          <w:sz w:val="21"/>
          <w:szCs w:val="21"/>
          <w:highlight w:val="none"/>
        </w:rPr>
      </w:pPr>
    </w:p>
    <w:p>
      <w:pPr>
        <w:adjustRightInd w:val="0"/>
        <w:snapToGrid w:val="0"/>
        <w:spacing w:line="288" w:lineRule="auto"/>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7</w:t>
      </w:r>
      <w:r>
        <w:rPr>
          <w:rFonts w:hint="eastAsia"/>
          <w:b/>
          <w:color w:val="auto"/>
          <w:spacing w:val="-6"/>
          <w:sz w:val="21"/>
          <w:szCs w:val="21"/>
          <w:highlight w:val="none"/>
        </w:rPr>
        <w:t>）节能环保产品证明材料</w:t>
      </w:r>
    </w:p>
    <w:p>
      <w:pPr>
        <w:adjustRightInd w:val="0"/>
        <w:snapToGrid w:val="0"/>
        <w:spacing w:line="288" w:lineRule="auto"/>
        <w:rPr>
          <w:rFonts w:cs="Times New Roman"/>
          <w:b/>
          <w:color w:val="auto"/>
          <w:sz w:val="21"/>
          <w:szCs w:val="21"/>
          <w:highlight w:val="none"/>
        </w:rPr>
      </w:pPr>
      <w:r>
        <w:rPr>
          <w:rFonts w:hint="eastAsia" w:cs="Times New Roman"/>
          <w:b/>
          <w:color w:val="auto"/>
          <w:sz w:val="21"/>
          <w:szCs w:val="21"/>
          <w:highlight w:val="none"/>
        </w:rPr>
        <w:t>说明：响应产品属于品目清单范围且提供国家确定的认证机构出具的有效的节能产品、环境标志产品认证证书（扫描件/复印件）。</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供应商须按</w:t>
      </w:r>
      <w:r>
        <w:rPr>
          <w:rFonts w:hint="eastAsia" w:cs="Times New Roman"/>
          <w:color w:val="auto"/>
          <w:spacing w:val="-6"/>
          <w:sz w:val="21"/>
          <w:szCs w:val="21"/>
          <w:highlight w:val="none"/>
        </w:rPr>
        <w:t>磋商</w:t>
      </w:r>
      <w:r>
        <w:rPr>
          <w:rFonts w:cs="Times New Roman"/>
          <w:color w:val="auto"/>
          <w:spacing w:val="-6"/>
          <w:sz w:val="21"/>
          <w:szCs w:val="21"/>
          <w:highlight w:val="none"/>
        </w:rPr>
        <w:t>文件要求提供相关产品认证证书。</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▲采购人拟采购的产品属于政府强制采购的节能产品品目清单范围的，供应商未按</w:t>
      </w:r>
      <w:r>
        <w:rPr>
          <w:rFonts w:hint="eastAsia" w:cs="Times New Roman"/>
          <w:color w:val="auto"/>
          <w:spacing w:val="-6"/>
          <w:sz w:val="21"/>
          <w:szCs w:val="21"/>
          <w:highlight w:val="none"/>
        </w:rPr>
        <w:t>磋商</w:t>
      </w:r>
      <w:r>
        <w:rPr>
          <w:rFonts w:cs="Times New Roman"/>
          <w:color w:val="auto"/>
          <w:spacing w:val="-6"/>
          <w:sz w:val="21"/>
          <w:szCs w:val="21"/>
          <w:highlight w:val="none"/>
        </w:rPr>
        <w:t>文件要求提供国家确定的认证机构出具的、有效的节能产品认证证书的，</w:t>
      </w:r>
      <w:r>
        <w:rPr>
          <w:rFonts w:hint="eastAsia" w:cs="Times New Roman"/>
          <w:color w:val="auto"/>
          <w:spacing w:val="-6"/>
          <w:sz w:val="21"/>
          <w:szCs w:val="21"/>
          <w:highlight w:val="none"/>
        </w:rPr>
        <w:t>响应</w:t>
      </w:r>
      <w:r>
        <w:rPr>
          <w:rFonts w:cs="Times New Roman"/>
          <w:color w:val="auto"/>
          <w:spacing w:val="-6"/>
          <w:sz w:val="21"/>
          <w:szCs w:val="21"/>
          <w:highlight w:val="none"/>
        </w:rPr>
        <w:t>无效。</w:t>
      </w:r>
    </w:p>
    <w:p>
      <w:pPr>
        <w:adjustRightInd w:val="0"/>
        <w:snapToGrid w:val="0"/>
        <w:spacing w:line="288" w:lineRule="auto"/>
        <w:jc w:val="left"/>
        <w:rPr>
          <w:rFonts w:cs="Times New Roman"/>
          <w:color w:val="auto"/>
          <w:spacing w:val="-6"/>
          <w:sz w:val="21"/>
          <w:szCs w:val="21"/>
          <w:highlight w:val="none"/>
        </w:rPr>
      </w:pPr>
    </w:p>
    <w:bookmarkEnd w:id="43"/>
    <w:p>
      <w:pPr>
        <w:adjustRightInd w:val="0"/>
        <w:snapToGrid w:val="0"/>
        <w:spacing w:line="288" w:lineRule="auto"/>
        <w:outlineLvl w:val="2"/>
        <w:rPr>
          <w:b/>
          <w:color w:val="auto"/>
          <w:spacing w:val="-6"/>
          <w:sz w:val="21"/>
          <w:szCs w:val="21"/>
          <w:highlight w:val="none"/>
        </w:rPr>
      </w:pPr>
      <w:r>
        <w:rPr>
          <w:rFonts w:hint="eastAsia"/>
          <w:b/>
          <w:color w:val="auto"/>
          <w:spacing w:val="-6"/>
          <w:sz w:val="21"/>
          <w:szCs w:val="21"/>
          <w:highlight w:val="none"/>
        </w:rPr>
        <w:t>（8）科技创新相关证明材料</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优先推荐专精特新中小企业、创新产品参加政府采购活动。对省级以上主管部门认定的首台套产品，自纳入《省推广应用指导目录》起三年内参加政府采购活动时视同已具备相应销售业绩，业绩分为满分。</w:t>
      </w:r>
    </w:p>
    <w:p>
      <w:pPr>
        <w:adjustRightInd w:val="0"/>
        <w:snapToGrid w:val="0"/>
        <w:spacing w:line="288" w:lineRule="auto"/>
        <w:rPr>
          <w:b/>
          <w:color w:val="auto"/>
          <w:spacing w:val="-6"/>
          <w:sz w:val="21"/>
          <w:szCs w:val="21"/>
          <w:highlight w:val="none"/>
        </w:rPr>
      </w:pPr>
    </w:p>
    <w:p>
      <w:pPr>
        <w:adjustRightInd w:val="0"/>
        <w:snapToGrid w:val="0"/>
        <w:spacing w:line="288" w:lineRule="auto"/>
        <w:outlineLvl w:val="2"/>
        <w:rPr>
          <w:b/>
          <w:color w:val="auto"/>
          <w:spacing w:val="-6"/>
          <w:sz w:val="21"/>
          <w:szCs w:val="21"/>
          <w:highlight w:val="none"/>
        </w:rPr>
      </w:pPr>
      <w:r>
        <w:rPr>
          <w:rFonts w:hint="eastAsia"/>
          <w:b/>
          <w:color w:val="auto"/>
          <w:spacing w:val="-6"/>
          <w:sz w:val="21"/>
          <w:szCs w:val="21"/>
          <w:highlight w:val="none"/>
        </w:rPr>
        <w:t>（9）供应商需要说明的其他文件和材料。</w:t>
      </w:r>
    </w:p>
    <w:p>
      <w:pPr>
        <w:widowControl/>
        <w:jc w:val="left"/>
        <w:rPr>
          <w:b/>
          <w:color w:val="auto"/>
          <w:spacing w:val="-6"/>
          <w:sz w:val="21"/>
          <w:szCs w:val="21"/>
          <w:highlight w:val="none"/>
        </w:rPr>
      </w:pPr>
      <w:r>
        <w:rPr>
          <w:b/>
          <w:color w:val="auto"/>
          <w:spacing w:val="-6"/>
          <w:sz w:val="21"/>
          <w:szCs w:val="21"/>
          <w:highlight w:val="none"/>
        </w:rPr>
        <w:br w:type="page"/>
      </w:r>
    </w:p>
    <w:p>
      <w:pPr>
        <w:adjustRightInd w:val="0"/>
        <w:snapToGrid w:val="0"/>
        <w:spacing w:line="288" w:lineRule="auto"/>
        <w:outlineLvl w:val="2"/>
        <w:rPr>
          <w:rFonts w:cs="Times New Roman"/>
          <w:b/>
          <w:bCs/>
          <w:color w:val="auto"/>
          <w:sz w:val="21"/>
          <w:szCs w:val="21"/>
          <w:highlight w:val="none"/>
        </w:rPr>
      </w:pPr>
      <w:r>
        <w:rPr>
          <w:rFonts w:cs="Times New Roman"/>
          <w:b/>
          <w:color w:val="auto"/>
          <w:spacing w:val="-6"/>
          <w:sz w:val="21"/>
          <w:szCs w:val="21"/>
          <w:highlight w:val="none"/>
        </w:rPr>
        <w:t>附件</w:t>
      </w:r>
      <w:r>
        <w:rPr>
          <w:rFonts w:hint="eastAsia" w:cs="Times New Roman"/>
          <w:b/>
          <w:color w:val="auto"/>
          <w:spacing w:val="-6"/>
          <w:sz w:val="21"/>
          <w:szCs w:val="21"/>
          <w:highlight w:val="none"/>
        </w:rPr>
        <w:t>1：</w:t>
      </w:r>
      <w:r>
        <w:rPr>
          <w:rFonts w:hint="eastAsia" w:cs="Times New Roman"/>
          <w:b/>
          <w:bCs/>
          <w:color w:val="auto"/>
          <w:sz w:val="21"/>
          <w:szCs w:val="21"/>
          <w:highlight w:val="none"/>
        </w:rPr>
        <w:t>业务专用章使用说明函</w:t>
      </w:r>
    </w:p>
    <w:p>
      <w:pPr>
        <w:snapToGrid w:val="0"/>
        <w:spacing w:line="288" w:lineRule="auto"/>
        <w:rPr>
          <w:rFonts w:cs="仿宋_GB2312"/>
          <w:color w:val="auto"/>
          <w:sz w:val="21"/>
          <w:szCs w:val="21"/>
          <w:highlight w:val="none"/>
          <w:u w:val="single"/>
        </w:rPr>
      </w:pPr>
    </w:p>
    <w:p>
      <w:pPr>
        <w:snapToGrid w:val="0"/>
        <w:spacing w:line="288" w:lineRule="auto"/>
        <w:rPr>
          <w:rFonts w:cs="Times New Roman"/>
          <w:color w:val="auto"/>
          <w:sz w:val="21"/>
          <w:szCs w:val="21"/>
          <w:highlight w:val="none"/>
        </w:rPr>
      </w:pPr>
      <w:r>
        <w:rPr>
          <w:rFonts w:hint="eastAsia" w:cs="仿宋_GB2312"/>
          <w:color w:val="auto"/>
          <w:sz w:val="21"/>
          <w:szCs w:val="21"/>
          <w:highlight w:val="none"/>
          <w:u w:val="single"/>
        </w:rPr>
        <w:t>（采购人）、（采购代理机构）</w:t>
      </w:r>
    </w:p>
    <w:p>
      <w:pPr>
        <w:snapToGrid w:val="0"/>
        <w:spacing w:line="288" w:lineRule="auto"/>
        <w:ind w:firstLine="424" w:firstLineChars="202"/>
        <w:rPr>
          <w:color w:val="auto"/>
          <w:sz w:val="21"/>
          <w:szCs w:val="21"/>
          <w:highlight w:val="none"/>
        </w:rPr>
      </w:pPr>
      <w:r>
        <w:rPr>
          <w:rFonts w:hint="eastAsia" w:cs="仿宋_GB2312"/>
          <w:color w:val="auto"/>
          <w:kern w:val="0"/>
          <w:sz w:val="21"/>
          <w:szCs w:val="21"/>
          <w:highlight w:val="none"/>
          <w:lang w:val="zh-CN"/>
        </w:rPr>
        <w:t>我方</w:t>
      </w:r>
      <w:r>
        <w:rPr>
          <w:rFonts w:cs="仿宋_GB2312"/>
          <w:color w:val="auto"/>
          <w:kern w:val="0"/>
          <w:sz w:val="21"/>
          <w:szCs w:val="21"/>
          <w:highlight w:val="none"/>
          <w:u w:val="single"/>
          <w:lang w:val="zh-CN"/>
        </w:rPr>
        <w:t xml:space="preserve">                         </w:t>
      </w:r>
      <w:r>
        <w:rPr>
          <w:rFonts w:cs="仿宋_GB2312"/>
          <w:color w:val="auto"/>
          <w:sz w:val="21"/>
          <w:szCs w:val="21"/>
          <w:highlight w:val="none"/>
        </w:rPr>
        <w:t>(供应商全称)</w:t>
      </w:r>
      <w:r>
        <w:rPr>
          <w:rFonts w:hint="eastAsia" w:cs="Times New Roman"/>
          <w:color w:val="auto"/>
          <w:sz w:val="21"/>
          <w:szCs w:val="21"/>
          <w:highlight w:val="none"/>
        </w:rPr>
        <w:t>是中华人民共和国依法登记注册的合法企业，</w:t>
      </w:r>
      <w:r>
        <w:rPr>
          <w:rFonts w:hint="eastAsia"/>
          <w:bCs/>
          <w:color w:val="auto"/>
          <w:sz w:val="21"/>
          <w:szCs w:val="21"/>
          <w:highlight w:val="none"/>
        </w:rPr>
        <w:t>在参加</w:t>
      </w:r>
      <w:r>
        <w:rPr>
          <w:rFonts w:hint="eastAsia" w:cs="仿宋_GB2312"/>
          <w:color w:val="auto"/>
          <w:sz w:val="21"/>
          <w:szCs w:val="21"/>
          <w:highlight w:val="none"/>
        </w:rPr>
        <w:t>你方组织的</w:t>
      </w:r>
      <w:r>
        <w:rPr>
          <w:rFonts w:hint="eastAsia" w:cs="仿宋_GB2312"/>
          <w:color w:val="auto"/>
          <w:sz w:val="21"/>
          <w:szCs w:val="21"/>
          <w:highlight w:val="none"/>
          <w:u w:val="single"/>
        </w:rPr>
        <w:t>（项目名称）</w:t>
      </w:r>
      <w:r>
        <w:rPr>
          <w:rFonts w:hint="eastAsia" w:cs="仿宋_GB2312"/>
          <w:color w:val="auto"/>
          <w:sz w:val="21"/>
          <w:szCs w:val="21"/>
          <w:highlight w:val="none"/>
        </w:rPr>
        <w:t>项目</w:t>
      </w:r>
      <w:r>
        <w:rPr>
          <w:rFonts w:hint="eastAsia" w:cs="仿宋_GB2312"/>
          <w:color w:val="auto"/>
          <w:sz w:val="21"/>
          <w:szCs w:val="21"/>
          <w:highlight w:val="none"/>
          <w:u w:val="single"/>
        </w:rPr>
        <w:t>（项目编号）</w:t>
      </w:r>
      <w:r>
        <w:rPr>
          <w:rFonts w:hint="eastAsia"/>
          <w:bCs/>
          <w:color w:val="auto"/>
          <w:sz w:val="21"/>
          <w:szCs w:val="21"/>
          <w:highlight w:val="none"/>
        </w:rPr>
        <w:t>响应（响应）活动中作如下说明：</w:t>
      </w:r>
      <w:r>
        <w:rPr>
          <w:rFonts w:hint="eastAsia"/>
          <w:color w:val="auto"/>
          <w:sz w:val="21"/>
          <w:szCs w:val="21"/>
          <w:highlight w:val="none"/>
        </w:rPr>
        <w:t>我方所使用的</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与法定名称章具有同等的法律效力，对使用</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的行为予以完全承认，并愿意承担相应责任。</w:t>
      </w:r>
    </w:p>
    <w:p>
      <w:pPr>
        <w:snapToGrid w:val="0"/>
        <w:spacing w:line="288" w:lineRule="auto"/>
        <w:ind w:firstLine="424" w:firstLineChars="202"/>
        <w:rPr>
          <w:color w:val="auto"/>
          <w:sz w:val="21"/>
          <w:szCs w:val="21"/>
          <w:highlight w:val="none"/>
        </w:rPr>
      </w:pPr>
      <w:r>
        <w:rPr>
          <w:rFonts w:hint="eastAsia"/>
          <w:color w:val="auto"/>
          <w:sz w:val="21"/>
          <w:szCs w:val="21"/>
          <w:highlight w:val="none"/>
        </w:rPr>
        <w:t>特此说明。</w:t>
      </w:r>
    </w:p>
    <w:p>
      <w:pPr>
        <w:snapToGrid w:val="0"/>
        <w:spacing w:line="288" w:lineRule="auto"/>
        <w:ind w:right="480" w:firstLine="424" w:firstLineChars="202"/>
        <w:rPr>
          <w:color w:val="auto"/>
          <w:sz w:val="21"/>
          <w:szCs w:val="21"/>
          <w:highlight w:val="none"/>
        </w:rPr>
      </w:pPr>
      <w:r>
        <w:rPr>
          <w:rFonts w:hint="eastAsia"/>
          <w:color w:val="auto"/>
          <w:sz w:val="21"/>
          <w:szCs w:val="21"/>
          <w:highlight w:val="none"/>
        </w:rPr>
        <w:t>供应商（法定名称章）：</w:t>
      </w:r>
    </w:p>
    <w:p>
      <w:pPr>
        <w:snapToGrid w:val="0"/>
        <w:spacing w:line="288" w:lineRule="auto"/>
        <w:ind w:right="1440" w:firstLine="424" w:firstLineChars="202"/>
        <w:rPr>
          <w:color w:val="auto"/>
          <w:sz w:val="21"/>
          <w:szCs w:val="21"/>
          <w:highlight w:val="none"/>
        </w:rPr>
      </w:pPr>
      <w:r>
        <w:rPr>
          <w:color w:val="auto"/>
          <w:sz w:val="21"/>
          <w:szCs w:val="21"/>
          <w:highlight w:val="none"/>
        </w:rPr>
        <w:t>日期：       年     月     日</w:t>
      </w:r>
    </w:p>
    <w:p>
      <w:pPr>
        <w:snapToGrid w:val="0"/>
        <w:spacing w:line="288" w:lineRule="auto"/>
        <w:rPr>
          <w:b/>
          <w:bCs/>
          <w:color w:val="auto"/>
          <w:sz w:val="21"/>
          <w:szCs w:val="21"/>
          <w:highlight w:val="none"/>
        </w:rPr>
      </w:pPr>
    </w:p>
    <w:p>
      <w:pPr>
        <w:snapToGrid w:val="0"/>
        <w:spacing w:line="288" w:lineRule="auto"/>
        <w:rPr>
          <w:color w:val="auto"/>
          <w:sz w:val="21"/>
          <w:szCs w:val="21"/>
          <w:highlight w:val="none"/>
        </w:rPr>
      </w:pPr>
      <w:r>
        <w:rPr>
          <w:rFonts w:hint="eastAsia"/>
          <w:b/>
          <w:bCs/>
          <w:color w:val="auto"/>
          <w:sz w:val="21"/>
          <w:szCs w:val="21"/>
          <w:highlight w:val="none"/>
        </w:rPr>
        <w:t>附：</w:t>
      </w:r>
      <w:r>
        <w:rPr>
          <w:rFonts w:hint="eastAsia"/>
          <w:color w:val="auto"/>
          <w:sz w:val="21"/>
          <w:szCs w:val="21"/>
          <w:highlight w:val="none"/>
        </w:rPr>
        <w:t>供应商法定名称章（印模）</w:t>
      </w:r>
      <w:r>
        <w:rPr>
          <w:color w:val="auto"/>
          <w:sz w:val="21"/>
          <w:szCs w:val="21"/>
          <w:highlight w:val="none"/>
        </w:rPr>
        <w:t xml:space="preserve">                </w:t>
      </w:r>
      <w:r>
        <w:rPr>
          <w:rFonts w:hint="eastAsia"/>
          <w:color w:val="auto"/>
          <w:sz w:val="21"/>
          <w:szCs w:val="21"/>
          <w:highlight w:val="none"/>
        </w:rPr>
        <w:t>供应商“</w:t>
      </w:r>
      <w:r>
        <w:rPr>
          <w:rFonts w:cs="仿宋_GB2312"/>
          <w:color w:val="auto"/>
          <w:sz w:val="21"/>
          <w:szCs w:val="21"/>
          <w:highlight w:val="none"/>
        </w:rPr>
        <w:t>XX</w:t>
      </w:r>
      <w:r>
        <w:rPr>
          <w:rFonts w:hint="eastAsia"/>
          <w:color w:val="auto"/>
          <w:sz w:val="21"/>
          <w:szCs w:val="21"/>
          <w:highlight w:val="none"/>
        </w:rPr>
        <w:t>专用章”（印模）</w:t>
      </w:r>
    </w:p>
    <w:p>
      <w:pPr>
        <w:snapToGrid w:val="0"/>
        <w:spacing w:line="288" w:lineRule="auto"/>
        <w:rPr>
          <w:color w:val="auto"/>
          <w:sz w:val="21"/>
          <w:szCs w:val="21"/>
          <w:highlight w:val="none"/>
        </w:rPr>
      </w:pPr>
      <w:r>
        <w:rPr>
          <w:rFonts w:cs="Times New Roman"/>
          <w:b/>
          <w:bCs/>
          <w:color w:val="auto"/>
          <w:sz w:val="21"/>
          <w:szCs w:val="21"/>
          <w:highlight w:val="none"/>
        </w:rPr>
        <mc:AlternateContent>
          <mc:Choice Requires="wps">
            <w:drawing>
              <wp:inline distT="0" distB="0" distL="0" distR="0">
                <wp:extent cx="2704465" cy="2253615"/>
                <wp:effectExtent l="0" t="0" r="19685" b="13335"/>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CTXkbzWAAAABQEAAA8AAAAAAAAAAQAgAAAA&#10;IgAAAGRycy9kb3ducmV2LnhtbFBLAQIUABQAAAAIAIdO4kCQ3zbrDQIAACYEAAAOAAAAAAAAAAEA&#10;IAAAACUBAABkcnMvZTJvRG9jLnhtbFBLBQYAAAAABgAGAFkBAACkBQAAAAA=&#10;">
                <v:fill on="t" focussize="0,0"/>
                <v:stroke color="#000000" miterlimit="2" joinstyle="miter"/>
                <v:imagedata o:title=""/>
                <o:lock v:ext="edit" aspectratio="f"/>
                <w10:wrap type="none"/>
                <w10:anchorlock/>
              </v:rect>
            </w:pict>
          </mc:Fallback>
        </mc:AlternateContent>
      </w:r>
      <w:r>
        <w:rPr>
          <w:rFonts w:hint="eastAsia"/>
          <w:color w:val="auto"/>
          <w:sz w:val="21"/>
          <w:szCs w:val="21"/>
          <w:highlight w:val="none"/>
        </w:rPr>
        <w:t xml:space="preserve"> </w:t>
      </w:r>
      <w:r>
        <w:rPr>
          <w:rFonts w:cs="Times New Roman"/>
          <w:b/>
          <w:bCs/>
          <w:color w:val="auto"/>
          <w:sz w:val="21"/>
          <w:szCs w:val="21"/>
          <w:highlight w:val="none"/>
        </w:rPr>
        <mc:AlternateContent>
          <mc:Choice Requires="wps">
            <w:drawing>
              <wp:inline distT="0" distB="0" distL="0" distR="0">
                <wp:extent cx="2647950" cy="2253615"/>
                <wp:effectExtent l="0" t="0" r="19050" b="13335"/>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BVSUy1AAAAAUBAAAPAAAAAAAAAAEAIAAAACIA&#10;AABkcnMvZG93bnJldi54bWxQSwECFAAUAAAACACHTuJABYrTpg0CAAAmBAAADgAAAAAAAAABACAA&#10;AAAjAQAAZHJzL2Uyb0RvYy54bWxQSwUGAAAAAAYABgBZAQAAogUAAAAA&#10;">
                <v:fill on="t" focussize="0,0"/>
                <v:stroke color="#000000" miterlimit="2" joinstyle="miter"/>
                <v:imagedata o:title=""/>
                <o:lock v:ext="edit" aspectratio="f"/>
                <w10:wrap type="none"/>
                <w10:anchorlock/>
              </v:rect>
            </w:pict>
          </mc:Fallback>
        </mc:AlternateContent>
      </w:r>
    </w:p>
    <w:p>
      <w:pPr>
        <w:widowControl/>
        <w:jc w:val="left"/>
        <w:rPr>
          <w:b/>
          <w:color w:val="auto"/>
          <w:spacing w:val="-6"/>
          <w:sz w:val="21"/>
          <w:szCs w:val="21"/>
          <w:highlight w:val="none"/>
        </w:rPr>
      </w:pPr>
      <w:r>
        <w:rPr>
          <w:b/>
          <w:color w:val="auto"/>
          <w:spacing w:val="-6"/>
          <w:sz w:val="21"/>
          <w:szCs w:val="21"/>
          <w:highlight w:val="none"/>
        </w:rPr>
        <w:br w:type="page"/>
      </w:r>
    </w:p>
    <w:p>
      <w:pPr>
        <w:snapToGrid w:val="0"/>
        <w:spacing w:line="288" w:lineRule="auto"/>
        <w:jc w:val="center"/>
        <w:outlineLvl w:val="2"/>
        <w:rPr>
          <w:rFonts w:cs="仿宋_GB2312"/>
          <w:b/>
          <w:color w:val="auto"/>
          <w:kern w:val="0"/>
          <w:sz w:val="21"/>
          <w:szCs w:val="21"/>
          <w:highlight w:val="none"/>
          <w:lang w:val="zh-CN"/>
        </w:rPr>
      </w:pPr>
      <w:r>
        <w:rPr>
          <w:rFonts w:hint="eastAsia" w:cs="仿宋_GB2312"/>
          <w:b/>
          <w:color w:val="auto"/>
          <w:kern w:val="0"/>
          <w:sz w:val="21"/>
          <w:szCs w:val="21"/>
          <w:highlight w:val="none"/>
          <w:lang w:val="zh-CN"/>
        </w:rPr>
        <w:t>附件2</w:t>
      </w:r>
      <w:r>
        <w:rPr>
          <w:rFonts w:cs="仿宋_GB2312"/>
          <w:b/>
          <w:color w:val="auto"/>
          <w:kern w:val="0"/>
          <w:sz w:val="21"/>
          <w:szCs w:val="21"/>
          <w:highlight w:val="none"/>
          <w:lang w:val="zh-CN"/>
        </w:rPr>
        <w:t>：</w:t>
      </w:r>
      <w:r>
        <w:rPr>
          <w:rFonts w:hint="eastAsia" w:cs="仿宋_GB2312"/>
          <w:b/>
          <w:color w:val="auto"/>
          <w:kern w:val="0"/>
          <w:sz w:val="21"/>
          <w:szCs w:val="21"/>
          <w:highlight w:val="none"/>
          <w:lang w:val="zh-CN"/>
        </w:rPr>
        <w:t>联合协议</w:t>
      </w:r>
    </w:p>
    <w:p>
      <w:pPr>
        <w:widowControl/>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（以联合体形式响应的，提供联合协议；供应商不以联合体形式响应的，则不需要提供）</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（联合体所有成员名称）</w:t>
      </w:r>
      <w:r>
        <w:rPr>
          <w:rFonts w:hint="eastAsia" w:cs="仿宋_GB2312"/>
          <w:color w:val="auto"/>
          <w:kern w:val="0"/>
          <w:sz w:val="21"/>
          <w:szCs w:val="21"/>
          <w:highlight w:val="none"/>
        </w:rPr>
        <w:t>自愿</w:t>
      </w:r>
      <w:r>
        <w:rPr>
          <w:rFonts w:hint="eastAsia" w:cs="仿宋_GB2312"/>
          <w:color w:val="auto"/>
          <w:kern w:val="0"/>
          <w:sz w:val="21"/>
          <w:szCs w:val="21"/>
          <w:highlight w:val="none"/>
          <w:lang w:val="zh-CN"/>
        </w:rPr>
        <w:t>组成一个联合体，以一个供应商的身份</w:t>
      </w:r>
      <w:r>
        <w:rPr>
          <w:rFonts w:hint="eastAsia" w:cs="仿宋_GB2312"/>
          <w:color w:val="auto"/>
          <w:kern w:val="0"/>
          <w:sz w:val="21"/>
          <w:szCs w:val="21"/>
          <w:highlight w:val="none"/>
        </w:rPr>
        <w:t>参加</w:t>
      </w:r>
      <w:r>
        <w:rPr>
          <w:rFonts w:hint="eastAsia" w:cs="仿宋_GB2312"/>
          <w:color w:val="auto"/>
          <w:sz w:val="21"/>
          <w:szCs w:val="21"/>
          <w:highlight w:val="none"/>
        </w:rPr>
        <w:t>（项目名称）【招标编号：</w:t>
      </w:r>
      <w:r>
        <w:rPr>
          <w:rFonts w:hint="eastAsia" w:cs="Times New Roman"/>
          <w:color w:val="auto"/>
          <w:sz w:val="21"/>
          <w:szCs w:val="21"/>
          <w:highlight w:val="none"/>
        </w:rPr>
        <w:t>（采购编号）</w:t>
      </w:r>
      <w:r>
        <w:rPr>
          <w:rFonts w:hint="eastAsia" w:cs="仿宋_GB2312"/>
          <w:color w:val="auto"/>
          <w:sz w:val="21"/>
          <w:szCs w:val="21"/>
          <w:highlight w:val="none"/>
        </w:rPr>
        <w:t>】</w:t>
      </w:r>
      <w:r>
        <w:rPr>
          <w:rFonts w:hint="eastAsia" w:cs="仿宋_GB2312"/>
          <w:color w:val="auto"/>
          <w:kern w:val="0"/>
          <w:sz w:val="21"/>
          <w:szCs w:val="21"/>
          <w:highlight w:val="none"/>
          <w:lang w:val="zh-CN"/>
        </w:rPr>
        <w:t>响应。</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一、各方一致决定，</w:t>
      </w:r>
      <w:r>
        <w:rPr>
          <w:rFonts w:hint="eastAsia" w:cs="仿宋_GB2312"/>
          <w:color w:val="auto"/>
          <w:kern w:val="0"/>
          <w:sz w:val="21"/>
          <w:szCs w:val="21"/>
          <w:highlight w:val="none"/>
          <w:u w:val="single"/>
        </w:rPr>
        <w:t>（某联合体成员名称）</w:t>
      </w:r>
      <w:r>
        <w:rPr>
          <w:rFonts w:hint="eastAsia" w:cs="仿宋_GB2312"/>
          <w:color w:val="auto"/>
          <w:kern w:val="0"/>
          <w:sz w:val="21"/>
          <w:szCs w:val="21"/>
          <w:highlight w:val="none"/>
        </w:rPr>
        <w:t>为联合体</w:t>
      </w:r>
      <w:r>
        <w:rPr>
          <w:rFonts w:hint="eastAsia" w:cs="仿宋_GB2312"/>
          <w:color w:val="auto"/>
          <w:kern w:val="0"/>
          <w:sz w:val="21"/>
          <w:szCs w:val="21"/>
          <w:highlight w:val="none"/>
          <w:lang w:val="zh-CN"/>
        </w:rPr>
        <w:t>牵头人</w:t>
      </w:r>
      <w:r>
        <w:rPr>
          <w:rFonts w:hint="eastAsia" w:cs="Arial"/>
          <w:color w:val="auto"/>
          <w:sz w:val="21"/>
          <w:szCs w:val="21"/>
          <w:highlight w:val="none"/>
        </w:rPr>
        <w:t>，代表所有联合体成员负责响应和合同实施阶段的主办、协调工作</w:t>
      </w:r>
      <w:r>
        <w:rPr>
          <w:rFonts w:hint="eastAsia" w:cs="仿宋_GB2312"/>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二、</w:t>
      </w:r>
      <w:r>
        <w:rPr>
          <w:rFonts w:hint="eastAsia" w:cs="Arial"/>
          <w:color w:val="auto"/>
          <w:sz w:val="21"/>
          <w:szCs w:val="21"/>
          <w:highlight w:val="none"/>
        </w:rPr>
        <w:t>所有联合体成员各方签署授权书，授权书载明的</w:t>
      </w:r>
      <w:r>
        <w:rPr>
          <w:rFonts w:hint="eastAsia" w:cs="仿宋_GB2312"/>
          <w:color w:val="auto"/>
          <w:kern w:val="0"/>
          <w:sz w:val="21"/>
          <w:szCs w:val="21"/>
          <w:highlight w:val="none"/>
          <w:lang w:val="zh-CN"/>
        </w:rPr>
        <w:t>授权代表根据磋商文件规定及响应内容而对采购人、采购机构所作的任何合法承诺，包括书面澄清及相应等均对联合响应各方产生约束力。</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三、本次联合响应中，分工如下：</w:t>
      </w:r>
      <w:r>
        <w:rPr>
          <w:rFonts w:hint="eastAsia" w:cs="仿宋_GB2312"/>
          <w:color w:val="auto"/>
          <w:kern w:val="0"/>
          <w:sz w:val="21"/>
          <w:szCs w:val="21"/>
          <w:highlight w:val="none"/>
          <w:u w:val="single"/>
        </w:rPr>
        <w:t>（联合体其中一方成员名称）</w:t>
      </w:r>
      <w:r>
        <w:rPr>
          <w:rFonts w:hint="eastAsia" w:cs="仿宋_GB2312"/>
          <w:color w:val="auto"/>
          <w:kern w:val="0"/>
          <w:sz w:val="21"/>
          <w:szCs w:val="21"/>
          <w:highlight w:val="none"/>
          <w:lang w:val="zh-CN"/>
        </w:rPr>
        <w:t>承担的工作和义务为：</w:t>
      </w:r>
      <w:r>
        <w:rPr>
          <w:rFonts w:cs="Times New Roman"/>
          <w:color w:val="auto"/>
          <w:sz w:val="21"/>
          <w:szCs w:val="21"/>
          <w:highlight w:val="none"/>
          <w:u w:val="single"/>
        </w:rPr>
        <w:t xml:space="preserve">             </w:t>
      </w:r>
      <w:r>
        <w:rPr>
          <w:rFonts w:hint="eastAsia" w:cs="仿宋_GB2312"/>
          <w:color w:val="auto"/>
          <w:kern w:val="0"/>
          <w:sz w:val="21"/>
          <w:szCs w:val="21"/>
          <w:highlight w:val="none"/>
          <w:lang w:val="zh-CN"/>
        </w:rPr>
        <w:t>；</w:t>
      </w:r>
      <w:r>
        <w:rPr>
          <w:rFonts w:cs="仿宋_GB2312"/>
          <w:color w:val="auto"/>
          <w:kern w:val="0"/>
          <w:sz w:val="21"/>
          <w:szCs w:val="21"/>
          <w:highlight w:val="none"/>
          <w:lang w:val="zh-CN"/>
        </w:rPr>
        <w:t>……。</w:t>
      </w:r>
    </w:p>
    <w:p>
      <w:pPr>
        <w:snapToGrid w:val="0"/>
        <w:spacing w:line="288" w:lineRule="auto"/>
        <w:ind w:firstLine="422" w:firstLineChars="201"/>
        <w:rPr>
          <w:rFonts w:cs="仿宋_GB2312"/>
          <w:b/>
          <w:color w:val="auto"/>
          <w:kern w:val="0"/>
          <w:sz w:val="21"/>
          <w:szCs w:val="21"/>
          <w:highlight w:val="none"/>
          <w:lang w:val="zh-CN"/>
        </w:rPr>
      </w:pPr>
      <w:r>
        <w:rPr>
          <w:rFonts w:hint="eastAsia" w:cs="仿宋_GB2312"/>
          <w:color w:val="auto"/>
          <w:kern w:val="0"/>
          <w:sz w:val="21"/>
          <w:szCs w:val="21"/>
          <w:highlight w:val="none"/>
          <w:lang w:val="zh-CN"/>
        </w:rPr>
        <w:t>四、</w:t>
      </w:r>
      <w:r>
        <w:rPr>
          <w:rFonts w:hint="eastAsia" w:cs="仿宋_GB2312"/>
          <w:color w:val="auto"/>
          <w:kern w:val="0"/>
          <w:sz w:val="21"/>
          <w:szCs w:val="21"/>
          <w:highlight w:val="none"/>
          <w:u w:val="single"/>
        </w:rPr>
        <w:t>（联合体其中一方成员名称）</w:t>
      </w:r>
      <w:r>
        <w:rPr>
          <w:rFonts w:hint="eastAsia" w:cs="仿宋_GB2312"/>
          <w:color w:val="auto"/>
          <w:kern w:val="0"/>
          <w:sz w:val="21"/>
          <w:szCs w:val="21"/>
          <w:highlight w:val="none"/>
        </w:rPr>
        <w:t>提供的全部货物由小微企业制造，其合同份额占到合同总金额</w:t>
      </w:r>
      <w:r>
        <w:rPr>
          <w:rFonts w:cs="仿宋_GB2312"/>
          <w:color w:val="auto"/>
          <w:kern w:val="0"/>
          <w:sz w:val="21"/>
          <w:szCs w:val="21"/>
          <w:highlight w:val="none"/>
          <w:u w:val="single"/>
        </w:rPr>
        <w:t xml:space="preserve">     </w:t>
      </w:r>
      <w:r>
        <w:rPr>
          <w:rFonts w:cs="仿宋_GB2312"/>
          <w:color w:val="auto"/>
          <w:kern w:val="0"/>
          <w:sz w:val="21"/>
          <w:szCs w:val="21"/>
          <w:highlight w:val="none"/>
        </w:rPr>
        <w:t>%以上；</w:t>
      </w:r>
      <w:r>
        <w:rPr>
          <w:rFonts w:hint="eastAsia" w:cs="仿宋_GB2312"/>
          <w:color w:val="auto"/>
          <w:kern w:val="0"/>
          <w:sz w:val="21"/>
          <w:szCs w:val="21"/>
          <w:highlight w:val="none"/>
          <w:lang w:val="zh-CN"/>
        </w:rPr>
        <w:t>……。</w:t>
      </w:r>
      <w:r>
        <w:rPr>
          <w:rFonts w:hint="eastAsia" w:cs="仿宋_GB2312"/>
          <w:b/>
          <w:color w:val="auto"/>
          <w:kern w:val="0"/>
          <w:sz w:val="21"/>
          <w:szCs w:val="21"/>
          <w:highlight w:val="none"/>
          <w:lang w:val="zh-CN"/>
        </w:rPr>
        <w:t>（未预留份额专门面向中小企业采购的的采购项目，以及预留份额中的非预留部分采购包，接受联合体响应的，联合体其中一方提供的货物全部由小微企业制造，且其合同份额占到合同总金额</w:t>
      </w:r>
      <w:r>
        <w:rPr>
          <w:rFonts w:cs="仿宋_GB2312"/>
          <w:b/>
          <w:color w:val="auto"/>
          <w:kern w:val="0"/>
          <w:sz w:val="21"/>
          <w:szCs w:val="21"/>
          <w:highlight w:val="none"/>
          <w:lang w:val="zh-CN"/>
        </w:rPr>
        <w:t>30%以上</w:t>
      </w:r>
      <w:r>
        <w:rPr>
          <w:rFonts w:hint="eastAsia" w:cs="仿宋_GB2312"/>
          <w:b/>
          <w:color w:val="auto"/>
          <w:kern w:val="0"/>
          <w:sz w:val="21"/>
          <w:szCs w:val="21"/>
          <w:highlight w:val="none"/>
          <w:lang w:val="zh-CN"/>
        </w:rPr>
        <w:t>，对联合体报价给予</w:t>
      </w:r>
      <w:r>
        <w:rPr>
          <w:rFonts w:hint="eastAsia" w:cs="仿宋_GB2312"/>
          <w:b/>
          <w:color w:val="auto"/>
          <w:kern w:val="0"/>
          <w:sz w:val="21"/>
          <w:szCs w:val="21"/>
          <w:highlight w:val="none"/>
          <w:lang w:eastAsia="zh-CN"/>
        </w:rPr>
        <w:t>4%</w:t>
      </w:r>
      <w:r>
        <w:rPr>
          <w:rFonts w:cs="仿宋_GB2312"/>
          <w:b/>
          <w:color w:val="auto"/>
          <w:kern w:val="0"/>
          <w:sz w:val="21"/>
          <w:szCs w:val="21"/>
          <w:highlight w:val="none"/>
          <w:lang w:val="zh-CN"/>
        </w:rPr>
        <w:t>的扣除</w:t>
      </w:r>
      <w:r>
        <w:rPr>
          <w:rFonts w:hint="eastAsia" w:cs="仿宋_GB2312"/>
          <w:b/>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五、如果成交，</w:t>
      </w:r>
      <w:r>
        <w:rPr>
          <w:rFonts w:hint="eastAsia" w:cs="Times New Roman"/>
          <w:color w:val="auto"/>
          <w:sz w:val="21"/>
          <w:szCs w:val="21"/>
          <w:highlight w:val="none"/>
        </w:rPr>
        <w:t>联合体各成员方共同与采购人签订合同，并就采购合同约定的事项对采购人承担连带责任。</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六、有关本次联合响应的其他事宜：</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1、联合体各方不再单独参加或者与其</w:t>
      </w:r>
      <w:r>
        <w:rPr>
          <w:rFonts w:hint="eastAsia" w:cs="仿宋_GB2312"/>
          <w:color w:val="auto"/>
          <w:kern w:val="0"/>
          <w:sz w:val="21"/>
          <w:szCs w:val="21"/>
          <w:highlight w:val="none"/>
          <w:lang w:val="zh-CN"/>
        </w:rPr>
        <w:t>他供应商另外组成联合体参加同一合同项下的政府采购活动。</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2、联合体中有同类资质的各方按照联合体分工承担相同工作的，按照资质等级较低的供应商确定资质等级。</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3、本协议提交采购人、采购机构后，联合体各方不得以任何形式对上述内容进行修改或撤销。</w:t>
      </w:r>
    </w:p>
    <w:p>
      <w:pPr>
        <w:snapToGrid w:val="0"/>
        <w:spacing w:line="288" w:lineRule="auto"/>
        <w:ind w:firstLine="422" w:firstLineChars="201"/>
        <w:rPr>
          <w:rFonts w:cs="仿宋_GB2312"/>
          <w:color w:val="auto"/>
          <w:kern w:val="0"/>
          <w:sz w:val="21"/>
          <w:szCs w:val="21"/>
          <w:highlight w:val="none"/>
          <w:lang w:val="zh-CN"/>
        </w:rPr>
      </w:pPr>
    </w:p>
    <w:p>
      <w:pPr>
        <w:snapToGrid w:val="0"/>
        <w:spacing w:line="288" w:lineRule="auto"/>
        <w:ind w:firstLine="422" w:firstLineChars="201"/>
        <w:rPr>
          <w:rFonts w:cs="仿宋_GB2312"/>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联合体成员名称</w:t>
      </w:r>
      <w:r>
        <w:rPr>
          <w:rFonts w:cs="仿宋_GB2312"/>
          <w:b/>
          <w:bCs/>
          <w:color w:val="auto"/>
          <w:kern w:val="0"/>
          <w:sz w:val="21"/>
          <w:szCs w:val="21"/>
          <w:highlight w:val="none"/>
          <w:lang w:val="zh-CN"/>
        </w:rPr>
        <w:t>(电子签名/公章)：</w:t>
      </w:r>
    </w:p>
    <w:p>
      <w:pPr>
        <w:snapToGrid w:val="0"/>
        <w:spacing w:line="288" w:lineRule="auto"/>
        <w:ind w:firstLine="424" w:firstLineChars="201"/>
        <w:rPr>
          <w:rFonts w:cs="仿宋_GB2312"/>
          <w:b/>
          <w:bCs/>
          <w:color w:val="auto"/>
          <w:kern w:val="0"/>
          <w:sz w:val="21"/>
          <w:szCs w:val="21"/>
          <w:highlight w:val="none"/>
          <w:lang w:val="zh-CN"/>
        </w:rPr>
      </w:pPr>
    </w:p>
    <w:p>
      <w:pPr>
        <w:snapToGrid w:val="0"/>
        <w:spacing w:line="288" w:lineRule="auto"/>
        <w:ind w:firstLine="424" w:firstLineChars="201"/>
        <w:rPr>
          <w:rFonts w:cs="Times New Roman"/>
          <w:b/>
          <w:bCs/>
          <w:color w:val="auto"/>
          <w:sz w:val="21"/>
          <w:szCs w:val="21"/>
          <w:highlight w:val="none"/>
        </w:rPr>
      </w:pPr>
    </w:p>
    <w:p>
      <w:pPr>
        <w:snapToGrid w:val="0"/>
        <w:spacing w:line="288" w:lineRule="auto"/>
        <w:ind w:firstLine="424" w:firstLineChars="201"/>
        <w:rPr>
          <w:rFonts w:cs="仿宋_GB2312"/>
          <w:b/>
          <w:bCs/>
          <w:color w:val="auto"/>
          <w:kern w:val="0"/>
          <w:sz w:val="21"/>
          <w:szCs w:val="21"/>
          <w:highlight w:val="none"/>
          <w:lang w:val="zh-CN"/>
        </w:rPr>
      </w:pPr>
      <w:r>
        <w:rPr>
          <w:rFonts w:cs="仿宋_GB2312"/>
          <w:b/>
          <w:bCs/>
          <w:color w:val="auto"/>
          <w:kern w:val="0"/>
          <w:sz w:val="21"/>
          <w:szCs w:val="21"/>
          <w:highlight w:val="none"/>
          <w:lang w:val="zh-CN"/>
        </w:rPr>
        <w:t>日期：  年  月   日</w:t>
      </w:r>
    </w:p>
    <w:p>
      <w:pPr>
        <w:widowControl/>
        <w:jc w:val="left"/>
        <w:rPr>
          <w:rFonts w:cs="仿宋_GB2312"/>
          <w:b/>
          <w:color w:val="auto"/>
          <w:kern w:val="0"/>
          <w:sz w:val="21"/>
          <w:szCs w:val="21"/>
          <w:highlight w:val="none"/>
        </w:rPr>
      </w:pPr>
      <w:r>
        <w:rPr>
          <w:rFonts w:cs="仿宋_GB2312"/>
          <w:b/>
          <w:color w:val="auto"/>
          <w:kern w:val="0"/>
          <w:sz w:val="21"/>
          <w:szCs w:val="21"/>
          <w:highlight w:val="none"/>
        </w:rPr>
        <w:br w:type="page"/>
      </w:r>
    </w:p>
    <w:p>
      <w:pPr>
        <w:snapToGrid w:val="0"/>
        <w:spacing w:line="288" w:lineRule="auto"/>
        <w:jc w:val="center"/>
        <w:outlineLvl w:val="2"/>
        <w:rPr>
          <w:rFonts w:cs="仿宋_GB2312"/>
          <w:b/>
          <w:color w:val="auto"/>
          <w:kern w:val="0"/>
          <w:sz w:val="21"/>
          <w:szCs w:val="21"/>
          <w:highlight w:val="none"/>
        </w:rPr>
      </w:pPr>
      <w:r>
        <w:rPr>
          <w:rFonts w:hint="eastAsia" w:cs="仿宋_GB2312"/>
          <w:b/>
          <w:color w:val="auto"/>
          <w:kern w:val="0"/>
          <w:sz w:val="21"/>
          <w:szCs w:val="21"/>
          <w:highlight w:val="none"/>
        </w:rPr>
        <w:t>附件3</w:t>
      </w:r>
      <w:r>
        <w:rPr>
          <w:rFonts w:cs="仿宋_GB2312"/>
          <w:b/>
          <w:color w:val="auto"/>
          <w:kern w:val="0"/>
          <w:sz w:val="21"/>
          <w:szCs w:val="21"/>
          <w:highlight w:val="none"/>
        </w:rPr>
        <w:t>：</w:t>
      </w:r>
      <w:r>
        <w:rPr>
          <w:rFonts w:hint="eastAsia" w:cs="仿宋_GB2312"/>
          <w:b/>
          <w:color w:val="auto"/>
          <w:kern w:val="0"/>
          <w:sz w:val="21"/>
          <w:szCs w:val="21"/>
          <w:highlight w:val="none"/>
        </w:rPr>
        <w:t>分包意向协议</w:t>
      </w:r>
    </w:p>
    <w:p>
      <w:pPr>
        <w:widowControl/>
        <w:snapToGrid w:val="0"/>
        <w:spacing w:line="288" w:lineRule="auto"/>
        <w:ind w:firstLine="422" w:firstLineChars="201"/>
        <w:jc w:val="left"/>
        <w:rPr>
          <w:rFonts w:cs="仿宋_GB2312"/>
          <w:color w:val="auto"/>
          <w:sz w:val="21"/>
          <w:szCs w:val="21"/>
          <w:highlight w:val="none"/>
        </w:rPr>
      </w:pPr>
      <w:r>
        <w:rPr>
          <w:rFonts w:hint="eastAsia" w:cs="仿宋_GB2312"/>
          <w:color w:val="auto"/>
          <w:sz w:val="21"/>
          <w:szCs w:val="21"/>
          <w:highlight w:val="none"/>
        </w:rPr>
        <w:t>（</w:t>
      </w:r>
      <w:r>
        <w:rPr>
          <w:rFonts w:hint="eastAsia" w:cs="仿宋_GB2312"/>
          <w:b/>
          <w:color w:val="auto"/>
          <w:sz w:val="21"/>
          <w:szCs w:val="21"/>
          <w:highlight w:val="none"/>
        </w:rPr>
        <w:t>成交后以分包方式履行合同的，提供分包意向协议；采购人不同意分包或者供应商成交后不以分包方式履行合同的，则不需要提供。</w:t>
      </w:r>
      <w:r>
        <w:rPr>
          <w:rFonts w:hint="eastAsia" w:cs="仿宋_GB2312"/>
          <w:color w:val="auto"/>
          <w:sz w:val="21"/>
          <w:szCs w:val="21"/>
          <w:highlight w:val="none"/>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lang w:val="zh-CN"/>
        </w:rPr>
        <w:t>若成为</w:t>
      </w:r>
      <w:r>
        <w:rPr>
          <w:rFonts w:hint="eastAsia" w:cs="仿宋_GB2312"/>
          <w:color w:val="auto"/>
          <w:sz w:val="21"/>
          <w:szCs w:val="21"/>
          <w:highlight w:val="none"/>
        </w:rPr>
        <w:t>（项目名称）【招标编号：</w:t>
      </w:r>
      <w:r>
        <w:rPr>
          <w:rFonts w:hint="eastAsia" w:cs="Times New Roman"/>
          <w:color w:val="auto"/>
          <w:sz w:val="21"/>
          <w:szCs w:val="21"/>
          <w:highlight w:val="none"/>
        </w:rPr>
        <w:t>（采购编号）</w:t>
      </w:r>
      <w:r>
        <w:rPr>
          <w:rFonts w:hint="eastAsia" w:cs="仿宋_GB2312"/>
          <w:color w:val="auto"/>
          <w:sz w:val="21"/>
          <w:szCs w:val="21"/>
          <w:highlight w:val="none"/>
        </w:rPr>
        <w:t>】</w:t>
      </w:r>
      <w:r>
        <w:rPr>
          <w:rFonts w:hint="eastAsia" w:cs="仿宋_GB2312"/>
          <w:color w:val="auto"/>
          <w:kern w:val="0"/>
          <w:sz w:val="21"/>
          <w:szCs w:val="21"/>
          <w:highlight w:val="none"/>
          <w:lang w:val="zh-CN"/>
        </w:rPr>
        <w:t>的成交供应商，将依法采取分包方式履行合同。</w:t>
      </w: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rPr>
        <w:t>与</w:t>
      </w:r>
      <w:r>
        <w:rPr>
          <w:rFonts w:hint="eastAsia" w:cs="仿宋_GB2312"/>
          <w:color w:val="auto"/>
          <w:kern w:val="0"/>
          <w:sz w:val="21"/>
          <w:szCs w:val="21"/>
          <w:highlight w:val="none"/>
          <w:u w:val="single"/>
        </w:rPr>
        <w:t>（所有分包供应商名称）</w:t>
      </w:r>
      <w:r>
        <w:rPr>
          <w:rFonts w:hint="eastAsia" w:cs="仿宋_GB2312"/>
          <w:color w:val="auto"/>
          <w:kern w:val="0"/>
          <w:sz w:val="21"/>
          <w:szCs w:val="21"/>
          <w:highlight w:val="none"/>
        </w:rPr>
        <w:t>达成分包意向协议</w:t>
      </w:r>
      <w:r>
        <w:rPr>
          <w:rFonts w:hint="eastAsia" w:cs="仿宋_GB2312"/>
          <w:color w:val="auto"/>
          <w:kern w:val="0"/>
          <w:sz w:val="21"/>
          <w:szCs w:val="21"/>
          <w:highlight w:val="none"/>
          <w:lang w:val="zh-CN"/>
        </w:rPr>
        <w:t>。</w:t>
      </w:r>
      <w:r>
        <w:rPr>
          <w:rFonts w:cs="仿宋_GB2312"/>
          <w:color w:val="auto"/>
          <w:kern w:val="0"/>
          <w:sz w:val="21"/>
          <w:szCs w:val="21"/>
          <w:highlight w:val="none"/>
          <w:lang w:val="zh-CN"/>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一、分包标的及数量</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lang w:val="zh-CN"/>
        </w:rPr>
        <w:t>将</w:t>
      </w:r>
      <w:r>
        <w:rPr>
          <w:rFonts w:cs="Times New Roman"/>
          <w:color w:val="auto"/>
          <w:sz w:val="21"/>
          <w:szCs w:val="21"/>
          <w:highlight w:val="none"/>
          <w:u w:val="single"/>
        </w:rPr>
        <w:t xml:space="preserve">   XX工作内容   </w:t>
      </w:r>
      <w:r>
        <w:rPr>
          <w:rFonts w:hint="eastAsia" w:cs="Arial"/>
          <w:color w:val="auto"/>
          <w:sz w:val="21"/>
          <w:szCs w:val="21"/>
          <w:highlight w:val="none"/>
        </w:rPr>
        <w:t>分包给</w:t>
      </w:r>
      <w:r>
        <w:rPr>
          <w:rFonts w:hint="eastAsia" w:cs="仿宋_GB2312"/>
          <w:color w:val="auto"/>
          <w:kern w:val="0"/>
          <w:sz w:val="21"/>
          <w:szCs w:val="21"/>
          <w:highlight w:val="none"/>
          <w:u w:val="single"/>
        </w:rPr>
        <w:t>（某分包供应商名称）</w:t>
      </w:r>
      <w:r>
        <w:rPr>
          <w:rFonts w:hint="eastAsia" w:cs="仿宋_GB2312"/>
          <w:color w:val="auto"/>
          <w:kern w:val="0"/>
          <w:sz w:val="21"/>
          <w:szCs w:val="21"/>
          <w:highlight w:val="none"/>
          <w:lang w:val="zh-CN"/>
        </w:rPr>
        <w:t>，</w:t>
      </w:r>
      <w:r>
        <w:rPr>
          <w:rFonts w:hint="eastAsia" w:cs="仿宋_GB2312"/>
          <w:color w:val="auto"/>
          <w:kern w:val="0"/>
          <w:sz w:val="21"/>
          <w:szCs w:val="21"/>
          <w:highlight w:val="none"/>
          <w:u w:val="single"/>
        </w:rPr>
        <w:t>（某分包供应商名称），</w:t>
      </w:r>
      <w:r>
        <w:rPr>
          <w:rFonts w:hint="eastAsia" w:cs="仿宋_GB2312"/>
          <w:color w:val="auto"/>
          <w:kern w:val="0"/>
          <w:sz w:val="21"/>
          <w:szCs w:val="21"/>
          <w:highlight w:val="none"/>
          <w:lang w:val="zh-CN"/>
        </w:rPr>
        <w:t>具备承</w:t>
      </w:r>
      <w:r>
        <w:rPr>
          <w:rFonts w:hint="eastAsia" w:cs="仿宋_GB2312"/>
          <w:color w:val="auto"/>
          <w:kern w:val="0"/>
          <w:sz w:val="21"/>
          <w:szCs w:val="21"/>
          <w:highlight w:val="none"/>
        </w:rPr>
        <w:t>担</w:t>
      </w:r>
      <w:r>
        <w:rPr>
          <w:rFonts w:cs="仿宋_GB2312"/>
          <w:color w:val="auto"/>
          <w:kern w:val="0"/>
          <w:sz w:val="21"/>
          <w:szCs w:val="21"/>
          <w:highlight w:val="none"/>
          <w:u w:val="single"/>
          <w:lang w:val="zh-CN"/>
        </w:rPr>
        <w:t>XX工作内容</w:t>
      </w:r>
      <w:r>
        <w:rPr>
          <w:rFonts w:hint="eastAsia" w:cs="仿宋_GB2312"/>
          <w:color w:val="auto"/>
          <w:kern w:val="0"/>
          <w:sz w:val="21"/>
          <w:szCs w:val="21"/>
          <w:highlight w:val="none"/>
          <w:lang w:val="zh-CN"/>
        </w:rPr>
        <w:t>相应资质条件且不得再次分包；</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二、分包工作履行期限、地点、方式</w:t>
      </w:r>
    </w:p>
    <w:p>
      <w:pPr>
        <w:snapToGrid w:val="0"/>
        <w:spacing w:line="288" w:lineRule="auto"/>
        <w:ind w:firstLine="422" w:firstLineChars="201"/>
        <w:rPr>
          <w:rFonts w:cs="Times New Roman"/>
          <w:color w:val="auto"/>
          <w:sz w:val="21"/>
          <w:szCs w:val="21"/>
          <w:highlight w:val="none"/>
          <w:u w:val="single"/>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三、质量</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四、价款或者报酬</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五、违约责任</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六、争议解决的办法</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七、其他</w:t>
      </w:r>
    </w:p>
    <w:p>
      <w:pPr>
        <w:snapToGrid w:val="0"/>
        <w:spacing w:line="288" w:lineRule="auto"/>
        <w:ind w:firstLine="422" w:firstLineChars="201"/>
        <w:rPr>
          <w:rFonts w:cs="仿宋_GB2312"/>
          <w:b/>
          <w:color w:val="auto"/>
          <w:kern w:val="0"/>
          <w:sz w:val="21"/>
          <w:szCs w:val="21"/>
          <w:highlight w:val="none"/>
          <w:lang w:val="zh-CN"/>
        </w:rPr>
      </w:pPr>
      <w:r>
        <w:rPr>
          <w:rFonts w:hint="eastAsia" w:cs="仿宋_GB2312"/>
          <w:color w:val="auto"/>
          <w:kern w:val="0"/>
          <w:sz w:val="21"/>
          <w:szCs w:val="21"/>
          <w:highlight w:val="none"/>
          <w:u w:val="single"/>
        </w:rPr>
        <w:t>（分包供应商名称）提供的货物全部由小微企业制造，</w:t>
      </w:r>
      <w:r>
        <w:rPr>
          <w:rFonts w:hint="eastAsia" w:cs="仿宋_GB2312"/>
          <w:color w:val="auto"/>
          <w:kern w:val="0"/>
          <w:sz w:val="21"/>
          <w:szCs w:val="21"/>
          <w:highlight w:val="none"/>
        </w:rPr>
        <w:t>其合同份额占到合同总金额</w:t>
      </w:r>
      <w:r>
        <w:rPr>
          <w:rFonts w:cs="仿宋_GB2312"/>
          <w:color w:val="auto"/>
          <w:kern w:val="0"/>
          <w:sz w:val="21"/>
          <w:szCs w:val="21"/>
          <w:highlight w:val="none"/>
          <w:u w:val="single"/>
        </w:rPr>
        <w:t xml:space="preserve">     </w:t>
      </w:r>
      <w:r>
        <w:rPr>
          <w:rFonts w:cs="仿宋_GB2312"/>
          <w:color w:val="auto"/>
          <w:kern w:val="0"/>
          <w:sz w:val="21"/>
          <w:szCs w:val="21"/>
          <w:highlight w:val="none"/>
        </w:rPr>
        <w:t>%以上</w:t>
      </w:r>
      <w:r>
        <w:rPr>
          <w:rFonts w:hint="eastAsia" w:cs="Times New Roman"/>
          <w:color w:val="auto"/>
          <w:sz w:val="21"/>
          <w:szCs w:val="21"/>
          <w:highlight w:val="none"/>
        </w:rPr>
        <w:t>。</w:t>
      </w:r>
      <w:r>
        <w:rPr>
          <w:rFonts w:hint="eastAsia" w:cs="仿宋_GB2312"/>
          <w:b/>
          <w:color w:val="auto"/>
          <w:kern w:val="0"/>
          <w:sz w:val="21"/>
          <w:szCs w:val="21"/>
          <w:highlight w:val="none"/>
          <w:lang w:val="zh-CN"/>
        </w:rPr>
        <w:t>（未预留份额专门面向中小企业采购的的采购项目，以及预留份额中的非预留部分采购包，允许分包的，分包供应商提供的货物全部由小微企业制造，且其合同份额占到合同总金额</w:t>
      </w:r>
      <w:r>
        <w:rPr>
          <w:rFonts w:cs="仿宋_GB2312"/>
          <w:b/>
          <w:color w:val="auto"/>
          <w:kern w:val="0"/>
          <w:sz w:val="21"/>
          <w:szCs w:val="21"/>
          <w:highlight w:val="none"/>
          <w:lang w:val="zh-CN"/>
        </w:rPr>
        <w:t>30%以上</w:t>
      </w:r>
      <w:r>
        <w:rPr>
          <w:rFonts w:hint="eastAsia" w:cs="仿宋_GB2312"/>
          <w:b/>
          <w:color w:val="auto"/>
          <w:kern w:val="0"/>
          <w:sz w:val="21"/>
          <w:szCs w:val="21"/>
          <w:highlight w:val="none"/>
          <w:lang w:val="zh-CN"/>
        </w:rPr>
        <w:t>的，对大中型企业的报价给予</w:t>
      </w:r>
      <w:r>
        <w:rPr>
          <w:rFonts w:hint="eastAsia" w:cs="仿宋_GB2312"/>
          <w:b/>
          <w:color w:val="auto"/>
          <w:kern w:val="0"/>
          <w:sz w:val="21"/>
          <w:szCs w:val="21"/>
          <w:highlight w:val="none"/>
          <w:lang w:eastAsia="zh-CN"/>
        </w:rPr>
        <w:t>4%</w:t>
      </w:r>
      <w:r>
        <w:rPr>
          <w:rFonts w:cs="仿宋_GB2312"/>
          <w:b/>
          <w:color w:val="auto"/>
          <w:kern w:val="0"/>
          <w:sz w:val="21"/>
          <w:szCs w:val="21"/>
          <w:highlight w:val="none"/>
          <w:lang w:val="zh-CN"/>
        </w:rPr>
        <w:t>的扣除</w:t>
      </w:r>
      <w:r>
        <w:rPr>
          <w:rFonts w:hint="eastAsia" w:cs="仿宋_GB2312"/>
          <w:b/>
          <w:color w:val="auto"/>
          <w:kern w:val="0"/>
          <w:sz w:val="21"/>
          <w:szCs w:val="21"/>
          <w:highlight w:val="none"/>
          <w:lang w:val="zh-CN"/>
        </w:rPr>
        <w:t>）</w:t>
      </w:r>
    </w:p>
    <w:p>
      <w:pPr>
        <w:snapToGrid w:val="0"/>
        <w:spacing w:line="288" w:lineRule="auto"/>
        <w:rPr>
          <w:rFonts w:cs="仿宋_GB2312"/>
          <w:color w:val="auto"/>
          <w:kern w:val="0"/>
          <w:sz w:val="21"/>
          <w:szCs w:val="21"/>
          <w:highlight w:val="none"/>
          <w:lang w:val="zh-CN"/>
        </w:rPr>
      </w:pPr>
    </w:p>
    <w:p>
      <w:pPr>
        <w:snapToGrid w:val="0"/>
        <w:spacing w:line="288" w:lineRule="auto"/>
        <w:ind w:firstLine="422" w:firstLineChars="200"/>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供应商名称（电子签名</w:t>
      </w:r>
      <w:r>
        <w:rPr>
          <w:rFonts w:cs="仿宋_GB2312"/>
          <w:b/>
          <w:bCs/>
          <w:color w:val="auto"/>
          <w:kern w:val="0"/>
          <w:sz w:val="21"/>
          <w:szCs w:val="21"/>
          <w:highlight w:val="none"/>
          <w:lang w:val="zh-CN"/>
        </w:rPr>
        <w:t>/公章）：</w:t>
      </w:r>
    </w:p>
    <w:p>
      <w:pPr>
        <w:snapToGrid w:val="0"/>
        <w:spacing w:line="288" w:lineRule="auto"/>
        <w:ind w:firstLine="424" w:firstLineChars="201"/>
        <w:rPr>
          <w:rFonts w:cs="仿宋_GB2312"/>
          <w:b/>
          <w:bCs/>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分包供应商名称：</w:t>
      </w:r>
    </w:p>
    <w:p>
      <w:pPr>
        <w:snapToGrid w:val="0"/>
        <w:spacing w:line="288" w:lineRule="auto"/>
        <w:rPr>
          <w:rFonts w:cs="仿宋_GB2312"/>
          <w:b/>
          <w:bCs/>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cs="仿宋_GB2312"/>
          <w:b/>
          <w:bCs/>
          <w:color w:val="auto"/>
          <w:kern w:val="0"/>
          <w:sz w:val="21"/>
          <w:szCs w:val="21"/>
          <w:highlight w:val="none"/>
          <w:lang w:val="zh-CN"/>
        </w:rPr>
        <w:t>日期：  年  月   日</w:t>
      </w:r>
    </w:p>
    <w:p>
      <w:pPr>
        <w:rPr>
          <w:b/>
          <w:color w:val="auto"/>
          <w:spacing w:val="-6"/>
          <w:sz w:val="21"/>
          <w:szCs w:val="21"/>
          <w:highlight w:val="none"/>
        </w:rPr>
      </w:pPr>
    </w:p>
    <w:sectPr>
      <w:footerReference r:id="rId4" w:type="default"/>
      <w:pgSz w:w="11906" w:h="16838"/>
      <w:pgMar w:top="1247" w:right="1247" w:bottom="1247" w:left="1247" w:header="85" w:footer="867"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Helvetica">
    <w:altName w:val="Arial"/>
    <w:panose1 w:val="020B05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1</w:t>
    </w:r>
    <w:r>
      <w:rPr>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pPr>
    <w:r>
      <w:rPr>
        <w:rFonts w:hint="eastAsia"/>
      </w:rPr>
      <w:drawing>
        <wp:inline distT="0" distB="0" distL="114300" distR="114300">
          <wp:extent cx="5905500" cy="676275"/>
          <wp:effectExtent l="0" t="0" r="0" b="9525"/>
          <wp:docPr id="1"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1"/>
                  <pic:cNvPicPr>
                    <a:picLocks noChangeAspect="1"/>
                  </pic:cNvPicPr>
                </pic:nvPicPr>
                <pic:blipFill>
                  <a:blip r:embed="rId1"/>
                  <a:stretch>
                    <a:fillRect/>
                  </a:stretch>
                </pic:blipFill>
                <pic:spPr>
                  <a:xfrm>
                    <a:off x="0" y="0"/>
                    <a:ext cx="5905500" cy="67627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DC45D6"/>
    <w:multiLevelType w:val="multilevel"/>
    <w:tmpl w:val="2CDC45D6"/>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E5OTM2ZDU1NThlNWNkZjIyZWVhZDE1MDIwZjNlYzAifQ=="/>
  </w:docVars>
  <w:rsids>
    <w:rsidRoot w:val="2A2E0E20"/>
    <w:rsid w:val="00000FE0"/>
    <w:rsid w:val="00002968"/>
    <w:rsid w:val="00003692"/>
    <w:rsid w:val="00003FFC"/>
    <w:rsid w:val="0000672B"/>
    <w:rsid w:val="00017F85"/>
    <w:rsid w:val="00020F6F"/>
    <w:rsid w:val="00021B54"/>
    <w:rsid w:val="00021E52"/>
    <w:rsid w:val="0002527B"/>
    <w:rsid w:val="00026204"/>
    <w:rsid w:val="0002684E"/>
    <w:rsid w:val="00031B39"/>
    <w:rsid w:val="00033A1D"/>
    <w:rsid w:val="00052BA5"/>
    <w:rsid w:val="000563C9"/>
    <w:rsid w:val="00065FA5"/>
    <w:rsid w:val="00071F0A"/>
    <w:rsid w:val="000754B9"/>
    <w:rsid w:val="000767D0"/>
    <w:rsid w:val="00081FB8"/>
    <w:rsid w:val="00083A4C"/>
    <w:rsid w:val="00083C0E"/>
    <w:rsid w:val="000871AF"/>
    <w:rsid w:val="00087AA4"/>
    <w:rsid w:val="000908FB"/>
    <w:rsid w:val="0009587C"/>
    <w:rsid w:val="000A693B"/>
    <w:rsid w:val="000A7653"/>
    <w:rsid w:val="000B0AFC"/>
    <w:rsid w:val="000B2063"/>
    <w:rsid w:val="000B22A6"/>
    <w:rsid w:val="000B6DC3"/>
    <w:rsid w:val="000C354C"/>
    <w:rsid w:val="000C5B13"/>
    <w:rsid w:val="000D70AF"/>
    <w:rsid w:val="000E1952"/>
    <w:rsid w:val="000E6023"/>
    <w:rsid w:val="000F74F6"/>
    <w:rsid w:val="000F7F44"/>
    <w:rsid w:val="00110E4C"/>
    <w:rsid w:val="001138F1"/>
    <w:rsid w:val="0012475B"/>
    <w:rsid w:val="00127812"/>
    <w:rsid w:val="0013073F"/>
    <w:rsid w:val="001407E0"/>
    <w:rsid w:val="001409BF"/>
    <w:rsid w:val="00142487"/>
    <w:rsid w:val="00145F4F"/>
    <w:rsid w:val="00146C91"/>
    <w:rsid w:val="001608A6"/>
    <w:rsid w:val="001629F2"/>
    <w:rsid w:val="0016331E"/>
    <w:rsid w:val="001705C9"/>
    <w:rsid w:val="00174FAC"/>
    <w:rsid w:val="0017601C"/>
    <w:rsid w:val="001807FA"/>
    <w:rsid w:val="00180FC7"/>
    <w:rsid w:val="001841E7"/>
    <w:rsid w:val="00184883"/>
    <w:rsid w:val="001848A0"/>
    <w:rsid w:val="00184D11"/>
    <w:rsid w:val="00187378"/>
    <w:rsid w:val="00187B77"/>
    <w:rsid w:val="001929A5"/>
    <w:rsid w:val="0019560E"/>
    <w:rsid w:val="001A0BB0"/>
    <w:rsid w:val="001A3239"/>
    <w:rsid w:val="001A44F4"/>
    <w:rsid w:val="001A4AFF"/>
    <w:rsid w:val="001A6466"/>
    <w:rsid w:val="001B0563"/>
    <w:rsid w:val="001B65D4"/>
    <w:rsid w:val="001B7E89"/>
    <w:rsid w:val="001C0122"/>
    <w:rsid w:val="001C398B"/>
    <w:rsid w:val="001C5E97"/>
    <w:rsid w:val="001C7942"/>
    <w:rsid w:val="001D0286"/>
    <w:rsid w:val="001D1E2A"/>
    <w:rsid w:val="001D3848"/>
    <w:rsid w:val="001E505A"/>
    <w:rsid w:val="001F4C52"/>
    <w:rsid w:val="001F5B84"/>
    <w:rsid w:val="00203B7E"/>
    <w:rsid w:val="0020567E"/>
    <w:rsid w:val="00207647"/>
    <w:rsid w:val="00223344"/>
    <w:rsid w:val="002244D1"/>
    <w:rsid w:val="0022560D"/>
    <w:rsid w:val="00236087"/>
    <w:rsid w:val="002365FC"/>
    <w:rsid w:val="00246483"/>
    <w:rsid w:val="00257623"/>
    <w:rsid w:val="00260A9F"/>
    <w:rsid w:val="00261053"/>
    <w:rsid w:val="00264A17"/>
    <w:rsid w:val="002664FC"/>
    <w:rsid w:val="00271655"/>
    <w:rsid w:val="00271BC7"/>
    <w:rsid w:val="00272B23"/>
    <w:rsid w:val="0027404F"/>
    <w:rsid w:val="002847E2"/>
    <w:rsid w:val="00284E31"/>
    <w:rsid w:val="00285ECD"/>
    <w:rsid w:val="0028756C"/>
    <w:rsid w:val="00290B03"/>
    <w:rsid w:val="00294B8C"/>
    <w:rsid w:val="00297341"/>
    <w:rsid w:val="002A0D65"/>
    <w:rsid w:val="002A143E"/>
    <w:rsid w:val="002A2B06"/>
    <w:rsid w:val="002A497A"/>
    <w:rsid w:val="002A7800"/>
    <w:rsid w:val="002B00EC"/>
    <w:rsid w:val="002B6EDB"/>
    <w:rsid w:val="002C7B80"/>
    <w:rsid w:val="002D4395"/>
    <w:rsid w:val="002D5B1A"/>
    <w:rsid w:val="002E42D3"/>
    <w:rsid w:val="002E4A55"/>
    <w:rsid w:val="002E77E1"/>
    <w:rsid w:val="002F0A74"/>
    <w:rsid w:val="002F39B2"/>
    <w:rsid w:val="00301F56"/>
    <w:rsid w:val="00310D2D"/>
    <w:rsid w:val="00312E0A"/>
    <w:rsid w:val="003135FE"/>
    <w:rsid w:val="00313A06"/>
    <w:rsid w:val="0031548D"/>
    <w:rsid w:val="003159FE"/>
    <w:rsid w:val="00316C2E"/>
    <w:rsid w:val="003218CB"/>
    <w:rsid w:val="00324DBF"/>
    <w:rsid w:val="00326414"/>
    <w:rsid w:val="003277CE"/>
    <w:rsid w:val="0033123E"/>
    <w:rsid w:val="00331488"/>
    <w:rsid w:val="003321D8"/>
    <w:rsid w:val="00333ECD"/>
    <w:rsid w:val="003451E0"/>
    <w:rsid w:val="00347DC5"/>
    <w:rsid w:val="003544E6"/>
    <w:rsid w:val="003554CF"/>
    <w:rsid w:val="003574D9"/>
    <w:rsid w:val="0036448F"/>
    <w:rsid w:val="003715FC"/>
    <w:rsid w:val="0037467E"/>
    <w:rsid w:val="003866DD"/>
    <w:rsid w:val="003875B9"/>
    <w:rsid w:val="00391308"/>
    <w:rsid w:val="00393A98"/>
    <w:rsid w:val="00395B34"/>
    <w:rsid w:val="00395EE3"/>
    <w:rsid w:val="00396158"/>
    <w:rsid w:val="00396C6A"/>
    <w:rsid w:val="00396C96"/>
    <w:rsid w:val="003A3B4B"/>
    <w:rsid w:val="003B7308"/>
    <w:rsid w:val="003C00F7"/>
    <w:rsid w:val="003C08D1"/>
    <w:rsid w:val="003D2A8D"/>
    <w:rsid w:val="003E0C7F"/>
    <w:rsid w:val="003E3619"/>
    <w:rsid w:val="0040087E"/>
    <w:rsid w:val="00403DFF"/>
    <w:rsid w:val="0040692C"/>
    <w:rsid w:val="00406E33"/>
    <w:rsid w:val="00410205"/>
    <w:rsid w:val="004114B7"/>
    <w:rsid w:val="00411C4F"/>
    <w:rsid w:val="00414B48"/>
    <w:rsid w:val="00421745"/>
    <w:rsid w:val="004235BA"/>
    <w:rsid w:val="0043243E"/>
    <w:rsid w:val="00436610"/>
    <w:rsid w:val="004373B0"/>
    <w:rsid w:val="00437E88"/>
    <w:rsid w:val="004407A1"/>
    <w:rsid w:val="0044631C"/>
    <w:rsid w:val="00447892"/>
    <w:rsid w:val="0045716B"/>
    <w:rsid w:val="00460410"/>
    <w:rsid w:val="00462F48"/>
    <w:rsid w:val="00467FA3"/>
    <w:rsid w:val="00473527"/>
    <w:rsid w:val="0047650F"/>
    <w:rsid w:val="00477C08"/>
    <w:rsid w:val="0048411A"/>
    <w:rsid w:val="004A7850"/>
    <w:rsid w:val="004B27EF"/>
    <w:rsid w:val="004B5D4B"/>
    <w:rsid w:val="004C0583"/>
    <w:rsid w:val="004C28D6"/>
    <w:rsid w:val="004C5538"/>
    <w:rsid w:val="004C5C44"/>
    <w:rsid w:val="004D29E5"/>
    <w:rsid w:val="004E0163"/>
    <w:rsid w:val="004E5385"/>
    <w:rsid w:val="004E5BEF"/>
    <w:rsid w:val="004F2F40"/>
    <w:rsid w:val="0050528C"/>
    <w:rsid w:val="00506BEA"/>
    <w:rsid w:val="00507935"/>
    <w:rsid w:val="005114AB"/>
    <w:rsid w:val="00515BF9"/>
    <w:rsid w:val="005160C5"/>
    <w:rsid w:val="00516685"/>
    <w:rsid w:val="005203F2"/>
    <w:rsid w:val="0052060B"/>
    <w:rsid w:val="00521326"/>
    <w:rsid w:val="00530769"/>
    <w:rsid w:val="00531406"/>
    <w:rsid w:val="005314FF"/>
    <w:rsid w:val="00537039"/>
    <w:rsid w:val="00540291"/>
    <w:rsid w:val="00541586"/>
    <w:rsid w:val="00542553"/>
    <w:rsid w:val="00542E27"/>
    <w:rsid w:val="00553EFE"/>
    <w:rsid w:val="005627EA"/>
    <w:rsid w:val="0056288C"/>
    <w:rsid w:val="00563B42"/>
    <w:rsid w:val="0056723F"/>
    <w:rsid w:val="00567E90"/>
    <w:rsid w:val="00572430"/>
    <w:rsid w:val="00572A91"/>
    <w:rsid w:val="00576CC0"/>
    <w:rsid w:val="00577E18"/>
    <w:rsid w:val="00581904"/>
    <w:rsid w:val="005854FF"/>
    <w:rsid w:val="00585872"/>
    <w:rsid w:val="005A0961"/>
    <w:rsid w:val="005A33A4"/>
    <w:rsid w:val="005A6BAA"/>
    <w:rsid w:val="005A7876"/>
    <w:rsid w:val="005B0747"/>
    <w:rsid w:val="005B249D"/>
    <w:rsid w:val="005B2FD9"/>
    <w:rsid w:val="005B3646"/>
    <w:rsid w:val="005C3708"/>
    <w:rsid w:val="005C5996"/>
    <w:rsid w:val="005C76EF"/>
    <w:rsid w:val="005D419D"/>
    <w:rsid w:val="005D7140"/>
    <w:rsid w:val="005E1447"/>
    <w:rsid w:val="005E541A"/>
    <w:rsid w:val="005E606B"/>
    <w:rsid w:val="005F0EB3"/>
    <w:rsid w:val="005F1491"/>
    <w:rsid w:val="005F54EF"/>
    <w:rsid w:val="00602E69"/>
    <w:rsid w:val="00604B99"/>
    <w:rsid w:val="00605A26"/>
    <w:rsid w:val="0061578B"/>
    <w:rsid w:val="00623375"/>
    <w:rsid w:val="00630726"/>
    <w:rsid w:val="00631899"/>
    <w:rsid w:val="00632793"/>
    <w:rsid w:val="006366F0"/>
    <w:rsid w:val="00647F07"/>
    <w:rsid w:val="006576BA"/>
    <w:rsid w:val="00660F95"/>
    <w:rsid w:val="00665775"/>
    <w:rsid w:val="00676C52"/>
    <w:rsid w:val="00680911"/>
    <w:rsid w:val="00680A5B"/>
    <w:rsid w:val="006A039B"/>
    <w:rsid w:val="006A5664"/>
    <w:rsid w:val="006A5A5D"/>
    <w:rsid w:val="006B4656"/>
    <w:rsid w:val="006C1D47"/>
    <w:rsid w:val="006C3481"/>
    <w:rsid w:val="006D3BAA"/>
    <w:rsid w:val="006D7283"/>
    <w:rsid w:val="006E5749"/>
    <w:rsid w:val="006F277C"/>
    <w:rsid w:val="006F46B6"/>
    <w:rsid w:val="006F5F4B"/>
    <w:rsid w:val="0070138B"/>
    <w:rsid w:val="007052BF"/>
    <w:rsid w:val="007054C3"/>
    <w:rsid w:val="00705EF5"/>
    <w:rsid w:val="00707602"/>
    <w:rsid w:val="00707B60"/>
    <w:rsid w:val="00711714"/>
    <w:rsid w:val="00712984"/>
    <w:rsid w:val="0071599A"/>
    <w:rsid w:val="00732574"/>
    <w:rsid w:val="007325CF"/>
    <w:rsid w:val="00732CDB"/>
    <w:rsid w:val="0073538E"/>
    <w:rsid w:val="00742B0C"/>
    <w:rsid w:val="00742C0F"/>
    <w:rsid w:val="007430B7"/>
    <w:rsid w:val="007453F9"/>
    <w:rsid w:val="0075711C"/>
    <w:rsid w:val="00757AD3"/>
    <w:rsid w:val="00757B26"/>
    <w:rsid w:val="00761FCE"/>
    <w:rsid w:val="00766D5A"/>
    <w:rsid w:val="007674CC"/>
    <w:rsid w:val="00771EA2"/>
    <w:rsid w:val="007836E8"/>
    <w:rsid w:val="00783DE5"/>
    <w:rsid w:val="00786251"/>
    <w:rsid w:val="007873F4"/>
    <w:rsid w:val="007904D7"/>
    <w:rsid w:val="00791767"/>
    <w:rsid w:val="007A2CA3"/>
    <w:rsid w:val="007B160C"/>
    <w:rsid w:val="007C2F9C"/>
    <w:rsid w:val="007C537A"/>
    <w:rsid w:val="007D1444"/>
    <w:rsid w:val="007D2661"/>
    <w:rsid w:val="007E240F"/>
    <w:rsid w:val="007E681D"/>
    <w:rsid w:val="007F2E8B"/>
    <w:rsid w:val="00800ABA"/>
    <w:rsid w:val="00800FCE"/>
    <w:rsid w:val="00810FA6"/>
    <w:rsid w:val="008133A4"/>
    <w:rsid w:val="00814C63"/>
    <w:rsid w:val="00826C85"/>
    <w:rsid w:val="008316E0"/>
    <w:rsid w:val="00840283"/>
    <w:rsid w:val="00840FE7"/>
    <w:rsid w:val="00841ADD"/>
    <w:rsid w:val="00843675"/>
    <w:rsid w:val="00850BB1"/>
    <w:rsid w:val="00851510"/>
    <w:rsid w:val="008634FB"/>
    <w:rsid w:val="008639D0"/>
    <w:rsid w:val="00882EE8"/>
    <w:rsid w:val="008A34A6"/>
    <w:rsid w:val="008B218D"/>
    <w:rsid w:val="008B6837"/>
    <w:rsid w:val="008B71DF"/>
    <w:rsid w:val="008C5F5C"/>
    <w:rsid w:val="008C688F"/>
    <w:rsid w:val="008D517B"/>
    <w:rsid w:val="008D5940"/>
    <w:rsid w:val="008D737F"/>
    <w:rsid w:val="008D741F"/>
    <w:rsid w:val="008E0CE8"/>
    <w:rsid w:val="008E337A"/>
    <w:rsid w:val="008E4BFF"/>
    <w:rsid w:val="008F22D6"/>
    <w:rsid w:val="008F5B6A"/>
    <w:rsid w:val="008F6F9B"/>
    <w:rsid w:val="009023DD"/>
    <w:rsid w:val="00904B25"/>
    <w:rsid w:val="009132BA"/>
    <w:rsid w:val="00914148"/>
    <w:rsid w:val="00915C23"/>
    <w:rsid w:val="00920D1A"/>
    <w:rsid w:val="00925E18"/>
    <w:rsid w:val="0092726D"/>
    <w:rsid w:val="00936D8A"/>
    <w:rsid w:val="00937430"/>
    <w:rsid w:val="00944BB8"/>
    <w:rsid w:val="00946CA8"/>
    <w:rsid w:val="00950B67"/>
    <w:rsid w:val="00953C5E"/>
    <w:rsid w:val="00957D35"/>
    <w:rsid w:val="009637F6"/>
    <w:rsid w:val="009653D9"/>
    <w:rsid w:val="00966E9D"/>
    <w:rsid w:val="00967418"/>
    <w:rsid w:val="00981D3A"/>
    <w:rsid w:val="009875B5"/>
    <w:rsid w:val="00993DBA"/>
    <w:rsid w:val="009949B7"/>
    <w:rsid w:val="009B0344"/>
    <w:rsid w:val="009B0494"/>
    <w:rsid w:val="009B2D3E"/>
    <w:rsid w:val="009B355A"/>
    <w:rsid w:val="009B35EF"/>
    <w:rsid w:val="009B4C50"/>
    <w:rsid w:val="009B750B"/>
    <w:rsid w:val="009D152F"/>
    <w:rsid w:val="009D42DC"/>
    <w:rsid w:val="009D5682"/>
    <w:rsid w:val="009D5E5D"/>
    <w:rsid w:val="009D6591"/>
    <w:rsid w:val="009D7233"/>
    <w:rsid w:val="009E290A"/>
    <w:rsid w:val="009E3823"/>
    <w:rsid w:val="00A03AD8"/>
    <w:rsid w:val="00A07A45"/>
    <w:rsid w:val="00A142D1"/>
    <w:rsid w:val="00A22CF0"/>
    <w:rsid w:val="00A2408D"/>
    <w:rsid w:val="00A249C0"/>
    <w:rsid w:val="00A30675"/>
    <w:rsid w:val="00A33906"/>
    <w:rsid w:val="00A35229"/>
    <w:rsid w:val="00A40AAC"/>
    <w:rsid w:val="00A42750"/>
    <w:rsid w:val="00A42C00"/>
    <w:rsid w:val="00A549DF"/>
    <w:rsid w:val="00A6088B"/>
    <w:rsid w:val="00A64554"/>
    <w:rsid w:val="00A732F4"/>
    <w:rsid w:val="00A73C39"/>
    <w:rsid w:val="00A74895"/>
    <w:rsid w:val="00A76EBE"/>
    <w:rsid w:val="00A819DE"/>
    <w:rsid w:val="00A81A32"/>
    <w:rsid w:val="00A82257"/>
    <w:rsid w:val="00A86E0A"/>
    <w:rsid w:val="00A95E21"/>
    <w:rsid w:val="00A9606B"/>
    <w:rsid w:val="00A96BAB"/>
    <w:rsid w:val="00AA0EF3"/>
    <w:rsid w:val="00AA31FE"/>
    <w:rsid w:val="00AA3A8D"/>
    <w:rsid w:val="00AA6460"/>
    <w:rsid w:val="00AB018B"/>
    <w:rsid w:val="00AB05B7"/>
    <w:rsid w:val="00AB2659"/>
    <w:rsid w:val="00AB4295"/>
    <w:rsid w:val="00AB5BA0"/>
    <w:rsid w:val="00AC1688"/>
    <w:rsid w:val="00AC20C7"/>
    <w:rsid w:val="00AC2671"/>
    <w:rsid w:val="00AC6367"/>
    <w:rsid w:val="00AC6923"/>
    <w:rsid w:val="00AD3EB3"/>
    <w:rsid w:val="00AE244D"/>
    <w:rsid w:val="00AE7769"/>
    <w:rsid w:val="00AE786C"/>
    <w:rsid w:val="00AF26F2"/>
    <w:rsid w:val="00AF74F9"/>
    <w:rsid w:val="00B02F83"/>
    <w:rsid w:val="00B04CC6"/>
    <w:rsid w:val="00B058CE"/>
    <w:rsid w:val="00B06C53"/>
    <w:rsid w:val="00B102AE"/>
    <w:rsid w:val="00B10592"/>
    <w:rsid w:val="00B13329"/>
    <w:rsid w:val="00B13F59"/>
    <w:rsid w:val="00B145EA"/>
    <w:rsid w:val="00B22B41"/>
    <w:rsid w:val="00B255CB"/>
    <w:rsid w:val="00B273E5"/>
    <w:rsid w:val="00B27D5F"/>
    <w:rsid w:val="00B34DE9"/>
    <w:rsid w:val="00B35964"/>
    <w:rsid w:val="00B3599C"/>
    <w:rsid w:val="00B368F7"/>
    <w:rsid w:val="00B43EB1"/>
    <w:rsid w:val="00B44156"/>
    <w:rsid w:val="00B461A3"/>
    <w:rsid w:val="00B46901"/>
    <w:rsid w:val="00B60372"/>
    <w:rsid w:val="00B75F72"/>
    <w:rsid w:val="00B76572"/>
    <w:rsid w:val="00B8265D"/>
    <w:rsid w:val="00B82769"/>
    <w:rsid w:val="00B83D54"/>
    <w:rsid w:val="00BA1344"/>
    <w:rsid w:val="00BA20EE"/>
    <w:rsid w:val="00BA23C3"/>
    <w:rsid w:val="00BA5574"/>
    <w:rsid w:val="00BA5B33"/>
    <w:rsid w:val="00BB537B"/>
    <w:rsid w:val="00BC0A2A"/>
    <w:rsid w:val="00BC0C37"/>
    <w:rsid w:val="00BC69B9"/>
    <w:rsid w:val="00BD06F9"/>
    <w:rsid w:val="00BD1071"/>
    <w:rsid w:val="00BD48DF"/>
    <w:rsid w:val="00BD4A95"/>
    <w:rsid w:val="00BD6DF5"/>
    <w:rsid w:val="00BF12A4"/>
    <w:rsid w:val="00BF37F4"/>
    <w:rsid w:val="00BF7858"/>
    <w:rsid w:val="00C06714"/>
    <w:rsid w:val="00C06A4F"/>
    <w:rsid w:val="00C127D1"/>
    <w:rsid w:val="00C16A0C"/>
    <w:rsid w:val="00C23F1B"/>
    <w:rsid w:val="00C31136"/>
    <w:rsid w:val="00C32739"/>
    <w:rsid w:val="00C419D0"/>
    <w:rsid w:val="00C43452"/>
    <w:rsid w:val="00C43EC7"/>
    <w:rsid w:val="00C55C7A"/>
    <w:rsid w:val="00C57C91"/>
    <w:rsid w:val="00C7549F"/>
    <w:rsid w:val="00C80011"/>
    <w:rsid w:val="00C8122C"/>
    <w:rsid w:val="00C86AE4"/>
    <w:rsid w:val="00C87810"/>
    <w:rsid w:val="00C91A0B"/>
    <w:rsid w:val="00CA6274"/>
    <w:rsid w:val="00CA65D5"/>
    <w:rsid w:val="00CA68BB"/>
    <w:rsid w:val="00CA714D"/>
    <w:rsid w:val="00CB0955"/>
    <w:rsid w:val="00CB430B"/>
    <w:rsid w:val="00CC137F"/>
    <w:rsid w:val="00CC4BB4"/>
    <w:rsid w:val="00CD13BC"/>
    <w:rsid w:val="00CD43DF"/>
    <w:rsid w:val="00CD7BE2"/>
    <w:rsid w:val="00CE2B63"/>
    <w:rsid w:val="00CE42A3"/>
    <w:rsid w:val="00CF0526"/>
    <w:rsid w:val="00CF323A"/>
    <w:rsid w:val="00CF3679"/>
    <w:rsid w:val="00D1097C"/>
    <w:rsid w:val="00D116CB"/>
    <w:rsid w:val="00D12513"/>
    <w:rsid w:val="00D14D9B"/>
    <w:rsid w:val="00D150C5"/>
    <w:rsid w:val="00D15194"/>
    <w:rsid w:val="00D15DBD"/>
    <w:rsid w:val="00D15F6A"/>
    <w:rsid w:val="00D24E07"/>
    <w:rsid w:val="00D27DC0"/>
    <w:rsid w:val="00D32C35"/>
    <w:rsid w:val="00D3372B"/>
    <w:rsid w:val="00D33BAB"/>
    <w:rsid w:val="00D358FB"/>
    <w:rsid w:val="00D37F05"/>
    <w:rsid w:val="00D44ACC"/>
    <w:rsid w:val="00D45C73"/>
    <w:rsid w:val="00D45F06"/>
    <w:rsid w:val="00D47784"/>
    <w:rsid w:val="00D5473A"/>
    <w:rsid w:val="00D549C3"/>
    <w:rsid w:val="00D63B7F"/>
    <w:rsid w:val="00D6455C"/>
    <w:rsid w:val="00D6559F"/>
    <w:rsid w:val="00D66B50"/>
    <w:rsid w:val="00D70BAD"/>
    <w:rsid w:val="00D722AC"/>
    <w:rsid w:val="00D80A2C"/>
    <w:rsid w:val="00D81BE6"/>
    <w:rsid w:val="00D87236"/>
    <w:rsid w:val="00D91A7B"/>
    <w:rsid w:val="00D92F42"/>
    <w:rsid w:val="00D930C1"/>
    <w:rsid w:val="00D938F4"/>
    <w:rsid w:val="00D96E37"/>
    <w:rsid w:val="00DA38EB"/>
    <w:rsid w:val="00DA499E"/>
    <w:rsid w:val="00DA6115"/>
    <w:rsid w:val="00DA66D7"/>
    <w:rsid w:val="00DB0427"/>
    <w:rsid w:val="00DB252D"/>
    <w:rsid w:val="00DB6BC8"/>
    <w:rsid w:val="00DB7001"/>
    <w:rsid w:val="00DD03A9"/>
    <w:rsid w:val="00DD08CA"/>
    <w:rsid w:val="00DD2AFA"/>
    <w:rsid w:val="00DD3361"/>
    <w:rsid w:val="00DD6BD6"/>
    <w:rsid w:val="00DD6C5E"/>
    <w:rsid w:val="00DE0018"/>
    <w:rsid w:val="00DE276C"/>
    <w:rsid w:val="00DE402D"/>
    <w:rsid w:val="00DF07C2"/>
    <w:rsid w:val="00DF205A"/>
    <w:rsid w:val="00DF3A0D"/>
    <w:rsid w:val="00DF40BC"/>
    <w:rsid w:val="00DF5142"/>
    <w:rsid w:val="00E02718"/>
    <w:rsid w:val="00E02BC1"/>
    <w:rsid w:val="00E03F07"/>
    <w:rsid w:val="00E06FA8"/>
    <w:rsid w:val="00E07963"/>
    <w:rsid w:val="00E12310"/>
    <w:rsid w:val="00E16A16"/>
    <w:rsid w:val="00E17C9D"/>
    <w:rsid w:val="00E26AFE"/>
    <w:rsid w:val="00E26F8C"/>
    <w:rsid w:val="00E30E42"/>
    <w:rsid w:val="00E3206B"/>
    <w:rsid w:val="00E36D93"/>
    <w:rsid w:val="00E370E0"/>
    <w:rsid w:val="00E5038C"/>
    <w:rsid w:val="00E565AC"/>
    <w:rsid w:val="00E66BFD"/>
    <w:rsid w:val="00E702BC"/>
    <w:rsid w:val="00E7371B"/>
    <w:rsid w:val="00E9083B"/>
    <w:rsid w:val="00E924CD"/>
    <w:rsid w:val="00E92EC6"/>
    <w:rsid w:val="00E9327B"/>
    <w:rsid w:val="00E97A1F"/>
    <w:rsid w:val="00EA2CC6"/>
    <w:rsid w:val="00EA7038"/>
    <w:rsid w:val="00EC0E91"/>
    <w:rsid w:val="00EC2506"/>
    <w:rsid w:val="00EC5481"/>
    <w:rsid w:val="00ED3169"/>
    <w:rsid w:val="00ED52F0"/>
    <w:rsid w:val="00ED5C3B"/>
    <w:rsid w:val="00ED5D79"/>
    <w:rsid w:val="00EE0537"/>
    <w:rsid w:val="00EE2A48"/>
    <w:rsid w:val="00F018F6"/>
    <w:rsid w:val="00F02D14"/>
    <w:rsid w:val="00F04D51"/>
    <w:rsid w:val="00F05A5D"/>
    <w:rsid w:val="00F0780F"/>
    <w:rsid w:val="00F116E5"/>
    <w:rsid w:val="00F15219"/>
    <w:rsid w:val="00F171A7"/>
    <w:rsid w:val="00F251E5"/>
    <w:rsid w:val="00F26B94"/>
    <w:rsid w:val="00F31217"/>
    <w:rsid w:val="00F31415"/>
    <w:rsid w:val="00F40CB5"/>
    <w:rsid w:val="00F52C34"/>
    <w:rsid w:val="00F54B3E"/>
    <w:rsid w:val="00F5586F"/>
    <w:rsid w:val="00F60635"/>
    <w:rsid w:val="00F62803"/>
    <w:rsid w:val="00F64962"/>
    <w:rsid w:val="00F742BF"/>
    <w:rsid w:val="00F75E1B"/>
    <w:rsid w:val="00F80014"/>
    <w:rsid w:val="00F80F99"/>
    <w:rsid w:val="00F9106A"/>
    <w:rsid w:val="00F94DF0"/>
    <w:rsid w:val="00FA1F1C"/>
    <w:rsid w:val="00FA3614"/>
    <w:rsid w:val="00FB1975"/>
    <w:rsid w:val="00FC0DF7"/>
    <w:rsid w:val="00FD21A7"/>
    <w:rsid w:val="00FD5B27"/>
    <w:rsid w:val="00FE036D"/>
    <w:rsid w:val="00FE23A5"/>
    <w:rsid w:val="00FE35AF"/>
    <w:rsid w:val="00FF407E"/>
    <w:rsid w:val="01151B18"/>
    <w:rsid w:val="017966BD"/>
    <w:rsid w:val="018C0E18"/>
    <w:rsid w:val="01C9286B"/>
    <w:rsid w:val="02350109"/>
    <w:rsid w:val="02480D0E"/>
    <w:rsid w:val="024E4980"/>
    <w:rsid w:val="02503267"/>
    <w:rsid w:val="02515B60"/>
    <w:rsid w:val="02AE3211"/>
    <w:rsid w:val="037B50A2"/>
    <w:rsid w:val="03E00C4C"/>
    <w:rsid w:val="04047316"/>
    <w:rsid w:val="04107868"/>
    <w:rsid w:val="042639C4"/>
    <w:rsid w:val="05186D7A"/>
    <w:rsid w:val="05530297"/>
    <w:rsid w:val="05921E89"/>
    <w:rsid w:val="059B7960"/>
    <w:rsid w:val="06073472"/>
    <w:rsid w:val="06155FB9"/>
    <w:rsid w:val="062C0EFB"/>
    <w:rsid w:val="063A4A7C"/>
    <w:rsid w:val="063F01A6"/>
    <w:rsid w:val="063F4856"/>
    <w:rsid w:val="065D4FEB"/>
    <w:rsid w:val="06806222"/>
    <w:rsid w:val="07002843"/>
    <w:rsid w:val="070D5CB2"/>
    <w:rsid w:val="07274707"/>
    <w:rsid w:val="07292075"/>
    <w:rsid w:val="07402809"/>
    <w:rsid w:val="074513B1"/>
    <w:rsid w:val="07515AC3"/>
    <w:rsid w:val="07530F64"/>
    <w:rsid w:val="07D91574"/>
    <w:rsid w:val="07DD2110"/>
    <w:rsid w:val="08407E9B"/>
    <w:rsid w:val="08A34F38"/>
    <w:rsid w:val="08A66635"/>
    <w:rsid w:val="08D10BEF"/>
    <w:rsid w:val="094474E0"/>
    <w:rsid w:val="0949141E"/>
    <w:rsid w:val="095639A6"/>
    <w:rsid w:val="095A626C"/>
    <w:rsid w:val="09D842F7"/>
    <w:rsid w:val="0A621094"/>
    <w:rsid w:val="0A84444E"/>
    <w:rsid w:val="0A9A0004"/>
    <w:rsid w:val="0AB84F29"/>
    <w:rsid w:val="0AC6684F"/>
    <w:rsid w:val="0AF721E9"/>
    <w:rsid w:val="0AFA33F2"/>
    <w:rsid w:val="0B091E63"/>
    <w:rsid w:val="0B164A29"/>
    <w:rsid w:val="0B1B034D"/>
    <w:rsid w:val="0B9D7C1B"/>
    <w:rsid w:val="0BB34A54"/>
    <w:rsid w:val="0BE07CB5"/>
    <w:rsid w:val="0BE47197"/>
    <w:rsid w:val="0C065496"/>
    <w:rsid w:val="0C0C5636"/>
    <w:rsid w:val="0C201187"/>
    <w:rsid w:val="0C510B2F"/>
    <w:rsid w:val="0C5E11F6"/>
    <w:rsid w:val="0C881272"/>
    <w:rsid w:val="0C965B7D"/>
    <w:rsid w:val="0CB10F8C"/>
    <w:rsid w:val="0CC35546"/>
    <w:rsid w:val="0CC67799"/>
    <w:rsid w:val="0CCF00FE"/>
    <w:rsid w:val="0CEA24D2"/>
    <w:rsid w:val="0D593ED1"/>
    <w:rsid w:val="0D7E01E7"/>
    <w:rsid w:val="0D857B7F"/>
    <w:rsid w:val="0DD04469"/>
    <w:rsid w:val="0E141B3D"/>
    <w:rsid w:val="0E253E72"/>
    <w:rsid w:val="0E287F77"/>
    <w:rsid w:val="0E856FED"/>
    <w:rsid w:val="0E8F37B9"/>
    <w:rsid w:val="0ECA7929"/>
    <w:rsid w:val="0EE63652"/>
    <w:rsid w:val="0EEC3D3D"/>
    <w:rsid w:val="0F2F3444"/>
    <w:rsid w:val="0F410792"/>
    <w:rsid w:val="0F627B1B"/>
    <w:rsid w:val="0FE412F8"/>
    <w:rsid w:val="10210889"/>
    <w:rsid w:val="10356A35"/>
    <w:rsid w:val="10AC3582"/>
    <w:rsid w:val="10D1632A"/>
    <w:rsid w:val="11070506"/>
    <w:rsid w:val="11275087"/>
    <w:rsid w:val="1148776A"/>
    <w:rsid w:val="114B36EF"/>
    <w:rsid w:val="118B24F5"/>
    <w:rsid w:val="120A2A2A"/>
    <w:rsid w:val="1272668F"/>
    <w:rsid w:val="12957D69"/>
    <w:rsid w:val="12AB15B0"/>
    <w:rsid w:val="12EC0C50"/>
    <w:rsid w:val="12F05A2A"/>
    <w:rsid w:val="1300503C"/>
    <w:rsid w:val="131F199E"/>
    <w:rsid w:val="13247991"/>
    <w:rsid w:val="13295189"/>
    <w:rsid w:val="13515A7F"/>
    <w:rsid w:val="135B3AAF"/>
    <w:rsid w:val="1394170F"/>
    <w:rsid w:val="13A76668"/>
    <w:rsid w:val="13B02B2B"/>
    <w:rsid w:val="14087B4A"/>
    <w:rsid w:val="1443162A"/>
    <w:rsid w:val="1457164A"/>
    <w:rsid w:val="145E0D0D"/>
    <w:rsid w:val="1484023A"/>
    <w:rsid w:val="148C7CEF"/>
    <w:rsid w:val="14A75DDC"/>
    <w:rsid w:val="14E4152A"/>
    <w:rsid w:val="14F36739"/>
    <w:rsid w:val="150C105C"/>
    <w:rsid w:val="15335CBD"/>
    <w:rsid w:val="154B5D0D"/>
    <w:rsid w:val="155E366F"/>
    <w:rsid w:val="15671077"/>
    <w:rsid w:val="15756EE5"/>
    <w:rsid w:val="157A2AB5"/>
    <w:rsid w:val="15957336"/>
    <w:rsid w:val="15AC74D8"/>
    <w:rsid w:val="162008E1"/>
    <w:rsid w:val="16423BED"/>
    <w:rsid w:val="165019B8"/>
    <w:rsid w:val="166334CF"/>
    <w:rsid w:val="168E16B6"/>
    <w:rsid w:val="16B10DCA"/>
    <w:rsid w:val="16B7295A"/>
    <w:rsid w:val="16C9249F"/>
    <w:rsid w:val="16CB56F4"/>
    <w:rsid w:val="16F20125"/>
    <w:rsid w:val="17316311"/>
    <w:rsid w:val="17597D27"/>
    <w:rsid w:val="178C7602"/>
    <w:rsid w:val="17C43569"/>
    <w:rsid w:val="18172C34"/>
    <w:rsid w:val="18185598"/>
    <w:rsid w:val="1838705C"/>
    <w:rsid w:val="184451C8"/>
    <w:rsid w:val="184C58D3"/>
    <w:rsid w:val="187175DA"/>
    <w:rsid w:val="189A68D7"/>
    <w:rsid w:val="18C97D82"/>
    <w:rsid w:val="18F37C5C"/>
    <w:rsid w:val="190D2A36"/>
    <w:rsid w:val="191C5EFD"/>
    <w:rsid w:val="19295D46"/>
    <w:rsid w:val="19311F7B"/>
    <w:rsid w:val="19335297"/>
    <w:rsid w:val="195041F3"/>
    <w:rsid w:val="198978FC"/>
    <w:rsid w:val="199463EA"/>
    <w:rsid w:val="19BE5EE1"/>
    <w:rsid w:val="19D115FD"/>
    <w:rsid w:val="19F84096"/>
    <w:rsid w:val="19FC5F29"/>
    <w:rsid w:val="1A477CEF"/>
    <w:rsid w:val="1AB23249"/>
    <w:rsid w:val="1AC828CA"/>
    <w:rsid w:val="1AE20BCB"/>
    <w:rsid w:val="1AE2213E"/>
    <w:rsid w:val="1B8B535C"/>
    <w:rsid w:val="1BA573C0"/>
    <w:rsid w:val="1BCB0252"/>
    <w:rsid w:val="1C0D34A1"/>
    <w:rsid w:val="1C3E597F"/>
    <w:rsid w:val="1C814F53"/>
    <w:rsid w:val="1C843709"/>
    <w:rsid w:val="1C911CFB"/>
    <w:rsid w:val="1C940833"/>
    <w:rsid w:val="1C9814DF"/>
    <w:rsid w:val="1D4A6348"/>
    <w:rsid w:val="1D5C4ECD"/>
    <w:rsid w:val="1D63527C"/>
    <w:rsid w:val="1D6A3946"/>
    <w:rsid w:val="1D920ECB"/>
    <w:rsid w:val="1DD259C3"/>
    <w:rsid w:val="1DDD0826"/>
    <w:rsid w:val="1E654A1D"/>
    <w:rsid w:val="1E6A19B1"/>
    <w:rsid w:val="1E7F799F"/>
    <w:rsid w:val="1ECF46BC"/>
    <w:rsid w:val="1F21633C"/>
    <w:rsid w:val="1F695568"/>
    <w:rsid w:val="1F6E1866"/>
    <w:rsid w:val="1F977015"/>
    <w:rsid w:val="1FBB4EAA"/>
    <w:rsid w:val="1FED4B35"/>
    <w:rsid w:val="1FEF3F3B"/>
    <w:rsid w:val="201102FC"/>
    <w:rsid w:val="204F5235"/>
    <w:rsid w:val="2050381E"/>
    <w:rsid w:val="205B0C87"/>
    <w:rsid w:val="20621E25"/>
    <w:rsid w:val="20A667BD"/>
    <w:rsid w:val="20CF0226"/>
    <w:rsid w:val="20D21255"/>
    <w:rsid w:val="20EB2ED6"/>
    <w:rsid w:val="20EE3995"/>
    <w:rsid w:val="21104680"/>
    <w:rsid w:val="211047A9"/>
    <w:rsid w:val="21EE0C0F"/>
    <w:rsid w:val="21FC7B81"/>
    <w:rsid w:val="22136E98"/>
    <w:rsid w:val="223062BE"/>
    <w:rsid w:val="22493B10"/>
    <w:rsid w:val="226B53D9"/>
    <w:rsid w:val="227812F9"/>
    <w:rsid w:val="23040770"/>
    <w:rsid w:val="231959D5"/>
    <w:rsid w:val="233F605A"/>
    <w:rsid w:val="23581152"/>
    <w:rsid w:val="23634392"/>
    <w:rsid w:val="23680495"/>
    <w:rsid w:val="23803567"/>
    <w:rsid w:val="239B159C"/>
    <w:rsid w:val="23AD1BF5"/>
    <w:rsid w:val="23C80CC2"/>
    <w:rsid w:val="23CA2360"/>
    <w:rsid w:val="23FE376C"/>
    <w:rsid w:val="240016D7"/>
    <w:rsid w:val="240B7B52"/>
    <w:rsid w:val="24116F34"/>
    <w:rsid w:val="24227489"/>
    <w:rsid w:val="24635A3A"/>
    <w:rsid w:val="249B62E9"/>
    <w:rsid w:val="24EC117C"/>
    <w:rsid w:val="250C4BB6"/>
    <w:rsid w:val="252549CA"/>
    <w:rsid w:val="255D204D"/>
    <w:rsid w:val="2595460B"/>
    <w:rsid w:val="26035BEC"/>
    <w:rsid w:val="26043654"/>
    <w:rsid w:val="26091EBB"/>
    <w:rsid w:val="262B40F9"/>
    <w:rsid w:val="262C59BA"/>
    <w:rsid w:val="26547AE8"/>
    <w:rsid w:val="269A2C67"/>
    <w:rsid w:val="26E525E4"/>
    <w:rsid w:val="26E60A65"/>
    <w:rsid w:val="2724134C"/>
    <w:rsid w:val="273E0805"/>
    <w:rsid w:val="274507F1"/>
    <w:rsid w:val="27C450A3"/>
    <w:rsid w:val="27C918D2"/>
    <w:rsid w:val="27D1088B"/>
    <w:rsid w:val="284D099E"/>
    <w:rsid w:val="28ED54B0"/>
    <w:rsid w:val="293209AC"/>
    <w:rsid w:val="2933115D"/>
    <w:rsid w:val="293930E6"/>
    <w:rsid w:val="293C2243"/>
    <w:rsid w:val="29532E82"/>
    <w:rsid w:val="29735566"/>
    <w:rsid w:val="29A212E5"/>
    <w:rsid w:val="29D947EB"/>
    <w:rsid w:val="29E15790"/>
    <w:rsid w:val="29E250EE"/>
    <w:rsid w:val="29F701E0"/>
    <w:rsid w:val="2A2E0E20"/>
    <w:rsid w:val="2A3A704E"/>
    <w:rsid w:val="2A452B3D"/>
    <w:rsid w:val="2A7654F9"/>
    <w:rsid w:val="2A7B2580"/>
    <w:rsid w:val="2AA23BEC"/>
    <w:rsid w:val="2AA332FC"/>
    <w:rsid w:val="2AAD7231"/>
    <w:rsid w:val="2AF451E9"/>
    <w:rsid w:val="2AFA337A"/>
    <w:rsid w:val="2B1C3428"/>
    <w:rsid w:val="2B2B1C33"/>
    <w:rsid w:val="2B2B446B"/>
    <w:rsid w:val="2B3015E4"/>
    <w:rsid w:val="2B4F3D3D"/>
    <w:rsid w:val="2B6516A3"/>
    <w:rsid w:val="2B6676AF"/>
    <w:rsid w:val="2B8175A1"/>
    <w:rsid w:val="2BFF5D0E"/>
    <w:rsid w:val="2C45590B"/>
    <w:rsid w:val="2C665C52"/>
    <w:rsid w:val="2C7F3A5D"/>
    <w:rsid w:val="2CDC7E42"/>
    <w:rsid w:val="2CF652E7"/>
    <w:rsid w:val="2D1153A4"/>
    <w:rsid w:val="2D614DC2"/>
    <w:rsid w:val="2DA22BE2"/>
    <w:rsid w:val="2E2758AF"/>
    <w:rsid w:val="2E3F744B"/>
    <w:rsid w:val="2E70074C"/>
    <w:rsid w:val="2E7942E2"/>
    <w:rsid w:val="2F0F13BF"/>
    <w:rsid w:val="2F0F2FF0"/>
    <w:rsid w:val="2F0F3ED9"/>
    <w:rsid w:val="2F5D35AA"/>
    <w:rsid w:val="2F713FC3"/>
    <w:rsid w:val="30116C8D"/>
    <w:rsid w:val="302B091D"/>
    <w:rsid w:val="302F07D9"/>
    <w:rsid w:val="30376BB9"/>
    <w:rsid w:val="307A6BF4"/>
    <w:rsid w:val="31186EB7"/>
    <w:rsid w:val="3179376A"/>
    <w:rsid w:val="31A353BC"/>
    <w:rsid w:val="31B10509"/>
    <w:rsid w:val="31BD5198"/>
    <w:rsid w:val="31C169C5"/>
    <w:rsid w:val="31DB0F40"/>
    <w:rsid w:val="321C1DAA"/>
    <w:rsid w:val="3230228C"/>
    <w:rsid w:val="324637C9"/>
    <w:rsid w:val="3253058A"/>
    <w:rsid w:val="327137A1"/>
    <w:rsid w:val="32A97818"/>
    <w:rsid w:val="32B80E90"/>
    <w:rsid w:val="32CC1C4F"/>
    <w:rsid w:val="32D02B38"/>
    <w:rsid w:val="32F73AE0"/>
    <w:rsid w:val="334A2C5B"/>
    <w:rsid w:val="3365747E"/>
    <w:rsid w:val="33A350EF"/>
    <w:rsid w:val="33F97333"/>
    <w:rsid w:val="341C663B"/>
    <w:rsid w:val="34381FFF"/>
    <w:rsid w:val="343D5485"/>
    <w:rsid w:val="34777905"/>
    <w:rsid w:val="34AB3225"/>
    <w:rsid w:val="34D978D3"/>
    <w:rsid w:val="34E262DC"/>
    <w:rsid w:val="34E75F40"/>
    <w:rsid w:val="34EF4ACA"/>
    <w:rsid w:val="34FD3DC3"/>
    <w:rsid w:val="357E28FB"/>
    <w:rsid w:val="35A66274"/>
    <w:rsid w:val="35AF2F94"/>
    <w:rsid w:val="35D76993"/>
    <w:rsid w:val="35EB4CF7"/>
    <w:rsid w:val="35F425D5"/>
    <w:rsid w:val="35FF42F7"/>
    <w:rsid w:val="362B67A1"/>
    <w:rsid w:val="36553987"/>
    <w:rsid w:val="36E466D7"/>
    <w:rsid w:val="371840E5"/>
    <w:rsid w:val="37551903"/>
    <w:rsid w:val="37A25A49"/>
    <w:rsid w:val="37BD498C"/>
    <w:rsid w:val="37C41E89"/>
    <w:rsid w:val="380C4385"/>
    <w:rsid w:val="388D2882"/>
    <w:rsid w:val="38981BA0"/>
    <w:rsid w:val="38D9238C"/>
    <w:rsid w:val="39661F6A"/>
    <w:rsid w:val="39773CF9"/>
    <w:rsid w:val="39AC1200"/>
    <w:rsid w:val="39DB35B8"/>
    <w:rsid w:val="3A043B52"/>
    <w:rsid w:val="3A133610"/>
    <w:rsid w:val="3A651F91"/>
    <w:rsid w:val="3A81387B"/>
    <w:rsid w:val="3A877B34"/>
    <w:rsid w:val="3A937FC1"/>
    <w:rsid w:val="3A982385"/>
    <w:rsid w:val="3AA8016E"/>
    <w:rsid w:val="3AB86CFD"/>
    <w:rsid w:val="3ABB7B6E"/>
    <w:rsid w:val="3ADC0C19"/>
    <w:rsid w:val="3B0C2B50"/>
    <w:rsid w:val="3B484E98"/>
    <w:rsid w:val="3B5932CD"/>
    <w:rsid w:val="3B8954AC"/>
    <w:rsid w:val="3B94546D"/>
    <w:rsid w:val="3B9868BA"/>
    <w:rsid w:val="3BB63E9D"/>
    <w:rsid w:val="3BC30B8A"/>
    <w:rsid w:val="3BDB3237"/>
    <w:rsid w:val="3C047D4B"/>
    <w:rsid w:val="3C355C3F"/>
    <w:rsid w:val="3C5677C7"/>
    <w:rsid w:val="3C631E39"/>
    <w:rsid w:val="3C705704"/>
    <w:rsid w:val="3C9219F0"/>
    <w:rsid w:val="3C997B6E"/>
    <w:rsid w:val="3DB14219"/>
    <w:rsid w:val="3E1F0EB2"/>
    <w:rsid w:val="3E3006DD"/>
    <w:rsid w:val="3E3A43A6"/>
    <w:rsid w:val="3E6C0A8A"/>
    <w:rsid w:val="3E7322F9"/>
    <w:rsid w:val="3E843852"/>
    <w:rsid w:val="3E9632B8"/>
    <w:rsid w:val="3E9F68B5"/>
    <w:rsid w:val="3EB346E9"/>
    <w:rsid w:val="3ECE4E0A"/>
    <w:rsid w:val="3F183797"/>
    <w:rsid w:val="3F491508"/>
    <w:rsid w:val="3F5D7FCB"/>
    <w:rsid w:val="3F5E6491"/>
    <w:rsid w:val="3F9900FB"/>
    <w:rsid w:val="3F9B2115"/>
    <w:rsid w:val="3FEA6AA5"/>
    <w:rsid w:val="40522DD7"/>
    <w:rsid w:val="4094290E"/>
    <w:rsid w:val="40C107CA"/>
    <w:rsid w:val="410715B3"/>
    <w:rsid w:val="41124712"/>
    <w:rsid w:val="41224FB8"/>
    <w:rsid w:val="414D2866"/>
    <w:rsid w:val="417F7AFD"/>
    <w:rsid w:val="41B31BED"/>
    <w:rsid w:val="41BE677C"/>
    <w:rsid w:val="41F55CA8"/>
    <w:rsid w:val="42276C78"/>
    <w:rsid w:val="428C51B1"/>
    <w:rsid w:val="42D16EDF"/>
    <w:rsid w:val="432953C8"/>
    <w:rsid w:val="434B609F"/>
    <w:rsid w:val="437322DC"/>
    <w:rsid w:val="43763861"/>
    <w:rsid w:val="43976639"/>
    <w:rsid w:val="43A246D5"/>
    <w:rsid w:val="43C27A16"/>
    <w:rsid w:val="440D2193"/>
    <w:rsid w:val="442B1667"/>
    <w:rsid w:val="446D5132"/>
    <w:rsid w:val="44711592"/>
    <w:rsid w:val="448955E3"/>
    <w:rsid w:val="44AA53F4"/>
    <w:rsid w:val="44B86C03"/>
    <w:rsid w:val="44DB13AA"/>
    <w:rsid w:val="453647EA"/>
    <w:rsid w:val="455333C3"/>
    <w:rsid w:val="45540B2A"/>
    <w:rsid w:val="45C304E1"/>
    <w:rsid w:val="46084EAB"/>
    <w:rsid w:val="462D32F3"/>
    <w:rsid w:val="463A7B71"/>
    <w:rsid w:val="463E2755"/>
    <w:rsid w:val="46860526"/>
    <w:rsid w:val="46D139FA"/>
    <w:rsid w:val="46D27040"/>
    <w:rsid w:val="46E35C75"/>
    <w:rsid w:val="47205C30"/>
    <w:rsid w:val="473976EE"/>
    <w:rsid w:val="4755652A"/>
    <w:rsid w:val="47646867"/>
    <w:rsid w:val="476913E2"/>
    <w:rsid w:val="4770795F"/>
    <w:rsid w:val="477418F3"/>
    <w:rsid w:val="4798537B"/>
    <w:rsid w:val="479E69C8"/>
    <w:rsid w:val="47A3367E"/>
    <w:rsid w:val="47D04B77"/>
    <w:rsid w:val="48310E8E"/>
    <w:rsid w:val="48655DAA"/>
    <w:rsid w:val="48695DA4"/>
    <w:rsid w:val="494657B0"/>
    <w:rsid w:val="49DD655A"/>
    <w:rsid w:val="4A152D6C"/>
    <w:rsid w:val="4A155F64"/>
    <w:rsid w:val="4A307C3D"/>
    <w:rsid w:val="4A561635"/>
    <w:rsid w:val="4A685300"/>
    <w:rsid w:val="4A855391"/>
    <w:rsid w:val="4A915CC1"/>
    <w:rsid w:val="4AA61B68"/>
    <w:rsid w:val="4AF06DC5"/>
    <w:rsid w:val="4B0A6344"/>
    <w:rsid w:val="4B1A6ED1"/>
    <w:rsid w:val="4B1C60E9"/>
    <w:rsid w:val="4BBA2B01"/>
    <w:rsid w:val="4BF800DC"/>
    <w:rsid w:val="4C590C5D"/>
    <w:rsid w:val="4C5D1D5A"/>
    <w:rsid w:val="4D3F1D0A"/>
    <w:rsid w:val="4D562539"/>
    <w:rsid w:val="4D644AE4"/>
    <w:rsid w:val="4D6B732C"/>
    <w:rsid w:val="4D9B2A2A"/>
    <w:rsid w:val="4DBE7DFA"/>
    <w:rsid w:val="4DC07FD3"/>
    <w:rsid w:val="4DCE78BB"/>
    <w:rsid w:val="4E125F5E"/>
    <w:rsid w:val="4E5E5A05"/>
    <w:rsid w:val="4E805443"/>
    <w:rsid w:val="4E835A83"/>
    <w:rsid w:val="4E87023A"/>
    <w:rsid w:val="4EC93248"/>
    <w:rsid w:val="4ECB500C"/>
    <w:rsid w:val="4EDF069F"/>
    <w:rsid w:val="4EFE5BE2"/>
    <w:rsid w:val="4EFE6728"/>
    <w:rsid w:val="4F05236E"/>
    <w:rsid w:val="4F0B787A"/>
    <w:rsid w:val="4F1203F1"/>
    <w:rsid w:val="4F187DE9"/>
    <w:rsid w:val="4F210F21"/>
    <w:rsid w:val="4F3718E3"/>
    <w:rsid w:val="4F7B269C"/>
    <w:rsid w:val="4FDA0DAB"/>
    <w:rsid w:val="4FEC3BFA"/>
    <w:rsid w:val="507239EE"/>
    <w:rsid w:val="5088341F"/>
    <w:rsid w:val="50AD2A54"/>
    <w:rsid w:val="50BA7E57"/>
    <w:rsid w:val="50D81BF7"/>
    <w:rsid w:val="50E9335E"/>
    <w:rsid w:val="51013988"/>
    <w:rsid w:val="51190415"/>
    <w:rsid w:val="51333A09"/>
    <w:rsid w:val="513738A4"/>
    <w:rsid w:val="5154538B"/>
    <w:rsid w:val="519C7C5B"/>
    <w:rsid w:val="51D42DB3"/>
    <w:rsid w:val="51D67140"/>
    <w:rsid w:val="51E95069"/>
    <w:rsid w:val="51F73AE5"/>
    <w:rsid w:val="51F85346"/>
    <w:rsid w:val="52264409"/>
    <w:rsid w:val="52815EB4"/>
    <w:rsid w:val="52BC519A"/>
    <w:rsid w:val="52BF4740"/>
    <w:rsid w:val="52C719B0"/>
    <w:rsid w:val="52EE5E34"/>
    <w:rsid w:val="534B63AE"/>
    <w:rsid w:val="53860027"/>
    <w:rsid w:val="53E4448B"/>
    <w:rsid w:val="54A83322"/>
    <w:rsid w:val="54A9021D"/>
    <w:rsid w:val="54C066C6"/>
    <w:rsid w:val="54C80C1B"/>
    <w:rsid w:val="54E7165D"/>
    <w:rsid w:val="55066D76"/>
    <w:rsid w:val="552D710B"/>
    <w:rsid w:val="556A04AF"/>
    <w:rsid w:val="557766E3"/>
    <w:rsid w:val="557B0739"/>
    <w:rsid w:val="558E66C9"/>
    <w:rsid w:val="55A5332F"/>
    <w:rsid w:val="55CC5ACC"/>
    <w:rsid w:val="55E36449"/>
    <w:rsid w:val="55F05BDD"/>
    <w:rsid w:val="56226A5D"/>
    <w:rsid w:val="5630006B"/>
    <w:rsid w:val="566136B8"/>
    <w:rsid w:val="569D7FEE"/>
    <w:rsid w:val="56C52FDC"/>
    <w:rsid w:val="56CE0A80"/>
    <w:rsid w:val="56D5788D"/>
    <w:rsid w:val="56F13E4B"/>
    <w:rsid w:val="57063CE5"/>
    <w:rsid w:val="57193C7A"/>
    <w:rsid w:val="57575FE6"/>
    <w:rsid w:val="581731F5"/>
    <w:rsid w:val="5818649C"/>
    <w:rsid w:val="5875284A"/>
    <w:rsid w:val="587C6933"/>
    <w:rsid w:val="58B24F2D"/>
    <w:rsid w:val="58B6757E"/>
    <w:rsid w:val="59427DB3"/>
    <w:rsid w:val="597E6AEA"/>
    <w:rsid w:val="59DA4DF8"/>
    <w:rsid w:val="5A8848BE"/>
    <w:rsid w:val="5ABB33A6"/>
    <w:rsid w:val="5ACE76BA"/>
    <w:rsid w:val="5AF4242B"/>
    <w:rsid w:val="5B75298A"/>
    <w:rsid w:val="5B7F07E6"/>
    <w:rsid w:val="5BA65572"/>
    <w:rsid w:val="5BCB1B7A"/>
    <w:rsid w:val="5C080B93"/>
    <w:rsid w:val="5C1D29FC"/>
    <w:rsid w:val="5C395E90"/>
    <w:rsid w:val="5C876A5B"/>
    <w:rsid w:val="5CAE640D"/>
    <w:rsid w:val="5CB62421"/>
    <w:rsid w:val="5CF345FA"/>
    <w:rsid w:val="5CF76710"/>
    <w:rsid w:val="5D100813"/>
    <w:rsid w:val="5D214AD4"/>
    <w:rsid w:val="5D2E6143"/>
    <w:rsid w:val="5D4E5810"/>
    <w:rsid w:val="5D5602F4"/>
    <w:rsid w:val="5D6B0ADC"/>
    <w:rsid w:val="5DDC3049"/>
    <w:rsid w:val="5DE3352B"/>
    <w:rsid w:val="5E2454A6"/>
    <w:rsid w:val="5E424FF2"/>
    <w:rsid w:val="5E463BD8"/>
    <w:rsid w:val="5E58304E"/>
    <w:rsid w:val="5E8C73C5"/>
    <w:rsid w:val="5EF26512"/>
    <w:rsid w:val="5F333DDF"/>
    <w:rsid w:val="5F653280"/>
    <w:rsid w:val="60122100"/>
    <w:rsid w:val="60BF4EDB"/>
    <w:rsid w:val="61667655"/>
    <w:rsid w:val="618A71D9"/>
    <w:rsid w:val="61F5057D"/>
    <w:rsid w:val="620D493E"/>
    <w:rsid w:val="620E31A7"/>
    <w:rsid w:val="62227941"/>
    <w:rsid w:val="622E2FB0"/>
    <w:rsid w:val="62517B15"/>
    <w:rsid w:val="627243D7"/>
    <w:rsid w:val="6281362B"/>
    <w:rsid w:val="62BB7314"/>
    <w:rsid w:val="62D073C1"/>
    <w:rsid w:val="63646BCD"/>
    <w:rsid w:val="637E0365"/>
    <w:rsid w:val="63F818AF"/>
    <w:rsid w:val="64097F81"/>
    <w:rsid w:val="642928A3"/>
    <w:rsid w:val="643F5712"/>
    <w:rsid w:val="64474946"/>
    <w:rsid w:val="648864C8"/>
    <w:rsid w:val="64AC0F65"/>
    <w:rsid w:val="64AC4D21"/>
    <w:rsid w:val="64DE6188"/>
    <w:rsid w:val="64EA3740"/>
    <w:rsid w:val="65237F12"/>
    <w:rsid w:val="6563017D"/>
    <w:rsid w:val="65A93B6B"/>
    <w:rsid w:val="65F77FAC"/>
    <w:rsid w:val="65FD27F5"/>
    <w:rsid w:val="66973754"/>
    <w:rsid w:val="66C24048"/>
    <w:rsid w:val="67205059"/>
    <w:rsid w:val="674F1686"/>
    <w:rsid w:val="675871CF"/>
    <w:rsid w:val="67A86DEF"/>
    <w:rsid w:val="67BF3F06"/>
    <w:rsid w:val="67C77E13"/>
    <w:rsid w:val="67D7611B"/>
    <w:rsid w:val="67DF2B40"/>
    <w:rsid w:val="67E44C51"/>
    <w:rsid w:val="68222B60"/>
    <w:rsid w:val="687F52E8"/>
    <w:rsid w:val="68822D00"/>
    <w:rsid w:val="689E6E93"/>
    <w:rsid w:val="68C04240"/>
    <w:rsid w:val="68DA3F8D"/>
    <w:rsid w:val="68FA3F01"/>
    <w:rsid w:val="693442D1"/>
    <w:rsid w:val="695A7DFF"/>
    <w:rsid w:val="6A010AF2"/>
    <w:rsid w:val="6A311016"/>
    <w:rsid w:val="6A705A68"/>
    <w:rsid w:val="6AB662D5"/>
    <w:rsid w:val="6AC87B09"/>
    <w:rsid w:val="6B080012"/>
    <w:rsid w:val="6B6A57BF"/>
    <w:rsid w:val="6B9078C4"/>
    <w:rsid w:val="6BAB28CC"/>
    <w:rsid w:val="6BC327F3"/>
    <w:rsid w:val="6C3124B6"/>
    <w:rsid w:val="6CFC400F"/>
    <w:rsid w:val="6D313AF2"/>
    <w:rsid w:val="6D680F11"/>
    <w:rsid w:val="6D9B6FED"/>
    <w:rsid w:val="6DAB31AB"/>
    <w:rsid w:val="6DD17321"/>
    <w:rsid w:val="6DD55516"/>
    <w:rsid w:val="6E642ECA"/>
    <w:rsid w:val="6E981498"/>
    <w:rsid w:val="6EDD44D5"/>
    <w:rsid w:val="6EE53D65"/>
    <w:rsid w:val="6F0462AF"/>
    <w:rsid w:val="6F5B536E"/>
    <w:rsid w:val="6F6C5A34"/>
    <w:rsid w:val="6F862021"/>
    <w:rsid w:val="6FDB67F5"/>
    <w:rsid w:val="6FEB7F4E"/>
    <w:rsid w:val="701B7A5A"/>
    <w:rsid w:val="70710D73"/>
    <w:rsid w:val="7075449C"/>
    <w:rsid w:val="7093328D"/>
    <w:rsid w:val="70B94757"/>
    <w:rsid w:val="70C208BF"/>
    <w:rsid w:val="70CF457E"/>
    <w:rsid w:val="71493E4B"/>
    <w:rsid w:val="722A7E86"/>
    <w:rsid w:val="723356D8"/>
    <w:rsid w:val="723B1117"/>
    <w:rsid w:val="724F76A0"/>
    <w:rsid w:val="726208DF"/>
    <w:rsid w:val="727B04D4"/>
    <w:rsid w:val="727B4099"/>
    <w:rsid w:val="72A94047"/>
    <w:rsid w:val="730B3575"/>
    <w:rsid w:val="73734FD6"/>
    <w:rsid w:val="737625AA"/>
    <w:rsid w:val="73A83D47"/>
    <w:rsid w:val="73AF252F"/>
    <w:rsid w:val="73EE04C5"/>
    <w:rsid w:val="73EF6A12"/>
    <w:rsid w:val="740E4978"/>
    <w:rsid w:val="745844E5"/>
    <w:rsid w:val="74694643"/>
    <w:rsid w:val="74CE1CE7"/>
    <w:rsid w:val="750D3F7B"/>
    <w:rsid w:val="75420951"/>
    <w:rsid w:val="754F755D"/>
    <w:rsid w:val="756A2C5F"/>
    <w:rsid w:val="7597752C"/>
    <w:rsid w:val="75A603BA"/>
    <w:rsid w:val="75EB1E45"/>
    <w:rsid w:val="75FC1264"/>
    <w:rsid w:val="761722E7"/>
    <w:rsid w:val="762557EB"/>
    <w:rsid w:val="764175EF"/>
    <w:rsid w:val="765D4A66"/>
    <w:rsid w:val="7666128B"/>
    <w:rsid w:val="766A38A7"/>
    <w:rsid w:val="766B234E"/>
    <w:rsid w:val="76784A7A"/>
    <w:rsid w:val="76A30D0B"/>
    <w:rsid w:val="76B15F62"/>
    <w:rsid w:val="76BE27F8"/>
    <w:rsid w:val="76BF2164"/>
    <w:rsid w:val="76C020B2"/>
    <w:rsid w:val="76FE5C18"/>
    <w:rsid w:val="7703408C"/>
    <w:rsid w:val="77090983"/>
    <w:rsid w:val="7715289A"/>
    <w:rsid w:val="77397399"/>
    <w:rsid w:val="77426719"/>
    <w:rsid w:val="775341E3"/>
    <w:rsid w:val="775B20A7"/>
    <w:rsid w:val="7789074F"/>
    <w:rsid w:val="77AB5374"/>
    <w:rsid w:val="77B72B1A"/>
    <w:rsid w:val="780B47A1"/>
    <w:rsid w:val="783953F6"/>
    <w:rsid w:val="78855B94"/>
    <w:rsid w:val="788C2A25"/>
    <w:rsid w:val="78A55C9A"/>
    <w:rsid w:val="78CB1A27"/>
    <w:rsid w:val="78F146F6"/>
    <w:rsid w:val="790F6E88"/>
    <w:rsid w:val="793C1D1A"/>
    <w:rsid w:val="797A57B3"/>
    <w:rsid w:val="79904108"/>
    <w:rsid w:val="79B96D27"/>
    <w:rsid w:val="79DD780C"/>
    <w:rsid w:val="79F345E9"/>
    <w:rsid w:val="79F56A7E"/>
    <w:rsid w:val="7A331A23"/>
    <w:rsid w:val="7A4E22EF"/>
    <w:rsid w:val="7A962995"/>
    <w:rsid w:val="7AD91DD2"/>
    <w:rsid w:val="7ADD7AFB"/>
    <w:rsid w:val="7ADF56A9"/>
    <w:rsid w:val="7B3967A5"/>
    <w:rsid w:val="7B3F2806"/>
    <w:rsid w:val="7B593B7C"/>
    <w:rsid w:val="7B8D1DF0"/>
    <w:rsid w:val="7B930120"/>
    <w:rsid w:val="7C24687D"/>
    <w:rsid w:val="7C750E75"/>
    <w:rsid w:val="7CA41621"/>
    <w:rsid w:val="7CA51CE8"/>
    <w:rsid w:val="7CD64B89"/>
    <w:rsid w:val="7CE42610"/>
    <w:rsid w:val="7CFD1F85"/>
    <w:rsid w:val="7D1136F7"/>
    <w:rsid w:val="7D851B58"/>
    <w:rsid w:val="7DCD0FCE"/>
    <w:rsid w:val="7E2010C6"/>
    <w:rsid w:val="7E4F352C"/>
    <w:rsid w:val="7E566F76"/>
    <w:rsid w:val="7E8C467E"/>
    <w:rsid w:val="7EC54DBD"/>
    <w:rsid w:val="7EC93871"/>
    <w:rsid w:val="7F097EC6"/>
    <w:rsid w:val="7F2C2FB4"/>
    <w:rsid w:val="7F4935EE"/>
    <w:rsid w:val="7F551A8E"/>
    <w:rsid w:val="7F67411D"/>
    <w:rsid w:val="7F6F60AC"/>
    <w:rsid w:val="7FB90243"/>
    <w:rsid w:val="7FBE237B"/>
    <w:rsid w:val="FFFF15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宋体" w:eastAsia="宋体" w:cs="宋体"/>
      <w:kern w:val="2"/>
      <w:sz w:val="24"/>
      <w:szCs w:val="24"/>
      <w:lang w:val="en-US" w:eastAsia="zh-CN" w:bidi="ar-SA"/>
    </w:rPr>
  </w:style>
  <w:style w:type="character" w:default="1" w:styleId="13">
    <w:name w:val="Default Paragraph Font"/>
    <w:semiHidden/>
    <w:unhideWhenUsed/>
    <w:uiPriority w:val="1"/>
  </w:style>
  <w:style w:type="table" w:default="1" w:styleId="11">
    <w:name w:val="Normal Table"/>
    <w:semiHidden/>
    <w:unhideWhenUsed/>
    <w:uiPriority w:val="99"/>
    <w:tblPr>
      <w:tblLayout w:type="fixed"/>
      <w:tblCellMar>
        <w:top w:w="0" w:type="dxa"/>
        <w:left w:w="108" w:type="dxa"/>
        <w:bottom w:w="0" w:type="dxa"/>
        <w:right w:w="108" w:type="dxa"/>
      </w:tblCellMar>
    </w:tblPr>
  </w:style>
  <w:style w:type="paragraph" w:styleId="2">
    <w:name w:val="Body Text First Indent"/>
    <w:qFormat/>
    <w:uiPriority w:val="0"/>
    <w:pPr>
      <w:widowControl w:val="0"/>
      <w:spacing w:after="120" w:line="288" w:lineRule="auto"/>
      <w:ind w:firstLine="420" w:firstLineChars="100"/>
      <w:jc w:val="both"/>
    </w:pPr>
    <w:rPr>
      <w:rFonts w:ascii="Times New Roman" w:hAnsi="Times New Roman" w:eastAsia="宋体" w:cs="Times New Roman"/>
      <w:kern w:val="2"/>
      <w:sz w:val="28"/>
      <w:szCs w:val="24"/>
      <w:lang w:val="en-US" w:eastAsia="zh-CN" w:bidi="ar-SA"/>
    </w:rPr>
  </w:style>
  <w:style w:type="paragraph" w:styleId="3">
    <w:name w:val="annotation text"/>
    <w:basedOn w:val="1"/>
    <w:link w:val="17"/>
    <w:unhideWhenUsed/>
    <w:qFormat/>
    <w:uiPriority w:val="99"/>
    <w:pPr>
      <w:jc w:val="left"/>
    </w:pPr>
    <w:rPr>
      <w:rFonts w:ascii="Times New Roman" w:hAnsi="Times New Roman" w:cs="Times New Roman"/>
      <w:sz w:val="28"/>
    </w:rPr>
  </w:style>
  <w:style w:type="paragraph" w:styleId="4">
    <w:name w:val="Body Text Indent"/>
    <w:basedOn w:val="1"/>
    <w:link w:val="18"/>
    <w:qFormat/>
    <w:uiPriority w:val="0"/>
    <w:pPr>
      <w:spacing w:line="200" w:lineRule="atLeast"/>
      <w:ind w:firstLine="301"/>
    </w:pPr>
    <w:rPr>
      <w:rFonts w:hAnsi="Courier New" w:cs="Times New Roman"/>
      <w:spacing w:val="-4"/>
      <w:sz w:val="18"/>
      <w:szCs w:val="20"/>
    </w:rPr>
  </w:style>
  <w:style w:type="paragraph" w:styleId="5">
    <w:name w:val="Plain Text"/>
    <w:basedOn w:val="1"/>
    <w:link w:val="25"/>
    <w:qFormat/>
    <w:uiPriority w:val="99"/>
    <w:pPr>
      <w:spacing w:before="156" w:beforeLines="50" w:after="156" w:afterLines="50" w:line="400" w:lineRule="atLeast"/>
    </w:pPr>
    <w:rPr>
      <w:rFonts w:hAnsi="Courier New" w:eastAsiaTheme="minorEastAsia" w:cstheme="minorBidi"/>
    </w:rPr>
  </w:style>
  <w:style w:type="paragraph" w:styleId="6">
    <w:name w:val="Balloon Text"/>
    <w:basedOn w:val="1"/>
    <w:link w:val="16"/>
    <w:qFormat/>
    <w:uiPriority w:val="0"/>
    <w:rPr>
      <w:sz w:val="18"/>
      <w:szCs w:val="18"/>
    </w:rPr>
  </w:style>
  <w:style w:type="paragraph" w:styleId="7">
    <w:name w:val="footer"/>
    <w:basedOn w:val="1"/>
    <w:link w:val="23"/>
    <w:qFormat/>
    <w:uiPriority w:val="99"/>
    <w:pPr>
      <w:tabs>
        <w:tab w:val="center" w:pos="4153"/>
        <w:tab w:val="right" w:pos="8306"/>
      </w:tabs>
      <w:snapToGrid w:val="0"/>
      <w:jc w:val="left"/>
    </w:pPr>
    <w:rPr>
      <w:sz w:val="18"/>
    </w:rPr>
  </w:style>
  <w:style w:type="paragraph" w:styleId="8">
    <w:name w:val="header"/>
    <w:basedOn w:val="1"/>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9">
    <w:name w:val="Normal (Web)"/>
    <w:basedOn w:val="1"/>
    <w:unhideWhenUsed/>
    <w:qFormat/>
    <w:uiPriority w:val="99"/>
    <w:pPr>
      <w:widowControl/>
      <w:spacing w:before="100" w:beforeAutospacing="1" w:after="100" w:afterAutospacing="1"/>
      <w:jc w:val="left"/>
    </w:pPr>
    <w:rPr>
      <w:kern w:val="0"/>
    </w:rPr>
  </w:style>
  <w:style w:type="paragraph" w:styleId="10">
    <w:name w:val="annotation subject"/>
    <w:basedOn w:val="3"/>
    <w:next w:val="3"/>
    <w:link w:val="26"/>
    <w:semiHidden/>
    <w:unhideWhenUsed/>
    <w:qFormat/>
    <w:uiPriority w:val="0"/>
    <w:rPr>
      <w:rFonts w:ascii="宋体" w:hAnsi="宋体" w:cs="宋体"/>
      <w:b/>
      <w:bCs/>
      <w:sz w:val="24"/>
    </w:rPr>
  </w:style>
  <w:style w:type="table" w:styleId="12">
    <w:name w:val="Table Grid"/>
    <w:basedOn w:val="11"/>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4">
    <w:name w:val="Hyperlink"/>
    <w:basedOn w:val="13"/>
    <w:unhideWhenUsed/>
    <w:qFormat/>
    <w:uiPriority w:val="99"/>
    <w:rPr>
      <w:color w:val="0000FF"/>
      <w:u w:val="single"/>
    </w:rPr>
  </w:style>
  <w:style w:type="character" w:styleId="15">
    <w:name w:val="annotation reference"/>
    <w:unhideWhenUsed/>
    <w:qFormat/>
    <w:uiPriority w:val="99"/>
    <w:rPr>
      <w:sz w:val="21"/>
      <w:szCs w:val="21"/>
    </w:rPr>
  </w:style>
  <w:style w:type="character" w:customStyle="1" w:styleId="16">
    <w:name w:val="批注框文本 字符"/>
    <w:basedOn w:val="13"/>
    <w:link w:val="6"/>
    <w:qFormat/>
    <w:uiPriority w:val="0"/>
    <w:rPr>
      <w:rFonts w:ascii="宋体" w:hAnsi="宋体" w:cs="宋体"/>
      <w:kern w:val="2"/>
      <w:sz w:val="18"/>
      <w:szCs w:val="18"/>
    </w:rPr>
  </w:style>
  <w:style w:type="character" w:customStyle="1" w:styleId="17">
    <w:name w:val="批注文字 字符"/>
    <w:basedOn w:val="13"/>
    <w:link w:val="3"/>
    <w:qFormat/>
    <w:uiPriority w:val="99"/>
    <w:rPr>
      <w:kern w:val="2"/>
      <w:sz w:val="28"/>
      <w:szCs w:val="24"/>
    </w:rPr>
  </w:style>
  <w:style w:type="character" w:customStyle="1" w:styleId="18">
    <w:name w:val="正文文本缩进 字符1"/>
    <w:link w:val="4"/>
    <w:qFormat/>
    <w:uiPriority w:val="0"/>
    <w:rPr>
      <w:rFonts w:ascii="宋体" w:hAnsi="Courier New"/>
      <w:spacing w:val="-4"/>
      <w:kern w:val="2"/>
      <w:sz w:val="18"/>
    </w:rPr>
  </w:style>
  <w:style w:type="character" w:customStyle="1" w:styleId="19">
    <w:name w:val="正文文本缩进 字符"/>
    <w:basedOn w:val="13"/>
    <w:qFormat/>
    <w:uiPriority w:val="0"/>
    <w:rPr>
      <w:rFonts w:ascii="宋体" w:hAnsi="宋体" w:cs="宋体"/>
      <w:kern w:val="2"/>
      <w:sz w:val="24"/>
      <w:szCs w:val="24"/>
    </w:rPr>
  </w:style>
  <w:style w:type="character" w:customStyle="1" w:styleId="20">
    <w:name w:val="正文文本缩进 字符2"/>
    <w:qFormat/>
    <w:uiPriority w:val="0"/>
    <w:rPr>
      <w:rFonts w:ascii="宋体" w:hAnsi="Courier New"/>
      <w:spacing w:val="-4"/>
      <w:kern w:val="2"/>
      <w:sz w:val="18"/>
    </w:rPr>
  </w:style>
  <w:style w:type="character" w:customStyle="1" w:styleId="21">
    <w:name w:val="未处理的提及1"/>
    <w:basedOn w:val="13"/>
    <w:semiHidden/>
    <w:unhideWhenUsed/>
    <w:qFormat/>
    <w:uiPriority w:val="99"/>
    <w:rPr>
      <w:color w:val="605E5C"/>
      <w:shd w:val="clear" w:color="auto" w:fill="E1DFDD"/>
    </w:rPr>
  </w:style>
  <w:style w:type="paragraph" w:styleId="22">
    <w:name w:val="List Paragraph"/>
    <w:basedOn w:val="1"/>
    <w:qFormat/>
    <w:uiPriority w:val="99"/>
    <w:pPr>
      <w:ind w:firstLine="420" w:firstLineChars="200"/>
    </w:pPr>
  </w:style>
  <w:style w:type="character" w:customStyle="1" w:styleId="23">
    <w:name w:val="页脚 字符"/>
    <w:basedOn w:val="13"/>
    <w:link w:val="7"/>
    <w:qFormat/>
    <w:uiPriority w:val="99"/>
    <w:rPr>
      <w:rFonts w:ascii="宋体" w:hAnsi="宋体" w:cs="宋体"/>
      <w:kern w:val="2"/>
      <w:sz w:val="18"/>
      <w:szCs w:val="24"/>
    </w:rPr>
  </w:style>
  <w:style w:type="character" w:customStyle="1" w:styleId="24">
    <w:name w:val="纯文本 字符"/>
    <w:basedOn w:val="13"/>
    <w:qFormat/>
    <w:uiPriority w:val="0"/>
    <w:rPr>
      <w:rFonts w:hAnsi="Courier New" w:cs="Courier New" w:asciiTheme="minorEastAsia" w:eastAsiaTheme="minorEastAsia"/>
      <w:kern w:val="2"/>
      <w:sz w:val="24"/>
      <w:szCs w:val="24"/>
    </w:rPr>
  </w:style>
  <w:style w:type="character" w:customStyle="1" w:styleId="25">
    <w:name w:val="纯文本 字符1"/>
    <w:link w:val="5"/>
    <w:qFormat/>
    <w:uiPriority w:val="99"/>
    <w:rPr>
      <w:rFonts w:ascii="宋体" w:hAnsi="Courier New" w:eastAsiaTheme="minorEastAsia" w:cstheme="minorBidi"/>
      <w:kern w:val="2"/>
      <w:sz w:val="24"/>
      <w:szCs w:val="24"/>
    </w:rPr>
  </w:style>
  <w:style w:type="character" w:customStyle="1" w:styleId="26">
    <w:name w:val="批注主题 字符"/>
    <w:basedOn w:val="17"/>
    <w:link w:val="10"/>
    <w:semiHidden/>
    <w:qFormat/>
    <w:uiPriority w:val="0"/>
    <w:rPr>
      <w:rFonts w:ascii="宋体" w:hAnsi="宋体" w:cs="宋体"/>
      <w:b/>
      <w:bCs/>
      <w:kern w:val="2"/>
      <w:sz w:val="24"/>
      <w:szCs w:val="24"/>
    </w:rPr>
  </w:style>
  <w:style w:type="table" w:customStyle="1" w:styleId="27">
    <w:name w:val="网格型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style>
  <w:style w:type="paragraph" w:customStyle="1" w:styleId="28">
    <w:name w:val="修订1"/>
    <w:hidden/>
    <w:semiHidden/>
    <w:qFormat/>
    <w:uiPriority w:val="99"/>
    <w:rPr>
      <w:rFonts w:ascii="宋体" w:hAnsi="宋体" w:eastAsia="宋体" w:cs="宋体"/>
      <w:kern w:val="2"/>
      <w:sz w:val="24"/>
      <w:szCs w:val="24"/>
      <w:lang w:val="en-US" w:eastAsia="zh-CN" w:bidi="ar-SA"/>
    </w:rPr>
  </w:style>
  <w:style w:type="paragraph" w:customStyle="1" w:styleId="29">
    <w:name w:val="Revision"/>
    <w:hidden/>
    <w:semiHidden/>
    <w:qFormat/>
    <w:uiPriority w:val="99"/>
    <w:rPr>
      <w:rFonts w:ascii="宋体" w:hAnsi="宋体" w:eastAsia="宋体" w:cs="宋体"/>
      <w:kern w:val="2"/>
      <w:sz w:val="24"/>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52</Pages>
  <Words>5310</Words>
  <Characters>30267</Characters>
  <Lines>252</Lines>
  <Paragraphs>71</Paragraphs>
  <TotalTime>5</TotalTime>
  <ScaleCrop>false</ScaleCrop>
  <LinksUpToDate>false</LinksUpToDate>
  <CharactersWithSpaces>35506</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2023-07-03T08:20:00Z</dcterms:created>
  <dc:creator>Administrator</dc:creator>
  <cp:lastModifiedBy>浙江求是招标代理有限公司</cp:lastModifiedBy>
  <cp:lastPrinted>2020-04-01T13:56:00Z</cp:lastPrinted>
  <dcterms:modified xsi:type="dcterms:W3CDTF">2023-07-04T01:03:38Z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A58B2E86E6D49CD6A71B9864F400ECC1_43</vt:lpwstr>
  </property>
</Properties>
</file>