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rPr>
          <w:rFonts w:ascii="楷体" w:hAnsi="楷体" w:eastAsia="楷体"/>
          <w:b/>
          <w:color w:val="auto"/>
          <w:spacing w:val="-6"/>
          <w:sz w:val="44"/>
          <w:szCs w:val="44"/>
          <w:highlight w:val="none"/>
        </w:rPr>
      </w:pPr>
    </w:p>
    <w:p>
      <w:pPr>
        <w:spacing w:line="360" w:lineRule="auto"/>
        <w:rPr>
          <w:rFonts w:ascii="楷体" w:hAnsi="楷体" w:eastAsia="楷体"/>
          <w:b/>
          <w:color w:val="auto"/>
          <w:spacing w:val="-6"/>
          <w:sz w:val="44"/>
          <w:szCs w:val="44"/>
          <w:highlight w:val="none"/>
        </w:rPr>
      </w:pPr>
    </w:p>
    <w:p>
      <w:pPr>
        <w:spacing w:line="360" w:lineRule="auto"/>
        <w:jc w:val="center"/>
        <w:rPr>
          <w:rFonts w:ascii="楷体" w:hAnsi="楷体" w:eastAsia="楷体"/>
          <w:b/>
          <w:color w:val="auto"/>
          <w:spacing w:val="-6"/>
          <w:sz w:val="48"/>
          <w:szCs w:val="48"/>
          <w:highlight w:val="none"/>
        </w:rPr>
      </w:pPr>
      <w:r>
        <w:rPr>
          <w:rFonts w:hint="eastAsia" w:ascii="楷体" w:hAnsi="楷体" w:eastAsia="楷体"/>
          <w:b/>
          <w:color w:val="auto"/>
          <w:spacing w:val="-6"/>
          <w:sz w:val="48"/>
          <w:szCs w:val="48"/>
          <w:highlight w:val="none"/>
        </w:rPr>
        <w:t>浙江求是招标代理有限公司关于</w:t>
      </w:r>
    </w:p>
    <w:p>
      <w:pPr>
        <w:spacing w:line="360" w:lineRule="auto"/>
        <w:jc w:val="center"/>
        <w:rPr>
          <w:rFonts w:ascii="楷体" w:hAnsi="楷体" w:eastAsia="楷体"/>
          <w:b/>
          <w:color w:val="auto"/>
          <w:spacing w:val="-6"/>
          <w:sz w:val="48"/>
          <w:szCs w:val="48"/>
          <w:highlight w:val="none"/>
        </w:rPr>
      </w:pPr>
      <w:r>
        <w:rPr>
          <w:rFonts w:hint="eastAsia" w:ascii="楷体" w:hAnsi="楷体" w:eastAsia="楷体"/>
          <w:b/>
          <w:color w:val="auto"/>
          <w:spacing w:val="-6"/>
          <w:sz w:val="48"/>
          <w:szCs w:val="48"/>
          <w:highlight w:val="none"/>
        </w:rPr>
        <w:t>杭州电子科技大学</w:t>
      </w:r>
    </w:p>
    <w:p>
      <w:pPr>
        <w:spacing w:line="360" w:lineRule="auto"/>
        <w:jc w:val="center"/>
        <w:rPr>
          <w:rFonts w:ascii="楷体" w:hAnsi="楷体" w:eastAsia="楷体"/>
          <w:b/>
          <w:color w:val="auto"/>
          <w:spacing w:val="-6"/>
          <w:sz w:val="48"/>
          <w:szCs w:val="48"/>
          <w:highlight w:val="none"/>
        </w:rPr>
      </w:pPr>
      <w:r>
        <w:rPr>
          <w:rFonts w:hint="eastAsia" w:ascii="楷体" w:hAnsi="楷体" w:eastAsia="楷体"/>
          <w:b/>
          <w:color w:val="auto"/>
          <w:spacing w:val="-6"/>
          <w:sz w:val="48"/>
          <w:szCs w:val="48"/>
          <w:highlight w:val="none"/>
        </w:rPr>
        <w:t>协同创新中心高教仪器设备</w:t>
      </w:r>
    </w:p>
    <w:p>
      <w:pPr>
        <w:spacing w:line="360" w:lineRule="auto"/>
        <w:jc w:val="center"/>
        <w:rPr>
          <w:rFonts w:ascii="楷体" w:hAnsi="楷体" w:eastAsia="楷体"/>
          <w:b/>
          <w:color w:val="auto"/>
          <w:sz w:val="72"/>
          <w:szCs w:val="72"/>
          <w:highlight w:val="none"/>
        </w:rPr>
      </w:pPr>
    </w:p>
    <w:p>
      <w:pPr>
        <w:spacing w:line="360" w:lineRule="auto"/>
        <w:jc w:val="center"/>
        <w:rPr>
          <w:rFonts w:ascii="楷体" w:hAnsi="楷体" w:eastAsia="楷体"/>
          <w:b/>
          <w:color w:val="auto"/>
          <w:spacing w:val="-6"/>
          <w:sz w:val="72"/>
          <w:szCs w:val="72"/>
          <w:highlight w:val="none"/>
        </w:rPr>
      </w:pPr>
      <w:r>
        <w:rPr>
          <w:rFonts w:hint="eastAsia" w:ascii="楷体" w:hAnsi="楷体" w:eastAsia="楷体"/>
          <w:b/>
          <w:color w:val="auto"/>
          <w:spacing w:val="-6"/>
          <w:sz w:val="72"/>
          <w:szCs w:val="72"/>
          <w:highlight w:val="none"/>
        </w:rPr>
        <w:t>招 标 文 件</w:t>
      </w:r>
    </w:p>
    <w:p>
      <w:pPr>
        <w:widowControl/>
        <w:spacing w:line="360" w:lineRule="auto"/>
        <w:ind w:right="-2"/>
        <w:jc w:val="center"/>
        <w:rPr>
          <w:rFonts w:ascii="宋体" w:hAnsi="宋体"/>
          <w:b/>
          <w:color w:val="auto"/>
          <w:sz w:val="36"/>
          <w:highlight w:val="none"/>
        </w:rPr>
      </w:pPr>
      <w:r>
        <w:rPr>
          <w:rFonts w:hint="eastAsia" w:ascii="宋体" w:hAnsi="宋体"/>
          <w:b/>
          <w:color w:val="auto"/>
          <w:sz w:val="36"/>
          <w:highlight w:val="none"/>
        </w:rPr>
        <w:t>（线上电子招投标）</w:t>
      </w:r>
    </w:p>
    <w:p>
      <w:pPr>
        <w:spacing w:line="360" w:lineRule="auto"/>
        <w:jc w:val="center"/>
        <w:rPr>
          <w:rFonts w:ascii="楷体" w:hAnsi="楷体" w:eastAsia="楷体"/>
          <w:color w:val="auto"/>
          <w:sz w:val="44"/>
          <w:szCs w:val="44"/>
          <w:highlight w:val="none"/>
        </w:rPr>
      </w:pPr>
    </w:p>
    <w:p>
      <w:pPr>
        <w:spacing w:line="360" w:lineRule="auto"/>
        <w:jc w:val="center"/>
        <w:rPr>
          <w:rFonts w:ascii="楷体" w:hAnsi="楷体" w:eastAsia="楷体"/>
          <w:color w:val="auto"/>
          <w:sz w:val="44"/>
          <w:szCs w:val="44"/>
          <w:highlight w:val="none"/>
        </w:rPr>
      </w:pPr>
    </w:p>
    <w:p>
      <w:pPr>
        <w:spacing w:line="360" w:lineRule="auto"/>
        <w:jc w:val="center"/>
        <w:rPr>
          <w:rFonts w:ascii="楷体" w:hAnsi="楷体" w:eastAsia="楷体"/>
          <w:color w:val="auto"/>
          <w:sz w:val="44"/>
          <w:szCs w:val="44"/>
          <w:highlight w:val="none"/>
        </w:rPr>
      </w:pPr>
    </w:p>
    <w:p>
      <w:pPr>
        <w:spacing w:line="360" w:lineRule="auto"/>
        <w:ind w:firstLine="1735" w:firstLineChars="600"/>
        <w:rPr>
          <w:rFonts w:ascii="楷体" w:hAnsi="楷体" w:eastAsia="楷体"/>
          <w:b/>
          <w:color w:val="auto"/>
          <w:spacing w:val="-6"/>
          <w:sz w:val="30"/>
          <w:szCs w:val="30"/>
          <w:highlight w:val="none"/>
        </w:rPr>
      </w:pPr>
      <w:r>
        <w:rPr>
          <w:rFonts w:hint="eastAsia" w:ascii="楷体" w:hAnsi="楷体" w:eastAsia="楷体"/>
          <w:b/>
          <w:color w:val="auto"/>
          <w:spacing w:val="-6"/>
          <w:sz w:val="30"/>
          <w:szCs w:val="30"/>
          <w:highlight w:val="none"/>
        </w:rPr>
        <w:t>项目名称：协同创新中心高教仪器设备</w:t>
      </w:r>
    </w:p>
    <w:p>
      <w:pPr>
        <w:spacing w:line="360" w:lineRule="auto"/>
        <w:ind w:firstLine="1735" w:firstLineChars="600"/>
        <w:rPr>
          <w:rFonts w:ascii="楷体" w:hAnsi="楷体" w:eastAsia="楷体"/>
          <w:b/>
          <w:color w:val="auto"/>
          <w:spacing w:val="-6"/>
          <w:sz w:val="30"/>
          <w:szCs w:val="30"/>
          <w:highlight w:val="none"/>
        </w:rPr>
      </w:pPr>
      <w:r>
        <w:rPr>
          <w:rFonts w:hint="eastAsia" w:ascii="楷体" w:hAnsi="楷体" w:eastAsia="楷体"/>
          <w:b/>
          <w:color w:val="auto"/>
          <w:spacing w:val="-6"/>
          <w:sz w:val="30"/>
          <w:szCs w:val="30"/>
          <w:highlight w:val="none"/>
        </w:rPr>
        <w:t xml:space="preserve">项目编号：QSZB-Z(H)-B20132(GK) </w:t>
      </w:r>
    </w:p>
    <w:p>
      <w:pPr>
        <w:spacing w:line="360" w:lineRule="auto"/>
        <w:ind w:firstLine="1735" w:firstLineChars="600"/>
        <w:rPr>
          <w:rFonts w:ascii="楷体" w:hAnsi="楷体" w:eastAsia="楷体"/>
          <w:b/>
          <w:color w:val="auto"/>
          <w:spacing w:val="-6"/>
          <w:sz w:val="30"/>
          <w:szCs w:val="30"/>
          <w:highlight w:val="none"/>
        </w:rPr>
      </w:pPr>
      <w:r>
        <w:rPr>
          <w:rFonts w:hint="eastAsia" w:ascii="楷体" w:hAnsi="楷体" w:eastAsia="楷体"/>
          <w:b/>
          <w:color w:val="auto"/>
          <w:spacing w:val="-6"/>
          <w:sz w:val="30"/>
          <w:szCs w:val="30"/>
          <w:highlight w:val="none"/>
        </w:rPr>
        <w:t>采 购 人：杭州电子科技大学</w:t>
      </w:r>
    </w:p>
    <w:p>
      <w:pPr>
        <w:spacing w:line="360" w:lineRule="auto"/>
        <w:ind w:firstLine="1735" w:firstLineChars="600"/>
        <w:rPr>
          <w:rFonts w:ascii="楷体" w:hAnsi="楷体" w:eastAsia="楷体"/>
          <w:b/>
          <w:color w:val="auto"/>
          <w:spacing w:val="-6"/>
          <w:sz w:val="30"/>
          <w:szCs w:val="30"/>
          <w:highlight w:val="none"/>
        </w:rPr>
      </w:pPr>
      <w:r>
        <w:rPr>
          <w:rFonts w:hint="eastAsia" w:ascii="楷体" w:hAnsi="楷体" w:eastAsia="楷体"/>
          <w:b/>
          <w:color w:val="auto"/>
          <w:spacing w:val="-6"/>
          <w:sz w:val="30"/>
          <w:szCs w:val="30"/>
          <w:highlight w:val="none"/>
        </w:rPr>
        <w:t>采购代理机构：浙江求是招标代理有限公司</w:t>
      </w:r>
    </w:p>
    <w:p>
      <w:pPr>
        <w:spacing w:line="360" w:lineRule="auto"/>
        <w:rPr>
          <w:rFonts w:ascii="楷体" w:hAnsi="楷体" w:eastAsia="楷体"/>
          <w:b/>
          <w:color w:val="auto"/>
          <w:sz w:val="21"/>
          <w:szCs w:val="21"/>
          <w:highlight w:val="none"/>
        </w:rPr>
        <w:sectPr>
          <w:headerReference r:id="rId3" w:type="default"/>
          <w:pgSz w:w="11906" w:h="16838"/>
          <w:pgMar w:top="1440" w:right="1247" w:bottom="1440" w:left="1247" w:header="283" w:footer="850" w:gutter="0"/>
          <w:cols w:space="720" w:num="1"/>
          <w:docGrid w:linePitch="381" w:charSpace="0"/>
        </w:sectPr>
      </w:pPr>
    </w:p>
    <w:p>
      <w:pPr>
        <w:spacing w:line="480" w:lineRule="auto"/>
        <w:rPr>
          <w:rFonts w:ascii="楷体" w:hAnsi="楷体" w:eastAsia="楷体"/>
          <w:b/>
          <w:color w:val="auto"/>
          <w:sz w:val="21"/>
          <w:szCs w:val="21"/>
          <w:highlight w:val="none"/>
        </w:rPr>
      </w:pPr>
    </w:p>
    <w:p>
      <w:pPr>
        <w:pStyle w:val="12"/>
        <w:spacing w:before="0" w:beforeLines="0" w:after="0" w:afterLines="0" w:line="480" w:lineRule="auto"/>
        <w:jc w:val="center"/>
        <w:outlineLvl w:val="0"/>
        <w:rPr>
          <w:rFonts w:ascii="楷体" w:hAnsi="楷体" w:eastAsia="楷体"/>
          <w:b/>
          <w:color w:val="auto"/>
          <w:sz w:val="30"/>
          <w:szCs w:val="30"/>
          <w:highlight w:val="none"/>
        </w:rPr>
      </w:pPr>
      <w:r>
        <w:rPr>
          <w:rFonts w:ascii="楷体" w:hAnsi="楷体" w:eastAsia="楷体"/>
          <w:b/>
          <w:color w:val="auto"/>
          <w:sz w:val="30"/>
          <w:szCs w:val="30"/>
          <w:highlight w:val="none"/>
        </w:rPr>
        <w:t>目</w:t>
      </w:r>
      <w:r>
        <w:rPr>
          <w:rFonts w:hint="eastAsia" w:ascii="楷体" w:hAnsi="楷体" w:eastAsia="楷体"/>
          <w:b/>
          <w:color w:val="auto"/>
          <w:sz w:val="30"/>
          <w:szCs w:val="30"/>
          <w:highlight w:val="none"/>
        </w:rPr>
        <w:t xml:space="preserve">    </w:t>
      </w:r>
      <w:r>
        <w:rPr>
          <w:rFonts w:ascii="楷体" w:hAnsi="楷体" w:eastAsia="楷体"/>
          <w:b/>
          <w:color w:val="auto"/>
          <w:sz w:val="30"/>
          <w:szCs w:val="30"/>
          <w:highlight w:val="none"/>
        </w:rPr>
        <w:t>录</w:t>
      </w:r>
    </w:p>
    <w:p>
      <w:pPr>
        <w:spacing w:line="360" w:lineRule="auto"/>
        <w:ind w:firstLine="578" w:firstLineChars="200"/>
        <w:rPr>
          <w:rFonts w:ascii="楷体" w:hAnsi="楷体" w:eastAsia="楷体"/>
          <w:b/>
          <w:color w:val="auto"/>
          <w:spacing w:val="-6"/>
          <w:sz w:val="30"/>
          <w:szCs w:val="30"/>
          <w:highlight w:val="none"/>
        </w:rPr>
      </w:pPr>
      <w:r>
        <w:rPr>
          <w:rFonts w:hint="eastAsia" w:ascii="楷体" w:hAnsi="楷体" w:eastAsia="楷体"/>
          <w:b/>
          <w:color w:val="auto"/>
          <w:spacing w:val="-6"/>
          <w:sz w:val="30"/>
          <w:szCs w:val="30"/>
          <w:highlight w:val="none"/>
        </w:rPr>
        <w:t>第一章  投标邀请</w:t>
      </w:r>
    </w:p>
    <w:p>
      <w:pPr>
        <w:spacing w:line="360" w:lineRule="auto"/>
        <w:ind w:firstLine="578" w:firstLineChars="200"/>
        <w:rPr>
          <w:rFonts w:ascii="楷体" w:hAnsi="楷体" w:eastAsia="楷体"/>
          <w:b/>
          <w:color w:val="auto"/>
          <w:spacing w:val="-6"/>
          <w:sz w:val="30"/>
          <w:szCs w:val="30"/>
          <w:highlight w:val="none"/>
        </w:rPr>
      </w:pPr>
      <w:r>
        <w:rPr>
          <w:rFonts w:hint="eastAsia" w:ascii="楷体" w:hAnsi="楷体" w:eastAsia="楷体"/>
          <w:b/>
          <w:color w:val="auto"/>
          <w:spacing w:val="-6"/>
          <w:sz w:val="30"/>
          <w:szCs w:val="30"/>
          <w:highlight w:val="none"/>
        </w:rPr>
        <w:t>第二章  采购需求</w:t>
      </w:r>
    </w:p>
    <w:p>
      <w:pPr>
        <w:spacing w:line="360" w:lineRule="auto"/>
        <w:ind w:firstLine="578" w:firstLineChars="200"/>
        <w:rPr>
          <w:rFonts w:ascii="楷体" w:hAnsi="楷体" w:eastAsia="楷体"/>
          <w:b/>
          <w:color w:val="auto"/>
          <w:spacing w:val="-6"/>
          <w:sz w:val="30"/>
          <w:szCs w:val="30"/>
          <w:highlight w:val="none"/>
        </w:rPr>
      </w:pPr>
      <w:r>
        <w:rPr>
          <w:rFonts w:hint="eastAsia" w:ascii="楷体" w:hAnsi="楷体" w:eastAsia="楷体"/>
          <w:b/>
          <w:color w:val="auto"/>
          <w:spacing w:val="-6"/>
          <w:sz w:val="30"/>
          <w:szCs w:val="30"/>
          <w:highlight w:val="none"/>
        </w:rPr>
        <w:t>第三章  投标人须知</w:t>
      </w:r>
    </w:p>
    <w:p>
      <w:pPr>
        <w:spacing w:line="360" w:lineRule="auto"/>
        <w:ind w:firstLine="578" w:firstLineChars="200"/>
        <w:rPr>
          <w:rFonts w:ascii="楷体" w:hAnsi="楷体" w:eastAsia="楷体"/>
          <w:b/>
          <w:color w:val="auto"/>
          <w:spacing w:val="-6"/>
          <w:sz w:val="30"/>
          <w:szCs w:val="30"/>
          <w:highlight w:val="none"/>
        </w:rPr>
      </w:pPr>
      <w:r>
        <w:rPr>
          <w:rFonts w:hint="eastAsia" w:ascii="楷体" w:hAnsi="楷体" w:eastAsia="楷体"/>
          <w:b/>
          <w:color w:val="auto"/>
          <w:spacing w:val="-6"/>
          <w:sz w:val="30"/>
          <w:szCs w:val="30"/>
          <w:highlight w:val="none"/>
        </w:rPr>
        <w:t>第四章  评标办法及评分标准</w:t>
      </w:r>
    </w:p>
    <w:p>
      <w:pPr>
        <w:spacing w:line="360" w:lineRule="auto"/>
        <w:ind w:firstLine="578" w:firstLineChars="200"/>
        <w:rPr>
          <w:rFonts w:ascii="楷体" w:hAnsi="楷体" w:eastAsia="楷体"/>
          <w:b/>
          <w:color w:val="auto"/>
          <w:spacing w:val="-6"/>
          <w:sz w:val="30"/>
          <w:szCs w:val="30"/>
          <w:highlight w:val="none"/>
        </w:rPr>
      </w:pPr>
      <w:r>
        <w:rPr>
          <w:rFonts w:hint="eastAsia" w:ascii="楷体" w:hAnsi="楷体" w:eastAsia="楷体"/>
          <w:b/>
          <w:color w:val="auto"/>
          <w:spacing w:val="-6"/>
          <w:sz w:val="30"/>
          <w:szCs w:val="30"/>
          <w:highlight w:val="none"/>
        </w:rPr>
        <w:t>第五章  拟签订的合同文本</w:t>
      </w:r>
    </w:p>
    <w:p>
      <w:pPr>
        <w:spacing w:line="360" w:lineRule="auto"/>
        <w:ind w:firstLine="578" w:firstLineChars="200"/>
        <w:rPr>
          <w:rFonts w:ascii="楷体" w:hAnsi="楷体" w:eastAsia="楷体"/>
          <w:b/>
          <w:color w:val="auto"/>
          <w:spacing w:val="-6"/>
          <w:sz w:val="30"/>
          <w:szCs w:val="30"/>
          <w:highlight w:val="none"/>
        </w:rPr>
      </w:pPr>
      <w:r>
        <w:rPr>
          <w:rFonts w:hint="eastAsia" w:ascii="楷体" w:hAnsi="楷体" w:eastAsia="楷体"/>
          <w:b/>
          <w:color w:val="auto"/>
          <w:spacing w:val="-6"/>
          <w:sz w:val="30"/>
          <w:szCs w:val="30"/>
          <w:highlight w:val="none"/>
        </w:rPr>
        <w:t>第六章  投标文件格式</w:t>
      </w:r>
    </w:p>
    <w:p>
      <w:pPr>
        <w:pStyle w:val="12"/>
        <w:spacing w:before="0" w:beforeLines="0" w:after="0" w:afterLines="0" w:line="288" w:lineRule="auto"/>
        <w:jc w:val="center"/>
        <w:outlineLvl w:val="0"/>
        <w:rPr>
          <w:rFonts w:hAnsi="宋体"/>
          <w:b/>
          <w:color w:val="auto"/>
          <w:spacing w:val="-6"/>
          <w:sz w:val="32"/>
          <w:szCs w:val="32"/>
          <w:highlight w:val="none"/>
        </w:rPr>
      </w:pPr>
      <w:r>
        <w:rPr>
          <w:rFonts w:hAnsi="宋体"/>
          <w:color w:val="auto"/>
          <w:sz w:val="21"/>
          <w:szCs w:val="21"/>
          <w:highlight w:val="none"/>
        </w:rPr>
        <w:br w:type="page"/>
      </w:r>
      <w:r>
        <w:rPr>
          <w:rFonts w:hAnsi="宋体"/>
          <w:b/>
          <w:color w:val="auto"/>
          <w:spacing w:val="-6"/>
          <w:sz w:val="32"/>
          <w:szCs w:val="32"/>
          <w:highlight w:val="none"/>
        </w:rPr>
        <w:t>第一章  投标邀请</w:t>
      </w:r>
    </w:p>
    <w:p>
      <w:pPr>
        <w:pBdr>
          <w:top w:val="single" w:color="auto" w:sz="4" w:space="1"/>
          <w:left w:val="single" w:color="auto" w:sz="4" w:space="4"/>
          <w:bottom w:val="single" w:color="auto" w:sz="4" w:space="1"/>
          <w:right w:val="single" w:color="auto" w:sz="4" w:space="4"/>
        </w:pBdr>
        <w:spacing w:line="288" w:lineRule="auto"/>
        <w:ind w:firstLine="482" w:firstLineChars="200"/>
        <w:rPr>
          <w:rFonts w:ascii="宋体" w:hAnsi="宋体"/>
          <w:b/>
          <w:color w:val="auto"/>
          <w:sz w:val="24"/>
          <w:highlight w:val="none"/>
        </w:rPr>
      </w:pPr>
      <w:r>
        <w:rPr>
          <w:rFonts w:hint="eastAsia" w:ascii="宋体" w:hAnsi="宋体"/>
          <w:b/>
          <w:color w:val="auto"/>
          <w:sz w:val="24"/>
          <w:highlight w:val="none"/>
        </w:rPr>
        <w:t>项目概况</w:t>
      </w:r>
    </w:p>
    <w:p>
      <w:pPr>
        <w:pBdr>
          <w:top w:val="single" w:color="auto" w:sz="4" w:space="1"/>
          <w:left w:val="single" w:color="auto" w:sz="4" w:space="4"/>
          <w:bottom w:val="single" w:color="auto" w:sz="4" w:space="1"/>
          <w:right w:val="single" w:color="auto" w:sz="4" w:space="4"/>
        </w:pBdr>
        <w:spacing w:line="288" w:lineRule="auto"/>
        <w:ind w:firstLine="422" w:firstLineChars="200"/>
        <w:rPr>
          <w:rFonts w:ascii="宋体" w:hAnsi="宋体"/>
          <w:b/>
          <w:color w:val="auto"/>
          <w:sz w:val="21"/>
          <w:szCs w:val="21"/>
          <w:highlight w:val="none"/>
        </w:rPr>
      </w:pPr>
      <w:r>
        <w:rPr>
          <w:rFonts w:hint="eastAsia" w:ascii="宋体" w:hAnsi="宋体"/>
          <w:b/>
          <w:color w:val="auto"/>
          <w:sz w:val="21"/>
          <w:szCs w:val="21"/>
          <w:highlight w:val="none"/>
          <w:u w:val="single"/>
        </w:rPr>
        <w:t xml:space="preserve"> 杭州电子科技大学协同创新中心高教仪器设备 </w:t>
      </w:r>
      <w:r>
        <w:rPr>
          <w:rFonts w:hint="eastAsia" w:ascii="宋体" w:hAnsi="宋体"/>
          <w:b/>
          <w:color w:val="auto"/>
          <w:sz w:val="21"/>
          <w:szCs w:val="21"/>
          <w:highlight w:val="none"/>
        </w:rPr>
        <w:t>招标项目的潜在投标人应在</w:t>
      </w:r>
      <w:r>
        <w:rPr>
          <w:rFonts w:hint="eastAsia" w:ascii="宋体" w:hAnsi="宋体"/>
          <w:b/>
          <w:color w:val="auto"/>
          <w:sz w:val="21"/>
          <w:szCs w:val="21"/>
          <w:highlight w:val="none"/>
          <w:u w:val="single"/>
        </w:rPr>
        <w:t xml:space="preserve"> 政府采购云平台（https://login.zcygov.cn）</w:t>
      </w:r>
      <w:r>
        <w:rPr>
          <w:rFonts w:hint="eastAsia" w:ascii="宋体" w:hAnsi="宋体"/>
          <w:b/>
          <w:color w:val="auto"/>
          <w:sz w:val="21"/>
          <w:szCs w:val="21"/>
          <w:highlight w:val="none"/>
        </w:rPr>
        <w:t>获取（下载）招标文件，并于</w:t>
      </w:r>
      <w:r>
        <w:rPr>
          <w:rFonts w:hint="eastAsia" w:ascii="宋体" w:hAnsi="宋体"/>
          <w:b/>
          <w:color w:val="auto"/>
          <w:sz w:val="21"/>
          <w:szCs w:val="21"/>
          <w:highlight w:val="none"/>
          <w:u w:val="single"/>
        </w:rPr>
        <w:t xml:space="preserve"> 2020年</w:t>
      </w:r>
      <w:r>
        <w:rPr>
          <w:rFonts w:hint="eastAsia" w:ascii="宋体" w:hAnsi="宋体"/>
          <w:b/>
          <w:color w:val="auto"/>
          <w:sz w:val="21"/>
          <w:szCs w:val="21"/>
          <w:highlight w:val="none"/>
          <w:u w:val="single"/>
          <w:lang w:val="en-US" w:eastAsia="zh-CN"/>
        </w:rPr>
        <w:t>8</w:t>
      </w:r>
      <w:r>
        <w:rPr>
          <w:rFonts w:hint="eastAsia" w:ascii="宋体" w:hAnsi="宋体"/>
          <w:b/>
          <w:color w:val="auto"/>
          <w:sz w:val="21"/>
          <w:szCs w:val="21"/>
          <w:highlight w:val="none"/>
          <w:u w:val="single"/>
        </w:rPr>
        <w:t>月</w:t>
      </w:r>
      <w:r>
        <w:rPr>
          <w:rFonts w:hint="eastAsia" w:ascii="宋体" w:hAnsi="宋体"/>
          <w:b/>
          <w:color w:val="auto"/>
          <w:sz w:val="21"/>
          <w:szCs w:val="21"/>
          <w:highlight w:val="none"/>
          <w:u w:val="single"/>
          <w:lang w:val="en-US" w:eastAsia="zh-CN"/>
        </w:rPr>
        <w:t>17</w:t>
      </w:r>
      <w:r>
        <w:rPr>
          <w:rFonts w:hint="eastAsia" w:ascii="宋体" w:hAnsi="宋体"/>
          <w:b/>
          <w:color w:val="auto"/>
          <w:sz w:val="21"/>
          <w:szCs w:val="21"/>
          <w:highlight w:val="none"/>
          <w:u w:val="single"/>
        </w:rPr>
        <w:t>日上午9:00:00</w:t>
      </w:r>
      <w:r>
        <w:rPr>
          <w:rFonts w:hint="eastAsia" w:ascii="宋体" w:hAnsi="宋体"/>
          <w:b/>
          <w:bCs/>
          <w:color w:val="auto"/>
          <w:sz w:val="21"/>
          <w:szCs w:val="21"/>
          <w:highlight w:val="none"/>
          <w:u w:val="single"/>
        </w:rPr>
        <w:t>（</w:t>
      </w:r>
      <w:r>
        <w:rPr>
          <w:rFonts w:hint="eastAsia" w:ascii="宋体" w:hAnsi="宋体"/>
          <w:b/>
          <w:bCs/>
          <w:color w:val="auto"/>
          <w:sz w:val="21"/>
          <w:szCs w:val="21"/>
          <w:highlight w:val="none"/>
        </w:rPr>
        <w:t>北京时间）前提交（上传）投标</w:t>
      </w:r>
      <w:r>
        <w:rPr>
          <w:rFonts w:ascii="宋体" w:hAnsi="宋体"/>
          <w:b/>
          <w:bCs/>
          <w:color w:val="auto"/>
          <w:sz w:val="21"/>
          <w:szCs w:val="21"/>
          <w:highlight w:val="none"/>
        </w:rPr>
        <w:t>文件</w:t>
      </w:r>
      <w:r>
        <w:rPr>
          <w:rFonts w:hint="eastAsia" w:ascii="宋体" w:hAnsi="宋体"/>
          <w:b/>
          <w:color w:val="auto"/>
          <w:sz w:val="21"/>
          <w:szCs w:val="21"/>
          <w:highlight w:val="none"/>
        </w:rPr>
        <w:t>。</w:t>
      </w:r>
    </w:p>
    <w:p>
      <w:pPr>
        <w:spacing w:line="288" w:lineRule="auto"/>
        <w:ind w:firstLine="200"/>
        <w:rPr>
          <w:rFonts w:ascii="宋体" w:hAnsi="宋体" w:cs="宋体"/>
          <w:b/>
          <w:color w:val="auto"/>
          <w:sz w:val="24"/>
          <w:highlight w:val="none"/>
        </w:rPr>
      </w:pPr>
      <w:bookmarkStart w:id="0" w:name="_Toc28359079"/>
      <w:bookmarkStart w:id="1" w:name="_Toc28359002"/>
      <w:bookmarkStart w:id="2" w:name="_Toc35393621"/>
      <w:bookmarkStart w:id="3" w:name="_Toc35393790"/>
      <w:bookmarkStart w:id="4" w:name="_Hlk24379207"/>
      <w:r>
        <w:rPr>
          <w:rFonts w:hint="eastAsia" w:ascii="宋体" w:hAnsi="宋体" w:cs="宋体"/>
          <w:b/>
          <w:color w:val="auto"/>
          <w:sz w:val="24"/>
          <w:highlight w:val="none"/>
        </w:rPr>
        <w:t>一、项目基本情况</w:t>
      </w:r>
      <w:bookmarkEnd w:id="0"/>
      <w:bookmarkEnd w:id="1"/>
      <w:bookmarkEnd w:id="2"/>
      <w:bookmarkEnd w:id="3"/>
    </w:p>
    <w:p>
      <w:pPr>
        <w:spacing w:line="288"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 xml:space="preserve">项目编号：QSZB-Z(H)-B20132(GK) </w:t>
      </w:r>
    </w:p>
    <w:p>
      <w:pPr>
        <w:spacing w:line="288"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政府采购计划文号：[2020]34329号、[2020]34330号</w:t>
      </w:r>
    </w:p>
    <w:p>
      <w:pPr>
        <w:spacing w:line="288"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项目名称：协同创新中心高教仪器设备</w:t>
      </w:r>
    </w:p>
    <w:bookmarkEnd w:id="4"/>
    <w:p>
      <w:pPr>
        <w:spacing w:line="288"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预算金额：347万元</w:t>
      </w:r>
    </w:p>
    <w:p>
      <w:pPr>
        <w:spacing w:line="288"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最高限价：347万元</w:t>
      </w:r>
    </w:p>
    <w:p>
      <w:pPr>
        <w:spacing w:line="288"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 xml:space="preserve">采购需求： </w:t>
      </w:r>
    </w:p>
    <w:tbl>
      <w:tblPr>
        <w:tblStyle w:val="22"/>
        <w:tblW w:w="985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12"/>
        <w:gridCol w:w="2458"/>
        <w:gridCol w:w="1311"/>
        <w:gridCol w:w="983"/>
        <w:gridCol w:w="983"/>
        <w:gridCol w:w="300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1112" w:type="dxa"/>
            <w:tcBorders>
              <w:tl2br w:val="nil"/>
              <w:tr2bl w:val="nil"/>
            </w:tcBorders>
            <w:vAlign w:val="center"/>
          </w:tcPr>
          <w:p>
            <w:pPr>
              <w:keepNext w:val="0"/>
              <w:keepLines w:val="0"/>
              <w:suppressLineNumbers w:val="0"/>
              <w:spacing w:before="0" w:beforeAutospacing="0" w:after="0" w:afterAutospacing="0" w:line="288" w:lineRule="auto"/>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序号</w:t>
            </w:r>
          </w:p>
        </w:tc>
        <w:tc>
          <w:tcPr>
            <w:tcW w:w="2458" w:type="dxa"/>
            <w:tcBorders>
              <w:right w:val="single" w:color="auto" w:sz="4" w:space="0"/>
              <w:tl2br w:val="nil"/>
              <w:tr2bl w:val="nil"/>
            </w:tcBorders>
            <w:vAlign w:val="center"/>
          </w:tcPr>
          <w:p>
            <w:pPr>
              <w:keepNext w:val="0"/>
              <w:keepLines w:val="0"/>
              <w:suppressLineNumbers w:val="0"/>
              <w:spacing w:before="0" w:beforeAutospacing="0" w:after="0" w:afterAutospacing="0" w:line="288" w:lineRule="auto"/>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货物名称</w:t>
            </w:r>
          </w:p>
        </w:tc>
        <w:tc>
          <w:tcPr>
            <w:tcW w:w="1311" w:type="dxa"/>
            <w:tcBorders>
              <w:left w:val="single" w:color="auto" w:sz="4" w:space="0"/>
              <w:tl2br w:val="nil"/>
              <w:tr2bl w:val="nil"/>
            </w:tcBorders>
            <w:vAlign w:val="center"/>
          </w:tcPr>
          <w:p>
            <w:pPr>
              <w:keepNext w:val="0"/>
              <w:keepLines w:val="0"/>
              <w:suppressLineNumbers w:val="0"/>
              <w:spacing w:before="0" w:beforeAutospacing="0" w:after="0" w:afterAutospacing="0" w:line="288" w:lineRule="auto"/>
              <w:ind w:left="0" w:right="0"/>
              <w:jc w:val="center"/>
              <w:rPr>
                <w:rFonts w:hint="default" w:ascii="宋体" w:hAnsi="宋体" w:cs="宋体"/>
                <w:b/>
                <w:bCs/>
                <w:color w:val="auto"/>
                <w:sz w:val="21"/>
                <w:szCs w:val="21"/>
                <w:highlight w:val="none"/>
              </w:rPr>
            </w:pPr>
            <w:r>
              <w:rPr>
                <w:rFonts w:hint="eastAsia" w:ascii="宋体" w:hAnsi="宋体"/>
                <w:b/>
                <w:color w:val="auto"/>
                <w:sz w:val="21"/>
                <w:szCs w:val="21"/>
                <w:highlight w:val="none"/>
              </w:rPr>
              <w:t>是否允许采购进口产品</w:t>
            </w:r>
          </w:p>
        </w:tc>
        <w:tc>
          <w:tcPr>
            <w:tcW w:w="983" w:type="dxa"/>
            <w:tcBorders>
              <w:tl2br w:val="nil"/>
              <w:tr2bl w:val="nil"/>
            </w:tcBorders>
            <w:vAlign w:val="center"/>
          </w:tcPr>
          <w:p>
            <w:pPr>
              <w:keepNext w:val="0"/>
              <w:keepLines w:val="0"/>
              <w:suppressLineNumbers w:val="0"/>
              <w:spacing w:before="0" w:beforeAutospacing="0" w:after="0" w:afterAutospacing="0" w:line="288" w:lineRule="auto"/>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数量</w:t>
            </w:r>
          </w:p>
        </w:tc>
        <w:tc>
          <w:tcPr>
            <w:tcW w:w="983" w:type="dxa"/>
            <w:tcBorders>
              <w:tl2br w:val="nil"/>
              <w:tr2bl w:val="nil"/>
            </w:tcBorders>
            <w:vAlign w:val="center"/>
          </w:tcPr>
          <w:p>
            <w:pPr>
              <w:keepNext w:val="0"/>
              <w:keepLines w:val="0"/>
              <w:suppressLineNumbers w:val="0"/>
              <w:spacing w:before="0" w:beforeAutospacing="0" w:after="0" w:afterAutospacing="0" w:line="288" w:lineRule="auto"/>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单位</w:t>
            </w:r>
          </w:p>
        </w:tc>
        <w:tc>
          <w:tcPr>
            <w:tcW w:w="3007" w:type="dxa"/>
            <w:tcBorders>
              <w:right w:val="single" w:color="auto" w:sz="4" w:space="0"/>
              <w:tl2br w:val="nil"/>
              <w:tr2bl w:val="nil"/>
            </w:tcBorders>
            <w:vAlign w:val="center"/>
          </w:tcPr>
          <w:p>
            <w:pPr>
              <w:keepNext w:val="0"/>
              <w:keepLines w:val="0"/>
              <w:suppressLineNumbers w:val="0"/>
              <w:spacing w:before="0" w:beforeAutospacing="0" w:after="0" w:afterAutospacing="0" w:line="288" w:lineRule="auto"/>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简要技术需求或服务要求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1112" w:type="dxa"/>
            <w:tcBorders>
              <w:tl2br w:val="nil"/>
              <w:tr2bl w:val="nil"/>
            </w:tcBorders>
            <w:vAlign w:val="center"/>
          </w:tcPr>
          <w:p>
            <w:pPr>
              <w:keepNext w:val="0"/>
              <w:keepLines w:val="0"/>
              <w:suppressLineNumbers w:val="0"/>
              <w:spacing w:before="0" w:beforeAutospacing="0" w:after="0" w:afterAutospacing="0" w:line="288" w:lineRule="auto"/>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1</w:t>
            </w:r>
          </w:p>
        </w:tc>
        <w:tc>
          <w:tcPr>
            <w:tcW w:w="2458" w:type="dxa"/>
            <w:tcBorders>
              <w:right w:val="single" w:color="auto" w:sz="4" w:space="0"/>
              <w:tl2br w:val="nil"/>
              <w:tr2bl w:val="nil"/>
            </w:tcBorders>
            <w:vAlign w:val="center"/>
          </w:tcPr>
          <w:p>
            <w:pPr>
              <w:keepNext w:val="0"/>
              <w:keepLines w:val="0"/>
              <w:suppressLineNumbers w:val="0"/>
              <w:spacing w:before="0" w:beforeAutospacing="0" w:after="0" w:afterAutospacing="0" w:line="288" w:lineRule="auto"/>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协同创新中心高教仪器设备</w:t>
            </w:r>
          </w:p>
        </w:tc>
        <w:tc>
          <w:tcPr>
            <w:tcW w:w="1311" w:type="dxa"/>
            <w:tcBorders>
              <w:left w:val="single" w:color="auto" w:sz="4" w:space="0"/>
              <w:tl2br w:val="nil"/>
              <w:tr2bl w:val="nil"/>
            </w:tcBorders>
            <w:vAlign w:val="center"/>
          </w:tcPr>
          <w:p>
            <w:pPr>
              <w:keepNext w:val="0"/>
              <w:keepLines w:val="0"/>
              <w:suppressLineNumbers w:val="0"/>
              <w:spacing w:before="0" w:beforeAutospacing="0" w:after="0" w:afterAutospacing="0" w:line="288" w:lineRule="auto"/>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否</w:t>
            </w:r>
          </w:p>
        </w:tc>
        <w:tc>
          <w:tcPr>
            <w:tcW w:w="983" w:type="dxa"/>
            <w:tcBorders>
              <w:tl2br w:val="nil"/>
              <w:tr2bl w:val="nil"/>
            </w:tcBorders>
            <w:vAlign w:val="center"/>
          </w:tcPr>
          <w:p>
            <w:pPr>
              <w:keepNext w:val="0"/>
              <w:keepLines w:val="0"/>
              <w:suppressLineNumbers w:val="0"/>
              <w:spacing w:before="0" w:beforeAutospacing="0" w:after="0" w:afterAutospacing="0" w:line="288" w:lineRule="auto"/>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1</w:t>
            </w:r>
          </w:p>
        </w:tc>
        <w:tc>
          <w:tcPr>
            <w:tcW w:w="983" w:type="dxa"/>
            <w:tcBorders>
              <w:tl2br w:val="nil"/>
              <w:tr2bl w:val="nil"/>
            </w:tcBorders>
            <w:vAlign w:val="center"/>
          </w:tcPr>
          <w:p>
            <w:pPr>
              <w:keepNext w:val="0"/>
              <w:keepLines w:val="0"/>
              <w:suppressLineNumbers w:val="0"/>
              <w:spacing w:before="0" w:beforeAutospacing="0" w:after="0" w:afterAutospacing="0" w:line="288" w:lineRule="auto"/>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项</w:t>
            </w:r>
          </w:p>
        </w:tc>
        <w:tc>
          <w:tcPr>
            <w:tcW w:w="3007" w:type="dxa"/>
            <w:tcBorders>
              <w:right w:val="single" w:color="auto" w:sz="4" w:space="0"/>
              <w:tl2br w:val="nil"/>
              <w:tr2bl w:val="nil"/>
            </w:tcBorders>
            <w:vAlign w:val="center"/>
          </w:tcPr>
          <w:p>
            <w:pPr>
              <w:keepNext w:val="0"/>
              <w:keepLines w:val="0"/>
              <w:suppressLineNumbers w:val="0"/>
              <w:spacing w:before="0" w:beforeAutospacing="0" w:after="0" w:afterAutospacing="0" w:line="288" w:lineRule="auto"/>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具体详见第二章  采购需求</w:t>
            </w:r>
          </w:p>
        </w:tc>
      </w:tr>
    </w:tbl>
    <w:p>
      <w:pPr>
        <w:spacing w:line="288" w:lineRule="auto"/>
        <w:ind w:firstLine="420" w:firstLineChars="200"/>
        <w:rPr>
          <w:rFonts w:ascii="宋体" w:hAnsi="宋体"/>
          <w:color w:val="auto"/>
          <w:sz w:val="21"/>
          <w:szCs w:val="21"/>
          <w:highlight w:val="none"/>
          <w:u w:val="single"/>
        </w:rPr>
      </w:pPr>
      <w:r>
        <w:rPr>
          <w:rFonts w:hint="eastAsia" w:ascii="宋体" w:hAnsi="宋体"/>
          <w:color w:val="auto"/>
          <w:sz w:val="21"/>
          <w:szCs w:val="21"/>
          <w:highlight w:val="none"/>
        </w:rPr>
        <w:t>合同履行期限：合同签订后60日内</w:t>
      </w:r>
    </w:p>
    <w:p>
      <w:pPr>
        <w:spacing w:line="288" w:lineRule="auto"/>
        <w:ind w:firstLine="422" w:firstLineChars="200"/>
        <w:rPr>
          <w:rFonts w:ascii="仿宋" w:hAnsi="仿宋" w:eastAsia="仿宋"/>
          <w:b/>
          <w:color w:val="auto"/>
          <w:szCs w:val="28"/>
          <w:highlight w:val="none"/>
        </w:rPr>
      </w:pPr>
      <w:r>
        <w:rPr>
          <w:rFonts w:hint="eastAsia" w:ascii="宋体" w:hAnsi="宋体"/>
          <w:b/>
          <w:color w:val="auto"/>
          <w:sz w:val="21"/>
          <w:szCs w:val="21"/>
          <w:highlight w:val="none"/>
        </w:rPr>
        <w:t>本项目不接受联合体投标。</w:t>
      </w:r>
    </w:p>
    <w:p>
      <w:pPr>
        <w:spacing w:line="288" w:lineRule="auto"/>
        <w:ind w:firstLine="200"/>
        <w:rPr>
          <w:rFonts w:ascii="宋体" w:hAnsi="宋体" w:cs="宋体"/>
          <w:b/>
          <w:color w:val="auto"/>
          <w:sz w:val="24"/>
          <w:highlight w:val="none"/>
        </w:rPr>
      </w:pPr>
      <w:bookmarkStart w:id="5" w:name="_Toc35393791"/>
      <w:bookmarkStart w:id="6" w:name="_Toc35393622"/>
      <w:bookmarkStart w:id="7" w:name="_Toc28359080"/>
      <w:bookmarkStart w:id="8" w:name="_Toc28359003"/>
      <w:r>
        <w:rPr>
          <w:rFonts w:hint="eastAsia" w:ascii="宋体" w:hAnsi="宋体" w:cs="宋体"/>
          <w:b/>
          <w:color w:val="auto"/>
          <w:sz w:val="24"/>
          <w:highlight w:val="none"/>
        </w:rPr>
        <w:t>二、申请人的资格要求：</w:t>
      </w:r>
      <w:bookmarkEnd w:id="5"/>
      <w:bookmarkEnd w:id="6"/>
      <w:bookmarkEnd w:id="7"/>
      <w:bookmarkEnd w:id="8"/>
    </w:p>
    <w:p>
      <w:pPr>
        <w:spacing w:line="288"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1.满足《中华人民共和国政府采购法》第二十二条规定；</w:t>
      </w:r>
    </w:p>
    <w:p>
      <w:pPr>
        <w:spacing w:line="288" w:lineRule="auto"/>
        <w:ind w:firstLine="420" w:firstLineChars="200"/>
        <w:rPr>
          <w:rFonts w:ascii="宋体" w:hAnsi="宋体"/>
          <w:color w:val="auto"/>
          <w:sz w:val="21"/>
          <w:szCs w:val="21"/>
          <w:highlight w:val="none"/>
        </w:rPr>
      </w:pPr>
      <w:bookmarkStart w:id="9" w:name="_Toc28359081"/>
      <w:bookmarkStart w:id="10" w:name="_Toc28359004"/>
      <w:r>
        <w:rPr>
          <w:rFonts w:ascii="宋体" w:hAnsi="宋体"/>
          <w:color w:val="auto"/>
          <w:sz w:val="21"/>
          <w:szCs w:val="21"/>
          <w:highlight w:val="none"/>
        </w:rPr>
        <w:t>2</w:t>
      </w:r>
      <w:r>
        <w:rPr>
          <w:rFonts w:hint="eastAsia" w:ascii="宋体" w:hAnsi="宋体"/>
          <w:color w:val="auto"/>
          <w:sz w:val="21"/>
          <w:szCs w:val="21"/>
          <w:highlight w:val="none"/>
        </w:rPr>
        <w:t>.落实政府采购政策需满足的资格要求：无</w:t>
      </w:r>
    </w:p>
    <w:p>
      <w:pPr>
        <w:spacing w:line="288" w:lineRule="auto"/>
        <w:ind w:firstLine="420" w:firstLineChars="200"/>
        <w:rPr>
          <w:rFonts w:ascii="宋体" w:hAnsi="宋体"/>
          <w:color w:val="auto"/>
          <w:sz w:val="21"/>
          <w:szCs w:val="21"/>
          <w:highlight w:val="none"/>
          <w:u w:val="single"/>
        </w:rPr>
      </w:pPr>
      <w:r>
        <w:rPr>
          <w:rFonts w:hint="eastAsia" w:ascii="宋体" w:hAnsi="宋体"/>
          <w:color w:val="auto"/>
          <w:sz w:val="21"/>
          <w:szCs w:val="21"/>
          <w:highlight w:val="none"/>
        </w:rPr>
        <w:t>3.本项目的特定资格要求：无</w:t>
      </w:r>
    </w:p>
    <w:p>
      <w:pPr>
        <w:spacing w:line="288"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4.截止投标截止时间未被“信用中国”（www.creditchina.gov.cn）、“中国政府采购网”（www.ccgp.gov.cn）列入失信被执行人、重大税收违法案件当事人名单、政府采购严重违法失信行为记录名单。</w:t>
      </w:r>
    </w:p>
    <w:p>
      <w:pPr>
        <w:spacing w:line="288" w:lineRule="auto"/>
        <w:ind w:firstLine="200"/>
        <w:rPr>
          <w:rFonts w:ascii="宋体" w:hAnsi="宋体" w:cs="宋体"/>
          <w:b/>
          <w:color w:val="auto"/>
          <w:sz w:val="24"/>
          <w:highlight w:val="none"/>
        </w:rPr>
      </w:pPr>
      <w:bookmarkStart w:id="11" w:name="_Toc35393792"/>
      <w:bookmarkStart w:id="12" w:name="_Toc35393623"/>
      <w:r>
        <w:rPr>
          <w:rFonts w:hint="eastAsia" w:ascii="宋体" w:hAnsi="宋体" w:cs="宋体"/>
          <w:b/>
          <w:color w:val="auto"/>
          <w:sz w:val="24"/>
          <w:highlight w:val="none"/>
        </w:rPr>
        <w:t>三、获取招标文件</w:t>
      </w:r>
      <w:bookmarkEnd w:id="9"/>
      <w:bookmarkEnd w:id="10"/>
      <w:bookmarkEnd w:id="11"/>
      <w:bookmarkEnd w:id="12"/>
    </w:p>
    <w:p>
      <w:pPr>
        <w:spacing w:line="288" w:lineRule="auto"/>
        <w:ind w:firstLine="420" w:firstLineChars="200"/>
        <w:rPr>
          <w:rFonts w:ascii="宋体" w:hAnsi="宋体"/>
          <w:color w:val="auto"/>
          <w:sz w:val="21"/>
          <w:szCs w:val="21"/>
          <w:highlight w:val="none"/>
        </w:rPr>
      </w:pPr>
      <w:bookmarkStart w:id="13" w:name="_Toc28359005"/>
      <w:bookmarkStart w:id="14" w:name="_Toc28359082"/>
      <w:bookmarkStart w:id="15" w:name="_Toc35393793"/>
      <w:bookmarkStart w:id="16" w:name="_Toc35393624"/>
      <w:r>
        <w:rPr>
          <w:rFonts w:hint="eastAsia" w:ascii="宋体" w:hAnsi="宋体"/>
          <w:color w:val="auto"/>
          <w:sz w:val="21"/>
          <w:szCs w:val="21"/>
          <w:highlight w:val="none"/>
        </w:rPr>
        <w:t>时间：2020年</w:t>
      </w:r>
      <w:r>
        <w:rPr>
          <w:rFonts w:hint="eastAsia" w:ascii="宋体" w:hAnsi="宋体"/>
          <w:color w:val="auto"/>
          <w:sz w:val="21"/>
          <w:szCs w:val="21"/>
          <w:highlight w:val="none"/>
          <w:lang w:val="en-US" w:eastAsia="zh-CN"/>
        </w:rPr>
        <w:t>7</w:t>
      </w:r>
      <w:r>
        <w:rPr>
          <w:rFonts w:hint="eastAsia" w:ascii="宋体" w:hAnsi="宋体"/>
          <w:color w:val="auto"/>
          <w:sz w:val="21"/>
          <w:szCs w:val="21"/>
          <w:highlight w:val="none"/>
        </w:rPr>
        <w:t>月</w:t>
      </w:r>
      <w:r>
        <w:rPr>
          <w:rFonts w:hint="eastAsia" w:ascii="宋体" w:hAnsi="宋体"/>
          <w:color w:val="auto"/>
          <w:sz w:val="21"/>
          <w:szCs w:val="21"/>
          <w:highlight w:val="none"/>
          <w:lang w:val="en-US" w:eastAsia="zh-CN"/>
        </w:rPr>
        <w:t>27</w:t>
      </w:r>
      <w:r>
        <w:rPr>
          <w:rFonts w:hint="eastAsia" w:ascii="宋体" w:hAnsi="宋体"/>
          <w:color w:val="auto"/>
          <w:sz w:val="21"/>
          <w:szCs w:val="21"/>
          <w:highlight w:val="none"/>
        </w:rPr>
        <w:t>日至2020年</w:t>
      </w:r>
      <w:r>
        <w:rPr>
          <w:rFonts w:hint="eastAsia" w:ascii="宋体" w:hAnsi="宋体"/>
          <w:color w:val="auto"/>
          <w:sz w:val="21"/>
          <w:szCs w:val="21"/>
          <w:highlight w:val="none"/>
          <w:lang w:val="en-US" w:eastAsia="zh-CN"/>
        </w:rPr>
        <w:t>8</w:t>
      </w:r>
      <w:r>
        <w:rPr>
          <w:rFonts w:hint="eastAsia" w:ascii="宋体" w:hAnsi="宋体"/>
          <w:color w:val="auto"/>
          <w:sz w:val="21"/>
          <w:szCs w:val="21"/>
          <w:highlight w:val="none"/>
        </w:rPr>
        <w:t>月</w:t>
      </w:r>
      <w:r>
        <w:rPr>
          <w:rFonts w:hint="eastAsia" w:ascii="宋体" w:hAnsi="宋体"/>
          <w:color w:val="auto"/>
          <w:sz w:val="21"/>
          <w:szCs w:val="21"/>
          <w:highlight w:val="none"/>
          <w:lang w:val="en-US" w:eastAsia="zh-CN"/>
        </w:rPr>
        <w:t>3</w:t>
      </w:r>
      <w:r>
        <w:rPr>
          <w:rFonts w:hint="eastAsia" w:ascii="宋体" w:hAnsi="宋体"/>
          <w:color w:val="auto"/>
          <w:sz w:val="21"/>
          <w:szCs w:val="21"/>
          <w:highlight w:val="none"/>
        </w:rPr>
        <w:t>日</w:t>
      </w:r>
    </w:p>
    <w:p>
      <w:pPr>
        <w:spacing w:line="288"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地址：政府采购云平台（https://login.zcygov.cn）</w:t>
      </w:r>
    </w:p>
    <w:p>
      <w:pPr>
        <w:spacing w:line="288"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方式：在线获取（潜在投标人登陆政府采购云平台，进入“项目采购”，在“获取采购文件”菜单中选择项目后“申请获取采购文件”）</w:t>
      </w:r>
    </w:p>
    <w:p>
      <w:pPr>
        <w:spacing w:line="288"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售价</w:t>
      </w:r>
      <w:r>
        <w:rPr>
          <w:rFonts w:ascii="宋体" w:hAnsi="宋体"/>
          <w:color w:val="auto"/>
          <w:sz w:val="21"/>
          <w:szCs w:val="21"/>
          <w:highlight w:val="none"/>
        </w:rPr>
        <w:t>：</w:t>
      </w:r>
      <w:r>
        <w:rPr>
          <w:rFonts w:hint="eastAsia" w:ascii="宋体" w:hAnsi="宋体"/>
          <w:color w:val="auto"/>
          <w:sz w:val="21"/>
          <w:szCs w:val="21"/>
          <w:highlight w:val="none"/>
        </w:rPr>
        <w:t>免费</w:t>
      </w:r>
    </w:p>
    <w:p>
      <w:pPr>
        <w:spacing w:line="288"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备注：获取招标文件截止时间之后潜在投标人依然可以获取招标文件，如对招标文件有质疑的应在规定的质疑期限内提出；公告规定的招标文件获取方式为依法获取招标文件的方式，未按照公告规定的方式获取招标文件的，不得对招标文件提起质疑、投诉。</w:t>
      </w:r>
    </w:p>
    <w:p>
      <w:pPr>
        <w:spacing w:line="288" w:lineRule="auto"/>
        <w:ind w:firstLine="200"/>
        <w:rPr>
          <w:rFonts w:ascii="宋体" w:hAnsi="宋体" w:cs="宋体"/>
          <w:b/>
          <w:color w:val="auto"/>
          <w:sz w:val="24"/>
          <w:highlight w:val="none"/>
        </w:rPr>
      </w:pPr>
      <w:r>
        <w:rPr>
          <w:rFonts w:hint="eastAsia" w:ascii="宋体" w:hAnsi="宋体" w:cs="宋体"/>
          <w:b/>
          <w:color w:val="auto"/>
          <w:sz w:val="24"/>
          <w:highlight w:val="none"/>
        </w:rPr>
        <w:t>四、提交投标文件</w:t>
      </w:r>
      <w:bookmarkEnd w:id="13"/>
      <w:bookmarkEnd w:id="14"/>
      <w:r>
        <w:rPr>
          <w:rFonts w:hint="eastAsia" w:ascii="宋体" w:hAnsi="宋体" w:cs="宋体"/>
          <w:b/>
          <w:color w:val="auto"/>
          <w:sz w:val="24"/>
          <w:highlight w:val="none"/>
        </w:rPr>
        <w:t>截止时间、开标时间和地点</w:t>
      </w:r>
      <w:bookmarkEnd w:id="15"/>
      <w:bookmarkEnd w:id="16"/>
    </w:p>
    <w:p>
      <w:pPr>
        <w:spacing w:line="288" w:lineRule="auto"/>
        <w:ind w:firstLine="420" w:firstLineChars="200"/>
        <w:rPr>
          <w:rFonts w:ascii="宋体" w:hAnsi="宋体"/>
          <w:bCs/>
          <w:color w:val="auto"/>
          <w:sz w:val="21"/>
          <w:szCs w:val="21"/>
          <w:highlight w:val="none"/>
        </w:rPr>
      </w:pPr>
      <w:r>
        <w:rPr>
          <w:rFonts w:hint="eastAsia" w:ascii="宋体" w:hAnsi="宋体"/>
          <w:bCs/>
          <w:color w:val="auto"/>
          <w:sz w:val="21"/>
          <w:szCs w:val="21"/>
          <w:highlight w:val="none"/>
        </w:rPr>
        <w:t>提交投标文件截止时间及开标时间：2020年</w:t>
      </w:r>
      <w:r>
        <w:rPr>
          <w:rFonts w:hint="eastAsia" w:ascii="宋体" w:hAnsi="宋体"/>
          <w:bCs/>
          <w:color w:val="auto"/>
          <w:sz w:val="21"/>
          <w:szCs w:val="21"/>
          <w:highlight w:val="none"/>
          <w:lang w:val="en-US" w:eastAsia="zh-CN"/>
        </w:rPr>
        <w:t>8</w:t>
      </w:r>
      <w:r>
        <w:rPr>
          <w:rFonts w:hint="eastAsia" w:ascii="宋体" w:hAnsi="宋体"/>
          <w:bCs/>
          <w:color w:val="auto"/>
          <w:sz w:val="21"/>
          <w:szCs w:val="21"/>
          <w:highlight w:val="none"/>
        </w:rPr>
        <w:t>月</w:t>
      </w:r>
      <w:r>
        <w:rPr>
          <w:rFonts w:hint="eastAsia" w:ascii="宋体" w:hAnsi="宋体"/>
          <w:bCs/>
          <w:color w:val="auto"/>
          <w:sz w:val="21"/>
          <w:szCs w:val="21"/>
          <w:highlight w:val="none"/>
          <w:lang w:val="en-US" w:eastAsia="zh-CN"/>
        </w:rPr>
        <w:t>17</w:t>
      </w:r>
      <w:r>
        <w:rPr>
          <w:rFonts w:hint="eastAsia" w:ascii="宋体" w:hAnsi="宋体"/>
          <w:bCs/>
          <w:color w:val="auto"/>
          <w:sz w:val="21"/>
          <w:szCs w:val="21"/>
          <w:highlight w:val="none"/>
        </w:rPr>
        <w:t>日上午9:00:00（北京时间）</w:t>
      </w:r>
    </w:p>
    <w:p>
      <w:pPr>
        <w:spacing w:line="288" w:lineRule="auto"/>
        <w:ind w:firstLine="420" w:firstLineChars="200"/>
        <w:rPr>
          <w:rFonts w:ascii="宋体" w:hAnsi="宋体"/>
          <w:bCs/>
          <w:color w:val="auto"/>
          <w:sz w:val="21"/>
          <w:szCs w:val="21"/>
          <w:highlight w:val="none"/>
        </w:rPr>
      </w:pPr>
      <w:r>
        <w:rPr>
          <w:rFonts w:hint="eastAsia" w:ascii="宋体" w:hAnsi="宋体"/>
          <w:bCs/>
          <w:color w:val="auto"/>
          <w:sz w:val="21"/>
          <w:szCs w:val="21"/>
          <w:highlight w:val="none"/>
        </w:rPr>
        <w:t>地点：通过政府采购云平台在线电子投标、开标</w:t>
      </w:r>
    </w:p>
    <w:p>
      <w:pPr>
        <w:spacing w:line="288"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备注：投标人应于投标截止时间之前将电子投标文件上传到“政采云”平台；投标人</w:t>
      </w:r>
      <w:r>
        <w:rPr>
          <w:rFonts w:hint="eastAsia" w:ascii="宋体" w:hAnsi="宋体" w:cs="宋体"/>
          <w:color w:val="auto"/>
          <w:spacing w:val="-6"/>
          <w:sz w:val="21"/>
          <w:szCs w:val="21"/>
          <w:highlight w:val="none"/>
        </w:rPr>
        <w:t>应在开标时间在线解密电子加密投标文件。</w:t>
      </w:r>
      <w:r>
        <w:rPr>
          <w:rFonts w:hint="eastAsia" w:ascii="宋体" w:hAnsi="宋体"/>
          <w:color w:val="auto"/>
          <w:sz w:val="21"/>
          <w:szCs w:val="21"/>
          <w:highlight w:val="none"/>
        </w:rPr>
        <w:t>投标人</w:t>
      </w:r>
      <w:r>
        <w:rPr>
          <w:rFonts w:hint="eastAsia" w:ascii="宋体" w:hAnsi="宋体" w:cs="宋体"/>
          <w:color w:val="auto"/>
          <w:spacing w:val="-6"/>
          <w:sz w:val="21"/>
          <w:szCs w:val="21"/>
          <w:highlight w:val="none"/>
        </w:rPr>
        <w:t>须登录“政采云”平台，用“项目采购-开标评标”功能解密投标文件，解密须在开标时间后30分钟内完成。</w:t>
      </w:r>
    </w:p>
    <w:p>
      <w:pPr>
        <w:spacing w:line="288" w:lineRule="auto"/>
        <w:ind w:firstLine="200"/>
        <w:rPr>
          <w:rFonts w:ascii="宋体" w:hAnsi="宋体" w:cs="宋体"/>
          <w:b/>
          <w:color w:val="auto"/>
          <w:sz w:val="24"/>
          <w:highlight w:val="none"/>
        </w:rPr>
      </w:pPr>
      <w:bookmarkStart w:id="17" w:name="_Toc35393625"/>
      <w:bookmarkStart w:id="18" w:name="_Toc35393794"/>
      <w:bookmarkStart w:id="19" w:name="_Toc28359084"/>
      <w:bookmarkStart w:id="20" w:name="_Toc28359007"/>
      <w:r>
        <w:rPr>
          <w:rFonts w:hint="eastAsia" w:ascii="宋体" w:hAnsi="宋体" w:cs="宋体"/>
          <w:b/>
          <w:color w:val="auto"/>
          <w:sz w:val="24"/>
          <w:highlight w:val="none"/>
        </w:rPr>
        <w:t>五、公告期限</w:t>
      </w:r>
      <w:bookmarkEnd w:id="17"/>
      <w:bookmarkEnd w:id="18"/>
      <w:bookmarkEnd w:id="19"/>
      <w:bookmarkEnd w:id="20"/>
    </w:p>
    <w:p>
      <w:pPr>
        <w:spacing w:line="288" w:lineRule="auto"/>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自本公告发布之日起5个工作日。</w:t>
      </w:r>
    </w:p>
    <w:p>
      <w:pPr>
        <w:spacing w:line="288" w:lineRule="auto"/>
        <w:ind w:firstLine="241" w:firstLineChars="100"/>
        <w:rPr>
          <w:rFonts w:ascii="宋体" w:hAnsi="宋体" w:cs="宋体"/>
          <w:b/>
          <w:color w:val="auto"/>
          <w:sz w:val="24"/>
          <w:highlight w:val="none"/>
        </w:rPr>
      </w:pPr>
      <w:bookmarkStart w:id="21" w:name="_Toc35393795"/>
      <w:bookmarkStart w:id="22" w:name="_Toc35393626"/>
      <w:r>
        <w:rPr>
          <w:rFonts w:hint="eastAsia" w:ascii="宋体" w:hAnsi="宋体" w:cs="宋体"/>
          <w:b/>
          <w:color w:val="auto"/>
          <w:sz w:val="24"/>
          <w:highlight w:val="none"/>
        </w:rPr>
        <w:t>六、其他补充事宜</w:t>
      </w:r>
      <w:bookmarkEnd w:id="21"/>
      <w:bookmarkEnd w:id="22"/>
    </w:p>
    <w:p>
      <w:pPr>
        <w:spacing w:line="288" w:lineRule="auto"/>
        <w:ind w:firstLine="422" w:firstLineChars="200"/>
        <w:rPr>
          <w:rFonts w:ascii="宋体" w:hAnsi="宋体"/>
          <w:b/>
          <w:bCs/>
          <w:color w:val="auto"/>
          <w:sz w:val="21"/>
          <w:szCs w:val="21"/>
          <w:highlight w:val="none"/>
        </w:rPr>
      </w:pPr>
      <w:r>
        <w:rPr>
          <w:rFonts w:ascii="宋体" w:hAnsi="宋体"/>
          <w:b/>
          <w:bCs/>
          <w:color w:val="auto"/>
          <w:sz w:val="21"/>
          <w:szCs w:val="21"/>
          <w:highlight w:val="none"/>
        </w:rPr>
        <w:t>1.</w:t>
      </w:r>
      <w:r>
        <w:rPr>
          <w:rFonts w:hint="eastAsia" w:ascii="宋体" w:hAnsi="宋体"/>
          <w:b/>
          <w:bCs/>
          <w:color w:val="auto"/>
          <w:sz w:val="21"/>
          <w:szCs w:val="21"/>
          <w:highlight w:val="none"/>
        </w:rPr>
        <w:t xml:space="preserve"> 在线电子投标说明：</w:t>
      </w:r>
    </w:p>
    <w:p>
      <w:pPr>
        <w:spacing w:line="288" w:lineRule="auto"/>
        <w:ind w:firstLine="422" w:firstLineChars="200"/>
        <w:rPr>
          <w:rFonts w:ascii="宋体" w:hAnsi="宋体"/>
          <w:b/>
          <w:bCs/>
          <w:color w:val="auto"/>
          <w:sz w:val="21"/>
          <w:szCs w:val="21"/>
          <w:highlight w:val="none"/>
        </w:rPr>
      </w:pPr>
      <w:r>
        <w:rPr>
          <w:rFonts w:hint="eastAsia" w:ascii="宋体" w:hAnsi="宋体"/>
          <w:b/>
          <w:bCs/>
          <w:color w:val="auto"/>
          <w:sz w:val="21"/>
          <w:szCs w:val="21"/>
          <w:highlight w:val="none"/>
        </w:rPr>
        <w:t>1）通过政府采购云平台在线电子投标，投标人应先安装政采云电子交易客户端（政采云投标客户端），并按照招标文件和政府采购云平台的要求，通过政采云电子交易客户端（政采云投标客户端）编制加密投标文件；</w:t>
      </w:r>
    </w:p>
    <w:p>
      <w:pPr>
        <w:spacing w:line="288" w:lineRule="auto"/>
        <w:ind w:firstLine="422" w:firstLineChars="200"/>
        <w:rPr>
          <w:rFonts w:ascii="宋体" w:hAnsi="宋体"/>
          <w:b/>
          <w:bCs/>
          <w:color w:val="auto"/>
          <w:sz w:val="21"/>
          <w:szCs w:val="21"/>
          <w:highlight w:val="none"/>
        </w:rPr>
      </w:pPr>
      <w:r>
        <w:rPr>
          <w:rFonts w:hint="eastAsia" w:ascii="宋体" w:hAnsi="宋体"/>
          <w:b/>
          <w:bCs/>
          <w:color w:val="auto"/>
          <w:sz w:val="21"/>
          <w:szCs w:val="21"/>
          <w:highlight w:val="none"/>
        </w:rPr>
        <w:t>政采云电子交易客户端（政采云投标客户端）请自行前往“浙江政府采购网-下载专区-电子交易客户端”进行下载，通过政府采购云平台参与在线电子投标时如遇平台技术问题详询400-881-7190。</w:t>
      </w:r>
    </w:p>
    <w:p>
      <w:pPr>
        <w:spacing w:line="288" w:lineRule="auto"/>
        <w:ind w:firstLine="422" w:firstLineChars="200"/>
        <w:rPr>
          <w:rFonts w:ascii="宋体" w:hAnsi="宋体"/>
          <w:b/>
          <w:bCs/>
          <w:color w:val="auto"/>
          <w:sz w:val="21"/>
          <w:szCs w:val="21"/>
          <w:highlight w:val="none"/>
        </w:rPr>
      </w:pPr>
      <w:r>
        <w:rPr>
          <w:rFonts w:ascii="宋体" w:hAnsi="宋体"/>
          <w:b/>
          <w:bCs/>
          <w:color w:val="auto"/>
          <w:sz w:val="21"/>
          <w:szCs w:val="21"/>
          <w:highlight w:val="none"/>
        </w:rPr>
        <w:t>2）</w:t>
      </w:r>
      <w:r>
        <w:rPr>
          <w:rFonts w:hint="eastAsia" w:ascii="宋体" w:hAnsi="宋体"/>
          <w:b/>
          <w:bCs/>
          <w:color w:val="auto"/>
          <w:sz w:val="21"/>
          <w:szCs w:val="21"/>
          <w:highlight w:val="none"/>
        </w:rPr>
        <w:t>为确保在线操作合法、有效和安全，投标人应当在投标截止时间前完成在政府采购云平台的身份认证，使用政采云电子交易客户端（政采云投标客户端）需要提前申领CA数字证书，申领流程请自行前往“浙江政府采购网-下载专区-电子交易客户端-</w:t>
      </w:r>
      <w:r>
        <w:rPr>
          <w:color w:val="auto"/>
          <w:highlight w:val="none"/>
        </w:rPr>
        <w:fldChar w:fldCharType="begin"/>
      </w:r>
      <w:r>
        <w:rPr>
          <w:color w:val="auto"/>
          <w:highlight w:val="none"/>
        </w:rPr>
        <w:instrText xml:space="preserve"> HYPERLINK "http://zfcg.czt.zj.gov.cn/bidClientTemplate/2019-05-27/12945.html" \o "CA驱动和申领流程" </w:instrText>
      </w:r>
      <w:r>
        <w:rPr>
          <w:color w:val="auto"/>
          <w:highlight w:val="none"/>
        </w:rPr>
        <w:fldChar w:fldCharType="separate"/>
      </w:r>
      <w:r>
        <w:rPr>
          <w:rFonts w:hint="eastAsia" w:ascii="宋体" w:hAnsi="宋体"/>
          <w:b/>
          <w:bCs/>
          <w:color w:val="auto"/>
          <w:sz w:val="21"/>
          <w:szCs w:val="21"/>
          <w:highlight w:val="none"/>
        </w:rPr>
        <w:t>CA驱动和申领流程</w:t>
      </w:r>
      <w:r>
        <w:rPr>
          <w:rFonts w:hint="eastAsia" w:ascii="宋体" w:hAnsi="宋体"/>
          <w:b/>
          <w:bCs/>
          <w:color w:val="auto"/>
          <w:sz w:val="21"/>
          <w:szCs w:val="21"/>
          <w:highlight w:val="none"/>
        </w:rPr>
        <w:fldChar w:fldCharType="end"/>
      </w:r>
      <w:r>
        <w:rPr>
          <w:rFonts w:hint="eastAsia" w:ascii="宋体" w:hAnsi="宋体"/>
          <w:b/>
          <w:bCs/>
          <w:color w:val="auto"/>
          <w:sz w:val="21"/>
          <w:szCs w:val="21"/>
          <w:highlight w:val="none"/>
        </w:rPr>
        <w:t>”进行查阅；</w:t>
      </w:r>
    </w:p>
    <w:p>
      <w:pPr>
        <w:spacing w:line="288" w:lineRule="auto"/>
        <w:ind w:firstLine="422" w:firstLineChars="200"/>
        <w:rPr>
          <w:rFonts w:ascii="宋体" w:hAnsi="宋体"/>
          <w:b/>
          <w:bCs/>
          <w:color w:val="auto"/>
          <w:sz w:val="21"/>
          <w:szCs w:val="21"/>
          <w:highlight w:val="none"/>
        </w:rPr>
      </w:pPr>
      <w:r>
        <w:rPr>
          <w:rFonts w:ascii="宋体" w:hAnsi="宋体"/>
          <w:b/>
          <w:bCs/>
          <w:color w:val="auto"/>
          <w:sz w:val="21"/>
          <w:szCs w:val="21"/>
          <w:highlight w:val="none"/>
        </w:rPr>
        <w:t>3）</w:t>
      </w:r>
      <w:r>
        <w:rPr>
          <w:rFonts w:hint="eastAsia" w:ascii="宋体" w:hAnsi="宋体"/>
          <w:b/>
          <w:bCs/>
          <w:color w:val="auto"/>
          <w:sz w:val="21"/>
          <w:szCs w:val="21"/>
          <w:highlight w:val="none"/>
        </w:rPr>
        <w:t>投标人应当在投标截止时间前将在政采云电子交易客户端（政采云投标客户端）生成的电子加密投标文件上传至政府采购云平台；</w:t>
      </w:r>
    </w:p>
    <w:p>
      <w:pPr>
        <w:spacing w:line="288" w:lineRule="auto"/>
        <w:ind w:firstLine="422" w:firstLineChars="200"/>
        <w:rPr>
          <w:rFonts w:ascii="宋体" w:hAnsi="宋体"/>
          <w:b/>
          <w:bCs/>
          <w:color w:val="auto"/>
          <w:sz w:val="21"/>
          <w:szCs w:val="21"/>
          <w:highlight w:val="none"/>
        </w:rPr>
      </w:pPr>
      <w:r>
        <w:rPr>
          <w:rFonts w:hint="eastAsia" w:ascii="宋体" w:hAnsi="宋体"/>
          <w:b/>
          <w:bCs/>
          <w:color w:val="auto"/>
          <w:sz w:val="21"/>
          <w:szCs w:val="21"/>
          <w:highlight w:val="none"/>
        </w:rPr>
        <w:t>4）投标人在政府采购云平台完成电子加密投标文件的上传后，可以EMS或顺丰邮寄形式在投标截止时间前递交以介质（U盘）存储的数据电文形式的备份投标文件，备份投标文件应当密封包装并在包装上标注投标项目名称、标项、投标人名称并加盖公章。</w:t>
      </w:r>
    </w:p>
    <w:p>
      <w:pPr>
        <w:spacing w:line="288" w:lineRule="auto"/>
        <w:ind w:firstLine="422" w:firstLineChars="200"/>
        <w:rPr>
          <w:rFonts w:ascii="宋体" w:hAnsi="宋体"/>
          <w:b/>
          <w:bCs/>
          <w:color w:val="auto"/>
          <w:sz w:val="21"/>
          <w:szCs w:val="21"/>
          <w:highlight w:val="none"/>
        </w:rPr>
      </w:pPr>
      <w:r>
        <w:rPr>
          <w:rFonts w:ascii="宋体" w:hAnsi="宋体"/>
          <w:b/>
          <w:bCs/>
          <w:color w:val="auto"/>
          <w:sz w:val="21"/>
          <w:szCs w:val="21"/>
          <w:highlight w:val="none"/>
        </w:rPr>
        <w:t>5）</w:t>
      </w:r>
      <w:r>
        <w:rPr>
          <w:rFonts w:hint="eastAsia" w:ascii="宋体" w:hAnsi="宋体"/>
          <w:b/>
          <w:bCs/>
          <w:color w:val="auto"/>
          <w:sz w:val="21"/>
          <w:szCs w:val="21"/>
          <w:highlight w:val="none"/>
        </w:rPr>
        <w:t>通过政府采购云平台上传的电子加密投标文件无法按时解密但投标人已递交备份投标文件的，以备份投标文件为依据，否则视为投标文件撤回；通过政府采购云平台上传的电子加密投标文件已按时解密的，备份投标文件自动失效。</w:t>
      </w:r>
    </w:p>
    <w:p>
      <w:pPr>
        <w:spacing w:line="288" w:lineRule="auto"/>
        <w:ind w:firstLine="422" w:firstLineChars="200"/>
        <w:jc w:val="left"/>
        <w:rPr>
          <w:rFonts w:ascii="宋体" w:hAnsi="宋体"/>
          <w:b/>
          <w:bCs/>
          <w:color w:val="auto"/>
          <w:sz w:val="21"/>
          <w:szCs w:val="21"/>
          <w:highlight w:val="none"/>
        </w:rPr>
      </w:pPr>
      <w:r>
        <w:rPr>
          <w:rFonts w:hint="eastAsia" w:ascii="宋体" w:hAnsi="宋体"/>
          <w:b/>
          <w:bCs/>
          <w:color w:val="auto"/>
          <w:sz w:val="21"/>
          <w:szCs w:val="21"/>
          <w:highlight w:val="none"/>
        </w:rPr>
        <w:t>备注：</w:t>
      </w:r>
    </w:p>
    <w:p>
      <w:pPr>
        <w:spacing w:line="288" w:lineRule="auto"/>
        <w:ind w:firstLine="422" w:firstLineChars="200"/>
        <w:rPr>
          <w:rFonts w:ascii="宋体" w:hAnsi="宋体"/>
          <w:b/>
          <w:bCs/>
          <w:color w:val="auto"/>
          <w:sz w:val="21"/>
          <w:szCs w:val="21"/>
          <w:highlight w:val="none"/>
        </w:rPr>
      </w:pPr>
      <w:r>
        <w:rPr>
          <w:rFonts w:hint="eastAsia" w:ascii="宋体" w:hAnsi="宋体"/>
          <w:b/>
          <w:bCs/>
          <w:color w:val="auto"/>
          <w:sz w:val="21"/>
          <w:szCs w:val="21"/>
          <w:highlight w:val="none"/>
        </w:rPr>
        <w:t>投标人可通过浙江省“电子交易/不见面开评标”学习专题提前进行专题学习，熟悉操作，避免影响采购活动（</w:t>
      </w:r>
      <w:r>
        <w:rPr>
          <w:color w:val="auto"/>
          <w:highlight w:val="none"/>
        </w:rPr>
        <w:fldChar w:fldCharType="begin"/>
      </w:r>
      <w:r>
        <w:rPr>
          <w:color w:val="auto"/>
          <w:highlight w:val="none"/>
        </w:rPr>
        <w:instrText xml:space="preserve"> HYPERLINK "https://edu.zcygov.cn/luban/e-biding" </w:instrText>
      </w:r>
      <w:r>
        <w:rPr>
          <w:color w:val="auto"/>
          <w:highlight w:val="none"/>
        </w:rPr>
        <w:fldChar w:fldCharType="separate"/>
      </w:r>
      <w:r>
        <w:rPr>
          <w:rFonts w:hint="eastAsia" w:ascii="宋体" w:hAnsi="宋体"/>
          <w:b/>
          <w:bCs/>
          <w:color w:val="auto"/>
          <w:sz w:val="21"/>
          <w:szCs w:val="21"/>
          <w:highlight w:val="none"/>
        </w:rPr>
        <w:t>https://edu.zcygov.cn/luban/e-biding</w:t>
      </w:r>
      <w:r>
        <w:rPr>
          <w:rFonts w:hint="eastAsia" w:ascii="宋体" w:hAnsi="宋体"/>
          <w:b/>
          <w:bCs/>
          <w:color w:val="auto"/>
          <w:sz w:val="21"/>
          <w:szCs w:val="21"/>
          <w:highlight w:val="none"/>
        </w:rPr>
        <w:fldChar w:fldCharType="end"/>
      </w:r>
      <w:r>
        <w:rPr>
          <w:rFonts w:hint="eastAsia" w:ascii="宋体" w:hAnsi="宋体"/>
          <w:b/>
          <w:bCs/>
          <w:color w:val="auto"/>
          <w:sz w:val="21"/>
          <w:szCs w:val="21"/>
          <w:highlight w:val="none"/>
        </w:rPr>
        <w:t>）。</w:t>
      </w:r>
    </w:p>
    <w:p>
      <w:pPr>
        <w:spacing w:line="288" w:lineRule="auto"/>
        <w:ind w:firstLine="422" w:firstLineChars="200"/>
        <w:rPr>
          <w:rFonts w:ascii="宋体" w:hAnsi="宋体"/>
          <w:b/>
          <w:bCs/>
          <w:color w:val="auto"/>
          <w:sz w:val="21"/>
          <w:szCs w:val="21"/>
          <w:highlight w:val="none"/>
        </w:rPr>
      </w:pPr>
      <w:r>
        <w:rPr>
          <w:rFonts w:ascii="宋体" w:hAnsi="宋体"/>
          <w:b/>
          <w:bCs/>
          <w:color w:val="auto"/>
          <w:sz w:val="21"/>
          <w:szCs w:val="21"/>
          <w:highlight w:val="none"/>
        </w:rPr>
        <w:t>2.</w:t>
      </w:r>
      <w:r>
        <w:rPr>
          <w:rFonts w:hint="eastAsia" w:ascii="宋体" w:hAnsi="宋体"/>
          <w:b/>
          <w:bCs/>
          <w:color w:val="auto"/>
          <w:sz w:val="21"/>
          <w:szCs w:val="21"/>
          <w:highlight w:val="none"/>
        </w:rPr>
        <w:t>质疑和投诉</w:t>
      </w:r>
    </w:p>
    <w:p>
      <w:pPr>
        <w:spacing w:line="288" w:lineRule="auto"/>
        <w:ind w:firstLine="420" w:firstLineChars="200"/>
        <w:rPr>
          <w:rFonts w:ascii="宋体" w:hAnsi="宋体"/>
          <w:b/>
          <w:bCs/>
          <w:color w:val="auto"/>
          <w:sz w:val="21"/>
          <w:szCs w:val="21"/>
          <w:highlight w:val="none"/>
        </w:rPr>
      </w:pPr>
      <w:r>
        <w:rPr>
          <w:rFonts w:hint="eastAsia" w:ascii="宋体" w:hAnsi="宋体"/>
          <w:bCs/>
          <w:color w:val="auto"/>
          <w:sz w:val="21"/>
          <w:szCs w:val="21"/>
          <w:highlight w:val="none"/>
        </w:rPr>
        <w:t>投标人依法获取招标文件后认为招标文件使自己的权益受到损害的，可以自收到招标文件之日（获取</w:t>
      </w:r>
      <w:r>
        <w:rPr>
          <w:rFonts w:hint="eastAsia" w:ascii="宋体" w:hAnsi="宋体"/>
          <w:color w:val="auto"/>
          <w:sz w:val="21"/>
          <w:szCs w:val="21"/>
          <w:highlight w:val="none"/>
        </w:rPr>
        <w:t>截止时间之后收到招标文件的，以获取截止时间为准）或者招标文件公告期限届满之日（公告发布后的第6个工作日）起7个工作日内，以书面形式向采购人和采购代理机构提出质疑。质疑投标人对采购人、采购代理机构的答复不满意或者采购人、采购代理机</w:t>
      </w:r>
      <w:r>
        <w:rPr>
          <w:rFonts w:hint="eastAsia" w:ascii="宋体" w:hAnsi="宋体"/>
          <w:bCs/>
          <w:color w:val="auto"/>
          <w:sz w:val="21"/>
          <w:szCs w:val="21"/>
          <w:highlight w:val="none"/>
        </w:rPr>
        <w:t>构未在规定的时间内作出答复的，可以在答复期满后十五个工作日内向同级政府采购监督管理部门投诉。质疑函范本、投诉书范本请到浙江政府采购网下载专区下载。</w:t>
      </w:r>
    </w:p>
    <w:p>
      <w:pPr>
        <w:spacing w:line="288" w:lineRule="auto"/>
        <w:ind w:firstLine="422" w:firstLineChars="200"/>
        <w:rPr>
          <w:rFonts w:ascii="宋体" w:hAnsi="宋体"/>
          <w:b/>
          <w:bCs/>
          <w:color w:val="auto"/>
          <w:sz w:val="21"/>
          <w:szCs w:val="21"/>
          <w:highlight w:val="none"/>
        </w:rPr>
      </w:pPr>
      <w:r>
        <w:rPr>
          <w:rFonts w:ascii="宋体" w:hAnsi="宋体"/>
          <w:b/>
          <w:bCs/>
          <w:color w:val="auto"/>
          <w:sz w:val="21"/>
          <w:szCs w:val="21"/>
          <w:highlight w:val="none"/>
        </w:rPr>
        <w:t>3.</w:t>
      </w:r>
      <w:r>
        <w:rPr>
          <w:rFonts w:hint="eastAsia" w:ascii="宋体" w:hAnsi="宋体"/>
          <w:b/>
          <w:bCs/>
          <w:color w:val="auto"/>
          <w:sz w:val="21"/>
          <w:szCs w:val="21"/>
          <w:highlight w:val="none"/>
        </w:rPr>
        <w:t>采购项目需要落实的政府采购政策</w:t>
      </w:r>
    </w:p>
    <w:p>
      <w:pPr>
        <w:spacing w:line="288" w:lineRule="auto"/>
        <w:ind w:firstLine="420" w:firstLineChars="200"/>
        <w:rPr>
          <w:rFonts w:ascii="宋体" w:hAnsi="宋体"/>
          <w:bCs/>
          <w:color w:val="auto"/>
          <w:sz w:val="21"/>
          <w:szCs w:val="21"/>
          <w:highlight w:val="none"/>
        </w:rPr>
      </w:pPr>
      <w:bookmarkStart w:id="23" w:name="_Toc30654"/>
      <w:r>
        <w:rPr>
          <w:rFonts w:hint="eastAsia" w:ascii="宋体" w:hAnsi="宋体"/>
          <w:bCs/>
          <w:color w:val="auto"/>
          <w:sz w:val="21"/>
          <w:szCs w:val="21"/>
          <w:highlight w:val="none"/>
        </w:rPr>
        <w:t>1）政府采购促进中小企业发展</w:t>
      </w:r>
      <w:bookmarkEnd w:id="23"/>
    </w:p>
    <w:p>
      <w:pPr>
        <w:spacing w:line="288" w:lineRule="auto"/>
        <w:ind w:firstLine="420" w:firstLineChars="200"/>
        <w:rPr>
          <w:rFonts w:ascii="宋体" w:hAnsi="宋体"/>
          <w:b/>
          <w:bCs/>
          <w:color w:val="auto"/>
          <w:sz w:val="21"/>
          <w:szCs w:val="21"/>
          <w:highlight w:val="none"/>
        </w:rPr>
      </w:pPr>
      <w:bookmarkStart w:id="24" w:name="_Toc21083"/>
      <w:r>
        <w:rPr>
          <w:rFonts w:hint="eastAsia" w:ascii="宋体" w:hAnsi="宋体"/>
          <w:bCs/>
          <w:color w:val="auto"/>
          <w:sz w:val="21"/>
          <w:szCs w:val="21"/>
          <w:highlight w:val="none"/>
        </w:rPr>
        <w:t>2）政府采购支持监狱企业发展</w:t>
      </w:r>
      <w:bookmarkEnd w:id="24"/>
    </w:p>
    <w:p>
      <w:pPr>
        <w:spacing w:line="288" w:lineRule="auto"/>
        <w:ind w:firstLine="420" w:firstLineChars="200"/>
        <w:rPr>
          <w:rFonts w:ascii="宋体" w:hAnsi="宋体"/>
          <w:color w:val="auto"/>
          <w:sz w:val="21"/>
          <w:szCs w:val="21"/>
          <w:highlight w:val="none"/>
        </w:rPr>
      </w:pPr>
      <w:bookmarkStart w:id="25" w:name="_Toc9829"/>
      <w:r>
        <w:rPr>
          <w:rFonts w:hint="eastAsia" w:ascii="宋体" w:hAnsi="宋体"/>
          <w:color w:val="auto"/>
          <w:sz w:val="21"/>
          <w:szCs w:val="21"/>
          <w:highlight w:val="none"/>
        </w:rPr>
        <w:t>3）政府采购促进残疾人就业</w:t>
      </w:r>
      <w:bookmarkEnd w:id="25"/>
    </w:p>
    <w:p>
      <w:pPr>
        <w:spacing w:line="288"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4) 政府强制采购节能产品</w:t>
      </w:r>
    </w:p>
    <w:p>
      <w:pPr>
        <w:spacing w:line="288"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5）政府优先采购节能、环保产品</w:t>
      </w:r>
    </w:p>
    <w:p>
      <w:pPr>
        <w:spacing w:line="288" w:lineRule="auto"/>
        <w:ind w:firstLine="420" w:firstLineChars="200"/>
        <w:rPr>
          <w:rFonts w:ascii="宋体" w:hAnsi="宋体"/>
          <w:bCs/>
          <w:color w:val="auto"/>
          <w:sz w:val="21"/>
          <w:szCs w:val="21"/>
          <w:highlight w:val="none"/>
        </w:rPr>
      </w:pPr>
      <w:r>
        <w:rPr>
          <w:rFonts w:hint="eastAsia" w:ascii="宋体" w:hAnsi="宋体"/>
          <w:bCs/>
          <w:color w:val="auto"/>
          <w:sz w:val="21"/>
          <w:szCs w:val="21"/>
          <w:highlight w:val="none"/>
        </w:rPr>
        <w:t>6）政府采购进口产品</w:t>
      </w:r>
    </w:p>
    <w:p>
      <w:pPr>
        <w:spacing w:line="288" w:lineRule="auto"/>
        <w:ind w:firstLine="422" w:firstLineChars="200"/>
        <w:rPr>
          <w:rFonts w:ascii="宋体" w:hAnsi="宋体"/>
          <w:b/>
          <w:bCs/>
          <w:color w:val="auto"/>
          <w:sz w:val="21"/>
          <w:szCs w:val="21"/>
          <w:highlight w:val="none"/>
        </w:rPr>
      </w:pPr>
      <w:r>
        <w:rPr>
          <w:rFonts w:ascii="宋体" w:hAnsi="宋体"/>
          <w:b/>
          <w:bCs/>
          <w:color w:val="auto"/>
          <w:sz w:val="21"/>
          <w:szCs w:val="21"/>
          <w:highlight w:val="none"/>
        </w:rPr>
        <w:t>4.</w:t>
      </w:r>
      <w:r>
        <w:rPr>
          <w:rFonts w:hint="eastAsia" w:ascii="宋体" w:hAnsi="宋体"/>
          <w:b/>
          <w:bCs/>
          <w:color w:val="auto"/>
          <w:sz w:val="21"/>
          <w:szCs w:val="21"/>
          <w:highlight w:val="none"/>
        </w:rPr>
        <w:t>信用记录</w:t>
      </w:r>
    </w:p>
    <w:p>
      <w:pPr>
        <w:spacing w:line="288" w:lineRule="auto"/>
        <w:ind w:firstLine="420" w:firstLineChars="200"/>
        <w:rPr>
          <w:rFonts w:ascii="宋体" w:hAnsi="宋体"/>
          <w:bCs/>
          <w:color w:val="auto"/>
          <w:sz w:val="21"/>
          <w:szCs w:val="21"/>
          <w:highlight w:val="none"/>
        </w:rPr>
      </w:pPr>
      <w:r>
        <w:rPr>
          <w:rFonts w:hint="eastAsia" w:ascii="宋体" w:hAnsi="宋体"/>
          <w:bCs/>
          <w:color w:val="auto"/>
          <w:sz w:val="21"/>
          <w:szCs w:val="21"/>
          <w:highlight w:val="none"/>
        </w:rPr>
        <w:t>根据财库[2016]125号《关于在政府采购活动中查询及使用信用记录有关问题的通知》要求，采购代理机构会对投标人信用记录进行查询并甄别。</w:t>
      </w:r>
    </w:p>
    <w:p>
      <w:pPr>
        <w:spacing w:line="288" w:lineRule="auto"/>
        <w:ind w:firstLine="420" w:firstLineChars="200"/>
        <w:rPr>
          <w:rFonts w:ascii="宋体" w:hAnsi="宋体"/>
          <w:color w:val="auto"/>
          <w:sz w:val="21"/>
          <w:szCs w:val="21"/>
          <w:highlight w:val="none"/>
        </w:rPr>
      </w:pPr>
      <w:r>
        <w:rPr>
          <w:rFonts w:hint="eastAsia" w:ascii="宋体" w:hAnsi="宋体"/>
          <w:bCs/>
          <w:color w:val="auto"/>
          <w:sz w:val="21"/>
          <w:szCs w:val="21"/>
          <w:highlight w:val="none"/>
        </w:rPr>
        <w:t>1）信用</w:t>
      </w:r>
      <w:r>
        <w:rPr>
          <w:rFonts w:hint="eastAsia" w:ascii="宋体" w:hAnsi="宋体"/>
          <w:color w:val="auto"/>
          <w:sz w:val="21"/>
          <w:szCs w:val="21"/>
          <w:highlight w:val="none"/>
        </w:rPr>
        <w:t>信息查询的截止时点：投标截止时间；</w:t>
      </w:r>
    </w:p>
    <w:p>
      <w:pPr>
        <w:spacing w:line="288"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2）查询渠道：“信用中国”（www.creditchina.gov.cn）、“中国政府采购网”（www.ccgp.gov.cn）；</w:t>
      </w:r>
    </w:p>
    <w:p>
      <w:pPr>
        <w:spacing w:line="288"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3）信用信息查询记录和证据留存具体方式：采购代理机构经办人和监督人员将查询网页打印、签字与其他采购文件一并保存；</w:t>
      </w:r>
    </w:p>
    <w:p>
      <w:pPr>
        <w:spacing w:line="288" w:lineRule="auto"/>
        <w:ind w:firstLine="420" w:firstLineChars="200"/>
        <w:rPr>
          <w:rFonts w:ascii="宋体" w:hAnsi="宋体"/>
          <w:bCs/>
          <w:color w:val="auto"/>
          <w:sz w:val="21"/>
          <w:szCs w:val="21"/>
          <w:highlight w:val="none"/>
        </w:rPr>
      </w:pPr>
      <w:r>
        <w:rPr>
          <w:rFonts w:hint="eastAsia" w:ascii="宋体" w:hAnsi="宋体"/>
          <w:color w:val="auto"/>
          <w:sz w:val="21"/>
          <w:szCs w:val="21"/>
          <w:highlight w:val="none"/>
        </w:rPr>
        <w:t>4</w:t>
      </w:r>
      <w:r>
        <w:rPr>
          <w:rFonts w:hint="eastAsia" w:ascii="宋体" w:hAnsi="宋体"/>
          <w:bCs/>
          <w:color w:val="auto"/>
          <w:sz w:val="21"/>
          <w:szCs w:val="21"/>
          <w:highlight w:val="none"/>
        </w:rPr>
        <w:t>）信用信息的使用规则：投标人被列入失信被执行人、重大税收违法案件当事人名单、政府采购严重违法失信行为记录名单的，拒绝其参与政府采购活动。</w:t>
      </w:r>
    </w:p>
    <w:p>
      <w:pPr>
        <w:spacing w:line="288" w:lineRule="auto"/>
        <w:ind w:firstLine="422" w:firstLineChars="200"/>
        <w:rPr>
          <w:rFonts w:ascii="宋体" w:hAnsi="宋体"/>
          <w:b/>
          <w:bCs/>
          <w:color w:val="auto"/>
          <w:sz w:val="21"/>
          <w:szCs w:val="21"/>
          <w:highlight w:val="none"/>
        </w:rPr>
      </w:pPr>
      <w:r>
        <w:rPr>
          <w:rFonts w:ascii="宋体" w:hAnsi="宋体"/>
          <w:b/>
          <w:bCs/>
          <w:color w:val="auto"/>
          <w:sz w:val="21"/>
          <w:szCs w:val="21"/>
          <w:highlight w:val="none"/>
        </w:rPr>
        <w:t>5.</w:t>
      </w:r>
      <w:r>
        <w:rPr>
          <w:rFonts w:hint="eastAsia" w:ascii="宋体" w:hAnsi="宋体"/>
          <w:b/>
          <w:bCs/>
          <w:color w:val="auto"/>
          <w:sz w:val="21"/>
          <w:szCs w:val="21"/>
          <w:highlight w:val="none"/>
        </w:rPr>
        <w:t>投标保证金：</w:t>
      </w:r>
      <w:r>
        <w:rPr>
          <w:rFonts w:hint="eastAsia" w:ascii="宋体" w:hAnsi="宋体"/>
          <w:bCs/>
          <w:color w:val="auto"/>
          <w:sz w:val="21"/>
          <w:szCs w:val="21"/>
          <w:highlight w:val="none"/>
        </w:rPr>
        <w:t>本项目无投标保证金</w:t>
      </w:r>
      <w:bookmarkStart w:id="26" w:name="_Toc28359085"/>
      <w:bookmarkStart w:id="27" w:name="_Toc28359008"/>
      <w:bookmarkStart w:id="28" w:name="_Toc35393627"/>
      <w:bookmarkStart w:id="29" w:name="_Toc35393796"/>
    </w:p>
    <w:p>
      <w:pPr>
        <w:spacing w:line="288" w:lineRule="auto"/>
        <w:ind w:firstLine="200"/>
        <w:rPr>
          <w:rFonts w:ascii="宋体" w:hAnsi="宋体"/>
          <w:b/>
          <w:color w:val="auto"/>
          <w:sz w:val="24"/>
          <w:szCs w:val="21"/>
          <w:highlight w:val="none"/>
        </w:rPr>
      </w:pPr>
      <w:r>
        <w:rPr>
          <w:rFonts w:hint="eastAsia" w:ascii="宋体" w:hAnsi="宋体" w:cs="宋体"/>
          <w:b/>
          <w:color w:val="auto"/>
          <w:sz w:val="24"/>
          <w:highlight w:val="none"/>
        </w:rPr>
        <w:t>七、对本次招标提出询问、质疑、投诉请按</w:t>
      </w:r>
      <w:r>
        <w:rPr>
          <w:rFonts w:ascii="宋体" w:hAnsi="宋体" w:cs="宋体"/>
          <w:b/>
          <w:color w:val="auto"/>
          <w:sz w:val="24"/>
          <w:highlight w:val="none"/>
        </w:rPr>
        <w:t>以下方式</w:t>
      </w:r>
      <w:r>
        <w:rPr>
          <w:rFonts w:hint="eastAsia" w:ascii="宋体" w:hAnsi="宋体" w:cs="宋体"/>
          <w:b/>
          <w:color w:val="auto"/>
          <w:sz w:val="24"/>
          <w:highlight w:val="none"/>
        </w:rPr>
        <w:t>联系。</w:t>
      </w:r>
      <w:bookmarkEnd w:id="26"/>
      <w:bookmarkEnd w:id="27"/>
      <w:bookmarkEnd w:id="28"/>
      <w:bookmarkEnd w:id="29"/>
    </w:p>
    <w:p>
      <w:pPr>
        <w:spacing w:line="288"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1.采购人信息</w:t>
      </w:r>
    </w:p>
    <w:p>
      <w:pPr>
        <w:spacing w:line="288" w:lineRule="auto"/>
        <w:ind w:firstLine="630" w:firstLineChars="300"/>
        <w:rPr>
          <w:rFonts w:ascii="宋体" w:hAnsi="宋体"/>
          <w:color w:val="auto"/>
          <w:sz w:val="21"/>
          <w:szCs w:val="21"/>
          <w:highlight w:val="none"/>
        </w:rPr>
      </w:pPr>
      <w:r>
        <w:rPr>
          <w:rFonts w:hint="eastAsia" w:ascii="宋体" w:hAnsi="宋体"/>
          <w:color w:val="auto"/>
          <w:sz w:val="21"/>
          <w:szCs w:val="21"/>
          <w:highlight w:val="none"/>
        </w:rPr>
        <w:t>采购人名称：杭州电子科技大学</w:t>
      </w:r>
    </w:p>
    <w:p>
      <w:pPr>
        <w:spacing w:line="288" w:lineRule="auto"/>
        <w:ind w:firstLine="630" w:firstLineChars="300"/>
        <w:rPr>
          <w:rFonts w:ascii="宋体" w:hAnsi="宋体" w:cs="宋体"/>
          <w:color w:val="auto"/>
          <w:spacing w:val="-6"/>
          <w:kern w:val="0"/>
          <w:sz w:val="21"/>
          <w:szCs w:val="21"/>
          <w:highlight w:val="none"/>
        </w:rPr>
      </w:pPr>
      <w:r>
        <w:rPr>
          <w:rFonts w:hint="eastAsia" w:ascii="宋体" w:hAnsi="宋体"/>
          <w:color w:val="auto"/>
          <w:sz w:val="21"/>
          <w:szCs w:val="21"/>
          <w:highlight w:val="none"/>
        </w:rPr>
        <w:t>地址：浙江省杭州市杭州经济开发区白杨街道2号大街1158号</w:t>
      </w:r>
    </w:p>
    <w:p>
      <w:pPr>
        <w:spacing w:line="288" w:lineRule="auto"/>
        <w:ind w:firstLine="630" w:firstLineChars="300"/>
        <w:rPr>
          <w:rFonts w:ascii="宋体" w:hAnsi="宋体"/>
          <w:color w:val="auto"/>
          <w:sz w:val="21"/>
          <w:szCs w:val="21"/>
          <w:highlight w:val="none"/>
        </w:rPr>
      </w:pPr>
      <w:r>
        <w:rPr>
          <w:rFonts w:hint="eastAsia" w:ascii="宋体" w:hAnsi="宋体"/>
          <w:color w:val="auto"/>
          <w:sz w:val="21"/>
          <w:szCs w:val="21"/>
          <w:highlight w:val="none"/>
        </w:rPr>
        <w:t>联系人：崔老师</w:t>
      </w:r>
    </w:p>
    <w:p>
      <w:pPr>
        <w:spacing w:line="288" w:lineRule="auto"/>
        <w:ind w:firstLine="630" w:firstLineChars="300"/>
        <w:rPr>
          <w:rFonts w:ascii="宋体" w:hAnsi="宋体"/>
          <w:color w:val="auto"/>
          <w:sz w:val="21"/>
          <w:szCs w:val="21"/>
          <w:highlight w:val="none"/>
        </w:rPr>
      </w:pPr>
      <w:r>
        <w:rPr>
          <w:rFonts w:hint="eastAsia" w:ascii="宋体" w:hAnsi="宋体"/>
          <w:color w:val="auto"/>
          <w:sz w:val="21"/>
          <w:szCs w:val="21"/>
          <w:highlight w:val="none"/>
        </w:rPr>
        <w:t>联系方法：0571-86878697</w:t>
      </w:r>
    </w:p>
    <w:p>
      <w:pPr>
        <w:spacing w:line="288" w:lineRule="auto"/>
        <w:ind w:firstLine="630" w:firstLineChars="300"/>
        <w:rPr>
          <w:rFonts w:ascii="宋体" w:hAnsi="宋体"/>
          <w:color w:val="auto"/>
          <w:sz w:val="21"/>
          <w:szCs w:val="21"/>
          <w:highlight w:val="none"/>
        </w:rPr>
      </w:pPr>
      <w:r>
        <w:rPr>
          <w:rFonts w:hint="eastAsia" w:ascii="宋体" w:hAnsi="宋体"/>
          <w:color w:val="auto"/>
          <w:sz w:val="21"/>
          <w:szCs w:val="21"/>
          <w:highlight w:val="none"/>
        </w:rPr>
        <w:t>采购项目联系人：陈老师</w:t>
      </w:r>
    </w:p>
    <w:p>
      <w:pPr>
        <w:spacing w:line="288" w:lineRule="auto"/>
        <w:ind w:firstLine="630" w:firstLineChars="300"/>
        <w:rPr>
          <w:rFonts w:ascii="宋体" w:hAnsi="宋体"/>
          <w:color w:val="auto"/>
          <w:sz w:val="21"/>
          <w:szCs w:val="21"/>
          <w:highlight w:val="none"/>
        </w:rPr>
      </w:pPr>
      <w:r>
        <w:rPr>
          <w:rFonts w:hint="eastAsia" w:ascii="宋体" w:hAnsi="宋体"/>
          <w:color w:val="auto"/>
          <w:sz w:val="21"/>
          <w:szCs w:val="21"/>
          <w:highlight w:val="none"/>
        </w:rPr>
        <w:t>联系方式：13735481305</w:t>
      </w:r>
    </w:p>
    <w:p>
      <w:pPr>
        <w:spacing w:line="288" w:lineRule="auto"/>
        <w:ind w:firstLine="630" w:firstLineChars="300"/>
        <w:rPr>
          <w:rFonts w:ascii="宋体" w:hAnsi="宋体"/>
          <w:color w:val="auto"/>
          <w:sz w:val="21"/>
          <w:szCs w:val="21"/>
          <w:highlight w:val="none"/>
        </w:rPr>
      </w:pPr>
      <w:r>
        <w:rPr>
          <w:rFonts w:hint="eastAsia" w:ascii="宋体" w:hAnsi="宋体"/>
          <w:color w:val="auto"/>
          <w:sz w:val="21"/>
          <w:szCs w:val="21"/>
          <w:highlight w:val="none"/>
        </w:rPr>
        <w:t>采购人质疑联系人：李老师</w:t>
      </w:r>
    </w:p>
    <w:p>
      <w:pPr>
        <w:spacing w:line="288" w:lineRule="auto"/>
        <w:ind w:firstLine="630" w:firstLineChars="300"/>
        <w:rPr>
          <w:rFonts w:ascii="宋体" w:hAnsi="宋体"/>
          <w:color w:val="auto"/>
          <w:sz w:val="21"/>
          <w:szCs w:val="21"/>
          <w:highlight w:val="none"/>
        </w:rPr>
      </w:pPr>
      <w:r>
        <w:rPr>
          <w:rFonts w:hint="eastAsia" w:ascii="宋体" w:hAnsi="宋体"/>
          <w:color w:val="auto"/>
          <w:sz w:val="21"/>
          <w:szCs w:val="21"/>
          <w:highlight w:val="none"/>
        </w:rPr>
        <w:t>联系方法：0571-86878697</w:t>
      </w:r>
    </w:p>
    <w:p>
      <w:pPr>
        <w:spacing w:line="288"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2.采购代理机构信息</w:t>
      </w:r>
    </w:p>
    <w:p>
      <w:pPr>
        <w:spacing w:line="288" w:lineRule="auto"/>
        <w:ind w:firstLine="630" w:firstLineChars="300"/>
        <w:rPr>
          <w:rFonts w:ascii="宋体" w:hAnsi="宋体"/>
          <w:color w:val="auto"/>
          <w:sz w:val="21"/>
          <w:szCs w:val="21"/>
          <w:highlight w:val="none"/>
        </w:rPr>
      </w:pPr>
      <w:r>
        <w:rPr>
          <w:rFonts w:hint="eastAsia" w:ascii="宋体" w:hAnsi="宋体"/>
          <w:color w:val="auto"/>
          <w:sz w:val="21"/>
          <w:szCs w:val="21"/>
          <w:highlight w:val="none"/>
        </w:rPr>
        <w:t>采购代理机构名称：浙江求是招标代理有限公司</w:t>
      </w:r>
    </w:p>
    <w:p>
      <w:pPr>
        <w:spacing w:line="288" w:lineRule="auto"/>
        <w:ind w:firstLine="630" w:firstLineChars="300"/>
        <w:rPr>
          <w:rFonts w:ascii="宋体" w:hAnsi="宋体"/>
          <w:color w:val="auto"/>
          <w:sz w:val="21"/>
          <w:szCs w:val="21"/>
          <w:highlight w:val="none"/>
        </w:rPr>
      </w:pPr>
      <w:r>
        <w:rPr>
          <w:rFonts w:hint="eastAsia" w:ascii="宋体" w:hAnsi="宋体"/>
          <w:color w:val="auto"/>
          <w:sz w:val="21"/>
          <w:szCs w:val="21"/>
          <w:highlight w:val="none"/>
        </w:rPr>
        <w:t>地址：杭州市西湖区玉古路173号中田大厦16楼</w:t>
      </w:r>
    </w:p>
    <w:p>
      <w:pPr>
        <w:spacing w:line="288" w:lineRule="auto"/>
        <w:ind w:firstLine="630" w:firstLineChars="300"/>
        <w:rPr>
          <w:rFonts w:ascii="宋体" w:hAnsi="宋体"/>
          <w:color w:val="auto"/>
          <w:sz w:val="21"/>
          <w:szCs w:val="21"/>
          <w:highlight w:val="none"/>
        </w:rPr>
      </w:pPr>
      <w:r>
        <w:rPr>
          <w:rFonts w:hint="eastAsia" w:ascii="宋体" w:hAnsi="宋体"/>
          <w:color w:val="auto"/>
          <w:sz w:val="21"/>
          <w:szCs w:val="21"/>
          <w:highlight w:val="none"/>
        </w:rPr>
        <w:t>业务及备份投标文件递交联系人：陈应俭、俞炳</w:t>
      </w:r>
    </w:p>
    <w:p>
      <w:pPr>
        <w:spacing w:line="288" w:lineRule="auto"/>
        <w:ind w:firstLine="630" w:firstLineChars="300"/>
        <w:rPr>
          <w:rFonts w:ascii="宋体" w:hAnsi="宋体"/>
          <w:color w:val="auto"/>
          <w:sz w:val="21"/>
          <w:szCs w:val="21"/>
          <w:highlight w:val="none"/>
        </w:rPr>
      </w:pPr>
      <w:r>
        <w:rPr>
          <w:rFonts w:hint="eastAsia" w:ascii="宋体" w:hAnsi="宋体"/>
          <w:color w:val="auto"/>
          <w:sz w:val="21"/>
          <w:szCs w:val="21"/>
          <w:highlight w:val="none"/>
        </w:rPr>
        <w:t>联系方法：0571-87670302</w:t>
      </w:r>
    </w:p>
    <w:p>
      <w:pPr>
        <w:spacing w:line="288" w:lineRule="auto"/>
        <w:ind w:firstLine="630" w:firstLineChars="300"/>
        <w:rPr>
          <w:rFonts w:ascii="宋体" w:hAnsi="宋体"/>
          <w:color w:val="auto"/>
          <w:sz w:val="21"/>
          <w:szCs w:val="21"/>
          <w:highlight w:val="none"/>
        </w:rPr>
      </w:pPr>
      <w:r>
        <w:rPr>
          <w:rFonts w:hint="eastAsia" w:ascii="宋体" w:hAnsi="宋体"/>
          <w:color w:val="auto"/>
          <w:sz w:val="21"/>
          <w:szCs w:val="21"/>
          <w:highlight w:val="none"/>
        </w:rPr>
        <w:t>邮箱：zb02@qszb.net</w:t>
      </w:r>
    </w:p>
    <w:p>
      <w:pPr>
        <w:spacing w:line="288" w:lineRule="auto"/>
        <w:ind w:firstLine="630" w:firstLineChars="300"/>
        <w:rPr>
          <w:rFonts w:ascii="宋体" w:hAnsi="宋体"/>
          <w:color w:val="auto"/>
          <w:sz w:val="21"/>
          <w:szCs w:val="21"/>
          <w:highlight w:val="none"/>
        </w:rPr>
      </w:pPr>
      <w:r>
        <w:rPr>
          <w:rFonts w:hint="eastAsia" w:ascii="宋体" w:hAnsi="宋体"/>
          <w:color w:val="auto"/>
          <w:sz w:val="21"/>
          <w:szCs w:val="21"/>
          <w:highlight w:val="none"/>
        </w:rPr>
        <w:t>获取文件联系人：徐倩</w:t>
      </w:r>
    </w:p>
    <w:p>
      <w:pPr>
        <w:spacing w:line="288" w:lineRule="auto"/>
        <w:ind w:firstLine="630" w:firstLineChars="300"/>
        <w:rPr>
          <w:rFonts w:ascii="宋体" w:hAnsi="宋体"/>
          <w:color w:val="auto"/>
          <w:sz w:val="21"/>
          <w:szCs w:val="21"/>
          <w:highlight w:val="none"/>
        </w:rPr>
      </w:pPr>
      <w:r>
        <w:rPr>
          <w:rFonts w:hint="eastAsia" w:ascii="宋体" w:hAnsi="宋体"/>
          <w:color w:val="auto"/>
          <w:sz w:val="21"/>
          <w:szCs w:val="21"/>
          <w:highlight w:val="none"/>
        </w:rPr>
        <w:t>联系方法：0571-87666113</w:t>
      </w:r>
    </w:p>
    <w:p>
      <w:pPr>
        <w:spacing w:line="288" w:lineRule="auto"/>
        <w:ind w:firstLine="630" w:firstLineChars="300"/>
        <w:rPr>
          <w:rFonts w:ascii="宋体" w:hAnsi="宋体"/>
          <w:color w:val="auto"/>
          <w:sz w:val="21"/>
          <w:szCs w:val="21"/>
          <w:highlight w:val="none"/>
        </w:rPr>
      </w:pPr>
      <w:r>
        <w:rPr>
          <w:rFonts w:hint="eastAsia" w:ascii="宋体" w:hAnsi="宋体"/>
          <w:color w:val="auto"/>
          <w:sz w:val="21"/>
          <w:szCs w:val="21"/>
          <w:highlight w:val="none"/>
        </w:rPr>
        <w:t>传真：0571-87666116</w:t>
      </w:r>
    </w:p>
    <w:p>
      <w:pPr>
        <w:spacing w:line="288" w:lineRule="auto"/>
        <w:ind w:firstLine="630" w:firstLineChars="300"/>
        <w:rPr>
          <w:rFonts w:ascii="宋体" w:hAnsi="宋体"/>
          <w:color w:val="auto"/>
          <w:sz w:val="21"/>
          <w:szCs w:val="21"/>
          <w:highlight w:val="none"/>
        </w:rPr>
      </w:pPr>
      <w:r>
        <w:rPr>
          <w:rFonts w:hint="eastAsia" w:ascii="宋体" w:hAnsi="宋体"/>
          <w:color w:val="auto"/>
          <w:sz w:val="21"/>
          <w:szCs w:val="21"/>
          <w:highlight w:val="none"/>
        </w:rPr>
        <w:t>采购代理机构质疑联系人：余水星</w:t>
      </w:r>
    </w:p>
    <w:p>
      <w:pPr>
        <w:spacing w:line="288" w:lineRule="auto"/>
        <w:ind w:firstLine="630" w:firstLineChars="300"/>
        <w:rPr>
          <w:rFonts w:ascii="宋体" w:hAnsi="宋体"/>
          <w:color w:val="auto"/>
          <w:sz w:val="21"/>
          <w:szCs w:val="21"/>
          <w:highlight w:val="none"/>
        </w:rPr>
      </w:pPr>
      <w:r>
        <w:rPr>
          <w:rFonts w:hint="eastAsia" w:ascii="宋体" w:hAnsi="宋体"/>
          <w:color w:val="auto"/>
          <w:sz w:val="21"/>
          <w:szCs w:val="21"/>
          <w:highlight w:val="none"/>
        </w:rPr>
        <w:t>联系方法：0571-56532513</w:t>
      </w:r>
    </w:p>
    <w:p>
      <w:pPr>
        <w:spacing w:line="288" w:lineRule="auto"/>
        <w:ind w:firstLine="630" w:firstLineChars="300"/>
        <w:rPr>
          <w:rFonts w:ascii="宋体" w:hAnsi="宋体"/>
          <w:color w:val="auto"/>
          <w:sz w:val="21"/>
          <w:szCs w:val="21"/>
          <w:highlight w:val="none"/>
        </w:rPr>
      </w:pPr>
      <w:r>
        <w:rPr>
          <w:rFonts w:hint="eastAsia" w:ascii="宋体" w:hAnsi="宋体"/>
          <w:color w:val="auto"/>
          <w:sz w:val="21"/>
          <w:szCs w:val="21"/>
          <w:highlight w:val="none"/>
        </w:rPr>
        <w:t>质疑邮箱：jdkh@qszb.net</w:t>
      </w:r>
    </w:p>
    <w:p>
      <w:pPr>
        <w:spacing w:line="288"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3.同级政府采购监督管理部门：浙江省财政厅政府采购监管处</w:t>
      </w:r>
    </w:p>
    <w:p>
      <w:pPr>
        <w:spacing w:line="288" w:lineRule="auto"/>
        <w:ind w:firstLine="630" w:firstLineChars="300"/>
        <w:rPr>
          <w:rFonts w:ascii="宋体" w:hAnsi="宋体"/>
          <w:color w:val="auto"/>
          <w:sz w:val="21"/>
          <w:szCs w:val="21"/>
          <w:highlight w:val="none"/>
        </w:rPr>
      </w:pPr>
      <w:r>
        <w:rPr>
          <w:rFonts w:hint="eastAsia" w:ascii="宋体" w:hAnsi="宋体"/>
          <w:color w:val="auto"/>
          <w:sz w:val="21"/>
          <w:szCs w:val="21"/>
          <w:highlight w:val="none"/>
        </w:rPr>
        <w:t>联系人：倪文良</w:t>
      </w:r>
    </w:p>
    <w:p>
      <w:pPr>
        <w:spacing w:line="288" w:lineRule="auto"/>
        <w:ind w:firstLine="630" w:firstLineChars="300"/>
        <w:rPr>
          <w:rFonts w:ascii="宋体" w:hAnsi="宋体"/>
          <w:color w:val="auto"/>
          <w:sz w:val="21"/>
          <w:szCs w:val="21"/>
          <w:highlight w:val="none"/>
        </w:rPr>
      </w:pPr>
      <w:r>
        <w:rPr>
          <w:rFonts w:hint="eastAsia" w:ascii="宋体" w:hAnsi="宋体"/>
          <w:color w:val="auto"/>
          <w:sz w:val="21"/>
          <w:szCs w:val="21"/>
          <w:highlight w:val="none"/>
        </w:rPr>
        <w:t>监督投诉电话：0571-87057615</w:t>
      </w:r>
    </w:p>
    <w:p>
      <w:pPr>
        <w:spacing w:line="288" w:lineRule="auto"/>
        <w:ind w:firstLine="630" w:firstLineChars="300"/>
        <w:rPr>
          <w:rFonts w:ascii="宋体" w:hAnsi="宋体"/>
          <w:color w:val="auto"/>
          <w:sz w:val="21"/>
          <w:szCs w:val="21"/>
          <w:highlight w:val="none"/>
        </w:rPr>
      </w:pPr>
      <w:r>
        <w:rPr>
          <w:rFonts w:hint="eastAsia" w:ascii="宋体" w:hAnsi="宋体"/>
          <w:color w:val="auto"/>
          <w:sz w:val="21"/>
          <w:szCs w:val="21"/>
          <w:highlight w:val="none"/>
        </w:rPr>
        <w:t>地址：杭州市环城西路37号</w:t>
      </w:r>
    </w:p>
    <w:p>
      <w:pPr>
        <w:spacing w:line="288" w:lineRule="auto"/>
        <w:ind w:left="238"/>
        <w:jc w:val="center"/>
        <w:outlineLvl w:val="0"/>
        <w:rPr>
          <w:rFonts w:ascii="宋体" w:hAnsi="宋体"/>
          <w:color w:val="auto"/>
          <w:sz w:val="21"/>
          <w:szCs w:val="21"/>
          <w:highlight w:val="none"/>
        </w:rPr>
      </w:pPr>
    </w:p>
    <w:p>
      <w:pPr>
        <w:spacing w:line="288" w:lineRule="auto"/>
        <w:ind w:firstLine="422" w:firstLineChars="200"/>
        <w:rPr>
          <w:rFonts w:ascii="宋体" w:hAnsi="宋体" w:cs="宋体"/>
          <w:b/>
          <w:bCs/>
          <w:color w:val="auto"/>
          <w:sz w:val="21"/>
          <w:szCs w:val="21"/>
          <w:highlight w:val="none"/>
        </w:rPr>
      </w:pPr>
      <w:r>
        <w:rPr>
          <w:rFonts w:hint="eastAsia" w:ascii="宋体" w:hAnsi="宋体" w:cs="宋体"/>
          <w:b/>
          <w:bCs/>
          <w:color w:val="auto"/>
          <w:sz w:val="21"/>
          <w:szCs w:val="21"/>
          <w:highlight w:val="none"/>
        </w:rPr>
        <w:t>若对项目采购电子交易系统操作有疑问，可登录政采云（https://www.zcygov.cn/），点击右侧咨询小采，获取采小蜜智能服务管家帮助，或拨打政采云服务热线400-881-7190获取热线服务帮助。</w:t>
      </w:r>
    </w:p>
    <w:p>
      <w:pPr>
        <w:spacing w:line="288" w:lineRule="auto"/>
        <w:ind w:firstLine="422" w:firstLineChars="200"/>
        <w:rPr>
          <w:rFonts w:ascii="宋体" w:hAnsi="宋体" w:cs="宋体"/>
          <w:b/>
          <w:bCs/>
          <w:color w:val="auto"/>
          <w:sz w:val="21"/>
          <w:szCs w:val="21"/>
          <w:highlight w:val="none"/>
        </w:rPr>
      </w:pPr>
      <w:r>
        <w:rPr>
          <w:rFonts w:hint="eastAsia" w:ascii="宋体" w:hAnsi="宋体" w:cs="宋体"/>
          <w:b/>
          <w:bCs/>
          <w:color w:val="auto"/>
          <w:sz w:val="21"/>
          <w:szCs w:val="21"/>
          <w:highlight w:val="none"/>
        </w:rPr>
        <w:t>CA问题联系电话（人工）：汇信CA 400-888-4636；天谷CA 400-087-8198。</w:t>
      </w:r>
    </w:p>
    <w:p>
      <w:pPr>
        <w:spacing w:line="288" w:lineRule="auto"/>
        <w:ind w:left="238"/>
        <w:jc w:val="center"/>
        <w:outlineLvl w:val="0"/>
        <w:rPr>
          <w:rFonts w:ascii="宋体" w:hAnsi="宋体"/>
          <w:color w:val="auto"/>
          <w:sz w:val="21"/>
          <w:szCs w:val="21"/>
          <w:highlight w:val="none"/>
        </w:rPr>
      </w:pPr>
    </w:p>
    <w:p>
      <w:pPr>
        <w:spacing w:line="288" w:lineRule="auto"/>
        <w:ind w:left="238"/>
        <w:jc w:val="center"/>
        <w:outlineLvl w:val="0"/>
        <w:rPr>
          <w:rFonts w:ascii="宋体" w:hAnsi="宋体"/>
          <w:b/>
          <w:bCs/>
          <w:color w:val="auto"/>
          <w:sz w:val="32"/>
          <w:szCs w:val="32"/>
          <w:highlight w:val="none"/>
        </w:rPr>
      </w:pPr>
      <w:r>
        <w:rPr>
          <w:rFonts w:hint="eastAsia" w:ascii="宋体" w:hAnsi="宋体"/>
          <w:color w:val="auto"/>
          <w:sz w:val="21"/>
          <w:szCs w:val="21"/>
          <w:highlight w:val="none"/>
        </w:rPr>
        <w:br w:type="page"/>
      </w:r>
      <w:r>
        <w:rPr>
          <w:rFonts w:hint="eastAsia" w:ascii="宋体" w:hAnsi="宋体"/>
          <w:b/>
          <w:color w:val="auto"/>
          <w:sz w:val="32"/>
          <w:szCs w:val="32"/>
          <w:highlight w:val="none"/>
        </w:rPr>
        <w:t xml:space="preserve">第二章  </w:t>
      </w:r>
      <w:r>
        <w:rPr>
          <w:rFonts w:hint="eastAsia" w:ascii="宋体" w:hAnsi="宋体"/>
          <w:b/>
          <w:bCs/>
          <w:color w:val="auto"/>
          <w:sz w:val="32"/>
          <w:szCs w:val="32"/>
          <w:highlight w:val="none"/>
        </w:rPr>
        <w:t>采购需求</w:t>
      </w:r>
    </w:p>
    <w:p>
      <w:pPr>
        <w:spacing w:line="288" w:lineRule="auto"/>
        <w:ind w:left="272" w:hanging="272" w:hangingChars="113"/>
        <w:rPr>
          <w:rFonts w:ascii="宋体" w:hAnsi="宋体"/>
          <w:b/>
          <w:color w:val="auto"/>
          <w:sz w:val="24"/>
          <w:highlight w:val="none"/>
        </w:rPr>
      </w:pPr>
      <w:r>
        <w:rPr>
          <w:rFonts w:hint="eastAsia" w:ascii="宋体" w:hAnsi="宋体"/>
          <w:b/>
          <w:color w:val="auto"/>
          <w:sz w:val="24"/>
          <w:highlight w:val="none"/>
        </w:rPr>
        <w:t>一</w:t>
      </w:r>
      <w:r>
        <w:rPr>
          <w:rFonts w:ascii="宋体" w:hAnsi="宋体"/>
          <w:b/>
          <w:color w:val="auto"/>
          <w:sz w:val="24"/>
          <w:highlight w:val="none"/>
        </w:rPr>
        <w:t>、</w:t>
      </w:r>
      <w:r>
        <w:rPr>
          <w:rFonts w:hint="eastAsia" w:ascii="宋体" w:hAnsi="宋体"/>
          <w:b/>
          <w:color w:val="auto"/>
          <w:sz w:val="24"/>
          <w:highlight w:val="none"/>
        </w:rPr>
        <w:t>为落实政府采购政策需满足的要求：</w:t>
      </w:r>
    </w:p>
    <w:tbl>
      <w:tblPr>
        <w:tblStyle w:val="22"/>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2863"/>
        <w:gridCol w:w="60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08" w:type="dxa"/>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序号</w:t>
            </w:r>
          </w:p>
        </w:tc>
        <w:tc>
          <w:tcPr>
            <w:tcW w:w="2863" w:type="dxa"/>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政策名称</w:t>
            </w:r>
          </w:p>
        </w:tc>
        <w:tc>
          <w:tcPr>
            <w:tcW w:w="6057" w:type="dxa"/>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08"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1</w:t>
            </w:r>
          </w:p>
        </w:tc>
        <w:tc>
          <w:tcPr>
            <w:tcW w:w="2863"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政府采购促进中小企业发展</w:t>
            </w:r>
          </w:p>
        </w:tc>
        <w:tc>
          <w:tcPr>
            <w:tcW w:w="6057" w:type="dxa"/>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r>
              <w:rPr>
                <w:rFonts w:hint="eastAsia" w:ascii="宋体" w:hAnsi="宋体" w:cs="宋体"/>
                <w:color w:val="auto"/>
                <w:sz w:val="21"/>
                <w:szCs w:val="21"/>
                <w:highlight w:val="none"/>
              </w:rPr>
              <w:t>提供材料详见招标文件第六章“报价文件”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08"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2</w:t>
            </w:r>
          </w:p>
        </w:tc>
        <w:tc>
          <w:tcPr>
            <w:tcW w:w="2863"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政府采购支持监狱企业发展</w:t>
            </w:r>
          </w:p>
        </w:tc>
        <w:tc>
          <w:tcPr>
            <w:tcW w:w="6057" w:type="dxa"/>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r>
              <w:rPr>
                <w:rFonts w:hint="eastAsia" w:ascii="宋体" w:hAnsi="宋体" w:cs="宋体"/>
                <w:color w:val="auto"/>
                <w:sz w:val="21"/>
                <w:szCs w:val="21"/>
                <w:highlight w:val="none"/>
              </w:rPr>
              <w:t>提供材料详见招标文件第六章“报价文件”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08"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3</w:t>
            </w:r>
          </w:p>
        </w:tc>
        <w:tc>
          <w:tcPr>
            <w:tcW w:w="2863"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政府采购促进残疾人就业</w:t>
            </w:r>
          </w:p>
        </w:tc>
        <w:tc>
          <w:tcPr>
            <w:tcW w:w="6057" w:type="dxa"/>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r>
              <w:rPr>
                <w:rFonts w:hint="eastAsia" w:ascii="宋体" w:hAnsi="宋体" w:cs="宋体"/>
                <w:color w:val="auto"/>
                <w:sz w:val="21"/>
                <w:szCs w:val="21"/>
                <w:highlight w:val="none"/>
              </w:rPr>
              <w:t>提供材料详见招标文件第六章“报价文件”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08"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4</w:t>
            </w:r>
          </w:p>
        </w:tc>
        <w:tc>
          <w:tcPr>
            <w:tcW w:w="2863"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政府强制采购节能产品</w:t>
            </w:r>
          </w:p>
        </w:tc>
        <w:tc>
          <w:tcPr>
            <w:tcW w:w="6057" w:type="dxa"/>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r>
              <w:rPr>
                <w:rFonts w:hint="eastAsia" w:ascii="宋体" w:hAnsi="宋体" w:cs="宋体"/>
                <w:color w:val="auto"/>
                <w:sz w:val="21"/>
                <w:szCs w:val="21"/>
                <w:highlight w:val="none"/>
              </w:rPr>
              <w:t>提供材料详见招标文件第六章“商务文件”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08"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5</w:t>
            </w:r>
          </w:p>
        </w:tc>
        <w:tc>
          <w:tcPr>
            <w:tcW w:w="2863"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政府优先采购节能、环保产品</w:t>
            </w:r>
          </w:p>
        </w:tc>
        <w:tc>
          <w:tcPr>
            <w:tcW w:w="6057" w:type="dxa"/>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r>
              <w:rPr>
                <w:rFonts w:hint="eastAsia" w:ascii="宋体" w:hAnsi="宋体" w:cs="宋体"/>
                <w:color w:val="auto"/>
                <w:sz w:val="21"/>
                <w:szCs w:val="21"/>
                <w:highlight w:val="none"/>
              </w:rPr>
              <w:t>提供材料详见招标文件第六章“商务文件”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08"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6</w:t>
            </w:r>
          </w:p>
        </w:tc>
        <w:tc>
          <w:tcPr>
            <w:tcW w:w="2863"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政府采购进口产品</w:t>
            </w:r>
          </w:p>
        </w:tc>
        <w:tc>
          <w:tcPr>
            <w:tcW w:w="6057" w:type="dxa"/>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r>
              <w:rPr>
                <w:rFonts w:hint="eastAsia" w:ascii="宋体" w:hAnsi="宋体" w:cs="宋体"/>
                <w:color w:val="auto"/>
                <w:sz w:val="21"/>
                <w:szCs w:val="21"/>
                <w:highlight w:val="none"/>
              </w:rPr>
              <w:t>不允许采购进口产品</w:t>
            </w:r>
          </w:p>
        </w:tc>
      </w:tr>
    </w:tbl>
    <w:p>
      <w:pPr>
        <w:spacing w:line="288" w:lineRule="auto"/>
        <w:rPr>
          <w:rFonts w:ascii="宋体" w:hAnsi="宋体"/>
          <w:b/>
          <w:color w:val="auto"/>
          <w:sz w:val="24"/>
          <w:highlight w:val="none"/>
        </w:rPr>
      </w:pPr>
    </w:p>
    <w:p>
      <w:pPr>
        <w:spacing w:line="288" w:lineRule="auto"/>
        <w:rPr>
          <w:rFonts w:ascii="宋体" w:hAnsi="宋体"/>
          <w:b/>
          <w:color w:val="auto"/>
          <w:sz w:val="24"/>
          <w:highlight w:val="none"/>
        </w:rPr>
      </w:pPr>
      <w:r>
        <w:rPr>
          <w:rFonts w:hint="eastAsia" w:ascii="宋体" w:hAnsi="宋体"/>
          <w:b/>
          <w:color w:val="auto"/>
          <w:sz w:val="24"/>
          <w:highlight w:val="none"/>
        </w:rPr>
        <w:t>二、采购资金的支付方式、时间、条件：</w:t>
      </w:r>
    </w:p>
    <w:tbl>
      <w:tblPr>
        <w:tblStyle w:val="22"/>
        <w:tblW w:w="949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127"/>
        <w:gridCol w:w="7371"/>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212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jc w:val="center"/>
              <w:rPr>
                <w:rFonts w:hint="default" w:ascii="宋体" w:hAnsi="宋体"/>
                <w:b/>
                <w:color w:val="auto"/>
                <w:spacing w:val="-6"/>
                <w:sz w:val="21"/>
                <w:szCs w:val="21"/>
                <w:highlight w:val="none"/>
              </w:rPr>
            </w:pPr>
            <w:r>
              <w:rPr>
                <w:rFonts w:hint="eastAsia" w:ascii="宋体" w:hAnsi="宋体"/>
                <w:b/>
                <w:color w:val="auto"/>
                <w:spacing w:val="-6"/>
                <w:sz w:val="21"/>
                <w:szCs w:val="21"/>
                <w:highlight w:val="none"/>
              </w:rPr>
              <w:t>履约保证金</w:t>
            </w:r>
          </w:p>
        </w:tc>
        <w:tc>
          <w:tcPr>
            <w:tcW w:w="737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color w:val="auto"/>
                <w:spacing w:val="-6"/>
                <w:sz w:val="21"/>
                <w:szCs w:val="21"/>
                <w:highlight w:val="none"/>
              </w:rPr>
            </w:pPr>
            <w:r>
              <w:rPr>
                <w:rFonts w:hint="eastAsia" w:ascii="宋体" w:hAnsi="宋体"/>
                <w:color w:val="auto"/>
                <w:spacing w:val="-6"/>
                <w:sz w:val="21"/>
                <w:szCs w:val="21"/>
                <w:highlight w:val="none"/>
              </w:rPr>
              <w:t>合同签订后，中标供应商向采购人缴纳合同金额5%的履约保证金，履约保证金在质保期内无质量问题和维护问题，质保期满后无息退还。</w:t>
            </w:r>
          </w:p>
          <w:p>
            <w:pPr>
              <w:keepNext w:val="0"/>
              <w:keepLines w:val="0"/>
              <w:suppressLineNumbers w:val="0"/>
              <w:spacing w:before="0" w:beforeAutospacing="0" w:after="0" w:afterAutospacing="0" w:line="288" w:lineRule="auto"/>
              <w:ind w:left="0" w:right="0"/>
              <w:rPr>
                <w:rFonts w:hint="default" w:ascii="宋体" w:hAnsi="宋体"/>
                <w:color w:val="auto"/>
                <w:spacing w:val="-6"/>
                <w:sz w:val="21"/>
                <w:szCs w:val="21"/>
                <w:highlight w:val="none"/>
              </w:rPr>
            </w:pPr>
            <w:r>
              <w:rPr>
                <w:rFonts w:hint="eastAsia" w:ascii="宋体" w:hAnsi="宋体"/>
                <w:color w:val="auto"/>
                <w:spacing w:val="-6"/>
                <w:sz w:val="21"/>
                <w:szCs w:val="21"/>
                <w:highlight w:val="none"/>
              </w:rPr>
              <w:t>转账信息如下：</w:t>
            </w:r>
          </w:p>
          <w:p>
            <w:pPr>
              <w:keepNext w:val="0"/>
              <w:keepLines w:val="0"/>
              <w:suppressLineNumbers w:val="0"/>
              <w:spacing w:before="0" w:beforeAutospacing="0" w:after="0" w:afterAutospacing="0" w:line="288" w:lineRule="auto"/>
              <w:ind w:left="0" w:right="0"/>
              <w:rPr>
                <w:rFonts w:hint="default" w:ascii="宋体" w:hAnsi="宋体"/>
                <w:color w:val="auto"/>
                <w:spacing w:val="-6"/>
                <w:sz w:val="21"/>
                <w:szCs w:val="21"/>
                <w:highlight w:val="none"/>
              </w:rPr>
            </w:pPr>
            <w:r>
              <w:rPr>
                <w:rFonts w:hint="eastAsia" w:ascii="宋体" w:hAnsi="宋体"/>
                <w:color w:val="auto"/>
                <w:spacing w:val="-6"/>
                <w:sz w:val="21"/>
                <w:szCs w:val="21"/>
                <w:highlight w:val="none"/>
              </w:rPr>
              <w:t>收款单位（户名）:杭州电子科技大学</w:t>
            </w:r>
          </w:p>
          <w:p>
            <w:pPr>
              <w:keepNext w:val="0"/>
              <w:keepLines w:val="0"/>
              <w:suppressLineNumbers w:val="0"/>
              <w:spacing w:before="0" w:beforeAutospacing="0" w:after="0" w:afterAutospacing="0" w:line="288" w:lineRule="auto"/>
              <w:ind w:left="0" w:right="0"/>
              <w:rPr>
                <w:rFonts w:hint="default" w:ascii="宋体" w:hAnsi="宋体"/>
                <w:color w:val="auto"/>
                <w:spacing w:val="-6"/>
                <w:sz w:val="21"/>
                <w:szCs w:val="21"/>
                <w:highlight w:val="none"/>
              </w:rPr>
            </w:pPr>
            <w:r>
              <w:rPr>
                <w:rFonts w:hint="eastAsia" w:ascii="宋体" w:hAnsi="宋体"/>
                <w:color w:val="auto"/>
                <w:spacing w:val="-6"/>
                <w:sz w:val="21"/>
                <w:szCs w:val="21"/>
                <w:highlight w:val="none"/>
              </w:rPr>
              <w:t>开户银行：工行高新支行</w:t>
            </w:r>
          </w:p>
          <w:p>
            <w:pPr>
              <w:keepNext w:val="0"/>
              <w:keepLines w:val="0"/>
              <w:suppressLineNumbers w:val="0"/>
              <w:spacing w:before="0" w:beforeAutospacing="0" w:after="0" w:afterAutospacing="0" w:line="288" w:lineRule="auto"/>
              <w:ind w:left="0" w:right="0"/>
              <w:rPr>
                <w:rFonts w:hint="default" w:ascii="宋体" w:hAnsi="宋体"/>
                <w:color w:val="auto"/>
                <w:spacing w:val="-6"/>
                <w:sz w:val="21"/>
                <w:szCs w:val="21"/>
                <w:highlight w:val="none"/>
              </w:rPr>
            </w:pPr>
            <w:r>
              <w:rPr>
                <w:rFonts w:hint="eastAsia" w:ascii="宋体" w:hAnsi="宋体"/>
                <w:color w:val="auto"/>
                <w:spacing w:val="-6"/>
                <w:sz w:val="21"/>
                <w:szCs w:val="21"/>
                <w:highlight w:val="none"/>
              </w:rPr>
              <w:t>银行账号：1202026209008806216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212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pacing w:before="0" w:beforeAutospacing="0" w:after="0" w:afterAutospacing="0" w:line="288" w:lineRule="auto"/>
              <w:ind w:left="0" w:leftChars="0" w:right="0" w:rightChars="0"/>
              <w:jc w:val="center"/>
              <w:rPr>
                <w:rFonts w:hint="eastAsia" w:ascii="宋体" w:hAnsi="宋体"/>
                <w:b/>
                <w:color w:val="auto"/>
                <w:spacing w:val="-6"/>
                <w:sz w:val="21"/>
                <w:szCs w:val="21"/>
                <w:highlight w:val="none"/>
              </w:rPr>
            </w:pPr>
            <w:r>
              <w:rPr>
                <w:rFonts w:hint="eastAsia" w:ascii="宋体" w:hAnsi="宋体" w:eastAsia="宋体" w:cs="Times New Roman"/>
                <w:b/>
                <w:color w:val="auto"/>
                <w:spacing w:val="-6"/>
                <w:kern w:val="2"/>
                <w:sz w:val="21"/>
                <w:szCs w:val="21"/>
                <w:highlight w:val="none"/>
                <w:lang w:val="en-US" w:eastAsia="zh-CN" w:bidi="ar"/>
              </w:rPr>
              <w:t>预付款</w:t>
            </w:r>
          </w:p>
        </w:tc>
        <w:tc>
          <w:tcPr>
            <w:tcW w:w="737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pacing w:before="0" w:beforeAutospacing="0" w:after="0" w:afterAutospacing="0" w:line="288" w:lineRule="auto"/>
              <w:ind w:left="0" w:leftChars="0" w:right="0" w:rightChars="0"/>
              <w:jc w:val="both"/>
              <w:rPr>
                <w:rFonts w:hint="eastAsia" w:ascii="宋体" w:hAnsi="宋体"/>
                <w:color w:val="auto"/>
                <w:spacing w:val="-6"/>
                <w:sz w:val="21"/>
                <w:szCs w:val="21"/>
                <w:highlight w:val="none"/>
              </w:rPr>
            </w:pPr>
            <w:r>
              <w:rPr>
                <w:rFonts w:hint="eastAsia" w:ascii="宋体" w:hAnsi="宋体" w:eastAsia="宋体" w:cs="Times New Roman"/>
                <w:color w:val="auto"/>
                <w:spacing w:val="-6"/>
                <w:kern w:val="2"/>
                <w:sz w:val="21"/>
                <w:szCs w:val="21"/>
                <w:highlight w:val="none"/>
                <w:lang w:val="en-US" w:eastAsia="zh-CN" w:bidi="ar"/>
              </w:rPr>
              <w:t>1.支付条件：供应商提交银行、保险公司等金融机构出具的预付款保函；</w:t>
            </w:r>
            <w:r>
              <w:rPr>
                <w:rFonts w:hint="eastAsia" w:ascii="宋体" w:hAnsi="宋体" w:eastAsia="宋体" w:cs="Times New Roman"/>
                <w:color w:val="auto"/>
                <w:spacing w:val="-6"/>
                <w:kern w:val="2"/>
                <w:sz w:val="21"/>
                <w:szCs w:val="21"/>
                <w:highlight w:val="none"/>
                <w:lang w:val="en-US" w:eastAsia="zh-CN" w:bidi="ar"/>
              </w:rPr>
              <w:br w:type="textWrapping"/>
            </w:r>
            <w:r>
              <w:rPr>
                <w:rFonts w:hint="eastAsia" w:ascii="宋体" w:hAnsi="宋体" w:eastAsia="宋体" w:cs="Times New Roman"/>
                <w:color w:val="auto"/>
                <w:spacing w:val="-6"/>
                <w:kern w:val="2"/>
                <w:sz w:val="21"/>
                <w:szCs w:val="21"/>
                <w:highlight w:val="none"/>
                <w:lang w:val="en-US" w:eastAsia="zh-CN" w:bidi="ar"/>
              </w:rPr>
              <w:t>2.支付时间、数额：合同生效并具备实施条件后15日内，采购人向中标人支付合同金额30%的预付款。</w:t>
            </w:r>
            <w:r>
              <w:rPr>
                <w:rFonts w:hint="eastAsia" w:ascii="宋体" w:hAnsi="宋体" w:eastAsia="宋体" w:cs="Times New Roman"/>
                <w:color w:val="auto"/>
                <w:spacing w:val="-6"/>
                <w:kern w:val="2"/>
                <w:sz w:val="21"/>
                <w:szCs w:val="21"/>
                <w:highlight w:val="none"/>
                <w:lang w:val="en-US" w:eastAsia="zh-CN" w:bidi="ar"/>
              </w:rPr>
              <w:br w:type="textWrapping"/>
            </w:r>
            <w:r>
              <w:rPr>
                <w:rFonts w:hint="eastAsia" w:ascii="宋体" w:hAnsi="宋体" w:eastAsia="宋体" w:cs="Times New Roman"/>
                <w:color w:val="auto"/>
                <w:spacing w:val="-6"/>
                <w:kern w:val="2"/>
                <w:sz w:val="21"/>
                <w:szCs w:val="21"/>
                <w:highlight w:val="none"/>
                <w:lang w:val="en-US" w:eastAsia="zh-CN" w:bidi="ar"/>
              </w:rPr>
              <w:t>备注：签订合同时，供应商明确表示无需预付款或者主动要求降低预付款比例的，采购单位可不适用前述规定。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212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jc w:val="center"/>
              <w:rPr>
                <w:rFonts w:hint="default" w:ascii="宋体" w:hAnsi="宋体"/>
                <w:b/>
                <w:color w:val="auto"/>
                <w:spacing w:val="-6"/>
                <w:sz w:val="21"/>
                <w:szCs w:val="21"/>
                <w:highlight w:val="none"/>
              </w:rPr>
            </w:pPr>
            <w:r>
              <w:rPr>
                <w:rFonts w:hint="eastAsia" w:ascii="宋体" w:hAnsi="宋体"/>
                <w:b/>
                <w:color w:val="auto"/>
                <w:spacing w:val="-6"/>
                <w:sz w:val="21"/>
                <w:szCs w:val="21"/>
                <w:highlight w:val="none"/>
              </w:rPr>
              <w:t>付款方式</w:t>
            </w:r>
          </w:p>
        </w:tc>
        <w:tc>
          <w:tcPr>
            <w:tcW w:w="737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eastAsia" w:ascii="宋体" w:hAnsi="宋体"/>
                <w:color w:val="auto"/>
                <w:spacing w:val="-6"/>
                <w:sz w:val="21"/>
                <w:szCs w:val="21"/>
                <w:highlight w:val="none"/>
              </w:rPr>
            </w:pPr>
            <w:r>
              <w:rPr>
                <w:rFonts w:hint="eastAsia" w:ascii="宋体" w:hAnsi="宋体"/>
                <w:color w:val="auto"/>
                <w:spacing w:val="-6"/>
                <w:sz w:val="21"/>
                <w:szCs w:val="21"/>
                <w:highlight w:val="none"/>
              </w:rPr>
              <w:t>货物送达指定地点</w:t>
            </w:r>
            <w:r>
              <w:rPr>
                <w:rFonts w:hint="eastAsia" w:ascii="宋体" w:hAnsi="宋体"/>
                <w:color w:val="auto"/>
                <w:spacing w:val="-6"/>
                <w:sz w:val="21"/>
                <w:szCs w:val="21"/>
                <w:highlight w:val="none"/>
                <w:lang w:val="en-US" w:eastAsia="zh-CN"/>
              </w:rPr>
              <w:t>并安装完毕</w:t>
            </w:r>
            <w:r>
              <w:rPr>
                <w:rFonts w:hint="eastAsia" w:ascii="宋体" w:hAnsi="宋体"/>
                <w:color w:val="auto"/>
                <w:spacing w:val="-6"/>
                <w:sz w:val="21"/>
                <w:szCs w:val="21"/>
                <w:highlight w:val="none"/>
              </w:rPr>
              <w:t>，经采购人验收合格且中标人已提交履约保证金的，采购人向中标人支付至合同总价的100%。</w:t>
            </w:r>
          </w:p>
          <w:p>
            <w:pPr>
              <w:keepNext w:val="0"/>
              <w:keepLines w:val="0"/>
              <w:suppressLineNumbers w:val="0"/>
              <w:spacing w:before="0" w:beforeAutospacing="0" w:after="0" w:afterAutospacing="0" w:line="288" w:lineRule="auto"/>
              <w:ind w:left="0" w:right="0"/>
              <w:rPr>
                <w:rFonts w:hint="default" w:ascii="宋体" w:hAnsi="宋体"/>
                <w:color w:val="auto"/>
                <w:spacing w:val="-6"/>
                <w:sz w:val="21"/>
                <w:szCs w:val="21"/>
                <w:highlight w:val="none"/>
              </w:rPr>
            </w:pPr>
            <w:r>
              <w:rPr>
                <w:rFonts w:hint="eastAsia" w:ascii="宋体" w:hAnsi="宋体"/>
                <w:color w:val="auto"/>
                <w:spacing w:val="-6"/>
                <w:sz w:val="21"/>
                <w:szCs w:val="21"/>
                <w:highlight w:val="none"/>
              </w:rPr>
              <w:t>注：中标人需提供增值税专用发票，开票信息如下：</w:t>
            </w:r>
          </w:p>
          <w:p>
            <w:pPr>
              <w:keepNext w:val="0"/>
              <w:keepLines w:val="0"/>
              <w:suppressLineNumbers w:val="0"/>
              <w:spacing w:before="0" w:beforeAutospacing="0" w:after="0" w:afterAutospacing="0" w:line="288" w:lineRule="auto"/>
              <w:ind w:left="0" w:right="0"/>
              <w:rPr>
                <w:rFonts w:hint="default" w:ascii="宋体" w:hAnsi="宋体"/>
                <w:color w:val="auto"/>
                <w:spacing w:val="-6"/>
                <w:sz w:val="21"/>
                <w:szCs w:val="21"/>
                <w:highlight w:val="none"/>
              </w:rPr>
            </w:pPr>
            <w:r>
              <w:rPr>
                <w:rFonts w:hint="default" w:ascii="宋体" w:hAnsi="宋体"/>
                <w:color w:val="auto"/>
                <w:spacing w:val="-6"/>
                <w:sz w:val="21"/>
                <w:szCs w:val="21"/>
                <w:highlight w:val="none"/>
              </w:rPr>
              <w:t>抬头：杭州电子科技大学</w:t>
            </w:r>
          </w:p>
          <w:p>
            <w:pPr>
              <w:keepNext w:val="0"/>
              <w:keepLines w:val="0"/>
              <w:suppressLineNumbers w:val="0"/>
              <w:spacing w:before="0" w:beforeAutospacing="0" w:after="0" w:afterAutospacing="0" w:line="288" w:lineRule="auto"/>
              <w:ind w:left="0" w:right="0"/>
              <w:rPr>
                <w:rFonts w:hint="default" w:ascii="宋体" w:hAnsi="宋体"/>
                <w:color w:val="auto"/>
                <w:spacing w:val="-6"/>
                <w:sz w:val="21"/>
                <w:szCs w:val="21"/>
                <w:highlight w:val="none"/>
              </w:rPr>
            </w:pPr>
            <w:r>
              <w:rPr>
                <w:rFonts w:hint="default" w:ascii="宋体" w:hAnsi="宋体"/>
                <w:color w:val="auto"/>
                <w:spacing w:val="-6"/>
                <w:sz w:val="21"/>
                <w:szCs w:val="21"/>
                <w:highlight w:val="none"/>
              </w:rPr>
              <w:t>税号：12330000470009026T</w:t>
            </w:r>
          </w:p>
          <w:p>
            <w:pPr>
              <w:keepNext w:val="0"/>
              <w:keepLines w:val="0"/>
              <w:suppressLineNumbers w:val="0"/>
              <w:spacing w:before="0" w:beforeAutospacing="0" w:after="0" w:afterAutospacing="0" w:line="288" w:lineRule="auto"/>
              <w:ind w:left="0" w:right="0"/>
              <w:rPr>
                <w:rFonts w:hint="default" w:ascii="宋体" w:hAnsi="宋体"/>
                <w:color w:val="auto"/>
                <w:spacing w:val="-6"/>
                <w:sz w:val="21"/>
                <w:szCs w:val="21"/>
                <w:highlight w:val="none"/>
              </w:rPr>
            </w:pPr>
            <w:r>
              <w:rPr>
                <w:rFonts w:hint="default" w:ascii="宋体" w:hAnsi="宋体"/>
                <w:color w:val="auto"/>
                <w:spacing w:val="-6"/>
                <w:sz w:val="21"/>
                <w:szCs w:val="21"/>
                <w:highlight w:val="none"/>
              </w:rPr>
              <w:t>地址：杭州市下沙高教园区杭州电子科技大学</w:t>
            </w:r>
          </w:p>
          <w:p>
            <w:pPr>
              <w:keepNext w:val="0"/>
              <w:keepLines w:val="0"/>
              <w:suppressLineNumbers w:val="0"/>
              <w:spacing w:before="0" w:beforeAutospacing="0" w:after="0" w:afterAutospacing="0" w:line="288" w:lineRule="auto"/>
              <w:ind w:left="0" w:right="0"/>
              <w:rPr>
                <w:rFonts w:hint="default" w:ascii="宋体" w:hAnsi="宋体"/>
                <w:color w:val="auto"/>
                <w:spacing w:val="-6"/>
                <w:sz w:val="21"/>
                <w:szCs w:val="21"/>
                <w:highlight w:val="none"/>
              </w:rPr>
            </w:pPr>
            <w:r>
              <w:rPr>
                <w:rFonts w:hint="default" w:ascii="宋体" w:hAnsi="宋体"/>
                <w:color w:val="auto"/>
                <w:spacing w:val="-6"/>
                <w:sz w:val="21"/>
                <w:szCs w:val="21"/>
                <w:highlight w:val="none"/>
              </w:rPr>
              <w:t>电话：0571-86915020</w:t>
            </w:r>
          </w:p>
          <w:p>
            <w:pPr>
              <w:keepNext w:val="0"/>
              <w:keepLines w:val="0"/>
              <w:suppressLineNumbers w:val="0"/>
              <w:spacing w:before="0" w:beforeAutospacing="0" w:after="0" w:afterAutospacing="0" w:line="288" w:lineRule="auto"/>
              <w:ind w:left="0" w:right="0"/>
              <w:rPr>
                <w:rFonts w:hint="default" w:ascii="宋体" w:hAnsi="宋体"/>
                <w:color w:val="auto"/>
                <w:spacing w:val="-6"/>
                <w:sz w:val="21"/>
                <w:szCs w:val="21"/>
                <w:highlight w:val="none"/>
              </w:rPr>
            </w:pPr>
            <w:r>
              <w:rPr>
                <w:rFonts w:hint="default" w:ascii="宋体" w:hAnsi="宋体"/>
                <w:color w:val="auto"/>
                <w:spacing w:val="-6"/>
                <w:sz w:val="21"/>
                <w:szCs w:val="21"/>
                <w:highlight w:val="none"/>
              </w:rPr>
              <w:t>开户银行：工行高新支行</w:t>
            </w:r>
          </w:p>
          <w:p>
            <w:pPr>
              <w:keepNext w:val="0"/>
              <w:keepLines w:val="0"/>
              <w:suppressLineNumbers w:val="0"/>
              <w:spacing w:before="0" w:beforeAutospacing="0" w:after="0" w:afterAutospacing="0" w:line="288" w:lineRule="auto"/>
              <w:ind w:left="0" w:right="0"/>
              <w:rPr>
                <w:rFonts w:hint="default" w:hAnsi="宋体"/>
                <w:color w:val="auto"/>
                <w:spacing w:val="-6"/>
                <w:sz w:val="21"/>
                <w:szCs w:val="21"/>
                <w:highlight w:val="none"/>
              </w:rPr>
            </w:pPr>
            <w:r>
              <w:rPr>
                <w:rFonts w:hint="default" w:ascii="宋体" w:hAnsi="宋体"/>
                <w:color w:val="auto"/>
                <w:spacing w:val="-6"/>
                <w:sz w:val="21"/>
                <w:szCs w:val="21"/>
                <w:highlight w:val="none"/>
              </w:rPr>
              <w:t>银行账号：1202026209008806216</w:t>
            </w:r>
          </w:p>
        </w:tc>
      </w:tr>
    </w:tbl>
    <w:p>
      <w:pPr>
        <w:spacing w:line="288" w:lineRule="auto"/>
        <w:rPr>
          <w:rFonts w:ascii="宋体" w:hAnsi="宋体"/>
          <w:b/>
          <w:color w:val="auto"/>
          <w:sz w:val="24"/>
          <w:highlight w:val="none"/>
        </w:rPr>
      </w:pPr>
    </w:p>
    <w:p>
      <w:pPr>
        <w:pStyle w:val="2"/>
        <w:spacing w:line="288" w:lineRule="auto"/>
        <w:ind w:firstLine="0"/>
        <w:rPr>
          <w:color w:val="auto"/>
          <w:highlight w:val="none"/>
        </w:rPr>
      </w:pPr>
    </w:p>
    <w:p>
      <w:pPr>
        <w:spacing w:line="288" w:lineRule="auto"/>
        <w:rPr>
          <w:rFonts w:ascii="宋体" w:hAnsi="宋体"/>
          <w:b/>
          <w:color w:val="auto"/>
          <w:sz w:val="24"/>
          <w:highlight w:val="none"/>
        </w:rPr>
      </w:pPr>
      <w:r>
        <w:rPr>
          <w:rFonts w:hint="eastAsia" w:ascii="宋体" w:hAnsi="宋体"/>
          <w:b/>
          <w:color w:val="auto"/>
          <w:sz w:val="24"/>
          <w:highlight w:val="none"/>
        </w:rPr>
        <w:t>三</w:t>
      </w:r>
      <w:r>
        <w:rPr>
          <w:rFonts w:ascii="宋体" w:hAnsi="宋体"/>
          <w:b/>
          <w:color w:val="auto"/>
          <w:sz w:val="24"/>
          <w:highlight w:val="none"/>
        </w:rPr>
        <w:t>、</w:t>
      </w:r>
      <w:r>
        <w:rPr>
          <w:rFonts w:hint="eastAsia" w:ascii="宋体" w:hAnsi="宋体"/>
          <w:b/>
          <w:color w:val="auto"/>
          <w:sz w:val="24"/>
          <w:highlight w:val="none"/>
        </w:rPr>
        <w:t>服务</w:t>
      </w:r>
      <w:r>
        <w:rPr>
          <w:rFonts w:ascii="宋体" w:hAnsi="宋体"/>
          <w:b/>
          <w:color w:val="auto"/>
          <w:sz w:val="24"/>
          <w:highlight w:val="none"/>
        </w:rPr>
        <w:t>要求</w:t>
      </w:r>
      <w:r>
        <w:rPr>
          <w:rFonts w:hint="eastAsia" w:ascii="宋体" w:hAnsi="宋体"/>
          <w:b/>
          <w:color w:val="auto"/>
          <w:spacing w:val="-6"/>
          <w:sz w:val="24"/>
          <w:highlight w:val="none"/>
        </w:rPr>
        <w:t>（技术要求里另有注明的以技术要求为准）</w:t>
      </w:r>
      <w:r>
        <w:rPr>
          <w:rFonts w:ascii="宋体" w:hAnsi="宋体"/>
          <w:b/>
          <w:color w:val="auto"/>
          <w:sz w:val="24"/>
          <w:highlight w:val="none"/>
        </w:rPr>
        <w:t>：</w:t>
      </w:r>
    </w:p>
    <w:tbl>
      <w:tblPr>
        <w:tblStyle w:val="22"/>
        <w:tblW w:w="9628"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035"/>
        <w:gridCol w:w="759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203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质保期</w:t>
            </w:r>
          </w:p>
        </w:tc>
        <w:tc>
          <w:tcPr>
            <w:tcW w:w="759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color w:val="auto"/>
                <w:spacing w:val="-6"/>
                <w:sz w:val="21"/>
                <w:szCs w:val="21"/>
                <w:highlight w:val="none"/>
              </w:rPr>
            </w:pPr>
            <w:r>
              <w:rPr>
                <w:rFonts w:hint="eastAsia" w:ascii="宋体" w:hAnsi="宋体"/>
                <w:color w:val="auto"/>
                <w:spacing w:val="-6"/>
                <w:sz w:val="21"/>
                <w:szCs w:val="21"/>
                <w:highlight w:val="none"/>
              </w:rPr>
              <w:t>3年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203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服务标准</w:t>
            </w:r>
          </w:p>
        </w:tc>
        <w:tc>
          <w:tcPr>
            <w:tcW w:w="759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color w:val="auto"/>
                <w:sz w:val="21"/>
                <w:szCs w:val="21"/>
                <w:highlight w:val="none"/>
              </w:rPr>
            </w:pPr>
            <w:r>
              <w:rPr>
                <w:rFonts w:hint="eastAsia" w:ascii="宋体" w:hAnsi="宋体"/>
                <w:color w:val="auto"/>
                <w:sz w:val="21"/>
                <w:szCs w:val="21"/>
                <w:highlight w:val="none"/>
              </w:rPr>
              <w:t>1.质保期内因不能排除的故障而影响工作的情况每发生一次，其质保期相应延长60天，质保期内因货物本身缺陷造成各种故障应由中标人免费予以更换，否则将扣除履约保证金作为对采购人的补偿。质保期满后，仅收取零配件成本费用，免人工费、差旅费，所涉及软件终身免费升级。</w:t>
            </w:r>
          </w:p>
          <w:p>
            <w:pPr>
              <w:keepNext w:val="0"/>
              <w:keepLines w:val="0"/>
              <w:suppressLineNumbers w:val="0"/>
              <w:spacing w:before="0" w:beforeAutospacing="0" w:after="0" w:afterAutospacing="0" w:line="288" w:lineRule="auto"/>
              <w:ind w:left="0" w:right="0"/>
              <w:rPr>
                <w:rFonts w:hint="default" w:ascii="宋体" w:hAnsi="宋体"/>
                <w:color w:val="auto"/>
                <w:sz w:val="21"/>
                <w:szCs w:val="21"/>
                <w:highlight w:val="none"/>
              </w:rPr>
            </w:pPr>
            <w:r>
              <w:rPr>
                <w:rFonts w:hint="eastAsia" w:ascii="宋体" w:hAnsi="宋体"/>
                <w:color w:val="auto"/>
                <w:sz w:val="21"/>
                <w:szCs w:val="21"/>
                <w:highlight w:val="none"/>
              </w:rPr>
              <w:t>2.调整服务：质保期内根据采购人实际需求安排厂商认证工程师提供相关基础性服务；</w:t>
            </w:r>
          </w:p>
          <w:p>
            <w:pPr>
              <w:keepNext w:val="0"/>
              <w:keepLines w:val="0"/>
              <w:suppressLineNumbers w:val="0"/>
              <w:spacing w:before="0" w:beforeAutospacing="0" w:after="0" w:afterAutospacing="0" w:line="288" w:lineRule="auto"/>
              <w:ind w:left="0" w:right="0"/>
              <w:rPr>
                <w:rFonts w:hint="default" w:ascii="宋体" w:hAnsi="宋体"/>
                <w:color w:val="auto"/>
                <w:sz w:val="21"/>
                <w:szCs w:val="21"/>
                <w:highlight w:val="none"/>
              </w:rPr>
            </w:pPr>
            <w:r>
              <w:rPr>
                <w:rFonts w:hint="eastAsia" w:ascii="宋体" w:hAnsi="宋体"/>
                <w:color w:val="auto"/>
                <w:sz w:val="21"/>
                <w:szCs w:val="21"/>
                <w:highlight w:val="none"/>
              </w:rPr>
              <w:t>3.巡检服务：中标人需每年安排不少于四次原厂工程师上门巡检设备，查看分析日志，升级固件软件，优化设备，调整不合理配置，提交巡检报告；</w:t>
            </w:r>
          </w:p>
          <w:p>
            <w:pPr>
              <w:keepNext w:val="0"/>
              <w:keepLines w:val="0"/>
              <w:suppressLineNumbers w:val="0"/>
              <w:spacing w:before="0" w:beforeAutospacing="0" w:after="0" w:afterAutospacing="0" w:line="288" w:lineRule="auto"/>
              <w:ind w:left="0" w:right="0"/>
              <w:rPr>
                <w:rFonts w:hint="default"/>
                <w:color w:val="auto"/>
                <w:highlight w:val="none"/>
              </w:rPr>
            </w:pPr>
            <w:r>
              <w:rPr>
                <w:rFonts w:hint="eastAsia" w:ascii="宋体" w:hAnsi="宋体"/>
                <w:color w:val="auto"/>
                <w:sz w:val="21"/>
                <w:szCs w:val="21"/>
                <w:highlight w:val="none"/>
              </w:rPr>
              <w:t>4.紧急事件响应服务：中标人需在发生灾难性突发事件时共同提供服务及所需相关备件，响应时间为7*24小时。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203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服务效率</w:t>
            </w:r>
          </w:p>
        </w:tc>
        <w:tc>
          <w:tcPr>
            <w:tcW w:w="759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color w:val="auto"/>
                <w:sz w:val="21"/>
                <w:szCs w:val="21"/>
                <w:highlight w:val="none"/>
              </w:rPr>
            </w:pPr>
            <w:r>
              <w:rPr>
                <w:rFonts w:hint="eastAsia" w:ascii="宋体" w:hAnsi="宋体"/>
                <w:color w:val="auto"/>
                <w:sz w:val="21"/>
                <w:szCs w:val="21"/>
                <w:highlight w:val="none"/>
              </w:rPr>
              <w:t>投标人须提供7*24小时技术支持，出现系统故障30分钟内响应，需要现场服务时1小时赶到现场，4小时解决故障，出现重大故障时，负责用户与厂商之间的技术协调工作。</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203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交付时间和地点</w:t>
            </w:r>
          </w:p>
        </w:tc>
        <w:tc>
          <w:tcPr>
            <w:tcW w:w="759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color w:val="auto"/>
                <w:spacing w:val="-6"/>
                <w:sz w:val="21"/>
                <w:szCs w:val="21"/>
                <w:highlight w:val="none"/>
              </w:rPr>
            </w:pPr>
            <w:r>
              <w:rPr>
                <w:rFonts w:hint="eastAsia" w:ascii="宋体" w:hAnsi="宋体"/>
                <w:color w:val="auto"/>
                <w:spacing w:val="-6"/>
                <w:sz w:val="21"/>
                <w:szCs w:val="21"/>
                <w:highlight w:val="none"/>
              </w:rPr>
              <w:t>交付时间：合同签订后60日内交付并</w:t>
            </w:r>
            <w:r>
              <w:rPr>
                <w:rFonts w:hint="default" w:ascii="宋体" w:hAnsi="宋体"/>
                <w:color w:val="auto"/>
                <w:spacing w:val="-6"/>
                <w:sz w:val="21"/>
                <w:szCs w:val="21"/>
                <w:highlight w:val="none"/>
              </w:rPr>
              <w:t>安装完毕。</w:t>
            </w:r>
          </w:p>
          <w:p>
            <w:pPr>
              <w:keepNext w:val="0"/>
              <w:keepLines w:val="0"/>
              <w:suppressLineNumbers w:val="0"/>
              <w:spacing w:before="0" w:beforeAutospacing="0" w:after="0" w:afterAutospacing="0" w:line="288" w:lineRule="auto"/>
              <w:ind w:left="0" w:right="0"/>
              <w:rPr>
                <w:rFonts w:hint="default" w:ascii="宋体" w:hAnsi="宋体"/>
                <w:color w:val="auto"/>
                <w:spacing w:val="-6"/>
                <w:sz w:val="21"/>
                <w:szCs w:val="21"/>
                <w:highlight w:val="none"/>
              </w:rPr>
            </w:pPr>
            <w:r>
              <w:rPr>
                <w:rFonts w:hint="eastAsia" w:ascii="宋体" w:hAnsi="宋体"/>
                <w:color w:val="auto"/>
                <w:spacing w:val="-6"/>
                <w:sz w:val="21"/>
                <w:szCs w:val="21"/>
                <w:highlight w:val="none"/>
              </w:rPr>
              <w:t>交货地点：采购人指定地点。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203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验收标准</w:t>
            </w:r>
          </w:p>
        </w:tc>
        <w:tc>
          <w:tcPr>
            <w:tcW w:w="759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color w:val="auto"/>
                <w:sz w:val="21"/>
                <w:szCs w:val="21"/>
                <w:highlight w:val="none"/>
              </w:rPr>
            </w:pPr>
            <w:r>
              <w:rPr>
                <w:rFonts w:hint="eastAsia" w:ascii="宋体" w:hAnsi="宋体"/>
                <w:color w:val="auto"/>
                <w:sz w:val="21"/>
                <w:szCs w:val="21"/>
                <w:highlight w:val="none"/>
              </w:rPr>
              <w:t>1</w:t>
            </w:r>
            <w:r>
              <w:rPr>
                <w:rFonts w:hint="default" w:ascii="宋体" w:hAnsi="宋体"/>
                <w:color w:val="auto"/>
                <w:sz w:val="21"/>
                <w:szCs w:val="21"/>
                <w:highlight w:val="none"/>
              </w:rPr>
              <w:t>.</w:t>
            </w:r>
            <w:r>
              <w:rPr>
                <w:rFonts w:hint="eastAsia" w:ascii="宋体" w:hAnsi="宋体"/>
                <w:color w:val="auto"/>
                <w:sz w:val="21"/>
                <w:szCs w:val="21"/>
                <w:highlight w:val="none"/>
              </w:rPr>
              <w:t>中标人应提供合同货物的有效检验文件，经采购人认可后，与合同的性能指标一起作为合同货物验收标准。采购人对样品（如有）验收合格后，双方共同签署验收样品合格证书，在合同期限内采购人将对中标人提供的货物进行抽检验收，验收中发现合同货物达不到样品验收标准或合同规定的性能指标，中标人必须更换合同货物，并负担由此给采购人造成的损失，直到验收合格为止。</w:t>
            </w:r>
          </w:p>
          <w:p>
            <w:pPr>
              <w:keepNext w:val="0"/>
              <w:keepLines w:val="0"/>
              <w:suppressLineNumbers w:val="0"/>
              <w:spacing w:before="0" w:beforeAutospacing="0" w:after="0" w:afterAutospacing="0" w:line="288" w:lineRule="auto"/>
              <w:ind w:left="0" w:right="0"/>
              <w:rPr>
                <w:rFonts w:hint="default" w:ascii="宋体" w:hAnsi="宋体"/>
                <w:color w:val="auto"/>
                <w:sz w:val="21"/>
                <w:szCs w:val="21"/>
                <w:highlight w:val="none"/>
              </w:rPr>
            </w:pPr>
            <w:r>
              <w:rPr>
                <w:rFonts w:hint="eastAsia" w:ascii="宋体" w:hAnsi="宋体"/>
                <w:color w:val="auto"/>
                <w:sz w:val="21"/>
                <w:szCs w:val="21"/>
                <w:highlight w:val="none"/>
              </w:rPr>
              <w:t>2</w:t>
            </w:r>
            <w:r>
              <w:rPr>
                <w:rFonts w:hint="default" w:ascii="宋体" w:hAnsi="宋体"/>
                <w:color w:val="auto"/>
                <w:sz w:val="21"/>
                <w:szCs w:val="21"/>
                <w:highlight w:val="none"/>
              </w:rPr>
              <w:t>.</w:t>
            </w:r>
            <w:r>
              <w:rPr>
                <w:rFonts w:hint="eastAsia" w:ascii="宋体" w:hAnsi="宋体"/>
                <w:color w:val="auto"/>
                <w:sz w:val="21"/>
                <w:szCs w:val="21"/>
                <w:highlight w:val="none"/>
              </w:rPr>
              <w:t>投标人应于投标文件中提供合同货物的验收标准和检测办法，并在验收中提供采购人认可的相应检测手段，验收标准应符合中国有关的国家、地方、行业的标准，如若中标，经采购人确认后作为验收的依据。</w:t>
            </w:r>
          </w:p>
          <w:p>
            <w:pPr>
              <w:keepNext w:val="0"/>
              <w:keepLines w:val="0"/>
              <w:suppressLineNumbers w:val="0"/>
              <w:spacing w:before="0" w:beforeAutospacing="0" w:after="0" w:afterAutospacing="0" w:line="288" w:lineRule="auto"/>
              <w:ind w:left="0" w:right="0"/>
              <w:rPr>
                <w:rFonts w:hint="default" w:ascii="宋体" w:hAnsi="宋体"/>
                <w:color w:val="auto"/>
                <w:sz w:val="21"/>
                <w:szCs w:val="21"/>
                <w:highlight w:val="none"/>
              </w:rPr>
            </w:pPr>
            <w:r>
              <w:rPr>
                <w:rFonts w:hint="eastAsia" w:ascii="宋体" w:hAnsi="宋体"/>
                <w:color w:val="auto"/>
                <w:sz w:val="21"/>
                <w:szCs w:val="21"/>
                <w:highlight w:val="none"/>
              </w:rPr>
              <w:t>3</w:t>
            </w:r>
            <w:r>
              <w:rPr>
                <w:rFonts w:hint="default" w:ascii="宋体" w:hAnsi="宋体"/>
                <w:color w:val="auto"/>
                <w:sz w:val="21"/>
                <w:szCs w:val="21"/>
                <w:highlight w:val="none"/>
              </w:rPr>
              <w:t>.</w:t>
            </w:r>
            <w:r>
              <w:rPr>
                <w:rFonts w:hint="eastAsia" w:ascii="宋体" w:hAnsi="宋体"/>
                <w:color w:val="auto"/>
                <w:sz w:val="21"/>
                <w:szCs w:val="21"/>
                <w:highlight w:val="none"/>
              </w:rPr>
              <w:t>如中标人委托国内代理（或其他机构）负责安装或配合安装，应在签约时指明，但中标人仍要对合同货物及其安装质量负全部责任。</w:t>
            </w:r>
          </w:p>
          <w:p>
            <w:pPr>
              <w:keepNext w:val="0"/>
              <w:keepLines w:val="0"/>
              <w:suppressLineNumbers w:val="0"/>
              <w:spacing w:before="0" w:beforeAutospacing="0" w:after="0" w:afterAutospacing="0" w:line="288" w:lineRule="auto"/>
              <w:ind w:left="0" w:right="0"/>
              <w:rPr>
                <w:rFonts w:hint="default" w:ascii="宋体" w:hAnsi="宋体"/>
                <w:color w:val="auto"/>
                <w:sz w:val="21"/>
                <w:szCs w:val="21"/>
                <w:highlight w:val="none"/>
              </w:rPr>
            </w:pPr>
            <w:r>
              <w:rPr>
                <w:rFonts w:hint="eastAsia" w:ascii="宋体" w:hAnsi="宋体"/>
                <w:color w:val="auto"/>
                <w:sz w:val="21"/>
                <w:szCs w:val="21"/>
                <w:highlight w:val="none"/>
              </w:rPr>
              <w:t>4</w:t>
            </w:r>
            <w:r>
              <w:rPr>
                <w:rFonts w:hint="default" w:ascii="宋体" w:hAnsi="宋体"/>
                <w:color w:val="auto"/>
                <w:sz w:val="21"/>
                <w:szCs w:val="21"/>
                <w:highlight w:val="none"/>
              </w:rPr>
              <w:t>.</w:t>
            </w:r>
            <w:r>
              <w:rPr>
                <w:rFonts w:hint="eastAsia" w:ascii="宋体" w:hAnsi="宋体"/>
                <w:color w:val="auto"/>
                <w:sz w:val="21"/>
                <w:szCs w:val="21"/>
                <w:highlight w:val="none"/>
              </w:rPr>
              <w:t>验收费用由中标人承担。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203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其他技术、服务要求</w:t>
            </w:r>
          </w:p>
        </w:tc>
        <w:tc>
          <w:tcPr>
            <w:tcW w:w="759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color w:val="auto"/>
                <w:sz w:val="21"/>
                <w:szCs w:val="21"/>
                <w:highlight w:val="none"/>
              </w:rPr>
            </w:pPr>
            <w:r>
              <w:rPr>
                <w:rFonts w:hint="eastAsia" w:ascii="宋体" w:hAnsi="宋体"/>
                <w:color w:val="auto"/>
                <w:sz w:val="21"/>
                <w:szCs w:val="21"/>
                <w:highlight w:val="none"/>
              </w:rPr>
              <w:t>1.培训：</w:t>
            </w:r>
          </w:p>
          <w:p>
            <w:pPr>
              <w:keepNext w:val="0"/>
              <w:keepLines w:val="0"/>
              <w:suppressLineNumbers w:val="0"/>
              <w:spacing w:before="0" w:beforeAutospacing="0" w:after="0" w:afterAutospacing="0" w:line="288" w:lineRule="auto"/>
              <w:ind w:left="0" w:right="0"/>
              <w:rPr>
                <w:rFonts w:hint="default" w:ascii="宋体" w:hAnsi="宋体"/>
                <w:color w:val="auto"/>
                <w:sz w:val="21"/>
                <w:szCs w:val="21"/>
                <w:highlight w:val="none"/>
              </w:rPr>
            </w:pPr>
            <w:r>
              <w:rPr>
                <w:rFonts w:hint="eastAsia" w:ascii="宋体" w:hAnsi="宋体"/>
                <w:color w:val="auto"/>
                <w:sz w:val="21"/>
                <w:szCs w:val="21"/>
                <w:highlight w:val="none"/>
              </w:rPr>
              <w:t>中标人提供以下免费培训</w:t>
            </w:r>
          </w:p>
          <w:p>
            <w:pPr>
              <w:keepNext w:val="0"/>
              <w:keepLines w:val="0"/>
              <w:suppressLineNumbers w:val="0"/>
              <w:spacing w:before="0" w:beforeAutospacing="0" w:after="0" w:afterAutospacing="0" w:line="288" w:lineRule="auto"/>
              <w:ind w:left="0" w:right="0"/>
              <w:rPr>
                <w:rFonts w:hint="default" w:ascii="宋体" w:hAnsi="宋体"/>
                <w:color w:val="auto"/>
                <w:sz w:val="21"/>
                <w:szCs w:val="21"/>
                <w:highlight w:val="none"/>
              </w:rPr>
            </w:pPr>
            <w:r>
              <w:rPr>
                <w:rFonts w:hint="eastAsia" w:ascii="宋体" w:hAnsi="宋体"/>
                <w:color w:val="auto"/>
                <w:sz w:val="21"/>
                <w:szCs w:val="21"/>
                <w:highlight w:val="none"/>
              </w:rPr>
              <w:t>1.1培训讲师和资料；</w:t>
            </w:r>
          </w:p>
          <w:p>
            <w:pPr>
              <w:keepNext w:val="0"/>
              <w:keepLines w:val="0"/>
              <w:suppressLineNumbers w:val="0"/>
              <w:spacing w:before="0" w:beforeAutospacing="0" w:after="0" w:afterAutospacing="0" w:line="288" w:lineRule="auto"/>
              <w:ind w:left="0" w:right="0"/>
              <w:rPr>
                <w:rFonts w:hint="default" w:ascii="宋体" w:hAnsi="宋体"/>
                <w:color w:val="auto"/>
                <w:sz w:val="21"/>
                <w:szCs w:val="21"/>
                <w:highlight w:val="none"/>
              </w:rPr>
            </w:pPr>
            <w:r>
              <w:rPr>
                <w:rFonts w:hint="eastAsia" w:ascii="宋体" w:hAnsi="宋体"/>
                <w:color w:val="auto"/>
                <w:sz w:val="21"/>
                <w:szCs w:val="21"/>
                <w:highlight w:val="none"/>
              </w:rPr>
              <w:t>1.2培训人数不少于3人，培训天数不少于2天；</w:t>
            </w:r>
          </w:p>
          <w:p>
            <w:pPr>
              <w:keepNext w:val="0"/>
              <w:keepLines w:val="0"/>
              <w:suppressLineNumbers w:val="0"/>
              <w:spacing w:before="0" w:beforeAutospacing="0" w:after="0" w:afterAutospacing="0" w:line="288" w:lineRule="auto"/>
              <w:ind w:left="0" w:right="0"/>
              <w:rPr>
                <w:rFonts w:hint="default" w:ascii="宋体" w:hAnsi="宋体"/>
                <w:color w:val="auto"/>
                <w:sz w:val="21"/>
                <w:szCs w:val="21"/>
                <w:highlight w:val="none"/>
              </w:rPr>
            </w:pPr>
            <w:r>
              <w:rPr>
                <w:rFonts w:hint="eastAsia" w:ascii="宋体" w:hAnsi="宋体"/>
                <w:color w:val="auto"/>
                <w:sz w:val="21"/>
                <w:szCs w:val="21"/>
                <w:highlight w:val="none"/>
              </w:rPr>
              <w:t>1.3培训方式：包括课堂讲解、上机操作和实际工作的参与；</w:t>
            </w:r>
          </w:p>
          <w:p>
            <w:pPr>
              <w:keepNext w:val="0"/>
              <w:keepLines w:val="0"/>
              <w:suppressLineNumbers w:val="0"/>
              <w:spacing w:before="0" w:beforeAutospacing="0" w:after="0" w:afterAutospacing="0" w:line="288" w:lineRule="auto"/>
              <w:ind w:left="0" w:right="0"/>
              <w:rPr>
                <w:rFonts w:hint="default" w:ascii="宋体" w:hAnsi="宋体"/>
                <w:color w:val="auto"/>
                <w:sz w:val="21"/>
                <w:szCs w:val="21"/>
                <w:highlight w:val="none"/>
              </w:rPr>
            </w:pPr>
            <w:r>
              <w:rPr>
                <w:rFonts w:hint="eastAsia" w:ascii="宋体" w:hAnsi="宋体"/>
                <w:color w:val="auto"/>
                <w:sz w:val="21"/>
                <w:szCs w:val="21"/>
                <w:highlight w:val="none"/>
              </w:rPr>
              <w:t>1.4培训对象：项目管理人员培训、系统分析人员培训、系统管理人员培训、系统维护人员培训和系统使用人员培训；</w:t>
            </w:r>
          </w:p>
          <w:p>
            <w:pPr>
              <w:keepNext w:val="0"/>
              <w:keepLines w:val="0"/>
              <w:suppressLineNumbers w:val="0"/>
              <w:spacing w:before="0" w:beforeAutospacing="0" w:after="0" w:afterAutospacing="0" w:line="288" w:lineRule="auto"/>
              <w:ind w:left="0" w:right="0"/>
              <w:rPr>
                <w:rFonts w:hint="default" w:ascii="宋体" w:hAnsi="宋体"/>
                <w:color w:val="auto"/>
                <w:sz w:val="21"/>
                <w:szCs w:val="21"/>
                <w:highlight w:val="none"/>
              </w:rPr>
            </w:pPr>
            <w:r>
              <w:rPr>
                <w:rFonts w:hint="eastAsia" w:ascii="宋体" w:hAnsi="宋体"/>
                <w:color w:val="auto"/>
                <w:sz w:val="21"/>
                <w:szCs w:val="21"/>
                <w:highlight w:val="none"/>
              </w:rPr>
              <w:t>1.5培训内容：中标人需根据不同的对象制定有针对性的培训内容及方案，培训内容应包含协同创新中心所有软硬件设备的性能、安装实施、功能特点、故障情况以及日常运维要点。</w:t>
            </w:r>
          </w:p>
          <w:p>
            <w:pPr>
              <w:keepNext w:val="0"/>
              <w:keepLines w:val="0"/>
              <w:suppressLineNumbers w:val="0"/>
              <w:spacing w:before="0" w:beforeAutospacing="0" w:after="0" w:afterAutospacing="0" w:line="288" w:lineRule="auto"/>
              <w:ind w:left="0" w:right="0"/>
              <w:rPr>
                <w:rFonts w:hint="default" w:ascii="宋体" w:hAnsi="宋体"/>
                <w:color w:val="auto"/>
                <w:sz w:val="21"/>
                <w:szCs w:val="21"/>
                <w:highlight w:val="none"/>
              </w:rPr>
            </w:pPr>
            <w:r>
              <w:rPr>
                <w:rFonts w:hint="eastAsia" w:ascii="宋体" w:hAnsi="宋体"/>
                <w:color w:val="auto"/>
                <w:sz w:val="21"/>
                <w:szCs w:val="21"/>
                <w:highlight w:val="none"/>
              </w:rPr>
              <w:t>2.技术支持：</w:t>
            </w:r>
          </w:p>
          <w:p>
            <w:pPr>
              <w:keepNext w:val="0"/>
              <w:keepLines w:val="0"/>
              <w:suppressLineNumbers w:val="0"/>
              <w:spacing w:before="0" w:beforeAutospacing="0" w:after="0" w:afterAutospacing="0" w:line="288" w:lineRule="auto"/>
              <w:ind w:left="0" w:right="0"/>
              <w:rPr>
                <w:rFonts w:hint="default" w:ascii="宋体" w:hAnsi="宋体"/>
                <w:color w:val="auto"/>
                <w:sz w:val="21"/>
                <w:szCs w:val="21"/>
                <w:highlight w:val="none"/>
              </w:rPr>
            </w:pPr>
            <w:r>
              <w:rPr>
                <w:rFonts w:hint="eastAsia" w:ascii="宋体" w:hAnsi="宋体"/>
                <w:color w:val="auto"/>
                <w:sz w:val="21"/>
                <w:szCs w:val="21"/>
                <w:highlight w:val="none"/>
              </w:rPr>
              <w:t>中标人应及时免费提供合同货物软件的升级，免费提供合同货物新功能和应用的资料。</w:t>
            </w:r>
          </w:p>
          <w:p>
            <w:pPr>
              <w:keepNext w:val="0"/>
              <w:keepLines w:val="0"/>
              <w:suppressLineNumbers w:val="0"/>
              <w:spacing w:before="0" w:beforeAutospacing="0" w:after="0" w:afterAutospacing="0" w:line="288" w:lineRule="auto"/>
              <w:ind w:left="0" w:right="0"/>
              <w:rPr>
                <w:rFonts w:hint="default" w:ascii="宋体" w:hAnsi="宋体"/>
                <w:color w:val="auto"/>
                <w:sz w:val="21"/>
                <w:szCs w:val="21"/>
                <w:highlight w:val="none"/>
              </w:rPr>
            </w:pPr>
            <w:r>
              <w:rPr>
                <w:rFonts w:hint="eastAsia" w:ascii="宋体" w:hAnsi="宋体"/>
                <w:color w:val="auto"/>
                <w:sz w:val="21"/>
                <w:szCs w:val="21"/>
                <w:highlight w:val="none"/>
              </w:rPr>
              <w:t>3.安装调试（若需要安装调试）：</w:t>
            </w:r>
          </w:p>
          <w:p>
            <w:pPr>
              <w:keepNext w:val="0"/>
              <w:keepLines w:val="0"/>
              <w:suppressLineNumbers w:val="0"/>
              <w:spacing w:before="0" w:beforeAutospacing="0" w:after="0" w:afterAutospacing="0" w:line="288" w:lineRule="auto"/>
              <w:ind w:left="0" w:right="0"/>
              <w:rPr>
                <w:rFonts w:hint="default" w:ascii="宋体" w:hAnsi="宋体"/>
                <w:color w:val="auto"/>
                <w:sz w:val="21"/>
                <w:szCs w:val="21"/>
                <w:highlight w:val="none"/>
              </w:rPr>
            </w:pPr>
            <w:r>
              <w:rPr>
                <w:rFonts w:hint="eastAsia" w:ascii="宋体" w:hAnsi="宋体"/>
                <w:color w:val="auto"/>
                <w:sz w:val="21"/>
                <w:szCs w:val="21"/>
                <w:highlight w:val="none"/>
              </w:rPr>
              <w:t>3.1 安装地点：采购人指定地点。</w:t>
            </w:r>
          </w:p>
          <w:p>
            <w:pPr>
              <w:keepNext w:val="0"/>
              <w:keepLines w:val="0"/>
              <w:suppressLineNumbers w:val="0"/>
              <w:spacing w:before="0" w:beforeAutospacing="0" w:after="0" w:afterAutospacing="0" w:line="288" w:lineRule="auto"/>
              <w:ind w:left="0" w:right="0"/>
              <w:rPr>
                <w:rFonts w:hint="default" w:ascii="宋体" w:hAnsi="宋体"/>
                <w:color w:val="auto"/>
                <w:sz w:val="21"/>
                <w:szCs w:val="21"/>
                <w:highlight w:val="none"/>
              </w:rPr>
            </w:pPr>
            <w:r>
              <w:rPr>
                <w:rFonts w:hint="eastAsia" w:ascii="宋体" w:hAnsi="宋体"/>
                <w:color w:val="auto"/>
                <w:sz w:val="21"/>
                <w:szCs w:val="21"/>
                <w:highlight w:val="none"/>
              </w:rPr>
              <w:t>3.2 安装完成时间：接到采购人通知后在</w:t>
            </w:r>
            <w:r>
              <w:rPr>
                <w:rFonts w:hint="eastAsia" w:ascii="宋体" w:hAnsi="宋体"/>
                <w:color w:val="auto"/>
                <w:sz w:val="21"/>
                <w:szCs w:val="21"/>
                <w:highlight w:val="none"/>
                <w:lang w:val="en-US" w:eastAsia="zh-CN"/>
              </w:rPr>
              <w:t>规定时间</w:t>
            </w:r>
            <w:r>
              <w:rPr>
                <w:rFonts w:hint="eastAsia" w:ascii="宋体" w:hAnsi="宋体"/>
                <w:color w:val="auto"/>
                <w:sz w:val="21"/>
                <w:szCs w:val="21"/>
                <w:highlight w:val="none"/>
              </w:rPr>
              <w:t>内完成安装和调试，如在规定的时间内由于中标人的原因不能完成安装和调试，中标人应承担由此给采购人造成的损失。</w:t>
            </w:r>
          </w:p>
          <w:p>
            <w:pPr>
              <w:keepNext w:val="0"/>
              <w:keepLines w:val="0"/>
              <w:suppressLineNumbers w:val="0"/>
              <w:spacing w:before="0" w:beforeAutospacing="0" w:after="0" w:afterAutospacing="0" w:line="288" w:lineRule="auto"/>
              <w:ind w:left="0" w:right="0"/>
              <w:rPr>
                <w:rFonts w:hint="default" w:ascii="宋体" w:hAnsi="宋体"/>
                <w:color w:val="auto"/>
                <w:sz w:val="21"/>
                <w:szCs w:val="21"/>
                <w:highlight w:val="none"/>
              </w:rPr>
            </w:pPr>
            <w:r>
              <w:rPr>
                <w:rFonts w:hint="eastAsia" w:ascii="宋体" w:hAnsi="宋体"/>
                <w:color w:val="auto"/>
                <w:sz w:val="21"/>
                <w:szCs w:val="21"/>
                <w:highlight w:val="none"/>
              </w:rPr>
              <w:t>3.3 安装标准：符合我国国家有关技术规范要求和技术标准，所有的软件和硬件必须保证同时安装到位。</w:t>
            </w:r>
          </w:p>
          <w:p>
            <w:pPr>
              <w:keepNext w:val="0"/>
              <w:keepLines w:val="0"/>
              <w:suppressLineNumbers w:val="0"/>
              <w:spacing w:before="0" w:beforeAutospacing="0" w:after="0" w:afterAutospacing="0" w:line="288" w:lineRule="auto"/>
              <w:ind w:left="0" w:right="0"/>
              <w:rPr>
                <w:rFonts w:hint="default" w:ascii="宋体" w:hAnsi="宋体"/>
                <w:color w:val="auto"/>
                <w:sz w:val="21"/>
                <w:szCs w:val="21"/>
                <w:highlight w:val="none"/>
              </w:rPr>
            </w:pPr>
            <w:r>
              <w:rPr>
                <w:rFonts w:hint="eastAsia" w:ascii="宋体" w:hAnsi="宋体"/>
                <w:color w:val="auto"/>
                <w:sz w:val="21"/>
                <w:szCs w:val="21"/>
                <w:highlight w:val="none"/>
              </w:rPr>
              <w:t>3.4 中标人免费提供合同货物的安装服务。</w:t>
            </w:r>
          </w:p>
          <w:p>
            <w:pPr>
              <w:keepNext w:val="0"/>
              <w:keepLines w:val="0"/>
              <w:suppressLineNumbers w:val="0"/>
              <w:spacing w:before="0" w:beforeAutospacing="0" w:after="0" w:afterAutospacing="0" w:line="288" w:lineRule="auto"/>
              <w:ind w:left="0" w:right="0"/>
              <w:rPr>
                <w:rFonts w:hint="default" w:ascii="宋体" w:hAnsi="宋体"/>
                <w:color w:val="auto"/>
                <w:sz w:val="21"/>
                <w:szCs w:val="21"/>
                <w:highlight w:val="none"/>
              </w:rPr>
            </w:pPr>
            <w:r>
              <w:rPr>
                <w:rFonts w:hint="eastAsia" w:ascii="宋体" w:hAnsi="宋体"/>
                <w:color w:val="auto"/>
                <w:sz w:val="21"/>
                <w:szCs w:val="21"/>
                <w:highlight w:val="none"/>
              </w:rPr>
              <w:t>3.5 中标人在投标文件中应提供安装调试计划、对安装场地和环境的要求。</w:t>
            </w:r>
          </w:p>
          <w:p>
            <w:pPr>
              <w:keepNext w:val="0"/>
              <w:keepLines w:val="0"/>
              <w:suppressLineNumbers w:val="0"/>
              <w:spacing w:before="0" w:beforeAutospacing="0" w:after="0" w:afterAutospacing="0" w:line="288" w:lineRule="auto"/>
              <w:ind w:left="0" w:right="0"/>
              <w:rPr>
                <w:rFonts w:hint="default"/>
                <w:color w:val="auto"/>
                <w:highlight w:val="none"/>
              </w:rPr>
            </w:pPr>
            <w:r>
              <w:rPr>
                <w:rFonts w:hint="eastAsia" w:ascii="宋体" w:hAnsi="宋体"/>
                <w:b/>
                <w:bCs/>
                <w:color w:val="auto"/>
                <w:sz w:val="21"/>
                <w:szCs w:val="21"/>
                <w:highlight w:val="none"/>
              </w:rPr>
              <w:t>4.投标供应商根据采购清单结合现场踏勘情况，做好所有包括但不限于采购清单内设备的安装、调试、集成评估工作，投标人报价须涵盖本项目建设所需设备、配件及机房环境相关辅材的采购、运输、安装、调试、试运行及配套设施建设等所有相关费用以及智慧基础设施物联网服务平台与现有数据中心综合管理平台无缝融合相关的所有费用</w:t>
            </w:r>
          </w:p>
        </w:tc>
      </w:tr>
    </w:tbl>
    <w:p>
      <w:pPr>
        <w:spacing w:line="288" w:lineRule="auto"/>
        <w:rPr>
          <w:rFonts w:ascii="宋体" w:hAnsi="宋体"/>
          <w:b/>
          <w:color w:val="auto"/>
          <w:sz w:val="24"/>
          <w:highlight w:val="none"/>
        </w:rPr>
      </w:pPr>
    </w:p>
    <w:p>
      <w:pPr>
        <w:spacing w:line="288" w:lineRule="auto"/>
        <w:rPr>
          <w:rFonts w:ascii="宋体" w:hAnsi="宋体"/>
          <w:color w:val="auto"/>
          <w:sz w:val="21"/>
          <w:szCs w:val="21"/>
          <w:highlight w:val="none"/>
        </w:rPr>
      </w:pPr>
      <w:r>
        <w:rPr>
          <w:rFonts w:hint="eastAsia" w:ascii="宋体" w:hAnsi="宋体"/>
          <w:b/>
          <w:color w:val="auto"/>
          <w:sz w:val="24"/>
          <w:highlight w:val="none"/>
        </w:rPr>
        <w:t>四</w:t>
      </w:r>
      <w:r>
        <w:rPr>
          <w:rFonts w:ascii="宋体" w:hAnsi="宋体"/>
          <w:b/>
          <w:color w:val="auto"/>
          <w:sz w:val="24"/>
          <w:highlight w:val="none"/>
        </w:rPr>
        <w:t>、技术要求</w:t>
      </w:r>
      <w:r>
        <w:rPr>
          <w:rFonts w:hint="eastAsia" w:ascii="宋体" w:hAnsi="宋体"/>
          <w:color w:val="auto"/>
          <w:sz w:val="21"/>
          <w:szCs w:val="21"/>
          <w:highlight w:val="none"/>
        </w:rPr>
        <w:t>（含采购清单）</w:t>
      </w:r>
    </w:p>
    <w:p>
      <w:pPr>
        <w:pStyle w:val="2"/>
        <w:spacing w:line="288" w:lineRule="auto"/>
        <w:ind w:firstLine="406" w:firstLineChars="200"/>
        <w:rPr>
          <w:b/>
          <w:bCs/>
          <w:color w:val="auto"/>
          <w:sz w:val="21"/>
          <w:szCs w:val="21"/>
          <w:highlight w:val="none"/>
        </w:rPr>
      </w:pPr>
      <w:r>
        <w:rPr>
          <w:rFonts w:hint="eastAsia"/>
          <w:b/>
          <w:bCs/>
          <w:color w:val="auto"/>
          <w:sz w:val="21"/>
          <w:szCs w:val="21"/>
          <w:highlight w:val="none"/>
        </w:rPr>
        <w:t>1.项目背景</w:t>
      </w:r>
    </w:p>
    <w:p>
      <w:pPr>
        <w:pStyle w:val="2"/>
        <w:spacing w:line="288" w:lineRule="auto"/>
        <w:ind w:firstLine="404" w:firstLineChars="200"/>
        <w:rPr>
          <w:color w:val="auto"/>
          <w:sz w:val="21"/>
          <w:szCs w:val="21"/>
          <w:highlight w:val="none"/>
        </w:rPr>
      </w:pPr>
      <w:r>
        <w:rPr>
          <w:color w:val="auto"/>
          <w:sz w:val="21"/>
          <w:szCs w:val="21"/>
          <w:highlight w:val="none"/>
        </w:rPr>
        <w:t>为促进</w:t>
      </w:r>
      <w:r>
        <w:rPr>
          <w:rFonts w:hint="eastAsia"/>
          <w:color w:val="auto"/>
          <w:sz w:val="21"/>
          <w:szCs w:val="21"/>
          <w:highlight w:val="none"/>
        </w:rPr>
        <w:t>采购人</w:t>
      </w:r>
      <w:r>
        <w:rPr>
          <w:color w:val="auto"/>
          <w:sz w:val="21"/>
          <w:szCs w:val="21"/>
          <w:highlight w:val="none"/>
        </w:rPr>
        <w:t>信息化发展，</w:t>
      </w:r>
      <w:r>
        <w:rPr>
          <w:rFonts w:hint="eastAsia"/>
          <w:color w:val="auto"/>
          <w:sz w:val="21"/>
          <w:szCs w:val="21"/>
          <w:highlight w:val="none"/>
        </w:rPr>
        <w:t>采购人</w:t>
      </w:r>
      <w:r>
        <w:rPr>
          <w:color w:val="auto"/>
          <w:sz w:val="21"/>
          <w:szCs w:val="21"/>
          <w:highlight w:val="none"/>
        </w:rPr>
        <w:t>规划建设协同创新中心公共资源管理平台，更好的为学校信息化发展服务，提升协同创新能力发展。</w:t>
      </w:r>
    </w:p>
    <w:p>
      <w:pPr>
        <w:pStyle w:val="2"/>
        <w:spacing w:line="288" w:lineRule="auto"/>
        <w:ind w:firstLine="404" w:firstLineChars="200"/>
        <w:rPr>
          <w:color w:val="auto"/>
          <w:sz w:val="21"/>
          <w:szCs w:val="21"/>
          <w:highlight w:val="none"/>
        </w:rPr>
      </w:pPr>
      <w:r>
        <w:rPr>
          <w:color w:val="auto"/>
          <w:sz w:val="21"/>
          <w:szCs w:val="21"/>
          <w:highlight w:val="none"/>
        </w:rPr>
        <w:t>通过智慧基础设施物联网服务平台实现协同创新中心与现有数据中心统一管理、智能控制、数据互联互通。通过数据中心能效仿真系统、数据中心能耗及负载调度平台实现协同创新中心和现有数据中心能效分析及协同管理。协同创新中心及数据中心基础设施设备采用分布式架构部署，统一平台接入集中管理，建立标准化数据接口，实现各系统的数据共享，互联互通。建立科学的、先进的、安全的、准确的、规范的协同创新中心公共资源管理体系，提供多维度的数据查询及汇总分析，利用图形化工具更形象、直观的数据展示。</w:t>
      </w:r>
    </w:p>
    <w:p>
      <w:pPr>
        <w:pStyle w:val="2"/>
        <w:spacing w:line="288" w:lineRule="auto"/>
        <w:ind w:firstLine="404" w:firstLineChars="200"/>
        <w:rPr>
          <w:color w:val="auto"/>
          <w:sz w:val="21"/>
          <w:szCs w:val="21"/>
          <w:highlight w:val="none"/>
        </w:rPr>
      </w:pPr>
      <w:r>
        <w:rPr>
          <w:color w:val="auto"/>
          <w:sz w:val="21"/>
          <w:szCs w:val="21"/>
          <w:highlight w:val="none"/>
        </w:rPr>
        <w:t>整体项目建设以创新、实用性为出发点，充分考虑现有的场地条件和技术先进性。协同创新中心主要从绿色、节能、安全、智能等方面出发，建设一个集绿色、智能、模块化三位一体的协同创新中心；同时需与现有数据中心无缝融合，实现统一运维管理服务。</w:t>
      </w:r>
    </w:p>
    <w:p>
      <w:pPr>
        <w:pStyle w:val="2"/>
        <w:spacing w:line="288" w:lineRule="auto"/>
        <w:ind w:firstLine="406" w:firstLineChars="200"/>
        <w:rPr>
          <w:b/>
          <w:bCs/>
          <w:color w:val="auto"/>
          <w:sz w:val="21"/>
          <w:szCs w:val="21"/>
          <w:highlight w:val="none"/>
        </w:rPr>
      </w:pPr>
      <w:r>
        <w:rPr>
          <w:rFonts w:hint="eastAsia"/>
          <w:b/>
          <w:bCs/>
          <w:color w:val="auto"/>
          <w:sz w:val="21"/>
          <w:szCs w:val="21"/>
          <w:highlight w:val="none"/>
        </w:rPr>
        <w:t>2.建设目标</w:t>
      </w:r>
    </w:p>
    <w:p>
      <w:pPr>
        <w:spacing w:line="288" w:lineRule="auto"/>
        <w:ind w:firstLine="420" w:firstLineChars="200"/>
        <w:contextualSpacing/>
        <w:rPr>
          <w:rFonts w:ascii="宋体" w:hAnsi="宋体"/>
          <w:color w:val="auto"/>
          <w:sz w:val="21"/>
          <w:szCs w:val="21"/>
          <w:highlight w:val="none"/>
        </w:rPr>
      </w:pPr>
      <w:r>
        <w:rPr>
          <w:rFonts w:hint="eastAsia" w:ascii="宋体" w:hAnsi="宋体"/>
          <w:color w:val="auto"/>
          <w:sz w:val="21"/>
          <w:szCs w:val="21"/>
          <w:highlight w:val="none"/>
        </w:rPr>
        <w:t>本项目需按照绿色模块化为理念，参考国际先进技术及建设经验，采用自动基础设施物联网管理技术体系结构，B/S架构设计，虚拟化分层部署，各应用系统高度集成，集中管理，支持模块化、插件化扩展升级；机柜全密闭高保温设计，有效控制噪音及电磁辐射，气流组织有序，冷热通道完全隔离，废热回收处理；采用机柜级精确制冷，机柜送风按需调节，降低协同创新中心能耗。</w:t>
      </w:r>
    </w:p>
    <w:p>
      <w:pPr>
        <w:spacing w:line="288" w:lineRule="auto"/>
        <w:ind w:firstLine="420" w:firstLineChars="200"/>
        <w:contextualSpacing/>
        <w:rPr>
          <w:rFonts w:ascii="宋体" w:hAnsi="宋体"/>
          <w:color w:val="auto"/>
          <w:sz w:val="21"/>
          <w:szCs w:val="21"/>
          <w:highlight w:val="none"/>
        </w:rPr>
      </w:pPr>
      <w:r>
        <w:rPr>
          <w:rFonts w:hint="eastAsia" w:ascii="宋体" w:hAnsi="宋体"/>
          <w:color w:val="auto"/>
          <w:sz w:val="21"/>
          <w:szCs w:val="21"/>
          <w:highlight w:val="none"/>
        </w:rPr>
        <w:t>本次协同创新中心分为两个功能区域，分别为服务器区、动力区。</w:t>
      </w:r>
    </w:p>
    <w:p>
      <w:pPr>
        <w:spacing w:line="288"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2.1本项目为保证平台的统一性，要求采用统一的智慧基础设施物联网服务平台将协同创新中心及现有数据中心无缝融合，实现统一运维管理。</w:t>
      </w:r>
    </w:p>
    <w:p>
      <w:pPr>
        <w:spacing w:line="288"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2.2实现协同创新中心能效仿真模拟分析，能耗及负载调度管理，需根据协同创新中心实际运行情况进行能效仿真、能耗及负载调度对系统进行按需定制开发。</w:t>
      </w:r>
    </w:p>
    <w:p>
      <w:pPr>
        <w:spacing w:line="288"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2.3机柜全密闭、高保温降低噪音，电磁屏蔽减小辐射，保障运维人员身心健康。</w:t>
      </w:r>
    </w:p>
    <w:p>
      <w:pPr>
        <w:spacing w:line="288"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2.4冷热通道完全封闭隔离处理，设备废热回收，防止设备废热排放在大环境中，提高协同创新中心环境舒适度，无需过度冷却环境，改善能源效率，节能环保。</w:t>
      </w:r>
    </w:p>
    <w:p>
      <w:pPr>
        <w:spacing w:line="288"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2.5以机柜微环境为单位，采用高可靠的综合智能控制柜及物联网智慧网关，对群组及单机柜进行独立管理。可实现机柜微环境温湿度、烟雾监测，机柜微环境送冷和散热自适应控制管理，智能PDU电源管理，机柜门禁安全管理等功能。</w:t>
      </w:r>
    </w:p>
    <w:p>
      <w:pPr>
        <w:spacing w:line="288"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2.6通过综合智能控制柜，对精密空调、UPS等大型设备集群管理，根据设备散热量自适应空调节能控制，群组管理，自动调节空调启停，故障切换。</w:t>
      </w:r>
    </w:p>
    <w:p>
      <w:pPr>
        <w:spacing w:line="288"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2.7协同创新中心采用双路电源供电，智能监测市电柜、输入输出柜、配电列头柜、PDU电源管理器等设备。</w:t>
      </w:r>
    </w:p>
    <w:p>
      <w:pPr>
        <w:pStyle w:val="2"/>
        <w:spacing w:line="288" w:lineRule="auto"/>
        <w:ind w:firstLine="404" w:firstLineChars="200"/>
        <w:rPr>
          <w:rFonts w:hAnsi="宋体"/>
          <w:color w:val="auto"/>
          <w:sz w:val="21"/>
          <w:szCs w:val="21"/>
          <w:highlight w:val="none"/>
        </w:rPr>
      </w:pPr>
      <w:r>
        <w:rPr>
          <w:rFonts w:hint="eastAsia" w:hAnsi="宋体"/>
          <w:color w:val="auto"/>
          <w:sz w:val="21"/>
          <w:szCs w:val="21"/>
          <w:highlight w:val="none"/>
        </w:rPr>
        <w:t>2.8实现移动式运维管理，通过PAD、手机等手持设备查看机柜微环境、协同创新中心大环境（温湿度、烟雾、漏水等）、配电（配电柜、PDU）、不间断电源、制冷设备等实时监管，故障实时告警推送。</w:t>
      </w:r>
    </w:p>
    <w:p>
      <w:pPr>
        <w:pStyle w:val="2"/>
        <w:spacing w:line="288" w:lineRule="auto"/>
        <w:ind w:firstLine="406" w:firstLineChars="200"/>
        <w:rPr>
          <w:rFonts w:hAnsi="宋体"/>
          <w:b/>
          <w:bCs/>
          <w:color w:val="auto"/>
          <w:sz w:val="21"/>
          <w:szCs w:val="21"/>
          <w:highlight w:val="none"/>
        </w:rPr>
      </w:pPr>
      <w:r>
        <w:rPr>
          <w:rFonts w:hint="eastAsia" w:hAnsi="宋体"/>
          <w:b/>
          <w:bCs/>
          <w:color w:val="auto"/>
          <w:sz w:val="21"/>
          <w:szCs w:val="21"/>
          <w:highlight w:val="none"/>
        </w:rPr>
        <w:t>3.建设要点</w:t>
      </w:r>
    </w:p>
    <w:p>
      <w:pPr>
        <w:pStyle w:val="2"/>
        <w:spacing w:line="288" w:lineRule="auto"/>
        <w:ind w:firstLine="404" w:firstLineChars="200"/>
        <w:rPr>
          <w:rFonts w:hAnsi="宋体"/>
          <w:color w:val="auto"/>
          <w:sz w:val="21"/>
          <w:szCs w:val="21"/>
          <w:highlight w:val="none"/>
        </w:rPr>
      </w:pPr>
      <w:r>
        <w:rPr>
          <w:rFonts w:hAnsi="宋体"/>
          <w:color w:val="auto"/>
          <w:sz w:val="21"/>
          <w:szCs w:val="21"/>
          <w:highlight w:val="none"/>
        </w:rPr>
        <w:t>3.1绿色健康</w:t>
      </w:r>
    </w:p>
    <w:p>
      <w:pPr>
        <w:pStyle w:val="2"/>
        <w:spacing w:line="288" w:lineRule="auto"/>
        <w:ind w:firstLine="404" w:firstLineChars="200"/>
        <w:rPr>
          <w:rFonts w:hAnsi="宋体"/>
          <w:color w:val="auto"/>
          <w:sz w:val="21"/>
          <w:szCs w:val="21"/>
          <w:highlight w:val="none"/>
        </w:rPr>
      </w:pPr>
      <w:r>
        <w:rPr>
          <w:rFonts w:hAnsi="宋体"/>
          <w:color w:val="auto"/>
          <w:sz w:val="21"/>
          <w:szCs w:val="21"/>
          <w:highlight w:val="none"/>
        </w:rPr>
        <w:t>静音：为确保日常人员身心健康，服务器区域必须控制设备噪音，通过各类隔音处理，减小机柜外噪音污染，确保服务器机柜外噪音小于40dB，能够静心配置管理设备，保障运维人员免受噪音干扰。</w:t>
      </w:r>
    </w:p>
    <w:p>
      <w:pPr>
        <w:pStyle w:val="2"/>
        <w:spacing w:line="288" w:lineRule="auto"/>
        <w:ind w:firstLine="404" w:firstLineChars="200"/>
        <w:rPr>
          <w:rFonts w:hAnsi="宋体"/>
          <w:color w:val="auto"/>
          <w:sz w:val="21"/>
          <w:szCs w:val="21"/>
          <w:highlight w:val="none"/>
        </w:rPr>
      </w:pPr>
      <w:r>
        <w:rPr>
          <w:rFonts w:hAnsi="宋体"/>
          <w:color w:val="auto"/>
          <w:sz w:val="21"/>
          <w:szCs w:val="21"/>
          <w:highlight w:val="none"/>
        </w:rPr>
        <w:t>废热处理：协同创新中心环境四季常温状态，设备废热气体不得排放在创新中心服务器区内，绿色环保。</w:t>
      </w:r>
    </w:p>
    <w:p>
      <w:pPr>
        <w:pStyle w:val="2"/>
        <w:spacing w:line="288" w:lineRule="auto"/>
        <w:ind w:firstLine="404" w:firstLineChars="200"/>
        <w:rPr>
          <w:rFonts w:hAnsi="宋体"/>
          <w:color w:val="auto"/>
          <w:sz w:val="21"/>
          <w:szCs w:val="21"/>
          <w:highlight w:val="none"/>
        </w:rPr>
      </w:pPr>
      <w:r>
        <w:rPr>
          <w:rFonts w:hAnsi="宋体"/>
          <w:color w:val="auto"/>
          <w:sz w:val="21"/>
          <w:szCs w:val="21"/>
          <w:highlight w:val="none"/>
        </w:rPr>
        <w:t>辅射隔离：协同创新中心必须具有多重辐射隔离措施，降低设备辐射强度，最大程度保障运维人员身心安全。</w:t>
      </w:r>
    </w:p>
    <w:p>
      <w:pPr>
        <w:pStyle w:val="2"/>
        <w:spacing w:line="288" w:lineRule="auto"/>
        <w:ind w:firstLine="404" w:firstLineChars="200"/>
        <w:rPr>
          <w:rFonts w:hAnsi="宋体"/>
          <w:color w:val="auto"/>
          <w:sz w:val="21"/>
          <w:szCs w:val="21"/>
          <w:highlight w:val="none"/>
        </w:rPr>
      </w:pPr>
      <w:r>
        <w:rPr>
          <w:rFonts w:hAnsi="宋体"/>
          <w:color w:val="auto"/>
          <w:sz w:val="21"/>
          <w:szCs w:val="21"/>
          <w:highlight w:val="none"/>
        </w:rPr>
        <w:t>送回风洁净度：协同创新中心内部设备制冷和排热需采用全封闭循环设计，保障机柜内部微环境洁净度，每升空气中≥0.5μm的尘粒数＜3000粒。</w:t>
      </w:r>
    </w:p>
    <w:p>
      <w:pPr>
        <w:pStyle w:val="2"/>
        <w:spacing w:line="288" w:lineRule="auto"/>
        <w:ind w:firstLine="404" w:firstLineChars="200"/>
        <w:rPr>
          <w:rFonts w:hAnsi="宋体"/>
          <w:color w:val="auto"/>
          <w:sz w:val="21"/>
          <w:szCs w:val="21"/>
          <w:highlight w:val="none"/>
        </w:rPr>
      </w:pPr>
      <w:r>
        <w:rPr>
          <w:rFonts w:hAnsi="宋体"/>
          <w:color w:val="auto"/>
          <w:sz w:val="21"/>
          <w:szCs w:val="21"/>
          <w:highlight w:val="none"/>
        </w:rPr>
        <w:t>3.2节能环保</w:t>
      </w:r>
    </w:p>
    <w:p>
      <w:pPr>
        <w:pStyle w:val="2"/>
        <w:spacing w:line="288" w:lineRule="auto"/>
        <w:ind w:firstLine="404" w:firstLineChars="200"/>
        <w:rPr>
          <w:rFonts w:hAnsi="宋体"/>
          <w:color w:val="auto"/>
          <w:sz w:val="21"/>
          <w:szCs w:val="21"/>
          <w:highlight w:val="none"/>
        </w:rPr>
      </w:pPr>
      <w:r>
        <w:rPr>
          <w:rFonts w:hAnsi="宋体"/>
          <w:color w:val="auto"/>
          <w:sz w:val="21"/>
          <w:szCs w:val="21"/>
          <w:highlight w:val="none"/>
        </w:rPr>
        <w:t>协同创新中心能源消耗的很大一部分是用于制冷设备设备的能源, 而制冷设备对于保持协同创新中心的温度和湿度是必要而又有严格管理的。鉴于能源消耗和能源浪费的巨大成本,制冷设备及节能方式非常重要。</w:t>
      </w:r>
    </w:p>
    <w:p>
      <w:pPr>
        <w:pStyle w:val="2"/>
        <w:spacing w:line="288" w:lineRule="auto"/>
        <w:ind w:firstLine="404" w:firstLineChars="200"/>
        <w:rPr>
          <w:rFonts w:hAnsi="宋体"/>
          <w:color w:val="auto"/>
          <w:sz w:val="21"/>
          <w:szCs w:val="21"/>
          <w:highlight w:val="none"/>
        </w:rPr>
      </w:pPr>
      <w:r>
        <w:rPr>
          <w:rFonts w:hAnsi="宋体"/>
          <w:color w:val="auto"/>
          <w:sz w:val="21"/>
          <w:szCs w:val="21"/>
          <w:highlight w:val="none"/>
        </w:rPr>
        <w:t>设备节能：制冷设备的必须选择高效变频设备，须充分考虑气流组织的高效有序性。</w:t>
      </w:r>
    </w:p>
    <w:p>
      <w:pPr>
        <w:pStyle w:val="2"/>
        <w:spacing w:line="288" w:lineRule="auto"/>
        <w:ind w:firstLine="404" w:firstLineChars="200"/>
        <w:rPr>
          <w:rFonts w:hAnsi="宋体"/>
          <w:color w:val="auto"/>
          <w:sz w:val="21"/>
          <w:szCs w:val="21"/>
          <w:highlight w:val="none"/>
        </w:rPr>
      </w:pPr>
      <w:r>
        <w:rPr>
          <w:rFonts w:hAnsi="宋体"/>
          <w:color w:val="auto"/>
          <w:sz w:val="21"/>
          <w:szCs w:val="21"/>
          <w:highlight w:val="none"/>
        </w:rPr>
        <w:t>管理节能：根据IT设备实际功耗及散热需求进行精密空调自适应群组节能控制，设备制冷按需调节。</w:t>
      </w:r>
    </w:p>
    <w:p>
      <w:pPr>
        <w:pStyle w:val="2"/>
        <w:spacing w:line="288" w:lineRule="auto"/>
        <w:ind w:firstLine="404" w:firstLineChars="200"/>
        <w:rPr>
          <w:rFonts w:hAnsi="宋体"/>
          <w:color w:val="auto"/>
          <w:sz w:val="21"/>
          <w:szCs w:val="21"/>
          <w:highlight w:val="none"/>
        </w:rPr>
      </w:pPr>
      <w:r>
        <w:rPr>
          <w:rFonts w:hAnsi="宋体"/>
          <w:color w:val="auto"/>
          <w:sz w:val="21"/>
          <w:szCs w:val="21"/>
          <w:highlight w:val="none"/>
        </w:rPr>
        <w:t>控制节能：单机柜应具有风量调节机制，能够将空机柜关闭送冷，设备较少机柜调节送冷量，应具有设备级制冷调节，能够根据柜内设备实际热负荷合理调节送冷量。</w:t>
      </w:r>
    </w:p>
    <w:p>
      <w:pPr>
        <w:pStyle w:val="2"/>
        <w:spacing w:line="288" w:lineRule="auto"/>
        <w:ind w:firstLine="404" w:firstLineChars="200"/>
        <w:rPr>
          <w:rFonts w:hAnsi="宋体"/>
          <w:color w:val="auto"/>
          <w:sz w:val="21"/>
          <w:szCs w:val="21"/>
          <w:highlight w:val="none"/>
        </w:rPr>
      </w:pPr>
      <w:r>
        <w:rPr>
          <w:rFonts w:hAnsi="宋体"/>
          <w:color w:val="auto"/>
          <w:sz w:val="21"/>
          <w:szCs w:val="21"/>
          <w:highlight w:val="none"/>
        </w:rPr>
        <w:t>节能分析：与传统机房对比分析，提供节能分析方案，要求与传统机房相比全年综合节能率达到30%以上</w:t>
      </w:r>
      <w:r>
        <w:rPr>
          <w:rFonts w:hint="eastAsia" w:hAnsi="宋体"/>
          <w:color w:val="auto"/>
          <w:sz w:val="21"/>
          <w:szCs w:val="21"/>
          <w:highlight w:val="none"/>
        </w:rPr>
        <w:t>。</w:t>
      </w:r>
    </w:p>
    <w:p>
      <w:pPr>
        <w:pStyle w:val="2"/>
        <w:spacing w:line="288" w:lineRule="auto"/>
        <w:ind w:firstLine="404" w:firstLineChars="200"/>
        <w:rPr>
          <w:rFonts w:hAnsi="宋体"/>
          <w:color w:val="auto"/>
          <w:sz w:val="21"/>
          <w:szCs w:val="21"/>
          <w:highlight w:val="none"/>
        </w:rPr>
      </w:pPr>
      <w:r>
        <w:rPr>
          <w:rFonts w:hAnsi="宋体"/>
          <w:color w:val="auto"/>
          <w:sz w:val="21"/>
          <w:szCs w:val="21"/>
          <w:highlight w:val="none"/>
        </w:rPr>
        <w:t>3.3智能控制</w:t>
      </w:r>
    </w:p>
    <w:p>
      <w:pPr>
        <w:pStyle w:val="2"/>
        <w:spacing w:line="288" w:lineRule="auto"/>
        <w:ind w:firstLine="404" w:firstLineChars="200"/>
        <w:rPr>
          <w:rFonts w:hAnsi="宋体"/>
          <w:color w:val="auto"/>
          <w:sz w:val="21"/>
          <w:szCs w:val="21"/>
          <w:highlight w:val="none"/>
        </w:rPr>
      </w:pPr>
      <w:r>
        <w:rPr>
          <w:rFonts w:hAnsi="宋体"/>
          <w:color w:val="auto"/>
          <w:sz w:val="21"/>
          <w:szCs w:val="21"/>
          <w:highlight w:val="none"/>
        </w:rPr>
        <w:t>采用分布式网络结构的智能控制系统，多层系统架构确保系统的运行的稳定性和灵活性，每个子系统独立运行，机柜微环境自动控制，脱机正常运行；综合智能控制柜与智能服务器机柜之间采用TCP/IP旁路部署模式，具有分布运算、数据容错、冗余互备等功能，提高系统的可靠性。</w:t>
      </w:r>
    </w:p>
    <w:p>
      <w:pPr>
        <w:pStyle w:val="2"/>
        <w:spacing w:line="288" w:lineRule="auto"/>
        <w:ind w:firstLine="404" w:firstLineChars="200"/>
        <w:rPr>
          <w:rFonts w:hAnsi="宋体"/>
          <w:color w:val="auto"/>
          <w:sz w:val="21"/>
          <w:szCs w:val="21"/>
          <w:highlight w:val="none"/>
        </w:rPr>
      </w:pPr>
      <w:r>
        <w:rPr>
          <w:rFonts w:hAnsi="宋体"/>
          <w:color w:val="auto"/>
          <w:sz w:val="21"/>
          <w:szCs w:val="21"/>
          <w:highlight w:val="none"/>
        </w:rPr>
        <w:t>触摸屏控制管理：综合智能控制柜不小于17寸液晶触摸屏对协同创新中心各系统监控管理；服务器机柜前门数字触摸屏机柜微环境状态监测、密码开门管理、异常告警等。</w:t>
      </w:r>
    </w:p>
    <w:p>
      <w:pPr>
        <w:pStyle w:val="2"/>
        <w:spacing w:line="288" w:lineRule="auto"/>
        <w:ind w:firstLine="404" w:firstLineChars="200"/>
        <w:rPr>
          <w:rFonts w:hAnsi="宋体"/>
          <w:color w:val="auto"/>
          <w:sz w:val="21"/>
          <w:szCs w:val="21"/>
          <w:highlight w:val="none"/>
        </w:rPr>
      </w:pPr>
      <w:r>
        <w:rPr>
          <w:rFonts w:hAnsi="宋体"/>
          <w:color w:val="auto"/>
          <w:sz w:val="21"/>
          <w:szCs w:val="21"/>
          <w:highlight w:val="none"/>
        </w:rPr>
        <w:t>空调自适应群组控制：系统可根据设备上架实际功耗自适应调节空调运行模式，主备空调自动轮训切换，负载均衡管理。</w:t>
      </w:r>
    </w:p>
    <w:p>
      <w:pPr>
        <w:pStyle w:val="2"/>
        <w:spacing w:line="288" w:lineRule="auto"/>
        <w:ind w:firstLine="404" w:firstLineChars="200"/>
        <w:rPr>
          <w:rFonts w:hAnsi="宋体"/>
          <w:color w:val="auto"/>
          <w:sz w:val="21"/>
          <w:szCs w:val="21"/>
          <w:highlight w:val="none"/>
        </w:rPr>
      </w:pPr>
      <w:r>
        <w:rPr>
          <w:rFonts w:hAnsi="宋体"/>
          <w:color w:val="auto"/>
          <w:sz w:val="21"/>
          <w:szCs w:val="21"/>
          <w:highlight w:val="none"/>
        </w:rPr>
        <w:t>机柜微环境控制：能够通过智慧基础设施物联网服务平台及综合智能控制柜触摸屏对各机柜微环境排热温湿度阀值自定义设置管理（温湿度上下限橙色、红色两级阀值设置）。机柜微环境需具有智能热管理功能，根据设备排热温度自动调节机柜排热模式，应具有辅助排热管理，机柜排热温度达到橙色告警阀值时自动开启智能排热单元，辅助机柜排热，可根据温度变化自适应调节排热量，多挡自动调节；应具有机柜应急排热管理，机柜排热温度达到红色告警阀值时自动85度开启机柜前后门，应急散热。</w:t>
      </w:r>
    </w:p>
    <w:p>
      <w:pPr>
        <w:pStyle w:val="2"/>
        <w:spacing w:line="288" w:lineRule="auto"/>
        <w:ind w:firstLine="404" w:firstLineChars="200"/>
        <w:rPr>
          <w:rFonts w:hAnsi="宋体"/>
          <w:color w:val="auto"/>
          <w:sz w:val="21"/>
          <w:szCs w:val="21"/>
          <w:highlight w:val="none"/>
        </w:rPr>
      </w:pPr>
      <w:r>
        <w:rPr>
          <w:rFonts w:hAnsi="宋体"/>
          <w:color w:val="auto"/>
          <w:sz w:val="21"/>
          <w:szCs w:val="21"/>
          <w:highlight w:val="none"/>
        </w:rPr>
        <w:t>机柜门禁安全管理：单机柜应具有门禁安全管理功能，可通过机柜前门数字触摸键盘及移动运维终端实现机柜开门管理，对访问人员进行权限控制，保障柜内设备运行安全。</w:t>
      </w:r>
    </w:p>
    <w:p>
      <w:pPr>
        <w:pStyle w:val="2"/>
        <w:spacing w:line="288" w:lineRule="auto"/>
        <w:ind w:firstLine="404" w:firstLineChars="200"/>
        <w:rPr>
          <w:rFonts w:hAnsi="宋体"/>
          <w:color w:val="auto"/>
          <w:sz w:val="21"/>
          <w:szCs w:val="21"/>
          <w:highlight w:val="none"/>
        </w:rPr>
      </w:pPr>
      <w:r>
        <w:rPr>
          <w:rFonts w:hAnsi="宋体"/>
          <w:color w:val="auto"/>
          <w:sz w:val="21"/>
          <w:szCs w:val="21"/>
          <w:highlight w:val="none"/>
        </w:rPr>
        <w:t>消防联动控制管理：具有消防联动功能，发生火灾时自动开启机柜前后门，并联动空调、配电等设备应急断电。</w:t>
      </w:r>
    </w:p>
    <w:p>
      <w:pPr>
        <w:pStyle w:val="2"/>
        <w:spacing w:line="288" w:lineRule="auto"/>
        <w:ind w:firstLine="404" w:firstLineChars="200"/>
        <w:rPr>
          <w:rFonts w:hAnsi="宋体"/>
          <w:color w:val="auto"/>
          <w:sz w:val="21"/>
          <w:szCs w:val="21"/>
          <w:highlight w:val="none"/>
        </w:rPr>
      </w:pPr>
      <w:r>
        <w:rPr>
          <w:rFonts w:hAnsi="宋体"/>
          <w:color w:val="auto"/>
          <w:sz w:val="21"/>
          <w:szCs w:val="21"/>
          <w:highlight w:val="none"/>
        </w:rPr>
        <w:t>3.4安全监测</w:t>
      </w:r>
    </w:p>
    <w:p>
      <w:pPr>
        <w:pStyle w:val="2"/>
        <w:spacing w:line="288" w:lineRule="auto"/>
        <w:ind w:firstLine="404" w:firstLineChars="200"/>
        <w:rPr>
          <w:rFonts w:hAnsi="宋体"/>
          <w:color w:val="auto"/>
          <w:sz w:val="21"/>
          <w:szCs w:val="21"/>
          <w:highlight w:val="none"/>
        </w:rPr>
      </w:pPr>
      <w:r>
        <w:rPr>
          <w:rFonts w:hAnsi="宋体"/>
          <w:color w:val="auto"/>
          <w:sz w:val="21"/>
          <w:szCs w:val="21"/>
          <w:highlight w:val="none"/>
        </w:rPr>
        <w:t>安全监测需包含机柜微环境安全监测、配电系统安全监测、精密空调监测、不间断电源监测等，故障告警信息推送。采用统一平台集中监测管理，设备异常或告警，能够通过服务平台、综合智能控制柜触摸屏、机柜数字触摸屏、语音、短信、邮件、移动运维终端等多种方式告知维护人员，及时进行维护管理。</w:t>
      </w:r>
    </w:p>
    <w:p>
      <w:pPr>
        <w:pStyle w:val="2"/>
        <w:spacing w:line="288" w:lineRule="auto"/>
        <w:ind w:firstLine="404" w:firstLineChars="200"/>
        <w:rPr>
          <w:rFonts w:hAnsi="宋体"/>
          <w:color w:val="auto"/>
          <w:sz w:val="21"/>
          <w:szCs w:val="21"/>
          <w:highlight w:val="none"/>
        </w:rPr>
      </w:pPr>
      <w:r>
        <w:rPr>
          <w:rFonts w:hint="eastAsia" w:hAnsi="宋体"/>
          <w:color w:val="auto"/>
          <w:sz w:val="21"/>
          <w:szCs w:val="21"/>
          <w:highlight w:val="none"/>
        </w:rPr>
        <w:t>4.采购清单</w:t>
      </w:r>
    </w:p>
    <w:tbl>
      <w:tblPr>
        <w:tblStyle w:val="22"/>
        <w:tblW w:w="9630" w:type="dxa"/>
        <w:jc w:val="center"/>
        <w:tblInd w:w="0" w:type="dxa"/>
        <w:tblLayout w:type="fixed"/>
        <w:tblCellMar>
          <w:top w:w="0" w:type="dxa"/>
          <w:left w:w="108" w:type="dxa"/>
          <w:bottom w:w="0" w:type="dxa"/>
          <w:right w:w="108" w:type="dxa"/>
        </w:tblCellMar>
      </w:tblPr>
      <w:tblGrid>
        <w:gridCol w:w="411"/>
        <w:gridCol w:w="1124"/>
        <w:gridCol w:w="1535"/>
        <w:gridCol w:w="5439"/>
        <w:gridCol w:w="515"/>
        <w:gridCol w:w="606"/>
      </w:tblGrid>
      <w:tr>
        <w:tblPrEx>
          <w:tblLayout w:type="fixed"/>
          <w:tblCellMar>
            <w:top w:w="0" w:type="dxa"/>
            <w:left w:w="108" w:type="dxa"/>
            <w:bottom w:w="0" w:type="dxa"/>
            <w:right w:w="108" w:type="dxa"/>
          </w:tblCellMar>
        </w:tblPrEx>
        <w:trPr>
          <w:trHeight w:val="480" w:hRule="atLeast"/>
          <w:tblHeader/>
          <w:jc w:val="center"/>
        </w:trPr>
        <w:tc>
          <w:tcPr>
            <w:tcW w:w="4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序号</w:t>
            </w:r>
          </w:p>
        </w:tc>
        <w:tc>
          <w:tcPr>
            <w:tcW w:w="2659" w:type="dxa"/>
            <w:gridSpan w:val="2"/>
            <w:tcBorders>
              <w:top w:val="single" w:color="auto" w:sz="4" w:space="0"/>
              <w:left w:val="nil"/>
              <w:bottom w:val="single" w:color="auto"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货物名称</w:t>
            </w:r>
          </w:p>
        </w:tc>
        <w:tc>
          <w:tcPr>
            <w:tcW w:w="543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性能参数及技术指标</w:t>
            </w:r>
          </w:p>
        </w:tc>
        <w:tc>
          <w:tcPr>
            <w:tcW w:w="51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单位</w:t>
            </w:r>
          </w:p>
        </w:tc>
        <w:tc>
          <w:tcPr>
            <w:tcW w:w="60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数量</w:t>
            </w:r>
          </w:p>
        </w:tc>
      </w:tr>
      <w:tr>
        <w:tblPrEx>
          <w:tblLayout w:type="fixed"/>
          <w:tblCellMar>
            <w:top w:w="0" w:type="dxa"/>
            <w:left w:w="108" w:type="dxa"/>
            <w:bottom w:w="0" w:type="dxa"/>
            <w:right w:w="108" w:type="dxa"/>
          </w:tblCellMar>
        </w:tblPrEx>
        <w:trPr>
          <w:trHeight w:val="1196" w:hRule="atLeast"/>
          <w:jc w:val="center"/>
        </w:trPr>
        <w:tc>
          <w:tcPr>
            <w:tcW w:w="41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c>
          <w:tcPr>
            <w:tcW w:w="112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智慧基础设施物联网服务平台</w:t>
            </w: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智慧基础设施物联网服务平台</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B/S结构服务平台，兼容常见浏览器，实现协同创新中心及现有数据中心统一远程管理及维护工作。具有3D空间可视化运维，快速故障定位管理。采用模块化设计，支持机柜微环境管理模块、协同创新中心大环境监测模块、精密空调监测模块、UPS监测模块、智能配电监测模块、智能PDU监测模块等接入管理功能。具有设备管理、终端分类、设备分组、设备权限管理功能；具有告警统计、告警管理、单个阀值设置、批量阀值设置功能；具有历史记录折线图查询统计功能可根据数据类别、所属区域、所属网关进行、时间段选择自定义历史数据查询功能；支持多校区管理，支持各类主机房、灾备机房、汇聚机房、节点接入机房接入管理。与现有数据中心管理平台无缝融合统一运维管理。</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2.</w:t>
            </w:r>
            <w:r>
              <w:rPr>
                <w:rFonts w:hint="eastAsia" w:ascii="宋体" w:hAnsi="宋体" w:cs="宋体"/>
                <w:bCs/>
                <w:color w:val="auto"/>
                <w:kern w:val="0"/>
                <w:sz w:val="20"/>
                <w:szCs w:val="20"/>
                <w:highlight w:val="none"/>
              </w:rPr>
              <w:t>提供国家版权局颁发的智慧基础设施物联网服务平台软件著作权登记证书。</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套</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r>
      <w:tr>
        <w:tblPrEx>
          <w:tblLayout w:type="fixed"/>
          <w:tblCellMar>
            <w:top w:w="0" w:type="dxa"/>
            <w:left w:w="108" w:type="dxa"/>
            <w:bottom w:w="0" w:type="dxa"/>
            <w:right w:w="108" w:type="dxa"/>
          </w:tblCellMar>
        </w:tblPrEx>
        <w:trPr>
          <w:trHeight w:val="960" w:hRule="atLeast"/>
          <w:jc w:val="center"/>
        </w:trPr>
        <w:tc>
          <w:tcPr>
            <w:tcW w:w="41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2</w:t>
            </w:r>
          </w:p>
        </w:tc>
        <w:tc>
          <w:tcPr>
            <w:tcW w:w="112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数据中心能效仿真系统</w:t>
            </w: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数据中心能效仿真系统</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b w:val="0"/>
                <w:bCs/>
                <w:color w:val="auto"/>
                <w:kern w:val="0"/>
                <w:sz w:val="20"/>
                <w:szCs w:val="20"/>
                <w:highlight w:val="none"/>
              </w:rPr>
            </w:pPr>
            <w:r>
              <w:rPr>
                <w:rFonts w:hint="eastAsia" w:ascii="宋体" w:hAnsi="宋体" w:cs="宋体"/>
                <w:b w:val="0"/>
                <w:bCs/>
                <w:color w:val="auto"/>
                <w:kern w:val="0"/>
                <w:sz w:val="20"/>
                <w:szCs w:val="20"/>
                <w:highlight w:val="none"/>
              </w:rPr>
              <w:t>能够根据最新的企业级服务器能效测试集结果，进行数据中心实时用电仿真。可通过数据中心总电力供应限制求解数据中心服务器开机运行列表，在数据中心服务总吞吐量目标下，最优化服务器的能效配比仿真。同时，能够根据仿真数据中心多种服务器负载变化档位（空载至</w:t>
            </w:r>
            <w:r>
              <w:rPr>
                <w:rFonts w:hint="default" w:ascii="宋体" w:hAnsi="宋体" w:cs="宋体"/>
                <w:b w:val="0"/>
                <w:bCs/>
                <w:color w:val="auto"/>
                <w:kern w:val="0"/>
                <w:sz w:val="20"/>
                <w:szCs w:val="20"/>
                <w:highlight w:val="none"/>
              </w:rPr>
              <w:t>100%利用率，每10%一档），仿真服务器主机节点规模不少于1000台，离线仿真时间不大于15分钟。</w:t>
            </w:r>
            <w:r>
              <w:rPr>
                <w:rFonts w:hint="eastAsia" w:ascii="宋体" w:hAnsi="宋体" w:cs="宋体"/>
                <w:b w:val="0"/>
                <w:bCs/>
                <w:color w:val="auto"/>
                <w:kern w:val="0"/>
                <w:sz w:val="20"/>
                <w:szCs w:val="20"/>
                <w:highlight w:val="none"/>
              </w:rPr>
              <w:t>根据协同创新中心实际运行情况进行能效仿真系统按需调整及定制开发。</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套</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r>
      <w:tr>
        <w:tblPrEx>
          <w:tblLayout w:type="fixed"/>
          <w:tblCellMar>
            <w:top w:w="0" w:type="dxa"/>
            <w:left w:w="108" w:type="dxa"/>
            <w:bottom w:w="0" w:type="dxa"/>
            <w:right w:w="108" w:type="dxa"/>
          </w:tblCellMar>
        </w:tblPrEx>
        <w:trPr>
          <w:trHeight w:val="960" w:hRule="atLeast"/>
          <w:jc w:val="center"/>
        </w:trPr>
        <w:tc>
          <w:tcPr>
            <w:tcW w:w="41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3</w:t>
            </w:r>
          </w:p>
        </w:tc>
        <w:tc>
          <w:tcPr>
            <w:tcW w:w="112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数据中心能耗及负载调度平台</w:t>
            </w: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数据中心能耗及负载调度平台</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b w:val="0"/>
                <w:bCs/>
                <w:color w:val="auto"/>
                <w:kern w:val="0"/>
                <w:sz w:val="20"/>
                <w:szCs w:val="20"/>
                <w:highlight w:val="none"/>
              </w:rPr>
            </w:pPr>
            <w:r>
              <w:rPr>
                <w:rFonts w:hint="eastAsia" w:ascii="宋体" w:hAnsi="宋体" w:cs="宋体"/>
                <w:b w:val="0"/>
                <w:bCs/>
                <w:color w:val="auto"/>
                <w:kern w:val="0"/>
                <w:sz w:val="20"/>
                <w:szCs w:val="20"/>
                <w:highlight w:val="none"/>
              </w:rPr>
              <w:t>基于树莓派、</w:t>
            </w:r>
            <w:r>
              <w:rPr>
                <w:rFonts w:hint="default" w:ascii="宋体" w:hAnsi="宋体" w:cs="宋体"/>
                <w:b w:val="0"/>
                <w:bCs/>
                <w:color w:val="auto"/>
                <w:kern w:val="0"/>
                <w:sz w:val="20"/>
                <w:szCs w:val="20"/>
                <w:highlight w:val="none"/>
              </w:rPr>
              <w:t>Ardunio等开发板、温湿度、烟雾等传感器，利用ZigBee等无线协议，收集协同创新中心能</w:t>
            </w:r>
            <w:bookmarkStart w:id="30" w:name="_GoBack"/>
            <w:bookmarkEnd w:id="30"/>
            <w:r>
              <w:rPr>
                <w:rFonts w:hint="default" w:ascii="宋体" w:hAnsi="宋体" w:cs="宋体"/>
                <w:b w:val="0"/>
                <w:bCs/>
                <w:color w:val="auto"/>
                <w:kern w:val="0"/>
                <w:sz w:val="20"/>
                <w:szCs w:val="20"/>
                <w:highlight w:val="none"/>
              </w:rPr>
              <w:t>耗等环境参数，并传输到监控服务器中。同时，通过IPMI协议进行服务器功耗管理，包括服务器整机、cpu、内存模组等的实时功耗和服务器健康状态，基于systat进行服务器资源使用率实时监控。进行能耗感知的服务器负载调度、负载均衡、能耗平衡和能耗感知的虚拟机自动迁移，支持500个以上服务器接入及授权。</w:t>
            </w:r>
            <w:r>
              <w:rPr>
                <w:rFonts w:hint="eastAsia" w:ascii="宋体" w:hAnsi="宋体" w:cs="宋体"/>
                <w:b w:val="0"/>
                <w:bCs/>
                <w:color w:val="auto"/>
                <w:kern w:val="0"/>
                <w:sz w:val="20"/>
                <w:szCs w:val="20"/>
                <w:highlight w:val="none"/>
              </w:rPr>
              <w:t>根据协同创新中心实际运行情况进行能耗及负载调度平台按需调整及定制开发。</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套</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r>
      <w:tr>
        <w:tblPrEx>
          <w:tblLayout w:type="fixed"/>
          <w:tblCellMar>
            <w:top w:w="0" w:type="dxa"/>
            <w:left w:w="108" w:type="dxa"/>
            <w:bottom w:w="0" w:type="dxa"/>
            <w:right w:w="108" w:type="dxa"/>
          </w:tblCellMar>
        </w:tblPrEx>
        <w:trPr>
          <w:trHeight w:val="285" w:hRule="atLeast"/>
          <w:jc w:val="center"/>
        </w:trPr>
        <w:tc>
          <w:tcPr>
            <w:tcW w:w="411" w:type="dxa"/>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4</w:t>
            </w:r>
          </w:p>
        </w:tc>
        <w:tc>
          <w:tcPr>
            <w:tcW w:w="1124" w:type="dxa"/>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告警模块</w:t>
            </w: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短信告警模块</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实现协同创新中心告警信息短信实时推送功能，与现有数据中心管理平台无缝融合，含3年短信服务费用。</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套</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r>
      <w:tr>
        <w:tblPrEx>
          <w:tblLayout w:type="fixed"/>
          <w:tblCellMar>
            <w:top w:w="0" w:type="dxa"/>
            <w:left w:w="108" w:type="dxa"/>
            <w:bottom w:w="0" w:type="dxa"/>
            <w:right w:w="108" w:type="dxa"/>
          </w:tblCellMar>
        </w:tblPrEx>
        <w:trPr>
          <w:trHeight w:val="285"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邮件告警模块</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实现协同创新中心告警信息邮件实时推送功能，与现有数据中心管理平台无缝融合。</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套</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r>
      <w:tr>
        <w:tblPrEx>
          <w:tblLayout w:type="fixed"/>
          <w:tblCellMar>
            <w:top w:w="0" w:type="dxa"/>
            <w:left w:w="108" w:type="dxa"/>
            <w:bottom w:w="0" w:type="dxa"/>
            <w:right w:w="108" w:type="dxa"/>
          </w:tblCellMar>
        </w:tblPrEx>
        <w:trPr>
          <w:trHeight w:val="285"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语言告警模块</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实现协同创新中心故障或异常电话云语音告警提醒服务，实现现有数据中心接入管理。含3年语言服务费用。</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套</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r>
      <w:tr>
        <w:tblPrEx>
          <w:tblLayout w:type="fixed"/>
          <w:tblCellMar>
            <w:top w:w="0" w:type="dxa"/>
            <w:left w:w="108" w:type="dxa"/>
            <w:bottom w:w="0" w:type="dxa"/>
            <w:right w:w="108" w:type="dxa"/>
          </w:tblCellMar>
        </w:tblPrEx>
        <w:trPr>
          <w:trHeight w:val="480" w:hRule="atLeast"/>
          <w:jc w:val="center"/>
        </w:trPr>
        <w:tc>
          <w:tcPr>
            <w:tcW w:w="411" w:type="dxa"/>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5</w:t>
            </w:r>
          </w:p>
        </w:tc>
        <w:tc>
          <w:tcPr>
            <w:tcW w:w="1124" w:type="dxa"/>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插件管理模块</w:t>
            </w: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机柜微环境管理模块</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机柜微环境内温湿度、烟雾状态监测管理，管理工作台3D效果图状态及数据展示、设备定位、异常情况分颜色告警。与现有数据中心管理平台无缝融合，实现统一运维管理功能。</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套</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r>
      <w:tr>
        <w:tblPrEx>
          <w:tblLayout w:type="fixed"/>
          <w:tblCellMar>
            <w:top w:w="0" w:type="dxa"/>
            <w:left w:w="108" w:type="dxa"/>
            <w:bottom w:w="0" w:type="dxa"/>
            <w:right w:w="108" w:type="dxa"/>
          </w:tblCellMar>
        </w:tblPrEx>
        <w:trPr>
          <w:trHeight w:val="480"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机柜门禁安全管理模块</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机柜门禁安全管理模块，机柜开关门状态实时在线监测，开门记录统计分析；具有智能机柜数字触摸屏密码开门管理功能；具有移动运维终端扫码、密码、手势开门管理功能。</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套</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r>
      <w:tr>
        <w:tblPrEx>
          <w:tblLayout w:type="fixed"/>
          <w:tblCellMar>
            <w:top w:w="0" w:type="dxa"/>
            <w:left w:w="108" w:type="dxa"/>
            <w:bottom w:w="0" w:type="dxa"/>
            <w:right w:w="108" w:type="dxa"/>
          </w:tblCellMar>
        </w:tblPrEx>
        <w:trPr>
          <w:trHeight w:val="210"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精密空调监测模块</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精密空调监测模块，根据精密空调第三方接口协议进行二次开发，实现精密空调监测管理。具有精密空调通讯状态监测、开关机状态监测、送回风温度监测、送回风湿度监测、风机状态监测、制冷状态监测、加热状态监测、除湿状态监测；具有温度、湿度设定值监测；具有报警状态监测，包含高压报警、低压报警、高温报警、低温报警、高湿报警、低湿报警、电源故障报警、电源过欠压报警、电源缺项报警、滤网堵塞报警等。与现有数据中心管理平台无缝融合，实现统一运维管理功能。</w:t>
            </w:r>
            <w:r>
              <w:rPr>
                <w:rFonts w:hint="eastAsia" w:ascii="宋体" w:hAnsi="宋体" w:cs="宋体"/>
                <w:bCs/>
                <w:color w:val="auto"/>
                <w:kern w:val="0"/>
                <w:sz w:val="20"/>
                <w:szCs w:val="20"/>
                <w:highlight w:val="none"/>
              </w:rPr>
              <w:t>提供本模块相关的管理软件著作权登记证书。</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套</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r>
      <w:tr>
        <w:tblPrEx>
          <w:tblLayout w:type="fixed"/>
          <w:tblCellMar>
            <w:top w:w="0" w:type="dxa"/>
            <w:left w:w="108" w:type="dxa"/>
            <w:bottom w:w="0" w:type="dxa"/>
            <w:right w:w="108" w:type="dxa"/>
          </w:tblCellMar>
        </w:tblPrEx>
        <w:trPr>
          <w:trHeight w:val="594"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UPS监测模块</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UPS监测模块，根据UPS第三方接口协议进行二次开发，实现UPS主机监测管理功能。具有UPS通讯状态监测、UPS工作状态监测、电池容量监测、后备时间监测；具有UPS输入、输出、旁路电源状态监测，包含电压、电流、功率、负载百分百等。与现有数据中心管理平台无缝融合，实现统一运维管理功能。</w:t>
            </w:r>
            <w:r>
              <w:rPr>
                <w:rFonts w:hint="eastAsia" w:ascii="宋体" w:hAnsi="宋体" w:cs="宋体"/>
                <w:bCs/>
                <w:color w:val="auto"/>
                <w:kern w:val="0"/>
                <w:sz w:val="20"/>
                <w:szCs w:val="20"/>
                <w:highlight w:val="none"/>
              </w:rPr>
              <w:t>提供本模块相关的控制软件著作权登记证书。</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套</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r>
      <w:tr>
        <w:tblPrEx>
          <w:tblLayout w:type="fixed"/>
          <w:tblCellMar>
            <w:top w:w="0" w:type="dxa"/>
            <w:left w:w="108" w:type="dxa"/>
            <w:bottom w:w="0" w:type="dxa"/>
            <w:right w:w="108" w:type="dxa"/>
          </w:tblCellMar>
        </w:tblPrEx>
        <w:trPr>
          <w:trHeight w:val="720"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智能配电监测模块</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智能配电监测，具备ATS市电柜、输入输出柜、智能配电列头柜接入监测管理功能。监测各配电柜内电源参数，对电压、电流，有功功率，无功功率等指标进行实时监测，状态及参数异常或者故障报警通知；具有管理工作台配电柜状态3D效果图展示、设备定位、异常情况分颜色告警。与现有数据中心管理平台无缝融合，实现统一运维管理功能。</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套</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r>
      <w:tr>
        <w:tblPrEx>
          <w:tblLayout w:type="fixed"/>
          <w:tblCellMar>
            <w:top w:w="0" w:type="dxa"/>
            <w:left w:w="108" w:type="dxa"/>
            <w:bottom w:w="0" w:type="dxa"/>
            <w:right w:w="108" w:type="dxa"/>
          </w:tblCellMar>
        </w:tblPrEx>
        <w:trPr>
          <w:trHeight w:val="720"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智能PDU监测模块</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智能PDU监测模块，具备机柜PDU总负载电流、总输入电压、总负载功率监测与数据上传功能；具有总负载电压、电流、功率上、下限阀值设置功能。具有机柜3D效果展现、设备定位、异常情况分颜色告警。</w:t>
            </w:r>
            <w:r>
              <w:rPr>
                <w:rFonts w:hint="eastAsia" w:ascii="宋体" w:hAnsi="宋体" w:cs="宋体"/>
                <w:bCs/>
                <w:color w:val="auto"/>
                <w:kern w:val="0"/>
                <w:sz w:val="20"/>
                <w:szCs w:val="20"/>
                <w:highlight w:val="none"/>
              </w:rPr>
              <w:t>提供本模块相关的电源管理软件著作权登记证书。</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套</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r>
      <w:tr>
        <w:tblPrEx>
          <w:tblLayout w:type="fixed"/>
          <w:tblCellMar>
            <w:top w:w="0" w:type="dxa"/>
            <w:left w:w="108" w:type="dxa"/>
            <w:bottom w:w="0" w:type="dxa"/>
            <w:right w:w="108" w:type="dxa"/>
          </w:tblCellMar>
        </w:tblPrEx>
        <w:trPr>
          <w:trHeight w:val="480"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大环境监测模块</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大环境内各区域温湿度、烟雾、漏水进行监测管理，管理工作台3D效果图状态及数据展示、区域定位、异常情况分颜色告警。与现有数据中心管理平台无缝融合，实现统一运维管理功能。</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套</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r>
      <w:tr>
        <w:tblPrEx>
          <w:tblLayout w:type="fixed"/>
          <w:tblCellMar>
            <w:top w:w="0" w:type="dxa"/>
            <w:left w:w="108" w:type="dxa"/>
            <w:bottom w:w="0" w:type="dxa"/>
            <w:right w:w="108" w:type="dxa"/>
          </w:tblCellMar>
        </w:tblPrEx>
        <w:trPr>
          <w:trHeight w:val="960" w:hRule="atLeast"/>
          <w:jc w:val="center"/>
        </w:trPr>
        <w:tc>
          <w:tcPr>
            <w:tcW w:w="41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6</w:t>
            </w:r>
          </w:p>
        </w:tc>
        <w:tc>
          <w:tcPr>
            <w:tcW w:w="112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移动运维管理模块</w:t>
            </w: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移动运维管理模块</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移动运维管理模块实现协同创新中心移动式运维管理功能，能够实时查看机柜微环境、大环境、精密空调、UPS、配电等状态情况。故障或异常告警移动运维终端软件信息推送,同时支持IOS和安卓系统。</w:t>
            </w:r>
          </w:p>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bCs/>
                <w:color w:val="auto"/>
                <w:kern w:val="0"/>
                <w:sz w:val="20"/>
                <w:szCs w:val="20"/>
                <w:highlight w:val="none"/>
              </w:rPr>
              <w:t>提供</w:t>
            </w:r>
            <w:r>
              <w:rPr>
                <w:rFonts w:hint="eastAsia" w:ascii="宋体" w:hAnsi="宋体" w:cs="宋体"/>
                <w:color w:val="auto"/>
                <w:kern w:val="0"/>
                <w:sz w:val="20"/>
                <w:szCs w:val="20"/>
                <w:highlight w:val="none"/>
              </w:rPr>
              <w:t>本模块相关的</w:t>
            </w:r>
            <w:r>
              <w:rPr>
                <w:rFonts w:hint="eastAsia" w:ascii="宋体" w:hAnsi="宋体" w:cs="宋体"/>
                <w:bCs/>
                <w:color w:val="auto"/>
                <w:kern w:val="0"/>
                <w:sz w:val="20"/>
                <w:szCs w:val="20"/>
                <w:highlight w:val="none"/>
              </w:rPr>
              <w:t>Android版软件著作权登记证书</w:t>
            </w:r>
            <w:r>
              <w:rPr>
                <w:rFonts w:hint="eastAsia" w:ascii="宋体" w:hAnsi="宋体" w:cs="宋体"/>
                <w:color w:val="auto"/>
                <w:kern w:val="0"/>
                <w:sz w:val="20"/>
                <w:szCs w:val="20"/>
                <w:highlight w:val="none"/>
              </w:rPr>
              <w:t>；</w:t>
            </w:r>
          </w:p>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bCs/>
                <w:color w:val="auto"/>
                <w:kern w:val="0"/>
                <w:sz w:val="20"/>
                <w:szCs w:val="20"/>
                <w:highlight w:val="none"/>
              </w:rPr>
              <w:t>提供</w:t>
            </w:r>
            <w:r>
              <w:rPr>
                <w:rFonts w:hint="eastAsia" w:ascii="宋体" w:hAnsi="宋体" w:cs="宋体"/>
                <w:color w:val="auto"/>
                <w:kern w:val="0"/>
                <w:sz w:val="20"/>
                <w:szCs w:val="20"/>
                <w:highlight w:val="none"/>
              </w:rPr>
              <w:t>本模块相关的</w:t>
            </w:r>
            <w:r>
              <w:rPr>
                <w:rFonts w:hint="eastAsia" w:ascii="宋体" w:hAnsi="宋体" w:cs="宋体"/>
                <w:bCs/>
                <w:color w:val="auto"/>
                <w:kern w:val="0"/>
                <w:sz w:val="20"/>
                <w:szCs w:val="20"/>
                <w:highlight w:val="none"/>
              </w:rPr>
              <w:t>iOS版软件著作权登记证书</w:t>
            </w:r>
            <w:r>
              <w:rPr>
                <w:rFonts w:hint="eastAsia" w:ascii="宋体" w:hAnsi="宋体" w:cs="宋体"/>
                <w:color w:val="auto"/>
                <w:kern w:val="0"/>
                <w:sz w:val="20"/>
                <w:szCs w:val="20"/>
                <w:highlight w:val="none"/>
              </w:rPr>
              <w:t>。</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套</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r>
      <w:tr>
        <w:tblPrEx>
          <w:tblLayout w:type="fixed"/>
          <w:tblCellMar>
            <w:top w:w="0" w:type="dxa"/>
            <w:left w:w="108" w:type="dxa"/>
            <w:bottom w:w="0" w:type="dxa"/>
            <w:right w:w="108" w:type="dxa"/>
          </w:tblCellMar>
        </w:tblPrEx>
        <w:trPr>
          <w:trHeight w:val="720" w:hRule="atLeast"/>
          <w:jc w:val="center"/>
        </w:trPr>
        <w:tc>
          <w:tcPr>
            <w:tcW w:w="41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7</w:t>
            </w:r>
          </w:p>
        </w:tc>
        <w:tc>
          <w:tcPr>
            <w:tcW w:w="112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算力管理系统硬件管理主机</w:t>
            </w: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硬件管理主机</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整合多个单一目的基础架构产品，使用一个通用Web控制台界面的一个登录账号，即可以进入其它界面和产品。可以使数据中心基础架构的采购和部署更加灵活、高效，提高投资成本效率，基于Linux平台，软硬件一体化设计,采用裸金属架构，无需绑定操作系统，支持LINUX、WINDOWS等多种操作系统混合部署，支持集群式部署。主机配置不低于i5-10400F 8G 256G固态硬盘 1T机型硬盘 2G独显 23.8英寸显示器。</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套</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2</w:t>
            </w:r>
          </w:p>
        </w:tc>
      </w:tr>
      <w:tr>
        <w:tblPrEx>
          <w:tblLayout w:type="fixed"/>
          <w:tblCellMar>
            <w:top w:w="0" w:type="dxa"/>
            <w:left w:w="108" w:type="dxa"/>
            <w:bottom w:w="0" w:type="dxa"/>
            <w:right w:w="108" w:type="dxa"/>
          </w:tblCellMar>
        </w:tblPrEx>
        <w:trPr>
          <w:trHeight w:val="4155" w:hRule="atLeast"/>
          <w:jc w:val="center"/>
        </w:trPr>
        <w:tc>
          <w:tcPr>
            <w:tcW w:w="41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8</w:t>
            </w:r>
          </w:p>
        </w:tc>
        <w:tc>
          <w:tcPr>
            <w:tcW w:w="112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算力管理系统综合控制设备</w:t>
            </w: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综合智能控制柜</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柜体标准：柜体尺寸约600mm(W)*2000mm(H)*1250mm(D)，九折型材，厚度:方孔条≥2.0mm，骨架和安装梁≥1.8mm，其它≥1.8mm。进风、回风速度均≥6m/s，出风口配置调节风阀，通风口具有防虫、防鼠功能，整柜全密封高质防火保温棉。其余脱脂、磷化、静电喷塑。前后门全密封钣金门，前门内嵌≥17寸触摸显示屏。兼容网络列头柜功能。</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系统架构：采用分布式网络架构，纯硬件嵌入式ARM设计，安卓内核系统，专业的硬件设备。</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2.硬件配置：ARM A9四核CPU，内存4G，存储16G 。</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3.系统接口：1路HDMI接口，2路USB接口2，2路COM控制口，1路网络接口，1路WIFI无线接口，1路电源接口。</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4.接入管理：与模块式管理控制平台联机，可从控制台获得配置管理和控制管理。</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5.</w:t>
            </w:r>
            <w:r>
              <w:rPr>
                <w:rFonts w:hint="eastAsia" w:ascii="宋体" w:hAnsi="宋体" w:cs="宋体"/>
                <w:bCs/>
                <w:color w:val="auto"/>
                <w:kern w:val="0"/>
                <w:sz w:val="20"/>
                <w:szCs w:val="20"/>
                <w:highlight w:val="none"/>
              </w:rPr>
              <w:t>触摸显示：≥17寸液晶触摸显示屏，可直观的显示综合智能控制柜集群管理的各服务器机柜内设备运行状态、故障数据、参数数据等，如柜内温度、烟雾，门状态等。分组管理，对排机柜分组管理；权限设置管理，可对权限进行分享二级管理，设备权限管理；网络配置管理，对机柜有线及无线网络配置管理。</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6.报警机制：采用分布运算功能，能够对报警预案和联动算法等分布式运算。防止灭火系统联动误报误喷，使系统安全可靠的运行。</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7.告警管理：对机柜微环境安全、配电安全等分级告警功能，内嵌三级不锈钢LED灯光（正常、橙色、红色预警）,蜂鸣告警。</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8.故障监视：具有对基础设施设备运行状态进行监测，故障实时告警通知。</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9.管理能力：单套控制系统应满足≥40个服务器机柜配置需求，具有联网型多机柜集群运行功能。</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10.</w:t>
            </w:r>
            <w:r>
              <w:rPr>
                <w:rFonts w:hint="eastAsia" w:ascii="宋体" w:hAnsi="宋体" w:cs="宋体"/>
                <w:bCs/>
                <w:color w:val="auto"/>
                <w:kern w:val="0"/>
                <w:sz w:val="20"/>
                <w:szCs w:val="20"/>
                <w:highlight w:val="none"/>
              </w:rPr>
              <w:t>阀值管理：综合管理控制柜触摸屏对每个机柜微环境温度、湿度、烟雾、智能PDU电源状态（电压、电流、功率）监测及告警阀值设置管理，具有协同创新中心大环境温度、湿度、烟雾、漏水状态监测及告警阀值设置管理，具有协同创新中心配电、制冷、不间断电源状态监测及告警阀值设置管理，具有机柜门磁状态监测管理，具有柜内物联网终端设备通讯状态监测管理等功能。提供触摸屏阀值管理实例照片。</w:t>
            </w:r>
            <w:r>
              <w:rPr>
                <w:rFonts w:hint="eastAsia" w:ascii="宋体" w:hAnsi="宋体" w:cs="宋体"/>
                <w:bCs/>
                <w:color w:val="auto"/>
                <w:kern w:val="0"/>
                <w:sz w:val="20"/>
                <w:szCs w:val="20"/>
                <w:highlight w:val="none"/>
              </w:rPr>
              <w:br w:type="textWrapping"/>
            </w:r>
            <w:r>
              <w:rPr>
                <w:rFonts w:hint="eastAsia" w:ascii="宋体" w:hAnsi="宋体" w:cs="宋体"/>
                <w:bCs/>
                <w:color w:val="auto"/>
                <w:kern w:val="0"/>
                <w:sz w:val="20"/>
                <w:szCs w:val="20"/>
                <w:highlight w:val="none"/>
              </w:rPr>
              <w:t>11.</w:t>
            </w:r>
            <w:r>
              <w:rPr>
                <w:rFonts w:hint="eastAsia" w:ascii="宋体" w:hAnsi="宋体" w:cs="宋体"/>
                <w:color w:val="auto"/>
                <w:kern w:val="0"/>
                <w:sz w:val="20"/>
                <w:szCs w:val="20"/>
                <w:highlight w:val="none"/>
              </w:rPr>
              <w:t>服务：承诺中标后提供原厂商三年质保售后服务。</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套</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r>
      <w:tr>
        <w:tblPrEx>
          <w:tblLayout w:type="fixed"/>
          <w:tblCellMar>
            <w:top w:w="0" w:type="dxa"/>
            <w:left w:w="108" w:type="dxa"/>
            <w:bottom w:w="0" w:type="dxa"/>
            <w:right w:w="108" w:type="dxa"/>
          </w:tblCellMar>
        </w:tblPrEx>
        <w:trPr>
          <w:trHeight w:val="1545" w:hRule="atLeast"/>
          <w:jc w:val="center"/>
        </w:trPr>
        <w:tc>
          <w:tcPr>
            <w:tcW w:w="411" w:type="dxa"/>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9</w:t>
            </w:r>
          </w:p>
        </w:tc>
        <w:tc>
          <w:tcPr>
            <w:tcW w:w="1124" w:type="dxa"/>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算力管理系统柜组设备</w:t>
            </w: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物联网服务器机柜</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1.品牌要求：为保证兼容性与统一管理，要求与综合智能控制柜为同一品牌；</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2.柜体标准：柜体尺寸约600mm(W)*2000mm(H)*1250mm(D)，符合19英寸标准安装规范；机柜内部安装空间不少于42U，前后立柱均有U位标记；九折型材,厚度:方孔条≥2.0mm,骨架和安装梁≥1.8mm,其它≥1.8mm。整柜全密封高质防火保温层，其余脱脂、磷化、静电喷塑，后上下密封进出毛刷。</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3.机柜全封闭设计：机柜前门全封闭保温钢化玻璃门（带数字屏位），后门全封闭钣金门，带前后推门器，应急自动弹开。</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4.机柜送排风：单机柜送回风风量≥1000m³/h，风速≥6m/s；送风口配置调节风阀，通风口具有防虫、防鼠功能，送排风仓体与机柜无缝拼接，具有保温功能。</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5.</w:t>
            </w:r>
            <w:r>
              <w:rPr>
                <w:rFonts w:hint="eastAsia" w:ascii="宋体" w:hAnsi="宋体" w:cs="宋体"/>
                <w:bCs/>
                <w:color w:val="auto"/>
                <w:kern w:val="0"/>
                <w:sz w:val="20"/>
                <w:szCs w:val="20"/>
                <w:highlight w:val="none"/>
              </w:rPr>
              <w:t>噪音等级：关闭前后柜门，柜外噪音等级≤40DB，提供第三方检测报告等证明文件。。</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6.气流管理：具备柜级（单柜总风量按需调节）冷气流管理，进风孔有效通风面积≥0.05㎡，冷热通道完全隔离设计（防止冷热混风），下送风、上回风模式。</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7.机柜微环境监测：柜内具有热风温湿度、烟雾、柜门开关状态监测，实现柜内温湿度均衡、消防安全、保护柜内气流及保障设备最佳运行环境。每个探测器均采用独立线缆直接接入机柜物联网智慧网关集中管理。</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8.</w:t>
            </w:r>
            <w:r>
              <w:rPr>
                <w:rFonts w:hint="eastAsia" w:ascii="宋体" w:hAnsi="宋体" w:cs="宋体"/>
                <w:b/>
                <w:bCs/>
                <w:color w:val="auto"/>
                <w:kern w:val="0"/>
                <w:sz w:val="20"/>
                <w:szCs w:val="20"/>
                <w:highlight w:val="none"/>
              </w:rPr>
              <w:t>机柜智能热管理：根据机柜微环境温湿度自适应调节机柜排热模式。正常情况下采用自然排热；机柜回风温度超过橙色设定的阀值时自适应调节智能调速风扇排热转速，根据温度变化自适应排热风量三速调节，多风机独立控制，移动运维终端排热风量手动</w:t>
            </w:r>
            <w:r>
              <w:rPr>
                <w:rFonts w:hint="default" w:ascii="宋体" w:hAnsi="宋体" w:cs="宋体"/>
                <w:b/>
                <w:bCs/>
                <w:color w:val="auto"/>
                <w:kern w:val="0"/>
                <w:sz w:val="20"/>
                <w:szCs w:val="20"/>
                <w:highlight w:val="none"/>
              </w:rPr>
              <w:t>/自动自由切换；机柜回风温度超过红色设定阀值或空调发生故障时自动开启机柜前后门，应急散热保护，确保重要设备及时解除因温度过高而带来的危险。</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9.</w:t>
            </w:r>
            <w:r>
              <w:rPr>
                <w:rFonts w:hint="eastAsia" w:ascii="宋体" w:hAnsi="宋体" w:cs="宋体"/>
                <w:b/>
                <w:bCs/>
                <w:color w:val="auto"/>
                <w:kern w:val="0"/>
                <w:sz w:val="20"/>
                <w:szCs w:val="20"/>
                <w:highlight w:val="none"/>
              </w:rPr>
              <w:t>机柜门禁安全管理：前后门门禁管理，可通过机柜前门数字触摸按键密码开门管理，支持移动运维终端密码、手势、二维码开门管理，移动运维终端和本地开门密码实时同步；单机柜独立控制，支持脱机独立运行，机柜脱机不影响各项功能正常运行；具有开门状态监测管理，机柜数字触摸屏、综合智能控制柜触摸屏、移动运维终端、智慧基础设施物联网服务平台开门状态监测管理功能。</w:t>
            </w:r>
            <w:r>
              <w:rPr>
                <w:rFonts w:hint="eastAsia" w:ascii="宋体" w:hAnsi="宋体" w:cs="宋体"/>
                <w:bCs/>
                <w:color w:val="auto"/>
                <w:kern w:val="0"/>
                <w:sz w:val="20"/>
                <w:szCs w:val="20"/>
                <w:highlight w:val="none"/>
              </w:rPr>
              <w:br w:type="textWrapping"/>
            </w:r>
            <w:r>
              <w:rPr>
                <w:rFonts w:hint="eastAsia" w:ascii="宋体" w:hAnsi="宋体" w:cs="宋体"/>
                <w:bCs/>
                <w:color w:val="auto"/>
                <w:kern w:val="0"/>
                <w:sz w:val="20"/>
                <w:szCs w:val="20"/>
                <w:highlight w:val="none"/>
              </w:rPr>
              <w:t>10.产品标准：智能机柜按照标准YD5083-2005《电信设备抗地震性能检测规范》要求，带载500kg测试连续通过8、9级烈度结构抗地震考核，提供第三方检测机构测试报告；提供物联网服务器机柜控制软件著作权登记证书。</w:t>
            </w:r>
            <w:r>
              <w:rPr>
                <w:rFonts w:hint="eastAsia" w:ascii="宋体" w:hAnsi="宋体" w:cs="宋体"/>
                <w:bCs/>
                <w:color w:val="auto"/>
                <w:kern w:val="0"/>
                <w:sz w:val="20"/>
                <w:szCs w:val="20"/>
                <w:highlight w:val="none"/>
              </w:rPr>
              <w:br w:type="textWrapping"/>
            </w:r>
            <w:r>
              <w:rPr>
                <w:rFonts w:hint="eastAsia" w:ascii="宋体" w:hAnsi="宋体" w:cs="宋体"/>
                <w:bCs/>
                <w:color w:val="auto"/>
                <w:kern w:val="0"/>
                <w:sz w:val="20"/>
                <w:szCs w:val="20"/>
                <w:highlight w:val="none"/>
              </w:rPr>
              <w:t>11.</w:t>
            </w:r>
            <w:r>
              <w:rPr>
                <w:rFonts w:hint="eastAsia" w:ascii="宋体" w:hAnsi="宋体" w:cs="宋体"/>
                <w:color w:val="auto"/>
                <w:kern w:val="0"/>
                <w:sz w:val="20"/>
                <w:szCs w:val="20"/>
                <w:highlight w:val="none"/>
              </w:rPr>
              <w:t>服务：承诺中标后提供原厂商三年质保售后服务。</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34</w:t>
            </w:r>
          </w:p>
        </w:tc>
      </w:tr>
      <w:tr>
        <w:tblPrEx>
          <w:tblLayout w:type="fixed"/>
          <w:tblCellMar>
            <w:top w:w="0" w:type="dxa"/>
            <w:left w:w="108" w:type="dxa"/>
            <w:bottom w:w="0" w:type="dxa"/>
            <w:right w:w="108" w:type="dxa"/>
          </w:tblCellMar>
        </w:tblPrEx>
        <w:trPr>
          <w:trHeight w:val="480"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标准配件</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机柜配套安装组件,含机柜螺丝（≥90颗）、4个机柜抗压轮、4个脚杯（M12*100-60高度）；2套侧板、20个1U免工具金属安装盲板、2块托板、5对L型导轨；2条水平理线架、4条垂直理线板。</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套</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35</w:t>
            </w:r>
          </w:p>
        </w:tc>
      </w:tr>
      <w:tr>
        <w:tblPrEx>
          <w:tblLayout w:type="fixed"/>
          <w:tblCellMar>
            <w:top w:w="0" w:type="dxa"/>
            <w:left w:w="108" w:type="dxa"/>
            <w:bottom w:w="0" w:type="dxa"/>
            <w:right w:w="108" w:type="dxa"/>
          </w:tblCellMar>
        </w:tblPrEx>
        <w:trPr>
          <w:trHeight w:val="480" w:hRule="atLeast"/>
          <w:jc w:val="center"/>
        </w:trPr>
        <w:tc>
          <w:tcPr>
            <w:tcW w:w="411" w:type="dxa"/>
            <w:vMerge w:val="restart"/>
            <w:tcBorders>
              <w:top w:val="nil"/>
              <w:left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10</w:t>
            </w:r>
          </w:p>
        </w:tc>
        <w:tc>
          <w:tcPr>
            <w:tcW w:w="1124" w:type="dxa"/>
            <w:vMerge w:val="restart"/>
            <w:tcBorders>
              <w:top w:val="nil"/>
              <w:left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算力管理系统微环境控制设备</w:t>
            </w: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物联网智慧网关（含物联网智慧网关嵌入式软件)</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物联网智慧网关，含嵌入式程序，具备感知与深度AI控制技术；提供机柜微环境温湿度、烟雾、磁力锁、门磁感应器、调速风扇、维修照明、LED氛围灯、智能PDU等多种终端设备接入管理能力；支持传感器采集、数据分析、安全算法融合、联动控制等功能，支持接入智慧基础设施物联网服务平台集中管理；支持数字触摸屏控制管理，可按需扩展7寸触摸屏控制管理；具备断网单机独立运行和联机运行能力，具有无线扫码快速一键配置联网运行模式。机柜控制器支持高可靠ARM架构，嵌入式LINUX内核系统，双CPU设计，防系统假死。支持有线网络及WIFI无线网络接入。</w:t>
            </w:r>
            <w:r>
              <w:rPr>
                <w:rFonts w:hint="eastAsia" w:ascii="宋体" w:hAnsi="宋体" w:cs="宋体"/>
                <w:color w:val="auto"/>
                <w:kern w:val="0"/>
                <w:sz w:val="20"/>
                <w:szCs w:val="20"/>
                <w:highlight w:val="none"/>
              </w:rPr>
              <w:br w:type="textWrapping"/>
            </w:r>
            <w:r>
              <w:rPr>
                <w:rFonts w:hint="eastAsia" w:ascii="宋体" w:hAnsi="宋体" w:cs="宋体"/>
                <w:bCs/>
                <w:color w:val="auto"/>
                <w:kern w:val="0"/>
                <w:sz w:val="20"/>
                <w:szCs w:val="20"/>
                <w:highlight w:val="none"/>
              </w:rPr>
              <w:t>提供物联网智慧网关嵌入式软件著作权登记证书。</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套</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35</w:t>
            </w:r>
          </w:p>
        </w:tc>
      </w:tr>
      <w:tr>
        <w:tblPrEx>
          <w:tblLayout w:type="fixed"/>
          <w:tblCellMar>
            <w:top w:w="0" w:type="dxa"/>
            <w:left w:w="108" w:type="dxa"/>
            <w:bottom w:w="0" w:type="dxa"/>
            <w:right w:w="108" w:type="dxa"/>
          </w:tblCellMar>
        </w:tblPrEx>
        <w:trPr>
          <w:trHeight w:val="720" w:hRule="atLeast"/>
          <w:jc w:val="center"/>
        </w:trPr>
        <w:tc>
          <w:tcPr>
            <w:tcW w:w="411" w:type="dxa"/>
            <w:vMerge w:val="continue"/>
            <w:tcBorders>
              <w:left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left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数字触摸屏</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高效微处理器，背光全触摸按键，工业级OLED液晶显示人机操作界面，便于查看网关及传感器运行状态、开关门状态，操作界面简单、直观。直观显示设备在/离线、温湿度、IP地址等状态，开关门状态、密码权限、恢复出厂等设置管理功能，双色告警提示灯，钣金外壳，内嵌式扣件安装，带双RJ45口，支持物联网智慧网关接入管理。</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套</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35</w:t>
            </w:r>
          </w:p>
        </w:tc>
      </w:tr>
      <w:tr>
        <w:tblPrEx>
          <w:tblLayout w:type="fixed"/>
          <w:tblCellMar>
            <w:top w:w="0" w:type="dxa"/>
            <w:left w:w="108" w:type="dxa"/>
            <w:bottom w:w="0" w:type="dxa"/>
            <w:right w:w="108" w:type="dxa"/>
          </w:tblCellMar>
        </w:tblPrEx>
        <w:trPr>
          <w:trHeight w:val="285" w:hRule="atLeast"/>
          <w:jc w:val="center"/>
        </w:trPr>
        <w:tc>
          <w:tcPr>
            <w:tcW w:w="411" w:type="dxa"/>
            <w:vMerge w:val="continue"/>
            <w:tcBorders>
              <w:left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left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LED照明灯</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LED维修照明灯，DC12V低电压输出，高亮灯珠，防火磨砂罩，柜门开灯亮，门关灯灭，自动感应。支持物联网智慧网关接入管理</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套</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 xml:space="preserve">35 </w:t>
            </w:r>
          </w:p>
        </w:tc>
      </w:tr>
      <w:tr>
        <w:tblPrEx>
          <w:tblLayout w:type="fixed"/>
          <w:tblCellMar>
            <w:top w:w="0" w:type="dxa"/>
            <w:left w:w="108" w:type="dxa"/>
            <w:bottom w:w="0" w:type="dxa"/>
            <w:right w:w="108" w:type="dxa"/>
          </w:tblCellMar>
        </w:tblPrEx>
        <w:trPr>
          <w:trHeight w:val="285" w:hRule="atLeast"/>
          <w:jc w:val="center"/>
        </w:trPr>
        <w:tc>
          <w:tcPr>
            <w:tcW w:w="411" w:type="dxa"/>
            <w:vMerge w:val="continue"/>
            <w:tcBorders>
              <w:left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left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氛围灯</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LED氛围灯，DC12V低电压输出，高亮灯珠，防火磨砂罩。支持机柜控制器接入管理</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套</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 xml:space="preserve">34 </w:t>
            </w:r>
          </w:p>
        </w:tc>
      </w:tr>
      <w:tr>
        <w:tblPrEx>
          <w:tblLayout w:type="fixed"/>
          <w:tblCellMar>
            <w:top w:w="0" w:type="dxa"/>
            <w:left w:w="108" w:type="dxa"/>
            <w:bottom w:w="0" w:type="dxa"/>
            <w:right w:w="108" w:type="dxa"/>
          </w:tblCellMar>
        </w:tblPrEx>
        <w:trPr>
          <w:trHeight w:val="720" w:hRule="atLeast"/>
          <w:jc w:val="center"/>
        </w:trPr>
        <w:tc>
          <w:tcPr>
            <w:tcW w:w="411" w:type="dxa"/>
            <w:vMerge w:val="continue"/>
            <w:tcBorders>
              <w:left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left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物联网温湿度探测器</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机柜微环境温湿度监测，支持物联网智慧网关接入管理。高精度温湿度芯片。</w:t>
            </w:r>
          </w:p>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bCs/>
                <w:color w:val="auto"/>
                <w:kern w:val="0"/>
                <w:sz w:val="20"/>
                <w:szCs w:val="20"/>
                <w:highlight w:val="none"/>
              </w:rPr>
              <w:t>提供物联网温湿度嵌入式程序软件著作权登记证书</w:t>
            </w:r>
            <w:r>
              <w:rPr>
                <w:rFonts w:hint="eastAsia" w:ascii="宋体" w:hAnsi="宋体" w:cs="宋体"/>
                <w:color w:val="auto"/>
                <w:kern w:val="0"/>
                <w:sz w:val="20"/>
                <w:szCs w:val="20"/>
                <w:highlight w:val="none"/>
              </w:rPr>
              <w:t>。</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个</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 xml:space="preserve">35 </w:t>
            </w:r>
          </w:p>
        </w:tc>
      </w:tr>
      <w:tr>
        <w:tblPrEx>
          <w:tblLayout w:type="fixed"/>
          <w:tblCellMar>
            <w:top w:w="0" w:type="dxa"/>
            <w:left w:w="108" w:type="dxa"/>
            <w:bottom w:w="0" w:type="dxa"/>
            <w:right w:w="108" w:type="dxa"/>
          </w:tblCellMar>
        </w:tblPrEx>
        <w:trPr>
          <w:trHeight w:val="720" w:hRule="atLeast"/>
          <w:jc w:val="center"/>
        </w:trPr>
        <w:tc>
          <w:tcPr>
            <w:tcW w:w="411" w:type="dxa"/>
            <w:vMerge w:val="continue"/>
            <w:tcBorders>
              <w:left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left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智能调速风扇</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DC12V输入，2风机型（可扩展接入4个），高中低自适应调温，支持物联网智慧网关接入管理，正常情况下采用自然排热，机柜回风温度超过设定的阀值时自启诱导风机排热。诱导排热风机均可以单独控制，在APP中可以设置风机为手动开关和自动开关，风机转速定为高、中、低、关四档，当设为自动开关，可根据柜内服务器热风阀值自动调整到相应温度，使设备处在最节能舒适环境下运行。</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套</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 xml:space="preserve">35 </w:t>
            </w:r>
          </w:p>
        </w:tc>
      </w:tr>
      <w:tr>
        <w:tblPrEx>
          <w:tblLayout w:type="fixed"/>
          <w:tblCellMar>
            <w:top w:w="0" w:type="dxa"/>
            <w:left w:w="108" w:type="dxa"/>
            <w:bottom w:w="0" w:type="dxa"/>
            <w:right w:w="108" w:type="dxa"/>
          </w:tblCellMar>
        </w:tblPrEx>
        <w:trPr>
          <w:trHeight w:val="285" w:hRule="atLeast"/>
          <w:jc w:val="center"/>
        </w:trPr>
        <w:tc>
          <w:tcPr>
            <w:tcW w:w="411" w:type="dxa"/>
            <w:vMerge w:val="continue"/>
            <w:tcBorders>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烟雾传感器</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光电离子式，带自检测试按钮，支持物联网智慧网关接入管理。</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个</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 xml:space="preserve">35 </w:t>
            </w:r>
          </w:p>
        </w:tc>
      </w:tr>
      <w:tr>
        <w:tblPrEx>
          <w:tblLayout w:type="fixed"/>
          <w:tblCellMar>
            <w:top w:w="0" w:type="dxa"/>
            <w:left w:w="108" w:type="dxa"/>
            <w:bottom w:w="0" w:type="dxa"/>
            <w:right w:w="108" w:type="dxa"/>
          </w:tblCellMar>
        </w:tblPrEx>
        <w:trPr>
          <w:trHeight w:val="285" w:hRule="atLeast"/>
          <w:jc w:val="center"/>
        </w:trPr>
        <w:tc>
          <w:tcPr>
            <w:tcW w:w="411" w:type="dxa"/>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11</w:t>
            </w:r>
          </w:p>
        </w:tc>
        <w:tc>
          <w:tcPr>
            <w:tcW w:w="1124" w:type="dxa"/>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算力管理系统安全管理设备</w:t>
            </w: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磁力锁</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磁力锁，DC12V电源输出，支持物联网智慧网关接入管理。</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套</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 xml:space="preserve">140 </w:t>
            </w:r>
          </w:p>
        </w:tc>
      </w:tr>
      <w:tr>
        <w:tblPrEx>
          <w:tblLayout w:type="fixed"/>
          <w:tblCellMar>
            <w:top w:w="0" w:type="dxa"/>
            <w:left w:w="108" w:type="dxa"/>
            <w:bottom w:w="0" w:type="dxa"/>
            <w:right w:w="108" w:type="dxa"/>
          </w:tblCellMar>
        </w:tblPrEx>
        <w:trPr>
          <w:trHeight w:val="285"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门磁传感器</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门磁感应、自动监测前后门开关状态、保护资产及数据安全，支持物联网智慧网关接入管理。</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套</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 xml:space="preserve">35 </w:t>
            </w:r>
          </w:p>
        </w:tc>
      </w:tr>
      <w:tr>
        <w:tblPrEx>
          <w:tblLayout w:type="fixed"/>
          <w:tblCellMar>
            <w:top w:w="0" w:type="dxa"/>
            <w:left w:w="108" w:type="dxa"/>
            <w:bottom w:w="0" w:type="dxa"/>
            <w:right w:w="108" w:type="dxa"/>
          </w:tblCellMar>
        </w:tblPrEx>
        <w:trPr>
          <w:trHeight w:val="480" w:hRule="atLeast"/>
          <w:jc w:val="center"/>
        </w:trPr>
        <w:tc>
          <w:tcPr>
            <w:tcW w:w="41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12</w:t>
            </w:r>
          </w:p>
        </w:tc>
        <w:tc>
          <w:tcPr>
            <w:tcW w:w="112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温控管理系统送风组件系统</w:t>
            </w: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机柜标准送风组件</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含标准送排风组件、机柜风量调节阀，机柜统一规格，无缝拼接</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套</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35</w:t>
            </w:r>
          </w:p>
        </w:tc>
      </w:tr>
      <w:tr>
        <w:tblPrEx>
          <w:tblLayout w:type="fixed"/>
          <w:tblCellMar>
            <w:top w:w="0" w:type="dxa"/>
            <w:left w:w="108" w:type="dxa"/>
            <w:bottom w:w="0" w:type="dxa"/>
            <w:right w:w="108" w:type="dxa"/>
          </w:tblCellMar>
        </w:tblPrEx>
        <w:trPr>
          <w:trHeight w:val="480" w:hRule="atLeast"/>
          <w:jc w:val="center"/>
        </w:trPr>
        <w:tc>
          <w:tcPr>
            <w:tcW w:w="41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13</w:t>
            </w:r>
          </w:p>
        </w:tc>
        <w:tc>
          <w:tcPr>
            <w:tcW w:w="112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电力管理系统配电输入控制设备</w:t>
            </w: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ATS市电柜</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1.ATS市电柜,为协同创新中心提供双路供电。含空开、≥7寸全彩液晶显示屏、智能监测系统等。ATS、空开、元器件选用施耐德或ABB或同等品牌。</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2.品牌要求：为保证兼容性与统一管理，要求与综合智能控制柜为同一品牌。</w:t>
            </w:r>
          </w:p>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柜体标准：约800mm×600mm×2000mm(宽×深×高)。含国标配件。</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3.输入特性：双路市电输入，额定输入电压380V,电缆规格ZR YJV-4*120mm²+1*70mm²,320A/3P ATS双电源自动切换开关*1。</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4.输出特性：输出电压220/380VAC，250A/3P空开*2、63A/3P空开*3，32A/3P空开*6、32A/1P空开*6、63A/4P空开*1。</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5.监测功能：具有主路电压、电流、负载、用电量等监测功能；电压、电流测量精度≥0.5%，电能测量精度≥1%。</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6.触摸显示：采用≥7寸全彩液晶触摸显示屏，实时显示主路三相电电压、电流、负载、用电量等信息，支持综合智能控制柜接入管理，智慧基础设施物联网服务平台预警统一管理。</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7.</w:t>
            </w:r>
            <w:r>
              <w:rPr>
                <w:rFonts w:hint="eastAsia" w:ascii="宋体" w:hAnsi="宋体" w:cs="宋体"/>
                <w:bCs/>
                <w:color w:val="auto"/>
                <w:kern w:val="0"/>
                <w:sz w:val="20"/>
                <w:szCs w:val="20"/>
                <w:highlight w:val="none"/>
              </w:rPr>
              <w:t>告警功能：通过机柜触摸屏对双路主路输入总负载电流、电压的上、下限数值、总负载功率阀值设置；用电异常告警提示，前门LED灯光告警，蜂鸣器蜂鸣告警。</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套</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r>
      <w:tr>
        <w:tblPrEx>
          <w:tblLayout w:type="fixed"/>
          <w:tblCellMar>
            <w:top w:w="0" w:type="dxa"/>
            <w:left w:w="108" w:type="dxa"/>
            <w:bottom w:w="0" w:type="dxa"/>
            <w:right w:w="108" w:type="dxa"/>
          </w:tblCellMar>
        </w:tblPrEx>
        <w:trPr>
          <w:trHeight w:val="2400" w:hRule="atLeast"/>
          <w:jc w:val="center"/>
        </w:trPr>
        <w:tc>
          <w:tcPr>
            <w:tcW w:w="41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14</w:t>
            </w:r>
          </w:p>
        </w:tc>
        <w:tc>
          <w:tcPr>
            <w:tcW w:w="112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电力管理系统UPS控制设备</w:t>
            </w: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UPS输入输出柜</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1.UPS输出柜，含空开、≥7寸全彩液晶显示屏、智能监测系统等；空开元器件选用施耐德或ABB或同等品牌。</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2.品牌要求：为保证兼容性与统一管理，要求与综合智能控制柜为同一品牌。</w:t>
            </w:r>
          </w:p>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柜体标准：前后门全密封钣金门，约600mm×600mm×2000mm(宽×深×高)。含国标配件。</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3.输入特性：一路市电+一路UPS输入，额定输入电压380V,电缆规格ZR YJV-4*120mm²+1*70mm²,250A/3P断路器*2。</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4.输出特性：输出电压220/380VAC，250A/3P空开*2、225A/3P空开*4、32A/1P空开*6、32A/4P空开*2。</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5.监测功能：具有主路电压、电流、负载、用电量等监测功能；电压、电流测量精度≥0.5%，电能测量精度≥1%。</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6.触摸显示：采用≥7寸全彩液晶触摸显示屏，实时显示双路主路三相电电压、电流、负载、用电量等信息，支持综合智能控制柜接入管理，智慧基础设施物联网服务平台预警统一管理。</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7.告警功能：通过机柜触摸屏对双路主路输入总负载电流、电压的上、下限数值、总负载功率阀值设置；用电异常告警提示，前门LED灯光告警，蜂鸣器蜂鸣告警。</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套</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r>
      <w:tr>
        <w:tblPrEx>
          <w:tblLayout w:type="fixed"/>
          <w:tblCellMar>
            <w:top w:w="0" w:type="dxa"/>
            <w:left w:w="108" w:type="dxa"/>
            <w:bottom w:w="0" w:type="dxa"/>
            <w:right w:w="108" w:type="dxa"/>
          </w:tblCellMar>
        </w:tblPrEx>
        <w:trPr>
          <w:trHeight w:val="629" w:hRule="atLeast"/>
          <w:jc w:val="center"/>
        </w:trPr>
        <w:tc>
          <w:tcPr>
            <w:tcW w:w="41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15</w:t>
            </w:r>
          </w:p>
        </w:tc>
        <w:tc>
          <w:tcPr>
            <w:tcW w:w="112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电力管理系统UPS双路切换设备</w:t>
            </w: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UPS切换柜</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1.创新中心UPS按需切换给现有数据中心供电。</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2.输入特性：双UPS输入，额定输入电压380V,电缆规格ZR YJV-4*70mm²+1*35mm²,225A/3P断路器*2（带互锁功能）。</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输出特性：输出电压220/380VAC，225A/3P空开*1、160A/3P空开*3、32A/1P空开*3、32A/4P空开*1.</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套</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r>
      <w:tr>
        <w:tblPrEx>
          <w:tblLayout w:type="fixed"/>
          <w:tblCellMar>
            <w:top w:w="0" w:type="dxa"/>
            <w:left w:w="108" w:type="dxa"/>
            <w:bottom w:w="0" w:type="dxa"/>
            <w:right w:w="108" w:type="dxa"/>
          </w:tblCellMar>
        </w:tblPrEx>
        <w:trPr>
          <w:trHeight w:val="2640" w:hRule="atLeast"/>
          <w:jc w:val="center"/>
        </w:trPr>
        <w:tc>
          <w:tcPr>
            <w:tcW w:w="41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16</w:t>
            </w:r>
          </w:p>
        </w:tc>
        <w:tc>
          <w:tcPr>
            <w:tcW w:w="112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电力管理系统柜组控制设备</w:t>
            </w: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智能配电列头机柜</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1.智能配电列头柜，含空开、≥7寸全彩液晶显示屏、智能监测系统等；空开元器件选用施耐德或ABB或同等品牌。</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2.品牌要求：为保证兼容性与统一管理，要求与综合智能控制柜为同一品牌。</w:t>
            </w:r>
          </w:p>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柜体标准：九折型材，前后门全密封钣金门，约600mm×1250mm×2000mm(宽×深×高)，与服务器机柜一体化拼接安装，含国标配件。</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3.输入特性：一路市电+一路UPS输入，额定输入电压380V,电缆规格ZR YJV-4*70mm²+1*35mm²,225A/3P断路器*2。</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输出特性：输出电压220VAC，32A/1P空开*72、32A/4P空开*2。</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4.监测功能：具有主路电压、电流、负载、用电量等监测功能；电压、电流测量精度≥0.5%，电能测量精度≥1%。</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5.触摸显示：采用≥7寸全彩液晶触摸显示屏，实时显示双路主路三相电电压、电流、负载、用电量等信息，支持综合智能控制柜接入管理，智慧基础设施物联网服务平台预警统一管理。</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6.告警功能：通过机柜触摸屏对双路主路输入总负载电流、电压的上、下限数值、总负载功率阀值设置；用电异常告警提示，前门LED灯光告警，蜂鸣器蜂鸣告警。</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7.服务：承诺中标后提供原厂商三年质保售后服务。</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套</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r>
      <w:tr>
        <w:tblPrEx>
          <w:tblLayout w:type="fixed"/>
          <w:tblCellMar>
            <w:top w:w="0" w:type="dxa"/>
            <w:left w:w="108" w:type="dxa"/>
            <w:bottom w:w="0" w:type="dxa"/>
            <w:right w:w="108" w:type="dxa"/>
          </w:tblCellMar>
        </w:tblPrEx>
        <w:trPr>
          <w:trHeight w:val="1022" w:hRule="atLeast"/>
          <w:jc w:val="center"/>
        </w:trPr>
        <w:tc>
          <w:tcPr>
            <w:tcW w:w="411" w:type="dxa"/>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17</w:t>
            </w:r>
          </w:p>
        </w:tc>
        <w:tc>
          <w:tcPr>
            <w:tcW w:w="1124" w:type="dxa"/>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电路管理系统机柜配电控制设备</w:t>
            </w: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智能PDU电源（16路）</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1.机柜双路PDU供电设备，支持16路设备电源接入。</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2.品牌要求：为保证兼容性与统一管理，要求与综合智能控制柜为同一品牌。</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3.输入特性：额定输入电压110/220VAC， 50/60Hz，电缆规格3×6.0mm²，32A：IEC60309工业标准插头。</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4.输出特性：输出电压110/220VAC，最大总负载电流32A，带输出指示灯，16个国标带灯插座（按需定制每位插座标准）。</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5.监测功能：具有总负载电流，总输入电压，总负载功率监测功能，具有平台总负载电流上、下限阀值设置功能，总负载电压上、下限阀值设置功能。</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6.物理特性：垂直安装，小于2U厚度，铝合金外壳。</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7.接口配置：具有标准RS485接口，通过物联网智慧网关接入平台集中管理。</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8.服务：承诺中标后提供原厂商三年质保售后服务。</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套</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70</w:t>
            </w:r>
          </w:p>
        </w:tc>
      </w:tr>
      <w:tr>
        <w:tblPrEx>
          <w:tblLayout w:type="fixed"/>
          <w:tblCellMar>
            <w:top w:w="0" w:type="dxa"/>
            <w:left w:w="108" w:type="dxa"/>
            <w:bottom w:w="0" w:type="dxa"/>
            <w:right w:w="108" w:type="dxa"/>
          </w:tblCellMar>
        </w:tblPrEx>
        <w:trPr>
          <w:trHeight w:val="285"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工业连接器</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32A工业连接器</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套</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70</w:t>
            </w:r>
          </w:p>
        </w:tc>
      </w:tr>
      <w:tr>
        <w:tblPrEx>
          <w:tblLayout w:type="fixed"/>
          <w:tblCellMar>
            <w:top w:w="0" w:type="dxa"/>
            <w:left w:w="108" w:type="dxa"/>
            <w:bottom w:w="0" w:type="dxa"/>
            <w:right w:w="108" w:type="dxa"/>
          </w:tblCellMar>
        </w:tblPrEx>
        <w:trPr>
          <w:trHeight w:val="1045" w:hRule="atLeast"/>
          <w:jc w:val="center"/>
        </w:trPr>
        <w:tc>
          <w:tcPr>
            <w:tcW w:w="41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18</w:t>
            </w:r>
          </w:p>
        </w:tc>
        <w:tc>
          <w:tcPr>
            <w:tcW w:w="112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温控管理系统精密空调</w:t>
            </w: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0"/>
                <w:szCs w:val="20"/>
                <w:highlight w:val="none"/>
                <w:lang w:eastAsia="zh-CN"/>
              </w:rPr>
            </w:pPr>
            <w:r>
              <w:rPr>
                <w:rFonts w:hint="eastAsia" w:ascii="宋体" w:hAnsi="宋体" w:cs="宋体"/>
                <w:b/>
                <w:bCs/>
                <w:color w:val="auto"/>
                <w:kern w:val="0"/>
                <w:sz w:val="20"/>
                <w:szCs w:val="20"/>
                <w:highlight w:val="none"/>
              </w:rPr>
              <w:t>精密空调</w:t>
            </w:r>
            <w:r>
              <w:rPr>
                <w:rFonts w:hint="eastAsia" w:ascii="宋体" w:hAnsi="宋体" w:cs="宋体"/>
                <w:b/>
                <w:bCs/>
                <w:color w:val="auto"/>
                <w:kern w:val="0"/>
                <w:sz w:val="20"/>
                <w:szCs w:val="20"/>
                <w:highlight w:val="none"/>
                <w:lang w:eastAsia="zh-CN"/>
              </w:rPr>
              <w:t>（</w:t>
            </w:r>
            <w:r>
              <w:rPr>
                <w:rFonts w:hint="eastAsia" w:ascii="宋体" w:hAnsi="宋体" w:cs="宋体"/>
                <w:b/>
                <w:bCs/>
                <w:color w:val="auto"/>
                <w:kern w:val="0"/>
                <w:sz w:val="20"/>
                <w:szCs w:val="20"/>
                <w:highlight w:val="none"/>
                <w:lang w:val="en-US" w:eastAsia="zh-CN"/>
              </w:rPr>
              <w:t>核心产品</w:t>
            </w:r>
            <w:r>
              <w:rPr>
                <w:rFonts w:hint="eastAsia" w:ascii="宋体" w:hAnsi="宋体" w:cs="宋体"/>
                <w:b/>
                <w:bCs/>
                <w:color w:val="auto"/>
                <w:kern w:val="0"/>
                <w:sz w:val="20"/>
                <w:szCs w:val="20"/>
                <w:highlight w:val="none"/>
                <w:lang w:eastAsia="zh-CN"/>
              </w:rPr>
              <w:t>）</w:t>
            </w:r>
          </w:p>
        </w:tc>
        <w:tc>
          <w:tcPr>
            <w:tcW w:w="5439" w:type="dxa"/>
            <w:tcBorders>
              <w:top w:val="nil"/>
              <w:left w:val="nil"/>
              <w:bottom w:val="single" w:color="auto" w:sz="4" w:space="0"/>
              <w:right w:val="single" w:color="auto" w:sz="4" w:space="0"/>
            </w:tcBorders>
            <w:shd w:val="clear" w:color="auto" w:fill="auto"/>
            <w:vAlign w:val="center"/>
          </w:tcPr>
          <w:p>
            <w:pPr>
              <w:pStyle w:val="2"/>
              <w:keepNext w:val="0"/>
              <w:keepLines w:val="0"/>
              <w:suppressLineNumbers w:val="0"/>
              <w:spacing w:before="0" w:beforeAutospacing="0" w:after="0" w:afterAutospacing="0"/>
              <w:ind w:left="0" w:right="0" w:firstLine="0"/>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协同创新中心精密空调，风冷型，下送风、上回风，具有加热加湿功能，双系统设计，风机数量≥2，压缩机数量≥2；</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风冷下送风上回风精密空调</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1.单台精密空调总冷量≥41kw，风量≥10900m³/h；双系统设计，双压缩机，独立2套制冷剂回路。</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2.空调系统要求采用Copeland涡旋式压缩机或同等档次，保证在增大机外余压的情况下送风风量不减少。</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3.投标空调需配置远红外型加湿器，加湿量≥10kg/h，加热量≥9kw。</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4.投标空调需选用“V”型或“/”型大面积蒸发器，保障换热效率。</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5.精密空调应具有LCD大屏幕多行中文显示器，能显示温湿度曲线，具有图形显示机组内各组件的运行状态的功能。</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6.精密空调机组需提供标准通讯接口。</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7.投标空调应具备联动与群控功能：同一区域可以将不低于32套机组进行统一控制管理。</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8.空调尺寸应≤1710×880×2000（mm），满足摆放需求。</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9.服务：中标后提供原厂商三年质保售后服务承诺函。最终用户为杭州电子科技大学；提供原厂安装、集成、开机服务，出具原厂开机报告。</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套</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3</w:t>
            </w:r>
          </w:p>
        </w:tc>
      </w:tr>
      <w:tr>
        <w:tblPrEx>
          <w:tblLayout w:type="fixed"/>
          <w:tblCellMar>
            <w:top w:w="0" w:type="dxa"/>
            <w:left w:w="108" w:type="dxa"/>
            <w:bottom w:w="0" w:type="dxa"/>
            <w:right w:w="108" w:type="dxa"/>
          </w:tblCellMar>
        </w:tblPrEx>
        <w:trPr>
          <w:trHeight w:val="480" w:hRule="atLeast"/>
          <w:jc w:val="center"/>
        </w:trPr>
        <w:tc>
          <w:tcPr>
            <w:tcW w:w="41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19</w:t>
            </w:r>
          </w:p>
        </w:tc>
        <w:tc>
          <w:tcPr>
            <w:tcW w:w="112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温控管理系统精密空调送风设备</w:t>
            </w: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空调送风系统</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空调送风系统。含静压箱和机柜标准化送风仓体无缝拼接，含保温棉；送风量≥16000 m3/h,送回风主仓体材质彩钢，外敷10mm带锡箔保温棉。</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套</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r>
      <w:tr>
        <w:tblPrEx>
          <w:tblLayout w:type="fixed"/>
          <w:tblCellMar>
            <w:top w:w="0" w:type="dxa"/>
            <w:left w:w="108" w:type="dxa"/>
            <w:bottom w:w="0" w:type="dxa"/>
            <w:right w:w="108" w:type="dxa"/>
          </w:tblCellMar>
        </w:tblPrEx>
        <w:trPr>
          <w:trHeight w:val="480" w:hRule="atLeast"/>
          <w:jc w:val="center"/>
        </w:trPr>
        <w:tc>
          <w:tcPr>
            <w:tcW w:w="41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20</w:t>
            </w:r>
          </w:p>
        </w:tc>
        <w:tc>
          <w:tcPr>
            <w:tcW w:w="112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温控管理系统环境空调设备</w:t>
            </w: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0"/>
                <w:szCs w:val="20"/>
                <w:highlight w:val="none"/>
                <w:lang w:eastAsia="zh-CN"/>
              </w:rPr>
            </w:pPr>
            <w:r>
              <w:rPr>
                <w:rFonts w:hint="eastAsia" w:ascii="宋体" w:hAnsi="宋体" w:cs="宋体"/>
                <w:color w:val="auto"/>
                <w:kern w:val="0"/>
                <w:sz w:val="20"/>
                <w:szCs w:val="20"/>
                <w:highlight w:val="none"/>
              </w:rPr>
              <w:t>商用柜式空调</w:t>
            </w:r>
            <w:r>
              <w:rPr>
                <w:rFonts w:hint="eastAsia" w:ascii="宋体" w:hAnsi="宋体" w:cs="宋体"/>
                <w:color w:val="auto"/>
                <w:kern w:val="0"/>
                <w:sz w:val="20"/>
                <w:szCs w:val="20"/>
                <w:highlight w:val="none"/>
                <w:lang w:eastAsia="zh-CN"/>
              </w:rPr>
              <w:t>（</w:t>
            </w:r>
            <w:r>
              <w:rPr>
                <w:rFonts w:hint="eastAsia" w:ascii="宋体" w:hAnsi="宋体" w:eastAsia="宋体" w:cs="宋体"/>
                <w:color w:val="auto"/>
                <w:kern w:val="0"/>
                <w:sz w:val="20"/>
                <w:szCs w:val="20"/>
                <w:highlight w:val="none"/>
                <w:lang w:eastAsia="zh-CN"/>
              </w:rPr>
              <w:t>▲</w:t>
            </w:r>
            <w:r>
              <w:rPr>
                <w:rFonts w:hint="eastAsia" w:ascii="宋体" w:hAnsi="宋体" w:cs="宋体"/>
                <w:color w:val="auto"/>
                <w:kern w:val="0"/>
                <w:sz w:val="20"/>
                <w:szCs w:val="20"/>
                <w:highlight w:val="none"/>
                <w:lang w:val="en-US" w:eastAsia="zh-CN"/>
              </w:rPr>
              <w:t>提供有效期内的节能产品认证证书</w:t>
            </w:r>
            <w:r>
              <w:rPr>
                <w:rFonts w:hint="eastAsia" w:ascii="宋体" w:hAnsi="宋体" w:cs="宋体"/>
                <w:color w:val="auto"/>
                <w:kern w:val="0"/>
                <w:sz w:val="20"/>
                <w:szCs w:val="20"/>
                <w:highlight w:val="none"/>
                <w:lang w:eastAsia="zh-CN"/>
              </w:rPr>
              <w:t>）</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5P商用立式柜机，冷暖型，制冷量≥12.5KW，制热量≥14KW,送风量≥29 m³/min,机房设备专用空调，直流变频，二级能效，支持来电自启动功能。</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套</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3</w:t>
            </w:r>
          </w:p>
        </w:tc>
      </w:tr>
      <w:tr>
        <w:tblPrEx>
          <w:tblLayout w:type="fixed"/>
          <w:tblCellMar>
            <w:top w:w="0" w:type="dxa"/>
            <w:left w:w="108" w:type="dxa"/>
            <w:bottom w:w="0" w:type="dxa"/>
            <w:right w:w="108" w:type="dxa"/>
          </w:tblCellMar>
        </w:tblPrEx>
        <w:trPr>
          <w:trHeight w:val="480" w:hRule="atLeast"/>
          <w:jc w:val="center"/>
        </w:trPr>
        <w:tc>
          <w:tcPr>
            <w:tcW w:w="41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21</w:t>
            </w:r>
          </w:p>
        </w:tc>
        <w:tc>
          <w:tcPr>
            <w:tcW w:w="112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温控管理系统精密空调回风组件设备</w:t>
            </w: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空调回风系统</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精密空调回风系统，优质冷轧钢板与机柜一体化设计，采用机柜顶部安装，上回风设计，外观颜色与机柜保持一致。</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套</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3</w:t>
            </w:r>
          </w:p>
        </w:tc>
      </w:tr>
      <w:tr>
        <w:tblPrEx>
          <w:tblLayout w:type="fixed"/>
          <w:tblCellMar>
            <w:top w:w="0" w:type="dxa"/>
            <w:left w:w="108" w:type="dxa"/>
            <w:bottom w:w="0" w:type="dxa"/>
            <w:right w:w="108" w:type="dxa"/>
          </w:tblCellMar>
        </w:tblPrEx>
        <w:trPr>
          <w:trHeight w:val="480" w:hRule="atLeast"/>
          <w:jc w:val="center"/>
        </w:trPr>
        <w:tc>
          <w:tcPr>
            <w:tcW w:w="41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22</w:t>
            </w:r>
          </w:p>
        </w:tc>
        <w:tc>
          <w:tcPr>
            <w:tcW w:w="112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温控管理系统配套组件</w:t>
            </w: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温控管理系统配套组件</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精密空调及环境空调安装配套组件，包括30米以上管路、接头、保温材料、内外机电源线、安装支架等。</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套</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6</w:t>
            </w:r>
          </w:p>
        </w:tc>
      </w:tr>
      <w:tr>
        <w:tblPrEx>
          <w:tblLayout w:type="fixed"/>
          <w:tblCellMar>
            <w:top w:w="0" w:type="dxa"/>
            <w:left w:w="108" w:type="dxa"/>
            <w:bottom w:w="0" w:type="dxa"/>
            <w:right w:w="108" w:type="dxa"/>
          </w:tblCellMar>
        </w:tblPrEx>
        <w:trPr>
          <w:trHeight w:val="285" w:hRule="atLeast"/>
          <w:jc w:val="center"/>
        </w:trPr>
        <w:tc>
          <w:tcPr>
            <w:tcW w:w="411" w:type="dxa"/>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23</w:t>
            </w:r>
          </w:p>
        </w:tc>
        <w:tc>
          <w:tcPr>
            <w:tcW w:w="1124" w:type="dxa"/>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网络管理系统园区接入设备</w:t>
            </w: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MPO预端接光配线架</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1.标准机架式安装，1U配线箱装配MPO-LC转接模块,可达到96芯光纤密度。</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2.配线箱采用滑动式抽屉结构，操作简便;托盘配备水平理线环，抽屉内配备粘扣带。</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3.配备路径标识卡，便于线路管理与维护。</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个</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2</w:t>
            </w:r>
          </w:p>
        </w:tc>
      </w:tr>
      <w:tr>
        <w:tblPrEx>
          <w:tblLayout w:type="fixed"/>
          <w:tblCellMar>
            <w:top w:w="0" w:type="dxa"/>
            <w:left w:w="108" w:type="dxa"/>
            <w:bottom w:w="0" w:type="dxa"/>
            <w:right w:w="108" w:type="dxa"/>
          </w:tblCellMar>
        </w:tblPrEx>
        <w:trPr>
          <w:trHeight w:val="285"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MPO预端接模块</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MPO预端接模块、24芯、OM3/OS2，LSZH；为保证兼容性与统一管理，要求与MPO预端接光配线架为同一品牌。</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个</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8</w:t>
            </w:r>
          </w:p>
        </w:tc>
      </w:tr>
      <w:tr>
        <w:tblPrEx>
          <w:tblLayout w:type="fixed"/>
          <w:tblCellMar>
            <w:top w:w="0" w:type="dxa"/>
            <w:left w:w="108" w:type="dxa"/>
            <w:bottom w:w="0" w:type="dxa"/>
            <w:right w:w="108" w:type="dxa"/>
          </w:tblCellMar>
        </w:tblPrEx>
        <w:trPr>
          <w:trHeight w:val="480"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MPO/MPO预端接延长线（单模）</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MPO/MPO预端接延长线、12芯、OS2、40米内定制；为保证兼容性与统一管理，要求与MPO预端接光配线架为同一品牌。</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根</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8</w:t>
            </w:r>
          </w:p>
        </w:tc>
      </w:tr>
      <w:tr>
        <w:tblPrEx>
          <w:tblLayout w:type="fixed"/>
          <w:tblCellMar>
            <w:top w:w="0" w:type="dxa"/>
            <w:left w:w="108" w:type="dxa"/>
            <w:bottom w:w="0" w:type="dxa"/>
            <w:right w:w="108" w:type="dxa"/>
          </w:tblCellMar>
        </w:tblPrEx>
        <w:trPr>
          <w:trHeight w:val="3120" w:hRule="atLeast"/>
          <w:jc w:val="center"/>
        </w:trPr>
        <w:tc>
          <w:tcPr>
            <w:tcW w:w="411" w:type="dxa"/>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24</w:t>
            </w:r>
          </w:p>
        </w:tc>
        <w:tc>
          <w:tcPr>
            <w:tcW w:w="1124" w:type="dxa"/>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网络管理系统中心接入设备</w:t>
            </w: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汇聚交换机</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 xml:space="preserve">1.设备整机性能：交换容量≥430Gbps，转发性能≥160Mpps。 </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 xml:space="preserve">接口类型：≥48个10/100/1000Base-T自适应以太网端口、2个10G BASE-X SFP+端口,2个1/2.5/5/10G BASE-T电口。 </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 xml:space="preserve">2.VLAN特性：支持基于端口的VLAN，支持基于协议的VLAN；支持基于MAC的VLAN；最大VLAN数(不是VLAN ID) ≥4094。 </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 xml:space="preserve">路由协议：支持IPv4静态路由、RIP V1/V2、OSPF。支持IPv6静态路由、RIPng。支持IPv4和IPv6环境下的策略路由。 </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 xml:space="preserve">3.ERPS：实现ERPS功能，能够快速阻断环，收敛时间≤50ms </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 xml:space="preserve">堆叠：最大堆叠台数≥9台；最大堆叠带宽≥40G；支持跨设备链路聚合，单一IP管理，分布式弹性路由；支持通过标准以太端口进行堆叠；支持完善的堆叠分裂检测机制，堆叠分裂后能自动完成MAC和IP地址的重配置，无需手动干预；支持远程堆叠。 </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 xml:space="preserve">4.链路聚合：支持最多8个端口聚合；支持最多128个聚合组；支持LACP。 </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 xml:space="preserve">5.安全特性：支持802.1x、portal认证功能，支持组播功能。 </w:t>
            </w:r>
          </w:p>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6.资质认证：提供工信部入网证。</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7.配置要求：需配10G多模光模块2个。</w:t>
            </w:r>
          </w:p>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8.服务：承诺中标后提供原厂商三年质保服务。</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3</w:t>
            </w:r>
          </w:p>
        </w:tc>
      </w:tr>
      <w:tr>
        <w:tblPrEx>
          <w:tblLayout w:type="fixed"/>
          <w:tblCellMar>
            <w:top w:w="0" w:type="dxa"/>
            <w:left w:w="108" w:type="dxa"/>
            <w:bottom w:w="0" w:type="dxa"/>
            <w:right w:w="108" w:type="dxa"/>
          </w:tblCellMar>
        </w:tblPrEx>
        <w:trPr>
          <w:trHeight w:val="960"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MPO预端接光配线架</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numPr>
                <w:ilvl w:val="255"/>
                <w:numId w:val="0"/>
              </w:numPr>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标准机架式安装，1U配线箱装配MPO-LC转接模块,可达到96芯光纤密度。</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2.配线箱采用滑动式抽屉结构，操作简便;托盘配备水平理线环，抽屉内配备粘扣带。</w:t>
            </w:r>
          </w:p>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3.配备路径标识卡，便于线路管理与维护。</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个</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3</w:t>
            </w:r>
          </w:p>
        </w:tc>
      </w:tr>
      <w:tr>
        <w:tblPrEx>
          <w:tblLayout w:type="fixed"/>
          <w:tblCellMar>
            <w:top w:w="0" w:type="dxa"/>
            <w:left w:w="108" w:type="dxa"/>
            <w:bottom w:w="0" w:type="dxa"/>
            <w:right w:w="108" w:type="dxa"/>
          </w:tblCellMar>
        </w:tblPrEx>
        <w:trPr>
          <w:trHeight w:val="285"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MPO预端接模块</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MPO预端接模块、24芯、OM3/OS2，LSZH；为保证兼容性与统一管理，要求与MPO预端接光配线架为同一品牌。</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个</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6</w:t>
            </w:r>
          </w:p>
        </w:tc>
      </w:tr>
      <w:tr>
        <w:tblPrEx>
          <w:tblLayout w:type="fixed"/>
          <w:tblCellMar>
            <w:top w:w="0" w:type="dxa"/>
            <w:left w:w="108" w:type="dxa"/>
            <w:bottom w:w="0" w:type="dxa"/>
            <w:right w:w="108" w:type="dxa"/>
          </w:tblCellMar>
        </w:tblPrEx>
        <w:trPr>
          <w:trHeight w:val="480"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MPO/MPO预端接延长线（单模）</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MPO/MPO预端接延长线、12芯、OS2、20米内定制；为保证兼容性与统一管理，要求与MPO预端接光配线架为同一品牌。</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根</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6</w:t>
            </w:r>
          </w:p>
        </w:tc>
      </w:tr>
      <w:tr>
        <w:tblPrEx>
          <w:tblLayout w:type="fixed"/>
          <w:tblCellMar>
            <w:top w:w="0" w:type="dxa"/>
            <w:left w:w="108" w:type="dxa"/>
            <w:bottom w:w="0" w:type="dxa"/>
            <w:right w:w="108" w:type="dxa"/>
          </w:tblCellMar>
        </w:tblPrEx>
        <w:trPr>
          <w:trHeight w:val="285"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UTP Cat.6配线架</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UTP Cat.6配线架，24口，包含模块；为保证兼容性与统一管理，要求与MPO预端接光配线架为同一品牌。</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套</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6</w:t>
            </w:r>
          </w:p>
        </w:tc>
      </w:tr>
      <w:tr>
        <w:tblPrEx>
          <w:tblLayout w:type="fixed"/>
          <w:tblCellMar>
            <w:top w:w="0" w:type="dxa"/>
            <w:left w:w="108" w:type="dxa"/>
            <w:bottom w:w="0" w:type="dxa"/>
            <w:right w:w="108" w:type="dxa"/>
          </w:tblCellMar>
        </w:tblPrEx>
        <w:trPr>
          <w:trHeight w:val="285"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UTP Cat.6线缆</w:t>
            </w:r>
          </w:p>
        </w:tc>
        <w:tc>
          <w:tcPr>
            <w:tcW w:w="5439" w:type="dxa"/>
            <w:tcBorders>
              <w:top w:val="nil"/>
              <w:left w:val="nil"/>
              <w:bottom w:val="single" w:color="auto" w:sz="4" w:space="0"/>
              <w:right w:val="single" w:color="auto" w:sz="4" w:space="0"/>
            </w:tcBorders>
            <w:shd w:val="clear" w:color="auto" w:fill="auto"/>
            <w:vAlign w:val="center"/>
          </w:tcPr>
          <w:p>
            <w:pPr>
              <w:pStyle w:val="2"/>
              <w:keepNext w:val="0"/>
              <w:keepLines w:val="0"/>
              <w:widowControl/>
              <w:suppressLineNumbers w:val="0"/>
              <w:spacing w:before="0" w:beforeAutospacing="0" w:after="0" w:afterAutospacing="0"/>
              <w:ind w:left="0" w:right="0" w:firstLine="0"/>
              <w:jc w:val="left"/>
              <w:rPr>
                <w:rFonts w:hint="default" w:hAnsi="宋体" w:cs="宋体"/>
                <w:color w:val="auto"/>
                <w:kern w:val="0"/>
                <w:sz w:val="20"/>
                <w:highlight w:val="none"/>
              </w:rPr>
            </w:pPr>
            <w:r>
              <w:rPr>
                <w:rFonts w:hint="eastAsia" w:hAnsi="宋体" w:cs="宋体"/>
                <w:color w:val="auto"/>
                <w:kern w:val="0"/>
                <w:sz w:val="20"/>
                <w:highlight w:val="none"/>
              </w:rPr>
              <w:t>1.性能：完全符合 TIA/EIA-568-B-2.1 和 ISO/IEC11801 规范对于六类线缆的要求；在衰减、近端串扰衰减、结构回波损耗、近端串扰衰减与衰减比的技术参数上符合最新六类国际标准。不少于305米/箱,不低于23AWG实芯裸铜导体。</w:t>
            </w:r>
          </w:p>
          <w:p>
            <w:pPr>
              <w:pStyle w:val="2"/>
              <w:keepNext w:val="0"/>
              <w:keepLines w:val="0"/>
              <w:suppressLineNumbers w:val="0"/>
              <w:spacing w:before="0" w:beforeAutospacing="0" w:after="0" w:afterAutospacing="0"/>
              <w:ind w:left="0" w:right="0" w:firstLine="0"/>
              <w:rPr>
                <w:rFonts w:hint="default" w:hAnsi="宋体" w:cs="宋体"/>
                <w:color w:val="auto"/>
                <w:kern w:val="0"/>
                <w:sz w:val="20"/>
                <w:highlight w:val="none"/>
              </w:rPr>
            </w:pPr>
            <w:r>
              <w:rPr>
                <w:rFonts w:hint="eastAsia" w:hAnsi="宋体" w:cs="宋体"/>
                <w:color w:val="auto"/>
                <w:kern w:val="0"/>
                <w:sz w:val="20"/>
                <w:highlight w:val="none"/>
              </w:rPr>
              <w:t>2.结构：线缆中心采用十字芯骨架，最大程度上保证安装过程中不破坏双绞线绞距从而提供更大的传输带宽和传输速率</w:t>
            </w:r>
          </w:p>
          <w:p>
            <w:pPr>
              <w:pStyle w:val="2"/>
              <w:keepNext w:val="0"/>
              <w:keepLines w:val="0"/>
              <w:suppressLineNumbers w:val="0"/>
              <w:spacing w:before="0" w:beforeAutospacing="0" w:after="0" w:afterAutospacing="0"/>
              <w:ind w:left="0" w:right="0" w:firstLine="0"/>
              <w:rPr>
                <w:rFonts w:hint="default" w:hAnsi="宋体" w:cs="宋体"/>
                <w:color w:val="auto"/>
                <w:kern w:val="0"/>
                <w:sz w:val="20"/>
                <w:highlight w:val="none"/>
              </w:rPr>
            </w:pPr>
            <w:r>
              <w:rPr>
                <w:rFonts w:hint="eastAsia" w:hAnsi="宋体" w:cs="宋体"/>
                <w:color w:val="auto"/>
                <w:kern w:val="0"/>
                <w:sz w:val="20"/>
                <w:highlight w:val="none"/>
              </w:rPr>
              <w:t>3.带宽：保证 250MHz 下测试符合最新六类国际标准.具有高抗电磁干扰性，使传输信号的误码率降至最低。                                                                                              4.产品通过信息产业有线通信产品质量监督检验中心检测。</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箱</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3</w:t>
            </w:r>
          </w:p>
        </w:tc>
      </w:tr>
      <w:tr>
        <w:tblPrEx>
          <w:tblLayout w:type="fixed"/>
          <w:tblCellMar>
            <w:top w:w="0" w:type="dxa"/>
            <w:left w:w="108" w:type="dxa"/>
            <w:bottom w:w="0" w:type="dxa"/>
            <w:right w:w="108" w:type="dxa"/>
          </w:tblCellMar>
        </w:tblPrEx>
        <w:trPr>
          <w:trHeight w:val="285" w:hRule="atLeast"/>
          <w:jc w:val="center"/>
        </w:trPr>
        <w:tc>
          <w:tcPr>
            <w:tcW w:w="411" w:type="dxa"/>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25</w:t>
            </w:r>
          </w:p>
        </w:tc>
        <w:tc>
          <w:tcPr>
            <w:tcW w:w="1124" w:type="dxa"/>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网络管理系统机柜接入设备</w:t>
            </w: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MPO预端接光配线架</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1.标准机架式安装，1U配线箱装配MPO-LC转接模块,可达到96芯光纤密度；</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2.配线箱采用滑动式抽屉结构，操作简便;托盘配备水平理线环，抽屉内配备粘扣带；</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3.配备路径标识卡，便于线路管理与维护。</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个</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3</w:t>
            </w:r>
          </w:p>
        </w:tc>
      </w:tr>
      <w:tr>
        <w:tblPrEx>
          <w:tblLayout w:type="fixed"/>
          <w:tblCellMar>
            <w:top w:w="0" w:type="dxa"/>
            <w:left w:w="108" w:type="dxa"/>
            <w:bottom w:w="0" w:type="dxa"/>
            <w:right w:w="108" w:type="dxa"/>
          </w:tblCellMar>
        </w:tblPrEx>
        <w:trPr>
          <w:trHeight w:val="285"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MPO预端接模块</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MPO预端接模块、24芯、OM3/OS2，LSZH；为保证兼容性与统一管理，要求与MPO预端接光配线架为同一品牌。</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个</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18</w:t>
            </w:r>
          </w:p>
        </w:tc>
      </w:tr>
      <w:tr>
        <w:tblPrEx>
          <w:tblLayout w:type="fixed"/>
          <w:tblCellMar>
            <w:top w:w="0" w:type="dxa"/>
            <w:left w:w="108" w:type="dxa"/>
            <w:bottom w:w="0" w:type="dxa"/>
            <w:right w:w="108" w:type="dxa"/>
          </w:tblCellMar>
        </w:tblPrEx>
        <w:trPr>
          <w:trHeight w:val="480"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MPO/LC预端接延长线（多模）</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MPO/LC预端接延长线、12芯、OM3、20米内定制；为保证兼容性与统一管理，要求与MPO预端接光配线架为同一品牌。</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根</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32</w:t>
            </w:r>
          </w:p>
        </w:tc>
      </w:tr>
      <w:tr>
        <w:tblPrEx>
          <w:tblLayout w:type="fixed"/>
          <w:tblCellMar>
            <w:top w:w="0" w:type="dxa"/>
            <w:left w:w="108" w:type="dxa"/>
            <w:bottom w:w="0" w:type="dxa"/>
            <w:right w:w="108" w:type="dxa"/>
          </w:tblCellMar>
        </w:tblPrEx>
        <w:trPr>
          <w:trHeight w:val="285"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UTP Cat.6线缆</w:t>
            </w:r>
          </w:p>
        </w:tc>
        <w:tc>
          <w:tcPr>
            <w:tcW w:w="5439" w:type="dxa"/>
            <w:tcBorders>
              <w:top w:val="nil"/>
              <w:left w:val="nil"/>
              <w:bottom w:val="single" w:color="auto" w:sz="4" w:space="0"/>
              <w:right w:val="single" w:color="auto" w:sz="4" w:space="0"/>
            </w:tcBorders>
            <w:shd w:val="clear" w:color="auto" w:fill="auto"/>
            <w:vAlign w:val="center"/>
          </w:tcPr>
          <w:p>
            <w:pPr>
              <w:pStyle w:val="2"/>
              <w:keepNext w:val="0"/>
              <w:keepLines w:val="0"/>
              <w:suppressLineNumbers w:val="0"/>
              <w:spacing w:before="0" w:beforeAutospacing="0" w:after="0" w:afterAutospacing="0"/>
              <w:ind w:left="0" w:right="0" w:firstLine="0"/>
              <w:rPr>
                <w:rFonts w:hint="default" w:hAnsi="宋体" w:cs="宋体"/>
                <w:color w:val="auto"/>
                <w:kern w:val="0"/>
                <w:sz w:val="20"/>
                <w:highlight w:val="none"/>
              </w:rPr>
            </w:pPr>
            <w:r>
              <w:rPr>
                <w:rFonts w:hint="eastAsia" w:hAnsi="宋体" w:cs="宋体"/>
                <w:color w:val="auto"/>
                <w:kern w:val="0"/>
                <w:sz w:val="20"/>
                <w:highlight w:val="none"/>
              </w:rPr>
              <w:t>1.性能：完全符合 TIA/EIA-568-B-2.1 和 ISO/IEC11801 规范对于六类线缆的要求;在衰减、近端串扰衰减、结构回波损耗、近端串扰衰减与衰减比的技术参数上符合最新六类国际标准。</w:t>
            </w:r>
          </w:p>
          <w:p>
            <w:pPr>
              <w:pStyle w:val="2"/>
              <w:keepNext w:val="0"/>
              <w:keepLines w:val="0"/>
              <w:widowControl/>
              <w:suppressLineNumbers w:val="0"/>
              <w:spacing w:before="0" w:beforeAutospacing="0" w:after="0" w:afterAutospacing="0"/>
              <w:ind w:left="0" w:right="0" w:firstLine="0"/>
              <w:jc w:val="left"/>
              <w:rPr>
                <w:rFonts w:hint="default" w:hAnsi="宋体" w:cs="宋体"/>
                <w:color w:val="auto"/>
                <w:kern w:val="0"/>
                <w:sz w:val="20"/>
                <w:highlight w:val="none"/>
              </w:rPr>
            </w:pPr>
            <w:r>
              <w:rPr>
                <w:rFonts w:hint="eastAsia" w:hAnsi="宋体" w:cs="宋体"/>
                <w:color w:val="auto"/>
                <w:kern w:val="0"/>
                <w:sz w:val="20"/>
                <w:highlight w:val="none"/>
              </w:rPr>
              <w:t>不少于305米/箱,不低于23AWG实芯裸铜导体。</w:t>
            </w:r>
          </w:p>
          <w:p>
            <w:pPr>
              <w:pStyle w:val="2"/>
              <w:keepNext w:val="0"/>
              <w:keepLines w:val="0"/>
              <w:suppressLineNumbers w:val="0"/>
              <w:spacing w:before="0" w:beforeAutospacing="0" w:after="0" w:afterAutospacing="0"/>
              <w:ind w:left="0" w:right="0" w:firstLine="0"/>
              <w:rPr>
                <w:rFonts w:hint="default" w:hAnsi="宋体" w:cs="宋体"/>
                <w:color w:val="auto"/>
                <w:kern w:val="0"/>
                <w:sz w:val="20"/>
                <w:highlight w:val="none"/>
              </w:rPr>
            </w:pPr>
            <w:r>
              <w:rPr>
                <w:rFonts w:hint="eastAsia" w:hAnsi="宋体" w:cs="宋体"/>
                <w:color w:val="auto"/>
                <w:kern w:val="0"/>
                <w:sz w:val="20"/>
                <w:highlight w:val="none"/>
              </w:rPr>
              <w:t>2.结构：线缆中心采用十字芯骨架，最大程度上保证安装过程中不破坏双绞线绞距从而提供更大的传输带宽和传输速率。</w:t>
            </w:r>
          </w:p>
          <w:p>
            <w:pPr>
              <w:pStyle w:val="2"/>
              <w:keepNext w:val="0"/>
              <w:keepLines w:val="0"/>
              <w:suppressLineNumbers w:val="0"/>
              <w:spacing w:before="0" w:beforeAutospacing="0" w:after="0" w:afterAutospacing="0"/>
              <w:ind w:left="0" w:right="0" w:firstLine="0"/>
              <w:rPr>
                <w:rFonts w:hint="default" w:hAnsi="宋体" w:cs="宋体"/>
                <w:color w:val="auto"/>
                <w:kern w:val="0"/>
                <w:sz w:val="20"/>
                <w:highlight w:val="none"/>
              </w:rPr>
            </w:pPr>
            <w:r>
              <w:rPr>
                <w:rFonts w:hint="eastAsia" w:hAnsi="宋体" w:cs="宋体"/>
                <w:color w:val="auto"/>
                <w:kern w:val="0"/>
                <w:sz w:val="20"/>
                <w:highlight w:val="none"/>
              </w:rPr>
              <w:t>3.带宽：保证 250MHz 下测试符合最新六类国际标准.具有高抗电磁干扰性，使传输信号的误码率降至最低。                                                                                              4.产品通过信息产业有线通信产品质量监督检验中心检测。</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箱</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17</w:t>
            </w:r>
          </w:p>
        </w:tc>
      </w:tr>
      <w:tr>
        <w:tblPrEx>
          <w:tblLayout w:type="fixed"/>
          <w:tblCellMar>
            <w:top w:w="0" w:type="dxa"/>
            <w:left w:w="108" w:type="dxa"/>
            <w:bottom w:w="0" w:type="dxa"/>
            <w:right w:w="108" w:type="dxa"/>
          </w:tblCellMar>
        </w:tblPrEx>
        <w:trPr>
          <w:trHeight w:val="285"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UTP Cat.6配线架</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UTP Cat.6配线架，24口，包含模块；为保证兼容性与统一管理，要求与MPO预端接光配线架为同一品牌。</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套</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49</w:t>
            </w:r>
          </w:p>
        </w:tc>
      </w:tr>
      <w:tr>
        <w:tblPrEx>
          <w:tblLayout w:type="fixed"/>
          <w:tblCellMar>
            <w:top w:w="0" w:type="dxa"/>
            <w:left w:w="108" w:type="dxa"/>
            <w:bottom w:w="0" w:type="dxa"/>
            <w:right w:w="108" w:type="dxa"/>
          </w:tblCellMar>
        </w:tblPrEx>
        <w:trPr>
          <w:trHeight w:val="285"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UTP Cat.6跳线</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UTP Cat.6跳线,3米，PVC；为保证兼容性与统一管理，要求与MPO预端接光配线架为同一品牌。</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根</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100</w:t>
            </w:r>
          </w:p>
        </w:tc>
      </w:tr>
      <w:tr>
        <w:tblPrEx>
          <w:tblLayout w:type="fixed"/>
          <w:tblCellMar>
            <w:top w:w="0" w:type="dxa"/>
            <w:left w:w="108" w:type="dxa"/>
            <w:bottom w:w="0" w:type="dxa"/>
            <w:right w:w="108" w:type="dxa"/>
          </w:tblCellMar>
        </w:tblPrEx>
        <w:trPr>
          <w:trHeight w:val="285"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双工LC光纤跳线(多模）</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双工LC光纤跳线,OM3,3米，LSZH；为保证兼容性与统一管理，要求与MPO预端接光配线架为同一品牌。</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根</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50</w:t>
            </w:r>
          </w:p>
        </w:tc>
      </w:tr>
      <w:tr>
        <w:tblPrEx>
          <w:tblLayout w:type="fixed"/>
          <w:tblCellMar>
            <w:top w:w="0" w:type="dxa"/>
            <w:left w:w="108" w:type="dxa"/>
            <w:bottom w:w="0" w:type="dxa"/>
            <w:right w:w="108" w:type="dxa"/>
          </w:tblCellMar>
        </w:tblPrEx>
        <w:trPr>
          <w:trHeight w:val="480"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双工LC光纤跳线（单模）</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双工LC光纤跳线,OS2,3米，LSZH；为保证兼容性与统一管理，要求与MPO预端接光配线架为同一品牌。</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根</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50</w:t>
            </w:r>
          </w:p>
        </w:tc>
      </w:tr>
      <w:tr>
        <w:tblPrEx>
          <w:tblLayout w:type="fixed"/>
          <w:tblCellMar>
            <w:top w:w="0" w:type="dxa"/>
            <w:left w:w="108" w:type="dxa"/>
            <w:bottom w:w="0" w:type="dxa"/>
            <w:right w:w="108" w:type="dxa"/>
          </w:tblCellMar>
        </w:tblPrEx>
        <w:trPr>
          <w:trHeight w:val="285"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理线器</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24口理线器</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个</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70</w:t>
            </w:r>
          </w:p>
        </w:tc>
      </w:tr>
      <w:tr>
        <w:tblPrEx>
          <w:tblLayout w:type="fixed"/>
          <w:tblCellMar>
            <w:top w:w="0" w:type="dxa"/>
            <w:left w:w="108" w:type="dxa"/>
            <w:bottom w:w="0" w:type="dxa"/>
            <w:right w:w="108" w:type="dxa"/>
          </w:tblCellMar>
        </w:tblPrEx>
        <w:trPr>
          <w:trHeight w:val="285"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网格桥架</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200*100国标网格桥架，含配件</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米</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45</w:t>
            </w:r>
          </w:p>
        </w:tc>
      </w:tr>
      <w:tr>
        <w:tblPrEx>
          <w:tblLayout w:type="fixed"/>
          <w:tblCellMar>
            <w:top w:w="0" w:type="dxa"/>
            <w:left w:w="108" w:type="dxa"/>
            <w:bottom w:w="0" w:type="dxa"/>
            <w:right w:w="108" w:type="dxa"/>
          </w:tblCellMar>
        </w:tblPrEx>
        <w:trPr>
          <w:trHeight w:val="285"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光纤槽道</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120型光纤槽道，含配件</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米</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45</w:t>
            </w:r>
          </w:p>
        </w:tc>
      </w:tr>
      <w:tr>
        <w:tblPrEx>
          <w:tblLayout w:type="fixed"/>
          <w:tblCellMar>
            <w:top w:w="0" w:type="dxa"/>
            <w:left w:w="108" w:type="dxa"/>
            <w:bottom w:w="0" w:type="dxa"/>
            <w:right w:w="108" w:type="dxa"/>
          </w:tblCellMar>
        </w:tblPrEx>
        <w:trPr>
          <w:trHeight w:val="3840" w:hRule="atLeast"/>
          <w:jc w:val="center"/>
        </w:trPr>
        <w:tc>
          <w:tcPr>
            <w:tcW w:w="41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26</w:t>
            </w:r>
          </w:p>
        </w:tc>
        <w:tc>
          <w:tcPr>
            <w:tcW w:w="112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电源管理系统UPS主机</w:t>
            </w: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UPS主机</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160KVA在线式UPS</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1.输入电压：380VAC ±25%，额定频率：50±20%。</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2.输入功率因数≥0.99（满载和半载），输入谐波电流总含量≤3%，满载时系统效率≥95％；（提供第三方机构检测报告）。</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3.带载能力：0-40℃范围内，过载 110% 时60min; 过载125% 时，10min; 150%时，1min。</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4.UPS 主机标准内置手动维修旁路开关。</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5.输出功率因数=1。</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6.UPS需采用三电平的逆变技术，减少电容和电感的使用量，降低损耗。</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7.设备提供全中文监控及操作界面和全中文远程监控管理界面，标配9寸触摸屏，能够显示输入输出电池电压、电流和相关运行状态和故障告警信息等。</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8.考虑现场情况，需支持后出风和上出风方式。</w:t>
            </w:r>
          </w:p>
          <w:p>
            <w:pPr>
              <w:pStyle w:val="2"/>
              <w:keepNext w:val="0"/>
              <w:keepLines w:val="0"/>
              <w:numPr>
                <w:ilvl w:val="0"/>
                <w:numId w:val="2"/>
              </w:numPr>
              <w:suppressLineNumbers w:val="0"/>
              <w:spacing w:before="0" w:beforeAutospacing="0" w:after="0" w:afterAutospacing="0"/>
              <w:ind w:left="0" w:right="0" w:firstLine="0"/>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服务：中标后提供原厂商三年质保服务承诺函，最终用户为杭州电子科技大学；提供原厂安装、集成、开机服务，出具原厂开机报告。</w:t>
            </w:r>
          </w:p>
          <w:p>
            <w:pPr>
              <w:pStyle w:val="2"/>
              <w:keepNext w:val="0"/>
              <w:keepLines w:val="0"/>
              <w:numPr>
                <w:ilvl w:val="0"/>
                <w:numId w:val="0"/>
              </w:numPr>
              <w:suppressLineNumbers w:val="0"/>
              <w:spacing w:before="0" w:beforeAutospacing="0" w:after="0" w:afterAutospacing="0"/>
              <w:ind w:left="0" w:right="0"/>
              <w:rPr>
                <w:rFonts w:hint="default" w:ascii="宋体" w:hAnsi="宋体" w:cs="宋体"/>
                <w:color w:val="auto"/>
                <w:kern w:val="0"/>
                <w:sz w:val="20"/>
                <w:szCs w:val="20"/>
                <w:highlight w:val="none"/>
              </w:rPr>
            </w:pPr>
            <w:r>
              <w:rPr>
                <w:rFonts w:hint="eastAsia" w:hAnsi="宋体" w:cs="宋体"/>
                <w:color w:val="auto"/>
                <w:kern w:val="0"/>
                <w:sz w:val="20"/>
                <w:szCs w:val="20"/>
                <w:highlight w:val="none"/>
                <w:lang w:val="en-US" w:eastAsia="zh-CN"/>
              </w:rPr>
              <w:t>1</w:t>
            </w:r>
            <w:r>
              <w:rPr>
                <w:rFonts w:hint="eastAsia" w:hAnsi="宋体" w:cs="宋体"/>
                <w:color w:val="auto"/>
                <w:spacing w:val="0"/>
                <w:kern w:val="0"/>
                <w:sz w:val="20"/>
                <w:highlight w:val="none"/>
              </w:rPr>
              <w:t>0.需提供投标产品相关检测报告、CQC节能认证证书</w:t>
            </w:r>
            <w:r>
              <w:rPr>
                <w:rFonts w:hint="eastAsia" w:hAnsi="宋体" w:cs="宋体"/>
                <w:strike w:val="0"/>
                <w:dstrike w:val="0"/>
                <w:color w:val="auto"/>
                <w:spacing w:val="0"/>
                <w:kern w:val="0"/>
                <w:sz w:val="20"/>
                <w:highlight w:val="none"/>
              </w:rPr>
              <w:t>；</w:t>
            </w:r>
            <w:r>
              <w:rPr>
                <w:rFonts w:hint="eastAsia" w:hAnsi="宋体" w:cs="宋体"/>
                <w:color w:val="auto"/>
                <w:spacing w:val="0"/>
                <w:kern w:val="0"/>
                <w:sz w:val="20"/>
                <w:highlight w:val="none"/>
              </w:rPr>
              <w:t>不得采用贴牌产品或者OEM等产品。</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个</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r>
      <w:tr>
        <w:tblPrEx>
          <w:tblLayout w:type="fixed"/>
          <w:tblCellMar>
            <w:top w:w="0" w:type="dxa"/>
            <w:left w:w="108" w:type="dxa"/>
            <w:bottom w:w="0" w:type="dxa"/>
            <w:right w:w="108" w:type="dxa"/>
          </w:tblCellMar>
        </w:tblPrEx>
        <w:trPr>
          <w:trHeight w:val="4139" w:hRule="atLeast"/>
          <w:jc w:val="center"/>
        </w:trPr>
        <w:tc>
          <w:tcPr>
            <w:tcW w:w="411" w:type="dxa"/>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27</w:t>
            </w:r>
          </w:p>
        </w:tc>
        <w:tc>
          <w:tcPr>
            <w:tcW w:w="1124" w:type="dxa"/>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电源管理系统电池设备</w:t>
            </w: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铅酸蓄电池</w:t>
            </w:r>
          </w:p>
        </w:tc>
        <w:tc>
          <w:tcPr>
            <w:tcW w:w="5439" w:type="dxa"/>
            <w:tcBorders>
              <w:top w:val="single" w:color="auto" w:sz="4" w:space="0"/>
              <w:left w:val="nil"/>
              <w:bottom w:val="single" w:color="auto" w:sz="4" w:space="0"/>
              <w:right w:val="single" w:color="auto" w:sz="4" w:space="0"/>
            </w:tcBorders>
            <w:shd w:val="clear" w:color="000000"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1.型式：12V 100AH阀控式密封免维护铅酸蓄电池；要求与UPS同一品牌。</w:t>
            </w:r>
          </w:p>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2.蓄电池20℃～25℃时的浮充运行寿命不低于12年。</w:t>
            </w:r>
          </w:p>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3.高功率阻燃型（采用优质阻燃材ABS槽壳，符合UL94V-0标准，降低壳体燃烧可能）。</w:t>
            </w:r>
          </w:p>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4.蓄电池间连接条、终端接头应选择导电性能优良的材料，并具有防腐蚀措施。蓄电池槽、盖等材料应具有阻燃性，其阻燃标准应符合GB/T2408-1996中的FH－1和FV－0的阻燃等级要求。</w:t>
            </w:r>
          </w:p>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5.蓄电池静置28天后，其荷电保持能力不应低于96%。</w:t>
            </w:r>
          </w:p>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6.循环使用寿命：80％放电深度时≥300次。</w:t>
            </w:r>
          </w:p>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7.蓄电池在正常工作中应无酸雾逸出。</w:t>
            </w:r>
          </w:p>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8.蓄电池密封反应效率应不低于95％。</w:t>
            </w:r>
          </w:p>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9.蓄电池应通过工信部（原信息产业部）YD/T799-2002标准。</w:t>
            </w:r>
          </w:p>
          <w:p>
            <w:pPr>
              <w:pStyle w:val="2"/>
              <w:keepNext w:val="0"/>
              <w:keepLines w:val="0"/>
              <w:suppressLineNumbers w:val="0"/>
              <w:spacing w:before="0" w:beforeAutospacing="0" w:after="0" w:afterAutospacing="0"/>
              <w:ind w:left="0" w:right="0" w:firstLine="0"/>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10.所有电池应采用同一批次产品，电池从出厂到投入使用之间的时间小于6个月。</w:t>
            </w:r>
          </w:p>
          <w:p>
            <w:pPr>
              <w:pStyle w:val="2"/>
              <w:keepNext w:val="0"/>
              <w:keepLines w:val="0"/>
              <w:suppressLineNumbers w:val="0"/>
              <w:spacing w:before="0" w:beforeAutospacing="0" w:after="0" w:afterAutospacing="0"/>
              <w:ind w:left="0" w:right="0" w:firstLine="0"/>
              <w:rPr>
                <w:rFonts w:hint="default" w:ascii="宋体" w:hAnsi="宋体" w:cs="宋体"/>
                <w:color w:val="auto"/>
                <w:kern w:val="0"/>
                <w:sz w:val="20"/>
                <w:szCs w:val="20"/>
                <w:highlight w:val="none"/>
              </w:rPr>
            </w:pPr>
            <w:r>
              <w:rPr>
                <w:rFonts w:hint="eastAsia" w:hAnsi="宋体" w:cs="宋体"/>
                <w:color w:val="auto"/>
                <w:kern w:val="0"/>
                <w:sz w:val="20"/>
                <w:highlight w:val="none"/>
              </w:rPr>
              <w:t>11.单节电池重量不低于30KG。</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节</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96</w:t>
            </w:r>
          </w:p>
        </w:tc>
      </w:tr>
      <w:tr>
        <w:tblPrEx>
          <w:tblLayout w:type="fixed"/>
          <w:tblCellMar>
            <w:top w:w="0" w:type="dxa"/>
            <w:left w:w="108" w:type="dxa"/>
            <w:bottom w:w="0" w:type="dxa"/>
            <w:right w:w="108" w:type="dxa"/>
          </w:tblCellMar>
        </w:tblPrEx>
        <w:trPr>
          <w:trHeight w:val="285"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电池箱</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可容纳32节电池，含电池连接线</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套</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3</w:t>
            </w:r>
          </w:p>
        </w:tc>
      </w:tr>
      <w:tr>
        <w:tblPrEx>
          <w:tblLayout w:type="fixed"/>
          <w:tblCellMar>
            <w:top w:w="0" w:type="dxa"/>
            <w:left w:w="108" w:type="dxa"/>
            <w:bottom w:w="0" w:type="dxa"/>
            <w:right w:w="108" w:type="dxa"/>
          </w:tblCellMar>
        </w:tblPrEx>
        <w:trPr>
          <w:trHeight w:val="285"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电池柜开关箱</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配套直流空开箱，含400A/3P直流空开*1、250A/3P直流空开*3及其他配件，空开选用施耐德或ABB或同等品牌</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套</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r>
      <w:tr>
        <w:tblPrEx>
          <w:tblLayout w:type="fixed"/>
          <w:tblCellMar>
            <w:top w:w="0" w:type="dxa"/>
            <w:left w:w="108" w:type="dxa"/>
            <w:bottom w:w="0" w:type="dxa"/>
            <w:right w:w="108" w:type="dxa"/>
          </w:tblCellMar>
        </w:tblPrEx>
        <w:trPr>
          <w:trHeight w:val="285" w:hRule="atLeast"/>
          <w:jc w:val="center"/>
        </w:trPr>
        <w:tc>
          <w:tcPr>
            <w:tcW w:w="411" w:type="dxa"/>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28</w:t>
            </w:r>
          </w:p>
        </w:tc>
        <w:tc>
          <w:tcPr>
            <w:tcW w:w="1124" w:type="dxa"/>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气体灭火系统</w:t>
            </w: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柜式灭火装置</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GQQ70/2.5B</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个</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r>
      <w:tr>
        <w:tblPrEx>
          <w:tblLayout w:type="fixed"/>
          <w:tblCellMar>
            <w:top w:w="0" w:type="dxa"/>
            <w:left w:w="108" w:type="dxa"/>
            <w:bottom w:w="0" w:type="dxa"/>
            <w:right w:w="108" w:type="dxa"/>
          </w:tblCellMar>
        </w:tblPrEx>
        <w:trPr>
          <w:trHeight w:val="285"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柜式灭火装置</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GQQ120/2.5B</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个</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2</w:t>
            </w:r>
          </w:p>
        </w:tc>
      </w:tr>
      <w:tr>
        <w:tblPrEx>
          <w:tblLayout w:type="fixed"/>
          <w:tblCellMar>
            <w:top w:w="0" w:type="dxa"/>
            <w:left w:w="108" w:type="dxa"/>
            <w:bottom w:w="0" w:type="dxa"/>
            <w:right w:w="108" w:type="dxa"/>
          </w:tblCellMar>
        </w:tblPrEx>
        <w:trPr>
          <w:trHeight w:val="285"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灭火剂</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HFC-227ea</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kg</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310</w:t>
            </w:r>
          </w:p>
        </w:tc>
      </w:tr>
      <w:tr>
        <w:tblPrEx>
          <w:tblLayout w:type="fixed"/>
          <w:tblCellMar>
            <w:top w:w="0" w:type="dxa"/>
            <w:left w:w="108" w:type="dxa"/>
            <w:bottom w:w="0" w:type="dxa"/>
            <w:right w:w="108" w:type="dxa"/>
          </w:tblCellMar>
        </w:tblPrEx>
        <w:trPr>
          <w:trHeight w:val="285"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泄压件</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BLXY-0.12</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个</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3</w:t>
            </w:r>
          </w:p>
        </w:tc>
      </w:tr>
      <w:tr>
        <w:tblPrEx>
          <w:tblLayout w:type="fixed"/>
          <w:tblCellMar>
            <w:top w:w="0" w:type="dxa"/>
            <w:left w:w="108" w:type="dxa"/>
            <w:bottom w:w="0" w:type="dxa"/>
            <w:right w:w="108" w:type="dxa"/>
          </w:tblCellMar>
        </w:tblPrEx>
        <w:trPr>
          <w:trHeight w:val="285" w:hRule="atLeast"/>
          <w:jc w:val="center"/>
        </w:trPr>
        <w:tc>
          <w:tcPr>
            <w:tcW w:w="411" w:type="dxa"/>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29</w:t>
            </w:r>
          </w:p>
        </w:tc>
        <w:tc>
          <w:tcPr>
            <w:tcW w:w="1124" w:type="dxa"/>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消防报警系统</w:t>
            </w: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气体灭火控制盘</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壁挂式, 2分区控制</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个</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r>
      <w:tr>
        <w:tblPrEx>
          <w:tblLayout w:type="fixed"/>
          <w:tblCellMar>
            <w:top w:w="0" w:type="dxa"/>
            <w:left w:w="108" w:type="dxa"/>
            <w:bottom w:w="0" w:type="dxa"/>
            <w:right w:w="108" w:type="dxa"/>
          </w:tblCellMar>
        </w:tblPrEx>
        <w:trPr>
          <w:trHeight w:val="285"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烟感探测器</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烟感探测器，含底座</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个</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9</w:t>
            </w:r>
          </w:p>
        </w:tc>
      </w:tr>
      <w:tr>
        <w:tblPrEx>
          <w:tblLayout w:type="fixed"/>
          <w:tblCellMar>
            <w:top w:w="0" w:type="dxa"/>
            <w:left w:w="108" w:type="dxa"/>
            <w:bottom w:w="0" w:type="dxa"/>
            <w:right w:w="108" w:type="dxa"/>
          </w:tblCellMar>
        </w:tblPrEx>
        <w:trPr>
          <w:trHeight w:val="285"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温感探测器</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温感探测器，含底座</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个</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10</w:t>
            </w:r>
          </w:p>
        </w:tc>
      </w:tr>
      <w:tr>
        <w:tblPrEx>
          <w:tblLayout w:type="fixed"/>
          <w:tblCellMar>
            <w:top w:w="0" w:type="dxa"/>
            <w:left w:w="108" w:type="dxa"/>
            <w:bottom w:w="0" w:type="dxa"/>
            <w:right w:w="108" w:type="dxa"/>
          </w:tblCellMar>
        </w:tblPrEx>
        <w:trPr>
          <w:trHeight w:val="285"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紧急启停开关</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电子编码，与气体灭火控制器配套使用，紧急启停气灭系统</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个</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3</w:t>
            </w:r>
          </w:p>
        </w:tc>
      </w:tr>
      <w:tr>
        <w:tblPrEx>
          <w:tblLayout w:type="fixed"/>
          <w:tblCellMar>
            <w:top w:w="0" w:type="dxa"/>
            <w:left w:w="108" w:type="dxa"/>
            <w:bottom w:w="0" w:type="dxa"/>
            <w:right w:w="108" w:type="dxa"/>
          </w:tblCellMar>
        </w:tblPrEx>
        <w:trPr>
          <w:trHeight w:val="285"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气体释放指示灯</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显示放气勿入，控制区域气体灭火启动时，提示用户放气勿入。</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个</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3</w:t>
            </w:r>
          </w:p>
        </w:tc>
      </w:tr>
      <w:tr>
        <w:tblPrEx>
          <w:tblLayout w:type="fixed"/>
          <w:tblCellMar>
            <w:top w:w="0" w:type="dxa"/>
            <w:left w:w="108" w:type="dxa"/>
            <w:bottom w:w="0" w:type="dxa"/>
            <w:right w:w="108" w:type="dxa"/>
          </w:tblCellMar>
        </w:tblPrEx>
        <w:trPr>
          <w:trHeight w:val="285"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声光报警器</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消防系统告警声光报警器</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个</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6</w:t>
            </w:r>
          </w:p>
        </w:tc>
      </w:tr>
      <w:tr>
        <w:tblPrEx>
          <w:tblLayout w:type="fixed"/>
          <w:tblCellMar>
            <w:top w:w="0" w:type="dxa"/>
            <w:left w:w="108" w:type="dxa"/>
            <w:bottom w:w="0" w:type="dxa"/>
            <w:right w:w="108" w:type="dxa"/>
          </w:tblCellMar>
        </w:tblPrEx>
        <w:trPr>
          <w:trHeight w:val="285"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电源箱</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消防系统供电电源箱</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个</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r>
      <w:tr>
        <w:tblPrEx>
          <w:tblLayout w:type="fixed"/>
          <w:tblCellMar>
            <w:top w:w="0" w:type="dxa"/>
            <w:left w:w="108" w:type="dxa"/>
            <w:bottom w:w="0" w:type="dxa"/>
            <w:right w:w="108" w:type="dxa"/>
          </w:tblCellMar>
        </w:tblPrEx>
        <w:trPr>
          <w:trHeight w:val="285"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输入输出模块</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消防联动模块</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个</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3</w:t>
            </w:r>
          </w:p>
        </w:tc>
      </w:tr>
      <w:tr>
        <w:tblPrEx>
          <w:tblLayout w:type="fixed"/>
          <w:tblCellMar>
            <w:top w:w="0" w:type="dxa"/>
            <w:left w:w="108" w:type="dxa"/>
            <w:bottom w:w="0" w:type="dxa"/>
            <w:right w:w="108" w:type="dxa"/>
          </w:tblCellMar>
        </w:tblPrEx>
        <w:trPr>
          <w:trHeight w:val="285"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配套管线</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含协同创新中心内部消防配线以及学校消防系统对接配线</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项</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r>
      <w:tr>
        <w:tblPrEx>
          <w:tblLayout w:type="fixed"/>
          <w:tblCellMar>
            <w:top w:w="0" w:type="dxa"/>
            <w:left w:w="108" w:type="dxa"/>
            <w:bottom w:w="0" w:type="dxa"/>
            <w:right w:w="108" w:type="dxa"/>
          </w:tblCellMar>
        </w:tblPrEx>
        <w:trPr>
          <w:trHeight w:val="285"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消防系统对接</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与学校现有消防系统对接，含数据中心和创新中心消防系统接入学校消防系统</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项</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r>
      <w:tr>
        <w:tblPrEx>
          <w:tblLayout w:type="fixed"/>
          <w:tblCellMar>
            <w:top w:w="0" w:type="dxa"/>
            <w:left w:w="108" w:type="dxa"/>
            <w:bottom w:w="0" w:type="dxa"/>
            <w:right w:w="108" w:type="dxa"/>
          </w:tblCellMar>
        </w:tblPrEx>
        <w:trPr>
          <w:trHeight w:val="480" w:hRule="atLeast"/>
          <w:jc w:val="center"/>
        </w:trPr>
        <w:tc>
          <w:tcPr>
            <w:tcW w:w="41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30</w:t>
            </w:r>
          </w:p>
        </w:tc>
        <w:tc>
          <w:tcPr>
            <w:tcW w:w="112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消防排风系统</w:t>
            </w: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新风换气系统</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消防排风系统，消防灭火喷出的七氟丙烷气体需要及时排出室内。采用双向流新风换气系统，送风量：≥250m³/h，适用面积：60-120㎡，含新风管道、风口、控制面板等安装配件</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套</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r>
      <w:tr>
        <w:tblPrEx>
          <w:tblLayout w:type="fixed"/>
          <w:tblCellMar>
            <w:top w:w="0" w:type="dxa"/>
            <w:left w:w="108" w:type="dxa"/>
            <w:bottom w:w="0" w:type="dxa"/>
            <w:right w:w="108" w:type="dxa"/>
          </w:tblCellMar>
        </w:tblPrEx>
        <w:trPr>
          <w:trHeight w:val="480" w:hRule="atLeast"/>
          <w:jc w:val="center"/>
        </w:trPr>
        <w:tc>
          <w:tcPr>
            <w:tcW w:w="411" w:type="dxa"/>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31</w:t>
            </w:r>
          </w:p>
        </w:tc>
        <w:tc>
          <w:tcPr>
            <w:tcW w:w="1124" w:type="dxa"/>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协同创新中心环境监测系统</w:t>
            </w: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基础设施安全网关</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将协同创新中心大环境温湿度、烟雾、漏水、空调、配电、UPS等接入智慧基础设施物联网服务平台集中管理。</w:t>
            </w:r>
          </w:p>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提供基础设施安全网关控制软件软件著作权登记证书。</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2</w:t>
            </w:r>
          </w:p>
        </w:tc>
      </w:tr>
      <w:tr>
        <w:tblPrEx>
          <w:tblLayout w:type="fixed"/>
          <w:tblCellMar>
            <w:top w:w="0" w:type="dxa"/>
            <w:left w:w="108" w:type="dxa"/>
            <w:bottom w:w="0" w:type="dxa"/>
            <w:right w:w="108" w:type="dxa"/>
          </w:tblCellMar>
        </w:tblPrEx>
        <w:trPr>
          <w:trHeight w:val="720"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线式漏水控制器</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提供1路检测线缆接口，可接入2芯专用漏水检测线缆或漏水电极片实现漏水检测功能；实时响应快，响应时间&lt;3s；监测范围广，最大检测距离可达200m；检测灵敏度由拨码开关设定，可适应不同检测水质的漏水检测；提供告警声音输出，可由拨码开关开启或关闭。支持环境主机接入管理，含接入通讯管线等配套安装组件。</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3</w:t>
            </w:r>
          </w:p>
        </w:tc>
      </w:tr>
      <w:tr>
        <w:tblPrEx>
          <w:tblLayout w:type="fixed"/>
          <w:tblCellMar>
            <w:top w:w="0" w:type="dxa"/>
            <w:left w:w="108" w:type="dxa"/>
            <w:bottom w:w="0" w:type="dxa"/>
            <w:right w:w="108" w:type="dxa"/>
          </w:tblCellMar>
        </w:tblPrEx>
        <w:trPr>
          <w:trHeight w:val="285"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感应绳</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7.5米感应绳</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条</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3</w:t>
            </w:r>
          </w:p>
        </w:tc>
      </w:tr>
      <w:tr>
        <w:tblPrEx>
          <w:tblLayout w:type="fixed"/>
          <w:tblCellMar>
            <w:top w:w="0" w:type="dxa"/>
            <w:left w:w="108" w:type="dxa"/>
            <w:bottom w:w="0" w:type="dxa"/>
            <w:right w:w="108" w:type="dxa"/>
          </w:tblCellMar>
        </w:tblPrEx>
        <w:trPr>
          <w:trHeight w:val="720"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温湿度传感器</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采用高精度数字温度传感器，要求传感器探测器件外置型；由报警主机统一供电，方便布线和安装；通信接口采用标准串口（RS485），通信协议采用MODBUS协议，支持ASCII方式。测量范围 温度： 0℃~70℃，湿度：0～100%rh；测量精度 温度：±0.5℃。支持环境主机接入管理，含接入通讯管线等配套安装组件。</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个</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7</w:t>
            </w:r>
          </w:p>
        </w:tc>
      </w:tr>
      <w:tr>
        <w:tblPrEx>
          <w:tblLayout w:type="fixed"/>
          <w:tblCellMar>
            <w:top w:w="0" w:type="dxa"/>
            <w:left w:w="108" w:type="dxa"/>
            <w:bottom w:w="0" w:type="dxa"/>
            <w:right w:w="108" w:type="dxa"/>
          </w:tblCellMar>
        </w:tblPrEx>
        <w:trPr>
          <w:trHeight w:val="480"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烟雾传感器</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有效的防虫和防尘措施。利于烟流入的效果。不受风和大气条件变化的影响。工作电压为14.5～30V DC的宽范围，适应多种控制</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个</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7</w:t>
            </w:r>
          </w:p>
        </w:tc>
      </w:tr>
      <w:tr>
        <w:tblPrEx>
          <w:tblLayout w:type="fixed"/>
          <w:tblCellMar>
            <w:top w:w="0" w:type="dxa"/>
            <w:left w:w="108" w:type="dxa"/>
            <w:bottom w:w="0" w:type="dxa"/>
            <w:right w:w="108" w:type="dxa"/>
          </w:tblCellMar>
        </w:tblPrEx>
        <w:trPr>
          <w:trHeight w:val="285" w:hRule="atLeast"/>
          <w:jc w:val="center"/>
        </w:trPr>
        <w:tc>
          <w:tcPr>
            <w:tcW w:w="411" w:type="dxa"/>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32</w:t>
            </w:r>
          </w:p>
        </w:tc>
        <w:tc>
          <w:tcPr>
            <w:tcW w:w="1124" w:type="dxa"/>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安防管理系统门禁设备</w:t>
            </w: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 xml:space="preserve">  门禁系统软件</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人脸识别门禁系统软件，B/S架构本地化部署，支持人员权限管理、门禁记录实时采集统计，含10套门禁终端接入授权。</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套</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r>
      <w:tr>
        <w:tblPrEx>
          <w:tblLayout w:type="fixed"/>
          <w:tblCellMar>
            <w:top w:w="0" w:type="dxa"/>
            <w:left w:w="108" w:type="dxa"/>
            <w:bottom w:w="0" w:type="dxa"/>
            <w:right w:w="108" w:type="dxa"/>
          </w:tblCellMar>
        </w:tblPrEx>
        <w:trPr>
          <w:trHeight w:val="720"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人脸识别门禁一体机</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安卓系统，4核CPU,2G内存，200W 1080P/30fps双摄像头，8寸全贴合触摸液晶显示屏，支持人脸+刷卡方式验证，本地存储10000人脸库，记录容量80000条，支持红外活体检测，识别速度：本地比对≤2s，后台比对≤1s，识别距离：30~80cm。含供电及通讯管线等配套安装组件。</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套</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7</w:t>
            </w:r>
          </w:p>
        </w:tc>
      </w:tr>
      <w:tr>
        <w:tblPrEx>
          <w:tblLayout w:type="fixed"/>
          <w:tblCellMar>
            <w:top w:w="0" w:type="dxa"/>
            <w:left w:w="108" w:type="dxa"/>
            <w:bottom w:w="0" w:type="dxa"/>
            <w:right w:w="108" w:type="dxa"/>
          </w:tblCellMar>
        </w:tblPrEx>
        <w:trPr>
          <w:trHeight w:val="285"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磁力锁</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280KG双门磁力锁，含锁体及安装支架，含供电及通讯管线等配套安装组件。</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把</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3</w:t>
            </w:r>
          </w:p>
        </w:tc>
      </w:tr>
      <w:tr>
        <w:tblPrEx>
          <w:tblLayout w:type="fixed"/>
          <w:tblCellMar>
            <w:top w:w="0" w:type="dxa"/>
            <w:left w:w="108" w:type="dxa"/>
            <w:bottom w:w="0" w:type="dxa"/>
            <w:right w:w="108" w:type="dxa"/>
          </w:tblCellMar>
        </w:tblPrEx>
        <w:trPr>
          <w:trHeight w:val="285"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感应式开门按钮</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红外感应开关，86底盒安装，含供电及通讯管线等配套安装组件。</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个</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3</w:t>
            </w:r>
          </w:p>
        </w:tc>
      </w:tr>
      <w:tr>
        <w:tblPrEx>
          <w:tblLayout w:type="fixed"/>
          <w:tblCellMar>
            <w:top w:w="0" w:type="dxa"/>
            <w:left w:w="108" w:type="dxa"/>
            <w:bottom w:w="0" w:type="dxa"/>
            <w:right w:w="108" w:type="dxa"/>
          </w:tblCellMar>
        </w:tblPrEx>
        <w:trPr>
          <w:trHeight w:val="285"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门禁专用电源</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输入电压：180-240VAC；输出电压：12VDC；最大输出电流：5A；适用范围：电锁专用电源，含供电管线等配套安装组件。</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个</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3</w:t>
            </w:r>
          </w:p>
        </w:tc>
      </w:tr>
      <w:tr>
        <w:tblPrEx>
          <w:tblLayout w:type="fixed"/>
          <w:tblCellMar>
            <w:top w:w="0" w:type="dxa"/>
            <w:left w:w="108" w:type="dxa"/>
            <w:bottom w:w="0" w:type="dxa"/>
            <w:right w:w="108" w:type="dxa"/>
          </w:tblCellMar>
        </w:tblPrEx>
        <w:trPr>
          <w:trHeight w:val="285" w:hRule="atLeast"/>
          <w:jc w:val="center"/>
        </w:trPr>
        <w:tc>
          <w:tcPr>
            <w:tcW w:w="411" w:type="dxa"/>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33</w:t>
            </w:r>
          </w:p>
        </w:tc>
        <w:tc>
          <w:tcPr>
            <w:tcW w:w="1124" w:type="dxa"/>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安防管理系统视频监控设备</w:t>
            </w: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400W红外半球</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400W高清，红外夜视，支持POE H.265编码，含供电及通讯管线等配套安装组件。</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8</w:t>
            </w:r>
          </w:p>
        </w:tc>
      </w:tr>
      <w:tr>
        <w:tblPrEx>
          <w:tblLayout w:type="fixed"/>
          <w:tblCellMar>
            <w:top w:w="0" w:type="dxa"/>
            <w:left w:w="108" w:type="dxa"/>
            <w:bottom w:w="0" w:type="dxa"/>
            <w:right w:w="108" w:type="dxa"/>
          </w:tblCellMar>
        </w:tblPrEx>
        <w:trPr>
          <w:trHeight w:val="285"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硬盘录像机</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8路高清网络硬盘录像机，NVR主机,4盘位，8路POE供电。含供电及通讯管线等配套安装组件。</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r>
      <w:tr>
        <w:tblPrEx>
          <w:tblLayout w:type="fixed"/>
          <w:tblCellMar>
            <w:top w:w="0" w:type="dxa"/>
            <w:left w:w="108" w:type="dxa"/>
            <w:bottom w:w="0" w:type="dxa"/>
            <w:right w:w="108" w:type="dxa"/>
          </w:tblCellMar>
        </w:tblPrEx>
        <w:trPr>
          <w:trHeight w:val="285"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监控硬盘</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6T,监控专用高清硬盘</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块</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4</w:t>
            </w:r>
          </w:p>
        </w:tc>
      </w:tr>
      <w:tr>
        <w:tblPrEx>
          <w:tblLayout w:type="fixed"/>
          <w:tblCellMar>
            <w:top w:w="0" w:type="dxa"/>
            <w:left w:w="108" w:type="dxa"/>
            <w:bottom w:w="0" w:type="dxa"/>
            <w:right w:w="108" w:type="dxa"/>
          </w:tblCellMar>
        </w:tblPrEx>
        <w:trPr>
          <w:trHeight w:val="480"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48口千兆交换机</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交换容量：432Gbps/4.32Tbps；包转发率（整机）：87Mpps/166Mpps；端口描述：48个10/100/1000Base-T自适应以太网端口，4个千兆SFP口。含2个千兆多模光模块</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r>
      <w:tr>
        <w:tblPrEx>
          <w:tblLayout w:type="fixed"/>
          <w:tblCellMar>
            <w:top w:w="0" w:type="dxa"/>
            <w:left w:w="108" w:type="dxa"/>
            <w:bottom w:w="0" w:type="dxa"/>
            <w:right w:w="108" w:type="dxa"/>
          </w:tblCellMar>
        </w:tblPrEx>
        <w:trPr>
          <w:trHeight w:val="285" w:hRule="atLeast"/>
          <w:jc w:val="center"/>
        </w:trPr>
        <w:tc>
          <w:tcPr>
            <w:tcW w:w="411" w:type="dxa"/>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34</w:t>
            </w:r>
          </w:p>
        </w:tc>
        <w:tc>
          <w:tcPr>
            <w:tcW w:w="1124" w:type="dxa"/>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动力照明管理系统</w:t>
            </w: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LED平板灯</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规格：600*600超薄LED平板灯；30-40瓦，含灯具安装配套管线，电源线采用BV 2.5mm²、线管采用KBG20或KBG25。</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套</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19</w:t>
            </w:r>
          </w:p>
        </w:tc>
      </w:tr>
      <w:tr>
        <w:tblPrEx>
          <w:tblLayout w:type="fixed"/>
          <w:tblCellMar>
            <w:top w:w="0" w:type="dxa"/>
            <w:left w:w="108" w:type="dxa"/>
            <w:bottom w:w="0" w:type="dxa"/>
            <w:right w:w="108" w:type="dxa"/>
          </w:tblCellMar>
        </w:tblPrEx>
        <w:trPr>
          <w:trHeight w:val="480"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应急疏散地标灯</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应急疏散指示灯，全不锈钢灯面，嵌入式安装，直径160mm，90min，含灯具安装配套管线，电源线采用BV 2.5mm²、线管采用KBG20或KBG25。</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个</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14</w:t>
            </w:r>
          </w:p>
        </w:tc>
      </w:tr>
      <w:tr>
        <w:tblPrEx>
          <w:tblLayout w:type="fixed"/>
          <w:tblCellMar>
            <w:top w:w="0" w:type="dxa"/>
            <w:left w:w="108" w:type="dxa"/>
            <w:bottom w:w="0" w:type="dxa"/>
            <w:right w:w="108" w:type="dxa"/>
          </w:tblCellMar>
        </w:tblPrEx>
        <w:trPr>
          <w:trHeight w:val="285"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应急疏散指示灯</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应急疏散指示灯，不锈钢灯面，90min，含灯具安装配套管线，电源线采用BV 2.5mm²、线管采用KBG20或KBG25。</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套</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3</w:t>
            </w:r>
          </w:p>
        </w:tc>
      </w:tr>
      <w:tr>
        <w:tblPrEx>
          <w:tblLayout w:type="fixed"/>
          <w:tblCellMar>
            <w:top w:w="0" w:type="dxa"/>
            <w:left w:w="108" w:type="dxa"/>
            <w:bottom w:w="0" w:type="dxa"/>
            <w:right w:w="108" w:type="dxa"/>
          </w:tblCellMar>
        </w:tblPrEx>
        <w:trPr>
          <w:trHeight w:val="285"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照明控制开关</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86型照明开关，含安装配套管线，电源线采用BV 2.5mm²、线管采用KBG20或KBG25。</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个</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3</w:t>
            </w:r>
          </w:p>
        </w:tc>
      </w:tr>
      <w:tr>
        <w:tblPrEx>
          <w:tblLayout w:type="fixed"/>
          <w:tblCellMar>
            <w:top w:w="0" w:type="dxa"/>
            <w:left w:w="108" w:type="dxa"/>
            <w:bottom w:w="0" w:type="dxa"/>
            <w:right w:w="108" w:type="dxa"/>
          </w:tblCellMar>
        </w:tblPrEx>
        <w:trPr>
          <w:trHeight w:val="285"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墙面3+2插座</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220V/10A，5孔，含灯具安装配套管线，电源线采用BV 4.0mm²、线管采用KBG20或KBG25。</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个</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16</w:t>
            </w:r>
          </w:p>
        </w:tc>
      </w:tr>
      <w:tr>
        <w:tblPrEx>
          <w:tblLayout w:type="fixed"/>
          <w:tblCellMar>
            <w:top w:w="0" w:type="dxa"/>
            <w:left w:w="108" w:type="dxa"/>
            <w:bottom w:w="0" w:type="dxa"/>
            <w:right w:w="108" w:type="dxa"/>
          </w:tblCellMar>
        </w:tblPrEx>
        <w:trPr>
          <w:trHeight w:val="285" w:hRule="atLeast"/>
          <w:jc w:val="center"/>
        </w:trPr>
        <w:tc>
          <w:tcPr>
            <w:tcW w:w="411" w:type="dxa"/>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35</w:t>
            </w:r>
          </w:p>
        </w:tc>
        <w:tc>
          <w:tcPr>
            <w:tcW w:w="1124" w:type="dxa"/>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协同创新中心市电输入配线管理组件</w:t>
            </w: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市电输入电缆</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市电总输入配电，采用双路供电配线，含YJV 4*120+1*70mm²电缆及安装配件</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米</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200</w:t>
            </w:r>
          </w:p>
        </w:tc>
      </w:tr>
      <w:tr>
        <w:tblPrEx>
          <w:tblLayout w:type="fixed"/>
          <w:tblCellMar>
            <w:top w:w="0" w:type="dxa"/>
            <w:left w:w="108" w:type="dxa"/>
            <w:bottom w:w="0" w:type="dxa"/>
            <w:right w:w="108" w:type="dxa"/>
          </w:tblCellMar>
        </w:tblPrEx>
        <w:trPr>
          <w:trHeight w:val="285"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封闭式走线架</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200*100*1.2mm国标封闭桥架，含配件</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米</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100</w:t>
            </w:r>
          </w:p>
        </w:tc>
      </w:tr>
      <w:tr>
        <w:tblPrEx>
          <w:tblLayout w:type="fixed"/>
          <w:tblCellMar>
            <w:top w:w="0" w:type="dxa"/>
            <w:left w:w="108" w:type="dxa"/>
            <w:bottom w:w="0" w:type="dxa"/>
            <w:right w:w="108" w:type="dxa"/>
          </w:tblCellMar>
        </w:tblPrEx>
        <w:trPr>
          <w:trHeight w:val="285" w:hRule="atLeast"/>
          <w:jc w:val="center"/>
        </w:trPr>
        <w:tc>
          <w:tcPr>
            <w:tcW w:w="411" w:type="dxa"/>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36</w:t>
            </w:r>
          </w:p>
        </w:tc>
        <w:tc>
          <w:tcPr>
            <w:tcW w:w="1124" w:type="dxa"/>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协同创新中心UPS输入输出配线管理组件</w:t>
            </w: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UPS输入输出电缆</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UPS输入输出配电，采用双路供电配线，含YJV 4*120+1*70mm²电缆及安装配件</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米</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60</w:t>
            </w:r>
          </w:p>
        </w:tc>
      </w:tr>
      <w:tr>
        <w:tblPrEx>
          <w:tblLayout w:type="fixed"/>
          <w:tblCellMar>
            <w:top w:w="0" w:type="dxa"/>
            <w:left w:w="108" w:type="dxa"/>
            <w:bottom w:w="0" w:type="dxa"/>
            <w:right w:w="108" w:type="dxa"/>
          </w:tblCellMar>
        </w:tblPrEx>
        <w:trPr>
          <w:trHeight w:val="285"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精密配电柜供电电缆</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精密配电柜供配电，采用双路供电配线，含YJV 4*70+1*35mm²电缆及安装配件</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米</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50</w:t>
            </w:r>
          </w:p>
        </w:tc>
      </w:tr>
      <w:tr>
        <w:tblPrEx>
          <w:tblLayout w:type="fixed"/>
          <w:tblCellMar>
            <w:top w:w="0" w:type="dxa"/>
            <w:left w:w="108" w:type="dxa"/>
            <w:bottom w:w="0" w:type="dxa"/>
            <w:right w:w="108" w:type="dxa"/>
          </w:tblCellMar>
        </w:tblPrEx>
        <w:trPr>
          <w:trHeight w:val="285" w:hRule="atLeast"/>
          <w:jc w:val="center"/>
        </w:trPr>
        <w:tc>
          <w:tcPr>
            <w:tcW w:w="411" w:type="dxa"/>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37</w:t>
            </w:r>
          </w:p>
        </w:tc>
        <w:tc>
          <w:tcPr>
            <w:tcW w:w="1124" w:type="dxa"/>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机柜电力配线组件</w:t>
            </w: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机柜供电电缆</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智能PDU电源管理器配电，含RVV 3*6mm2电缆及安装配件</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米</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1300</w:t>
            </w:r>
          </w:p>
        </w:tc>
      </w:tr>
      <w:tr>
        <w:tblPrEx>
          <w:tblLayout w:type="fixed"/>
          <w:tblCellMar>
            <w:top w:w="0" w:type="dxa"/>
            <w:left w:w="108" w:type="dxa"/>
            <w:bottom w:w="0" w:type="dxa"/>
            <w:right w:w="108" w:type="dxa"/>
          </w:tblCellMar>
        </w:tblPrEx>
        <w:trPr>
          <w:trHeight w:val="285"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精密空调供电电缆</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精密空调供电，含YJV 4*10+1*6mm²电缆及安装配件</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米</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35</w:t>
            </w:r>
          </w:p>
        </w:tc>
      </w:tr>
      <w:tr>
        <w:tblPrEx>
          <w:tblLayout w:type="fixed"/>
          <w:tblCellMar>
            <w:top w:w="0" w:type="dxa"/>
            <w:left w:w="108" w:type="dxa"/>
            <w:bottom w:w="0" w:type="dxa"/>
            <w:right w:w="108" w:type="dxa"/>
          </w:tblCellMar>
        </w:tblPrEx>
        <w:trPr>
          <w:trHeight w:val="285"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环境空调供电电缆</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环境空调供电，含RVV 5*6mm²电缆及安装配件</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米</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120</w:t>
            </w:r>
          </w:p>
        </w:tc>
      </w:tr>
      <w:tr>
        <w:tblPrEx>
          <w:tblLayout w:type="fixed"/>
          <w:tblCellMar>
            <w:top w:w="0" w:type="dxa"/>
            <w:left w:w="108" w:type="dxa"/>
            <w:bottom w:w="0" w:type="dxa"/>
            <w:right w:w="108" w:type="dxa"/>
          </w:tblCellMar>
        </w:tblPrEx>
        <w:trPr>
          <w:trHeight w:val="480" w:hRule="atLeast"/>
          <w:jc w:val="center"/>
        </w:trPr>
        <w:tc>
          <w:tcPr>
            <w:tcW w:w="411" w:type="dxa"/>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38</w:t>
            </w:r>
          </w:p>
        </w:tc>
        <w:tc>
          <w:tcPr>
            <w:tcW w:w="1124" w:type="dxa"/>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防雷接地设备</w:t>
            </w: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防浪涌保护器</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 xml:space="preserve">标称电压Un230V～  最大持续运行工作电压Uc385V～ ，最大放电电流Imax(8/20us)65KA，标称放电电In(8/20us)40KA，电压保水平Up≤2.0KV，响应时间≤25ns，IP等级  IP20  </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套</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r>
      <w:tr>
        <w:tblPrEx>
          <w:tblLayout w:type="fixed"/>
          <w:tblCellMar>
            <w:top w:w="0" w:type="dxa"/>
            <w:left w:w="108" w:type="dxa"/>
            <w:bottom w:w="0" w:type="dxa"/>
            <w:right w:w="108" w:type="dxa"/>
          </w:tblCellMar>
        </w:tblPrEx>
        <w:trPr>
          <w:trHeight w:val="480"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防浪涌保护器</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 xml:space="preserve">标称电压Un230V～  最大持续运行工作电压Uc385V～ ，最大放电电流Imax(8/20us)40KA，标称放电电In(8/20us)25KA，电压保水平Up≤2.0KV，响应时间≤25ns，IP等级  IP20    </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套</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5</w:t>
            </w:r>
          </w:p>
        </w:tc>
      </w:tr>
      <w:tr>
        <w:tblPrEx>
          <w:tblLayout w:type="fixed"/>
          <w:tblCellMar>
            <w:top w:w="0" w:type="dxa"/>
            <w:left w:w="108" w:type="dxa"/>
            <w:bottom w:w="0" w:type="dxa"/>
            <w:right w:w="108" w:type="dxa"/>
          </w:tblCellMar>
        </w:tblPrEx>
        <w:trPr>
          <w:trHeight w:val="285"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等电位联结端子箱</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等电位联结端子箱，含铜排等配件</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套</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r>
      <w:tr>
        <w:tblPrEx>
          <w:tblLayout w:type="fixed"/>
          <w:tblCellMar>
            <w:top w:w="0" w:type="dxa"/>
            <w:left w:w="108" w:type="dxa"/>
            <w:bottom w:w="0" w:type="dxa"/>
            <w:right w:w="108" w:type="dxa"/>
          </w:tblCellMar>
        </w:tblPrEx>
        <w:trPr>
          <w:trHeight w:val="285"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等电位接地铜排</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规格、型号：40*4mm铜排；参数：40*4mm铜排，含配套固定螺栓、绝缘子等配套安装组件</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m</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65</w:t>
            </w:r>
          </w:p>
        </w:tc>
      </w:tr>
      <w:tr>
        <w:tblPrEx>
          <w:tblLayout w:type="fixed"/>
          <w:tblCellMar>
            <w:top w:w="0" w:type="dxa"/>
            <w:left w:w="108" w:type="dxa"/>
            <w:bottom w:w="0" w:type="dxa"/>
            <w:right w:w="108" w:type="dxa"/>
          </w:tblCellMar>
        </w:tblPrEx>
        <w:trPr>
          <w:trHeight w:val="285"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静电释放系统</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规格、型号：BVR4mm²、6mm²、10mm²、25mm²；参数：BVR4mm²、6mm²、10mm²、25mm²、35mm²</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m2</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130</w:t>
            </w:r>
          </w:p>
        </w:tc>
      </w:tr>
      <w:tr>
        <w:tblPrEx>
          <w:tblLayout w:type="fixed"/>
          <w:tblCellMar>
            <w:top w:w="0" w:type="dxa"/>
            <w:left w:w="108" w:type="dxa"/>
            <w:bottom w:w="0" w:type="dxa"/>
            <w:right w:w="108" w:type="dxa"/>
          </w:tblCellMar>
        </w:tblPrEx>
        <w:trPr>
          <w:trHeight w:val="480" w:hRule="atLeast"/>
          <w:jc w:val="center"/>
        </w:trPr>
        <w:tc>
          <w:tcPr>
            <w:tcW w:w="411" w:type="dxa"/>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39</w:t>
            </w:r>
          </w:p>
        </w:tc>
        <w:tc>
          <w:tcPr>
            <w:tcW w:w="1124" w:type="dxa"/>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协同创新中心运维管理终端设备</w:t>
            </w: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运维展示终端</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金属全面屏55英寸，支持4K超高清，CPU核数：四核芯，内存：4GB，存储：64GB,具有HDMI高清接口*3，USB接口*1，支持有线和WIFI网络连接。含运维展示终端嵌入式程序，含运维展示终端定制墙装支架。</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4</w:t>
            </w:r>
          </w:p>
        </w:tc>
      </w:tr>
      <w:tr>
        <w:tblPrEx>
          <w:tblLayout w:type="fixed"/>
          <w:tblCellMar>
            <w:top w:w="0" w:type="dxa"/>
            <w:left w:w="108" w:type="dxa"/>
            <w:bottom w:w="0" w:type="dxa"/>
            <w:right w:w="108" w:type="dxa"/>
          </w:tblCellMar>
        </w:tblPrEx>
        <w:trPr>
          <w:trHeight w:val="480"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便携式运维终端</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协同创新中心移动运维管理终端，含运维管理终端软件。屏幕尺寸13.9英寸，屏幕比例3:2，分辨率≥3000*2000像素，视角≥178度，铝合金机身</w:t>
            </w:r>
            <w:r>
              <w:rPr>
                <w:rStyle w:val="31"/>
                <w:rFonts w:hint="eastAsia"/>
                <w:color w:val="auto"/>
                <w:highlight w:val="none"/>
              </w:rPr>
              <w:t>，</w:t>
            </w:r>
            <w:r>
              <w:rPr>
                <w:rFonts w:hint="eastAsia" w:ascii="宋体" w:hAnsi="宋体" w:cs="宋体"/>
                <w:color w:val="auto"/>
                <w:kern w:val="0"/>
                <w:sz w:val="20"/>
                <w:szCs w:val="20"/>
                <w:highlight w:val="none"/>
              </w:rPr>
              <w:t>全面屏，10点触控，防指纹，配置不低于i7-10510U处理器,16GB内存，512GB固态硬盘，独显 Nvidia MX250，电池容量56Wh。</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套</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3</w:t>
            </w:r>
          </w:p>
        </w:tc>
      </w:tr>
      <w:tr>
        <w:tblPrEx>
          <w:tblLayout w:type="fixed"/>
          <w:tblCellMar>
            <w:top w:w="0" w:type="dxa"/>
            <w:left w:w="108" w:type="dxa"/>
            <w:bottom w:w="0" w:type="dxa"/>
            <w:right w:w="108" w:type="dxa"/>
          </w:tblCellMar>
        </w:tblPrEx>
        <w:trPr>
          <w:trHeight w:val="285" w:hRule="atLeast"/>
          <w:jc w:val="center"/>
        </w:trPr>
        <w:tc>
          <w:tcPr>
            <w:tcW w:w="411"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124" w:type="dxa"/>
            <w:vMerge w:val="continue"/>
            <w:tcBorders>
              <w:top w:val="nil"/>
              <w:left w:val="single" w:color="auto" w:sz="4" w:space="0"/>
              <w:bottom w:val="single" w:color="000000"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投影仪幕布</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120英寸16:9投影幕，金属幕</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套</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r>
      <w:tr>
        <w:tblPrEx>
          <w:tblLayout w:type="fixed"/>
          <w:tblCellMar>
            <w:top w:w="0" w:type="dxa"/>
            <w:left w:w="108" w:type="dxa"/>
            <w:bottom w:w="0" w:type="dxa"/>
            <w:right w:w="108" w:type="dxa"/>
          </w:tblCellMar>
        </w:tblPrEx>
        <w:trPr>
          <w:trHeight w:val="480" w:hRule="atLeast"/>
          <w:jc w:val="center"/>
        </w:trPr>
        <w:tc>
          <w:tcPr>
            <w:tcW w:w="41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40</w:t>
            </w:r>
          </w:p>
        </w:tc>
        <w:tc>
          <w:tcPr>
            <w:tcW w:w="112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协同创新中心运维管理终端配套组件</w:t>
            </w: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运维管理终端配套组件</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配套电源线、网线、高清线及配套安装辅材。</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项</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r>
      <w:tr>
        <w:tblPrEx>
          <w:tblLayout w:type="fixed"/>
          <w:tblCellMar>
            <w:top w:w="0" w:type="dxa"/>
            <w:left w:w="108" w:type="dxa"/>
            <w:bottom w:w="0" w:type="dxa"/>
            <w:right w:w="108" w:type="dxa"/>
          </w:tblCellMar>
        </w:tblPrEx>
        <w:trPr>
          <w:trHeight w:val="285" w:hRule="atLeast"/>
          <w:jc w:val="center"/>
        </w:trPr>
        <w:tc>
          <w:tcPr>
            <w:tcW w:w="41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41</w:t>
            </w:r>
          </w:p>
        </w:tc>
        <w:tc>
          <w:tcPr>
            <w:tcW w:w="112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安装调试及服务</w:t>
            </w:r>
          </w:p>
        </w:tc>
        <w:tc>
          <w:tcPr>
            <w:tcW w:w="153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安装调试及服务</w:t>
            </w:r>
          </w:p>
        </w:tc>
        <w:tc>
          <w:tcPr>
            <w:tcW w:w="543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安装调试及服务</w:t>
            </w:r>
          </w:p>
        </w:tc>
        <w:tc>
          <w:tcPr>
            <w:tcW w:w="51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项</w:t>
            </w:r>
          </w:p>
        </w:tc>
        <w:tc>
          <w:tcPr>
            <w:tcW w:w="60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r>
    </w:tbl>
    <w:p>
      <w:pPr>
        <w:pStyle w:val="2"/>
        <w:spacing w:line="288" w:lineRule="auto"/>
        <w:ind w:firstLine="0"/>
        <w:rPr>
          <w:rFonts w:hAnsi="宋体"/>
          <w:color w:val="auto"/>
          <w:sz w:val="21"/>
          <w:szCs w:val="21"/>
          <w:highlight w:val="none"/>
        </w:rPr>
      </w:pPr>
    </w:p>
    <w:p>
      <w:pPr>
        <w:pStyle w:val="2"/>
        <w:spacing w:line="288" w:lineRule="auto"/>
        <w:ind w:firstLine="406" w:firstLineChars="200"/>
        <w:rPr>
          <w:rFonts w:hAnsi="宋体"/>
          <w:b/>
          <w:bCs/>
          <w:color w:val="auto"/>
          <w:sz w:val="21"/>
          <w:szCs w:val="21"/>
          <w:highlight w:val="none"/>
        </w:rPr>
      </w:pPr>
      <w:r>
        <w:rPr>
          <w:rFonts w:hint="eastAsia" w:hAnsi="宋体"/>
          <w:b/>
          <w:bCs/>
          <w:color w:val="auto"/>
          <w:sz w:val="21"/>
          <w:szCs w:val="21"/>
          <w:highlight w:val="none"/>
        </w:rPr>
        <w:t>5.</w:t>
      </w:r>
      <w:r>
        <w:rPr>
          <w:rFonts w:hAnsi="宋体"/>
          <w:b/>
          <w:bCs/>
          <w:color w:val="auto"/>
          <w:sz w:val="21"/>
          <w:szCs w:val="21"/>
          <w:highlight w:val="none"/>
        </w:rPr>
        <w:t>系统集成要求</w:t>
      </w:r>
    </w:p>
    <w:p>
      <w:pPr>
        <w:pStyle w:val="2"/>
        <w:spacing w:line="288" w:lineRule="auto"/>
        <w:ind w:firstLine="404" w:firstLineChars="200"/>
        <w:rPr>
          <w:rFonts w:hAnsi="宋体"/>
          <w:color w:val="auto"/>
          <w:sz w:val="21"/>
          <w:szCs w:val="21"/>
          <w:highlight w:val="none"/>
        </w:rPr>
      </w:pPr>
      <w:r>
        <w:rPr>
          <w:rFonts w:hint="eastAsia" w:hAnsi="宋体"/>
          <w:color w:val="auto"/>
          <w:sz w:val="21"/>
          <w:szCs w:val="21"/>
          <w:highlight w:val="none"/>
        </w:rPr>
        <w:t>5</w:t>
      </w:r>
      <w:r>
        <w:rPr>
          <w:rFonts w:hAnsi="宋体"/>
          <w:color w:val="auto"/>
          <w:sz w:val="21"/>
          <w:szCs w:val="21"/>
          <w:highlight w:val="none"/>
        </w:rPr>
        <w:t>.1协同创新中心系统集成要求</w:t>
      </w:r>
    </w:p>
    <w:p>
      <w:pPr>
        <w:pStyle w:val="2"/>
        <w:spacing w:line="288" w:lineRule="auto"/>
        <w:ind w:firstLine="404" w:firstLineChars="200"/>
        <w:rPr>
          <w:rFonts w:hAnsi="宋体"/>
          <w:b/>
          <w:color w:val="auto"/>
          <w:sz w:val="21"/>
          <w:szCs w:val="21"/>
          <w:highlight w:val="none"/>
        </w:rPr>
      </w:pPr>
      <w:r>
        <w:rPr>
          <w:rFonts w:hAnsi="宋体"/>
          <w:color w:val="auto"/>
          <w:sz w:val="21"/>
          <w:szCs w:val="21"/>
          <w:highlight w:val="none"/>
        </w:rPr>
        <w:t>投标人须提供协同创新中心公共资源管理平台各功能模块详细集成方案、相关系统图</w:t>
      </w:r>
      <w:r>
        <w:rPr>
          <w:rFonts w:hint="eastAsia" w:hAnsi="宋体"/>
          <w:color w:val="auto"/>
          <w:sz w:val="21"/>
          <w:szCs w:val="21"/>
          <w:highlight w:val="none"/>
        </w:rPr>
        <w:t>。</w:t>
      </w:r>
      <w:r>
        <w:rPr>
          <w:rFonts w:hint="eastAsia" w:hAnsi="宋体"/>
          <w:b/>
          <w:color w:val="auto"/>
          <w:sz w:val="21"/>
          <w:szCs w:val="21"/>
          <w:highlight w:val="none"/>
        </w:rPr>
        <w:t>提供模块化数据中心检测报告，</w:t>
      </w:r>
      <w:r>
        <w:rPr>
          <w:rFonts w:hAnsi="宋体"/>
          <w:b/>
          <w:color w:val="auto"/>
          <w:sz w:val="21"/>
          <w:szCs w:val="21"/>
          <w:highlight w:val="none"/>
        </w:rPr>
        <w:t>投标人须结合现有数据中心综合管理平台的实际情况，在此基础上实现协同创新中心与现有数据中心之间的无缝融合，保证本次协同创新中心与现有数据中心统一管理</w:t>
      </w:r>
      <w:r>
        <w:rPr>
          <w:rFonts w:hint="eastAsia" w:hAnsi="宋体"/>
          <w:b/>
          <w:color w:val="auto"/>
          <w:sz w:val="21"/>
          <w:szCs w:val="21"/>
          <w:highlight w:val="none"/>
        </w:rPr>
        <w:t>，实现UPS给协同创新中心及现有数据中心双向供电</w:t>
      </w:r>
      <w:r>
        <w:rPr>
          <w:rFonts w:hAnsi="宋体"/>
          <w:b/>
          <w:color w:val="auto"/>
          <w:sz w:val="21"/>
          <w:szCs w:val="21"/>
          <w:highlight w:val="none"/>
        </w:rPr>
        <w:t>。</w:t>
      </w:r>
    </w:p>
    <w:p>
      <w:pPr>
        <w:pStyle w:val="2"/>
        <w:spacing w:line="288" w:lineRule="auto"/>
        <w:ind w:firstLine="404" w:firstLineChars="200"/>
        <w:rPr>
          <w:rFonts w:hAnsi="宋体"/>
          <w:color w:val="auto"/>
          <w:sz w:val="21"/>
          <w:szCs w:val="21"/>
          <w:highlight w:val="none"/>
        </w:rPr>
      </w:pPr>
      <w:r>
        <w:rPr>
          <w:rFonts w:hint="eastAsia" w:hAnsi="宋体"/>
          <w:color w:val="auto"/>
          <w:sz w:val="21"/>
          <w:szCs w:val="21"/>
          <w:highlight w:val="none"/>
        </w:rPr>
        <w:t>5</w:t>
      </w:r>
      <w:r>
        <w:rPr>
          <w:rFonts w:hAnsi="宋体"/>
          <w:color w:val="auto"/>
          <w:sz w:val="21"/>
          <w:szCs w:val="21"/>
          <w:highlight w:val="none"/>
        </w:rPr>
        <w:t>.2项目组要求</w:t>
      </w:r>
    </w:p>
    <w:p>
      <w:pPr>
        <w:pStyle w:val="2"/>
        <w:spacing w:line="288" w:lineRule="auto"/>
        <w:ind w:firstLine="404" w:firstLineChars="200"/>
        <w:rPr>
          <w:rFonts w:hAnsi="宋体"/>
          <w:color w:val="auto"/>
          <w:sz w:val="21"/>
          <w:szCs w:val="21"/>
          <w:highlight w:val="none"/>
        </w:rPr>
      </w:pPr>
      <w:r>
        <w:rPr>
          <w:rFonts w:hAnsi="宋体"/>
          <w:color w:val="auto"/>
          <w:sz w:val="21"/>
          <w:szCs w:val="21"/>
          <w:highlight w:val="none"/>
        </w:rPr>
        <w:t>投标人应在系统实施方案中具体描述保障工期的人力资源安排计划，投标人</w:t>
      </w:r>
      <w:r>
        <w:rPr>
          <w:rFonts w:hint="eastAsia" w:hAnsi="宋体"/>
          <w:color w:val="auto"/>
          <w:sz w:val="21"/>
          <w:szCs w:val="21"/>
          <w:highlight w:val="none"/>
        </w:rPr>
        <w:t>投入本项目实施的人员不</w:t>
      </w:r>
      <w:r>
        <w:rPr>
          <w:rFonts w:hAnsi="宋体"/>
          <w:color w:val="auto"/>
          <w:sz w:val="21"/>
          <w:szCs w:val="21"/>
          <w:highlight w:val="none"/>
        </w:rPr>
        <w:t>少于10人。</w:t>
      </w:r>
    </w:p>
    <w:p>
      <w:pPr>
        <w:pStyle w:val="2"/>
        <w:spacing w:line="288" w:lineRule="auto"/>
        <w:ind w:firstLine="404" w:firstLineChars="200"/>
        <w:rPr>
          <w:rFonts w:hAnsi="宋体"/>
          <w:color w:val="auto"/>
          <w:sz w:val="21"/>
          <w:szCs w:val="21"/>
          <w:highlight w:val="none"/>
        </w:rPr>
      </w:pPr>
      <w:r>
        <w:rPr>
          <w:rFonts w:hint="eastAsia" w:hAnsi="宋体"/>
          <w:color w:val="auto"/>
          <w:sz w:val="21"/>
          <w:szCs w:val="21"/>
          <w:highlight w:val="none"/>
        </w:rPr>
        <w:t>5</w:t>
      </w:r>
      <w:r>
        <w:rPr>
          <w:rFonts w:hAnsi="宋体"/>
          <w:color w:val="auto"/>
          <w:sz w:val="21"/>
          <w:szCs w:val="21"/>
          <w:highlight w:val="none"/>
        </w:rPr>
        <w:t>.3项目实施要求</w:t>
      </w:r>
    </w:p>
    <w:p>
      <w:pPr>
        <w:pStyle w:val="2"/>
        <w:spacing w:line="288" w:lineRule="auto"/>
        <w:ind w:firstLine="404" w:firstLineChars="200"/>
        <w:rPr>
          <w:rFonts w:hAnsi="宋体"/>
          <w:color w:val="auto"/>
          <w:sz w:val="21"/>
          <w:szCs w:val="21"/>
          <w:highlight w:val="none"/>
        </w:rPr>
      </w:pPr>
      <w:r>
        <w:rPr>
          <w:rFonts w:hAnsi="宋体"/>
          <w:color w:val="auto"/>
          <w:sz w:val="21"/>
          <w:szCs w:val="21"/>
          <w:highlight w:val="none"/>
        </w:rPr>
        <w:t>为保证项目能够顺利实施，对投标人具有下列要求：</w:t>
      </w:r>
    </w:p>
    <w:p>
      <w:pPr>
        <w:pStyle w:val="2"/>
        <w:spacing w:line="288" w:lineRule="auto"/>
        <w:ind w:firstLine="404" w:firstLineChars="200"/>
        <w:rPr>
          <w:rFonts w:hAnsi="宋体"/>
          <w:color w:val="auto"/>
          <w:sz w:val="21"/>
          <w:szCs w:val="21"/>
          <w:highlight w:val="none"/>
        </w:rPr>
      </w:pPr>
      <w:r>
        <w:rPr>
          <w:rFonts w:hAnsi="宋体"/>
          <w:color w:val="auto"/>
          <w:sz w:val="21"/>
          <w:szCs w:val="21"/>
          <w:highlight w:val="none"/>
        </w:rPr>
        <w:t>实施方案要求：实施方案要求契合</w:t>
      </w:r>
      <w:r>
        <w:rPr>
          <w:rFonts w:hint="eastAsia" w:hAnsi="宋体"/>
          <w:color w:val="auto"/>
          <w:sz w:val="21"/>
          <w:szCs w:val="21"/>
          <w:highlight w:val="none"/>
        </w:rPr>
        <w:t>采购人</w:t>
      </w:r>
      <w:r>
        <w:rPr>
          <w:rFonts w:hAnsi="宋体"/>
          <w:color w:val="auto"/>
          <w:sz w:val="21"/>
          <w:szCs w:val="21"/>
          <w:highlight w:val="none"/>
        </w:rPr>
        <w:t>协同创新中心实施过程的实际情况，结合日常教学、办公管理，与现有数据中心互联情况，保障项目实施能够按项目计划进行。</w:t>
      </w:r>
    </w:p>
    <w:p>
      <w:pPr>
        <w:pStyle w:val="2"/>
        <w:spacing w:line="288" w:lineRule="auto"/>
        <w:ind w:firstLine="404" w:firstLineChars="200"/>
        <w:rPr>
          <w:rFonts w:hAnsi="宋体"/>
          <w:color w:val="auto"/>
          <w:sz w:val="21"/>
          <w:szCs w:val="21"/>
          <w:highlight w:val="none"/>
        </w:rPr>
      </w:pPr>
      <w:r>
        <w:rPr>
          <w:rFonts w:hAnsi="宋体"/>
          <w:color w:val="auto"/>
          <w:sz w:val="21"/>
          <w:szCs w:val="21"/>
          <w:highlight w:val="none"/>
        </w:rPr>
        <w:t>进度计划要求：项目进度计划要求科学合理，人员数量及分工配置科学，能够较好满足项目进度各节点要求，同时避免对用户日常教学、办公管理的影响。</w:t>
      </w:r>
    </w:p>
    <w:p>
      <w:pPr>
        <w:pStyle w:val="2"/>
        <w:spacing w:line="288" w:lineRule="auto"/>
        <w:ind w:firstLine="404" w:firstLineChars="200"/>
        <w:rPr>
          <w:rFonts w:hAnsi="宋体"/>
          <w:color w:val="auto"/>
          <w:sz w:val="21"/>
          <w:szCs w:val="21"/>
          <w:highlight w:val="none"/>
        </w:rPr>
      </w:pPr>
      <w:r>
        <w:rPr>
          <w:rFonts w:hAnsi="宋体"/>
          <w:color w:val="auto"/>
          <w:sz w:val="21"/>
          <w:szCs w:val="21"/>
          <w:highlight w:val="none"/>
        </w:rPr>
        <w:t>实施期间，投标</w:t>
      </w:r>
      <w:r>
        <w:rPr>
          <w:rFonts w:hint="eastAsia" w:hAnsi="宋体"/>
          <w:color w:val="auto"/>
          <w:sz w:val="21"/>
          <w:szCs w:val="21"/>
          <w:highlight w:val="none"/>
        </w:rPr>
        <w:t>人</w:t>
      </w:r>
      <w:r>
        <w:rPr>
          <w:rFonts w:hAnsi="宋体"/>
          <w:color w:val="auto"/>
          <w:sz w:val="21"/>
          <w:szCs w:val="21"/>
          <w:highlight w:val="none"/>
        </w:rPr>
        <w:t>必须派遣具有同类项目建设经验的，且参与过同类项目的专业工程师驻扎现场进行软硬件实施工作。</w:t>
      </w:r>
    </w:p>
    <w:p>
      <w:pPr>
        <w:spacing w:line="288" w:lineRule="auto"/>
        <w:rPr>
          <w:rFonts w:ascii="宋体" w:hAnsi="宋体"/>
          <w:b/>
          <w:color w:val="auto"/>
          <w:sz w:val="21"/>
          <w:szCs w:val="21"/>
          <w:highlight w:val="none"/>
        </w:rPr>
      </w:pPr>
      <w:r>
        <w:rPr>
          <w:rFonts w:hint="eastAsia" w:ascii="宋体" w:hAnsi="宋体"/>
          <w:b/>
          <w:color w:val="auto"/>
          <w:sz w:val="21"/>
          <w:szCs w:val="21"/>
          <w:highlight w:val="none"/>
        </w:rPr>
        <w:t>注：</w:t>
      </w:r>
    </w:p>
    <w:p>
      <w:pPr>
        <w:spacing w:line="288" w:lineRule="auto"/>
        <w:rPr>
          <w:rFonts w:ascii="宋体" w:hAnsi="宋体"/>
          <w:b/>
          <w:color w:val="auto"/>
          <w:sz w:val="21"/>
          <w:szCs w:val="21"/>
          <w:highlight w:val="none"/>
        </w:rPr>
      </w:pPr>
      <w:r>
        <w:rPr>
          <w:rFonts w:hint="eastAsia" w:ascii="宋体" w:hAnsi="宋体"/>
          <w:b/>
          <w:color w:val="auto"/>
          <w:sz w:val="21"/>
          <w:szCs w:val="21"/>
          <w:highlight w:val="none"/>
        </w:rPr>
        <w:t>1.除招标文件中所明确的技术规格和品牌外，欢迎其他能满足本项目技术需求且性能相当于或高于所明确品牌的产品参加投标报价。同时在采购需求偏离表中作出详细对比说明。</w:t>
      </w:r>
    </w:p>
    <w:p>
      <w:pPr>
        <w:spacing w:line="288" w:lineRule="auto"/>
        <w:rPr>
          <w:rFonts w:ascii="宋体" w:hAnsi="宋体"/>
          <w:b/>
          <w:color w:val="auto"/>
          <w:sz w:val="21"/>
          <w:szCs w:val="21"/>
          <w:highlight w:val="none"/>
        </w:rPr>
      </w:pPr>
      <w:r>
        <w:rPr>
          <w:rFonts w:hint="eastAsia" w:ascii="宋体" w:hAnsi="宋体"/>
          <w:b/>
          <w:color w:val="auto"/>
          <w:sz w:val="21"/>
          <w:szCs w:val="21"/>
          <w:highlight w:val="none"/>
        </w:rPr>
        <w:t>2.如技术要求中未特别注明需执行的国家相关标准、行业标准、地方标准或者其他标准、规范，则统一执行最新标准、规范。</w:t>
      </w:r>
    </w:p>
    <w:p>
      <w:pPr>
        <w:spacing w:line="288" w:lineRule="auto"/>
        <w:jc w:val="center"/>
        <w:outlineLvl w:val="0"/>
        <w:rPr>
          <w:rFonts w:ascii="宋体" w:hAnsi="宋体"/>
          <w:color w:val="auto"/>
          <w:sz w:val="21"/>
          <w:szCs w:val="21"/>
          <w:highlight w:val="none"/>
        </w:rPr>
      </w:pPr>
      <w:r>
        <w:rPr>
          <w:rFonts w:hint="eastAsia" w:ascii="宋体" w:hAnsi="宋体"/>
          <w:color w:val="auto"/>
          <w:sz w:val="21"/>
          <w:szCs w:val="21"/>
          <w:highlight w:val="none"/>
        </w:rPr>
        <w:br w:type="page"/>
      </w:r>
      <w:r>
        <w:rPr>
          <w:rFonts w:hint="eastAsia" w:ascii="宋体" w:hAnsi="宋体"/>
          <w:b/>
          <w:color w:val="auto"/>
          <w:sz w:val="32"/>
          <w:szCs w:val="32"/>
          <w:highlight w:val="none"/>
        </w:rPr>
        <w:t>第三章  投标人须知</w:t>
      </w:r>
    </w:p>
    <w:p>
      <w:pPr>
        <w:spacing w:line="288" w:lineRule="auto"/>
        <w:ind w:left="238"/>
        <w:jc w:val="center"/>
        <w:outlineLvl w:val="1"/>
        <w:rPr>
          <w:rFonts w:ascii="宋体" w:hAnsi="宋体"/>
          <w:b/>
          <w:color w:val="auto"/>
          <w:sz w:val="24"/>
          <w:highlight w:val="none"/>
        </w:rPr>
      </w:pPr>
      <w:r>
        <w:rPr>
          <w:rFonts w:hint="eastAsia" w:ascii="宋体" w:hAnsi="宋体"/>
          <w:b/>
          <w:color w:val="auto"/>
          <w:sz w:val="24"/>
          <w:highlight w:val="none"/>
        </w:rPr>
        <w:t>投标人</w:t>
      </w:r>
      <w:r>
        <w:rPr>
          <w:rFonts w:ascii="宋体" w:hAnsi="宋体"/>
          <w:b/>
          <w:color w:val="auto"/>
          <w:sz w:val="24"/>
          <w:highlight w:val="none"/>
        </w:rPr>
        <w:t>须知</w:t>
      </w:r>
      <w:r>
        <w:rPr>
          <w:rFonts w:hint="eastAsia" w:ascii="宋体" w:hAnsi="宋体"/>
          <w:b/>
          <w:color w:val="auto"/>
          <w:sz w:val="24"/>
          <w:highlight w:val="none"/>
        </w:rPr>
        <w:t>前附表</w:t>
      </w:r>
    </w:p>
    <w:tbl>
      <w:tblPr>
        <w:tblStyle w:val="22"/>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1"/>
        <w:gridCol w:w="878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97" w:hRule="atLeast"/>
        </w:trPr>
        <w:tc>
          <w:tcPr>
            <w:tcW w:w="85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olor w:val="auto"/>
                <w:sz w:val="21"/>
                <w:szCs w:val="21"/>
                <w:highlight w:val="none"/>
              </w:rPr>
            </w:pPr>
            <w:r>
              <w:rPr>
                <w:rFonts w:hint="eastAsia" w:ascii="宋体" w:hAnsi="宋体"/>
                <w:color w:val="auto"/>
                <w:sz w:val="21"/>
                <w:szCs w:val="21"/>
                <w:highlight w:val="none"/>
              </w:rPr>
              <w:t>序号</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olor w:val="auto"/>
                <w:sz w:val="21"/>
                <w:szCs w:val="21"/>
                <w:highlight w:val="none"/>
              </w:rPr>
            </w:pPr>
            <w:r>
              <w:rPr>
                <w:rFonts w:hint="eastAsia" w:ascii="宋体" w:hAnsi="宋体"/>
                <w:color w:val="auto"/>
                <w:sz w:val="21"/>
                <w:szCs w:val="21"/>
                <w:highlight w:val="none"/>
              </w:rPr>
              <w:t>内容、要求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97" w:hRule="atLeast"/>
        </w:trPr>
        <w:tc>
          <w:tcPr>
            <w:tcW w:w="85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olor w:val="auto"/>
                <w:sz w:val="21"/>
                <w:szCs w:val="21"/>
                <w:highlight w:val="none"/>
              </w:rPr>
            </w:pPr>
            <w:r>
              <w:rPr>
                <w:rFonts w:hint="eastAsia" w:ascii="宋体" w:hAnsi="宋体"/>
                <w:color w:val="auto"/>
                <w:sz w:val="21"/>
                <w:szCs w:val="21"/>
                <w:highlight w:val="none"/>
              </w:rPr>
              <w:t>1</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color w:val="auto"/>
                <w:sz w:val="21"/>
                <w:szCs w:val="21"/>
                <w:highlight w:val="none"/>
              </w:rPr>
            </w:pPr>
            <w:r>
              <w:rPr>
                <w:rFonts w:hint="eastAsia" w:ascii="宋体" w:hAnsi="宋体"/>
                <w:color w:val="auto"/>
                <w:sz w:val="21"/>
                <w:szCs w:val="21"/>
                <w:highlight w:val="none"/>
              </w:rPr>
              <w:t>采购人：杭州电子科技大学</w:t>
            </w:r>
          </w:p>
          <w:p>
            <w:pPr>
              <w:keepNext w:val="0"/>
              <w:keepLines w:val="0"/>
              <w:suppressLineNumbers w:val="0"/>
              <w:spacing w:before="0" w:beforeAutospacing="0" w:after="0" w:afterAutospacing="0"/>
              <w:ind w:left="0" w:right="0"/>
              <w:rPr>
                <w:rFonts w:hint="default" w:ascii="宋体" w:hAnsi="宋体"/>
                <w:color w:val="auto"/>
                <w:sz w:val="21"/>
                <w:szCs w:val="21"/>
                <w:highlight w:val="none"/>
              </w:rPr>
            </w:pPr>
            <w:r>
              <w:rPr>
                <w:rFonts w:hint="eastAsia" w:ascii="宋体" w:hAnsi="宋体"/>
                <w:color w:val="auto"/>
                <w:sz w:val="21"/>
                <w:szCs w:val="21"/>
                <w:highlight w:val="none"/>
              </w:rPr>
              <w:t>项目名称：协同创新中心高教仪器设备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97" w:hRule="atLeast"/>
        </w:trPr>
        <w:tc>
          <w:tcPr>
            <w:tcW w:w="85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olor w:val="auto"/>
                <w:sz w:val="21"/>
                <w:szCs w:val="21"/>
                <w:highlight w:val="none"/>
              </w:rPr>
            </w:pPr>
            <w:r>
              <w:rPr>
                <w:rFonts w:hint="eastAsia" w:ascii="宋体" w:hAnsi="宋体"/>
                <w:color w:val="auto"/>
                <w:sz w:val="21"/>
                <w:szCs w:val="21"/>
                <w:highlight w:val="none"/>
              </w:rPr>
              <w:t>2</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投标报价：</w:t>
            </w:r>
          </w:p>
          <w:p>
            <w:pPr>
              <w:keepNext w:val="0"/>
              <w:keepLines w:val="0"/>
              <w:suppressLineNumbers w:val="0"/>
              <w:spacing w:before="0" w:beforeAutospacing="0" w:after="0" w:afterAutospacing="0"/>
              <w:ind w:left="0" w:right="0"/>
              <w:rPr>
                <w:rFonts w:hint="default" w:ascii="宋体" w:hAnsi="宋体"/>
                <w:b/>
                <w:color w:val="auto"/>
                <w:spacing w:val="-6"/>
                <w:sz w:val="21"/>
                <w:szCs w:val="21"/>
                <w:highlight w:val="none"/>
              </w:rPr>
            </w:pPr>
            <w:r>
              <w:rPr>
                <w:rFonts w:hint="eastAsia" w:ascii="宋体" w:hAnsi="宋体"/>
                <w:b/>
                <w:color w:val="auto"/>
                <w:spacing w:val="-6"/>
                <w:sz w:val="21"/>
                <w:szCs w:val="21"/>
                <w:highlight w:val="none"/>
              </w:rPr>
              <w:t>1.投标报价是指一次性报出不得更改的价格；</w:t>
            </w:r>
          </w:p>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r>
              <w:rPr>
                <w:rFonts w:hint="eastAsia" w:ascii="宋体" w:hAnsi="宋体"/>
                <w:b/>
                <w:color w:val="auto"/>
                <w:spacing w:val="-6"/>
                <w:sz w:val="21"/>
                <w:szCs w:val="21"/>
                <w:highlight w:val="none"/>
              </w:rPr>
              <w:t>2.本次投标采用人民币报价。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97" w:hRule="atLeast"/>
        </w:trPr>
        <w:tc>
          <w:tcPr>
            <w:tcW w:w="85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olor w:val="auto"/>
                <w:sz w:val="21"/>
                <w:szCs w:val="21"/>
                <w:highlight w:val="none"/>
              </w:rPr>
            </w:pPr>
            <w:r>
              <w:rPr>
                <w:rFonts w:hint="eastAsia" w:ascii="宋体" w:hAnsi="宋体"/>
                <w:color w:val="auto"/>
                <w:sz w:val="21"/>
                <w:szCs w:val="21"/>
                <w:highlight w:val="none"/>
              </w:rPr>
              <w:t>3</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b/>
                <w:bCs/>
                <w:color w:val="auto"/>
                <w:sz w:val="21"/>
                <w:szCs w:val="21"/>
                <w:highlight w:val="none"/>
              </w:rPr>
            </w:pPr>
            <w:r>
              <w:rPr>
                <w:rFonts w:hint="eastAsia" w:ascii="宋体" w:hAnsi="宋体"/>
                <w:b/>
                <w:bCs/>
                <w:color w:val="auto"/>
                <w:sz w:val="21"/>
                <w:szCs w:val="21"/>
                <w:highlight w:val="none"/>
              </w:rPr>
              <w:t>投标费用：</w:t>
            </w:r>
          </w:p>
          <w:p>
            <w:pPr>
              <w:keepNext w:val="0"/>
              <w:keepLines w:val="0"/>
              <w:suppressLineNumbers w:val="0"/>
              <w:spacing w:before="0" w:beforeAutospacing="0" w:after="0" w:afterAutospacing="0"/>
              <w:ind w:left="0" w:right="0"/>
              <w:rPr>
                <w:rFonts w:hint="default" w:ascii="宋体" w:hAnsi="宋体"/>
                <w:color w:val="auto"/>
                <w:sz w:val="21"/>
                <w:szCs w:val="21"/>
                <w:highlight w:val="none"/>
              </w:rPr>
            </w:pPr>
            <w:r>
              <w:rPr>
                <w:rFonts w:hint="eastAsia" w:ascii="宋体" w:hAnsi="宋体"/>
                <w:color w:val="auto"/>
                <w:sz w:val="21"/>
                <w:szCs w:val="21"/>
                <w:highlight w:val="none"/>
              </w:rPr>
              <w:t>1.不论投标结果如何，投标人均应自行承担所有与投标有关的全部费用；</w:t>
            </w:r>
          </w:p>
          <w:p>
            <w:pPr>
              <w:keepNext w:val="0"/>
              <w:keepLines w:val="0"/>
              <w:suppressLineNumbers w:val="0"/>
              <w:spacing w:before="0" w:beforeAutospacing="0" w:after="0" w:afterAutospacing="0"/>
              <w:ind w:left="0" w:right="0"/>
              <w:rPr>
                <w:rFonts w:hint="default" w:ascii="宋体" w:hAnsi="宋体"/>
                <w:color w:val="auto"/>
                <w:sz w:val="21"/>
                <w:szCs w:val="21"/>
                <w:highlight w:val="none"/>
              </w:rPr>
            </w:pPr>
            <w:r>
              <w:rPr>
                <w:rFonts w:hint="eastAsia" w:ascii="宋体" w:hAnsi="宋体"/>
                <w:color w:val="auto"/>
                <w:sz w:val="21"/>
                <w:szCs w:val="21"/>
                <w:highlight w:val="none"/>
              </w:rPr>
              <w:t>2.中标人在中标通知书发出之日起七个工作日内，向采购代理机构交纳代理服务费。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97" w:hRule="atLeast"/>
        </w:trPr>
        <w:tc>
          <w:tcPr>
            <w:tcW w:w="85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olor w:val="auto"/>
                <w:sz w:val="21"/>
                <w:szCs w:val="21"/>
                <w:highlight w:val="none"/>
              </w:rPr>
            </w:pPr>
            <w:r>
              <w:rPr>
                <w:rFonts w:hint="eastAsia" w:ascii="宋体" w:hAnsi="宋体"/>
                <w:color w:val="auto"/>
                <w:sz w:val="21"/>
                <w:szCs w:val="21"/>
                <w:highlight w:val="none"/>
              </w:rPr>
              <w:t>4</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b/>
                <w:bCs/>
                <w:color w:val="auto"/>
                <w:sz w:val="21"/>
                <w:szCs w:val="21"/>
                <w:highlight w:val="none"/>
              </w:rPr>
            </w:pPr>
            <w:r>
              <w:rPr>
                <w:rFonts w:hint="eastAsia" w:ascii="宋体" w:hAnsi="宋体"/>
                <w:b/>
                <w:bCs/>
                <w:color w:val="auto"/>
                <w:sz w:val="21"/>
                <w:szCs w:val="21"/>
                <w:highlight w:val="none"/>
              </w:rPr>
              <w:t>投标文件份数：</w:t>
            </w:r>
          </w:p>
          <w:p>
            <w:pPr>
              <w:keepNext w:val="0"/>
              <w:keepLines w:val="0"/>
              <w:suppressLineNumbers w:val="0"/>
              <w:spacing w:before="0" w:beforeAutospacing="0" w:after="0" w:afterAutospacing="0"/>
              <w:ind w:left="0" w:right="0"/>
              <w:rPr>
                <w:rFonts w:hint="default" w:ascii="宋体" w:hAnsi="宋体"/>
                <w:color w:val="auto"/>
                <w:sz w:val="21"/>
                <w:szCs w:val="21"/>
                <w:highlight w:val="none"/>
              </w:rPr>
            </w:pPr>
            <w:r>
              <w:rPr>
                <w:rFonts w:hint="eastAsia" w:ascii="宋体" w:hAnsi="宋体"/>
                <w:b/>
                <w:bCs/>
                <w:color w:val="auto"/>
                <w:sz w:val="21"/>
                <w:szCs w:val="21"/>
                <w:highlight w:val="none"/>
              </w:rPr>
              <w:t>电子加密投标文件：政府采购云平台在线上传一份；备份投标文件：密封包装后可以EMS或顺丰邮寄形式递交一份（邮寄地址：杭州市西湖区玉古路173号中田大厦16楼A室浙江求是招标代理有限公司）。</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97" w:hRule="atLeast"/>
        </w:trPr>
        <w:tc>
          <w:tcPr>
            <w:tcW w:w="85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olor w:val="auto"/>
                <w:sz w:val="21"/>
                <w:szCs w:val="21"/>
                <w:highlight w:val="none"/>
              </w:rPr>
            </w:pPr>
            <w:r>
              <w:rPr>
                <w:rFonts w:hint="eastAsia" w:ascii="宋体" w:hAnsi="宋体"/>
                <w:color w:val="auto"/>
                <w:sz w:val="21"/>
                <w:szCs w:val="21"/>
                <w:highlight w:val="none"/>
              </w:rPr>
              <w:t>5</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资格审查要求的资格证明材料(均需加盖公章)：</w:t>
            </w:r>
          </w:p>
          <w:p>
            <w:pPr>
              <w:keepNext w:val="0"/>
              <w:keepLines w:val="0"/>
              <w:suppressLineNumbers w:val="0"/>
              <w:spacing w:before="0" w:beforeAutospacing="0" w:after="0" w:afterAutospacing="0"/>
              <w:ind w:left="0" w:right="0"/>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（1）有效的法人或者其他组织的营业执照等证明文件（扫描件），自然人的身份证明（仅自然人投标时提供）</w:t>
            </w:r>
          </w:p>
          <w:p>
            <w:pPr>
              <w:keepNext w:val="0"/>
              <w:keepLines w:val="0"/>
              <w:suppressLineNumbers w:val="0"/>
              <w:spacing w:before="0" w:beforeAutospacing="0" w:after="0" w:afterAutospacing="0"/>
              <w:ind w:left="0" w:right="0"/>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（2）2019年12月至今任意一月的财务状况报告（扫描件）或开标前三个月内出具的银行资信证明</w:t>
            </w:r>
          </w:p>
          <w:p>
            <w:pPr>
              <w:keepNext w:val="0"/>
              <w:keepLines w:val="0"/>
              <w:suppressLineNumbers w:val="0"/>
              <w:spacing w:before="0" w:beforeAutospacing="0" w:after="0" w:afterAutospacing="0"/>
              <w:ind w:left="0" w:right="0"/>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（3）2019年12月至今任意一月依法缴纳税收的证明材料（依法免税的投标人应提供相应文件证明其依法免税）</w:t>
            </w:r>
          </w:p>
          <w:p>
            <w:pPr>
              <w:keepNext w:val="0"/>
              <w:keepLines w:val="0"/>
              <w:suppressLineNumbers w:val="0"/>
              <w:spacing w:before="0" w:beforeAutospacing="0" w:after="0" w:afterAutospacing="0"/>
              <w:ind w:left="0" w:right="0"/>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（4）2019年12月至今任意一月依法缴纳社会保障资金的证明材料（依法不需要缴纳社会保障资金的投标人应提供相应文件证明其依法不需要缴纳社会保障资金）</w:t>
            </w:r>
          </w:p>
          <w:p>
            <w:pPr>
              <w:keepNext w:val="0"/>
              <w:keepLines w:val="0"/>
              <w:suppressLineNumbers w:val="0"/>
              <w:spacing w:before="0" w:beforeAutospacing="0" w:after="0" w:afterAutospacing="0"/>
              <w:ind w:left="0" w:right="0"/>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（5）具有履行合同所必需的设备和专业技术能力的承诺函</w:t>
            </w:r>
          </w:p>
          <w:p>
            <w:pPr>
              <w:keepNext w:val="0"/>
              <w:keepLines w:val="0"/>
              <w:suppressLineNumbers w:val="0"/>
              <w:spacing w:before="0" w:beforeAutospacing="0" w:after="0" w:afterAutospacing="0"/>
              <w:ind w:left="0" w:right="0"/>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（6）参加政府采购活动前3年内在经营活动中没有重大违法记录的书面声明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97" w:hRule="atLeast"/>
        </w:trPr>
        <w:tc>
          <w:tcPr>
            <w:tcW w:w="85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olor w:val="auto"/>
                <w:sz w:val="21"/>
                <w:szCs w:val="21"/>
                <w:highlight w:val="none"/>
              </w:rPr>
            </w:pPr>
            <w:r>
              <w:rPr>
                <w:rFonts w:hint="eastAsia" w:ascii="宋体" w:hAnsi="宋体"/>
                <w:color w:val="auto"/>
                <w:sz w:val="21"/>
                <w:szCs w:val="21"/>
                <w:highlight w:val="none"/>
              </w:rPr>
              <w:t>6</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color w:val="auto"/>
                <w:sz w:val="21"/>
                <w:szCs w:val="21"/>
                <w:highlight w:val="none"/>
              </w:rPr>
            </w:pPr>
            <w:r>
              <w:rPr>
                <w:rFonts w:hint="eastAsia" w:ascii="宋体" w:hAnsi="宋体"/>
                <w:color w:val="auto"/>
                <w:sz w:val="21"/>
                <w:szCs w:val="21"/>
                <w:highlight w:val="none"/>
              </w:rPr>
              <w:t>投标</w:t>
            </w:r>
            <w:r>
              <w:rPr>
                <w:rFonts w:hint="default" w:ascii="宋体" w:hAnsi="宋体"/>
                <w:color w:val="auto"/>
                <w:sz w:val="21"/>
                <w:szCs w:val="21"/>
                <w:highlight w:val="none"/>
              </w:rPr>
              <w:t>有效期</w:t>
            </w:r>
            <w:r>
              <w:rPr>
                <w:rFonts w:hint="eastAsia" w:ascii="宋体" w:hAnsi="宋体"/>
                <w:color w:val="auto"/>
                <w:sz w:val="21"/>
                <w:szCs w:val="21"/>
                <w:highlight w:val="none"/>
              </w:rPr>
              <w:t>：从提交投标文件的截止之日起90天。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97" w:hRule="atLeast"/>
        </w:trPr>
        <w:tc>
          <w:tcPr>
            <w:tcW w:w="85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olor w:val="auto"/>
                <w:sz w:val="21"/>
                <w:szCs w:val="21"/>
                <w:highlight w:val="none"/>
              </w:rPr>
            </w:pPr>
            <w:r>
              <w:rPr>
                <w:rFonts w:hint="eastAsia" w:ascii="宋体" w:hAnsi="宋体"/>
                <w:color w:val="auto"/>
                <w:sz w:val="21"/>
                <w:szCs w:val="21"/>
                <w:highlight w:val="none"/>
              </w:rPr>
              <w:t>7</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color w:val="auto"/>
                <w:sz w:val="21"/>
                <w:szCs w:val="21"/>
                <w:highlight w:val="none"/>
              </w:rPr>
            </w:pPr>
            <w:r>
              <w:rPr>
                <w:rFonts w:hint="eastAsia" w:ascii="宋体" w:hAnsi="宋体"/>
                <w:color w:val="auto"/>
                <w:sz w:val="21"/>
                <w:szCs w:val="21"/>
                <w:highlight w:val="none"/>
              </w:rPr>
              <w:t>评标办法及评分标准：详见第四章《评标办法及评分标准》。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97" w:hRule="atLeast"/>
        </w:trPr>
        <w:tc>
          <w:tcPr>
            <w:tcW w:w="85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olor w:val="auto"/>
                <w:sz w:val="21"/>
                <w:szCs w:val="21"/>
                <w:highlight w:val="none"/>
              </w:rPr>
            </w:pPr>
            <w:r>
              <w:rPr>
                <w:rFonts w:hint="eastAsia" w:ascii="宋体" w:hAnsi="宋体"/>
                <w:color w:val="auto"/>
                <w:sz w:val="21"/>
                <w:szCs w:val="21"/>
                <w:highlight w:val="none"/>
              </w:rPr>
              <w:t>8</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color w:val="auto"/>
                <w:sz w:val="21"/>
                <w:szCs w:val="21"/>
                <w:highlight w:val="none"/>
              </w:rPr>
            </w:pPr>
            <w:r>
              <w:rPr>
                <w:rFonts w:hint="eastAsia" w:ascii="宋体" w:hAnsi="宋体"/>
                <w:color w:val="auto"/>
                <w:sz w:val="21"/>
                <w:szCs w:val="21"/>
                <w:highlight w:val="none"/>
              </w:rPr>
              <w:t>评标结果公示：评标结果公示于浙江政府采购网（</w:t>
            </w:r>
            <w:r>
              <w:rPr>
                <w:rFonts w:hint="default"/>
                <w:color w:val="auto"/>
                <w:highlight w:val="none"/>
              </w:rPr>
              <w:fldChar w:fldCharType="begin"/>
            </w:r>
            <w:r>
              <w:rPr>
                <w:rFonts w:hint="default"/>
                <w:color w:val="auto"/>
                <w:highlight w:val="none"/>
              </w:rPr>
              <w:instrText xml:space="preserve"> HYPERLINK "http://www.zjzfcg.gov.cn/" </w:instrText>
            </w:r>
            <w:r>
              <w:rPr>
                <w:rFonts w:hint="default"/>
                <w:color w:val="auto"/>
                <w:highlight w:val="none"/>
              </w:rPr>
              <w:fldChar w:fldCharType="separate"/>
            </w:r>
            <w:r>
              <w:rPr>
                <w:rStyle w:val="29"/>
                <w:rFonts w:hint="eastAsia" w:ascii="宋体" w:hAnsi="宋体"/>
                <w:color w:val="auto"/>
                <w:sz w:val="21"/>
                <w:szCs w:val="21"/>
                <w:highlight w:val="none"/>
              </w:rPr>
              <w:t>http://zfcg.czt.zj.gov.cn</w:t>
            </w:r>
            <w:r>
              <w:rPr>
                <w:rStyle w:val="29"/>
                <w:rFonts w:hint="eastAsia" w:ascii="宋体" w:hAnsi="宋体"/>
                <w:color w:val="auto"/>
                <w:sz w:val="21"/>
                <w:szCs w:val="21"/>
                <w:highlight w:val="none"/>
              </w:rPr>
              <w:fldChar w:fldCharType="end"/>
            </w:r>
            <w:r>
              <w:rPr>
                <w:rFonts w:hint="eastAsia" w:ascii="宋体" w:hAnsi="宋体"/>
                <w:color w:val="auto"/>
                <w:sz w:val="21"/>
                <w:szCs w:val="21"/>
                <w:highlight w:val="none"/>
              </w:rPr>
              <w:t>）等相关网站或媒体。</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97" w:hRule="atLeast"/>
        </w:trPr>
        <w:tc>
          <w:tcPr>
            <w:tcW w:w="85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olor w:val="auto"/>
                <w:sz w:val="21"/>
                <w:szCs w:val="21"/>
                <w:highlight w:val="none"/>
              </w:rPr>
            </w:pPr>
            <w:r>
              <w:rPr>
                <w:rFonts w:hint="eastAsia" w:ascii="宋体" w:hAnsi="宋体"/>
                <w:color w:val="auto"/>
                <w:sz w:val="21"/>
                <w:szCs w:val="21"/>
                <w:highlight w:val="none"/>
              </w:rPr>
              <w:t>9</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color w:val="auto"/>
                <w:sz w:val="21"/>
                <w:szCs w:val="21"/>
                <w:highlight w:val="none"/>
              </w:rPr>
            </w:pPr>
            <w:r>
              <w:rPr>
                <w:rFonts w:hint="eastAsia" w:ascii="宋体" w:hAnsi="宋体"/>
                <w:color w:val="auto"/>
                <w:sz w:val="21"/>
                <w:szCs w:val="21"/>
                <w:highlight w:val="none"/>
              </w:rPr>
              <w:t>签订合同：中标通知书发出后30日内。</w:t>
            </w:r>
          </w:p>
          <w:p>
            <w:pPr>
              <w:keepNext w:val="0"/>
              <w:keepLines w:val="0"/>
              <w:suppressLineNumbers w:val="0"/>
              <w:spacing w:before="0" w:beforeAutospacing="0" w:after="0" w:afterAutospacing="0"/>
              <w:ind w:left="0" w:right="0"/>
              <w:rPr>
                <w:rFonts w:hint="default" w:ascii="宋体" w:hAnsi="宋体"/>
                <w:color w:val="auto"/>
                <w:sz w:val="21"/>
                <w:szCs w:val="21"/>
                <w:highlight w:val="none"/>
              </w:rPr>
            </w:pPr>
            <w:r>
              <w:rPr>
                <w:rFonts w:hint="eastAsia" w:ascii="宋体" w:hAnsi="宋体"/>
                <w:color w:val="auto"/>
                <w:sz w:val="21"/>
                <w:szCs w:val="21"/>
                <w:highlight w:val="none"/>
              </w:rPr>
              <w:t>支付代理服务费：中标通知书发出之日起七个工作日内，中标人逾期支付代理服务费，须承担代理服务费每日百分之三的违约金，逾期十日未支付的，采购代理机构有权向杭州仲裁委员会对中标人提起仲裁，</w:t>
            </w:r>
            <w:r>
              <w:rPr>
                <w:rFonts w:hint="eastAsia"/>
                <w:color w:val="auto"/>
                <w:sz w:val="21"/>
                <w:szCs w:val="21"/>
                <w:highlight w:val="none"/>
              </w:rPr>
              <w:t>仲裁费用（包括仲裁受理费和仲裁处理费）均</w:t>
            </w:r>
            <w:r>
              <w:rPr>
                <w:rFonts w:hint="eastAsia" w:ascii="宋体" w:hAnsi="宋体"/>
                <w:color w:val="auto"/>
                <w:sz w:val="21"/>
                <w:szCs w:val="21"/>
                <w:highlight w:val="none"/>
              </w:rPr>
              <w:t>由中标人承担。</w:t>
            </w:r>
          </w:p>
        </w:tc>
      </w:tr>
    </w:tbl>
    <w:p>
      <w:pPr>
        <w:pStyle w:val="12"/>
        <w:spacing w:before="0" w:beforeLines="0" w:after="0" w:afterLines="0" w:line="288" w:lineRule="auto"/>
        <w:jc w:val="center"/>
        <w:outlineLvl w:val="1"/>
        <w:rPr>
          <w:rFonts w:hAnsi="宋体"/>
          <w:b/>
          <w:color w:val="auto"/>
          <w:spacing w:val="-6"/>
          <w:sz w:val="32"/>
          <w:szCs w:val="32"/>
          <w:highlight w:val="none"/>
        </w:rPr>
      </w:pPr>
      <w:r>
        <w:rPr>
          <w:rFonts w:hAnsi="宋体"/>
          <w:b/>
          <w:color w:val="auto"/>
          <w:spacing w:val="-6"/>
          <w:sz w:val="21"/>
          <w:szCs w:val="21"/>
          <w:highlight w:val="none"/>
        </w:rPr>
        <w:br w:type="page"/>
      </w:r>
      <w:r>
        <w:rPr>
          <w:rFonts w:hAnsi="宋体"/>
          <w:b/>
          <w:color w:val="auto"/>
          <w:spacing w:val="-6"/>
          <w:sz w:val="32"/>
          <w:szCs w:val="32"/>
          <w:highlight w:val="none"/>
        </w:rPr>
        <w:t>一</w:t>
      </w:r>
      <w:r>
        <w:rPr>
          <w:rFonts w:hint="eastAsia" w:hAnsi="宋体"/>
          <w:b/>
          <w:color w:val="auto"/>
          <w:spacing w:val="-6"/>
          <w:sz w:val="32"/>
          <w:szCs w:val="32"/>
          <w:highlight w:val="none"/>
        </w:rPr>
        <w:t>、</w:t>
      </w:r>
      <w:r>
        <w:rPr>
          <w:rFonts w:hAnsi="宋体"/>
          <w:b/>
          <w:color w:val="auto"/>
          <w:spacing w:val="-6"/>
          <w:sz w:val="32"/>
          <w:szCs w:val="32"/>
          <w:highlight w:val="none"/>
        </w:rPr>
        <w:t>总</w:t>
      </w:r>
      <w:r>
        <w:rPr>
          <w:rFonts w:hint="eastAsia" w:hAnsi="宋体"/>
          <w:b/>
          <w:color w:val="auto"/>
          <w:spacing w:val="-6"/>
          <w:sz w:val="32"/>
          <w:szCs w:val="32"/>
          <w:highlight w:val="none"/>
        </w:rPr>
        <w:t xml:space="preserve">  </w:t>
      </w:r>
      <w:r>
        <w:rPr>
          <w:rFonts w:hAnsi="宋体"/>
          <w:b/>
          <w:color w:val="auto"/>
          <w:spacing w:val="-6"/>
          <w:sz w:val="32"/>
          <w:szCs w:val="32"/>
          <w:highlight w:val="none"/>
        </w:rPr>
        <w:t>则</w:t>
      </w:r>
    </w:p>
    <w:p>
      <w:pPr>
        <w:spacing w:line="288" w:lineRule="auto"/>
        <w:jc w:val="left"/>
        <w:outlineLvl w:val="2"/>
        <w:rPr>
          <w:rFonts w:ascii="宋体" w:hAnsi="宋体"/>
          <w:b/>
          <w:color w:val="auto"/>
          <w:spacing w:val="-6"/>
          <w:sz w:val="24"/>
          <w:highlight w:val="none"/>
        </w:rPr>
      </w:pPr>
      <w:r>
        <w:rPr>
          <w:rFonts w:hint="eastAsia" w:ascii="宋体" w:hAnsi="宋体"/>
          <w:b/>
          <w:color w:val="auto"/>
          <w:spacing w:val="-6"/>
          <w:sz w:val="24"/>
          <w:highlight w:val="none"/>
        </w:rPr>
        <w:t>（一</w:t>
      </w:r>
      <w:r>
        <w:rPr>
          <w:rFonts w:ascii="宋体" w:hAnsi="宋体"/>
          <w:b/>
          <w:color w:val="auto"/>
          <w:spacing w:val="-6"/>
          <w:sz w:val="24"/>
          <w:highlight w:val="none"/>
        </w:rPr>
        <w:t>）</w:t>
      </w:r>
      <w:r>
        <w:rPr>
          <w:rFonts w:hint="eastAsia" w:ascii="宋体" w:hAnsi="宋体"/>
          <w:b/>
          <w:color w:val="auto"/>
          <w:spacing w:val="-6"/>
          <w:sz w:val="24"/>
          <w:highlight w:val="none"/>
        </w:rPr>
        <w:t xml:space="preserve"> 适用范围</w:t>
      </w:r>
    </w:p>
    <w:p>
      <w:pPr>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本招标文件适用于杭州电子科技大学协同创新中心高教仪器设备的招标、评标、定标、验收、合同履约、付款等（法律、法规另有规定的，从其规定）。</w:t>
      </w:r>
    </w:p>
    <w:p>
      <w:pPr>
        <w:spacing w:line="288" w:lineRule="auto"/>
        <w:jc w:val="left"/>
        <w:outlineLvl w:val="2"/>
        <w:rPr>
          <w:rFonts w:ascii="宋体" w:hAnsi="宋体"/>
          <w:b/>
          <w:color w:val="auto"/>
          <w:spacing w:val="-6"/>
          <w:sz w:val="24"/>
          <w:highlight w:val="none"/>
        </w:rPr>
      </w:pPr>
      <w:r>
        <w:rPr>
          <w:rFonts w:hint="eastAsia" w:ascii="宋体" w:hAnsi="宋体"/>
          <w:b/>
          <w:color w:val="auto"/>
          <w:spacing w:val="-6"/>
          <w:sz w:val="24"/>
          <w:highlight w:val="none"/>
        </w:rPr>
        <w:t>（二） 定义</w:t>
      </w:r>
    </w:p>
    <w:p>
      <w:pPr>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1.“采购</w:t>
      </w:r>
      <w:r>
        <w:rPr>
          <w:rFonts w:ascii="宋体" w:hAnsi="宋体"/>
          <w:color w:val="auto"/>
          <w:spacing w:val="-6"/>
          <w:sz w:val="21"/>
          <w:szCs w:val="21"/>
          <w:highlight w:val="none"/>
        </w:rPr>
        <w:t>人</w:t>
      </w:r>
      <w:r>
        <w:rPr>
          <w:rFonts w:hint="eastAsia" w:ascii="宋体" w:hAnsi="宋体"/>
          <w:color w:val="auto"/>
          <w:spacing w:val="-6"/>
          <w:sz w:val="21"/>
          <w:szCs w:val="21"/>
          <w:highlight w:val="none"/>
        </w:rPr>
        <w:t>”系指杭州电子科技大学；</w:t>
      </w:r>
    </w:p>
    <w:p>
      <w:pPr>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2.“采购代理机构”系指组织本次招标的浙江求是招标代理有限公司；</w:t>
      </w:r>
    </w:p>
    <w:p>
      <w:pPr>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3</w:t>
      </w:r>
      <w:r>
        <w:rPr>
          <w:rFonts w:ascii="宋体" w:hAnsi="宋体"/>
          <w:color w:val="auto"/>
          <w:spacing w:val="-6"/>
          <w:sz w:val="21"/>
          <w:szCs w:val="21"/>
          <w:highlight w:val="none"/>
        </w:rPr>
        <w:t>.</w:t>
      </w:r>
      <w:r>
        <w:rPr>
          <w:rFonts w:hint="eastAsia" w:ascii="宋体" w:hAnsi="宋体"/>
          <w:color w:val="auto"/>
          <w:spacing w:val="-6"/>
          <w:sz w:val="21"/>
          <w:szCs w:val="21"/>
          <w:highlight w:val="none"/>
        </w:rPr>
        <w:t>“投标人”系指响应招标、参加投标竞争的法人、其他组织或者自然人；</w:t>
      </w:r>
    </w:p>
    <w:p>
      <w:pPr>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4</w:t>
      </w:r>
      <w:r>
        <w:rPr>
          <w:rFonts w:ascii="宋体" w:hAnsi="宋体"/>
          <w:color w:val="auto"/>
          <w:spacing w:val="-6"/>
          <w:sz w:val="21"/>
          <w:szCs w:val="21"/>
          <w:highlight w:val="none"/>
        </w:rPr>
        <w:t>.</w:t>
      </w:r>
      <w:r>
        <w:rPr>
          <w:rFonts w:hint="eastAsia" w:ascii="宋体" w:hAnsi="宋体"/>
          <w:color w:val="auto"/>
          <w:spacing w:val="-6"/>
          <w:sz w:val="21"/>
          <w:szCs w:val="21"/>
          <w:highlight w:val="none"/>
        </w:rPr>
        <w:t>“书面形式”包括信函、传真、电子邮件等；</w:t>
      </w:r>
    </w:p>
    <w:p>
      <w:pPr>
        <w:spacing w:line="288" w:lineRule="auto"/>
        <w:ind w:firstLine="398" w:firstLineChars="200"/>
        <w:jc w:val="left"/>
        <w:rPr>
          <w:rFonts w:ascii="宋体" w:hAnsi="宋体"/>
          <w:b/>
          <w:bCs/>
          <w:color w:val="auto"/>
          <w:spacing w:val="-6"/>
          <w:sz w:val="21"/>
          <w:szCs w:val="21"/>
          <w:highlight w:val="none"/>
        </w:rPr>
      </w:pPr>
      <w:r>
        <w:rPr>
          <w:rFonts w:hint="eastAsia" w:ascii="宋体" w:hAnsi="宋体"/>
          <w:b/>
          <w:bCs/>
          <w:color w:val="auto"/>
          <w:spacing w:val="-6"/>
          <w:sz w:val="21"/>
          <w:szCs w:val="21"/>
          <w:highlight w:val="none"/>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p>
    <w:p>
      <w:pPr>
        <w:spacing w:line="288" w:lineRule="auto"/>
        <w:ind w:firstLine="398" w:firstLineChars="200"/>
        <w:jc w:val="left"/>
        <w:rPr>
          <w:rFonts w:ascii="宋体" w:hAnsi="宋体"/>
          <w:b/>
          <w:bCs/>
          <w:color w:val="auto"/>
          <w:spacing w:val="-6"/>
          <w:sz w:val="21"/>
          <w:szCs w:val="21"/>
          <w:highlight w:val="none"/>
        </w:rPr>
      </w:pPr>
      <w:r>
        <w:rPr>
          <w:rFonts w:hint="eastAsia" w:ascii="宋体" w:hAnsi="宋体"/>
          <w:b/>
          <w:bCs/>
          <w:color w:val="auto"/>
          <w:spacing w:val="-6"/>
          <w:sz w:val="21"/>
          <w:szCs w:val="21"/>
          <w:highlight w:val="none"/>
        </w:rPr>
        <w:t>6.“公章”除特殊说明外系指政采云电子交易客户端（政采云投标客户端）中投标人的电子签章；</w:t>
      </w:r>
    </w:p>
    <w:p>
      <w:pPr>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7.“▲”系指实质性要求条款，投标人应当做出实质性响应。</w:t>
      </w:r>
    </w:p>
    <w:p>
      <w:pPr>
        <w:spacing w:line="288" w:lineRule="auto"/>
        <w:jc w:val="left"/>
        <w:outlineLvl w:val="2"/>
        <w:rPr>
          <w:rFonts w:ascii="宋体" w:hAnsi="宋体"/>
          <w:b/>
          <w:color w:val="auto"/>
          <w:spacing w:val="-6"/>
          <w:sz w:val="24"/>
          <w:highlight w:val="none"/>
        </w:rPr>
      </w:pPr>
      <w:r>
        <w:rPr>
          <w:rFonts w:hint="eastAsia" w:ascii="宋体" w:hAnsi="宋体"/>
          <w:b/>
          <w:color w:val="auto"/>
          <w:spacing w:val="-6"/>
          <w:sz w:val="24"/>
          <w:highlight w:val="none"/>
        </w:rPr>
        <w:t>（三） 招标方式</w:t>
      </w:r>
    </w:p>
    <w:p>
      <w:pPr>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本次招标采用公开招标（线上电子招投标）方式进行。</w:t>
      </w:r>
    </w:p>
    <w:p>
      <w:pPr>
        <w:spacing w:line="288" w:lineRule="auto"/>
        <w:jc w:val="left"/>
        <w:outlineLvl w:val="2"/>
        <w:rPr>
          <w:rFonts w:ascii="宋体" w:hAnsi="宋体"/>
          <w:b/>
          <w:color w:val="auto"/>
          <w:spacing w:val="-6"/>
          <w:sz w:val="24"/>
          <w:highlight w:val="none"/>
        </w:rPr>
      </w:pPr>
      <w:r>
        <w:rPr>
          <w:rFonts w:hint="eastAsia" w:ascii="宋体" w:hAnsi="宋体"/>
          <w:b/>
          <w:color w:val="auto"/>
          <w:spacing w:val="-6"/>
          <w:sz w:val="24"/>
          <w:highlight w:val="none"/>
        </w:rPr>
        <w:t>（四） 投标委托</w:t>
      </w:r>
    </w:p>
    <w:p>
      <w:pPr>
        <w:spacing w:line="288" w:lineRule="auto"/>
        <w:ind w:firstLine="396" w:firstLineChars="200"/>
        <w:rPr>
          <w:color w:val="auto"/>
          <w:spacing w:val="-6"/>
          <w:sz w:val="21"/>
          <w:szCs w:val="21"/>
          <w:highlight w:val="none"/>
        </w:rPr>
      </w:pPr>
      <w:r>
        <w:rPr>
          <w:rFonts w:ascii="宋体" w:hAnsi="宋体"/>
          <w:color w:val="auto"/>
          <w:spacing w:val="-6"/>
          <w:sz w:val="21"/>
          <w:szCs w:val="21"/>
          <w:highlight w:val="none"/>
        </w:rPr>
        <w:t>如投标人代表不是法定代表人，须有</w:t>
      </w:r>
      <w:r>
        <w:rPr>
          <w:rFonts w:ascii="宋体" w:hAnsi="宋体"/>
          <w:bCs/>
          <w:color w:val="auto"/>
          <w:spacing w:val="-6"/>
          <w:sz w:val="21"/>
          <w:szCs w:val="21"/>
          <w:highlight w:val="none"/>
        </w:rPr>
        <w:t>附有法定代表人资格证明</w:t>
      </w:r>
      <w:r>
        <w:rPr>
          <w:rFonts w:hint="eastAsia" w:ascii="宋体" w:hAnsi="宋体"/>
          <w:bCs/>
          <w:color w:val="auto"/>
          <w:spacing w:val="-6"/>
          <w:sz w:val="21"/>
          <w:szCs w:val="21"/>
          <w:highlight w:val="none"/>
        </w:rPr>
        <w:t>书</w:t>
      </w:r>
      <w:r>
        <w:rPr>
          <w:rFonts w:ascii="宋体" w:hAnsi="宋体"/>
          <w:bCs/>
          <w:color w:val="auto"/>
          <w:spacing w:val="-6"/>
          <w:sz w:val="21"/>
          <w:szCs w:val="21"/>
          <w:highlight w:val="none"/>
        </w:rPr>
        <w:t>的法定代表人授权</w:t>
      </w:r>
      <w:r>
        <w:rPr>
          <w:rFonts w:hint="eastAsia" w:ascii="宋体" w:hAnsi="宋体"/>
          <w:bCs/>
          <w:color w:val="auto"/>
          <w:spacing w:val="-6"/>
          <w:sz w:val="21"/>
          <w:szCs w:val="21"/>
          <w:highlight w:val="none"/>
        </w:rPr>
        <w:t>委托</w:t>
      </w:r>
      <w:r>
        <w:rPr>
          <w:rFonts w:ascii="宋体" w:hAnsi="宋体"/>
          <w:bCs/>
          <w:color w:val="auto"/>
          <w:spacing w:val="-6"/>
          <w:sz w:val="21"/>
          <w:szCs w:val="21"/>
          <w:highlight w:val="none"/>
        </w:rPr>
        <w:t>书</w:t>
      </w:r>
      <w:r>
        <w:rPr>
          <w:rFonts w:hint="eastAsia" w:ascii="宋体" w:hAnsi="宋体"/>
          <w:color w:val="auto"/>
          <w:spacing w:val="-6"/>
          <w:sz w:val="21"/>
          <w:szCs w:val="21"/>
          <w:highlight w:val="none"/>
        </w:rPr>
        <w:t>（格式详见投标文件第六章）</w:t>
      </w:r>
      <w:r>
        <w:rPr>
          <w:rFonts w:ascii="宋体" w:hAnsi="宋体"/>
          <w:color w:val="auto"/>
          <w:spacing w:val="-6"/>
          <w:sz w:val="21"/>
          <w:szCs w:val="21"/>
          <w:highlight w:val="none"/>
        </w:rPr>
        <w:t>，</w:t>
      </w:r>
      <w:r>
        <w:rPr>
          <w:rFonts w:hint="eastAsia" w:ascii="宋体" w:hAnsi="宋体"/>
          <w:color w:val="auto"/>
          <w:spacing w:val="-6"/>
          <w:sz w:val="21"/>
          <w:szCs w:val="21"/>
          <w:highlight w:val="none"/>
        </w:rPr>
        <w:t>投标人因未在线参加开标而导致电子加密投标文件无法按时解密等一切后果由投标人自行承担。</w:t>
      </w:r>
    </w:p>
    <w:p>
      <w:pPr>
        <w:spacing w:line="288" w:lineRule="auto"/>
        <w:jc w:val="left"/>
        <w:outlineLvl w:val="2"/>
        <w:rPr>
          <w:rFonts w:ascii="宋体" w:hAnsi="宋体"/>
          <w:b/>
          <w:color w:val="auto"/>
          <w:spacing w:val="-6"/>
          <w:sz w:val="24"/>
          <w:highlight w:val="none"/>
        </w:rPr>
      </w:pPr>
      <w:r>
        <w:rPr>
          <w:rFonts w:hint="eastAsia" w:ascii="宋体" w:hAnsi="宋体"/>
          <w:b/>
          <w:color w:val="auto"/>
          <w:spacing w:val="-6"/>
          <w:sz w:val="24"/>
          <w:highlight w:val="none"/>
        </w:rPr>
        <w:t>（五） 投标费用</w:t>
      </w:r>
    </w:p>
    <w:p>
      <w:pPr>
        <w:spacing w:line="288" w:lineRule="auto"/>
        <w:ind w:firstLine="396" w:firstLineChars="200"/>
        <w:jc w:val="left"/>
        <w:rPr>
          <w:rFonts w:ascii="宋体" w:hAnsi="宋体"/>
          <w:color w:val="auto"/>
          <w:spacing w:val="-6"/>
          <w:sz w:val="21"/>
          <w:szCs w:val="21"/>
          <w:highlight w:val="none"/>
        </w:rPr>
      </w:pPr>
      <w:r>
        <w:rPr>
          <w:rFonts w:ascii="宋体" w:hAnsi="宋体"/>
          <w:color w:val="auto"/>
          <w:spacing w:val="-6"/>
          <w:sz w:val="21"/>
          <w:szCs w:val="21"/>
          <w:highlight w:val="none"/>
        </w:rPr>
        <w:t>1.</w:t>
      </w:r>
      <w:r>
        <w:rPr>
          <w:rFonts w:hint="eastAsia" w:ascii="宋体" w:hAnsi="宋体"/>
          <w:color w:val="auto"/>
          <w:spacing w:val="-6"/>
          <w:sz w:val="21"/>
          <w:szCs w:val="21"/>
          <w:highlight w:val="none"/>
        </w:rPr>
        <w:t>不论投标结果如何，投标人均应自行承担所有与投标有关的全部费用；</w:t>
      </w:r>
    </w:p>
    <w:p>
      <w:pPr>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2.中标人在中标通知书发出之日起七个工作日内，向采购代理机构交纳代理服务费，收费标准（差额累进）：</w:t>
      </w:r>
    </w:p>
    <w:tbl>
      <w:tblPr>
        <w:tblStyle w:val="22"/>
        <w:tblW w:w="7796"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80"/>
        <w:gridCol w:w="35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80" w:type="dxa"/>
          </w:tcPr>
          <w:p>
            <w:pPr>
              <w:keepNext w:val="0"/>
              <w:keepLines w:val="0"/>
              <w:suppressLineNumbers w:val="0"/>
              <w:spacing w:before="0" w:beforeAutospacing="0" w:after="0" w:afterAutospacing="0" w:line="288" w:lineRule="auto"/>
              <w:ind w:left="0" w:right="0"/>
              <w:jc w:val="center"/>
              <w:rPr>
                <w:rFonts w:hint="default" w:ascii="宋体" w:hAnsi="宋体"/>
                <w:color w:val="auto"/>
                <w:spacing w:val="-6"/>
                <w:sz w:val="21"/>
                <w:szCs w:val="21"/>
                <w:highlight w:val="none"/>
              </w:rPr>
            </w:pPr>
            <w:r>
              <w:rPr>
                <w:rFonts w:hint="eastAsia" w:ascii="宋体" w:hAnsi="宋体"/>
                <w:color w:val="auto"/>
                <w:spacing w:val="-6"/>
                <w:sz w:val="21"/>
                <w:szCs w:val="21"/>
                <w:highlight w:val="none"/>
              </w:rPr>
              <w:t>中标</w:t>
            </w:r>
            <w:r>
              <w:rPr>
                <w:rFonts w:hint="default" w:ascii="宋体" w:hAnsi="宋体"/>
                <w:color w:val="auto"/>
                <w:spacing w:val="-6"/>
                <w:sz w:val="21"/>
                <w:szCs w:val="21"/>
                <w:highlight w:val="none"/>
              </w:rPr>
              <w:t>金额（万元）</w:t>
            </w:r>
          </w:p>
        </w:tc>
        <w:tc>
          <w:tcPr>
            <w:tcW w:w="3516" w:type="dxa"/>
          </w:tcPr>
          <w:p>
            <w:pPr>
              <w:keepNext w:val="0"/>
              <w:keepLines w:val="0"/>
              <w:suppressLineNumbers w:val="0"/>
              <w:spacing w:before="0" w:beforeAutospacing="0" w:after="0" w:afterAutospacing="0" w:line="288" w:lineRule="auto"/>
              <w:ind w:left="0" w:right="0"/>
              <w:jc w:val="center"/>
              <w:rPr>
                <w:rFonts w:hint="default" w:ascii="宋体" w:hAnsi="宋体"/>
                <w:color w:val="auto"/>
                <w:spacing w:val="-6"/>
                <w:sz w:val="21"/>
                <w:szCs w:val="21"/>
                <w:highlight w:val="none"/>
              </w:rPr>
            </w:pPr>
            <w:r>
              <w:rPr>
                <w:rFonts w:hint="eastAsia" w:ascii="宋体" w:hAnsi="宋体"/>
                <w:color w:val="auto"/>
                <w:spacing w:val="-6"/>
                <w:sz w:val="21"/>
                <w:szCs w:val="21"/>
                <w:highlight w:val="none"/>
              </w:rPr>
              <w:t>收费标准</w:t>
            </w:r>
            <w:r>
              <w:rPr>
                <w:rFonts w:hint="default" w:ascii="宋体" w:hAnsi="宋体"/>
                <w:color w:val="auto"/>
                <w:spacing w:val="-6"/>
                <w:sz w:val="21"/>
                <w:szCs w:val="21"/>
                <w:highlight w:val="none"/>
              </w:rPr>
              <w:t>（费率，</w:t>
            </w:r>
            <w:r>
              <w:rPr>
                <w:rFonts w:hint="eastAsia" w:ascii="宋体" w:hAnsi="宋体"/>
                <w:color w:val="auto"/>
                <w:spacing w:val="-6"/>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80" w:type="dxa"/>
          </w:tcPr>
          <w:p>
            <w:pPr>
              <w:keepNext w:val="0"/>
              <w:keepLines w:val="0"/>
              <w:suppressLineNumbers w:val="0"/>
              <w:spacing w:before="0" w:beforeAutospacing="0" w:after="0" w:afterAutospacing="0" w:line="288" w:lineRule="auto"/>
              <w:ind w:left="0" w:right="0"/>
              <w:jc w:val="center"/>
              <w:rPr>
                <w:rFonts w:hint="default" w:ascii="宋体" w:hAnsi="宋体"/>
                <w:color w:val="auto"/>
                <w:spacing w:val="-6"/>
                <w:sz w:val="21"/>
                <w:szCs w:val="21"/>
                <w:highlight w:val="none"/>
              </w:rPr>
            </w:pPr>
            <w:r>
              <w:rPr>
                <w:rFonts w:hint="eastAsia" w:ascii="宋体" w:hAnsi="宋体"/>
                <w:color w:val="auto"/>
                <w:spacing w:val="-6"/>
                <w:sz w:val="21"/>
                <w:szCs w:val="21"/>
                <w:highlight w:val="none"/>
              </w:rPr>
              <w:t>100以内部分</w:t>
            </w:r>
          </w:p>
        </w:tc>
        <w:tc>
          <w:tcPr>
            <w:tcW w:w="3516" w:type="dxa"/>
          </w:tcPr>
          <w:p>
            <w:pPr>
              <w:keepNext w:val="0"/>
              <w:keepLines w:val="0"/>
              <w:suppressLineNumbers w:val="0"/>
              <w:spacing w:before="0" w:beforeAutospacing="0" w:after="0" w:afterAutospacing="0" w:line="288" w:lineRule="auto"/>
              <w:ind w:left="0" w:right="0"/>
              <w:jc w:val="center"/>
              <w:rPr>
                <w:rFonts w:hint="default" w:ascii="宋体" w:hAnsi="宋体"/>
                <w:color w:val="auto"/>
                <w:spacing w:val="-6"/>
                <w:sz w:val="21"/>
                <w:szCs w:val="21"/>
                <w:highlight w:val="none"/>
              </w:rPr>
            </w:pPr>
            <w:r>
              <w:rPr>
                <w:rFonts w:hint="eastAsia" w:ascii="宋体" w:hAnsi="宋体"/>
                <w:color w:val="auto"/>
                <w:spacing w:val="-6"/>
                <w:sz w:val="21"/>
                <w:szCs w:val="21"/>
                <w:highlight w:val="none"/>
              </w:rPr>
              <w:t>1.05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80" w:type="dxa"/>
          </w:tcPr>
          <w:p>
            <w:pPr>
              <w:keepNext w:val="0"/>
              <w:keepLines w:val="0"/>
              <w:suppressLineNumbers w:val="0"/>
              <w:spacing w:before="0" w:beforeAutospacing="0" w:after="0" w:afterAutospacing="0" w:line="288" w:lineRule="auto"/>
              <w:ind w:left="0" w:right="0"/>
              <w:jc w:val="center"/>
              <w:rPr>
                <w:rFonts w:hint="default" w:ascii="宋体" w:hAnsi="宋体"/>
                <w:color w:val="auto"/>
                <w:spacing w:val="-6"/>
                <w:sz w:val="21"/>
                <w:szCs w:val="21"/>
                <w:highlight w:val="none"/>
              </w:rPr>
            </w:pPr>
            <w:r>
              <w:rPr>
                <w:rFonts w:hint="eastAsia" w:ascii="宋体" w:hAnsi="宋体"/>
                <w:color w:val="auto"/>
                <w:spacing w:val="-6"/>
                <w:sz w:val="21"/>
                <w:szCs w:val="21"/>
                <w:highlight w:val="none"/>
              </w:rPr>
              <w:t>100-500部分</w:t>
            </w:r>
          </w:p>
        </w:tc>
        <w:tc>
          <w:tcPr>
            <w:tcW w:w="3516" w:type="dxa"/>
          </w:tcPr>
          <w:p>
            <w:pPr>
              <w:keepNext w:val="0"/>
              <w:keepLines w:val="0"/>
              <w:suppressLineNumbers w:val="0"/>
              <w:spacing w:before="0" w:beforeAutospacing="0" w:after="0" w:afterAutospacing="0" w:line="288" w:lineRule="auto"/>
              <w:ind w:left="0" w:right="0"/>
              <w:jc w:val="center"/>
              <w:rPr>
                <w:rFonts w:hint="default" w:ascii="宋体" w:hAnsi="宋体"/>
                <w:color w:val="auto"/>
                <w:spacing w:val="-6"/>
                <w:sz w:val="21"/>
                <w:szCs w:val="21"/>
                <w:highlight w:val="none"/>
              </w:rPr>
            </w:pPr>
            <w:r>
              <w:rPr>
                <w:rFonts w:hint="eastAsia" w:ascii="宋体" w:hAnsi="宋体"/>
                <w:color w:val="auto"/>
                <w:spacing w:val="-6"/>
                <w:sz w:val="21"/>
                <w:szCs w:val="21"/>
                <w:highlight w:val="none"/>
              </w:rPr>
              <w:t>0.77</w:t>
            </w:r>
          </w:p>
        </w:tc>
      </w:tr>
    </w:tbl>
    <w:p>
      <w:pPr>
        <w:spacing w:line="288" w:lineRule="auto"/>
        <w:ind w:firstLine="396" w:firstLineChars="200"/>
        <w:jc w:val="left"/>
        <w:rPr>
          <w:rFonts w:ascii="宋体" w:hAnsi="宋体"/>
          <w:b/>
          <w:color w:val="auto"/>
          <w:spacing w:val="-6"/>
          <w:sz w:val="24"/>
          <w:highlight w:val="none"/>
        </w:rPr>
      </w:pPr>
      <w:r>
        <w:rPr>
          <w:rFonts w:hint="eastAsia" w:ascii="宋体" w:hAnsi="宋体"/>
          <w:color w:val="auto"/>
          <w:spacing w:val="-6"/>
          <w:sz w:val="21"/>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pPr>
        <w:spacing w:line="288" w:lineRule="auto"/>
        <w:jc w:val="left"/>
        <w:outlineLvl w:val="2"/>
        <w:rPr>
          <w:rFonts w:ascii="宋体" w:hAnsi="宋体"/>
          <w:b/>
          <w:color w:val="auto"/>
          <w:spacing w:val="-6"/>
          <w:sz w:val="24"/>
          <w:highlight w:val="none"/>
        </w:rPr>
      </w:pPr>
      <w:r>
        <w:rPr>
          <w:rFonts w:hint="eastAsia" w:ascii="宋体" w:hAnsi="宋体"/>
          <w:b/>
          <w:color w:val="auto"/>
          <w:spacing w:val="-6"/>
          <w:sz w:val="24"/>
          <w:highlight w:val="none"/>
        </w:rPr>
        <w:t>（六） 联合体投标</w:t>
      </w:r>
    </w:p>
    <w:p>
      <w:pPr>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本项目不接受联合体投标。</w:t>
      </w:r>
    </w:p>
    <w:p>
      <w:pPr>
        <w:spacing w:line="288" w:lineRule="auto"/>
        <w:jc w:val="left"/>
        <w:outlineLvl w:val="2"/>
        <w:rPr>
          <w:rFonts w:ascii="宋体" w:hAnsi="宋体"/>
          <w:b/>
          <w:color w:val="auto"/>
          <w:spacing w:val="-6"/>
          <w:sz w:val="24"/>
          <w:highlight w:val="none"/>
        </w:rPr>
      </w:pPr>
      <w:r>
        <w:rPr>
          <w:rFonts w:hint="eastAsia" w:ascii="宋体" w:hAnsi="宋体"/>
          <w:b/>
          <w:color w:val="auto"/>
          <w:spacing w:val="-6"/>
          <w:sz w:val="24"/>
          <w:highlight w:val="none"/>
        </w:rPr>
        <w:t>（七） 转包与分包</w:t>
      </w:r>
    </w:p>
    <w:p>
      <w:pPr>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1</w:t>
      </w:r>
      <w:r>
        <w:rPr>
          <w:rFonts w:ascii="宋体" w:hAnsi="宋体"/>
          <w:color w:val="auto"/>
          <w:spacing w:val="-6"/>
          <w:sz w:val="21"/>
          <w:szCs w:val="21"/>
          <w:highlight w:val="none"/>
        </w:rPr>
        <w:t>.</w:t>
      </w:r>
      <w:r>
        <w:rPr>
          <w:rFonts w:hint="eastAsia" w:ascii="宋体" w:hAnsi="宋体"/>
          <w:color w:val="auto"/>
          <w:spacing w:val="-6"/>
          <w:sz w:val="21"/>
          <w:szCs w:val="21"/>
          <w:highlight w:val="none"/>
        </w:rPr>
        <w:t>本项目不允许转包；</w:t>
      </w:r>
    </w:p>
    <w:p>
      <w:pPr>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2</w:t>
      </w:r>
      <w:r>
        <w:rPr>
          <w:rFonts w:ascii="宋体" w:hAnsi="宋体"/>
          <w:color w:val="auto"/>
          <w:spacing w:val="-6"/>
          <w:sz w:val="21"/>
          <w:szCs w:val="21"/>
          <w:highlight w:val="none"/>
        </w:rPr>
        <w:t>.</w:t>
      </w:r>
      <w:r>
        <w:rPr>
          <w:rFonts w:hint="eastAsia" w:ascii="宋体" w:hAnsi="宋体"/>
          <w:color w:val="auto"/>
          <w:spacing w:val="-6"/>
          <w:sz w:val="21"/>
          <w:szCs w:val="21"/>
          <w:highlight w:val="none"/>
        </w:rPr>
        <w:t>投标人根据招标文件的规定和采购项目的实际情况，拟在中标后将中标项目的非主体、非关键性工作分包的，应当在投标文件中载明分包承担主体，分包承担主体应当具备相应资质条件且不得再次分包。</w:t>
      </w:r>
    </w:p>
    <w:p>
      <w:pPr>
        <w:spacing w:line="288" w:lineRule="auto"/>
        <w:jc w:val="left"/>
        <w:outlineLvl w:val="2"/>
        <w:rPr>
          <w:rFonts w:ascii="宋体" w:hAnsi="宋体"/>
          <w:b/>
          <w:color w:val="auto"/>
          <w:spacing w:val="-6"/>
          <w:sz w:val="24"/>
          <w:highlight w:val="none"/>
        </w:rPr>
      </w:pPr>
      <w:r>
        <w:rPr>
          <w:rFonts w:hint="eastAsia" w:ascii="宋体" w:hAnsi="宋体"/>
          <w:b/>
          <w:color w:val="auto"/>
          <w:spacing w:val="-6"/>
          <w:sz w:val="24"/>
          <w:highlight w:val="none"/>
        </w:rPr>
        <w:t>（八） 特别说明</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1</w:t>
      </w:r>
      <w:r>
        <w:rPr>
          <w:rFonts w:hAnsi="宋体"/>
          <w:color w:val="auto"/>
          <w:spacing w:val="-6"/>
          <w:sz w:val="21"/>
          <w:szCs w:val="21"/>
          <w:highlight w:val="none"/>
        </w:rPr>
        <w:t>.投标人应仔细阅读招标文件的所有内容，按照招标文件的要求提交投标文件，并对所提供的全部资料的真实性承担法律责任。</w:t>
      </w:r>
    </w:p>
    <w:p>
      <w:pPr>
        <w:pStyle w:val="2"/>
        <w:spacing w:line="288" w:lineRule="auto"/>
        <w:ind w:firstLine="396" w:firstLineChars="200"/>
        <w:jc w:val="left"/>
        <w:rPr>
          <w:rFonts w:hAnsi="宋体"/>
          <w:color w:val="auto"/>
          <w:spacing w:val="-6"/>
          <w:sz w:val="21"/>
          <w:szCs w:val="21"/>
          <w:highlight w:val="none"/>
        </w:rPr>
      </w:pPr>
      <w:r>
        <w:rPr>
          <w:rFonts w:hAnsi="宋体"/>
          <w:color w:val="auto"/>
          <w:spacing w:val="-6"/>
          <w:sz w:val="21"/>
          <w:szCs w:val="21"/>
          <w:highlight w:val="none"/>
        </w:rPr>
        <w:t>▲</w:t>
      </w:r>
      <w:r>
        <w:rPr>
          <w:rFonts w:hint="eastAsia" w:hAnsi="宋体"/>
          <w:color w:val="auto"/>
          <w:spacing w:val="-6"/>
          <w:sz w:val="21"/>
          <w:szCs w:val="21"/>
          <w:highlight w:val="none"/>
        </w:rPr>
        <w:t>2</w:t>
      </w:r>
      <w:r>
        <w:rPr>
          <w:rFonts w:hAnsi="宋体"/>
          <w:color w:val="auto"/>
          <w:spacing w:val="-6"/>
          <w:sz w:val="21"/>
          <w:szCs w:val="21"/>
          <w:highlight w:val="none"/>
        </w:rPr>
        <w:t>.</w:t>
      </w:r>
      <w:r>
        <w:rPr>
          <w:rFonts w:hint="eastAsia" w:hAnsi="宋体"/>
          <w:color w:val="auto"/>
          <w:spacing w:val="-6"/>
          <w:sz w:val="21"/>
          <w:szCs w:val="21"/>
          <w:highlight w:val="none"/>
        </w:rPr>
        <w:t>单位负责人为同一人或者存在直接控股、管理关系的不同投标人，不得参加同一合同项下的政府采购活动。</w:t>
      </w:r>
    </w:p>
    <w:p>
      <w:pPr>
        <w:pStyle w:val="2"/>
        <w:spacing w:line="288" w:lineRule="auto"/>
        <w:ind w:firstLine="396" w:firstLineChars="200"/>
        <w:jc w:val="left"/>
        <w:rPr>
          <w:rFonts w:hAnsi="宋体"/>
          <w:color w:val="auto"/>
          <w:spacing w:val="-6"/>
          <w:sz w:val="21"/>
          <w:szCs w:val="21"/>
          <w:highlight w:val="none"/>
        </w:rPr>
      </w:pPr>
      <w:r>
        <w:rPr>
          <w:rFonts w:hAnsi="宋体"/>
          <w:color w:val="auto"/>
          <w:spacing w:val="-6"/>
          <w:sz w:val="21"/>
          <w:szCs w:val="21"/>
          <w:highlight w:val="none"/>
        </w:rPr>
        <w:t>▲</w:t>
      </w:r>
      <w:r>
        <w:rPr>
          <w:rFonts w:hint="eastAsia" w:hAnsi="宋体"/>
          <w:color w:val="auto"/>
          <w:spacing w:val="-6"/>
          <w:sz w:val="21"/>
          <w:szCs w:val="21"/>
          <w:highlight w:val="none"/>
        </w:rPr>
        <w:t>3.为采购项目提供整体设计、规范编制或者项目管理、监理、检测等服务的投标人，不得再参加该采购项目的其他采购活动。</w:t>
      </w:r>
    </w:p>
    <w:p>
      <w:pPr>
        <w:pStyle w:val="2"/>
        <w:spacing w:line="288" w:lineRule="auto"/>
        <w:ind w:firstLine="396" w:firstLineChars="200"/>
        <w:jc w:val="left"/>
        <w:rPr>
          <w:rFonts w:hAnsi="宋体"/>
          <w:color w:val="auto"/>
          <w:spacing w:val="-6"/>
          <w:sz w:val="21"/>
          <w:szCs w:val="21"/>
          <w:highlight w:val="none"/>
          <w:u w:val="single"/>
        </w:rPr>
      </w:pPr>
      <w:r>
        <w:rPr>
          <w:rFonts w:hAnsi="宋体"/>
          <w:color w:val="auto"/>
          <w:spacing w:val="-6"/>
          <w:sz w:val="21"/>
          <w:szCs w:val="21"/>
          <w:highlight w:val="none"/>
          <w:u w:val="single"/>
        </w:rPr>
        <w:t>▲</w:t>
      </w:r>
      <w:r>
        <w:rPr>
          <w:rFonts w:hint="eastAsia" w:hAnsi="宋体"/>
          <w:color w:val="auto"/>
          <w:spacing w:val="-6"/>
          <w:sz w:val="21"/>
          <w:szCs w:val="21"/>
          <w:highlight w:val="none"/>
          <w:u w:val="single"/>
        </w:rPr>
        <w:t>4.投标人授权代表必须为投标人本单位在职职工，并提供2019年12月至今任意一月社保缴纳证明（授权代表为法定代表人可不提供）。</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5.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非单一产品采购项目，多家投标人提供的核心产品品牌相同的，按前款规定处理。</w:t>
      </w:r>
    </w:p>
    <w:p>
      <w:pPr>
        <w:spacing w:line="288" w:lineRule="auto"/>
        <w:jc w:val="left"/>
        <w:outlineLvl w:val="2"/>
        <w:rPr>
          <w:rFonts w:ascii="宋体" w:hAnsi="宋体"/>
          <w:b/>
          <w:color w:val="auto"/>
          <w:spacing w:val="-6"/>
          <w:sz w:val="24"/>
          <w:highlight w:val="none"/>
        </w:rPr>
      </w:pPr>
      <w:r>
        <w:rPr>
          <w:rFonts w:hint="eastAsia" w:ascii="宋体" w:hAnsi="宋体"/>
          <w:b/>
          <w:color w:val="auto"/>
          <w:spacing w:val="-6"/>
          <w:sz w:val="24"/>
          <w:highlight w:val="none"/>
        </w:rPr>
        <w:t>（九） 质疑和投诉</w:t>
      </w:r>
    </w:p>
    <w:p>
      <w:pPr>
        <w:pStyle w:val="2"/>
        <w:spacing w:line="288" w:lineRule="auto"/>
        <w:ind w:firstLine="396" w:firstLineChars="200"/>
        <w:jc w:val="left"/>
        <w:rPr>
          <w:rFonts w:hAnsi="宋体"/>
          <w:color w:val="auto"/>
          <w:spacing w:val="-6"/>
          <w:sz w:val="21"/>
          <w:szCs w:val="21"/>
          <w:highlight w:val="none"/>
        </w:rPr>
      </w:pPr>
      <w:r>
        <w:rPr>
          <w:rFonts w:hAnsi="宋体"/>
          <w:color w:val="auto"/>
          <w:spacing w:val="-6"/>
          <w:sz w:val="21"/>
          <w:szCs w:val="21"/>
          <w:highlight w:val="none"/>
        </w:rPr>
        <w:t>1</w:t>
      </w:r>
      <w:r>
        <w:rPr>
          <w:rFonts w:hint="eastAsia" w:hAnsi="宋体"/>
          <w:color w:val="auto"/>
          <w:spacing w:val="-6"/>
          <w:sz w:val="21"/>
          <w:szCs w:val="21"/>
          <w:highlight w:val="none"/>
        </w:rPr>
        <w:t>.</w:t>
      </w:r>
      <w:r>
        <w:rPr>
          <w:rFonts w:hAnsi="宋体"/>
          <w:color w:val="auto"/>
          <w:spacing w:val="-6"/>
          <w:sz w:val="21"/>
          <w:szCs w:val="21"/>
          <w:highlight w:val="none"/>
        </w:rPr>
        <w:t>投标人</w:t>
      </w:r>
      <w:r>
        <w:rPr>
          <w:rFonts w:hint="eastAsia" w:hAnsi="宋体"/>
          <w:color w:val="auto"/>
          <w:spacing w:val="-6"/>
          <w:sz w:val="21"/>
          <w:szCs w:val="21"/>
          <w:highlight w:val="none"/>
        </w:rPr>
        <w:t>认为招标文件、招标过程和中标结果使自己的权益受到损害的，可以在知道或者应知其权益受到损害之日起七个工作日内，以书面形式向采购人或</w:t>
      </w:r>
      <w:r>
        <w:rPr>
          <w:rFonts w:hAnsi="宋体"/>
          <w:color w:val="auto"/>
          <w:spacing w:val="-6"/>
          <w:sz w:val="21"/>
          <w:szCs w:val="21"/>
          <w:highlight w:val="none"/>
        </w:rPr>
        <w:t>采购代理机构</w:t>
      </w:r>
      <w:r>
        <w:rPr>
          <w:rFonts w:hint="eastAsia" w:hAnsi="宋体"/>
          <w:color w:val="auto"/>
          <w:spacing w:val="-6"/>
          <w:sz w:val="21"/>
          <w:szCs w:val="21"/>
          <w:highlight w:val="none"/>
        </w:rPr>
        <w:t>提出质疑。质疑投标人对采购人、采购代理机构的答复不满意或者采购人、采购代理机构未在规定的时间内作出答复的，可以在答复期满后十五个工作日内向同级政府采购监督管理部门投诉。</w:t>
      </w:r>
    </w:p>
    <w:p>
      <w:pPr>
        <w:pStyle w:val="2"/>
        <w:spacing w:line="288" w:lineRule="auto"/>
        <w:ind w:firstLine="398" w:firstLineChars="200"/>
        <w:jc w:val="left"/>
        <w:rPr>
          <w:rFonts w:hAnsi="宋体"/>
          <w:b/>
          <w:bCs/>
          <w:color w:val="auto"/>
          <w:spacing w:val="-6"/>
          <w:sz w:val="21"/>
          <w:szCs w:val="21"/>
          <w:highlight w:val="none"/>
        </w:rPr>
      </w:pPr>
      <w:r>
        <w:rPr>
          <w:rFonts w:hint="eastAsia" w:hAnsi="宋体"/>
          <w:b/>
          <w:bCs/>
          <w:color w:val="auto"/>
          <w:spacing w:val="-6"/>
          <w:sz w:val="21"/>
          <w:szCs w:val="21"/>
          <w:highlight w:val="none"/>
        </w:rPr>
        <w:t>2.投标人提出质疑应当提交质疑函和必要的证明材料，质疑函范本请到“浙江政府采购网下载专区”下载，质疑函应当包括下列内容：</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（一）供应商的姓名或者名称、地址、邮编、联系人及联系电话；</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（二）质疑项目的名称、编号；</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（三）具体、明确的质疑事项和与质疑事项相关的请求；</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（四）事实依据；</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（五）必要的法律依据；</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（六）提出质疑的日期。</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投标人为自然人的，应当由本人签字；投标人为法人或者其他组织的，应当由法定代表人、主要负责人，或者其授权代表签字或者盖章，并加盖公章。</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3.提出质疑的供应商应当是参与本项目招标活动的投标人。</w:t>
      </w:r>
      <w:r>
        <w:rPr>
          <w:rFonts w:hint="eastAsia" w:hAnsi="宋体"/>
          <w:b/>
          <w:color w:val="auto"/>
          <w:spacing w:val="-6"/>
          <w:sz w:val="21"/>
          <w:szCs w:val="21"/>
          <w:highlight w:val="none"/>
        </w:rPr>
        <w:t>投标人在法定质疑期内应一次性提出针对同一采购程序环节的质疑。</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4.根据《政府采购质疑和投诉办法》第三十七条的规定，投诉人在全国范围</w:t>
      </w:r>
      <w:r>
        <w:rPr>
          <w:rFonts w:hAnsi="宋体"/>
          <w:color w:val="auto"/>
          <w:spacing w:val="-6"/>
          <w:sz w:val="21"/>
          <w:szCs w:val="21"/>
          <w:highlight w:val="none"/>
        </w:rPr>
        <w:t>12</w:t>
      </w:r>
      <w:r>
        <w:rPr>
          <w:rFonts w:hint="eastAsia" w:hAnsi="宋体"/>
          <w:color w:val="auto"/>
          <w:spacing w:val="-6"/>
          <w:sz w:val="21"/>
          <w:szCs w:val="21"/>
          <w:highlight w:val="none"/>
        </w:rPr>
        <w:t>个月内三次以上投诉查无实据的，由财政部门列入不良行为记录名单。</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投诉人有下列行为之一的，属于虚假、恶意投诉，由财政部门列入不良行为记录名单，禁止其</w:t>
      </w:r>
      <w:r>
        <w:rPr>
          <w:rFonts w:hAnsi="宋体"/>
          <w:color w:val="auto"/>
          <w:spacing w:val="-6"/>
          <w:sz w:val="21"/>
          <w:szCs w:val="21"/>
          <w:highlight w:val="none"/>
        </w:rPr>
        <w:t>1</w:t>
      </w:r>
      <w:r>
        <w:rPr>
          <w:rFonts w:hint="eastAsia" w:hAnsi="宋体"/>
          <w:color w:val="auto"/>
          <w:spacing w:val="-6"/>
          <w:sz w:val="21"/>
          <w:szCs w:val="21"/>
          <w:highlight w:val="none"/>
        </w:rPr>
        <w:t>至</w:t>
      </w:r>
      <w:r>
        <w:rPr>
          <w:rFonts w:hAnsi="宋体"/>
          <w:color w:val="auto"/>
          <w:spacing w:val="-6"/>
          <w:sz w:val="21"/>
          <w:szCs w:val="21"/>
          <w:highlight w:val="none"/>
        </w:rPr>
        <w:t>3</w:t>
      </w:r>
      <w:r>
        <w:rPr>
          <w:rFonts w:hint="eastAsia" w:hAnsi="宋体"/>
          <w:color w:val="auto"/>
          <w:spacing w:val="-6"/>
          <w:sz w:val="21"/>
          <w:szCs w:val="21"/>
          <w:highlight w:val="none"/>
        </w:rPr>
        <w:t>年内参加政府采购活动：</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（一）捏造事实；</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（二）提供虚假材料；</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（三）以非法手段取得证明材料。证据来源的合法性存在明显疑问，投诉人无法证明其取得方式合法的，视为以非法手段取得证明材料。</w:t>
      </w:r>
    </w:p>
    <w:p>
      <w:pPr>
        <w:pStyle w:val="12"/>
        <w:spacing w:before="0" w:beforeLines="0" w:after="0" w:afterLines="0" w:line="288" w:lineRule="auto"/>
        <w:jc w:val="center"/>
        <w:outlineLvl w:val="1"/>
        <w:rPr>
          <w:rFonts w:hAnsi="宋体"/>
          <w:b/>
          <w:color w:val="auto"/>
          <w:spacing w:val="-6"/>
          <w:sz w:val="32"/>
          <w:szCs w:val="32"/>
          <w:highlight w:val="none"/>
        </w:rPr>
      </w:pPr>
      <w:r>
        <w:rPr>
          <w:rFonts w:hAnsi="宋体"/>
          <w:b/>
          <w:color w:val="auto"/>
          <w:spacing w:val="-6"/>
          <w:sz w:val="32"/>
          <w:szCs w:val="32"/>
          <w:highlight w:val="none"/>
        </w:rPr>
        <w:br w:type="page"/>
      </w:r>
      <w:r>
        <w:rPr>
          <w:rFonts w:hAnsi="宋体"/>
          <w:b/>
          <w:color w:val="auto"/>
          <w:spacing w:val="-6"/>
          <w:sz w:val="32"/>
          <w:szCs w:val="32"/>
          <w:highlight w:val="none"/>
        </w:rPr>
        <w:t>二</w:t>
      </w:r>
      <w:r>
        <w:rPr>
          <w:rFonts w:hint="eastAsia" w:hAnsi="宋体"/>
          <w:b/>
          <w:color w:val="auto"/>
          <w:spacing w:val="-6"/>
          <w:sz w:val="32"/>
          <w:szCs w:val="32"/>
          <w:highlight w:val="none"/>
        </w:rPr>
        <w:t>、招标文件</w:t>
      </w:r>
    </w:p>
    <w:p>
      <w:pPr>
        <w:spacing w:line="288" w:lineRule="auto"/>
        <w:jc w:val="left"/>
        <w:outlineLvl w:val="2"/>
        <w:rPr>
          <w:rFonts w:ascii="宋体" w:hAnsi="宋体"/>
          <w:b/>
          <w:color w:val="auto"/>
          <w:spacing w:val="-6"/>
          <w:sz w:val="24"/>
          <w:highlight w:val="none"/>
        </w:rPr>
      </w:pPr>
      <w:r>
        <w:rPr>
          <w:rFonts w:hint="eastAsia" w:ascii="宋体" w:hAnsi="宋体"/>
          <w:b/>
          <w:color w:val="auto"/>
          <w:spacing w:val="-6"/>
          <w:sz w:val="24"/>
          <w:highlight w:val="none"/>
        </w:rPr>
        <w:t>（一） 招标文件的构成</w:t>
      </w:r>
    </w:p>
    <w:p>
      <w:pPr>
        <w:pStyle w:val="2"/>
        <w:spacing w:line="288" w:lineRule="auto"/>
        <w:ind w:firstLine="398" w:firstLineChars="200"/>
        <w:jc w:val="left"/>
        <w:rPr>
          <w:rFonts w:hAnsi="宋体"/>
          <w:b/>
          <w:color w:val="auto"/>
          <w:spacing w:val="-6"/>
          <w:sz w:val="21"/>
          <w:szCs w:val="21"/>
          <w:highlight w:val="none"/>
        </w:rPr>
      </w:pPr>
      <w:r>
        <w:rPr>
          <w:rFonts w:hint="eastAsia" w:hAnsi="宋体"/>
          <w:b/>
          <w:color w:val="auto"/>
          <w:spacing w:val="-6"/>
          <w:sz w:val="21"/>
          <w:szCs w:val="21"/>
          <w:highlight w:val="none"/>
        </w:rPr>
        <w:t>本招标文件由以下部份组成：</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1.投标邀请</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2.采购需求</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3.投标人须知</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4.评标办法及评分标准</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5.拟签订的合同文本</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6.投标文件格式</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7.本项目招标文件的澄清、答复、修改、补充的内容</w:t>
      </w:r>
    </w:p>
    <w:p>
      <w:pPr>
        <w:spacing w:line="288" w:lineRule="auto"/>
        <w:jc w:val="left"/>
        <w:outlineLvl w:val="2"/>
        <w:rPr>
          <w:rFonts w:ascii="宋体" w:hAnsi="宋体"/>
          <w:b/>
          <w:color w:val="auto"/>
          <w:spacing w:val="-6"/>
          <w:sz w:val="24"/>
          <w:highlight w:val="none"/>
        </w:rPr>
      </w:pPr>
      <w:r>
        <w:rPr>
          <w:rFonts w:hint="eastAsia" w:ascii="宋体" w:hAnsi="宋体"/>
          <w:b/>
          <w:color w:val="auto"/>
          <w:spacing w:val="-6"/>
          <w:sz w:val="24"/>
          <w:highlight w:val="none"/>
        </w:rPr>
        <w:t>（二） 投标人的风险</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投标人没有按照招标文件要求提供全部资料，或者投标人没有对招标文件在各方面作出实质性响应是投标人的风险，并可能导致其投标被拒绝。</w:t>
      </w:r>
    </w:p>
    <w:p>
      <w:pPr>
        <w:spacing w:line="288" w:lineRule="auto"/>
        <w:jc w:val="left"/>
        <w:outlineLvl w:val="2"/>
        <w:rPr>
          <w:rFonts w:ascii="宋体" w:hAnsi="宋体"/>
          <w:b/>
          <w:color w:val="auto"/>
          <w:spacing w:val="-6"/>
          <w:sz w:val="24"/>
          <w:highlight w:val="none"/>
        </w:rPr>
      </w:pPr>
      <w:r>
        <w:rPr>
          <w:rFonts w:hint="eastAsia" w:ascii="宋体" w:hAnsi="宋体"/>
          <w:b/>
          <w:color w:val="auto"/>
          <w:spacing w:val="-6"/>
          <w:sz w:val="24"/>
          <w:highlight w:val="none"/>
        </w:rPr>
        <w:t>（三） 招标文件的澄清与修改</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1</w:t>
      </w:r>
      <w:r>
        <w:rPr>
          <w:rFonts w:hAnsi="宋体"/>
          <w:color w:val="auto"/>
          <w:spacing w:val="-6"/>
          <w:sz w:val="21"/>
          <w:szCs w:val="21"/>
          <w:highlight w:val="none"/>
        </w:rPr>
        <w:t>.采购人或者采购代理机构可以对已发出的招标文件进行必要的澄清或者修改</w:t>
      </w:r>
      <w:r>
        <w:rPr>
          <w:rFonts w:hint="eastAsia" w:hAnsi="宋体"/>
          <w:color w:val="auto"/>
          <w:spacing w:val="-6"/>
          <w:sz w:val="21"/>
          <w:szCs w:val="21"/>
          <w:highlight w:val="none"/>
        </w:rPr>
        <w:t>，</w:t>
      </w:r>
      <w:r>
        <w:rPr>
          <w:rFonts w:hAnsi="宋体"/>
          <w:color w:val="auto"/>
          <w:spacing w:val="-6"/>
          <w:sz w:val="21"/>
          <w:szCs w:val="21"/>
          <w:highlight w:val="none"/>
        </w:rPr>
        <w:t>澄清或者修改</w:t>
      </w:r>
      <w:r>
        <w:rPr>
          <w:rFonts w:hint="eastAsia" w:hAnsi="宋体"/>
          <w:color w:val="auto"/>
          <w:spacing w:val="-6"/>
          <w:sz w:val="21"/>
          <w:szCs w:val="21"/>
          <w:highlight w:val="none"/>
        </w:rPr>
        <w:t>会</w:t>
      </w:r>
      <w:r>
        <w:rPr>
          <w:rFonts w:hAnsi="宋体"/>
          <w:color w:val="auto"/>
          <w:spacing w:val="-6"/>
          <w:sz w:val="21"/>
          <w:szCs w:val="21"/>
          <w:highlight w:val="none"/>
        </w:rPr>
        <w:t>在原公告发布媒体上发布澄清公告</w:t>
      </w:r>
      <w:r>
        <w:rPr>
          <w:rFonts w:hint="eastAsia" w:hAnsi="宋体"/>
          <w:color w:val="auto"/>
          <w:spacing w:val="-6"/>
          <w:sz w:val="21"/>
          <w:szCs w:val="21"/>
          <w:highlight w:val="none"/>
        </w:rPr>
        <w:t>，</w:t>
      </w:r>
      <w:r>
        <w:rPr>
          <w:rFonts w:hAnsi="宋体"/>
          <w:color w:val="auto"/>
          <w:spacing w:val="-6"/>
          <w:sz w:val="21"/>
          <w:szCs w:val="21"/>
          <w:highlight w:val="none"/>
        </w:rPr>
        <w:t>澄清或者修改的内容为招标文件的组成部分。</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2.招标文件的修改将以书面形式通知所有获取招标文件的投标人，并对其具有约束力。投标人在收到上述通知后，应立即向采购</w:t>
      </w:r>
      <w:r>
        <w:rPr>
          <w:rFonts w:hAnsi="宋体"/>
          <w:color w:val="auto"/>
          <w:spacing w:val="-6"/>
          <w:sz w:val="21"/>
          <w:szCs w:val="21"/>
          <w:highlight w:val="none"/>
        </w:rPr>
        <w:t>代理机构</w:t>
      </w:r>
      <w:r>
        <w:rPr>
          <w:rFonts w:hint="eastAsia" w:hAnsi="宋体"/>
          <w:color w:val="auto"/>
          <w:spacing w:val="-6"/>
          <w:sz w:val="21"/>
          <w:szCs w:val="21"/>
          <w:highlight w:val="none"/>
        </w:rPr>
        <w:t>回函确认。若无书面回函确认，视同投标人已收到招标文件修改的通知，并受其约束。</w:t>
      </w:r>
    </w:p>
    <w:p>
      <w:pPr>
        <w:pStyle w:val="12"/>
        <w:spacing w:before="0" w:beforeLines="0" w:after="0" w:afterLines="0" w:line="288" w:lineRule="auto"/>
        <w:jc w:val="center"/>
        <w:outlineLvl w:val="1"/>
        <w:rPr>
          <w:rFonts w:hAnsi="宋体"/>
          <w:color w:val="auto"/>
          <w:spacing w:val="-6"/>
          <w:sz w:val="21"/>
          <w:szCs w:val="21"/>
          <w:highlight w:val="none"/>
        </w:rPr>
      </w:pPr>
      <w:r>
        <w:rPr>
          <w:rFonts w:hAnsi="宋体"/>
          <w:color w:val="auto"/>
          <w:spacing w:val="-6"/>
          <w:sz w:val="21"/>
          <w:szCs w:val="21"/>
          <w:highlight w:val="none"/>
        </w:rPr>
        <w:br w:type="page"/>
      </w:r>
      <w:r>
        <w:rPr>
          <w:rFonts w:hAnsi="宋体"/>
          <w:b/>
          <w:color w:val="auto"/>
          <w:spacing w:val="-6"/>
          <w:sz w:val="32"/>
          <w:szCs w:val="32"/>
          <w:highlight w:val="none"/>
        </w:rPr>
        <w:t>三</w:t>
      </w:r>
      <w:r>
        <w:rPr>
          <w:rFonts w:hint="eastAsia" w:hAnsi="宋体"/>
          <w:b/>
          <w:color w:val="auto"/>
          <w:spacing w:val="-6"/>
          <w:sz w:val="32"/>
          <w:szCs w:val="32"/>
          <w:highlight w:val="none"/>
        </w:rPr>
        <w:t>、</w:t>
      </w:r>
      <w:r>
        <w:rPr>
          <w:rFonts w:hAnsi="宋体"/>
          <w:b/>
          <w:color w:val="auto"/>
          <w:spacing w:val="-6"/>
          <w:sz w:val="32"/>
          <w:szCs w:val="32"/>
          <w:highlight w:val="none"/>
        </w:rPr>
        <w:t>投标文件的编制</w:t>
      </w:r>
    </w:p>
    <w:p>
      <w:pPr>
        <w:spacing w:line="288" w:lineRule="auto"/>
        <w:jc w:val="left"/>
        <w:outlineLvl w:val="2"/>
        <w:rPr>
          <w:rFonts w:ascii="宋体" w:hAnsi="宋体"/>
          <w:b/>
          <w:color w:val="auto"/>
          <w:spacing w:val="-6"/>
          <w:sz w:val="24"/>
          <w:highlight w:val="none"/>
        </w:rPr>
      </w:pPr>
      <w:r>
        <w:rPr>
          <w:rFonts w:hint="eastAsia" w:ascii="宋体" w:hAnsi="宋体"/>
          <w:b/>
          <w:color w:val="auto"/>
          <w:spacing w:val="-6"/>
          <w:sz w:val="24"/>
          <w:highlight w:val="none"/>
        </w:rPr>
        <w:t>（一） 投标文件的组成</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投标文件由</w:t>
      </w:r>
      <w:r>
        <w:rPr>
          <w:rFonts w:hint="eastAsia" w:hAnsi="宋体"/>
          <w:b/>
          <w:color w:val="auto"/>
          <w:spacing w:val="-6"/>
          <w:sz w:val="21"/>
          <w:szCs w:val="21"/>
          <w:highlight w:val="none"/>
        </w:rPr>
        <w:t>资格文件、报价文件、商务技术文件</w:t>
      </w:r>
      <w:r>
        <w:rPr>
          <w:rFonts w:hint="eastAsia" w:hAnsi="宋体"/>
          <w:bCs/>
          <w:color w:val="auto"/>
          <w:spacing w:val="-6"/>
          <w:sz w:val="21"/>
          <w:szCs w:val="21"/>
          <w:highlight w:val="none"/>
        </w:rPr>
        <w:t>三部分组成（格式详见招标文件第六章）。</w:t>
      </w:r>
    </w:p>
    <w:p>
      <w:pPr>
        <w:spacing w:line="288" w:lineRule="auto"/>
        <w:ind w:firstLine="398" w:firstLineChars="200"/>
        <w:jc w:val="left"/>
        <w:rPr>
          <w:rFonts w:ascii="宋体" w:hAnsi="宋体"/>
          <w:b/>
          <w:bCs/>
          <w:color w:val="auto"/>
          <w:spacing w:val="-6"/>
          <w:sz w:val="21"/>
          <w:szCs w:val="21"/>
          <w:highlight w:val="none"/>
        </w:rPr>
      </w:pPr>
      <w:r>
        <w:rPr>
          <w:rFonts w:hint="eastAsia" w:ascii="宋体" w:hAnsi="宋体"/>
          <w:b/>
          <w:bCs/>
          <w:color w:val="auto"/>
          <w:spacing w:val="-6"/>
          <w:sz w:val="21"/>
          <w:szCs w:val="21"/>
          <w:highlight w:val="none"/>
        </w:rPr>
        <w:t>▲1.</w:t>
      </w:r>
      <w:r>
        <w:rPr>
          <w:rFonts w:hint="eastAsia" w:hAnsi="宋体"/>
          <w:b/>
          <w:bCs/>
          <w:color w:val="auto"/>
          <w:spacing w:val="-6"/>
          <w:sz w:val="21"/>
          <w:szCs w:val="21"/>
          <w:highlight w:val="none"/>
        </w:rPr>
        <w:t>资格文件</w:t>
      </w:r>
    </w:p>
    <w:p>
      <w:pPr>
        <w:pStyle w:val="2"/>
        <w:spacing w:line="288" w:lineRule="auto"/>
        <w:ind w:firstLine="398" w:firstLineChars="200"/>
        <w:jc w:val="left"/>
        <w:rPr>
          <w:rFonts w:hAnsi="宋体" w:cs="宋体"/>
          <w:b/>
          <w:color w:val="auto"/>
          <w:spacing w:val="-6"/>
          <w:sz w:val="21"/>
          <w:szCs w:val="21"/>
          <w:highlight w:val="none"/>
        </w:rPr>
      </w:pPr>
      <w:r>
        <w:rPr>
          <w:rFonts w:hint="eastAsia" w:hAnsi="宋体" w:cs="宋体"/>
          <w:b/>
          <w:color w:val="auto"/>
          <w:spacing w:val="-6"/>
          <w:sz w:val="21"/>
          <w:szCs w:val="21"/>
          <w:highlight w:val="none"/>
        </w:rPr>
        <w:t>资格审查要求的资格证明材料(均需加盖公章)：</w:t>
      </w:r>
    </w:p>
    <w:p>
      <w:pPr>
        <w:spacing w:line="288" w:lineRule="auto"/>
        <w:ind w:firstLine="398" w:firstLineChars="200"/>
        <w:jc w:val="left"/>
        <w:rPr>
          <w:rFonts w:ascii="宋体" w:hAnsi="宋体" w:cs="宋体"/>
          <w:b/>
          <w:color w:val="auto"/>
          <w:spacing w:val="-6"/>
          <w:sz w:val="21"/>
          <w:szCs w:val="21"/>
          <w:highlight w:val="none"/>
        </w:rPr>
      </w:pPr>
      <w:r>
        <w:rPr>
          <w:rFonts w:hint="eastAsia" w:ascii="宋体" w:hAnsi="宋体" w:cs="宋体"/>
          <w:b/>
          <w:color w:val="auto"/>
          <w:spacing w:val="-6"/>
          <w:sz w:val="21"/>
          <w:szCs w:val="21"/>
          <w:highlight w:val="none"/>
        </w:rPr>
        <w:t>1）有效的法人或者其他组织的营业执照等证明文件（扫描件），自然人的身份证明（仅自然人投标时提供）</w:t>
      </w:r>
    </w:p>
    <w:p>
      <w:pPr>
        <w:spacing w:line="288" w:lineRule="auto"/>
        <w:ind w:firstLine="398" w:firstLineChars="200"/>
        <w:jc w:val="left"/>
        <w:rPr>
          <w:rFonts w:ascii="宋体" w:hAnsi="宋体" w:cs="宋体"/>
          <w:b/>
          <w:color w:val="auto"/>
          <w:spacing w:val="-6"/>
          <w:sz w:val="21"/>
          <w:szCs w:val="21"/>
          <w:highlight w:val="none"/>
        </w:rPr>
      </w:pPr>
      <w:r>
        <w:rPr>
          <w:rFonts w:hint="eastAsia" w:ascii="宋体" w:hAnsi="宋体" w:cs="宋体"/>
          <w:b/>
          <w:color w:val="auto"/>
          <w:spacing w:val="-6"/>
          <w:sz w:val="21"/>
          <w:szCs w:val="21"/>
          <w:highlight w:val="none"/>
        </w:rPr>
        <w:t>2）2019年12月至今任意一月的财务状况报告（扫描件）或开标前三个月内出具的银行资信证明</w:t>
      </w:r>
    </w:p>
    <w:p>
      <w:pPr>
        <w:spacing w:line="288" w:lineRule="auto"/>
        <w:ind w:firstLine="398" w:firstLineChars="200"/>
        <w:jc w:val="left"/>
        <w:rPr>
          <w:rFonts w:ascii="宋体" w:hAnsi="宋体" w:cs="宋体"/>
          <w:b/>
          <w:color w:val="auto"/>
          <w:spacing w:val="-6"/>
          <w:sz w:val="21"/>
          <w:szCs w:val="21"/>
          <w:highlight w:val="none"/>
        </w:rPr>
      </w:pPr>
      <w:r>
        <w:rPr>
          <w:rFonts w:hint="eastAsia" w:ascii="宋体" w:hAnsi="宋体" w:cs="宋体"/>
          <w:b/>
          <w:color w:val="auto"/>
          <w:spacing w:val="-6"/>
          <w:sz w:val="21"/>
          <w:szCs w:val="21"/>
          <w:highlight w:val="none"/>
        </w:rPr>
        <w:t>3）2019年12月至今任意一月依法缴纳税收的证明材料（依法免税的投标人应提供相应文件证明其依法免税）</w:t>
      </w:r>
    </w:p>
    <w:p>
      <w:pPr>
        <w:spacing w:line="288" w:lineRule="auto"/>
        <w:ind w:firstLine="398" w:firstLineChars="200"/>
        <w:jc w:val="left"/>
        <w:rPr>
          <w:rFonts w:ascii="宋体" w:hAnsi="宋体" w:cs="宋体"/>
          <w:b/>
          <w:color w:val="auto"/>
          <w:spacing w:val="-6"/>
          <w:sz w:val="21"/>
          <w:szCs w:val="21"/>
          <w:highlight w:val="none"/>
        </w:rPr>
      </w:pPr>
      <w:r>
        <w:rPr>
          <w:rFonts w:hint="eastAsia" w:ascii="宋体" w:hAnsi="宋体" w:cs="宋体"/>
          <w:b/>
          <w:color w:val="auto"/>
          <w:spacing w:val="-6"/>
          <w:sz w:val="21"/>
          <w:szCs w:val="21"/>
          <w:highlight w:val="none"/>
        </w:rPr>
        <w:t>4）2019年12月至今任意一月依法缴纳社会保障资金的证明材料（依法不需要缴纳社会保障资金的投标人应提供相应文件证明其依法不需要缴纳社会保障资金）</w:t>
      </w:r>
    </w:p>
    <w:p>
      <w:pPr>
        <w:spacing w:line="288" w:lineRule="auto"/>
        <w:ind w:firstLine="398" w:firstLineChars="200"/>
        <w:jc w:val="left"/>
        <w:rPr>
          <w:rFonts w:ascii="宋体" w:hAnsi="宋体" w:cs="宋体"/>
          <w:b/>
          <w:color w:val="auto"/>
          <w:spacing w:val="-6"/>
          <w:sz w:val="21"/>
          <w:szCs w:val="21"/>
          <w:highlight w:val="none"/>
        </w:rPr>
      </w:pPr>
      <w:r>
        <w:rPr>
          <w:rFonts w:hint="eastAsia" w:ascii="宋体" w:hAnsi="宋体" w:cs="宋体"/>
          <w:b/>
          <w:color w:val="auto"/>
          <w:spacing w:val="-6"/>
          <w:sz w:val="21"/>
          <w:szCs w:val="21"/>
          <w:highlight w:val="none"/>
        </w:rPr>
        <w:t>5）具有履行合同所必需的设备和专业技术能力的承诺函</w:t>
      </w:r>
    </w:p>
    <w:p>
      <w:pPr>
        <w:spacing w:line="288" w:lineRule="auto"/>
        <w:ind w:firstLine="398" w:firstLineChars="200"/>
        <w:jc w:val="left"/>
        <w:rPr>
          <w:rFonts w:ascii="宋体" w:hAnsi="宋体" w:cs="宋体"/>
          <w:b/>
          <w:color w:val="auto"/>
          <w:spacing w:val="-6"/>
          <w:sz w:val="21"/>
          <w:szCs w:val="21"/>
          <w:highlight w:val="none"/>
        </w:rPr>
      </w:pPr>
      <w:r>
        <w:rPr>
          <w:rFonts w:hint="eastAsia" w:ascii="宋体" w:hAnsi="宋体" w:cs="宋体"/>
          <w:b/>
          <w:color w:val="auto"/>
          <w:spacing w:val="-6"/>
          <w:sz w:val="21"/>
          <w:szCs w:val="21"/>
          <w:highlight w:val="none"/>
        </w:rPr>
        <w:t>6）参加政府采购活动前3年内在经营活动中没有重大违法记录的书面声明</w:t>
      </w:r>
    </w:p>
    <w:p>
      <w:pPr>
        <w:spacing w:line="288" w:lineRule="auto"/>
        <w:ind w:firstLine="398" w:firstLineChars="200"/>
        <w:jc w:val="left"/>
        <w:rPr>
          <w:rFonts w:ascii="宋体" w:hAnsi="宋体"/>
          <w:b/>
          <w:color w:val="auto"/>
          <w:spacing w:val="-6"/>
          <w:sz w:val="21"/>
          <w:szCs w:val="21"/>
          <w:highlight w:val="none"/>
        </w:rPr>
      </w:pPr>
      <w:r>
        <w:rPr>
          <w:rFonts w:hint="eastAsia" w:ascii="宋体" w:hAnsi="宋体"/>
          <w:b/>
          <w:color w:val="auto"/>
          <w:spacing w:val="-6"/>
          <w:sz w:val="21"/>
          <w:szCs w:val="21"/>
          <w:highlight w:val="none"/>
        </w:rPr>
        <w:t>2</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报价文件</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1）开标一览表</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2）投标报价明细表</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3）投标人企业类型声明函</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4）小微企业资格证明材料、监狱企业资格证明材料（若属于小微、监狱企业）</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5）残疾人福利性单位声明函（若属于残疾人福利性单位）</w:t>
      </w:r>
    </w:p>
    <w:p>
      <w:pPr>
        <w:spacing w:line="288" w:lineRule="auto"/>
        <w:ind w:firstLine="398" w:firstLineChars="200"/>
        <w:jc w:val="left"/>
        <w:rPr>
          <w:rFonts w:ascii="宋体" w:hAnsi="宋体"/>
          <w:b/>
          <w:color w:val="auto"/>
          <w:spacing w:val="-6"/>
          <w:sz w:val="21"/>
          <w:szCs w:val="21"/>
          <w:highlight w:val="none"/>
        </w:rPr>
      </w:pPr>
      <w:r>
        <w:rPr>
          <w:rFonts w:hint="eastAsia" w:ascii="宋体" w:hAnsi="宋体"/>
          <w:b/>
          <w:color w:val="auto"/>
          <w:spacing w:val="-6"/>
          <w:sz w:val="21"/>
          <w:szCs w:val="21"/>
          <w:highlight w:val="none"/>
        </w:rPr>
        <w:t>3.商务技术文件：</w:t>
      </w:r>
    </w:p>
    <w:p>
      <w:pPr>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A.商务文件：</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1）投标函</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2）法定代表人资格证明书、法定代表人授权委托书</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3）2019年12月至今任意一月投标授权代表社保缴纳证明</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4）投标声明书</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5）投标人情况介绍</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6）商务偏离表</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7）投标人同类项目实施情况一览表</w:t>
      </w:r>
    </w:p>
    <w:p>
      <w:pPr>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8）节能、环保产品证明材料</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9）投标人需要说明的其他文件和材料</w:t>
      </w:r>
    </w:p>
    <w:p>
      <w:pPr>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B.技术文件</w:t>
      </w:r>
    </w:p>
    <w:p>
      <w:pPr>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1）技术偏离表</w:t>
      </w:r>
    </w:p>
    <w:p>
      <w:pPr>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2）</w:t>
      </w:r>
      <w:r>
        <w:rPr>
          <w:rFonts w:hint="eastAsia" w:ascii="宋体" w:hAnsi="宋体" w:cs="宋体"/>
          <w:color w:val="auto"/>
          <w:sz w:val="21"/>
          <w:szCs w:val="21"/>
          <w:highlight w:val="none"/>
        </w:rPr>
        <w:t>货物配置清单、</w:t>
      </w:r>
      <w:r>
        <w:rPr>
          <w:rFonts w:hint="eastAsia" w:ascii="宋体" w:hAnsi="宋体"/>
          <w:color w:val="auto"/>
          <w:spacing w:val="-6"/>
          <w:sz w:val="21"/>
          <w:szCs w:val="21"/>
          <w:highlight w:val="none"/>
        </w:rPr>
        <w:t>原厂出厂配置表</w:t>
      </w:r>
    </w:p>
    <w:p>
      <w:pPr>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3）技术支持资料</w:t>
      </w:r>
    </w:p>
    <w:p>
      <w:pPr>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4）技术方案</w:t>
      </w:r>
    </w:p>
    <w:p>
      <w:pPr>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5）</w:t>
      </w:r>
      <w:r>
        <w:rPr>
          <w:rFonts w:ascii="宋体" w:hAnsi="宋体"/>
          <w:color w:val="auto"/>
          <w:spacing w:val="-6"/>
          <w:sz w:val="21"/>
          <w:szCs w:val="21"/>
          <w:highlight w:val="none"/>
        </w:rPr>
        <w:t>售后服务</w:t>
      </w:r>
      <w:r>
        <w:rPr>
          <w:rFonts w:hint="eastAsia" w:ascii="宋体" w:hAnsi="宋体"/>
          <w:color w:val="auto"/>
          <w:spacing w:val="-6"/>
          <w:sz w:val="21"/>
          <w:szCs w:val="21"/>
          <w:highlight w:val="none"/>
        </w:rPr>
        <w:t>方案</w:t>
      </w:r>
    </w:p>
    <w:p>
      <w:pPr>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6）技术服务、技术培训的内容和措施</w:t>
      </w:r>
    </w:p>
    <w:p>
      <w:pPr>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7）配件、专用耗材和售后服务优惠表</w:t>
      </w:r>
    </w:p>
    <w:p>
      <w:pPr>
        <w:spacing w:line="288" w:lineRule="auto"/>
        <w:jc w:val="left"/>
        <w:outlineLvl w:val="2"/>
        <w:rPr>
          <w:rFonts w:ascii="宋体" w:hAnsi="宋体"/>
          <w:b/>
          <w:color w:val="auto"/>
          <w:spacing w:val="-6"/>
          <w:sz w:val="24"/>
          <w:highlight w:val="none"/>
        </w:rPr>
      </w:pPr>
      <w:r>
        <w:rPr>
          <w:rFonts w:hint="eastAsia" w:ascii="宋体" w:hAnsi="宋体"/>
          <w:b/>
          <w:color w:val="auto"/>
          <w:spacing w:val="-6"/>
          <w:sz w:val="24"/>
          <w:highlight w:val="none"/>
        </w:rPr>
        <w:t>（二） 投标文件的签署和份数</w:t>
      </w:r>
    </w:p>
    <w:p>
      <w:pPr>
        <w:spacing w:line="288" w:lineRule="auto"/>
        <w:ind w:firstLine="396" w:firstLineChars="200"/>
        <w:jc w:val="left"/>
        <w:rPr>
          <w:rFonts w:ascii="宋体" w:hAnsi="宋体"/>
          <w:b/>
          <w:bCs/>
          <w:color w:val="auto"/>
          <w:spacing w:val="-6"/>
          <w:sz w:val="21"/>
          <w:szCs w:val="21"/>
          <w:highlight w:val="none"/>
        </w:rPr>
      </w:pPr>
      <w:r>
        <w:rPr>
          <w:rFonts w:hint="eastAsia" w:ascii="宋体" w:hAnsi="宋体"/>
          <w:color w:val="auto"/>
          <w:spacing w:val="-6"/>
          <w:sz w:val="21"/>
          <w:szCs w:val="21"/>
          <w:highlight w:val="none"/>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b/>
          <w:bCs/>
          <w:color w:val="auto"/>
          <w:spacing w:val="-6"/>
          <w:sz w:val="21"/>
          <w:szCs w:val="21"/>
          <w:highlight w:val="none"/>
        </w:rPr>
        <w:t>其中资格文件、商务技术文件中不得出现投标报价，如因投标人原因提前泄露投标报价，是投标人的责任。</w:t>
      </w:r>
    </w:p>
    <w:p>
      <w:pPr>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2.投标文件须由投标人在规定位置加盖公章并由投标人</w:t>
      </w:r>
      <w:r>
        <w:rPr>
          <w:rFonts w:ascii="宋体" w:hAnsi="宋体"/>
          <w:color w:val="auto"/>
          <w:spacing w:val="-6"/>
          <w:sz w:val="21"/>
          <w:szCs w:val="21"/>
          <w:highlight w:val="none"/>
        </w:rPr>
        <w:t>代表</w:t>
      </w:r>
      <w:r>
        <w:rPr>
          <w:rFonts w:hint="eastAsia" w:ascii="宋体" w:hAnsi="宋体"/>
          <w:color w:val="auto"/>
          <w:spacing w:val="-6"/>
          <w:sz w:val="21"/>
          <w:szCs w:val="21"/>
          <w:highlight w:val="none"/>
        </w:rPr>
        <w:t>签署，投标人应写全称。</w:t>
      </w:r>
    </w:p>
    <w:p>
      <w:pPr>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3.投标文件不得涂改，若有修改错漏处，须由投标人代表签字并加盖公章。投标文件因字迹潦草或表达不清所引起的后果由投标人负责。</w:t>
      </w:r>
    </w:p>
    <w:p>
      <w:pPr>
        <w:spacing w:line="288" w:lineRule="auto"/>
        <w:ind w:firstLine="398" w:firstLineChars="200"/>
        <w:jc w:val="left"/>
        <w:rPr>
          <w:rFonts w:ascii="宋体" w:hAnsi="宋体"/>
          <w:b/>
          <w:bCs/>
          <w:color w:val="auto"/>
          <w:spacing w:val="-6"/>
          <w:sz w:val="21"/>
          <w:szCs w:val="21"/>
          <w:highlight w:val="none"/>
        </w:rPr>
      </w:pPr>
      <w:r>
        <w:rPr>
          <w:rFonts w:hint="eastAsia" w:ascii="宋体" w:hAnsi="宋体"/>
          <w:b/>
          <w:bCs/>
          <w:color w:val="auto"/>
          <w:spacing w:val="-6"/>
          <w:sz w:val="21"/>
          <w:szCs w:val="21"/>
          <w:highlight w:val="none"/>
        </w:rPr>
        <w:t>4.投标文件份数：</w:t>
      </w:r>
    </w:p>
    <w:p>
      <w:pPr>
        <w:spacing w:line="288" w:lineRule="auto"/>
        <w:ind w:firstLine="398" w:firstLineChars="200"/>
        <w:jc w:val="left"/>
        <w:rPr>
          <w:rFonts w:ascii="宋体" w:hAnsi="宋体"/>
          <w:b/>
          <w:bCs/>
          <w:color w:val="auto"/>
          <w:spacing w:val="-6"/>
          <w:sz w:val="21"/>
          <w:szCs w:val="21"/>
          <w:highlight w:val="none"/>
        </w:rPr>
      </w:pPr>
      <w:r>
        <w:rPr>
          <w:rFonts w:hint="eastAsia" w:ascii="宋体" w:hAnsi="宋体"/>
          <w:b/>
          <w:bCs/>
          <w:color w:val="auto"/>
          <w:spacing w:val="-6"/>
          <w:sz w:val="21"/>
          <w:szCs w:val="21"/>
          <w:highlight w:val="none"/>
        </w:rPr>
        <w:t>电子加密投标文件：政府采购云平台在线上传一份；备份投标文件：密封包装后EMS或顺丰邮寄形式递交一份（邮寄地址：杭州市西湖区玉古路173号中田大厦16楼A室浙江求是招标代理有限公司）。</w:t>
      </w:r>
    </w:p>
    <w:p>
      <w:pPr>
        <w:spacing w:line="288" w:lineRule="auto"/>
        <w:jc w:val="left"/>
        <w:outlineLvl w:val="2"/>
        <w:rPr>
          <w:rFonts w:ascii="宋体" w:hAnsi="宋体"/>
          <w:b/>
          <w:color w:val="auto"/>
          <w:spacing w:val="-6"/>
          <w:sz w:val="24"/>
          <w:highlight w:val="none"/>
        </w:rPr>
      </w:pPr>
      <w:r>
        <w:rPr>
          <w:rFonts w:hint="eastAsia" w:ascii="宋体" w:hAnsi="宋体"/>
          <w:b/>
          <w:color w:val="auto"/>
          <w:spacing w:val="-6"/>
          <w:sz w:val="24"/>
          <w:highlight w:val="none"/>
        </w:rPr>
        <w:t>（三） 投标文件的上传、递交、修改和撤回</w:t>
      </w:r>
    </w:p>
    <w:p>
      <w:pPr>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1.投标文件的上传、递交：</w:t>
      </w:r>
    </w:p>
    <w:p>
      <w:pPr>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（1）电子加密投标文件的上传：</w:t>
      </w:r>
    </w:p>
    <w:p>
      <w:pPr>
        <w:spacing w:line="288" w:lineRule="auto"/>
        <w:ind w:firstLine="396" w:firstLineChars="200"/>
        <w:jc w:val="left"/>
        <w:rPr>
          <w:rFonts w:ascii="宋体" w:hAnsi="宋体"/>
          <w:color w:val="auto"/>
          <w:spacing w:val="-6"/>
          <w:sz w:val="21"/>
          <w:szCs w:val="21"/>
          <w:highlight w:val="none"/>
        </w:rPr>
      </w:pPr>
      <w:r>
        <w:rPr>
          <w:rFonts w:hint="eastAsia" w:hAnsi="宋体"/>
          <w:color w:val="auto"/>
          <w:spacing w:val="-6"/>
          <w:sz w:val="21"/>
          <w:szCs w:val="21"/>
          <w:highlight w:val="none"/>
        </w:rPr>
        <w:t>▲</w:t>
      </w:r>
      <w:r>
        <w:rPr>
          <w:rFonts w:hint="eastAsia" w:ascii="宋体" w:hAnsi="宋体"/>
          <w:color w:val="auto"/>
          <w:spacing w:val="-6"/>
          <w:sz w:val="21"/>
          <w:szCs w:val="21"/>
          <w:highlight w:val="none"/>
        </w:rPr>
        <w:t>a.投标人应在投标截止时间前将电子加密投标文件成功上传至政府采购云平台，否则投标无效；</w:t>
      </w:r>
    </w:p>
    <w:p>
      <w:pPr>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b.电子加密投标文件成功上传后，投标人可自行打印投标文件接收回执。</w:t>
      </w:r>
    </w:p>
    <w:p>
      <w:pPr>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（2）备份投标文件的密封包装、递交：</w:t>
      </w:r>
    </w:p>
    <w:p>
      <w:pPr>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a.投标人在政府采购云平台完成电子加密投标文件的上传后，可以EMS或顺丰邮寄形式在投标截止时间前递交以介质（U盘）存储的数据电文形式的备份投标文件；</w:t>
      </w:r>
    </w:p>
    <w:p>
      <w:pPr>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b.备份投标文件应当密封包装并在包装上标注投标项目名称、投标人名称并加盖公章</w:t>
      </w:r>
      <w:r>
        <w:rPr>
          <w:rFonts w:hint="eastAsia" w:ascii="宋体" w:hAnsi="宋体"/>
          <w:b/>
          <w:bCs/>
          <w:color w:val="auto"/>
          <w:spacing w:val="-6"/>
          <w:sz w:val="21"/>
          <w:szCs w:val="21"/>
          <w:highlight w:val="none"/>
        </w:rPr>
        <w:t>（非电子签章）</w:t>
      </w:r>
      <w:r>
        <w:rPr>
          <w:rFonts w:hint="eastAsia" w:ascii="宋体" w:hAnsi="宋体"/>
          <w:color w:val="auto"/>
          <w:spacing w:val="-6"/>
          <w:sz w:val="21"/>
          <w:szCs w:val="21"/>
          <w:highlight w:val="none"/>
        </w:rPr>
        <w:t>，</w:t>
      </w:r>
      <w:r>
        <w:rPr>
          <w:rFonts w:hint="eastAsia" w:ascii="宋体" w:hAnsi="宋体"/>
          <w:color w:val="auto"/>
          <w:sz w:val="21"/>
          <w:szCs w:val="21"/>
          <w:highlight w:val="none"/>
        </w:rPr>
        <w:t>投标人逾期送达或者未密封包装的备份投标文件采购代理机构将予以拒收；</w:t>
      </w:r>
    </w:p>
    <w:p>
      <w:pPr>
        <w:spacing w:line="288" w:lineRule="auto"/>
        <w:ind w:firstLine="396" w:firstLineChars="200"/>
        <w:jc w:val="left"/>
        <w:rPr>
          <w:rFonts w:ascii="宋体" w:hAnsi="宋体"/>
          <w:color w:val="auto"/>
          <w:spacing w:val="-6"/>
          <w:sz w:val="21"/>
          <w:szCs w:val="21"/>
          <w:highlight w:val="none"/>
        </w:rPr>
      </w:pPr>
      <w:r>
        <w:rPr>
          <w:rFonts w:hint="eastAsia" w:hAnsi="宋体"/>
          <w:color w:val="auto"/>
          <w:spacing w:val="-6"/>
          <w:sz w:val="21"/>
          <w:szCs w:val="21"/>
          <w:highlight w:val="none"/>
        </w:rPr>
        <w:t>▲</w:t>
      </w:r>
      <w:r>
        <w:rPr>
          <w:rFonts w:hint="eastAsia" w:ascii="宋体" w:hAnsi="宋体"/>
          <w:color w:val="auto"/>
          <w:spacing w:val="-6"/>
          <w:sz w:val="21"/>
          <w:szCs w:val="21"/>
          <w:highlight w:val="none"/>
        </w:rPr>
        <w:t>c.通过政府采购云平台成功上传的电子加密投标文件已按时解密的，备份投标文件自动失效。投标截止时间前，投标人仅递交备份投标文件而未将电子加密投标文件成功上传至政府采购云平台的，投标无效。</w:t>
      </w:r>
    </w:p>
    <w:p>
      <w:pPr>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2.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pPr>
        <w:spacing w:line="288" w:lineRule="auto"/>
        <w:ind w:firstLine="422" w:firstLineChars="200"/>
        <w:jc w:val="left"/>
        <w:rPr>
          <w:rFonts w:ascii="宋体" w:hAnsi="宋体"/>
          <w:b/>
          <w:bCs/>
          <w:color w:val="auto"/>
          <w:sz w:val="21"/>
          <w:szCs w:val="21"/>
          <w:highlight w:val="none"/>
        </w:rPr>
      </w:pPr>
      <w:r>
        <w:rPr>
          <w:rFonts w:hint="eastAsia" w:ascii="宋体" w:hAnsi="宋体"/>
          <w:b/>
          <w:bCs/>
          <w:color w:val="auto"/>
          <w:sz w:val="21"/>
          <w:szCs w:val="21"/>
          <w:highlight w:val="none"/>
        </w:rPr>
        <w:t>备注：</w:t>
      </w:r>
    </w:p>
    <w:p>
      <w:pPr>
        <w:spacing w:line="288" w:lineRule="auto"/>
        <w:ind w:firstLine="422" w:firstLineChars="200"/>
        <w:jc w:val="left"/>
        <w:rPr>
          <w:rFonts w:ascii="宋体" w:hAnsi="宋体"/>
          <w:b/>
          <w:color w:val="auto"/>
          <w:spacing w:val="-6"/>
          <w:sz w:val="24"/>
          <w:highlight w:val="none"/>
        </w:rPr>
      </w:pPr>
      <w:r>
        <w:rPr>
          <w:rFonts w:hint="eastAsia" w:ascii="宋体" w:hAnsi="宋体"/>
          <w:b/>
          <w:bCs/>
          <w:color w:val="auto"/>
          <w:sz w:val="21"/>
          <w:szCs w:val="21"/>
          <w:highlight w:val="none"/>
        </w:rPr>
        <w:t>投标人可通过浙江省“电子交易/不见面开评标”学习专题提前进行专题学习，熟悉操作，避免影响采购活动（</w:t>
      </w:r>
      <w:r>
        <w:rPr>
          <w:color w:val="auto"/>
          <w:highlight w:val="none"/>
        </w:rPr>
        <w:fldChar w:fldCharType="begin"/>
      </w:r>
      <w:r>
        <w:rPr>
          <w:color w:val="auto"/>
          <w:highlight w:val="none"/>
        </w:rPr>
        <w:instrText xml:space="preserve"> HYPERLINK "https://edu.zcygov.cn/luban/e-biding" </w:instrText>
      </w:r>
      <w:r>
        <w:rPr>
          <w:color w:val="auto"/>
          <w:highlight w:val="none"/>
        </w:rPr>
        <w:fldChar w:fldCharType="separate"/>
      </w:r>
      <w:r>
        <w:rPr>
          <w:rFonts w:hint="eastAsia" w:ascii="宋体" w:hAnsi="宋体"/>
          <w:b/>
          <w:bCs/>
          <w:color w:val="auto"/>
          <w:sz w:val="21"/>
          <w:szCs w:val="21"/>
          <w:highlight w:val="none"/>
        </w:rPr>
        <w:t>https://edu.zcygov.cn/luban/e-biding</w:t>
      </w:r>
      <w:r>
        <w:rPr>
          <w:rFonts w:hint="eastAsia" w:ascii="宋体" w:hAnsi="宋体"/>
          <w:b/>
          <w:bCs/>
          <w:color w:val="auto"/>
          <w:sz w:val="21"/>
          <w:szCs w:val="21"/>
          <w:highlight w:val="none"/>
        </w:rPr>
        <w:fldChar w:fldCharType="end"/>
      </w:r>
      <w:r>
        <w:rPr>
          <w:rFonts w:hint="eastAsia" w:ascii="宋体" w:hAnsi="宋体"/>
          <w:b/>
          <w:bCs/>
          <w:color w:val="auto"/>
          <w:sz w:val="21"/>
          <w:szCs w:val="21"/>
          <w:highlight w:val="none"/>
        </w:rPr>
        <w:t>）。</w:t>
      </w:r>
    </w:p>
    <w:p>
      <w:pPr>
        <w:spacing w:line="288" w:lineRule="auto"/>
        <w:jc w:val="left"/>
        <w:outlineLvl w:val="2"/>
        <w:rPr>
          <w:rFonts w:ascii="宋体" w:hAnsi="宋体"/>
          <w:b/>
          <w:color w:val="auto"/>
          <w:spacing w:val="-6"/>
          <w:sz w:val="24"/>
          <w:highlight w:val="none"/>
        </w:rPr>
      </w:pPr>
      <w:r>
        <w:rPr>
          <w:rFonts w:hint="eastAsia" w:ascii="宋体" w:hAnsi="宋体"/>
          <w:b/>
          <w:color w:val="auto"/>
          <w:spacing w:val="-6"/>
          <w:sz w:val="24"/>
          <w:highlight w:val="none"/>
        </w:rPr>
        <w:t>（四） 投标文件的语言及计量</w:t>
      </w:r>
    </w:p>
    <w:p>
      <w:pPr>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投标文件以及投标人与采购人或</w:t>
      </w:r>
      <w:r>
        <w:rPr>
          <w:rFonts w:ascii="宋体" w:hAnsi="宋体"/>
          <w:color w:val="auto"/>
          <w:spacing w:val="-6"/>
          <w:sz w:val="21"/>
          <w:szCs w:val="21"/>
          <w:highlight w:val="none"/>
        </w:rPr>
        <w:t>采购代理机构</w:t>
      </w:r>
      <w:r>
        <w:rPr>
          <w:rFonts w:hint="eastAsia" w:ascii="宋体" w:hAnsi="宋体"/>
          <w:color w:val="auto"/>
          <w:spacing w:val="-6"/>
          <w:sz w:val="21"/>
          <w:szCs w:val="21"/>
          <w:highlight w:val="none"/>
        </w:rPr>
        <w:t>就有关投标事宜的所有来往函电，均应以中文汉语书写。除签名、盖章、专用名称等特殊情形外，以中文汉语以外的文字表述的投标文件视同未提供（有中文汉语说明的除外）。</w:t>
      </w:r>
    </w:p>
    <w:p>
      <w:pPr>
        <w:spacing w:line="288" w:lineRule="auto"/>
        <w:jc w:val="left"/>
        <w:outlineLvl w:val="2"/>
        <w:rPr>
          <w:rFonts w:ascii="宋体" w:hAnsi="宋体"/>
          <w:b/>
          <w:color w:val="auto"/>
          <w:spacing w:val="-6"/>
          <w:sz w:val="24"/>
          <w:highlight w:val="none"/>
        </w:rPr>
      </w:pPr>
      <w:r>
        <w:rPr>
          <w:rFonts w:hint="eastAsia" w:ascii="宋体" w:hAnsi="宋体"/>
          <w:b/>
          <w:color w:val="auto"/>
          <w:spacing w:val="-6"/>
          <w:sz w:val="24"/>
          <w:highlight w:val="none"/>
        </w:rPr>
        <w:t>（五） 投标报价</w:t>
      </w:r>
    </w:p>
    <w:p>
      <w:pPr>
        <w:pStyle w:val="12"/>
        <w:spacing w:before="0" w:beforeLines="0" w:after="0" w:afterLines="0"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1.本次投标采用人民币报价。</w:t>
      </w:r>
    </w:p>
    <w:p>
      <w:pPr>
        <w:pStyle w:val="12"/>
        <w:spacing w:before="0" w:beforeLines="0" w:after="0" w:afterLines="0"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2.投标报价是指一次性报出不得更改的价格，投标报价应按招标文件中相关附表格式填写。</w:t>
      </w:r>
    </w:p>
    <w:p>
      <w:pPr>
        <w:pStyle w:val="12"/>
        <w:spacing w:before="0" w:beforeLines="0" w:after="0" w:afterLines="0"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3.投标报价是履行合同的最终价格，</w:t>
      </w:r>
      <w:r>
        <w:rPr>
          <w:rFonts w:hAnsi="宋体"/>
          <w:color w:val="auto"/>
          <w:spacing w:val="-6"/>
          <w:sz w:val="21"/>
          <w:szCs w:val="21"/>
          <w:highlight w:val="none"/>
        </w:rPr>
        <w:t>应包括</w:t>
      </w:r>
      <w:r>
        <w:rPr>
          <w:rFonts w:hint="eastAsia" w:hAnsi="宋体"/>
          <w:color w:val="auto"/>
          <w:spacing w:val="-6"/>
          <w:sz w:val="21"/>
          <w:szCs w:val="21"/>
          <w:highlight w:val="none"/>
        </w:rPr>
        <w:t>完成所有产品供货及履行所有规定服务所产生的全部税、费。</w:t>
      </w:r>
    </w:p>
    <w:p>
      <w:pPr>
        <w:pStyle w:val="12"/>
        <w:spacing w:before="0" w:beforeLines="0" w:after="0" w:afterLines="0"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4</w:t>
      </w:r>
      <w:r>
        <w:rPr>
          <w:rFonts w:hAnsi="宋体"/>
          <w:color w:val="auto"/>
          <w:spacing w:val="-6"/>
          <w:sz w:val="21"/>
          <w:szCs w:val="21"/>
          <w:highlight w:val="none"/>
        </w:rPr>
        <w:t>.</w:t>
      </w:r>
      <w:r>
        <w:rPr>
          <w:rFonts w:hint="eastAsia" w:hAnsi="宋体"/>
          <w:color w:val="auto"/>
          <w:spacing w:val="-6"/>
          <w:sz w:val="21"/>
          <w:szCs w:val="21"/>
          <w:highlight w:val="none"/>
        </w:rPr>
        <w:t>投标文件只允许有一个报价，有选择的报价将不予接受。</w:t>
      </w:r>
    </w:p>
    <w:p>
      <w:pPr>
        <w:spacing w:line="288" w:lineRule="auto"/>
        <w:jc w:val="left"/>
        <w:outlineLvl w:val="2"/>
        <w:rPr>
          <w:rFonts w:ascii="宋体" w:hAnsi="宋体"/>
          <w:b/>
          <w:color w:val="auto"/>
          <w:spacing w:val="-6"/>
          <w:sz w:val="24"/>
          <w:highlight w:val="none"/>
        </w:rPr>
      </w:pPr>
      <w:r>
        <w:rPr>
          <w:rFonts w:hint="eastAsia" w:ascii="宋体" w:hAnsi="宋体"/>
          <w:b/>
          <w:color w:val="auto"/>
          <w:spacing w:val="-6"/>
          <w:sz w:val="24"/>
          <w:highlight w:val="none"/>
        </w:rPr>
        <w:t>（六） 投标有效期</w:t>
      </w:r>
    </w:p>
    <w:p>
      <w:pPr>
        <w:pStyle w:val="12"/>
        <w:spacing w:before="0" w:beforeLines="0" w:after="0" w:afterLines="0"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▲1</w:t>
      </w:r>
      <w:r>
        <w:rPr>
          <w:rFonts w:hAnsi="宋体"/>
          <w:color w:val="auto"/>
          <w:spacing w:val="-6"/>
          <w:sz w:val="21"/>
          <w:szCs w:val="21"/>
          <w:highlight w:val="none"/>
        </w:rPr>
        <w:t>.</w:t>
      </w:r>
      <w:r>
        <w:rPr>
          <w:rFonts w:hint="eastAsia" w:hAnsi="宋体"/>
          <w:color w:val="auto"/>
          <w:spacing w:val="-6"/>
          <w:sz w:val="21"/>
          <w:szCs w:val="21"/>
          <w:highlight w:val="none"/>
        </w:rPr>
        <w:t>从提交投标文件的截止之日起90天。</w:t>
      </w:r>
    </w:p>
    <w:p>
      <w:pPr>
        <w:pStyle w:val="12"/>
        <w:spacing w:before="0" w:beforeLines="0" w:after="0" w:afterLines="0"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2</w:t>
      </w:r>
      <w:r>
        <w:rPr>
          <w:rFonts w:hAnsi="宋体"/>
          <w:color w:val="auto"/>
          <w:spacing w:val="-6"/>
          <w:sz w:val="21"/>
          <w:szCs w:val="21"/>
          <w:highlight w:val="none"/>
        </w:rPr>
        <w:t>.</w:t>
      </w:r>
      <w:r>
        <w:rPr>
          <w:rFonts w:hint="eastAsia" w:hAnsi="宋体"/>
          <w:color w:val="auto"/>
          <w:spacing w:val="-6"/>
          <w:sz w:val="21"/>
          <w:szCs w:val="21"/>
          <w:highlight w:val="none"/>
        </w:rPr>
        <w:t>在原投标有效期满之前，如果出现特殊情况，采购人</w:t>
      </w:r>
      <w:r>
        <w:rPr>
          <w:rFonts w:hAnsi="宋体"/>
          <w:color w:val="auto"/>
          <w:spacing w:val="-6"/>
          <w:sz w:val="21"/>
          <w:szCs w:val="21"/>
          <w:highlight w:val="none"/>
        </w:rPr>
        <w:t>或</w:t>
      </w:r>
      <w:r>
        <w:rPr>
          <w:rFonts w:hint="eastAsia" w:hAnsi="宋体"/>
          <w:color w:val="auto"/>
          <w:spacing w:val="-6"/>
          <w:sz w:val="21"/>
          <w:szCs w:val="21"/>
          <w:highlight w:val="none"/>
        </w:rPr>
        <w:t>采购</w:t>
      </w:r>
      <w:r>
        <w:rPr>
          <w:rFonts w:hAnsi="宋体"/>
          <w:color w:val="auto"/>
          <w:spacing w:val="-6"/>
          <w:sz w:val="21"/>
          <w:szCs w:val="21"/>
          <w:highlight w:val="none"/>
        </w:rPr>
        <w:t>代理机构</w:t>
      </w:r>
      <w:r>
        <w:rPr>
          <w:rFonts w:hint="eastAsia" w:hAnsi="宋体"/>
          <w:color w:val="auto"/>
          <w:spacing w:val="-6"/>
          <w:sz w:val="21"/>
          <w:szCs w:val="21"/>
          <w:highlight w:val="none"/>
        </w:rPr>
        <w:t>以书面形式通知投标人延长投标有效期。</w:t>
      </w:r>
    </w:p>
    <w:p>
      <w:pPr>
        <w:spacing w:line="288" w:lineRule="auto"/>
        <w:jc w:val="left"/>
        <w:outlineLvl w:val="2"/>
        <w:rPr>
          <w:rFonts w:ascii="宋体" w:hAnsi="宋体"/>
          <w:b/>
          <w:color w:val="auto"/>
          <w:spacing w:val="-6"/>
          <w:sz w:val="24"/>
          <w:highlight w:val="none"/>
        </w:rPr>
      </w:pPr>
      <w:r>
        <w:rPr>
          <w:rFonts w:hint="eastAsia" w:ascii="宋体" w:hAnsi="宋体"/>
          <w:b/>
          <w:color w:val="auto"/>
          <w:spacing w:val="-6"/>
          <w:sz w:val="24"/>
          <w:highlight w:val="none"/>
        </w:rPr>
        <w:t>（七） 投标无效的情形</w:t>
      </w:r>
    </w:p>
    <w:p>
      <w:pPr>
        <w:widowControl/>
        <w:spacing w:line="288" w:lineRule="auto"/>
        <w:ind w:firstLine="398" w:firstLineChars="200"/>
        <w:jc w:val="left"/>
        <w:rPr>
          <w:rFonts w:ascii="宋体" w:hAnsi="宋体"/>
          <w:b/>
          <w:color w:val="auto"/>
          <w:spacing w:val="-6"/>
          <w:sz w:val="21"/>
          <w:szCs w:val="21"/>
          <w:highlight w:val="none"/>
        </w:rPr>
      </w:pPr>
      <w:r>
        <w:rPr>
          <w:rFonts w:hint="eastAsia" w:ascii="宋体" w:hAnsi="宋体"/>
          <w:b/>
          <w:color w:val="auto"/>
          <w:spacing w:val="-6"/>
          <w:sz w:val="21"/>
          <w:szCs w:val="21"/>
          <w:highlight w:val="none"/>
        </w:rPr>
        <w:t>1</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在资格审查时，如发现下列情形之一的，投标文件将被视为无效：</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（1）</w:t>
      </w:r>
      <w:r>
        <w:rPr>
          <w:rFonts w:ascii="宋体" w:hAnsi="宋体"/>
          <w:color w:val="auto"/>
          <w:spacing w:val="-6"/>
          <w:sz w:val="21"/>
          <w:szCs w:val="21"/>
          <w:highlight w:val="none"/>
        </w:rPr>
        <w:t>资格证明</w:t>
      </w:r>
      <w:r>
        <w:rPr>
          <w:rFonts w:hint="eastAsia" w:ascii="宋体" w:hAnsi="宋体"/>
          <w:color w:val="auto"/>
          <w:spacing w:val="-6"/>
          <w:sz w:val="21"/>
          <w:szCs w:val="21"/>
          <w:highlight w:val="none"/>
        </w:rPr>
        <w:t>材料</w:t>
      </w:r>
      <w:r>
        <w:rPr>
          <w:rFonts w:ascii="宋体" w:hAnsi="宋体"/>
          <w:color w:val="auto"/>
          <w:spacing w:val="-6"/>
          <w:sz w:val="21"/>
          <w:szCs w:val="21"/>
          <w:highlight w:val="none"/>
        </w:rPr>
        <w:t>不全的，或者不符合</w:t>
      </w:r>
      <w:r>
        <w:rPr>
          <w:rFonts w:hint="eastAsia" w:ascii="宋体" w:hAnsi="宋体"/>
          <w:color w:val="auto"/>
          <w:spacing w:val="-6"/>
          <w:sz w:val="21"/>
          <w:szCs w:val="21"/>
          <w:highlight w:val="none"/>
        </w:rPr>
        <w:t>招标</w:t>
      </w:r>
      <w:r>
        <w:rPr>
          <w:rFonts w:ascii="宋体" w:hAnsi="宋体"/>
          <w:color w:val="auto"/>
          <w:spacing w:val="-6"/>
          <w:sz w:val="21"/>
          <w:szCs w:val="21"/>
          <w:highlight w:val="none"/>
        </w:rPr>
        <w:t>文件要求的</w:t>
      </w:r>
      <w:r>
        <w:rPr>
          <w:rFonts w:hint="eastAsia" w:ascii="宋体" w:hAnsi="宋体"/>
          <w:color w:val="auto"/>
          <w:spacing w:val="-6"/>
          <w:sz w:val="21"/>
          <w:szCs w:val="21"/>
          <w:highlight w:val="none"/>
        </w:rPr>
        <w:t>；</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（2）投标人不具备招标文件中规定的资格要求的；</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（3）经查询存在不良信用记录的。</w:t>
      </w:r>
    </w:p>
    <w:p>
      <w:pPr>
        <w:spacing w:line="288" w:lineRule="auto"/>
        <w:ind w:firstLine="398" w:firstLineChars="200"/>
        <w:rPr>
          <w:rFonts w:ascii="宋体" w:hAnsi="宋体"/>
          <w:b/>
          <w:color w:val="auto"/>
          <w:spacing w:val="-6"/>
          <w:sz w:val="21"/>
          <w:szCs w:val="21"/>
          <w:highlight w:val="none"/>
        </w:rPr>
      </w:pPr>
      <w:r>
        <w:rPr>
          <w:rFonts w:hint="eastAsia" w:ascii="宋体" w:hAnsi="宋体"/>
          <w:b/>
          <w:color w:val="auto"/>
          <w:spacing w:val="-6"/>
          <w:sz w:val="21"/>
          <w:szCs w:val="21"/>
          <w:highlight w:val="none"/>
        </w:rPr>
        <w:t>2</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在符合</w:t>
      </w:r>
      <w:r>
        <w:rPr>
          <w:rFonts w:ascii="宋体" w:hAnsi="宋体"/>
          <w:b/>
          <w:color w:val="auto"/>
          <w:spacing w:val="-6"/>
          <w:sz w:val="21"/>
          <w:szCs w:val="21"/>
          <w:highlight w:val="none"/>
        </w:rPr>
        <w:t>性审查、</w:t>
      </w:r>
      <w:r>
        <w:rPr>
          <w:rFonts w:hint="eastAsia" w:ascii="宋体" w:hAnsi="宋体"/>
          <w:b/>
          <w:color w:val="auto"/>
          <w:spacing w:val="-6"/>
          <w:sz w:val="21"/>
          <w:szCs w:val="21"/>
          <w:highlight w:val="none"/>
        </w:rPr>
        <w:t>商务</w:t>
      </w:r>
      <w:r>
        <w:rPr>
          <w:rFonts w:ascii="宋体" w:hAnsi="宋体"/>
          <w:b/>
          <w:color w:val="auto"/>
          <w:spacing w:val="-6"/>
          <w:sz w:val="21"/>
          <w:szCs w:val="21"/>
          <w:highlight w:val="none"/>
        </w:rPr>
        <w:t>和技术评审</w:t>
      </w:r>
      <w:r>
        <w:rPr>
          <w:rFonts w:hint="eastAsia" w:ascii="宋体" w:hAnsi="宋体"/>
          <w:b/>
          <w:color w:val="auto"/>
          <w:spacing w:val="-6"/>
          <w:sz w:val="21"/>
          <w:szCs w:val="21"/>
          <w:highlight w:val="none"/>
        </w:rPr>
        <w:t>时，如发现下列情形之一的，投标文件将被视为无效：</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（1）资格</w:t>
      </w:r>
      <w:r>
        <w:rPr>
          <w:rFonts w:ascii="宋体" w:hAnsi="宋体"/>
          <w:color w:val="auto"/>
          <w:spacing w:val="-6"/>
          <w:sz w:val="21"/>
          <w:szCs w:val="21"/>
          <w:highlight w:val="none"/>
        </w:rPr>
        <w:t>文件</w:t>
      </w:r>
      <w:r>
        <w:rPr>
          <w:rFonts w:hint="eastAsia" w:ascii="宋体" w:hAnsi="宋体"/>
          <w:color w:val="auto"/>
          <w:spacing w:val="-6"/>
          <w:sz w:val="21"/>
          <w:szCs w:val="21"/>
          <w:highlight w:val="none"/>
        </w:rPr>
        <w:t>、商务</w:t>
      </w:r>
      <w:r>
        <w:rPr>
          <w:rFonts w:ascii="宋体" w:hAnsi="宋体"/>
          <w:color w:val="auto"/>
          <w:spacing w:val="-6"/>
          <w:sz w:val="21"/>
          <w:szCs w:val="21"/>
          <w:highlight w:val="none"/>
        </w:rPr>
        <w:t>技术文件</w:t>
      </w:r>
      <w:r>
        <w:rPr>
          <w:rFonts w:hint="eastAsia" w:ascii="宋体" w:hAnsi="宋体"/>
          <w:color w:val="auto"/>
          <w:spacing w:val="-6"/>
          <w:sz w:val="21"/>
          <w:szCs w:val="21"/>
          <w:highlight w:val="none"/>
        </w:rPr>
        <w:t>未按要求签署、盖章的；</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（2）未提供或未按要求提供投标函</w:t>
      </w:r>
      <w:r>
        <w:rPr>
          <w:rFonts w:ascii="宋体" w:hAnsi="宋体"/>
          <w:color w:val="auto"/>
          <w:spacing w:val="-6"/>
          <w:sz w:val="21"/>
          <w:szCs w:val="21"/>
          <w:highlight w:val="none"/>
        </w:rPr>
        <w:t>、法定代表人资格证明书</w:t>
      </w:r>
      <w:r>
        <w:rPr>
          <w:rFonts w:hint="eastAsia" w:ascii="宋体" w:hAnsi="宋体"/>
          <w:color w:val="auto"/>
          <w:spacing w:val="-6"/>
          <w:sz w:val="21"/>
          <w:szCs w:val="21"/>
          <w:highlight w:val="none"/>
        </w:rPr>
        <w:t>、法定代表人授权委托书、投标</w:t>
      </w:r>
      <w:r>
        <w:rPr>
          <w:rFonts w:ascii="宋体" w:hAnsi="宋体"/>
          <w:color w:val="auto"/>
          <w:spacing w:val="-6"/>
          <w:sz w:val="21"/>
          <w:szCs w:val="21"/>
          <w:highlight w:val="none"/>
        </w:rPr>
        <w:t>声明书</w:t>
      </w:r>
      <w:r>
        <w:rPr>
          <w:rFonts w:hint="eastAsia" w:ascii="宋体" w:hAnsi="宋体"/>
          <w:color w:val="auto"/>
          <w:spacing w:val="-6"/>
          <w:sz w:val="21"/>
          <w:szCs w:val="21"/>
          <w:highlight w:val="none"/>
        </w:rPr>
        <w:t>的；</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（3）</w:t>
      </w:r>
      <w:r>
        <w:rPr>
          <w:rFonts w:hint="eastAsia" w:ascii="宋体" w:hAnsi="宋体"/>
          <w:bCs/>
          <w:color w:val="auto"/>
          <w:spacing w:val="-6"/>
          <w:sz w:val="21"/>
          <w:szCs w:val="21"/>
          <w:highlight w:val="none"/>
        </w:rPr>
        <w:t>法定代表人委托授权代表</w:t>
      </w:r>
      <w:r>
        <w:rPr>
          <w:rFonts w:ascii="宋体" w:hAnsi="宋体"/>
          <w:bCs/>
          <w:color w:val="auto"/>
          <w:spacing w:val="-6"/>
          <w:sz w:val="21"/>
          <w:szCs w:val="21"/>
          <w:highlight w:val="none"/>
        </w:rPr>
        <w:t>参加投</w:t>
      </w:r>
      <w:r>
        <w:rPr>
          <w:rFonts w:hint="eastAsia" w:ascii="宋体" w:hAnsi="宋体"/>
          <w:bCs/>
          <w:color w:val="auto"/>
          <w:spacing w:val="-6"/>
          <w:sz w:val="21"/>
          <w:szCs w:val="21"/>
          <w:highlight w:val="none"/>
        </w:rPr>
        <w:t>标但未</w:t>
      </w:r>
      <w:r>
        <w:rPr>
          <w:rFonts w:ascii="宋体" w:hAnsi="宋体"/>
          <w:bCs/>
          <w:color w:val="auto"/>
          <w:spacing w:val="-6"/>
          <w:sz w:val="21"/>
          <w:szCs w:val="21"/>
          <w:highlight w:val="none"/>
        </w:rPr>
        <w:t>提供</w:t>
      </w:r>
      <w:r>
        <w:rPr>
          <w:rFonts w:hint="eastAsia" w:ascii="宋体" w:hAnsi="宋体"/>
          <w:bCs/>
          <w:color w:val="auto"/>
          <w:spacing w:val="-6"/>
          <w:sz w:val="21"/>
          <w:szCs w:val="21"/>
          <w:highlight w:val="none"/>
        </w:rPr>
        <w:t>投标授权代表社保缴纳证明的</w:t>
      </w:r>
      <w:r>
        <w:rPr>
          <w:rFonts w:ascii="宋体" w:hAnsi="宋体"/>
          <w:bCs/>
          <w:color w:val="auto"/>
          <w:spacing w:val="-6"/>
          <w:sz w:val="21"/>
          <w:szCs w:val="21"/>
          <w:highlight w:val="none"/>
        </w:rPr>
        <w:t>；</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（4）未提供或未如实提供商务、技术</w:t>
      </w:r>
      <w:r>
        <w:rPr>
          <w:rFonts w:ascii="宋体" w:hAnsi="宋体"/>
          <w:color w:val="auto"/>
          <w:spacing w:val="-6"/>
          <w:sz w:val="21"/>
          <w:szCs w:val="21"/>
          <w:highlight w:val="none"/>
        </w:rPr>
        <w:t>偏离表的；</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（5）</w:t>
      </w:r>
      <w:r>
        <w:rPr>
          <w:rFonts w:ascii="宋体" w:hAnsi="宋体"/>
          <w:color w:val="auto"/>
          <w:spacing w:val="-6"/>
          <w:sz w:val="21"/>
          <w:szCs w:val="21"/>
          <w:highlight w:val="none"/>
        </w:rPr>
        <w:t>明显不符合招标文件</w:t>
      </w:r>
      <w:r>
        <w:rPr>
          <w:rFonts w:hint="eastAsia" w:ascii="宋体" w:hAnsi="宋体"/>
          <w:color w:val="auto"/>
          <w:spacing w:val="-6"/>
          <w:sz w:val="21"/>
          <w:szCs w:val="21"/>
          <w:highlight w:val="none"/>
        </w:rPr>
        <w:t>要求，</w:t>
      </w:r>
      <w:r>
        <w:rPr>
          <w:rFonts w:ascii="宋体" w:hAnsi="宋体"/>
          <w:color w:val="auto"/>
          <w:spacing w:val="-6"/>
          <w:sz w:val="21"/>
          <w:szCs w:val="21"/>
          <w:highlight w:val="none"/>
        </w:rPr>
        <w:t>或者</w:t>
      </w:r>
      <w:r>
        <w:rPr>
          <w:rFonts w:hint="eastAsia" w:ascii="宋体" w:hAnsi="宋体"/>
          <w:color w:val="auto"/>
          <w:spacing w:val="-6"/>
          <w:sz w:val="21"/>
          <w:szCs w:val="21"/>
          <w:highlight w:val="none"/>
        </w:rPr>
        <w:t>与</w:t>
      </w:r>
      <w:r>
        <w:rPr>
          <w:rFonts w:ascii="宋体" w:hAnsi="宋体"/>
          <w:color w:val="auto"/>
          <w:spacing w:val="-6"/>
          <w:sz w:val="21"/>
          <w:szCs w:val="21"/>
          <w:highlight w:val="none"/>
        </w:rPr>
        <w:t>招标文件中标“▲”的项目发生实质性偏离的</w:t>
      </w:r>
      <w:r>
        <w:rPr>
          <w:rFonts w:hint="eastAsia" w:ascii="宋体" w:hAnsi="宋体"/>
          <w:color w:val="auto"/>
          <w:spacing w:val="-6"/>
          <w:sz w:val="21"/>
          <w:szCs w:val="21"/>
          <w:highlight w:val="none"/>
        </w:rPr>
        <w:t>，或者技术负偏离14项及以上的；</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（6）</w:t>
      </w:r>
      <w:r>
        <w:rPr>
          <w:rFonts w:ascii="宋体" w:hAnsi="宋体"/>
          <w:color w:val="auto"/>
          <w:spacing w:val="-6"/>
          <w:sz w:val="21"/>
          <w:szCs w:val="21"/>
          <w:highlight w:val="none"/>
        </w:rPr>
        <w:t>未提供或未如实提供投标货物的技术参数，或者投标文件标明的响应或偏离与事实不符或虚假投标的；</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（7）</w:t>
      </w:r>
      <w:r>
        <w:rPr>
          <w:rFonts w:ascii="宋体" w:hAnsi="宋体"/>
          <w:color w:val="auto"/>
          <w:spacing w:val="-6"/>
          <w:sz w:val="21"/>
          <w:szCs w:val="21"/>
          <w:highlight w:val="none"/>
        </w:rPr>
        <w:t>投标技术方案不明确，存在一个或一个以上备选（替代）投标方案的；</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（8）投标文件含有采购人不能接受的附加条件的；</w:t>
      </w:r>
    </w:p>
    <w:p>
      <w:pPr>
        <w:widowControl/>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（9）法律、法规和招标文件规定的其他无效情形。</w:t>
      </w:r>
    </w:p>
    <w:p>
      <w:pPr>
        <w:widowControl/>
        <w:spacing w:line="288" w:lineRule="auto"/>
        <w:ind w:firstLine="398" w:firstLineChars="200"/>
        <w:jc w:val="left"/>
        <w:rPr>
          <w:rFonts w:ascii="宋体" w:hAnsi="宋体"/>
          <w:b/>
          <w:color w:val="auto"/>
          <w:spacing w:val="-6"/>
          <w:sz w:val="21"/>
          <w:szCs w:val="21"/>
          <w:highlight w:val="none"/>
        </w:rPr>
      </w:pPr>
      <w:r>
        <w:rPr>
          <w:rFonts w:hint="eastAsia" w:ascii="宋体" w:hAnsi="宋体"/>
          <w:b/>
          <w:color w:val="auto"/>
          <w:spacing w:val="-6"/>
          <w:sz w:val="21"/>
          <w:szCs w:val="21"/>
          <w:highlight w:val="none"/>
        </w:rPr>
        <w:t>3</w:t>
      </w:r>
      <w:r>
        <w:rPr>
          <w:rFonts w:ascii="宋体" w:hAnsi="宋体"/>
          <w:b/>
          <w:color w:val="auto"/>
          <w:spacing w:val="-6"/>
          <w:sz w:val="21"/>
          <w:szCs w:val="21"/>
          <w:highlight w:val="none"/>
        </w:rPr>
        <w:t>.在报价评审时，如发现下列情形之一的，投标文件将被视为无效：</w:t>
      </w:r>
    </w:p>
    <w:p>
      <w:pPr>
        <w:widowControl/>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（1）报价</w:t>
      </w:r>
      <w:r>
        <w:rPr>
          <w:rFonts w:ascii="宋体" w:hAnsi="宋体"/>
          <w:color w:val="auto"/>
          <w:spacing w:val="-6"/>
          <w:sz w:val="21"/>
          <w:szCs w:val="21"/>
          <w:highlight w:val="none"/>
        </w:rPr>
        <w:t>文件</w:t>
      </w:r>
      <w:r>
        <w:rPr>
          <w:rFonts w:hint="eastAsia" w:ascii="宋体" w:hAnsi="宋体"/>
          <w:color w:val="auto"/>
          <w:spacing w:val="-6"/>
          <w:sz w:val="21"/>
          <w:szCs w:val="21"/>
          <w:highlight w:val="none"/>
        </w:rPr>
        <w:t>未按要求签署、盖章的；</w:t>
      </w:r>
    </w:p>
    <w:p>
      <w:pPr>
        <w:widowControl/>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（2</w:t>
      </w:r>
      <w:r>
        <w:rPr>
          <w:rFonts w:ascii="宋体" w:hAnsi="宋体"/>
          <w:color w:val="auto"/>
          <w:spacing w:val="-6"/>
          <w:sz w:val="21"/>
          <w:szCs w:val="21"/>
          <w:highlight w:val="none"/>
        </w:rPr>
        <w:t>）未按照招标文件标明的币种报价的</w:t>
      </w:r>
      <w:r>
        <w:rPr>
          <w:rFonts w:hint="eastAsia" w:ascii="宋体" w:hAnsi="宋体"/>
          <w:color w:val="auto"/>
          <w:spacing w:val="-6"/>
          <w:sz w:val="21"/>
          <w:szCs w:val="21"/>
          <w:highlight w:val="none"/>
        </w:rPr>
        <w:t>；</w:t>
      </w:r>
    </w:p>
    <w:p>
      <w:pPr>
        <w:widowControl/>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（3）</w:t>
      </w:r>
      <w:r>
        <w:rPr>
          <w:rFonts w:ascii="宋体" w:hAnsi="宋体"/>
          <w:color w:val="auto"/>
          <w:spacing w:val="-6"/>
          <w:sz w:val="21"/>
          <w:szCs w:val="21"/>
          <w:highlight w:val="none"/>
        </w:rPr>
        <w:t>报价</w:t>
      </w:r>
      <w:r>
        <w:rPr>
          <w:rFonts w:hint="eastAsia" w:ascii="宋体" w:hAnsi="宋体"/>
          <w:color w:val="auto"/>
          <w:spacing w:val="-6"/>
          <w:sz w:val="21"/>
          <w:szCs w:val="21"/>
          <w:highlight w:val="none"/>
        </w:rPr>
        <w:t>明细有</w:t>
      </w:r>
      <w:r>
        <w:rPr>
          <w:rFonts w:ascii="宋体" w:hAnsi="宋体"/>
          <w:color w:val="auto"/>
          <w:spacing w:val="-6"/>
          <w:sz w:val="21"/>
          <w:szCs w:val="21"/>
          <w:highlight w:val="none"/>
        </w:rPr>
        <w:t>缺漏项</w:t>
      </w:r>
      <w:r>
        <w:rPr>
          <w:rFonts w:hint="eastAsia" w:ascii="宋体" w:hAnsi="宋体"/>
          <w:color w:val="auto"/>
          <w:spacing w:val="-6"/>
          <w:sz w:val="21"/>
          <w:szCs w:val="21"/>
          <w:highlight w:val="none"/>
        </w:rPr>
        <w:t>，或者</w:t>
      </w:r>
      <w:r>
        <w:rPr>
          <w:rFonts w:ascii="宋体" w:hAnsi="宋体"/>
          <w:color w:val="auto"/>
          <w:spacing w:val="-6"/>
          <w:sz w:val="21"/>
          <w:szCs w:val="21"/>
          <w:highlight w:val="none"/>
        </w:rPr>
        <w:t>与招标文件要求不一致的；</w:t>
      </w:r>
    </w:p>
    <w:p>
      <w:pPr>
        <w:widowControl/>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（4）报价超过招标文件中规定的预算金额或者最高限价的；</w:t>
      </w:r>
    </w:p>
    <w:p>
      <w:pPr>
        <w:widowControl/>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（5）报价具有选择性，或者开标价格与投标文件承诺的优惠（折扣）价格不一致的；</w:t>
      </w:r>
    </w:p>
    <w:p>
      <w:pPr>
        <w:widowControl/>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（6）报价明显低于其他通过符合性审查投标人的报价（有可能影响产品质量或者不能诚信履约的），投标人在评标现场合理的时间内无法提供书面说明（必要时提交相关证明材料）证明其报价合理性的；</w:t>
      </w:r>
    </w:p>
    <w:p>
      <w:pPr>
        <w:widowControl/>
        <w:spacing w:line="288" w:lineRule="auto"/>
        <w:ind w:firstLine="398" w:firstLineChars="200"/>
        <w:jc w:val="left"/>
        <w:rPr>
          <w:rFonts w:ascii="宋体" w:hAnsi="宋体"/>
          <w:b/>
          <w:color w:val="auto"/>
          <w:spacing w:val="-6"/>
          <w:sz w:val="21"/>
          <w:szCs w:val="21"/>
          <w:highlight w:val="none"/>
        </w:rPr>
      </w:pPr>
      <w:r>
        <w:rPr>
          <w:rFonts w:hint="eastAsia" w:ascii="宋体" w:hAnsi="宋体"/>
          <w:b/>
          <w:color w:val="auto"/>
          <w:spacing w:val="-6"/>
          <w:sz w:val="21"/>
          <w:szCs w:val="21"/>
          <w:highlight w:val="none"/>
        </w:rPr>
        <w:t>4</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有下列情形之一的，视为投标人串通投标，其投标无效，由采购人或采购代理机构上报政府采购监督管理部门，视情列入不良行为记录名单，在一至三年内禁止参加政府采购活动：</w:t>
      </w:r>
    </w:p>
    <w:p>
      <w:pPr>
        <w:widowControl/>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（1）不同投标人的投标文件由同一单位或者个人编制；</w:t>
      </w:r>
    </w:p>
    <w:p>
      <w:pPr>
        <w:widowControl/>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（2）不同投标人委托同一单位或者个人办理投标事宜；</w:t>
      </w:r>
    </w:p>
    <w:p>
      <w:pPr>
        <w:widowControl/>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（3）不同投标人的投标文件载明的项目管理成员或者联系人员为同一人；</w:t>
      </w:r>
    </w:p>
    <w:p>
      <w:pPr>
        <w:widowControl/>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（4）不同投标人的投标文件异常一致或者投标报价呈规律性差异；</w:t>
      </w:r>
    </w:p>
    <w:p>
      <w:pPr>
        <w:widowControl/>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（5）不同投标人的投标文件相互混装。</w:t>
      </w:r>
    </w:p>
    <w:p>
      <w:pPr>
        <w:pStyle w:val="12"/>
        <w:spacing w:before="0" w:beforeLines="0" w:after="0" w:afterLines="0" w:line="288" w:lineRule="auto"/>
        <w:jc w:val="center"/>
        <w:outlineLvl w:val="1"/>
        <w:rPr>
          <w:rFonts w:hAnsi="宋体"/>
          <w:b/>
          <w:color w:val="auto"/>
          <w:spacing w:val="-6"/>
          <w:sz w:val="32"/>
          <w:szCs w:val="32"/>
          <w:highlight w:val="none"/>
        </w:rPr>
      </w:pPr>
      <w:r>
        <w:rPr>
          <w:rFonts w:hAnsi="宋体"/>
          <w:b/>
          <w:color w:val="auto"/>
          <w:spacing w:val="-6"/>
          <w:sz w:val="21"/>
          <w:szCs w:val="21"/>
          <w:highlight w:val="none"/>
        </w:rPr>
        <w:br w:type="page"/>
      </w:r>
      <w:r>
        <w:rPr>
          <w:rFonts w:hAnsi="宋体"/>
          <w:b/>
          <w:color w:val="auto"/>
          <w:spacing w:val="-6"/>
          <w:sz w:val="32"/>
          <w:szCs w:val="32"/>
          <w:highlight w:val="none"/>
        </w:rPr>
        <w:t>四</w:t>
      </w:r>
      <w:r>
        <w:rPr>
          <w:rFonts w:hint="eastAsia" w:hAnsi="宋体"/>
          <w:b/>
          <w:color w:val="auto"/>
          <w:spacing w:val="-6"/>
          <w:sz w:val="32"/>
          <w:szCs w:val="32"/>
          <w:highlight w:val="none"/>
        </w:rPr>
        <w:t>、开  标</w:t>
      </w:r>
    </w:p>
    <w:p>
      <w:pPr>
        <w:pStyle w:val="2"/>
        <w:spacing w:line="288" w:lineRule="auto"/>
        <w:ind w:firstLine="0"/>
        <w:outlineLvl w:val="2"/>
        <w:rPr>
          <w:rFonts w:hAnsi="宋体"/>
          <w:b/>
          <w:color w:val="auto"/>
          <w:spacing w:val="-6"/>
          <w:sz w:val="24"/>
          <w:szCs w:val="24"/>
          <w:highlight w:val="none"/>
        </w:rPr>
      </w:pPr>
      <w:r>
        <w:rPr>
          <w:rFonts w:hint="eastAsia" w:hAnsi="宋体"/>
          <w:b/>
          <w:color w:val="auto"/>
          <w:spacing w:val="-6"/>
          <w:sz w:val="24"/>
          <w:szCs w:val="24"/>
          <w:highlight w:val="none"/>
        </w:rPr>
        <w:t>（一） 开标准备</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1.</w:t>
      </w:r>
      <w:r>
        <w:rPr>
          <w:rFonts w:ascii="宋体" w:hAnsi="宋体"/>
          <w:color w:val="auto"/>
          <w:spacing w:val="-6"/>
          <w:sz w:val="21"/>
          <w:szCs w:val="21"/>
          <w:highlight w:val="none"/>
        </w:rPr>
        <w:t>制订开标、</w:t>
      </w:r>
      <w:r>
        <w:rPr>
          <w:rFonts w:hint="eastAsia" w:ascii="宋体" w:hAnsi="宋体"/>
          <w:color w:val="auto"/>
          <w:spacing w:val="-6"/>
          <w:sz w:val="21"/>
          <w:szCs w:val="21"/>
          <w:highlight w:val="none"/>
        </w:rPr>
        <w:t>评标</w:t>
      </w:r>
      <w:r>
        <w:rPr>
          <w:rFonts w:ascii="宋体" w:hAnsi="宋体"/>
          <w:color w:val="auto"/>
          <w:spacing w:val="-6"/>
          <w:sz w:val="21"/>
          <w:szCs w:val="21"/>
          <w:highlight w:val="none"/>
        </w:rPr>
        <w:t>工作的组织方案，落实工作场地、设施，检查录音录像采集设备运行情况。</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2.</w:t>
      </w:r>
      <w:r>
        <w:rPr>
          <w:rFonts w:ascii="宋体" w:hAnsi="宋体"/>
          <w:color w:val="auto"/>
          <w:spacing w:val="-6"/>
          <w:sz w:val="21"/>
          <w:szCs w:val="21"/>
          <w:highlight w:val="none"/>
        </w:rPr>
        <w:t>通知或邀请相关单位和人员出席开标、</w:t>
      </w:r>
      <w:r>
        <w:rPr>
          <w:rFonts w:hint="eastAsia" w:ascii="宋体" w:hAnsi="宋体"/>
          <w:color w:val="auto"/>
          <w:spacing w:val="-6"/>
          <w:sz w:val="21"/>
          <w:szCs w:val="21"/>
          <w:highlight w:val="none"/>
        </w:rPr>
        <w:t>评标</w:t>
      </w:r>
      <w:r>
        <w:rPr>
          <w:rFonts w:ascii="宋体" w:hAnsi="宋体"/>
          <w:color w:val="auto"/>
          <w:spacing w:val="-6"/>
          <w:sz w:val="21"/>
          <w:szCs w:val="21"/>
          <w:highlight w:val="none"/>
        </w:rPr>
        <w:t>活动（按规定由相关监管部门或其授权机构随机抽取、通知的政府采购评审专家除外）。</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3.</w:t>
      </w:r>
      <w:r>
        <w:rPr>
          <w:rFonts w:ascii="宋体" w:hAnsi="宋体"/>
          <w:color w:val="auto"/>
          <w:spacing w:val="-6"/>
          <w:sz w:val="21"/>
          <w:szCs w:val="21"/>
          <w:highlight w:val="none"/>
        </w:rPr>
        <w:t>准备政府采购项目的相关文件资料，如项目政府采购预算确认书（计划）及专家抽取有关凭证、项目书面说明、</w:t>
      </w:r>
      <w:r>
        <w:rPr>
          <w:rFonts w:hint="eastAsia" w:ascii="宋体" w:hAnsi="宋体"/>
          <w:color w:val="auto"/>
          <w:spacing w:val="-6"/>
          <w:sz w:val="21"/>
          <w:szCs w:val="21"/>
          <w:highlight w:val="none"/>
        </w:rPr>
        <w:t>招标</w:t>
      </w:r>
      <w:r>
        <w:rPr>
          <w:rFonts w:ascii="宋体" w:hAnsi="宋体"/>
          <w:color w:val="auto"/>
          <w:spacing w:val="-6"/>
          <w:sz w:val="21"/>
          <w:szCs w:val="21"/>
          <w:highlight w:val="none"/>
        </w:rPr>
        <w:t>文件、补充文件及质疑答复情况、现场工作所需的相关登记表单、评审工作底稿等。</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4.</w:t>
      </w:r>
      <w:r>
        <w:rPr>
          <w:rFonts w:ascii="宋体" w:hAnsi="宋体"/>
          <w:color w:val="auto"/>
          <w:spacing w:val="-6"/>
          <w:sz w:val="21"/>
          <w:szCs w:val="21"/>
          <w:highlight w:val="none"/>
        </w:rPr>
        <w:t>其他应准备的事项。</w:t>
      </w:r>
    </w:p>
    <w:p>
      <w:pPr>
        <w:pStyle w:val="2"/>
        <w:spacing w:line="288" w:lineRule="auto"/>
        <w:ind w:firstLine="0"/>
        <w:outlineLvl w:val="2"/>
        <w:rPr>
          <w:rFonts w:hAnsi="宋体"/>
          <w:b/>
          <w:color w:val="auto"/>
          <w:spacing w:val="-6"/>
          <w:sz w:val="24"/>
          <w:szCs w:val="24"/>
          <w:highlight w:val="none"/>
        </w:rPr>
      </w:pPr>
      <w:r>
        <w:rPr>
          <w:rFonts w:hint="eastAsia" w:hAnsi="宋体"/>
          <w:b/>
          <w:color w:val="auto"/>
          <w:spacing w:val="-6"/>
          <w:sz w:val="24"/>
          <w:szCs w:val="24"/>
          <w:highlight w:val="none"/>
        </w:rPr>
        <w:t>（二） 开标程序</w:t>
      </w:r>
    </w:p>
    <w:p>
      <w:pPr>
        <w:pStyle w:val="2"/>
        <w:spacing w:line="288" w:lineRule="auto"/>
        <w:ind w:firstLine="396" w:firstLineChars="200"/>
        <w:rPr>
          <w:rFonts w:hAnsi="宋体"/>
          <w:color w:val="auto"/>
          <w:spacing w:val="-6"/>
          <w:sz w:val="21"/>
          <w:szCs w:val="21"/>
          <w:highlight w:val="none"/>
        </w:rPr>
      </w:pPr>
      <w:r>
        <w:rPr>
          <w:rFonts w:hAnsi="宋体"/>
          <w:color w:val="auto"/>
          <w:spacing w:val="-6"/>
          <w:sz w:val="21"/>
          <w:szCs w:val="21"/>
          <w:highlight w:val="none"/>
        </w:rPr>
        <w:t>采购代理机构按照</w:t>
      </w:r>
      <w:r>
        <w:rPr>
          <w:rFonts w:hint="eastAsia" w:hAnsi="宋体"/>
          <w:color w:val="auto"/>
          <w:spacing w:val="-6"/>
          <w:sz w:val="21"/>
          <w:szCs w:val="21"/>
          <w:highlight w:val="none"/>
        </w:rPr>
        <w:t>招标</w:t>
      </w:r>
      <w:r>
        <w:rPr>
          <w:rFonts w:hAnsi="宋体"/>
          <w:color w:val="auto"/>
          <w:spacing w:val="-6"/>
          <w:sz w:val="21"/>
          <w:szCs w:val="21"/>
          <w:highlight w:val="none"/>
        </w:rPr>
        <w:t>文件规定的时间、地点和程序组织开标，开标原则上应采取先</w:t>
      </w:r>
      <w:r>
        <w:rPr>
          <w:rFonts w:hint="eastAsia" w:hAnsi="宋体"/>
          <w:color w:val="auto"/>
          <w:spacing w:val="-6"/>
          <w:sz w:val="21"/>
          <w:szCs w:val="21"/>
          <w:highlight w:val="none"/>
        </w:rPr>
        <w:t>开启资格</w:t>
      </w:r>
      <w:r>
        <w:rPr>
          <w:rFonts w:hAnsi="宋体"/>
          <w:color w:val="auto"/>
          <w:spacing w:val="-6"/>
          <w:sz w:val="21"/>
          <w:szCs w:val="21"/>
          <w:highlight w:val="none"/>
        </w:rPr>
        <w:t>文件</w:t>
      </w:r>
      <w:r>
        <w:rPr>
          <w:rFonts w:hint="eastAsia" w:hAnsi="宋体"/>
          <w:color w:val="auto"/>
          <w:spacing w:val="-6"/>
          <w:sz w:val="21"/>
          <w:szCs w:val="21"/>
          <w:highlight w:val="none"/>
        </w:rPr>
        <w:t>、</w:t>
      </w:r>
      <w:r>
        <w:rPr>
          <w:rFonts w:hAnsi="宋体"/>
          <w:color w:val="auto"/>
          <w:spacing w:val="-6"/>
          <w:sz w:val="21"/>
          <w:szCs w:val="21"/>
          <w:highlight w:val="none"/>
        </w:rPr>
        <w:t>商务技术文件、后</w:t>
      </w:r>
      <w:r>
        <w:rPr>
          <w:rFonts w:hint="eastAsia" w:hAnsi="宋体"/>
          <w:color w:val="auto"/>
          <w:spacing w:val="-6"/>
          <w:sz w:val="21"/>
          <w:szCs w:val="21"/>
          <w:highlight w:val="none"/>
        </w:rPr>
        <w:t>开启</w:t>
      </w:r>
      <w:r>
        <w:rPr>
          <w:rFonts w:hAnsi="宋体"/>
          <w:color w:val="auto"/>
          <w:spacing w:val="-6"/>
          <w:sz w:val="21"/>
          <w:szCs w:val="21"/>
          <w:highlight w:val="none"/>
        </w:rPr>
        <w:t>报价文件的顺序进行。具体按以下程序进行：</w:t>
      </w:r>
    </w:p>
    <w:p>
      <w:pPr>
        <w:pStyle w:val="2"/>
        <w:spacing w:line="288" w:lineRule="auto"/>
        <w:ind w:firstLine="396" w:firstLineChars="200"/>
        <w:rPr>
          <w:rFonts w:hAnsi="宋体"/>
          <w:color w:val="auto"/>
          <w:spacing w:val="-6"/>
          <w:sz w:val="21"/>
          <w:szCs w:val="21"/>
          <w:highlight w:val="none"/>
        </w:rPr>
      </w:pPr>
      <w:r>
        <w:rPr>
          <w:rFonts w:hint="eastAsia" w:hAnsi="宋体"/>
          <w:color w:val="auto"/>
          <w:spacing w:val="-6"/>
          <w:sz w:val="21"/>
          <w:szCs w:val="21"/>
          <w:highlight w:val="none"/>
        </w:rPr>
        <w:t>1.开启开标场地的录音录像采集设备，并确保其正常运行。</w:t>
      </w:r>
    </w:p>
    <w:p>
      <w:pPr>
        <w:pStyle w:val="2"/>
        <w:spacing w:line="288" w:lineRule="auto"/>
        <w:ind w:firstLine="396" w:firstLineChars="200"/>
        <w:rPr>
          <w:rFonts w:hAnsi="宋体"/>
          <w:color w:val="auto"/>
          <w:spacing w:val="-6"/>
          <w:sz w:val="21"/>
          <w:szCs w:val="21"/>
          <w:highlight w:val="none"/>
        </w:rPr>
      </w:pPr>
      <w:r>
        <w:rPr>
          <w:rFonts w:hint="eastAsia" w:hAnsi="宋体"/>
          <w:color w:val="auto"/>
          <w:spacing w:val="-6"/>
          <w:sz w:val="21"/>
          <w:szCs w:val="21"/>
          <w:highlight w:val="none"/>
        </w:rPr>
        <w:t>2.</w:t>
      </w:r>
      <w:r>
        <w:rPr>
          <w:rFonts w:hAnsi="宋体"/>
          <w:color w:val="auto"/>
          <w:spacing w:val="-6"/>
          <w:sz w:val="21"/>
          <w:szCs w:val="21"/>
          <w:highlight w:val="none"/>
        </w:rPr>
        <w:t>核验出席开标活动现场的</w:t>
      </w:r>
      <w:r>
        <w:rPr>
          <w:rFonts w:hint="eastAsia" w:hAnsi="宋体"/>
          <w:color w:val="auto"/>
          <w:spacing w:val="-6"/>
          <w:sz w:val="21"/>
          <w:szCs w:val="21"/>
          <w:highlight w:val="none"/>
        </w:rPr>
        <w:t>各</w:t>
      </w:r>
      <w:r>
        <w:rPr>
          <w:rFonts w:hAnsi="宋体"/>
          <w:color w:val="auto"/>
          <w:spacing w:val="-6"/>
          <w:sz w:val="21"/>
          <w:szCs w:val="21"/>
          <w:highlight w:val="none"/>
        </w:rPr>
        <w:t>相关单位人员身份，并组织其分别登记、签到，无关人员可拒绝其进入现场</w:t>
      </w:r>
      <w:r>
        <w:rPr>
          <w:rFonts w:hint="eastAsia" w:hAnsi="宋体"/>
          <w:color w:val="auto"/>
          <w:spacing w:val="-6"/>
          <w:sz w:val="21"/>
          <w:szCs w:val="21"/>
          <w:highlight w:val="none"/>
        </w:rPr>
        <w:t>。</w:t>
      </w:r>
    </w:p>
    <w:p>
      <w:pPr>
        <w:pStyle w:val="2"/>
        <w:spacing w:line="288" w:lineRule="auto"/>
        <w:ind w:firstLine="396" w:firstLineChars="200"/>
        <w:rPr>
          <w:rFonts w:hAnsi="宋体"/>
          <w:color w:val="auto"/>
          <w:spacing w:val="-6"/>
          <w:sz w:val="21"/>
          <w:szCs w:val="21"/>
          <w:highlight w:val="none"/>
        </w:rPr>
      </w:pPr>
      <w:r>
        <w:rPr>
          <w:rFonts w:hint="eastAsia" w:hAnsi="宋体"/>
          <w:color w:val="auto"/>
          <w:spacing w:val="-6"/>
          <w:sz w:val="21"/>
          <w:szCs w:val="21"/>
          <w:highlight w:val="none"/>
        </w:rPr>
        <w:t>3.政府采购云平台在线进行投标文件签收，并向投标人出具签收回执。</w:t>
      </w:r>
    </w:p>
    <w:p>
      <w:pPr>
        <w:pStyle w:val="2"/>
        <w:spacing w:line="288" w:lineRule="auto"/>
        <w:ind w:firstLine="396" w:firstLineChars="200"/>
        <w:rPr>
          <w:rFonts w:hAnsi="宋体"/>
          <w:color w:val="auto"/>
          <w:spacing w:val="-6"/>
          <w:sz w:val="21"/>
          <w:szCs w:val="21"/>
          <w:highlight w:val="none"/>
        </w:rPr>
      </w:pPr>
      <w:r>
        <w:rPr>
          <w:rFonts w:hint="eastAsia" w:hAnsi="宋体"/>
          <w:color w:val="auto"/>
          <w:spacing w:val="-6"/>
          <w:sz w:val="21"/>
          <w:szCs w:val="21"/>
          <w:highlight w:val="none"/>
        </w:rPr>
        <w:t>4.</w:t>
      </w:r>
      <w:r>
        <w:rPr>
          <w:rFonts w:hAnsi="宋体"/>
          <w:color w:val="auto"/>
          <w:spacing w:val="-6"/>
          <w:sz w:val="21"/>
          <w:szCs w:val="21"/>
          <w:highlight w:val="none"/>
        </w:rPr>
        <w:t>主持人宣布开标</w:t>
      </w:r>
      <w:r>
        <w:rPr>
          <w:rFonts w:hint="eastAsia" w:hAnsi="宋体"/>
          <w:color w:val="auto"/>
          <w:spacing w:val="-6"/>
          <w:sz w:val="21"/>
          <w:szCs w:val="21"/>
          <w:highlight w:val="none"/>
        </w:rPr>
        <w:t>，</w:t>
      </w:r>
      <w:r>
        <w:rPr>
          <w:rFonts w:hAnsi="宋体"/>
          <w:color w:val="auto"/>
          <w:spacing w:val="-6"/>
          <w:sz w:val="21"/>
          <w:szCs w:val="21"/>
          <w:highlight w:val="none"/>
        </w:rPr>
        <w:t>介绍开标现场的人员情况，宣读递交</w:t>
      </w:r>
      <w:r>
        <w:rPr>
          <w:rFonts w:hint="eastAsia" w:hAnsi="宋体"/>
          <w:color w:val="auto"/>
          <w:spacing w:val="-6"/>
          <w:sz w:val="21"/>
          <w:szCs w:val="21"/>
          <w:highlight w:val="none"/>
        </w:rPr>
        <w:t>投标文件的投标人名单</w:t>
      </w:r>
      <w:r>
        <w:rPr>
          <w:rFonts w:hAnsi="宋体"/>
          <w:color w:val="auto"/>
          <w:spacing w:val="-6"/>
          <w:sz w:val="21"/>
          <w:szCs w:val="21"/>
          <w:highlight w:val="none"/>
        </w:rPr>
        <w:t>、开标纪律、应当回避的情形等注意事项，组织投标人签署不存在影响公平竞争的《政府采购活动现场确认声明书》。</w:t>
      </w:r>
    </w:p>
    <w:p>
      <w:pPr>
        <w:pStyle w:val="2"/>
        <w:spacing w:line="288" w:lineRule="auto"/>
        <w:ind w:firstLine="396" w:firstLineChars="200"/>
        <w:rPr>
          <w:rFonts w:hAnsi="宋体"/>
          <w:color w:val="auto"/>
          <w:spacing w:val="-6"/>
          <w:sz w:val="21"/>
          <w:szCs w:val="21"/>
          <w:highlight w:val="none"/>
        </w:rPr>
      </w:pPr>
      <w:r>
        <w:rPr>
          <w:rFonts w:hint="eastAsia" w:hAnsi="宋体"/>
          <w:color w:val="auto"/>
          <w:spacing w:val="-6"/>
          <w:sz w:val="21"/>
          <w:szCs w:val="21"/>
          <w:highlight w:val="none"/>
        </w:rPr>
        <w:t>5.向各投标人发出电子加密投标文件开始解密通知，由投标人在规定时间内自行进行投标文件解密。投标人在规定时间内无法完成已上传的电子加密投标文件解密的，如已按规定递交备份投标文件的，将由采购代理机构按政府采购云平台操作规范将备份投标文件上传至政府采购云平台，上传成功后，电子加密投标文件自动失效，否则视为投标文件撤回。</w:t>
      </w:r>
    </w:p>
    <w:p>
      <w:pPr>
        <w:pStyle w:val="2"/>
        <w:spacing w:line="288" w:lineRule="auto"/>
        <w:ind w:firstLine="396" w:firstLineChars="200"/>
        <w:rPr>
          <w:rFonts w:hAnsi="宋体"/>
          <w:color w:val="auto"/>
          <w:spacing w:val="-6"/>
          <w:sz w:val="21"/>
          <w:szCs w:val="21"/>
          <w:highlight w:val="none"/>
        </w:rPr>
      </w:pPr>
      <w:r>
        <w:rPr>
          <w:rFonts w:hint="eastAsia" w:hAnsi="宋体"/>
          <w:color w:val="auto"/>
          <w:spacing w:val="-6"/>
          <w:sz w:val="21"/>
          <w:szCs w:val="21"/>
          <w:highlight w:val="none"/>
        </w:rPr>
        <w:t>6.开启投标文件后，采购人或采购代理机构将依法对投标人的资格进行审查，投标人未按照招标文件要求提供与资格条件相应的有效资格证明材料的，视为投标人不具备招标文件中规定的资格要求，其投标无效。采购人或采购代理机构应按照招标文件要求，以确认承诺、现场查询等方式进行。</w:t>
      </w:r>
    </w:p>
    <w:p>
      <w:pPr>
        <w:pStyle w:val="2"/>
        <w:spacing w:line="288" w:lineRule="auto"/>
        <w:ind w:firstLine="396" w:firstLineChars="200"/>
        <w:rPr>
          <w:rFonts w:hAnsi="宋体"/>
          <w:color w:val="auto"/>
          <w:spacing w:val="-6"/>
          <w:sz w:val="21"/>
          <w:szCs w:val="21"/>
          <w:highlight w:val="none"/>
        </w:rPr>
      </w:pPr>
      <w:r>
        <w:rPr>
          <w:rFonts w:hint="eastAsia" w:hAnsi="宋体"/>
          <w:color w:val="auto"/>
          <w:spacing w:val="-6"/>
          <w:sz w:val="21"/>
          <w:szCs w:val="21"/>
          <w:highlight w:val="none"/>
        </w:rPr>
        <w:t>7.</w:t>
      </w:r>
      <w:r>
        <w:rPr>
          <w:rFonts w:hAnsi="宋体"/>
          <w:color w:val="auto"/>
          <w:spacing w:val="-6"/>
          <w:sz w:val="21"/>
          <w:szCs w:val="21"/>
          <w:highlight w:val="none"/>
        </w:rPr>
        <w:t>商务和技术评审结束后，宣告商务和技术评审无效投标人名称及理由</w:t>
      </w:r>
      <w:r>
        <w:rPr>
          <w:rFonts w:hint="eastAsia" w:hAnsi="宋体"/>
          <w:color w:val="auto"/>
          <w:spacing w:val="-6"/>
          <w:sz w:val="21"/>
          <w:szCs w:val="21"/>
          <w:highlight w:val="none"/>
        </w:rPr>
        <w:t>，</w:t>
      </w:r>
      <w:r>
        <w:rPr>
          <w:rFonts w:hAnsi="宋体"/>
          <w:color w:val="auto"/>
          <w:spacing w:val="-6"/>
          <w:sz w:val="21"/>
          <w:szCs w:val="21"/>
          <w:highlight w:val="none"/>
        </w:rPr>
        <w:t>公布经商务和技术评审符合采购需求的投标人名单，采用综合评分法的，公布其商务和技术得分情况。</w:t>
      </w:r>
    </w:p>
    <w:p>
      <w:pPr>
        <w:pStyle w:val="2"/>
        <w:spacing w:line="288" w:lineRule="auto"/>
        <w:ind w:firstLine="396" w:firstLineChars="200"/>
        <w:rPr>
          <w:rFonts w:hAnsi="宋体"/>
          <w:color w:val="auto"/>
          <w:spacing w:val="-6"/>
          <w:sz w:val="21"/>
          <w:szCs w:val="21"/>
          <w:highlight w:val="none"/>
        </w:rPr>
      </w:pPr>
      <w:r>
        <w:rPr>
          <w:rFonts w:hint="eastAsia" w:hAnsi="宋体"/>
          <w:color w:val="auto"/>
          <w:spacing w:val="-6"/>
          <w:sz w:val="21"/>
          <w:szCs w:val="21"/>
          <w:highlight w:val="none"/>
        </w:rPr>
        <w:t>8.开启</w:t>
      </w:r>
      <w:r>
        <w:rPr>
          <w:rFonts w:hAnsi="宋体"/>
          <w:color w:val="auto"/>
          <w:spacing w:val="-6"/>
          <w:sz w:val="21"/>
          <w:szCs w:val="21"/>
          <w:highlight w:val="none"/>
        </w:rPr>
        <w:t>投标人报价文件，</w:t>
      </w:r>
      <w:r>
        <w:rPr>
          <w:rFonts w:hint="eastAsia" w:hAnsi="宋体"/>
          <w:color w:val="auto"/>
          <w:spacing w:val="-6"/>
          <w:sz w:val="21"/>
          <w:szCs w:val="21"/>
          <w:highlight w:val="none"/>
        </w:rPr>
        <w:t>通过发送邮件形式公布</w:t>
      </w:r>
      <w:r>
        <w:rPr>
          <w:rFonts w:hAnsi="宋体"/>
          <w:color w:val="auto"/>
          <w:spacing w:val="-6"/>
          <w:sz w:val="21"/>
          <w:szCs w:val="21"/>
          <w:highlight w:val="none"/>
        </w:rPr>
        <w:t>开标一览表有关内容，同时当场制作开标记录表，</w:t>
      </w:r>
      <w:r>
        <w:rPr>
          <w:rFonts w:hint="eastAsia" w:hAnsi="宋体"/>
          <w:color w:val="auto"/>
          <w:spacing w:val="-6"/>
          <w:sz w:val="21"/>
          <w:szCs w:val="21"/>
          <w:highlight w:val="none"/>
        </w:rPr>
        <w:t>投标人通过发送邮件形式签字确认，</w:t>
      </w:r>
      <w:r>
        <w:rPr>
          <w:rFonts w:hAnsi="宋体"/>
          <w:color w:val="auto"/>
          <w:spacing w:val="-6"/>
          <w:sz w:val="21"/>
          <w:szCs w:val="21"/>
          <w:highlight w:val="none"/>
        </w:rPr>
        <w:t>唱标人、记录人和现场监督员</w:t>
      </w:r>
      <w:r>
        <w:rPr>
          <w:rFonts w:hint="eastAsia" w:hAnsi="宋体"/>
          <w:color w:val="auto"/>
          <w:spacing w:val="-6"/>
          <w:sz w:val="21"/>
          <w:szCs w:val="21"/>
          <w:highlight w:val="none"/>
        </w:rPr>
        <w:t>现场</w:t>
      </w:r>
      <w:r>
        <w:rPr>
          <w:rFonts w:hAnsi="宋体"/>
          <w:color w:val="auto"/>
          <w:spacing w:val="-6"/>
          <w:sz w:val="21"/>
          <w:szCs w:val="21"/>
          <w:highlight w:val="none"/>
        </w:rPr>
        <w:t>签字确认</w:t>
      </w:r>
      <w:r>
        <w:rPr>
          <w:rFonts w:hint="eastAsia" w:hAnsi="宋体"/>
          <w:color w:val="auto"/>
          <w:spacing w:val="-6"/>
          <w:sz w:val="21"/>
          <w:szCs w:val="21"/>
          <w:highlight w:val="none"/>
        </w:rPr>
        <w:t>（不予确认的应说明理由，否则视为无异议）</w:t>
      </w:r>
      <w:r>
        <w:rPr>
          <w:rFonts w:hAnsi="宋体"/>
          <w:color w:val="auto"/>
          <w:spacing w:val="-6"/>
          <w:sz w:val="21"/>
          <w:szCs w:val="21"/>
          <w:highlight w:val="none"/>
        </w:rPr>
        <w:t>。唱标结束后，由评标委员会对报价的合理性、准确性等进行审查核实。</w:t>
      </w:r>
    </w:p>
    <w:p>
      <w:pPr>
        <w:pStyle w:val="2"/>
        <w:spacing w:line="288" w:lineRule="auto"/>
        <w:ind w:firstLine="396" w:firstLineChars="200"/>
        <w:rPr>
          <w:rFonts w:hAnsi="宋体"/>
          <w:color w:val="auto"/>
          <w:spacing w:val="-6"/>
          <w:sz w:val="21"/>
          <w:szCs w:val="21"/>
          <w:highlight w:val="none"/>
        </w:rPr>
      </w:pPr>
      <w:r>
        <w:rPr>
          <w:rFonts w:hint="eastAsia" w:hAnsi="宋体"/>
          <w:color w:val="auto"/>
          <w:spacing w:val="-6"/>
          <w:sz w:val="21"/>
          <w:szCs w:val="21"/>
          <w:highlight w:val="none"/>
        </w:rPr>
        <w:t>9.评标</w:t>
      </w:r>
      <w:r>
        <w:rPr>
          <w:rFonts w:hAnsi="宋体"/>
          <w:color w:val="auto"/>
          <w:spacing w:val="-6"/>
          <w:sz w:val="21"/>
          <w:szCs w:val="21"/>
          <w:highlight w:val="none"/>
        </w:rPr>
        <w:t>结束后，</w:t>
      </w:r>
      <w:r>
        <w:rPr>
          <w:rFonts w:hint="eastAsia" w:hAnsi="宋体"/>
          <w:color w:val="auto"/>
          <w:spacing w:val="-6"/>
          <w:sz w:val="21"/>
          <w:szCs w:val="21"/>
          <w:highlight w:val="none"/>
        </w:rPr>
        <w:t>通过发送邮件形式</w:t>
      </w:r>
      <w:r>
        <w:rPr>
          <w:rFonts w:hAnsi="宋体"/>
          <w:color w:val="auto"/>
          <w:spacing w:val="-6"/>
          <w:sz w:val="21"/>
          <w:szCs w:val="21"/>
          <w:highlight w:val="none"/>
        </w:rPr>
        <w:t>公布中标候选</w:t>
      </w:r>
      <w:r>
        <w:rPr>
          <w:rFonts w:hint="eastAsia" w:hAnsi="宋体"/>
          <w:color w:val="auto"/>
          <w:spacing w:val="-6"/>
          <w:sz w:val="21"/>
          <w:szCs w:val="21"/>
          <w:highlight w:val="none"/>
        </w:rPr>
        <w:t>人</w:t>
      </w:r>
      <w:r>
        <w:rPr>
          <w:rFonts w:hAnsi="宋体"/>
          <w:color w:val="auto"/>
          <w:spacing w:val="-6"/>
          <w:sz w:val="21"/>
          <w:szCs w:val="21"/>
          <w:highlight w:val="none"/>
        </w:rPr>
        <w:t>名单，及采购人最终确定</w:t>
      </w:r>
      <w:r>
        <w:rPr>
          <w:rFonts w:hint="eastAsia" w:hAnsi="宋体"/>
          <w:color w:val="auto"/>
          <w:spacing w:val="-6"/>
          <w:sz w:val="21"/>
          <w:szCs w:val="21"/>
          <w:highlight w:val="none"/>
        </w:rPr>
        <w:t>中标人</w:t>
      </w:r>
      <w:r>
        <w:rPr>
          <w:rFonts w:hAnsi="宋体"/>
          <w:color w:val="auto"/>
          <w:spacing w:val="-6"/>
          <w:sz w:val="21"/>
          <w:szCs w:val="21"/>
          <w:highlight w:val="none"/>
        </w:rPr>
        <w:t>名单的时间和公告方式等。</w:t>
      </w:r>
    </w:p>
    <w:p>
      <w:pPr>
        <w:pStyle w:val="2"/>
        <w:spacing w:line="288" w:lineRule="auto"/>
        <w:ind w:firstLine="398" w:firstLineChars="200"/>
        <w:rPr>
          <w:rFonts w:hAnsi="宋体"/>
          <w:b/>
          <w:bCs/>
          <w:color w:val="auto"/>
          <w:spacing w:val="-6"/>
          <w:sz w:val="21"/>
          <w:szCs w:val="21"/>
          <w:highlight w:val="none"/>
        </w:rPr>
      </w:pPr>
      <w:r>
        <w:rPr>
          <w:rFonts w:hint="eastAsia" w:hAnsi="宋体"/>
          <w:b/>
          <w:bCs/>
          <w:color w:val="auto"/>
          <w:spacing w:val="-6"/>
          <w:sz w:val="21"/>
          <w:szCs w:val="21"/>
          <w:highlight w:val="none"/>
        </w:rPr>
        <w:t>特别说明：如遇政府采购云平台电子化开标或评审程序调整的，按调整后程序执行。</w:t>
      </w:r>
    </w:p>
    <w:p>
      <w:pPr>
        <w:pStyle w:val="12"/>
        <w:spacing w:before="0" w:beforeLines="0" w:after="0" w:afterLines="0" w:line="288" w:lineRule="auto"/>
        <w:jc w:val="center"/>
        <w:outlineLvl w:val="1"/>
        <w:rPr>
          <w:rFonts w:hAnsi="宋体"/>
          <w:b/>
          <w:color w:val="auto"/>
          <w:spacing w:val="-6"/>
          <w:sz w:val="32"/>
          <w:szCs w:val="32"/>
          <w:highlight w:val="none"/>
        </w:rPr>
      </w:pPr>
      <w:r>
        <w:rPr>
          <w:rFonts w:hAnsi="宋体"/>
          <w:b/>
          <w:color w:val="auto"/>
          <w:spacing w:val="-6"/>
          <w:sz w:val="21"/>
          <w:szCs w:val="21"/>
          <w:highlight w:val="none"/>
        </w:rPr>
        <w:br w:type="page"/>
      </w:r>
      <w:r>
        <w:rPr>
          <w:rFonts w:hint="eastAsia" w:hAnsi="宋体"/>
          <w:b/>
          <w:color w:val="auto"/>
          <w:spacing w:val="-6"/>
          <w:sz w:val="32"/>
          <w:szCs w:val="32"/>
          <w:highlight w:val="none"/>
        </w:rPr>
        <w:t>五、评  标</w:t>
      </w:r>
    </w:p>
    <w:p>
      <w:pPr>
        <w:spacing w:line="288" w:lineRule="auto"/>
        <w:outlineLvl w:val="2"/>
        <w:rPr>
          <w:rFonts w:ascii="宋体" w:hAnsi="宋体"/>
          <w:b/>
          <w:color w:val="auto"/>
          <w:spacing w:val="-6"/>
          <w:sz w:val="24"/>
          <w:highlight w:val="none"/>
        </w:rPr>
      </w:pPr>
      <w:r>
        <w:rPr>
          <w:rFonts w:hint="eastAsia" w:ascii="宋体" w:hAnsi="宋体"/>
          <w:b/>
          <w:color w:val="auto"/>
          <w:spacing w:val="-6"/>
          <w:sz w:val="24"/>
          <w:highlight w:val="none"/>
        </w:rPr>
        <w:t>（一） 组建评标委员会</w:t>
      </w:r>
    </w:p>
    <w:p>
      <w:pPr>
        <w:pStyle w:val="12"/>
        <w:spacing w:before="0" w:beforeLines="0" w:after="0" w:afterLines="0" w:line="288" w:lineRule="auto"/>
        <w:ind w:firstLine="396" w:firstLineChars="200"/>
        <w:rPr>
          <w:rFonts w:hAnsi="宋体"/>
          <w:color w:val="auto"/>
          <w:spacing w:val="-6"/>
          <w:sz w:val="21"/>
          <w:szCs w:val="21"/>
          <w:highlight w:val="none"/>
        </w:rPr>
      </w:pPr>
      <w:r>
        <w:rPr>
          <w:rFonts w:hAnsi="宋体"/>
          <w:color w:val="auto"/>
          <w:spacing w:val="-6"/>
          <w:sz w:val="21"/>
          <w:szCs w:val="21"/>
          <w:highlight w:val="none"/>
        </w:rPr>
        <w:t>本项目评标委员会</w:t>
      </w:r>
      <w:r>
        <w:rPr>
          <w:rFonts w:hint="eastAsia" w:hAnsi="宋体"/>
          <w:color w:val="auto"/>
          <w:spacing w:val="-6"/>
          <w:sz w:val="21"/>
          <w:szCs w:val="21"/>
          <w:highlight w:val="none"/>
        </w:rPr>
        <w:t>依据相关法律法规组建，成员人数为5人以上单数</w:t>
      </w:r>
      <w:r>
        <w:rPr>
          <w:rFonts w:hAnsi="宋体"/>
          <w:color w:val="auto"/>
          <w:spacing w:val="-6"/>
          <w:sz w:val="21"/>
          <w:szCs w:val="21"/>
          <w:highlight w:val="none"/>
        </w:rPr>
        <w:t>。</w:t>
      </w:r>
    </w:p>
    <w:p>
      <w:pPr>
        <w:spacing w:line="288" w:lineRule="auto"/>
        <w:outlineLvl w:val="2"/>
        <w:rPr>
          <w:rFonts w:ascii="宋体" w:hAnsi="宋体"/>
          <w:b/>
          <w:color w:val="auto"/>
          <w:spacing w:val="-6"/>
          <w:sz w:val="24"/>
          <w:highlight w:val="none"/>
        </w:rPr>
      </w:pPr>
      <w:r>
        <w:rPr>
          <w:rFonts w:ascii="宋体" w:hAnsi="宋体"/>
          <w:b/>
          <w:color w:val="auto"/>
          <w:spacing w:val="-6"/>
          <w:sz w:val="24"/>
          <w:highlight w:val="none"/>
        </w:rPr>
        <w:t>（二</w:t>
      </w:r>
      <w:r>
        <w:rPr>
          <w:rFonts w:hint="eastAsia" w:ascii="宋体" w:hAnsi="宋体"/>
          <w:b/>
          <w:color w:val="auto"/>
          <w:spacing w:val="-6"/>
          <w:sz w:val="24"/>
          <w:highlight w:val="none"/>
        </w:rPr>
        <w:t xml:space="preserve">） </w:t>
      </w:r>
      <w:r>
        <w:rPr>
          <w:rFonts w:ascii="宋体" w:hAnsi="宋体"/>
          <w:b/>
          <w:color w:val="auto"/>
          <w:spacing w:val="-6"/>
          <w:sz w:val="24"/>
          <w:highlight w:val="none"/>
        </w:rPr>
        <w:t>评标的方式</w:t>
      </w:r>
    </w:p>
    <w:p>
      <w:pPr>
        <w:pStyle w:val="12"/>
        <w:spacing w:before="0" w:beforeLines="0" w:after="0" w:afterLines="0" w:line="288" w:lineRule="auto"/>
        <w:ind w:firstLine="396" w:firstLineChars="200"/>
        <w:rPr>
          <w:rFonts w:hAnsi="宋体"/>
          <w:color w:val="auto"/>
          <w:spacing w:val="-6"/>
          <w:sz w:val="21"/>
          <w:szCs w:val="21"/>
          <w:highlight w:val="none"/>
        </w:rPr>
      </w:pPr>
      <w:r>
        <w:rPr>
          <w:rFonts w:hAnsi="宋体"/>
          <w:color w:val="auto"/>
          <w:spacing w:val="-6"/>
          <w:sz w:val="21"/>
          <w:szCs w:val="21"/>
          <w:highlight w:val="none"/>
        </w:rPr>
        <w:t>本项目采用不公开方式评标，评标的依据为招标文件和投标文件。</w:t>
      </w:r>
    </w:p>
    <w:p>
      <w:pPr>
        <w:spacing w:line="288" w:lineRule="auto"/>
        <w:outlineLvl w:val="2"/>
        <w:rPr>
          <w:rFonts w:ascii="宋体" w:hAnsi="宋体"/>
          <w:b/>
          <w:color w:val="auto"/>
          <w:spacing w:val="-6"/>
          <w:sz w:val="24"/>
          <w:highlight w:val="none"/>
        </w:rPr>
      </w:pPr>
      <w:r>
        <w:rPr>
          <w:rFonts w:ascii="宋体" w:hAnsi="宋体"/>
          <w:b/>
          <w:color w:val="auto"/>
          <w:spacing w:val="-6"/>
          <w:sz w:val="24"/>
          <w:highlight w:val="none"/>
        </w:rPr>
        <w:t>（三）</w:t>
      </w:r>
      <w:r>
        <w:rPr>
          <w:rFonts w:hint="eastAsia" w:ascii="宋体" w:hAnsi="宋体"/>
          <w:b/>
          <w:color w:val="auto"/>
          <w:spacing w:val="-6"/>
          <w:sz w:val="24"/>
          <w:highlight w:val="none"/>
        </w:rPr>
        <w:t xml:space="preserve"> </w:t>
      </w:r>
      <w:r>
        <w:rPr>
          <w:rFonts w:ascii="宋体" w:hAnsi="宋体"/>
          <w:b/>
          <w:color w:val="auto"/>
          <w:spacing w:val="-6"/>
          <w:sz w:val="24"/>
          <w:highlight w:val="none"/>
        </w:rPr>
        <w:t>评标程序</w:t>
      </w:r>
    </w:p>
    <w:p>
      <w:pPr>
        <w:pStyle w:val="12"/>
        <w:spacing w:before="0" w:beforeLines="0" w:after="0" w:afterLines="0" w:line="288" w:lineRule="auto"/>
        <w:ind w:firstLine="396" w:firstLineChars="200"/>
        <w:rPr>
          <w:rFonts w:hAnsi="宋体"/>
          <w:color w:val="auto"/>
          <w:spacing w:val="-6"/>
          <w:sz w:val="21"/>
          <w:szCs w:val="21"/>
          <w:highlight w:val="none"/>
        </w:rPr>
      </w:pPr>
      <w:r>
        <w:rPr>
          <w:rFonts w:hint="eastAsia" w:hAnsi="宋体"/>
          <w:color w:val="auto"/>
          <w:spacing w:val="-6"/>
          <w:sz w:val="21"/>
          <w:szCs w:val="21"/>
          <w:highlight w:val="none"/>
        </w:rPr>
        <w:t>采购代理机构</w:t>
      </w:r>
      <w:r>
        <w:rPr>
          <w:rFonts w:hAnsi="宋体"/>
          <w:color w:val="auto"/>
          <w:spacing w:val="-6"/>
          <w:sz w:val="21"/>
          <w:szCs w:val="21"/>
          <w:highlight w:val="none"/>
        </w:rPr>
        <w:t>按照</w:t>
      </w:r>
      <w:r>
        <w:rPr>
          <w:rFonts w:hint="eastAsia" w:hAnsi="宋体"/>
          <w:color w:val="auto"/>
          <w:spacing w:val="-6"/>
          <w:sz w:val="21"/>
          <w:szCs w:val="21"/>
          <w:highlight w:val="none"/>
        </w:rPr>
        <w:t>招标</w:t>
      </w:r>
      <w:r>
        <w:rPr>
          <w:rFonts w:hAnsi="宋体"/>
          <w:color w:val="auto"/>
          <w:spacing w:val="-6"/>
          <w:sz w:val="21"/>
          <w:szCs w:val="21"/>
          <w:highlight w:val="none"/>
        </w:rPr>
        <w:t>文件规定的时间、地点及程序组织</w:t>
      </w:r>
      <w:r>
        <w:rPr>
          <w:rFonts w:hint="eastAsia" w:hAnsi="宋体"/>
          <w:color w:val="auto"/>
          <w:spacing w:val="-6"/>
          <w:sz w:val="21"/>
          <w:szCs w:val="21"/>
          <w:highlight w:val="none"/>
        </w:rPr>
        <w:t>评标</w:t>
      </w:r>
      <w:r>
        <w:rPr>
          <w:rFonts w:hAnsi="宋体"/>
          <w:color w:val="auto"/>
          <w:spacing w:val="-6"/>
          <w:sz w:val="21"/>
          <w:szCs w:val="21"/>
          <w:highlight w:val="none"/>
        </w:rPr>
        <w:t>。</w:t>
      </w:r>
      <w:r>
        <w:rPr>
          <w:rFonts w:hint="eastAsia" w:hAnsi="宋体"/>
          <w:color w:val="auto"/>
          <w:spacing w:val="-6"/>
          <w:sz w:val="21"/>
          <w:szCs w:val="21"/>
          <w:highlight w:val="none"/>
        </w:rPr>
        <w:t>评标</w:t>
      </w:r>
      <w:r>
        <w:rPr>
          <w:rFonts w:hAnsi="宋体"/>
          <w:color w:val="auto"/>
          <w:spacing w:val="-6"/>
          <w:sz w:val="21"/>
          <w:szCs w:val="21"/>
          <w:highlight w:val="none"/>
        </w:rPr>
        <w:t>活动一般应按以下程序组织开展：</w:t>
      </w:r>
    </w:p>
    <w:p>
      <w:pPr>
        <w:pStyle w:val="12"/>
        <w:spacing w:before="0" w:beforeLines="0" w:after="0" w:afterLines="0" w:line="288" w:lineRule="auto"/>
        <w:ind w:firstLine="396" w:firstLineChars="200"/>
        <w:rPr>
          <w:rFonts w:hAnsi="宋体"/>
          <w:color w:val="auto"/>
          <w:spacing w:val="-6"/>
          <w:sz w:val="21"/>
          <w:szCs w:val="21"/>
          <w:highlight w:val="none"/>
        </w:rPr>
      </w:pPr>
      <w:r>
        <w:rPr>
          <w:rFonts w:hint="eastAsia" w:hAnsi="宋体"/>
          <w:color w:val="auto"/>
          <w:spacing w:val="-6"/>
          <w:sz w:val="21"/>
          <w:szCs w:val="21"/>
          <w:highlight w:val="none"/>
        </w:rPr>
        <w:t>1.</w:t>
      </w:r>
      <w:r>
        <w:rPr>
          <w:rFonts w:hAnsi="宋体"/>
          <w:color w:val="auto"/>
          <w:spacing w:val="-6"/>
          <w:sz w:val="21"/>
          <w:szCs w:val="21"/>
          <w:highlight w:val="none"/>
        </w:rPr>
        <w:t>开启</w:t>
      </w:r>
      <w:r>
        <w:rPr>
          <w:rFonts w:hint="eastAsia" w:hAnsi="宋体"/>
          <w:color w:val="auto"/>
          <w:spacing w:val="-6"/>
          <w:sz w:val="21"/>
          <w:szCs w:val="21"/>
          <w:highlight w:val="none"/>
        </w:rPr>
        <w:t>评标</w:t>
      </w:r>
      <w:r>
        <w:rPr>
          <w:rFonts w:hAnsi="宋体"/>
          <w:color w:val="auto"/>
          <w:spacing w:val="-6"/>
          <w:sz w:val="21"/>
          <w:szCs w:val="21"/>
          <w:highlight w:val="none"/>
        </w:rPr>
        <w:t>场地的录音录像采集设备，并确保其正常运行</w:t>
      </w:r>
      <w:r>
        <w:rPr>
          <w:rFonts w:hint="eastAsia" w:hAnsi="宋体"/>
          <w:color w:val="auto"/>
          <w:spacing w:val="-6"/>
          <w:sz w:val="21"/>
          <w:szCs w:val="21"/>
          <w:highlight w:val="none"/>
        </w:rPr>
        <w:t>。</w:t>
      </w:r>
    </w:p>
    <w:p>
      <w:pPr>
        <w:pStyle w:val="12"/>
        <w:spacing w:before="0" w:beforeLines="0" w:after="0" w:afterLines="0" w:line="288" w:lineRule="auto"/>
        <w:ind w:firstLine="396" w:firstLineChars="200"/>
        <w:rPr>
          <w:rFonts w:hAnsi="宋体"/>
          <w:color w:val="auto"/>
          <w:spacing w:val="-6"/>
          <w:sz w:val="21"/>
          <w:szCs w:val="21"/>
          <w:highlight w:val="none"/>
        </w:rPr>
      </w:pPr>
      <w:r>
        <w:rPr>
          <w:rFonts w:hint="eastAsia" w:hAnsi="宋体"/>
          <w:color w:val="auto"/>
          <w:spacing w:val="-6"/>
          <w:sz w:val="21"/>
          <w:szCs w:val="21"/>
          <w:highlight w:val="none"/>
        </w:rPr>
        <w:t>2.</w:t>
      </w:r>
      <w:r>
        <w:rPr>
          <w:rFonts w:hAnsi="宋体"/>
          <w:color w:val="auto"/>
          <w:spacing w:val="-6"/>
          <w:sz w:val="21"/>
          <w:szCs w:val="21"/>
          <w:highlight w:val="none"/>
        </w:rPr>
        <w:t>核验出席</w:t>
      </w:r>
      <w:r>
        <w:rPr>
          <w:rFonts w:hint="eastAsia" w:hAnsi="宋体"/>
          <w:color w:val="auto"/>
          <w:spacing w:val="-6"/>
          <w:sz w:val="21"/>
          <w:szCs w:val="21"/>
          <w:highlight w:val="none"/>
        </w:rPr>
        <w:t>评标</w:t>
      </w:r>
      <w:r>
        <w:rPr>
          <w:rFonts w:hAnsi="宋体"/>
          <w:color w:val="auto"/>
          <w:spacing w:val="-6"/>
          <w:sz w:val="21"/>
          <w:szCs w:val="21"/>
          <w:highlight w:val="none"/>
        </w:rPr>
        <w:t>活动现场的</w:t>
      </w:r>
      <w:r>
        <w:rPr>
          <w:rFonts w:hint="eastAsia" w:hAnsi="宋体"/>
          <w:color w:val="auto"/>
          <w:spacing w:val="-6"/>
          <w:sz w:val="21"/>
          <w:szCs w:val="21"/>
          <w:highlight w:val="none"/>
        </w:rPr>
        <w:t>评标委员会</w:t>
      </w:r>
      <w:r>
        <w:rPr>
          <w:rFonts w:hAnsi="宋体"/>
          <w:color w:val="auto"/>
          <w:spacing w:val="-6"/>
          <w:sz w:val="21"/>
          <w:szCs w:val="21"/>
          <w:highlight w:val="none"/>
        </w:rPr>
        <w:t>各成员身份，并要求其分别登记、签到，按规定统一收缴、保存其通讯工具，无关人员一律拒绝其进入</w:t>
      </w:r>
      <w:r>
        <w:rPr>
          <w:rFonts w:hint="eastAsia" w:hAnsi="宋体"/>
          <w:color w:val="auto"/>
          <w:spacing w:val="-6"/>
          <w:sz w:val="21"/>
          <w:szCs w:val="21"/>
          <w:highlight w:val="none"/>
        </w:rPr>
        <w:t>评标</w:t>
      </w:r>
      <w:r>
        <w:rPr>
          <w:rFonts w:hAnsi="宋体"/>
          <w:color w:val="auto"/>
          <w:spacing w:val="-6"/>
          <w:sz w:val="21"/>
          <w:szCs w:val="21"/>
          <w:highlight w:val="none"/>
        </w:rPr>
        <w:t>现场。</w:t>
      </w:r>
    </w:p>
    <w:p>
      <w:pPr>
        <w:pStyle w:val="12"/>
        <w:spacing w:before="0" w:beforeLines="0" w:after="0" w:afterLines="0" w:line="288" w:lineRule="auto"/>
        <w:ind w:firstLine="396" w:firstLineChars="200"/>
        <w:rPr>
          <w:rFonts w:hAnsi="宋体"/>
          <w:color w:val="auto"/>
          <w:spacing w:val="-6"/>
          <w:sz w:val="21"/>
          <w:szCs w:val="21"/>
          <w:highlight w:val="none"/>
        </w:rPr>
      </w:pPr>
      <w:r>
        <w:rPr>
          <w:rFonts w:hint="eastAsia" w:hAnsi="宋体"/>
          <w:color w:val="auto"/>
          <w:spacing w:val="-6"/>
          <w:sz w:val="21"/>
          <w:szCs w:val="21"/>
          <w:highlight w:val="none"/>
        </w:rPr>
        <w:t>3.</w:t>
      </w:r>
      <w:r>
        <w:rPr>
          <w:rFonts w:hAnsi="宋体"/>
          <w:color w:val="auto"/>
          <w:spacing w:val="-6"/>
          <w:sz w:val="21"/>
          <w:szCs w:val="21"/>
          <w:highlight w:val="none"/>
        </w:rPr>
        <w:t>介绍</w:t>
      </w:r>
      <w:r>
        <w:rPr>
          <w:rFonts w:hint="eastAsia" w:hAnsi="宋体"/>
          <w:color w:val="auto"/>
          <w:spacing w:val="-6"/>
          <w:sz w:val="21"/>
          <w:szCs w:val="21"/>
          <w:highlight w:val="none"/>
        </w:rPr>
        <w:t>评标</w:t>
      </w:r>
      <w:r>
        <w:rPr>
          <w:rFonts w:hAnsi="宋体"/>
          <w:color w:val="auto"/>
          <w:spacing w:val="-6"/>
          <w:sz w:val="21"/>
          <w:szCs w:val="21"/>
          <w:highlight w:val="none"/>
        </w:rPr>
        <w:t>现场的人员情况，宣布</w:t>
      </w:r>
      <w:r>
        <w:rPr>
          <w:rFonts w:hint="eastAsia" w:hAnsi="宋体"/>
          <w:color w:val="auto"/>
          <w:spacing w:val="-6"/>
          <w:sz w:val="21"/>
          <w:szCs w:val="21"/>
          <w:highlight w:val="none"/>
        </w:rPr>
        <w:t>评标</w:t>
      </w:r>
      <w:r>
        <w:rPr>
          <w:rFonts w:hAnsi="宋体"/>
          <w:color w:val="auto"/>
          <w:spacing w:val="-6"/>
          <w:sz w:val="21"/>
          <w:szCs w:val="21"/>
          <w:highlight w:val="none"/>
        </w:rPr>
        <w:t>工作纪律，告知</w:t>
      </w:r>
      <w:r>
        <w:rPr>
          <w:rFonts w:hint="eastAsia" w:hAnsi="宋体"/>
          <w:color w:val="auto"/>
          <w:spacing w:val="-6"/>
          <w:sz w:val="21"/>
          <w:szCs w:val="21"/>
          <w:highlight w:val="none"/>
        </w:rPr>
        <w:t>评标委员会</w:t>
      </w:r>
      <w:r>
        <w:rPr>
          <w:rFonts w:hAnsi="宋体"/>
          <w:color w:val="auto"/>
          <w:spacing w:val="-6"/>
          <w:sz w:val="21"/>
          <w:szCs w:val="21"/>
          <w:highlight w:val="none"/>
        </w:rPr>
        <w:t>应当回避情形</w:t>
      </w:r>
      <w:r>
        <w:rPr>
          <w:rFonts w:hint="eastAsia" w:hAnsi="宋体"/>
          <w:color w:val="auto"/>
          <w:spacing w:val="-6"/>
          <w:sz w:val="21"/>
          <w:szCs w:val="21"/>
          <w:highlight w:val="none"/>
        </w:rPr>
        <w:t>，</w:t>
      </w:r>
      <w:r>
        <w:rPr>
          <w:rFonts w:hAnsi="宋体"/>
          <w:color w:val="auto"/>
          <w:spacing w:val="-6"/>
          <w:sz w:val="21"/>
          <w:szCs w:val="21"/>
          <w:highlight w:val="none"/>
        </w:rPr>
        <w:t>组织推选</w:t>
      </w:r>
      <w:r>
        <w:rPr>
          <w:rFonts w:hint="eastAsia" w:hAnsi="宋体"/>
          <w:color w:val="auto"/>
          <w:spacing w:val="-6"/>
          <w:sz w:val="21"/>
          <w:szCs w:val="21"/>
          <w:highlight w:val="none"/>
        </w:rPr>
        <w:t>评标委员会</w:t>
      </w:r>
      <w:r>
        <w:rPr>
          <w:rFonts w:hAnsi="宋体"/>
          <w:color w:val="auto"/>
          <w:spacing w:val="-6"/>
          <w:sz w:val="21"/>
          <w:szCs w:val="21"/>
          <w:highlight w:val="none"/>
        </w:rPr>
        <w:t>组长。</w:t>
      </w:r>
    </w:p>
    <w:p>
      <w:pPr>
        <w:pStyle w:val="12"/>
        <w:spacing w:before="0" w:beforeLines="0" w:after="0" w:afterLines="0" w:line="288" w:lineRule="auto"/>
        <w:ind w:firstLine="396" w:firstLineChars="200"/>
        <w:rPr>
          <w:rFonts w:hAnsi="宋体"/>
          <w:color w:val="auto"/>
          <w:spacing w:val="-6"/>
          <w:sz w:val="21"/>
          <w:szCs w:val="21"/>
          <w:highlight w:val="none"/>
        </w:rPr>
      </w:pPr>
      <w:r>
        <w:rPr>
          <w:rFonts w:hint="eastAsia" w:hAnsi="宋体"/>
          <w:color w:val="auto"/>
          <w:spacing w:val="-6"/>
          <w:sz w:val="21"/>
          <w:szCs w:val="21"/>
          <w:highlight w:val="none"/>
        </w:rPr>
        <w:t>4.</w:t>
      </w:r>
      <w:r>
        <w:rPr>
          <w:rFonts w:hAnsi="宋体"/>
          <w:color w:val="auto"/>
          <w:spacing w:val="-6"/>
          <w:sz w:val="21"/>
          <w:szCs w:val="21"/>
          <w:highlight w:val="none"/>
        </w:rPr>
        <w:t>通报</w:t>
      </w:r>
      <w:r>
        <w:rPr>
          <w:rFonts w:hint="eastAsia" w:hAnsi="宋体"/>
          <w:color w:val="auto"/>
          <w:spacing w:val="-6"/>
          <w:sz w:val="21"/>
          <w:szCs w:val="21"/>
          <w:highlight w:val="none"/>
        </w:rPr>
        <w:t>依法获取招标文件的投标人</w:t>
      </w:r>
      <w:r>
        <w:rPr>
          <w:rFonts w:hAnsi="宋体"/>
          <w:color w:val="auto"/>
          <w:spacing w:val="-6"/>
          <w:sz w:val="21"/>
          <w:szCs w:val="21"/>
          <w:highlight w:val="none"/>
        </w:rPr>
        <w:t>名单及资格预审情况（如有），宣读最终提交</w:t>
      </w:r>
      <w:r>
        <w:rPr>
          <w:rFonts w:hint="eastAsia" w:hAnsi="宋体"/>
          <w:color w:val="auto"/>
          <w:spacing w:val="-6"/>
          <w:sz w:val="21"/>
          <w:szCs w:val="21"/>
          <w:highlight w:val="none"/>
        </w:rPr>
        <w:t>投标文件且通过</w:t>
      </w:r>
      <w:r>
        <w:rPr>
          <w:rFonts w:hAnsi="宋体"/>
          <w:color w:val="auto"/>
          <w:spacing w:val="-6"/>
          <w:sz w:val="21"/>
          <w:szCs w:val="21"/>
          <w:highlight w:val="none"/>
        </w:rPr>
        <w:t>资格审查的</w:t>
      </w:r>
      <w:r>
        <w:rPr>
          <w:rFonts w:hint="eastAsia" w:hAnsi="宋体"/>
          <w:color w:val="auto"/>
          <w:spacing w:val="-6"/>
          <w:sz w:val="21"/>
          <w:szCs w:val="21"/>
          <w:highlight w:val="none"/>
        </w:rPr>
        <w:t>投标人</w:t>
      </w:r>
      <w:r>
        <w:rPr>
          <w:rFonts w:hAnsi="宋体"/>
          <w:color w:val="auto"/>
          <w:spacing w:val="-6"/>
          <w:sz w:val="21"/>
          <w:szCs w:val="21"/>
          <w:highlight w:val="none"/>
        </w:rPr>
        <w:t>名单，组织</w:t>
      </w:r>
      <w:r>
        <w:rPr>
          <w:rFonts w:hint="eastAsia" w:hAnsi="宋体"/>
          <w:color w:val="auto"/>
          <w:spacing w:val="-6"/>
          <w:sz w:val="21"/>
          <w:szCs w:val="21"/>
          <w:highlight w:val="none"/>
        </w:rPr>
        <w:t>评标委员会</w:t>
      </w:r>
      <w:r>
        <w:rPr>
          <w:rFonts w:hAnsi="宋体"/>
          <w:color w:val="auto"/>
          <w:spacing w:val="-6"/>
          <w:sz w:val="21"/>
          <w:szCs w:val="21"/>
          <w:highlight w:val="none"/>
        </w:rPr>
        <w:t>各位成员签订《政府采购评审人员廉洁自律承诺书》。</w:t>
      </w:r>
    </w:p>
    <w:p>
      <w:pPr>
        <w:pStyle w:val="12"/>
        <w:spacing w:before="0" w:beforeLines="0" w:after="0" w:afterLines="0" w:line="288" w:lineRule="auto"/>
        <w:ind w:firstLine="396" w:firstLineChars="200"/>
        <w:rPr>
          <w:rFonts w:hAnsi="宋体"/>
          <w:color w:val="auto"/>
          <w:spacing w:val="-6"/>
          <w:sz w:val="21"/>
          <w:szCs w:val="21"/>
          <w:highlight w:val="none"/>
        </w:rPr>
      </w:pPr>
      <w:r>
        <w:rPr>
          <w:rFonts w:hint="eastAsia" w:hAnsi="宋体"/>
          <w:color w:val="auto"/>
          <w:spacing w:val="-6"/>
          <w:sz w:val="21"/>
          <w:szCs w:val="21"/>
          <w:highlight w:val="none"/>
        </w:rPr>
        <w:t>5.</w:t>
      </w:r>
      <w:r>
        <w:rPr>
          <w:rFonts w:hAnsi="宋体"/>
          <w:color w:val="auto"/>
          <w:spacing w:val="-6"/>
          <w:sz w:val="21"/>
          <w:szCs w:val="21"/>
          <w:highlight w:val="none"/>
        </w:rPr>
        <w:t>根据需要简要介绍</w:t>
      </w:r>
      <w:r>
        <w:rPr>
          <w:rFonts w:hint="eastAsia" w:hAnsi="宋体"/>
          <w:color w:val="auto"/>
          <w:spacing w:val="-6"/>
          <w:sz w:val="21"/>
          <w:szCs w:val="21"/>
          <w:highlight w:val="none"/>
        </w:rPr>
        <w:t>招标</w:t>
      </w:r>
      <w:r>
        <w:rPr>
          <w:rFonts w:hAnsi="宋体"/>
          <w:color w:val="auto"/>
          <w:spacing w:val="-6"/>
          <w:sz w:val="21"/>
          <w:szCs w:val="21"/>
          <w:highlight w:val="none"/>
        </w:rPr>
        <w:t>文件（含补充文件）制定及质疑答复情况、按书面陈述项目基本情况及</w:t>
      </w:r>
      <w:r>
        <w:rPr>
          <w:rFonts w:hint="eastAsia" w:hAnsi="宋体"/>
          <w:color w:val="auto"/>
          <w:spacing w:val="-6"/>
          <w:sz w:val="21"/>
          <w:szCs w:val="21"/>
          <w:highlight w:val="none"/>
        </w:rPr>
        <w:t>评标</w:t>
      </w:r>
      <w:r>
        <w:rPr>
          <w:rFonts w:hAnsi="宋体"/>
          <w:color w:val="auto"/>
          <w:spacing w:val="-6"/>
          <w:sz w:val="21"/>
          <w:szCs w:val="21"/>
          <w:highlight w:val="none"/>
        </w:rPr>
        <w:t>工作需注意事项等，让评审专家尽快知悉和了解所评审项目的采购需求、评审依据、评审标准、工作程序等；提醒</w:t>
      </w:r>
      <w:r>
        <w:rPr>
          <w:rFonts w:hint="eastAsia" w:hAnsi="宋体"/>
          <w:color w:val="auto"/>
          <w:spacing w:val="-6"/>
          <w:sz w:val="21"/>
          <w:szCs w:val="21"/>
          <w:highlight w:val="none"/>
        </w:rPr>
        <w:t>评标委员会</w:t>
      </w:r>
      <w:r>
        <w:rPr>
          <w:rFonts w:hAnsi="宋体"/>
          <w:color w:val="auto"/>
          <w:spacing w:val="-6"/>
          <w:sz w:val="21"/>
          <w:szCs w:val="21"/>
          <w:highlight w:val="none"/>
        </w:rPr>
        <w:t>对客观评审项目应统一评审依据和评审标准，对主观评审项目应确定大致的评审要求和评审尺度；对</w:t>
      </w:r>
      <w:r>
        <w:rPr>
          <w:rFonts w:hint="eastAsia" w:hAnsi="宋体"/>
          <w:color w:val="auto"/>
          <w:spacing w:val="-6"/>
          <w:sz w:val="21"/>
          <w:szCs w:val="21"/>
          <w:highlight w:val="none"/>
        </w:rPr>
        <w:t>评标委员会</w:t>
      </w:r>
      <w:r>
        <w:rPr>
          <w:rFonts w:hAnsi="宋体"/>
          <w:color w:val="auto"/>
          <w:spacing w:val="-6"/>
          <w:sz w:val="21"/>
          <w:szCs w:val="21"/>
          <w:highlight w:val="none"/>
        </w:rPr>
        <w:t>提出的有关</w:t>
      </w:r>
      <w:r>
        <w:rPr>
          <w:rFonts w:hint="eastAsia" w:hAnsi="宋体"/>
          <w:color w:val="auto"/>
          <w:spacing w:val="-6"/>
          <w:sz w:val="21"/>
          <w:szCs w:val="21"/>
          <w:highlight w:val="none"/>
        </w:rPr>
        <w:t>招标</w:t>
      </w:r>
      <w:r>
        <w:rPr>
          <w:rFonts w:hAnsi="宋体"/>
          <w:color w:val="auto"/>
          <w:spacing w:val="-6"/>
          <w:sz w:val="21"/>
          <w:szCs w:val="21"/>
          <w:highlight w:val="none"/>
        </w:rPr>
        <w:t>文件、</w:t>
      </w:r>
      <w:r>
        <w:rPr>
          <w:rFonts w:hint="eastAsia" w:hAnsi="宋体"/>
          <w:color w:val="auto"/>
          <w:spacing w:val="-6"/>
          <w:sz w:val="21"/>
          <w:szCs w:val="21"/>
          <w:highlight w:val="none"/>
        </w:rPr>
        <w:t>投标</w:t>
      </w:r>
      <w:r>
        <w:rPr>
          <w:rFonts w:hAnsi="宋体"/>
          <w:color w:val="auto"/>
          <w:spacing w:val="-6"/>
          <w:sz w:val="21"/>
          <w:szCs w:val="21"/>
          <w:highlight w:val="none"/>
        </w:rPr>
        <w:t>文件的问题进行必要的说明、解释或讨论。</w:t>
      </w:r>
    </w:p>
    <w:p>
      <w:pPr>
        <w:pStyle w:val="12"/>
        <w:spacing w:before="0" w:beforeLines="0" w:after="0" w:afterLines="0" w:line="288" w:lineRule="auto"/>
        <w:ind w:firstLine="396" w:firstLineChars="200"/>
        <w:rPr>
          <w:rFonts w:hAnsi="宋体"/>
          <w:color w:val="auto"/>
          <w:spacing w:val="-6"/>
          <w:sz w:val="21"/>
          <w:szCs w:val="21"/>
          <w:highlight w:val="none"/>
        </w:rPr>
      </w:pPr>
      <w:r>
        <w:rPr>
          <w:rFonts w:hint="eastAsia" w:hAnsi="宋体"/>
          <w:color w:val="auto"/>
          <w:spacing w:val="-6"/>
          <w:sz w:val="21"/>
          <w:szCs w:val="21"/>
          <w:highlight w:val="none"/>
        </w:rPr>
        <w:t>6.评标委员会</w:t>
      </w:r>
      <w:r>
        <w:rPr>
          <w:rFonts w:hAnsi="宋体"/>
          <w:color w:val="auto"/>
          <w:spacing w:val="-6"/>
          <w:sz w:val="21"/>
          <w:szCs w:val="21"/>
          <w:highlight w:val="none"/>
        </w:rPr>
        <w:t>组长组织</w:t>
      </w:r>
      <w:r>
        <w:rPr>
          <w:rFonts w:hint="eastAsia" w:hAnsi="宋体"/>
          <w:color w:val="auto"/>
          <w:spacing w:val="-6"/>
          <w:sz w:val="21"/>
          <w:szCs w:val="21"/>
          <w:highlight w:val="none"/>
        </w:rPr>
        <w:t>评标委员会</w:t>
      </w:r>
      <w:r>
        <w:rPr>
          <w:rFonts w:hAnsi="宋体"/>
          <w:color w:val="auto"/>
          <w:spacing w:val="-6"/>
          <w:sz w:val="21"/>
          <w:szCs w:val="21"/>
          <w:highlight w:val="none"/>
        </w:rPr>
        <w:t>独立评审。评标委员会对拟认定为投标文件无效</w:t>
      </w:r>
      <w:r>
        <w:rPr>
          <w:rFonts w:hint="eastAsia" w:hAnsi="宋体"/>
          <w:color w:val="auto"/>
          <w:spacing w:val="-6"/>
          <w:sz w:val="21"/>
          <w:szCs w:val="21"/>
          <w:highlight w:val="none"/>
        </w:rPr>
        <w:t>的</w:t>
      </w:r>
      <w:r>
        <w:rPr>
          <w:rFonts w:hAnsi="宋体"/>
          <w:color w:val="auto"/>
          <w:spacing w:val="-6"/>
          <w:sz w:val="21"/>
          <w:szCs w:val="21"/>
          <w:highlight w:val="none"/>
        </w:rPr>
        <w:t>，应组织相关</w:t>
      </w:r>
      <w:r>
        <w:rPr>
          <w:rFonts w:hint="eastAsia" w:hAnsi="宋体"/>
          <w:color w:val="auto"/>
          <w:spacing w:val="-6"/>
          <w:sz w:val="21"/>
          <w:szCs w:val="21"/>
          <w:highlight w:val="none"/>
        </w:rPr>
        <w:t>投标人</w:t>
      </w:r>
      <w:r>
        <w:rPr>
          <w:rFonts w:hAnsi="宋体"/>
          <w:color w:val="auto"/>
          <w:spacing w:val="-6"/>
          <w:sz w:val="21"/>
          <w:szCs w:val="21"/>
          <w:highlight w:val="none"/>
        </w:rPr>
        <w:t>代表</w:t>
      </w:r>
      <w:r>
        <w:rPr>
          <w:rFonts w:hint="eastAsia" w:hAnsi="宋体"/>
          <w:color w:val="auto"/>
          <w:spacing w:val="-6"/>
          <w:sz w:val="21"/>
          <w:szCs w:val="21"/>
          <w:highlight w:val="none"/>
        </w:rPr>
        <w:t>通过发送邮件（或通过政府采购云平台在线答复）形式</w:t>
      </w:r>
      <w:r>
        <w:rPr>
          <w:rFonts w:hAnsi="宋体"/>
          <w:color w:val="auto"/>
          <w:spacing w:val="-6"/>
          <w:sz w:val="21"/>
          <w:szCs w:val="21"/>
          <w:highlight w:val="none"/>
        </w:rPr>
        <w:t>进行陈述、澄清或申辩；采购代理机构可协助评标委员会组长对打分结果进行校对、核对并汇总统计；对明显畸高、畸低的评分（其总评分偏离平均分30%以上的），评标委员会组长应提醒相关评审人员进行复核或书面说明理由，评审人员拒绝说明的，由现场监督员据实记录。</w:t>
      </w:r>
    </w:p>
    <w:p>
      <w:pPr>
        <w:pStyle w:val="12"/>
        <w:spacing w:before="0" w:beforeLines="0" w:after="0" w:afterLines="0" w:line="288" w:lineRule="auto"/>
        <w:ind w:firstLine="396" w:firstLineChars="200"/>
        <w:rPr>
          <w:rFonts w:hAnsi="宋体"/>
          <w:color w:val="auto"/>
          <w:spacing w:val="-6"/>
          <w:sz w:val="21"/>
          <w:szCs w:val="21"/>
          <w:highlight w:val="none"/>
        </w:rPr>
      </w:pPr>
      <w:r>
        <w:rPr>
          <w:rFonts w:hint="eastAsia" w:hAnsi="宋体"/>
          <w:color w:val="auto"/>
          <w:spacing w:val="-6"/>
          <w:sz w:val="21"/>
          <w:szCs w:val="21"/>
          <w:highlight w:val="none"/>
        </w:rPr>
        <w:t>7.</w:t>
      </w:r>
      <w:r>
        <w:rPr>
          <w:rFonts w:hAnsi="宋体"/>
          <w:color w:val="auto"/>
          <w:spacing w:val="-6"/>
          <w:sz w:val="21"/>
          <w:szCs w:val="21"/>
          <w:highlight w:val="none"/>
        </w:rPr>
        <w:t>做好</w:t>
      </w:r>
      <w:r>
        <w:rPr>
          <w:rFonts w:hint="eastAsia" w:hAnsi="宋体"/>
          <w:color w:val="auto"/>
          <w:spacing w:val="-6"/>
          <w:sz w:val="21"/>
          <w:szCs w:val="21"/>
          <w:highlight w:val="none"/>
        </w:rPr>
        <w:t>评标</w:t>
      </w:r>
      <w:r>
        <w:rPr>
          <w:rFonts w:hAnsi="宋体"/>
          <w:color w:val="auto"/>
          <w:spacing w:val="-6"/>
          <w:sz w:val="21"/>
          <w:szCs w:val="21"/>
          <w:highlight w:val="none"/>
        </w:rPr>
        <w:t>现场相关记录，协助评标委员会组长做好</w:t>
      </w:r>
      <w:r>
        <w:rPr>
          <w:rFonts w:hint="eastAsia" w:hAnsi="宋体"/>
          <w:color w:val="auto"/>
          <w:spacing w:val="-6"/>
          <w:sz w:val="21"/>
          <w:szCs w:val="21"/>
          <w:highlight w:val="none"/>
        </w:rPr>
        <w:t>评标</w:t>
      </w:r>
      <w:r>
        <w:rPr>
          <w:rFonts w:hAnsi="宋体"/>
          <w:color w:val="auto"/>
          <w:spacing w:val="-6"/>
          <w:sz w:val="21"/>
          <w:szCs w:val="21"/>
          <w:highlight w:val="none"/>
        </w:rPr>
        <w:t>报告起草、有关内容电脑文字录入等工作，并要求评标委员会各成员签字确认。</w:t>
      </w:r>
    </w:p>
    <w:p>
      <w:pPr>
        <w:pStyle w:val="12"/>
        <w:spacing w:before="0" w:beforeLines="0" w:after="0" w:afterLines="0" w:line="288" w:lineRule="auto"/>
        <w:ind w:firstLine="396" w:firstLineChars="200"/>
        <w:rPr>
          <w:rFonts w:hAnsi="宋体"/>
          <w:color w:val="auto"/>
          <w:spacing w:val="-6"/>
          <w:sz w:val="21"/>
          <w:szCs w:val="21"/>
          <w:highlight w:val="none"/>
        </w:rPr>
      </w:pPr>
      <w:r>
        <w:rPr>
          <w:rFonts w:hint="eastAsia" w:hAnsi="宋体"/>
          <w:color w:val="auto"/>
          <w:spacing w:val="-6"/>
          <w:sz w:val="21"/>
          <w:szCs w:val="21"/>
          <w:highlight w:val="none"/>
        </w:rPr>
        <w:t>8.评标</w:t>
      </w:r>
      <w:r>
        <w:rPr>
          <w:rFonts w:hAnsi="宋体"/>
          <w:color w:val="auto"/>
          <w:spacing w:val="-6"/>
          <w:sz w:val="21"/>
          <w:szCs w:val="21"/>
          <w:highlight w:val="none"/>
        </w:rPr>
        <w:t>结束后，</w:t>
      </w:r>
      <w:r>
        <w:rPr>
          <w:rFonts w:hint="eastAsia" w:hAnsi="宋体"/>
          <w:color w:val="auto"/>
          <w:spacing w:val="-6"/>
          <w:sz w:val="21"/>
          <w:szCs w:val="21"/>
          <w:highlight w:val="none"/>
        </w:rPr>
        <w:t>采购代理机构</w:t>
      </w:r>
      <w:r>
        <w:rPr>
          <w:rFonts w:hAnsi="宋体"/>
          <w:color w:val="auto"/>
          <w:spacing w:val="-6"/>
          <w:sz w:val="21"/>
          <w:szCs w:val="21"/>
          <w:highlight w:val="none"/>
        </w:rPr>
        <w:t>交还评审人员及其他现场相关人员的通讯工具。</w:t>
      </w:r>
    </w:p>
    <w:p>
      <w:pPr>
        <w:spacing w:line="288" w:lineRule="auto"/>
        <w:outlineLvl w:val="2"/>
        <w:rPr>
          <w:rFonts w:ascii="宋体" w:hAnsi="宋体"/>
          <w:b/>
          <w:color w:val="auto"/>
          <w:spacing w:val="-6"/>
          <w:sz w:val="24"/>
          <w:highlight w:val="none"/>
        </w:rPr>
      </w:pPr>
      <w:r>
        <w:rPr>
          <w:rFonts w:ascii="宋体" w:hAnsi="宋体"/>
          <w:b/>
          <w:color w:val="auto"/>
          <w:spacing w:val="-6"/>
          <w:sz w:val="24"/>
          <w:highlight w:val="none"/>
        </w:rPr>
        <w:t>（四）</w:t>
      </w:r>
      <w:r>
        <w:rPr>
          <w:rFonts w:hint="eastAsia" w:ascii="宋体" w:hAnsi="宋体"/>
          <w:b/>
          <w:color w:val="auto"/>
          <w:spacing w:val="-6"/>
          <w:sz w:val="24"/>
          <w:highlight w:val="none"/>
        </w:rPr>
        <w:t xml:space="preserve"> </w:t>
      </w:r>
      <w:r>
        <w:rPr>
          <w:rFonts w:ascii="宋体" w:hAnsi="宋体"/>
          <w:b/>
          <w:color w:val="auto"/>
          <w:spacing w:val="-6"/>
          <w:sz w:val="24"/>
          <w:highlight w:val="none"/>
        </w:rPr>
        <w:t>澄清问题的形式</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对于投标文件中含义不明确、同类问题表述不一致或者有明显文字和计算错误的内容，评标委员会应当以书面（或通过政府采购云平台在线询标）形式要求投标人作出必要的澄清、说明或者补正。</w:t>
      </w:r>
    </w:p>
    <w:p>
      <w:pPr>
        <w:spacing w:line="288" w:lineRule="auto"/>
        <w:ind w:firstLine="396" w:firstLineChars="200"/>
        <w:rPr>
          <w:color w:val="auto"/>
          <w:highlight w:val="none"/>
        </w:rPr>
      </w:pPr>
      <w:r>
        <w:rPr>
          <w:rFonts w:hint="eastAsia" w:ascii="宋体" w:hAnsi="宋体"/>
          <w:color w:val="auto"/>
          <w:spacing w:val="-6"/>
          <w:sz w:val="21"/>
          <w:szCs w:val="21"/>
          <w:highlight w:val="none"/>
        </w:rPr>
        <w:t>投标人的澄清、说明或者补正应当采用书面（或通过政府采购云平台在线答复）形式，采用书面形式的加盖公章（非电子签章）或者由法定代表人或其授权的代表签字。投标人的澄清、说明或者补正不得超出投标文件的范围或者改变投标文件的实质性内容。</w:t>
      </w:r>
      <w:r>
        <w:rPr>
          <w:rFonts w:hint="eastAsia" w:hAnsi="宋体" w:cs="宋体"/>
          <w:b/>
          <w:bCs/>
          <w:color w:val="auto"/>
          <w:kern w:val="0"/>
          <w:sz w:val="21"/>
          <w:szCs w:val="21"/>
          <w:highlight w:val="none"/>
        </w:rPr>
        <w:t>采用书面形式的</w:t>
      </w:r>
      <w:r>
        <w:rPr>
          <w:rFonts w:hint="eastAsia" w:hAnsi="宋体"/>
          <w:b/>
          <w:bCs/>
          <w:color w:val="auto"/>
          <w:spacing w:val="-6"/>
          <w:sz w:val="21"/>
          <w:szCs w:val="21"/>
          <w:highlight w:val="none"/>
        </w:rPr>
        <w:t>澄清、说明或者更正，</w:t>
      </w:r>
      <w:r>
        <w:rPr>
          <w:rFonts w:hint="eastAsia" w:hAnsi="宋体" w:cs="宋体"/>
          <w:b/>
          <w:bCs/>
          <w:color w:val="auto"/>
          <w:kern w:val="0"/>
          <w:sz w:val="21"/>
          <w:szCs w:val="21"/>
          <w:highlight w:val="none"/>
        </w:rPr>
        <w:t>投标人应在规定时间内（</w:t>
      </w:r>
      <w:r>
        <w:rPr>
          <w:rFonts w:hint="eastAsia" w:hAnsi="宋体"/>
          <w:b/>
          <w:bCs/>
          <w:color w:val="auto"/>
          <w:spacing w:val="-6"/>
          <w:sz w:val="21"/>
          <w:szCs w:val="21"/>
          <w:highlight w:val="none"/>
        </w:rPr>
        <w:t>不得少于半小时</w:t>
      </w:r>
      <w:r>
        <w:rPr>
          <w:rFonts w:hint="eastAsia" w:hAnsi="宋体" w:cs="宋体"/>
          <w:b/>
          <w:bCs/>
          <w:color w:val="auto"/>
          <w:kern w:val="0"/>
          <w:sz w:val="21"/>
          <w:szCs w:val="21"/>
          <w:highlight w:val="none"/>
        </w:rPr>
        <w:t>）</w:t>
      </w:r>
      <w:r>
        <w:rPr>
          <w:rFonts w:hint="eastAsia" w:hAnsi="宋体"/>
          <w:b/>
          <w:bCs/>
          <w:color w:val="auto"/>
          <w:spacing w:val="-6"/>
          <w:sz w:val="21"/>
          <w:szCs w:val="21"/>
          <w:highlight w:val="none"/>
        </w:rPr>
        <w:t>通过指定的电子邮箱（zb02@qszb.net）或传真号码（</w:t>
      </w:r>
      <w:r>
        <w:rPr>
          <w:rFonts w:hint="eastAsia" w:ascii="宋体" w:hAnsi="宋体"/>
          <w:b/>
          <w:bCs/>
          <w:color w:val="auto"/>
          <w:sz w:val="21"/>
          <w:szCs w:val="21"/>
          <w:highlight w:val="none"/>
        </w:rPr>
        <w:t>0571-87666116</w:t>
      </w:r>
      <w:r>
        <w:rPr>
          <w:rFonts w:hint="eastAsia" w:hAnsi="宋体"/>
          <w:b/>
          <w:bCs/>
          <w:color w:val="auto"/>
          <w:spacing w:val="-6"/>
          <w:sz w:val="21"/>
          <w:szCs w:val="21"/>
          <w:highlight w:val="none"/>
        </w:rPr>
        <w:t>）提交。</w:t>
      </w:r>
    </w:p>
    <w:p>
      <w:pPr>
        <w:spacing w:line="288" w:lineRule="auto"/>
        <w:outlineLvl w:val="2"/>
        <w:rPr>
          <w:rFonts w:ascii="宋体" w:hAnsi="宋体"/>
          <w:b/>
          <w:color w:val="auto"/>
          <w:spacing w:val="-6"/>
          <w:sz w:val="24"/>
          <w:highlight w:val="none"/>
        </w:rPr>
      </w:pPr>
      <w:r>
        <w:rPr>
          <w:rFonts w:ascii="宋体" w:hAnsi="宋体"/>
          <w:b/>
          <w:color w:val="auto"/>
          <w:spacing w:val="-6"/>
          <w:sz w:val="24"/>
          <w:highlight w:val="none"/>
        </w:rPr>
        <w:t>（五）</w:t>
      </w:r>
      <w:r>
        <w:rPr>
          <w:rFonts w:hint="eastAsia" w:ascii="宋体" w:hAnsi="宋体"/>
          <w:b/>
          <w:color w:val="auto"/>
          <w:spacing w:val="-6"/>
          <w:sz w:val="24"/>
          <w:highlight w:val="none"/>
        </w:rPr>
        <w:t xml:space="preserve"> </w:t>
      </w:r>
      <w:r>
        <w:rPr>
          <w:rFonts w:ascii="宋体" w:hAnsi="宋体"/>
          <w:b/>
          <w:color w:val="auto"/>
          <w:spacing w:val="-6"/>
          <w:sz w:val="24"/>
          <w:highlight w:val="none"/>
        </w:rPr>
        <w:t>错误修正</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投标文件报价出现前后不一致的，除招标文件另有规定外，按照下列规定修正：</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（一）投标文件中开标一览表内容与投标文件中相应内容不一致的，以开标一览表为准；</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（二）大写金额和小写金额不一致的，以大写金额为准；</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（三）单价金额小数点或者百分比有明显错位的，以开标一览表的总价为准，并修改单价；</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（四）总价金额与按单价汇总金额不一致的，以单价金额计算结果为准。</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同时出现两种以上不一致的，按照前款规定的顺序修正。修正后的报价按照</w:t>
      </w:r>
      <w:r>
        <w:rPr>
          <w:rFonts w:ascii="宋体" w:hAnsi="宋体"/>
          <w:color w:val="auto"/>
          <w:spacing w:val="-6"/>
          <w:sz w:val="21"/>
          <w:szCs w:val="21"/>
          <w:highlight w:val="none"/>
        </w:rPr>
        <w:t>（四）澄清问题的形式</w:t>
      </w:r>
      <w:r>
        <w:rPr>
          <w:rFonts w:hint="eastAsia" w:ascii="宋体" w:hAnsi="宋体"/>
          <w:color w:val="auto"/>
          <w:spacing w:val="-6"/>
          <w:sz w:val="21"/>
          <w:szCs w:val="21"/>
          <w:highlight w:val="none"/>
        </w:rPr>
        <w:t>第二款的规定经投标人确认后产生约束力，投标人不确认的，其投标无效。</w:t>
      </w:r>
    </w:p>
    <w:p>
      <w:pPr>
        <w:spacing w:line="288" w:lineRule="auto"/>
        <w:outlineLvl w:val="2"/>
        <w:rPr>
          <w:rFonts w:ascii="宋体" w:hAnsi="宋体"/>
          <w:b/>
          <w:color w:val="auto"/>
          <w:spacing w:val="-6"/>
          <w:sz w:val="24"/>
          <w:highlight w:val="none"/>
        </w:rPr>
      </w:pPr>
      <w:r>
        <w:rPr>
          <w:rFonts w:ascii="宋体" w:hAnsi="宋体"/>
          <w:b/>
          <w:color w:val="auto"/>
          <w:spacing w:val="-6"/>
          <w:sz w:val="24"/>
          <w:highlight w:val="none"/>
        </w:rPr>
        <w:t>（</w:t>
      </w:r>
      <w:r>
        <w:rPr>
          <w:rFonts w:hint="eastAsia" w:ascii="宋体" w:hAnsi="宋体"/>
          <w:b/>
          <w:color w:val="auto"/>
          <w:spacing w:val="-6"/>
          <w:sz w:val="24"/>
          <w:highlight w:val="none"/>
        </w:rPr>
        <w:t>六</w:t>
      </w:r>
      <w:r>
        <w:rPr>
          <w:rFonts w:ascii="宋体" w:hAnsi="宋体"/>
          <w:b/>
          <w:color w:val="auto"/>
          <w:spacing w:val="-6"/>
          <w:sz w:val="24"/>
          <w:highlight w:val="none"/>
        </w:rPr>
        <w:t>）</w:t>
      </w:r>
      <w:r>
        <w:rPr>
          <w:rFonts w:hint="eastAsia" w:ascii="宋体" w:hAnsi="宋体"/>
          <w:b/>
          <w:color w:val="auto"/>
          <w:spacing w:val="-6"/>
          <w:sz w:val="24"/>
          <w:highlight w:val="none"/>
        </w:rPr>
        <w:t xml:space="preserve"> </w:t>
      </w:r>
      <w:r>
        <w:rPr>
          <w:rFonts w:ascii="宋体" w:hAnsi="宋体"/>
          <w:b/>
          <w:color w:val="auto"/>
          <w:spacing w:val="-6"/>
          <w:sz w:val="24"/>
          <w:highlight w:val="none"/>
        </w:rPr>
        <w:t>评标原则和评标办法</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1</w:t>
      </w:r>
      <w:r>
        <w:rPr>
          <w:rFonts w:ascii="宋体" w:hAnsi="宋体"/>
          <w:color w:val="auto"/>
          <w:spacing w:val="-6"/>
          <w:sz w:val="21"/>
          <w:szCs w:val="21"/>
          <w:highlight w:val="none"/>
        </w:rPr>
        <w:t>.</w:t>
      </w:r>
      <w:r>
        <w:rPr>
          <w:rFonts w:hint="eastAsia" w:ascii="宋体" w:hAnsi="宋体"/>
          <w:color w:val="auto"/>
          <w:spacing w:val="-6"/>
          <w:sz w:val="21"/>
          <w:szCs w:val="21"/>
          <w:highlight w:val="none"/>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2</w:t>
      </w:r>
      <w:r>
        <w:rPr>
          <w:rFonts w:ascii="宋体" w:hAnsi="宋体"/>
          <w:color w:val="auto"/>
          <w:spacing w:val="-6"/>
          <w:sz w:val="21"/>
          <w:szCs w:val="21"/>
          <w:highlight w:val="none"/>
        </w:rPr>
        <w:t>.</w:t>
      </w:r>
      <w:r>
        <w:rPr>
          <w:rFonts w:hint="eastAsia" w:ascii="宋体" w:hAnsi="宋体"/>
          <w:color w:val="auto"/>
          <w:spacing w:val="-6"/>
          <w:sz w:val="21"/>
          <w:szCs w:val="21"/>
          <w:highlight w:val="none"/>
        </w:rPr>
        <w:t>评标中因评标委员会成员缺席、回避或者健康等特殊原因导致评标委员会组成不符合规定的，依法补足后继续评标。被更换的评标委员会成员所作出的评标意见无效。</w:t>
      </w:r>
    </w:p>
    <w:p>
      <w:pPr>
        <w:spacing w:line="288" w:lineRule="auto"/>
        <w:ind w:firstLine="396" w:firstLineChars="200"/>
        <w:rPr>
          <w:rFonts w:ascii="宋体" w:hAnsi="宋体"/>
          <w:color w:val="auto"/>
          <w:spacing w:val="-6"/>
          <w:sz w:val="21"/>
          <w:szCs w:val="21"/>
          <w:highlight w:val="none"/>
        </w:rPr>
      </w:pPr>
      <w:r>
        <w:rPr>
          <w:rFonts w:ascii="宋体" w:hAnsi="宋体"/>
          <w:color w:val="auto"/>
          <w:spacing w:val="-6"/>
          <w:sz w:val="21"/>
          <w:szCs w:val="21"/>
          <w:highlight w:val="none"/>
        </w:rPr>
        <w:t>3.</w:t>
      </w:r>
      <w:r>
        <w:rPr>
          <w:rFonts w:hint="eastAsia" w:ascii="宋体" w:hAnsi="宋体"/>
          <w:color w:val="auto"/>
          <w:spacing w:val="-6"/>
          <w:sz w:val="21"/>
          <w:szCs w:val="21"/>
          <w:highlight w:val="none"/>
        </w:rPr>
        <w:t>评标委员会成员对需要共同认定的事项存在争议的，应当按照少数服从多数的原则作出结论。持不同意见的评标委员会成员应当在评标报告上签署不同意见及理由，否则视为同意评标报告。</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4.评标办法。本项目评标办法是综合评分法，具体评标内容及评分标准等详见《第四章：评标办法及评分标准》。</w:t>
      </w:r>
    </w:p>
    <w:p>
      <w:pPr>
        <w:spacing w:line="288" w:lineRule="auto"/>
        <w:outlineLvl w:val="2"/>
        <w:rPr>
          <w:rFonts w:ascii="宋体" w:hAnsi="宋体"/>
          <w:b/>
          <w:color w:val="auto"/>
          <w:spacing w:val="-6"/>
          <w:sz w:val="24"/>
          <w:highlight w:val="none"/>
        </w:rPr>
      </w:pPr>
      <w:r>
        <w:rPr>
          <w:rFonts w:hint="eastAsia" w:ascii="宋体" w:hAnsi="宋体"/>
          <w:b/>
          <w:color w:val="auto"/>
          <w:spacing w:val="-6"/>
          <w:sz w:val="24"/>
          <w:highlight w:val="none"/>
        </w:rPr>
        <w:t>（七） 定 标</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1.采购代理机构自评标结束之日起2个工作日内将评标报告送交采购人。采购人收到评标报告之日起</w:t>
      </w:r>
      <w:r>
        <w:rPr>
          <w:rFonts w:ascii="宋体" w:hAnsi="宋体"/>
          <w:color w:val="auto"/>
          <w:spacing w:val="-6"/>
          <w:sz w:val="21"/>
          <w:szCs w:val="21"/>
          <w:highlight w:val="none"/>
        </w:rPr>
        <w:t>5</w:t>
      </w:r>
      <w:r>
        <w:rPr>
          <w:rFonts w:hint="eastAsia" w:ascii="宋体" w:hAnsi="宋体"/>
          <w:color w:val="auto"/>
          <w:spacing w:val="-6"/>
          <w:sz w:val="21"/>
          <w:szCs w:val="21"/>
          <w:highlight w:val="none"/>
        </w:rPr>
        <w:t>个工作日内在评标报告推荐的中标候选人中按顺序确定中标人。</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2.采购代理机构自中标人确定之日起</w:t>
      </w:r>
      <w:r>
        <w:rPr>
          <w:rFonts w:ascii="宋体" w:hAnsi="宋体"/>
          <w:color w:val="auto"/>
          <w:spacing w:val="-6"/>
          <w:sz w:val="21"/>
          <w:szCs w:val="21"/>
          <w:highlight w:val="none"/>
        </w:rPr>
        <w:t>2</w:t>
      </w:r>
      <w:r>
        <w:rPr>
          <w:rFonts w:hint="eastAsia" w:ascii="宋体" w:hAnsi="宋体"/>
          <w:color w:val="auto"/>
          <w:spacing w:val="-6"/>
          <w:sz w:val="21"/>
          <w:szCs w:val="21"/>
          <w:highlight w:val="none"/>
        </w:rPr>
        <w:t>个工作日内，发出中标通知书，并在浙江政府采购网（</w:t>
      </w:r>
      <w:r>
        <w:rPr>
          <w:color w:val="auto"/>
          <w:highlight w:val="none"/>
        </w:rPr>
        <w:fldChar w:fldCharType="begin"/>
      </w:r>
      <w:r>
        <w:rPr>
          <w:color w:val="auto"/>
          <w:highlight w:val="none"/>
        </w:rPr>
        <w:instrText xml:space="preserve"> HYPERLINK "http://www.zjzfcg.gov.cn/" </w:instrText>
      </w:r>
      <w:r>
        <w:rPr>
          <w:color w:val="auto"/>
          <w:highlight w:val="none"/>
        </w:rPr>
        <w:fldChar w:fldCharType="separate"/>
      </w:r>
      <w:r>
        <w:rPr>
          <w:rFonts w:hint="eastAsia" w:ascii="宋体" w:hAnsi="宋体"/>
          <w:color w:val="auto"/>
          <w:spacing w:val="-6"/>
          <w:sz w:val="21"/>
          <w:szCs w:val="21"/>
          <w:highlight w:val="none"/>
        </w:rPr>
        <w:t>http://zfcg.czt.zj.gov.cn</w:t>
      </w:r>
      <w:r>
        <w:rPr>
          <w:rFonts w:hint="eastAsia" w:ascii="宋体" w:hAnsi="宋体"/>
          <w:color w:val="auto"/>
          <w:spacing w:val="-6"/>
          <w:sz w:val="21"/>
          <w:szCs w:val="21"/>
          <w:highlight w:val="none"/>
        </w:rPr>
        <w:fldChar w:fldCharType="end"/>
      </w:r>
      <w:r>
        <w:rPr>
          <w:rFonts w:hint="eastAsia" w:ascii="宋体" w:hAnsi="宋体"/>
          <w:color w:val="auto"/>
          <w:spacing w:val="-6"/>
          <w:sz w:val="21"/>
          <w:szCs w:val="21"/>
          <w:highlight w:val="none"/>
        </w:rPr>
        <w:t>）等相关网站或媒体上公告中标结果。</w:t>
      </w:r>
    </w:p>
    <w:p>
      <w:pPr>
        <w:spacing w:line="288" w:lineRule="auto"/>
        <w:outlineLvl w:val="2"/>
        <w:rPr>
          <w:rFonts w:ascii="宋体" w:hAnsi="宋体"/>
          <w:b/>
          <w:color w:val="auto"/>
          <w:spacing w:val="-6"/>
          <w:sz w:val="24"/>
          <w:highlight w:val="none"/>
        </w:rPr>
      </w:pPr>
      <w:r>
        <w:rPr>
          <w:rFonts w:hint="eastAsia" w:ascii="宋体" w:hAnsi="宋体"/>
          <w:b/>
          <w:color w:val="auto"/>
          <w:spacing w:val="-6"/>
          <w:sz w:val="24"/>
          <w:highlight w:val="none"/>
        </w:rPr>
        <w:t>（八） 合同授予</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1</w:t>
      </w:r>
      <w:r>
        <w:rPr>
          <w:rFonts w:ascii="宋体" w:hAnsi="宋体"/>
          <w:color w:val="auto"/>
          <w:spacing w:val="-6"/>
          <w:sz w:val="21"/>
          <w:szCs w:val="21"/>
          <w:highlight w:val="none"/>
        </w:rPr>
        <w:t>.</w:t>
      </w:r>
      <w:r>
        <w:rPr>
          <w:rFonts w:hint="eastAsia" w:ascii="宋体" w:hAnsi="宋体"/>
          <w:color w:val="auto"/>
          <w:spacing w:val="-6"/>
          <w:sz w:val="21"/>
          <w:szCs w:val="21"/>
          <w:highlight w:val="none"/>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spacing w:line="288" w:lineRule="auto"/>
        <w:ind w:firstLine="480" w:firstLineChars="200"/>
        <w:jc w:val="center"/>
        <w:outlineLvl w:val="1"/>
        <w:rPr>
          <w:rFonts w:ascii="宋体" w:hAnsi="宋体"/>
          <w:color w:val="auto"/>
          <w:sz w:val="24"/>
          <w:highlight w:val="none"/>
        </w:rPr>
      </w:pPr>
      <w:r>
        <w:rPr>
          <w:rFonts w:hint="eastAsia" w:ascii="宋体" w:hAnsi="宋体"/>
          <w:color w:val="auto"/>
          <w:sz w:val="24"/>
          <w:highlight w:val="none"/>
        </w:rPr>
        <w:br w:type="page"/>
      </w:r>
      <w:r>
        <w:rPr>
          <w:rFonts w:hint="eastAsia" w:ascii="宋体" w:hAnsi="宋体"/>
          <w:b/>
          <w:color w:val="auto"/>
          <w:spacing w:val="-6"/>
          <w:sz w:val="32"/>
          <w:szCs w:val="32"/>
          <w:highlight w:val="none"/>
        </w:rPr>
        <w:t>六、可中止电子交易活动的情形</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采购过程中出现以下情形，导致电子交易平台无法正常运行，或者无法保证电子交易的公平、公正和安全时，采购代理机构可中止电子交易活动：</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1.电子交易平台发生故障而无法登录访问的；</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2.电子交易平台应用或数据库出现错误，不能进行正常操作的；</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3.电子交易平台发现严重安全漏洞，有潜在泄密危险的；</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4.病毒发作导致不能进行正常操作的；</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5.其他无法保证电子交易的公平、公正和安全的情况。</w:t>
      </w:r>
    </w:p>
    <w:p>
      <w:pPr>
        <w:spacing w:line="288" w:lineRule="auto"/>
        <w:ind w:firstLine="396" w:firstLineChars="200"/>
        <w:rPr>
          <w:color w:val="auto"/>
          <w:highlight w:val="none"/>
        </w:rPr>
      </w:pPr>
      <w:r>
        <w:rPr>
          <w:rFonts w:hint="eastAsia" w:ascii="宋体" w:hAnsi="宋体"/>
          <w:color w:val="auto"/>
          <w:spacing w:val="-6"/>
          <w:sz w:val="21"/>
          <w:szCs w:val="21"/>
          <w:highlight w:val="none"/>
        </w:rPr>
        <w:t>出现前款规定情形，不影响采购公平、公正性的，采购代理机构可以待上述情形消除后继续组织电子交易活动；影响或可能影响采购公平、公正性的，应当重新采购。</w:t>
      </w:r>
    </w:p>
    <w:p>
      <w:pPr>
        <w:spacing w:line="288" w:lineRule="auto"/>
        <w:jc w:val="center"/>
        <w:outlineLvl w:val="0"/>
        <w:rPr>
          <w:rFonts w:ascii="宋体" w:hAnsi="宋体"/>
          <w:b/>
          <w:color w:val="auto"/>
          <w:spacing w:val="-6"/>
          <w:sz w:val="32"/>
          <w:szCs w:val="32"/>
          <w:highlight w:val="none"/>
        </w:rPr>
      </w:pPr>
      <w:r>
        <w:rPr>
          <w:rFonts w:ascii="宋体" w:hAnsi="宋体"/>
          <w:b/>
          <w:bCs/>
          <w:color w:val="auto"/>
          <w:spacing w:val="-6"/>
          <w:sz w:val="21"/>
          <w:szCs w:val="21"/>
          <w:highlight w:val="none"/>
        </w:rPr>
        <w:br w:type="page"/>
      </w:r>
      <w:r>
        <w:rPr>
          <w:rFonts w:hint="eastAsia" w:ascii="宋体" w:hAnsi="宋体"/>
          <w:b/>
          <w:color w:val="auto"/>
          <w:sz w:val="32"/>
          <w:szCs w:val="32"/>
          <w:highlight w:val="none"/>
        </w:rPr>
        <w:t>第四章  评标办法及评分标准</w:t>
      </w:r>
    </w:p>
    <w:p>
      <w:pPr>
        <w:spacing w:line="288" w:lineRule="auto"/>
        <w:outlineLvl w:val="1"/>
        <w:rPr>
          <w:rFonts w:ascii="宋体" w:hAnsi="宋体"/>
          <w:b/>
          <w:color w:val="auto"/>
          <w:spacing w:val="-6"/>
          <w:sz w:val="24"/>
          <w:highlight w:val="none"/>
        </w:rPr>
      </w:pPr>
      <w:r>
        <w:rPr>
          <w:rFonts w:hint="eastAsia" w:ascii="宋体" w:hAnsi="宋体"/>
          <w:b/>
          <w:color w:val="auto"/>
          <w:spacing w:val="-6"/>
          <w:sz w:val="24"/>
          <w:highlight w:val="none"/>
        </w:rPr>
        <w:t>一、总则</w:t>
      </w:r>
    </w:p>
    <w:p>
      <w:pPr>
        <w:spacing w:line="288" w:lineRule="auto"/>
        <w:ind w:firstLine="396" w:firstLineChars="200"/>
        <w:rPr>
          <w:rFonts w:ascii="宋体" w:hAnsi="宋体"/>
          <w:bCs/>
          <w:color w:val="auto"/>
          <w:spacing w:val="-6"/>
          <w:sz w:val="21"/>
          <w:szCs w:val="21"/>
          <w:highlight w:val="none"/>
        </w:rPr>
      </w:pPr>
      <w:r>
        <w:rPr>
          <w:rFonts w:hint="eastAsia" w:ascii="宋体" w:hAnsi="宋体"/>
          <w:bCs/>
          <w:color w:val="auto"/>
          <w:spacing w:val="-6"/>
          <w:sz w:val="21"/>
          <w:szCs w:val="21"/>
          <w:highlight w:val="none"/>
        </w:rPr>
        <w:t>本次评标采用综合评分法，总分为100分。合格投标人的评标得分为各项目汇总得分，中标候选资格按评标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spacing w:line="288" w:lineRule="auto"/>
        <w:ind w:firstLine="396" w:firstLineChars="200"/>
        <w:rPr>
          <w:rFonts w:ascii="宋体" w:hAnsi="宋体"/>
          <w:bCs/>
          <w:color w:val="auto"/>
          <w:spacing w:val="-6"/>
          <w:sz w:val="21"/>
          <w:szCs w:val="21"/>
          <w:highlight w:val="none"/>
        </w:rPr>
      </w:pPr>
      <w:r>
        <w:rPr>
          <w:rFonts w:hint="eastAsia" w:ascii="宋体" w:hAnsi="宋体"/>
          <w:bCs/>
          <w:color w:val="auto"/>
          <w:spacing w:val="-6"/>
          <w:sz w:val="21"/>
          <w:szCs w:val="21"/>
          <w:highlight w:val="none"/>
        </w:rPr>
        <w:t>评分过程中采用四舍五入法，并保留小数2位。</w:t>
      </w:r>
    </w:p>
    <w:p>
      <w:pPr>
        <w:spacing w:line="288" w:lineRule="auto"/>
        <w:ind w:firstLine="396" w:firstLineChars="200"/>
        <w:rPr>
          <w:rFonts w:ascii="宋体" w:hAnsi="宋体"/>
          <w:bCs/>
          <w:color w:val="auto"/>
          <w:spacing w:val="-6"/>
          <w:sz w:val="21"/>
          <w:szCs w:val="21"/>
          <w:highlight w:val="none"/>
        </w:rPr>
      </w:pPr>
      <w:r>
        <w:rPr>
          <w:rFonts w:hint="eastAsia" w:ascii="宋体" w:hAnsi="宋体"/>
          <w:color w:val="auto"/>
          <w:spacing w:val="-6"/>
          <w:sz w:val="21"/>
          <w:szCs w:val="21"/>
          <w:highlight w:val="none"/>
        </w:rPr>
        <w:t>投标人评标</w:t>
      </w:r>
      <w:r>
        <w:rPr>
          <w:rFonts w:hint="eastAsia" w:ascii="宋体" w:hAnsi="宋体"/>
          <w:bCs/>
          <w:color w:val="auto"/>
          <w:spacing w:val="-6"/>
          <w:sz w:val="21"/>
          <w:szCs w:val="21"/>
          <w:highlight w:val="none"/>
        </w:rPr>
        <w:t>综合得分=商务分+技术分+价格分</w:t>
      </w:r>
    </w:p>
    <w:p>
      <w:pPr>
        <w:spacing w:line="288" w:lineRule="auto"/>
        <w:ind w:firstLine="396" w:firstLineChars="200"/>
        <w:rPr>
          <w:rFonts w:ascii="宋体" w:hAnsi="宋体"/>
          <w:color w:val="auto"/>
          <w:spacing w:val="-6"/>
          <w:sz w:val="21"/>
          <w:szCs w:val="21"/>
          <w:highlight w:val="none"/>
        </w:rPr>
      </w:pPr>
      <w:r>
        <w:rPr>
          <w:rFonts w:hint="eastAsia" w:ascii="宋体" w:hAnsi="宋体"/>
          <w:bCs/>
          <w:color w:val="auto"/>
          <w:spacing w:val="-6"/>
          <w:sz w:val="21"/>
          <w:szCs w:val="21"/>
          <w:highlight w:val="none"/>
        </w:rPr>
        <w:t>商务和技术分按照评标委员会成员的独立评分结果的算术平均分计算，计算公式为：商务分</w:t>
      </w:r>
      <w:r>
        <w:rPr>
          <w:rFonts w:ascii="宋体" w:hAnsi="宋体"/>
          <w:bCs/>
          <w:color w:val="auto"/>
          <w:spacing w:val="-6"/>
          <w:sz w:val="21"/>
          <w:szCs w:val="21"/>
          <w:highlight w:val="none"/>
        </w:rPr>
        <w:t>、</w:t>
      </w:r>
      <w:r>
        <w:rPr>
          <w:rFonts w:hint="eastAsia" w:ascii="宋体" w:hAnsi="宋体"/>
          <w:bCs/>
          <w:color w:val="auto"/>
          <w:spacing w:val="-6"/>
          <w:sz w:val="21"/>
          <w:szCs w:val="21"/>
          <w:highlight w:val="none"/>
        </w:rPr>
        <w:t>技术分=评标委员会所有成员评分合计数</w:t>
      </w:r>
      <w:r>
        <w:rPr>
          <w:rFonts w:ascii="宋体" w:hAnsi="宋体"/>
          <w:bCs/>
          <w:color w:val="auto"/>
          <w:spacing w:val="-6"/>
          <w:sz w:val="21"/>
          <w:szCs w:val="21"/>
          <w:highlight w:val="none"/>
        </w:rPr>
        <w:t>/</w:t>
      </w:r>
      <w:r>
        <w:rPr>
          <w:rFonts w:hint="eastAsia" w:ascii="宋体" w:hAnsi="宋体"/>
          <w:bCs/>
          <w:color w:val="auto"/>
          <w:spacing w:val="-6"/>
          <w:sz w:val="21"/>
          <w:szCs w:val="21"/>
          <w:highlight w:val="none"/>
        </w:rPr>
        <w:t>评标委员会组成人员数</w:t>
      </w:r>
    </w:p>
    <w:p>
      <w:pPr>
        <w:numPr>
          <w:ilvl w:val="0"/>
          <w:numId w:val="3"/>
        </w:numPr>
        <w:spacing w:line="288" w:lineRule="auto"/>
        <w:outlineLvl w:val="1"/>
        <w:rPr>
          <w:rFonts w:ascii="宋体" w:hAnsi="宋体"/>
          <w:b/>
          <w:color w:val="auto"/>
          <w:spacing w:val="-6"/>
          <w:sz w:val="24"/>
          <w:highlight w:val="none"/>
        </w:rPr>
      </w:pPr>
      <w:r>
        <w:rPr>
          <w:rFonts w:hint="eastAsia" w:ascii="宋体" w:hAnsi="宋体"/>
          <w:b/>
          <w:color w:val="auto"/>
          <w:spacing w:val="-6"/>
          <w:sz w:val="24"/>
          <w:highlight w:val="none"/>
        </w:rPr>
        <w:t>评标内容及标准</w:t>
      </w:r>
    </w:p>
    <w:tbl>
      <w:tblPr>
        <w:tblStyle w:val="22"/>
        <w:tblW w:w="961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5"/>
        <w:gridCol w:w="653"/>
        <w:gridCol w:w="72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65" w:type="dxa"/>
            <w:vAlign w:val="center"/>
          </w:tcPr>
          <w:p>
            <w:pPr>
              <w:keepNext w:val="0"/>
              <w:keepLines w:val="0"/>
              <w:suppressLineNumbers w:val="0"/>
              <w:spacing w:before="0" w:beforeAutospacing="0" w:after="0" w:afterAutospacing="0"/>
              <w:ind w:left="0" w:right="0"/>
              <w:jc w:val="center"/>
              <w:rPr>
                <w:rFonts w:hint="default"/>
                <w:b/>
                <w:bCs/>
                <w:color w:val="auto"/>
                <w:sz w:val="21"/>
                <w:szCs w:val="21"/>
                <w:highlight w:val="none"/>
              </w:rPr>
            </w:pPr>
            <w:r>
              <w:rPr>
                <w:rFonts w:hint="eastAsia"/>
                <w:b/>
                <w:bCs/>
                <w:color w:val="auto"/>
                <w:sz w:val="21"/>
                <w:szCs w:val="21"/>
                <w:highlight w:val="none"/>
              </w:rPr>
              <w:t>评审因素</w:t>
            </w:r>
          </w:p>
        </w:tc>
        <w:tc>
          <w:tcPr>
            <w:tcW w:w="653" w:type="dxa"/>
            <w:vAlign w:val="center"/>
          </w:tcPr>
          <w:p>
            <w:pPr>
              <w:keepNext w:val="0"/>
              <w:keepLines w:val="0"/>
              <w:suppressLineNumbers w:val="0"/>
              <w:spacing w:before="0" w:beforeAutospacing="0" w:after="0" w:afterAutospacing="0"/>
              <w:ind w:left="0" w:right="0"/>
              <w:jc w:val="center"/>
              <w:rPr>
                <w:rFonts w:hint="default"/>
                <w:b/>
                <w:bCs/>
                <w:color w:val="auto"/>
                <w:sz w:val="21"/>
                <w:szCs w:val="21"/>
                <w:highlight w:val="none"/>
              </w:rPr>
            </w:pPr>
            <w:r>
              <w:rPr>
                <w:rFonts w:hint="eastAsia"/>
                <w:b/>
                <w:bCs/>
                <w:color w:val="auto"/>
                <w:sz w:val="21"/>
                <w:szCs w:val="21"/>
                <w:highlight w:val="none"/>
              </w:rPr>
              <w:t>分值</w:t>
            </w:r>
          </w:p>
        </w:tc>
        <w:tc>
          <w:tcPr>
            <w:tcW w:w="7201" w:type="dxa"/>
            <w:vAlign w:val="center"/>
          </w:tcPr>
          <w:p>
            <w:pPr>
              <w:keepNext w:val="0"/>
              <w:keepLines w:val="0"/>
              <w:suppressLineNumbers w:val="0"/>
              <w:spacing w:before="0" w:beforeAutospacing="0" w:after="0" w:afterAutospacing="0"/>
              <w:ind w:left="0" w:right="0"/>
              <w:jc w:val="center"/>
              <w:rPr>
                <w:rFonts w:hint="default"/>
                <w:b/>
                <w:bCs/>
                <w:color w:val="auto"/>
                <w:sz w:val="21"/>
                <w:szCs w:val="21"/>
                <w:highlight w:val="none"/>
              </w:rPr>
            </w:pPr>
            <w:r>
              <w:rPr>
                <w:rFonts w:hint="default"/>
                <w:b/>
                <w:bCs/>
                <w:color w:val="auto"/>
                <w:sz w:val="21"/>
                <w:szCs w:val="21"/>
                <w:highlight w:val="none"/>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9619" w:type="dxa"/>
            <w:gridSpan w:val="3"/>
            <w:vAlign w:val="center"/>
          </w:tcPr>
          <w:p>
            <w:pPr>
              <w:keepNext w:val="0"/>
              <w:keepLines w:val="0"/>
              <w:suppressLineNumbers w:val="0"/>
              <w:spacing w:before="0" w:beforeAutospacing="0" w:after="0" w:afterAutospacing="0"/>
              <w:ind w:left="0" w:right="0"/>
              <w:rPr>
                <w:rFonts w:hint="default"/>
                <w:b/>
                <w:bCs/>
                <w:color w:val="auto"/>
                <w:sz w:val="21"/>
                <w:szCs w:val="21"/>
                <w:highlight w:val="none"/>
              </w:rPr>
            </w:pPr>
            <w:r>
              <w:rPr>
                <w:rFonts w:hint="default"/>
                <w:b/>
                <w:bCs/>
                <w:color w:val="auto"/>
                <w:sz w:val="21"/>
                <w:szCs w:val="21"/>
                <w:highlight w:val="none"/>
              </w:rPr>
              <w:t>价格</w:t>
            </w:r>
            <w:r>
              <w:rPr>
                <w:rFonts w:hint="eastAsia"/>
                <w:b/>
                <w:bCs/>
                <w:color w:val="auto"/>
                <w:sz w:val="21"/>
                <w:szCs w:val="21"/>
                <w:highlight w:val="none"/>
              </w:rPr>
              <w:t>分（30分）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6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投标报价</w:t>
            </w:r>
          </w:p>
        </w:tc>
        <w:tc>
          <w:tcPr>
            <w:tcW w:w="6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30</w:t>
            </w:r>
          </w:p>
        </w:tc>
        <w:tc>
          <w:tcPr>
            <w:tcW w:w="720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r>
              <w:rPr>
                <w:rFonts w:hint="eastAsia" w:ascii="宋体" w:hAnsi="宋体" w:cs="宋体"/>
                <w:color w:val="auto"/>
                <w:sz w:val="21"/>
                <w:szCs w:val="21"/>
                <w:highlight w:val="none"/>
              </w:rPr>
              <w:t>价格分采用低价优先法计算，即满足招标文件要求且投标价格最低的投标报价为评标基准价，其他投标人的价格分按照下列公式计算：</w:t>
            </w:r>
          </w:p>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r>
              <w:rPr>
                <w:rFonts w:hint="eastAsia" w:ascii="宋体" w:hAnsi="宋体" w:cs="宋体"/>
                <w:color w:val="auto"/>
                <w:sz w:val="21"/>
                <w:szCs w:val="21"/>
                <w:highlight w:val="none"/>
              </w:rPr>
              <w:t>价格分=（评标基准价/投标报价）×30%×100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9619" w:type="dxa"/>
            <w:gridSpan w:val="3"/>
            <w:vAlign w:val="center"/>
          </w:tcPr>
          <w:p>
            <w:pPr>
              <w:keepNext w:val="0"/>
              <w:keepLines w:val="0"/>
              <w:suppressLineNumbers w:val="0"/>
              <w:spacing w:before="0" w:beforeAutospacing="0" w:after="0" w:afterAutospacing="0"/>
              <w:ind w:left="0" w:right="0"/>
              <w:rPr>
                <w:rFonts w:hint="default"/>
                <w:b/>
                <w:bCs/>
                <w:color w:val="auto"/>
                <w:sz w:val="21"/>
                <w:szCs w:val="21"/>
                <w:highlight w:val="none"/>
              </w:rPr>
            </w:pPr>
            <w:r>
              <w:rPr>
                <w:rFonts w:hint="default"/>
                <w:b/>
                <w:bCs/>
                <w:color w:val="auto"/>
                <w:sz w:val="21"/>
                <w:szCs w:val="21"/>
                <w:highlight w:val="none"/>
              </w:rPr>
              <w:t>商务分</w:t>
            </w:r>
            <w:r>
              <w:rPr>
                <w:rFonts w:hint="eastAsia"/>
                <w:b/>
                <w:bCs/>
                <w:color w:val="auto"/>
                <w:sz w:val="21"/>
                <w:szCs w:val="21"/>
                <w:highlight w:val="none"/>
              </w:rPr>
              <w:t>（13分）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65" w:type="dxa"/>
            <w:vMerge w:val="restart"/>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投标人信誉</w:t>
            </w:r>
          </w:p>
        </w:tc>
        <w:tc>
          <w:tcPr>
            <w:tcW w:w="653" w:type="dxa"/>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5</w:t>
            </w:r>
          </w:p>
        </w:tc>
        <w:tc>
          <w:tcPr>
            <w:tcW w:w="7201" w:type="dxa"/>
            <w:vAlign w:val="center"/>
          </w:tcPr>
          <w:p>
            <w:pPr>
              <w:keepNext w:val="0"/>
              <w:keepLines w:val="0"/>
              <w:suppressLineNumbers w:val="0"/>
              <w:spacing w:before="0" w:beforeAutospacing="0" w:after="0" w:afterAutospacing="0" w:line="288" w:lineRule="auto"/>
              <w:ind w:left="0" w:right="0"/>
              <w:rPr>
                <w:rFonts w:hint="default" w:ascii="宋体"/>
                <w:color w:val="auto"/>
                <w:spacing w:val="-6"/>
                <w:sz w:val="21"/>
                <w:szCs w:val="21"/>
                <w:highlight w:val="none"/>
              </w:rPr>
            </w:pPr>
            <w:r>
              <w:rPr>
                <w:rFonts w:hint="eastAsia" w:ascii="宋体" w:hAnsi="宋体"/>
                <w:color w:val="auto"/>
                <w:spacing w:val="-6"/>
                <w:sz w:val="21"/>
                <w:szCs w:val="21"/>
                <w:highlight w:val="none"/>
              </w:rPr>
              <w:t>投标人同时具有有效期内的ISO9001质量管理体系认证证书和ISO27001信息安全管理体系认证证书的得5分。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65" w:type="dxa"/>
            <w:vMerge w:val="continue"/>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653" w:type="dxa"/>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1</w:t>
            </w:r>
          </w:p>
        </w:tc>
        <w:tc>
          <w:tcPr>
            <w:tcW w:w="7201" w:type="dxa"/>
            <w:vAlign w:val="center"/>
          </w:tcPr>
          <w:p>
            <w:pPr>
              <w:keepNext w:val="0"/>
              <w:keepLines w:val="0"/>
              <w:suppressLineNumbers w:val="0"/>
              <w:spacing w:before="0" w:beforeAutospacing="0" w:after="0" w:afterAutospacing="0" w:line="288" w:lineRule="auto"/>
              <w:ind w:left="0" w:right="0"/>
              <w:rPr>
                <w:rFonts w:hint="default" w:ascii="宋体" w:hAnsi="宋体"/>
                <w:color w:val="auto"/>
                <w:spacing w:val="-6"/>
                <w:sz w:val="21"/>
                <w:szCs w:val="21"/>
                <w:highlight w:val="none"/>
              </w:rPr>
            </w:pPr>
            <w:r>
              <w:rPr>
                <w:rFonts w:hint="eastAsia" w:ascii="宋体" w:hAnsi="宋体"/>
                <w:color w:val="auto"/>
                <w:spacing w:val="-6"/>
                <w:sz w:val="21"/>
                <w:szCs w:val="21"/>
                <w:highlight w:val="none"/>
              </w:rPr>
              <w:t>投标人具有有效期内的AAA信用等级证书的得1分。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65" w:type="dxa"/>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业绩</w:t>
            </w:r>
          </w:p>
        </w:tc>
        <w:tc>
          <w:tcPr>
            <w:tcW w:w="653" w:type="dxa"/>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6</w:t>
            </w:r>
          </w:p>
        </w:tc>
        <w:tc>
          <w:tcPr>
            <w:tcW w:w="7201" w:type="dxa"/>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r>
              <w:rPr>
                <w:rFonts w:hint="eastAsia" w:ascii="宋体" w:hAnsi="宋体" w:cs="宋体"/>
                <w:color w:val="auto"/>
                <w:sz w:val="21"/>
                <w:szCs w:val="21"/>
                <w:highlight w:val="none"/>
              </w:rPr>
              <w:t>投标人自2017年1月1日以来（以合同签订时间为准）同类项目业绩（以提供的合同扫描件为准）：每提供1份合同业绩得1分，最高得6分。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65" w:type="dxa"/>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政策功能</w:t>
            </w:r>
          </w:p>
        </w:tc>
        <w:tc>
          <w:tcPr>
            <w:tcW w:w="653" w:type="dxa"/>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1</w:t>
            </w:r>
          </w:p>
        </w:tc>
        <w:tc>
          <w:tcPr>
            <w:tcW w:w="7201" w:type="dxa"/>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r>
              <w:rPr>
                <w:rFonts w:hint="eastAsia" w:ascii="宋体" w:hAnsi="宋体" w:cs="宋体"/>
                <w:color w:val="auto"/>
                <w:sz w:val="21"/>
                <w:szCs w:val="21"/>
                <w:highlight w:val="none"/>
              </w:rPr>
              <w:t>投标产品属于品目清单范围且提供国家确定的认证机构出具的处于有效期之内的节能产品认证证书（扫描件加盖公章）的得0.5分；投标产品属于品目清单范围且提供国家确定的认证机构出具的处于有效期之内的环境标志产品认证证书（扫描件加盖公章）的得0.5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9619" w:type="dxa"/>
            <w:gridSpan w:val="3"/>
            <w:vAlign w:val="center"/>
          </w:tcPr>
          <w:p>
            <w:pPr>
              <w:keepNext w:val="0"/>
              <w:keepLines w:val="0"/>
              <w:suppressLineNumbers w:val="0"/>
              <w:spacing w:before="0" w:beforeAutospacing="0" w:after="0" w:afterAutospacing="0"/>
              <w:ind w:left="0" w:right="0"/>
              <w:rPr>
                <w:rFonts w:hint="default"/>
                <w:b/>
                <w:bCs/>
                <w:color w:val="auto"/>
                <w:sz w:val="21"/>
                <w:szCs w:val="21"/>
                <w:highlight w:val="none"/>
              </w:rPr>
            </w:pPr>
            <w:r>
              <w:rPr>
                <w:rFonts w:hint="eastAsia"/>
                <w:b/>
                <w:bCs/>
                <w:color w:val="auto"/>
                <w:sz w:val="21"/>
                <w:szCs w:val="21"/>
                <w:highlight w:val="none"/>
              </w:rPr>
              <w:t>技术</w:t>
            </w:r>
            <w:r>
              <w:rPr>
                <w:rFonts w:hint="default"/>
                <w:b/>
                <w:bCs/>
                <w:color w:val="auto"/>
                <w:sz w:val="21"/>
                <w:szCs w:val="21"/>
                <w:highlight w:val="none"/>
              </w:rPr>
              <w:t>分</w:t>
            </w:r>
            <w:r>
              <w:rPr>
                <w:rFonts w:hint="eastAsia"/>
                <w:b/>
                <w:bCs/>
                <w:color w:val="auto"/>
                <w:sz w:val="21"/>
                <w:szCs w:val="21"/>
                <w:highlight w:val="none"/>
              </w:rPr>
              <w:t>（57分）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65" w:type="dxa"/>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投标产品响应程度</w:t>
            </w:r>
          </w:p>
        </w:tc>
        <w:tc>
          <w:tcPr>
            <w:tcW w:w="653" w:type="dxa"/>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39</w:t>
            </w:r>
          </w:p>
        </w:tc>
        <w:tc>
          <w:tcPr>
            <w:tcW w:w="7201" w:type="dxa"/>
            <w:vAlign w:val="center"/>
          </w:tcPr>
          <w:p>
            <w:pPr>
              <w:pStyle w:val="2"/>
              <w:keepNext w:val="0"/>
              <w:keepLines w:val="0"/>
              <w:suppressLineNumbers w:val="0"/>
              <w:spacing w:before="0" w:beforeAutospacing="0" w:after="0" w:afterAutospacing="0"/>
              <w:ind w:left="0" w:right="0" w:firstLine="0"/>
              <w:rPr>
                <w:rFonts w:hint="default" w:hAnsi="宋体" w:cs="宋体"/>
                <w:color w:val="auto"/>
                <w:sz w:val="21"/>
                <w:szCs w:val="21"/>
                <w:highlight w:val="none"/>
              </w:rPr>
            </w:pPr>
            <w:r>
              <w:rPr>
                <w:rFonts w:hint="eastAsia" w:hAnsi="宋体" w:cs="宋体"/>
                <w:color w:val="auto"/>
                <w:sz w:val="21"/>
                <w:szCs w:val="21"/>
                <w:highlight w:val="none"/>
              </w:rPr>
              <w:t>不符合（负偏离）技术要求中标注“▲”条款（不可偏离）的投标无效；</w:t>
            </w:r>
          </w:p>
          <w:p>
            <w:pPr>
              <w:pStyle w:val="2"/>
              <w:keepNext w:val="0"/>
              <w:keepLines w:val="0"/>
              <w:suppressLineNumbers w:val="0"/>
              <w:spacing w:before="0" w:beforeAutospacing="0" w:after="0" w:afterAutospacing="0"/>
              <w:ind w:left="0" w:right="0" w:firstLine="0"/>
              <w:rPr>
                <w:rFonts w:hint="default"/>
                <w:color w:val="auto"/>
                <w:highlight w:val="none"/>
              </w:rPr>
            </w:pPr>
            <w:r>
              <w:rPr>
                <w:rFonts w:hint="eastAsia" w:hAnsi="宋体" w:cs="宋体"/>
                <w:color w:val="auto"/>
                <w:sz w:val="21"/>
                <w:szCs w:val="21"/>
                <w:highlight w:val="none"/>
              </w:rPr>
              <w:t>满足招标文件明确的全部技术条款要求的得满分，技术条款低于技术要求（负偏离）的每项扣3分，允许偏离的技术条款低于技术要求（负偏离）达到14条及以上的投标无效。</w:t>
            </w:r>
          </w:p>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r>
              <w:rPr>
                <w:rFonts w:hint="eastAsia" w:ascii="宋体" w:hAnsi="宋体" w:cs="宋体"/>
                <w:color w:val="auto"/>
                <w:sz w:val="21"/>
                <w:szCs w:val="21"/>
                <w:highlight w:val="none"/>
              </w:rPr>
              <w:t>注：技术偏离表技术要求中响应规格与技术支持资料不一致的经评标委员会讨论后可被认定为负偏离。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65" w:type="dxa"/>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投标产品技术支持资料</w:t>
            </w:r>
          </w:p>
        </w:tc>
        <w:tc>
          <w:tcPr>
            <w:tcW w:w="653" w:type="dxa"/>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3</w:t>
            </w:r>
          </w:p>
        </w:tc>
        <w:tc>
          <w:tcPr>
            <w:tcW w:w="7201" w:type="dxa"/>
            <w:vAlign w:val="center"/>
          </w:tcPr>
          <w:p>
            <w:pPr>
              <w:keepNext w:val="0"/>
              <w:keepLines w:val="0"/>
              <w:suppressLineNumbers w:val="0"/>
              <w:spacing w:before="0" w:beforeAutospacing="0" w:after="0" w:afterAutospacing="0"/>
              <w:ind w:left="0" w:right="0"/>
              <w:rPr>
                <w:rFonts w:hint="default" w:ascii="宋体" w:hAnsi="宋体"/>
                <w:color w:val="auto"/>
                <w:sz w:val="21"/>
                <w:szCs w:val="21"/>
                <w:highlight w:val="none"/>
              </w:rPr>
            </w:pPr>
            <w:r>
              <w:rPr>
                <w:rFonts w:hint="eastAsia" w:ascii="宋体" w:hAnsi="宋体" w:cs="宋体"/>
                <w:color w:val="auto"/>
                <w:spacing w:val="-6"/>
                <w:sz w:val="21"/>
                <w:szCs w:val="21"/>
                <w:highlight w:val="none"/>
              </w:rPr>
              <w:t>投标产品</w:t>
            </w:r>
            <w:r>
              <w:rPr>
                <w:rFonts w:hint="eastAsia" w:ascii="宋体" w:hAnsi="宋体" w:cs="宋体"/>
                <w:color w:val="auto"/>
                <w:sz w:val="21"/>
                <w:szCs w:val="21"/>
                <w:highlight w:val="none"/>
              </w:rPr>
              <w:t>技术支持资料（彩页、检测报告等）完整性及对投标产品技术偏离程度的证明。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65" w:type="dxa"/>
            <w:vMerge w:val="restart"/>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技术方案</w:t>
            </w:r>
          </w:p>
        </w:tc>
        <w:tc>
          <w:tcPr>
            <w:tcW w:w="653" w:type="dxa"/>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6</w:t>
            </w:r>
          </w:p>
        </w:tc>
        <w:tc>
          <w:tcPr>
            <w:tcW w:w="7201" w:type="dxa"/>
            <w:vAlign w:val="center"/>
          </w:tcPr>
          <w:p>
            <w:pPr>
              <w:keepNext w:val="0"/>
              <w:keepLines w:val="0"/>
              <w:suppressLineNumbers w:val="0"/>
              <w:spacing w:before="0" w:beforeAutospacing="0" w:after="0" w:afterAutospacing="0"/>
              <w:ind w:left="0" w:right="0"/>
              <w:rPr>
                <w:rFonts w:hint="default" w:ascii="宋体" w:hAnsi="宋体"/>
                <w:color w:val="auto"/>
                <w:sz w:val="21"/>
                <w:szCs w:val="21"/>
                <w:highlight w:val="none"/>
              </w:rPr>
            </w:pPr>
            <w:r>
              <w:rPr>
                <w:rFonts w:hint="eastAsia" w:ascii="宋体" w:hAnsi="宋体" w:cs="宋体"/>
                <w:color w:val="auto"/>
                <w:sz w:val="21"/>
                <w:szCs w:val="21"/>
                <w:highlight w:val="none"/>
              </w:rPr>
              <w:t>结合本项目建设实际情况，提供完整合理的系统集成方案（重点阐述绿色、节能、智能控制、安全监测等方案）。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65" w:type="dxa"/>
            <w:vMerge w:val="continue"/>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653" w:type="dxa"/>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4</w:t>
            </w:r>
          </w:p>
        </w:tc>
        <w:tc>
          <w:tcPr>
            <w:tcW w:w="7201" w:type="dxa"/>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r>
              <w:rPr>
                <w:rFonts w:hint="eastAsia" w:ascii="宋体" w:hAnsi="宋体" w:cs="宋体"/>
                <w:color w:val="auto"/>
                <w:sz w:val="21"/>
                <w:szCs w:val="21"/>
                <w:highlight w:val="none"/>
              </w:rPr>
              <w:t>供应商实施方案的科学性、合理性、规范性和可操作性，包括软硬件安装调试、系统集成、试运行、测试、调优等内容，以及组织机构、施工进度计划、工作程序和步骤、管理等。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65" w:type="dxa"/>
            <w:vMerge w:val="restart"/>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售后服务</w:t>
            </w:r>
          </w:p>
        </w:tc>
        <w:tc>
          <w:tcPr>
            <w:tcW w:w="653" w:type="dxa"/>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2</w:t>
            </w:r>
          </w:p>
        </w:tc>
        <w:tc>
          <w:tcPr>
            <w:tcW w:w="7201" w:type="dxa"/>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r>
              <w:rPr>
                <w:rFonts w:hint="eastAsia" w:ascii="宋体" w:hAnsi="宋体" w:cs="宋体"/>
                <w:color w:val="auto"/>
                <w:sz w:val="21"/>
                <w:szCs w:val="21"/>
                <w:highlight w:val="none"/>
              </w:rPr>
              <w:t>项目维护计划（对用户故障的响应、处理、定期巡检等情况）的有效性和售后服务的响应情况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65" w:type="dxa"/>
            <w:vMerge w:val="continue"/>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653" w:type="dxa"/>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1</w:t>
            </w:r>
          </w:p>
        </w:tc>
        <w:tc>
          <w:tcPr>
            <w:tcW w:w="7201" w:type="dxa"/>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r>
              <w:rPr>
                <w:rFonts w:hint="eastAsia" w:ascii="宋体" w:hAnsi="宋体" w:cs="宋体"/>
                <w:color w:val="auto"/>
                <w:sz w:val="21"/>
                <w:szCs w:val="21"/>
                <w:highlight w:val="none"/>
              </w:rPr>
              <w:t>投标人在采购人所在地设有售后服务机构或承诺在中标后5个工作日内设立的，得1分。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65" w:type="dxa"/>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技术服务、培训</w:t>
            </w:r>
          </w:p>
        </w:tc>
        <w:tc>
          <w:tcPr>
            <w:tcW w:w="653" w:type="dxa"/>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2</w:t>
            </w:r>
          </w:p>
        </w:tc>
        <w:tc>
          <w:tcPr>
            <w:tcW w:w="7201" w:type="dxa"/>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r>
              <w:rPr>
                <w:rFonts w:hint="eastAsia" w:ascii="宋体" w:hAnsi="宋体" w:cs="宋体"/>
                <w:color w:val="auto"/>
                <w:sz w:val="21"/>
                <w:szCs w:val="21"/>
                <w:highlight w:val="none"/>
              </w:rPr>
              <w:t>服务力量和服务保障，培训计划内容、培训范围，实施及针对性。</w:t>
            </w:r>
          </w:p>
        </w:tc>
      </w:tr>
    </w:tbl>
    <w:p>
      <w:pPr>
        <w:pStyle w:val="2"/>
        <w:ind w:firstLine="0"/>
        <w:rPr>
          <w:color w:val="auto"/>
          <w:highlight w:val="none"/>
        </w:rPr>
      </w:pPr>
    </w:p>
    <w:p>
      <w:pPr>
        <w:pStyle w:val="2"/>
        <w:rPr>
          <w:rFonts w:hAnsi="宋体"/>
          <w:b/>
          <w:color w:val="auto"/>
          <w:sz w:val="21"/>
          <w:szCs w:val="21"/>
          <w:highlight w:val="none"/>
        </w:rPr>
      </w:pPr>
    </w:p>
    <w:p>
      <w:pPr>
        <w:spacing w:line="360" w:lineRule="auto"/>
        <w:jc w:val="left"/>
        <w:rPr>
          <w:rFonts w:ascii="宋体" w:hAnsi="宋体"/>
          <w:b/>
          <w:color w:val="auto"/>
          <w:sz w:val="21"/>
          <w:szCs w:val="21"/>
          <w:highlight w:val="none"/>
        </w:rPr>
      </w:pPr>
      <w:r>
        <w:rPr>
          <w:rFonts w:hint="eastAsia" w:ascii="宋体" w:hAnsi="宋体"/>
          <w:b/>
          <w:color w:val="auto"/>
          <w:sz w:val="21"/>
          <w:szCs w:val="21"/>
          <w:highlight w:val="none"/>
        </w:rPr>
        <w:t>说明</w:t>
      </w:r>
      <w:r>
        <w:rPr>
          <w:rFonts w:ascii="宋体" w:hAnsi="宋体"/>
          <w:b/>
          <w:color w:val="auto"/>
          <w:sz w:val="21"/>
          <w:szCs w:val="21"/>
          <w:highlight w:val="none"/>
        </w:rPr>
        <w:t>：</w:t>
      </w:r>
    </w:p>
    <w:p>
      <w:pPr>
        <w:spacing w:line="360" w:lineRule="auto"/>
        <w:jc w:val="left"/>
        <w:rPr>
          <w:rFonts w:ascii="宋体" w:hAnsi="宋体"/>
          <w:b/>
          <w:bCs/>
          <w:color w:val="auto"/>
          <w:spacing w:val="-6"/>
          <w:sz w:val="21"/>
          <w:szCs w:val="21"/>
          <w:highlight w:val="none"/>
        </w:rPr>
      </w:pPr>
      <w:r>
        <w:rPr>
          <w:rFonts w:hint="eastAsia" w:ascii="宋体" w:hAnsi="宋体"/>
          <w:b/>
          <w:bCs/>
          <w:color w:val="auto"/>
          <w:spacing w:val="-6"/>
          <w:sz w:val="21"/>
          <w:szCs w:val="21"/>
          <w:highlight w:val="none"/>
        </w:rPr>
        <w:t>1.根据《政府采购促进中小企业发展暂行办法》（财库[2011]181号）的规定，投标人如为小型或微型企业并提交相关证明材料的，其所投产品中的小型或微型企业制造部分</w:t>
      </w:r>
      <w:r>
        <w:rPr>
          <w:rFonts w:ascii="宋体" w:hAnsi="宋体"/>
          <w:b/>
          <w:bCs/>
          <w:color w:val="auto"/>
          <w:spacing w:val="-6"/>
          <w:sz w:val="21"/>
          <w:szCs w:val="21"/>
          <w:highlight w:val="none"/>
        </w:rPr>
        <w:t>的投标</w:t>
      </w:r>
      <w:r>
        <w:rPr>
          <w:rFonts w:hint="eastAsia" w:ascii="宋体" w:hAnsi="宋体"/>
          <w:b/>
          <w:bCs/>
          <w:color w:val="auto"/>
          <w:spacing w:val="-6"/>
          <w:sz w:val="21"/>
          <w:szCs w:val="21"/>
          <w:highlight w:val="none"/>
        </w:rPr>
        <w:t>报价扣除6%后参与评审；</w:t>
      </w:r>
    </w:p>
    <w:p>
      <w:pPr>
        <w:spacing w:line="360" w:lineRule="auto"/>
        <w:jc w:val="left"/>
        <w:rPr>
          <w:rFonts w:ascii="宋体" w:hAnsi="宋体"/>
          <w:b/>
          <w:bCs/>
          <w:color w:val="auto"/>
          <w:spacing w:val="-6"/>
          <w:sz w:val="21"/>
          <w:szCs w:val="21"/>
          <w:highlight w:val="none"/>
        </w:rPr>
      </w:pPr>
      <w:r>
        <w:rPr>
          <w:rFonts w:hint="eastAsia" w:ascii="宋体" w:hAnsi="宋体"/>
          <w:b/>
          <w:bCs/>
          <w:color w:val="auto"/>
          <w:spacing w:val="-6"/>
          <w:sz w:val="21"/>
          <w:szCs w:val="21"/>
          <w:highlight w:val="none"/>
        </w:rPr>
        <w:t>2.根据《关于政府采购支持监狱企业发展有关问题的通知》（财库[2014]68号）的规定，投标人如为监狱企业并提交相关证明材料的，视同小型、微型企业；</w:t>
      </w:r>
    </w:p>
    <w:p>
      <w:pPr>
        <w:spacing w:line="360" w:lineRule="auto"/>
        <w:jc w:val="left"/>
        <w:rPr>
          <w:rFonts w:ascii="宋体" w:hAnsi="宋体"/>
          <w:b/>
          <w:bCs/>
          <w:color w:val="auto"/>
          <w:spacing w:val="-6"/>
          <w:sz w:val="21"/>
          <w:szCs w:val="21"/>
          <w:highlight w:val="none"/>
        </w:rPr>
      </w:pPr>
      <w:r>
        <w:rPr>
          <w:rFonts w:hint="eastAsia" w:ascii="宋体" w:hAnsi="宋体"/>
          <w:b/>
          <w:bCs/>
          <w:color w:val="auto"/>
          <w:spacing w:val="-6"/>
          <w:sz w:val="21"/>
          <w:szCs w:val="21"/>
          <w:highlight w:val="none"/>
        </w:rPr>
        <w:t>3.根据《关于促进残疾人就业政府采购政策的通知》（财库[2017]141号）的规定，投标人如为残疾人福利性单位并提交《残疾人福利性单位声明函》的，视同小型、微型企业；</w:t>
      </w:r>
    </w:p>
    <w:p>
      <w:pPr>
        <w:spacing w:line="360" w:lineRule="auto"/>
        <w:rPr>
          <w:rFonts w:ascii="宋体" w:hAnsi="宋体"/>
          <w:b/>
          <w:bCs/>
          <w:color w:val="auto"/>
          <w:spacing w:val="-6"/>
          <w:sz w:val="21"/>
          <w:szCs w:val="21"/>
          <w:highlight w:val="none"/>
        </w:rPr>
      </w:pPr>
      <w:r>
        <w:rPr>
          <w:rFonts w:hint="eastAsia" w:ascii="宋体" w:hAnsi="宋体"/>
          <w:b/>
          <w:bCs/>
          <w:color w:val="auto"/>
          <w:spacing w:val="-6"/>
          <w:sz w:val="21"/>
          <w:szCs w:val="21"/>
          <w:highlight w:val="none"/>
        </w:rPr>
        <w:t>4.残疾人福利性单位属于小型、微型企业的，不重复享受政策。</w:t>
      </w:r>
    </w:p>
    <w:p>
      <w:pPr>
        <w:spacing w:line="288" w:lineRule="auto"/>
        <w:jc w:val="center"/>
        <w:outlineLvl w:val="0"/>
        <w:rPr>
          <w:rFonts w:ascii="宋体" w:hAnsi="宋体"/>
          <w:b/>
          <w:bCs/>
          <w:color w:val="auto"/>
          <w:spacing w:val="-6"/>
          <w:sz w:val="32"/>
          <w:szCs w:val="32"/>
          <w:highlight w:val="none"/>
        </w:rPr>
      </w:pPr>
      <w:r>
        <w:rPr>
          <w:rFonts w:ascii="宋体" w:hAnsi="宋体"/>
          <w:b/>
          <w:bCs/>
          <w:color w:val="auto"/>
          <w:spacing w:val="-6"/>
          <w:sz w:val="32"/>
          <w:szCs w:val="32"/>
          <w:highlight w:val="none"/>
        </w:rPr>
        <w:br w:type="page"/>
      </w:r>
      <w:r>
        <w:rPr>
          <w:rFonts w:hint="eastAsia" w:ascii="宋体" w:hAnsi="宋体"/>
          <w:b/>
          <w:color w:val="auto"/>
          <w:sz w:val="32"/>
          <w:szCs w:val="32"/>
          <w:highlight w:val="none"/>
        </w:rPr>
        <w:t>第五章  拟签订的合同文本</w:t>
      </w:r>
    </w:p>
    <w:p>
      <w:pPr>
        <w:spacing w:line="288" w:lineRule="auto"/>
        <w:ind w:firstLine="458" w:firstLineChars="200"/>
        <w:jc w:val="center"/>
        <w:rPr>
          <w:rFonts w:ascii="宋体" w:hAnsi="宋体" w:cs="宋体"/>
          <w:color w:val="auto"/>
          <w:spacing w:val="-6"/>
          <w:sz w:val="24"/>
          <w:highlight w:val="none"/>
        </w:rPr>
      </w:pPr>
      <w:r>
        <w:rPr>
          <w:rFonts w:hint="eastAsia" w:ascii="宋体" w:hAnsi="宋体"/>
          <w:b/>
          <w:color w:val="auto"/>
          <w:spacing w:val="-6"/>
          <w:sz w:val="24"/>
          <w:highlight w:val="none"/>
        </w:rPr>
        <w:t>协同创新中心高教仪器设备政府采购合同</w:t>
      </w:r>
    </w:p>
    <w:p>
      <w:pPr>
        <w:spacing w:line="288" w:lineRule="auto"/>
        <w:ind w:firstLine="396" w:firstLineChars="200"/>
        <w:jc w:val="center"/>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（本合同为合同样稿，最终稿由三方协商后确定，合同实质性内容不得更改；签订合同时删除此行）</w:t>
      </w:r>
    </w:p>
    <w:p>
      <w:pPr>
        <w:snapToGrid w:val="0"/>
        <w:spacing w:line="288" w:lineRule="auto"/>
        <w:rPr>
          <w:rFonts w:ascii="宋体" w:hAnsi="宋体"/>
          <w:color w:val="auto"/>
          <w:spacing w:val="-6"/>
          <w:sz w:val="21"/>
          <w:szCs w:val="21"/>
          <w:highlight w:val="none"/>
        </w:rPr>
      </w:pPr>
      <w:r>
        <w:rPr>
          <w:rFonts w:hint="eastAsia" w:ascii="宋体" w:hAnsi="宋体" w:cs="宋体"/>
          <w:color w:val="auto"/>
          <w:spacing w:val="-6"/>
          <w:sz w:val="21"/>
          <w:szCs w:val="21"/>
          <w:highlight w:val="none"/>
          <w:lang w:bidi="ar"/>
        </w:rPr>
        <w:t xml:space="preserve">采购编号：QSZB-Z(H)-B20132(GK)  </w:t>
      </w:r>
      <w:r>
        <w:rPr>
          <w:rFonts w:hint="eastAsia" w:ascii="宋体" w:hAnsi="宋体"/>
          <w:color w:val="auto"/>
          <w:spacing w:val="-6"/>
          <w:sz w:val="21"/>
          <w:szCs w:val="21"/>
          <w:highlight w:val="none"/>
          <w:lang w:bidi="ar"/>
        </w:rPr>
        <w:t xml:space="preserve"> </w:t>
      </w:r>
    </w:p>
    <w:p>
      <w:pPr>
        <w:snapToGrid w:val="0"/>
        <w:spacing w:line="288" w:lineRule="auto"/>
        <w:rPr>
          <w:rFonts w:ascii="宋体" w:hAnsi="宋体" w:cs="宋体"/>
          <w:color w:val="auto"/>
          <w:spacing w:val="-6"/>
          <w:sz w:val="21"/>
          <w:szCs w:val="21"/>
          <w:highlight w:val="none"/>
          <w:lang w:bidi="ar"/>
        </w:rPr>
      </w:pPr>
      <w:r>
        <w:rPr>
          <w:rFonts w:hint="eastAsia" w:ascii="宋体" w:hAnsi="宋体" w:cs="宋体"/>
          <w:color w:val="auto"/>
          <w:spacing w:val="-6"/>
          <w:sz w:val="21"/>
          <w:szCs w:val="21"/>
          <w:highlight w:val="none"/>
          <w:lang w:bidi="ar"/>
        </w:rPr>
        <w:t>确认书编号：</w:t>
      </w:r>
    </w:p>
    <w:p>
      <w:pPr>
        <w:snapToGrid w:val="0"/>
        <w:spacing w:line="288" w:lineRule="auto"/>
        <w:rPr>
          <w:rFonts w:ascii="宋体" w:hAnsi="宋体"/>
          <w:color w:val="auto"/>
          <w:spacing w:val="-6"/>
          <w:sz w:val="21"/>
          <w:szCs w:val="21"/>
          <w:highlight w:val="none"/>
        </w:rPr>
      </w:pPr>
      <w:r>
        <w:rPr>
          <w:rFonts w:hint="eastAsia" w:ascii="宋体" w:hAnsi="宋体" w:cs="宋体"/>
          <w:color w:val="auto"/>
          <w:spacing w:val="-6"/>
          <w:sz w:val="21"/>
          <w:szCs w:val="21"/>
          <w:highlight w:val="none"/>
          <w:lang w:bidi="ar"/>
        </w:rPr>
        <w:t>甲方（需方）：杭州电子科技大学</w:t>
      </w:r>
    </w:p>
    <w:p>
      <w:pPr>
        <w:snapToGrid w:val="0"/>
        <w:spacing w:line="288" w:lineRule="auto"/>
        <w:rPr>
          <w:rFonts w:ascii="宋体" w:hAnsi="宋体"/>
          <w:color w:val="auto"/>
          <w:spacing w:val="-6"/>
          <w:sz w:val="21"/>
          <w:szCs w:val="21"/>
          <w:highlight w:val="none"/>
        </w:rPr>
      </w:pPr>
      <w:r>
        <w:rPr>
          <w:rFonts w:hint="eastAsia" w:ascii="宋体" w:hAnsi="宋体" w:cs="宋体"/>
          <w:color w:val="auto"/>
          <w:spacing w:val="-6"/>
          <w:sz w:val="21"/>
          <w:szCs w:val="21"/>
          <w:highlight w:val="none"/>
          <w:lang w:bidi="ar"/>
        </w:rPr>
        <w:t>乙方（供方）：</w:t>
      </w:r>
    </w:p>
    <w:p>
      <w:pPr>
        <w:snapToGrid w:val="0"/>
        <w:spacing w:line="288" w:lineRule="auto"/>
        <w:rPr>
          <w:rFonts w:ascii="宋体" w:hAnsi="宋体"/>
          <w:color w:val="auto"/>
          <w:spacing w:val="-6"/>
          <w:sz w:val="21"/>
          <w:szCs w:val="21"/>
          <w:highlight w:val="none"/>
        </w:rPr>
      </w:pPr>
      <w:r>
        <w:rPr>
          <w:rFonts w:hint="eastAsia" w:ascii="宋体" w:hAnsi="宋体" w:cs="宋体"/>
          <w:color w:val="auto"/>
          <w:spacing w:val="-6"/>
          <w:sz w:val="21"/>
          <w:szCs w:val="21"/>
          <w:highlight w:val="none"/>
          <w:lang w:bidi="ar"/>
        </w:rPr>
        <w:t>采购代理机构：浙江求是招标代理有限公司</w:t>
      </w:r>
    </w:p>
    <w:p>
      <w:pPr>
        <w:snapToGrid w:val="0"/>
        <w:spacing w:line="288" w:lineRule="auto"/>
        <w:rPr>
          <w:rFonts w:ascii="宋体" w:hAnsi="宋体"/>
          <w:color w:val="auto"/>
          <w:spacing w:val="-6"/>
          <w:sz w:val="21"/>
          <w:szCs w:val="21"/>
          <w:highlight w:val="none"/>
        </w:rPr>
      </w:pPr>
      <w:r>
        <w:rPr>
          <w:rFonts w:hint="eastAsia" w:ascii="宋体" w:hAnsi="宋体" w:cs="宋体"/>
          <w:color w:val="auto"/>
          <w:spacing w:val="-6"/>
          <w:sz w:val="21"/>
          <w:szCs w:val="21"/>
          <w:highlight w:val="none"/>
          <w:lang w:bidi="ar"/>
        </w:rPr>
        <w:t>签约时间、地点：</w:t>
      </w:r>
      <w:r>
        <w:rPr>
          <w:rFonts w:hint="eastAsia" w:ascii="宋体" w:hAnsi="宋体"/>
          <w:color w:val="auto"/>
          <w:spacing w:val="-6"/>
          <w:sz w:val="21"/>
          <w:szCs w:val="21"/>
          <w:highlight w:val="none"/>
          <w:lang w:bidi="ar"/>
        </w:rPr>
        <w:t>2020</w:t>
      </w:r>
      <w:r>
        <w:rPr>
          <w:rFonts w:hint="eastAsia" w:ascii="宋体" w:hAnsi="宋体" w:cs="宋体"/>
          <w:color w:val="auto"/>
          <w:spacing w:val="-6"/>
          <w:sz w:val="21"/>
          <w:szCs w:val="21"/>
          <w:highlight w:val="none"/>
          <w:lang w:bidi="ar"/>
        </w:rPr>
        <w:t>年</w:t>
      </w:r>
      <w:r>
        <w:rPr>
          <w:rFonts w:hint="eastAsia" w:ascii="宋体" w:hAnsi="宋体"/>
          <w:color w:val="auto"/>
          <w:spacing w:val="-6"/>
          <w:sz w:val="21"/>
          <w:szCs w:val="21"/>
          <w:highlight w:val="none"/>
          <w:lang w:bidi="ar"/>
        </w:rPr>
        <w:t xml:space="preserve">  </w:t>
      </w:r>
      <w:r>
        <w:rPr>
          <w:rFonts w:hint="eastAsia" w:ascii="宋体" w:hAnsi="宋体" w:cs="宋体"/>
          <w:color w:val="auto"/>
          <w:spacing w:val="-6"/>
          <w:sz w:val="21"/>
          <w:szCs w:val="21"/>
          <w:highlight w:val="none"/>
          <w:lang w:bidi="ar"/>
        </w:rPr>
        <w:t>月</w:t>
      </w:r>
      <w:r>
        <w:rPr>
          <w:rFonts w:hint="eastAsia" w:ascii="宋体" w:hAnsi="宋体"/>
          <w:color w:val="auto"/>
          <w:spacing w:val="-6"/>
          <w:sz w:val="21"/>
          <w:szCs w:val="21"/>
          <w:highlight w:val="none"/>
          <w:lang w:bidi="ar"/>
        </w:rPr>
        <w:t xml:space="preserve">   </w:t>
      </w:r>
      <w:r>
        <w:rPr>
          <w:rFonts w:hint="eastAsia" w:ascii="宋体" w:hAnsi="宋体" w:cs="宋体"/>
          <w:color w:val="auto"/>
          <w:spacing w:val="-6"/>
          <w:sz w:val="21"/>
          <w:szCs w:val="21"/>
          <w:highlight w:val="none"/>
          <w:lang w:bidi="ar"/>
        </w:rPr>
        <w:t>日，杭州</w:t>
      </w:r>
    </w:p>
    <w:p>
      <w:pPr>
        <w:snapToGrid w:val="0"/>
        <w:spacing w:line="288" w:lineRule="auto"/>
        <w:rPr>
          <w:rFonts w:ascii="宋体" w:hAnsi="宋体"/>
          <w:b/>
          <w:color w:val="auto"/>
          <w:spacing w:val="-6"/>
          <w:sz w:val="21"/>
          <w:szCs w:val="21"/>
          <w:highlight w:val="none"/>
        </w:rPr>
      </w:pPr>
      <w:r>
        <w:rPr>
          <w:rFonts w:hint="eastAsia" w:ascii="宋体" w:hAnsi="宋体"/>
          <w:b/>
          <w:color w:val="auto"/>
          <w:spacing w:val="-6"/>
          <w:sz w:val="21"/>
          <w:szCs w:val="21"/>
          <w:highlight w:val="none"/>
          <w:lang w:bidi="ar"/>
        </w:rPr>
        <w:t xml:space="preserve"> </w:t>
      </w:r>
    </w:p>
    <w:p>
      <w:pPr>
        <w:snapToGrid w:val="0"/>
        <w:spacing w:line="288" w:lineRule="auto"/>
        <w:ind w:left="-238" w:leftChars="-85" w:right="31" w:rightChars="11" w:firstLine="396" w:firstLineChars="200"/>
        <w:rPr>
          <w:rFonts w:ascii="宋体" w:hAnsi="宋体"/>
          <w:color w:val="auto"/>
          <w:spacing w:val="-6"/>
          <w:sz w:val="21"/>
          <w:szCs w:val="21"/>
          <w:highlight w:val="none"/>
        </w:rPr>
      </w:pPr>
      <w:r>
        <w:rPr>
          <w:rFonts w:hint="eastAsia" w:ascii="宋体" w:hAnsi="宋体" w:cs="宋体"/>
          <w:color w:val="auto"/>
          <w:spacing w:val="-6"/>
          <w:sz w:val="21"/>
          <w:szCs w:val="21"/>
          <w:highlight w:val="none"/>
          <w:lang w:bidi="ar"/>
        </w:rPr>
        <w:t>甲、乙双方根据浙江求是招标代理有限公司关于杭州电子科技大学</w:t>
      </w:r>
      <w:r>
        <w:rPr>
          <w:rFonts w:hint="eastAsia" w:ascii="宋体" w:hAnsi="宋体"/>
          <w:color w:val="auto"/>
          <w:spacing w:val="-6"/>
          <w:sz w:val="21"/>
          <w:szCs w:val="21"/>
          <w:highlight w:val="none"/>
          <w:u w:val="single"/>
          <w:lang w:bidi="ar"/>
        </w:rPr>
        <w:t xml:space="preserve">  协同创新中心高教仪器设备   </w:t>
      </w:r>
      <w:r>
        <w:rPr>
          <w:rFonts w:hint="eastAsia" w:ascii="宋体" w:hAnsi="宋体" w:cs="宋体"/>
          <w:color w:val="auto"/>
          <w:spacing w:val="-6"/>
          <w:sz w:val="21"/>
          <w:szCs w:val="21"/>
          <w:highlight w:val="none"/>
          <w:lang w:bidi="ar"/>
        </w:rPr>
        <w:t>项目公开招标采购的结果，签署本合同。</w:t>
      </w:r>
    </w:p>
    <w:p>
      <w:pPr>
        <w:snapToGrid w:val="0"/>
        <w:spacing w:line="288" w:lineRule="auto"/>
        <w:rPr>
          <w:rFonts w:ascii="宋体" w:hAnsi="宋体"/>
          <w:b/>
          <w:color w:val="auto"/>
          <w:spacing w:val="-6"/>
          <w:sz w:val="21"/>
          <w:szCs w:val="21"/>
          <w:highlight w:val="none"/>
        </w:rPr>
      </w:pPr>
      <w:r>
        <w:rPr>
          <w:rFonts w:hint="eastAsia" w:ascii="宋体" w:hAnsi="宋体" w:cs="宋体"/>
          <w:b/>
          <w:color w:val="auto"/>
          <w:spacing w:val="-6"/>
          <w:sz w:val="21"/>
          <w:szCs w:val="21"/>
          <w:highlight w:val="none"/>
          <w:lang w:bidi="ar"/>
        </w:rPr>
        <w:t>第一条：采购标的物清单及合同价格</w:t>
      </w:r>
    </w:p>
    <w:tbl>
      <w:tblPr>
        <w:tblStyle w:val="22"/>
        <w:tblW w:w="8611" w:type="dxa"/>
        <w:tblInd w:w="-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800"/>
        <w:gridCol w:w="1771"/>
        <w:gridCol w:w="720"/>
        <w:gridCol w:w="720"/>
        <w:gridCol w:w="1260"/>
        <w:gridCol w:w="16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72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color w:val="auto"/>
                <w:spacing w:val="-6"/>
                <w:sz w:val="21"/>
                <w:szCs w:val="21"/>
                <w:highlight w:val="none"/>
              </w:rPr>
            </w:pPr>
            <w:r>
              <w:rPr>
                <w:rFonts w:hint="eastAsia" w:ascii="宋体" w:hAnsi="宋体"/>
                <w:color w:val="auto"/>
                <w:spacing w:val="-6"/>
                <w:sz w:val="21"/>
                <w:szCs w:val="21"/>
                <w:highlight w:val="none"/>
                <w:lang w:bidi="ar"/>
              </w:rPr>
              <w:t>序号</w:t>
            </w:r>
          </w:p>
        </w:tc>
        <w:tc>
          <w:tcPr>
            <w:tcW w:w="180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color w:val="auto"/>
                <w:spacing w:val="-6"/>
                <w:sz w:val="21"/>
                <w:szCs w:val="21"/>
                <w:highlight w:val="none"/>
              </w:rPr>
            </w:pPr>
            <w:r>
              <w:rPr>
                <w:rFonts w:hint="eastAsia" w:ascii="宋体" w:hAnsi="宋体"/>
                <w:color w:val="auto"/>
                <w:spacing w:val="-6"/>
                <w:sz w:val="21"/>
                <w:szCs w:val="21"/>
                <w:highlight w:val="none"/>
                <w:lang w:bidi="ar"/>
              </w:rPr>
              <w:t>名称</w:t>
            </w:r>
          </w:p>
        </w:tc>
        <w:tc>
          <w:tcPr>
            <w:tcW w:w="1771"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color w:val="auto"/>
                <w:spacing w:val="-6"/>
                <w:sz w:val="21"/>
                <w:szCs w:val="21"/>
                <w:highlight w:val="none"/>
              </w:rPr>
            </w:pPr>
            <w:r>
              <w:rPr>
                <w:rFonts w:hint="eastAsia" w:ascii="宋体" w:hAnsi="宋体"/>
                <w:color w:val="auto"/>
                <w:spacing w:val="-6"/>
                <w:sz w:val="21"/>
                <w:szCs w:val="21"/>
                <w:highlight w:val="none"/>
                <w:lang w:bidi="ar"/>
              </w:rPr>
              <w:t>具体内容</w:t>
            </w:r>
          </w:p>
        </w:tc>
        <w:tc>
          <w:tcPr>
            <w:tcW w:w="72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color w:val="auto"/>
                <w:spacing w:val="-6"/>
                <w:sz w:val="21"/>
                <w:szCs w:val="21"/>
                <w:highlight w:val="none"/>
              </w:rPr>
            </w:pPr>
            <w:r>
              <w:rPr>
                <w:rFonts w:hint="eastAsia" w:ascii="宋体" w:hAnsi="宋体"/>
                <w:color w:val="auto"/>
                <w:spacing w:val="-6"/>
                <w:sz w:val="21"/>
                <w:szCs w:val="21"/>
                <w:highlight w:val="none"/>
                <w:lang w:bidi="ar"/>
              </w:rPr>
              <w:t>数量</w:t>
            </w:r>
          </w:p>
        </w:tc>
        <w:tc>
          <w:tcPr>
            <w:tcW w:w="72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color w:val="auto"/>
                <w:spacing w:val="-6"/>
                <w:sz w:val="21"/>
                <w:szCs w:val="21"/>
                <w:highlight w:val="none"/>
              </w:rPr>
            </w:pPr>
            <w:r>
              <w:rPr>
                <w:rFonts w:hint="eastAsia" w:ascii="宋体" w:hAnsi="宋体"/>
                <w:color w:val="auto"/>
                <w:spacing w:val="-6"/>
                <w:sz w:val="21"/>
                <w:szCs w:val="21"/>
                <w:highlight w:val="none"/>
                <w:lang w:bidi="ar"/>
              </w:rPr>
              <w:t>单位</w:t>
            </w:r>
          </w:p>
        </w:tc>
        <w:tc>
          <w:tcPr>
            <w:tcW w:w="126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color w:val="auto"/>
                <w:spacing w:val="-6"/>
                <w:sz w:val="21"/>
                <w:szCs w:val="21"/>
                <w:highlight w:val="none"/>
              </w:rPr>
            </w:pPr>
            <w:r>
              <w:rPr>
                <w:rFonts w:hint="eastAsia" w:ascii="宋体" w:hAnsi="宋体"/>
                <w:color w:val="auto"/>
                <w:spacing w:val="-6"/>
                <w:sz w:val="21"/>
                <w:szCs w:val="21"/>
                <w:highlight w:val="none"/>
                <w:lang w:bidi="ar"/>
              </w:rPr>
              <w:t>单价</w:t>
            </w:r>
          </w:p>
        </w:tc>
        <w:tc>
          <w:tcPr>
            <w:tcW w:w="162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color w:val="auto"/>
                <w:spacing w:val="-6"/>
                <w:sz w:val="21"/>
                <w:szCs w:val="21"/>
                <w:highlight w:val="none"/>
              </w:rPr>
            </w:pPr>
            <w:r>
              <w:rPr>
                <w:rFonts w:hint="eastAsia" w:ascii="宋体" w:hAnsi="宋体"/>
                <w:color w:val="auto"/>
                <w:spacing w:val="-6"/>
                <w:sz w:val="21"/>
                <w:szCs w:val="21"/>
                <w:highlight w:val="none"/>
                <w:lang w:bidi="ar"/>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72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color w:val="auto"/>
                <w:spacing w:val="-6"/>
                <w:sz w:val="21"/>
                <w:szCs w:val="21"/>
                <w:highlight w:val="none"/>
              </w:rPr>
            </w:pPr>
            <w:r>
              <w:rPr>
                <w:rFonts w:hint="eastAsia" w:ascii="宋体" w:hAnsi="宋体"/>
                <w:color w:val="auto"/>
                <w:spacing w:val="-6"/>
                <w:sz w:val="21"/>
                <w:szCs w:val="21"/>
                <w:highlight w:val="none"/>
                <w:lang w:bidi="ar"/>
              </w:rPr>
              <w:t>1</w:t>
            </w:r>
          </w:p>
        </w:tc>
        <w:tc>
          <w:tcPr>
            <w:tcW w:w="180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238" w:leftChars="85" w:right="0"/>
              <w:jc w:val="center"/>
              <w:rPr>
                <w:rFonts w:hint="default" w:ascii="宋体" w:hAnsi="宋体"/>
                <w:color w:val="auto"/>
                <w:spacing w:val="-6"/>
                <w:sz w:val="21"/>
                <w:szCs w:val="21"/>
                <w:highlight w:val="none"/>
              </w:rPr>
            </w:pPr>
          </w:p>
        </w:tc>
        <w:tc>
          <w:tcPr>
            <w:tcW w:w="1771" w:type="dxa"/>
            <w:tcBorders>
              <w:top w:val="single" w:color="auto" w:sz="4" w:space="0"/>
              <w:left w:val="nil"/>
              <w:bottom w:val="single" w:color="auto" w:sz="4" w:space="0"/>
              <w:right w:val="single" w:color="auto" w:sz="4" w:space="0"/>
            </w:tcBorders>
          </w:tcPr>
          <w:p>
            <w:pPr>
              <w:keepNext w:val="0"/>
              <w:keepLines w:val="0"/>
              <w:suppressLineNumbers w:val="0"/>
              <w:snapToGrid w:val="0"/>
              <w:spacing w:before="0" w:beforeAutospacing="0" w:after="0" w:afterAutospacing="0" w:line="288" w:lineRule="auto"/>
              <w:ind w:left="0" w:right="0"/>
              <w:rPr>
                <w:rFonts w:hint="default" w:ascii="宋体" w:hAnsi="宋体"/>
                <w:color w:val="auto"/>
                <w:spacing w:val="-6"/>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color w:val="auto"/>
                <w:spacing w:val="-6"/>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color w:val="auto"/>
                <w:spacing w:val="-6"/>
                <w:sz w:val="21"/>
                <w:szCs w:val="21"/>
                <w:highlight w:val="none"/>
              </w:rPr>
            </w:pPr>
          </w:p>
        </w:tc>
        <w:tc>
          <w:tcPr>
            <w:tcW w:w="126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color w:val="auto"/>
                <w:spacing w:val="-6"/>
                <w:sz w:val="21"/>
                <w:szCs w:val="21"/>
                <w:highlight w:val="none"/>
              </w:rPr>
            </w:pPr>
          </w:p>
        </w:tc>
        <w:tc>
          <w:tcPr>
            <w:tcW w:w="162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rPr>
                <w:rFonts w:hint="default" w:ascii="宋体" w:hAnsi="宋体"/>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72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color w:val="auto"/>
                <w:spacing w:val="-6"/>
                <w:sz w:val="21"/>
                <w:szCs w:val="21"/>
                <w:highlight w:val="none"/>
                <w:lang w:bidi="ar"/>
              </w:rPr>
            </w:pPr>
            <w:r>
              <w:rPr>
                <w:rFonts w:hint="eastAsia" w:ascii="宋体" w:hAnsi="宋体"/>
                <w:color w:val="auto"/>
                <w:spacing w:val="-6"/>
                <w:sz w:val="21"/>
                <w:szCs w:val="21"/>
                <w:highlight w:val="none"/>
                <w:lang w:bidi="ar"/>
              </w:rPr>
              <w:t>2</w:t>
            </w:r>
          </w:p>
        </w:tc>
        <w:tc>
          <w:tcPr>
            <w:tcW w:w="180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238" w:leftChars="85" w:right="0"/>
              <w:jc w:val="center"/>
              <w:rPr>
                <w:rFonts w:hint="default" w:ascii="宋体" w:hAnsi="宋体"/>
                <w:color w:val="auto"/>
                <w:spacing w:val="-6"/>
                <w:sz w:val="21"/>
                <w:szCs w:val="21"/>
                <w:highlight w:val="none"/>
              </w:rPr>
            </w:pPr>
          </w:p>
        </w:tc>
        <w:tc>
          <w:tcPr>
            <w:tcW w:w="1771" w:type="dxa"/>
            <w:tcBorders>
              <w:top w:val="single" w:color="auto" w:sz="4" w:space="0"/>
              <w:left w:val="nil"/>
              <w:bottom w:val="single" w:color="auto" w:sz="4" w:space="0"/>
              <w:right w:val="single" w:color="auto" w:sz="4" w:space="0"/>
            </w:tcBorders>
          </w:tcPr>
          <w:p>
            <w:pPr>
              <w:keepNext w:val="0"/>
              <w:keepLines w:val="0"/>
              <w:suppressLineNumbers w:val="0"/>
              <w:snapToGrid w:val="0"/>
              <w:spacing w:before="0" w:beforeAutospacing="0" w:after="0" w:afterAutospacing="0" w:line="288" w:lineRule="auto"/>
              <w:ind w:left="0" w:right="0"/>
              <w:rPr>
                <w:rFonts w:hint="default" w:ascii="宋体" w:hAnsi="宋体"/>
                <w:color w:val="auto"/>
                <w:spacing w:val="-6"/>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color w:val="auto"/>
                <w:spacing w:val="-6"/>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color w:val="auto"/>
                <w:spacing w:val="-6"/>
                <w:sz w:val="21"/>
                <w:szCs w:val="21"/>
                <w:highlight w:val="none"/>
              </w:rPr>
            </w:pPr>
          </w:p>
        </w:tc>
        <w:tc>
          <w:tcPr>
            <w:tcW w:w="126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color w:val="auto"/>
                <w:spacing w:val="-6"/>
                <w:sz w:val="21"/>
                <w:szCs w:val="21"/>
                <w:highlight w:val="none"/>
              </w:rPr>
            </w:pPr>
          </w:p>
        </w:tc>
        <w:tc>
          <w:tcPr>
            <w:tcW w:w="162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rPr>
                <w:rFonts w:hint="default" w:ascii="宋体" w:hAnsi="宋体"/>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611"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left"/>
              <w:rPr>
                <w:rFonts w:hint="default" w:ascii="宋体" w:hAnsi="宋体"/>
                <w:color w:val="auto"/>
                <w:spacing w:val="-6"/>
                <w:sz w:val="21"/>
                <w:szCs w:val="21"/>
                <w:highlight w:val="none"/>
              </w:rPr>
            </w:pPr>
            <w:r>
              <w:rPr>
                <w:rFonts w:hint="eastAsia" w:ascii="宋体" w:hAnsi="宋体"/>
                <w:color w:val="auto"/>
                <w:spacing w:val="-6"/>
                <w:sz w:val="21"/>
                <w:szCs w:val="21"/>
                <w:highlight w:val="none"/>
                <w:lang w:bidi="ar"/>
              </w:rPr>
              <w:t>合同总价（人民币）：</w:t>
            </w:r>
          </w:p>
        </w:tc>
      </w:tr>
    </w:tbl>
    <w:p>
      <w:pPr>
        <w:snapToGrid w:val="0"/>
        <w:spacing w:line="288" w:lineRule="auto"/>
        <w:rPr>
          <w:rFonts w:ascii="宋体" w:hAnsi="宋体"/>
          <w:color w:val="auto"/>
          <w:spacing w:val="-6"/>
          <w:sz w:val="21"/>
          <w:szCs w:val="21"/>
          <w:highlight w:val="none"/>
        </w:rPr>
      </w:pPr>
      <w:r>
        <w:rPr>
          <w:rFonts w:hint="eastAsia" w:ascii="宋体" w:hAnsi="宋体" w:cs="宋体"/>
          <w:color w:val="auto"/>
          <w:spacing w:val="-6"/>
          <w:sz w:val="21"/>
          <w:szCs w:val="21"/>
          <w:highlight w:val="none"/>
          <w:lang w:bidi="ar"/>
        </w:rPr>
        <w:t>注：</w:t>
      </w:r>
      <w:r>
        <w:rPr>
          <w:rFonts w:hint="eastAsia" w:ascii="宋体" w:hAnsi="宋体"/>
          <w:color w:val="auto"/>
          <w:spacing w:val="-6"/>
          <w:sz w:val="21"/>
          <w:szCs w:val="21"/>
          <w:highlight w:val="none"/>
          <w:lang w:bidi="ar"/>
        </w:rPr>
        <w:t>1、以上合同总价包括将货物运抵甲方指定地点的运费及安装调试、培训等一切费用。</w:t>
      </w:r>
    </w:p>
    <w:p>
      <w:pPr>
        <w:snapToGrid w:val="0"/>
        <w:spacing w:line="288" w:lineRule="auto"/>
        <w:rPr>
          <w:rFonts w:ascii="宋体" w:hAnsi="宋体"/>
          <w:b/>
          <w:color w:val="auto"/>
          <w:spacing w:val="-6"/>
          <w:sz w:val="21"/>
          <w:szCs w:val="21"/>
          <w:highlight w:val="none"/>
        </w:rPr>
      </w:pPr>
      <w:r>
        <w:rPr>
          <w:rFonts w:hint="eastAsia" w:ascii="宋体" w:hAnsi="宋体" w:cs="宋体"/>
          <w:b/>
          <w:color w:val="auto"/>
          <w:spacing w:val="-6"/>
          <w:sz w:val="21"/>
          <w:szCs w:val="21"/>
          <w:highlight w:val="none"/>
          <w:lang w:bidi="ar"/>
        </w:rPr>
        <w:t>第二条：质量保证及售后服务</w:t>
      </w:r>
    </w:p>
    <w:p>
      <w:pPr>
        <w:snapToGrid w:val="0"/>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lang w:bidi="ar"/>
        </w:rPr>
        <w:t>1. 乙方应按招标文件规定的货物性能、技术要求、质量标准向甲方提供未经使用的全新产品，符合国家法律规定和技术规格、质量标准的出厂原装合格产品；进口商品是获得国家商检局颁布安全许可证的出厂原装合格产品。</w:t>
      </w:r>
    </w:p>
    <w:p>
      <w:pPr>
        <w:snapToGrid w:val="0"/>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lang w:bidi="ar"/>
        </w:rPr>
        <w:t>2. 乙方提供的货物在质保期内因货物本身的质量问题发生故障，乙方应负责免费更换。对达不到技术要求者，根据实际情况，经双方协商，可按以下办法处理：</w:t>
      </w:r>
    </w:p>
    <w:p>
      <w:pPr>
        <w:snapToGrid w:val="0"/>
        <w:spacing w:line="288" w:lineRule="auto"/>
        <w:ind w:firstLine="396" w:firstLineChars="200"/>
        <w:rPr>
          <w:rFonts w:ascii="宋体" w:hAnsi="宋体"/>
          <w:color w:val="auto"/>
          <w:spacing w:val="-6"/>
          <w:sz w:val="21"/>
          <w:szCs w:val="21"/>
          <w:highlight w:val="none"/>
        </w:rPr>
      </w:pPr>
      <w:r>
        <w:rPr>
          <w:rFonts w:hint="eastAsia" w:ascii="宋体" w:hAnsi="宋体" w:cs="宋体"/>
          <w:color w:val="auto"/>
          <w:spacing w:val="-6"/>
          <w:sz w:val="21"/>
          <w:szCs w:val="21"/>
          <w:highlight w:val="none"/>
          <w:lang w:bidi="ar"/>
        </w:rPr>
        <w:t>⑴更换：由乙方承担所发生的全部费用。</w:t>
      </w:r>
    </w:p>
    <w:p>
      <w:pPr>
        <w:snapToGrid w:val="0"/>
        <w:spacing w:line="288" w:lineRule="auto"/>
        <w:ind w:firstLine="396" w:firstLineChars="200"/>
        <w:rPr>
          <w:rFonts w:ascii="宋体" w:hAnsi="宋体"/>
          <w:color w:val="auto"/>
          <w:spacing w:val="-6"/>
          <w:sz w:val="21"/>
          <w:szCs w:val="21"/>
          <w:highlight w:val="none"/>
        </w:rPr>
      </w:pPr>
      <w:r>
        <w:rPr>
          <w:rFonts w:hint="eastAsia" w:ascii="宋体" w:hAnsi="宋体" w:cs="宋体"/>
          <w:color w:val="auto"/>
          <w:spacing w:val="-6"/>
          <w:sz w:val="21"/>
          <w:szCs w:val="21"/>
          <w:highlight w:val="none"/>
          <w:lang w:bidi="ar"/>
        </w:rPr>
        <w:t>⑵贬值处理：由甲乙双方合议定价。</w:t>
      </w:r>
    </w:p>
    <w:p>
      <w:pPr>
        <w:snapToGrid w:val="0"/>
        <w:spacing w:line="288" w:lineRule="auto"/>
        <w:ind w:firstLine="396" w:firstLineChars="200"/>
        <w:rPr>
          <w:rFonts w:ascii="宋体" w:hAnsi="宋体"/>
          <w:color w:val="auto"/>
          <w:spacing w:val="-6"/>
          <w:sz w:val="21"/>
          <w:szCs w:val="21"/>
          <w:highlight w:val="none"/>
        </w:rPr>
      </w:pPr>
      <w:r>
        <w:rPr>
          <w:rFonts w:hint="eastAsia" w:ascii="宋体" w:hAnsi="宋体" w:cs="宋体"/>
          <w:color w:val="auto"/>
          <w:spacing w:val="-6"/>
          <w:sz w:val="21"/>
          <w:szCs w:val="21"/>
          <w:highlight w:val="none"/>
          <w:lang w:bidi="ar"/>
        </w:rPr>
        <w:t>⑶退货处理：乙方应退还甲方支付的合同款，同时应承担该货物的直接费用（运输、保险、检验、货款利息及银行手续费等）。</w:t>
      </w:r>
    </w:p>
    <w:p>
      <w:pPr>
        <w:snapToGrid w:val="0"/>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lang w:bidi="ar"/>
        </w:rPr>
        <w:t>3. 如在使用过程中发生质量问题，乙方在接到甲方通知后在</w:t>
      </w:r>
      <w:r>
        <w:rPr>
          <w:rFonts w:hint="eastAsia" w:ascii="宋体" w:hAnsi="宋体"/>
          <w:color w:val="auto"/>
          <w:spacing w:val="-6"/>
          <w:sz w:val="21"/>
          <w:szCs w:val="21"/>
          <w:highlight w:val="none"/>
          <w:u w:val="single"/>
          <w:lang w:bidi="ar"/>
        </w:rPr>
        <w:t xml:space="preserve">        </w:t>
      </w:r>
      <w:r>
        <w:rPr>
          <w:rFonts w:hint="eastAsia" w:ascii="宋体" w:hAnsi="宋体" w:cs="宋体"/>
          <w:color w:val="auto"/>
          <w:spacing w:val="-6"/>
          <w:sz w:val="21"/>
          <w:szCs w:val="21"/>
          <w:highlight w:val="none"/>
          <w:lang w:bidi="ar"/>
        </w:rPr>
        <w:t>小时内到达甲方现场。</w:t>
      </w:r>
    </w:p>
    <w:p>
      <w:pPr>
        <w:snapToGrid w:val="0"/>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lang w:bidi="ar"/>
        </w:rPr>
        <w:t>4. 在质保期内，乙方应对货物出现的质量及安全问题负责处理解决并承担一切费用。</w:t>
      </w:r>
    </w:p>
    <w:p>
      <w:pPr>
        <w:snapToGrid w:val="0"/>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lang w:bidi="ar"/>
        </w:rPr>
        <w:t xml:space="preserve">5. </w:t>
      </w:r>
      <w:r>
        <w:rPr>
          <w:rFonts w:hint="eastAsia" w:ascii="宋体" w:hAnsi="宋体" w:cs="宋体"/>
          <w:color w:val="auto"/>
          <w:spacing w:val="-6"/>
          <w:sz w:val="21"/>
          <w:szCs w:val="21"/>
          <w:highlight w:val="none"/>
          <w:lang w:bidi="ar"/>
        </w:rPr>
        <w:t>上述的货物免费保修期为</w:t>
      </w:r>
      <w:r>
        <w:rPr>
          <w:rFonts w:hint="eastAsia" w:cs="宋体"/>
          <w:color w:val="auto"/>
          <w:spacing w:val="-6"/>
          <w:sz w:val="21"/>
          <w:szCs w:val="21"/>
          <w:highlight w:val="none"/>
          <w:lang w:bidi="ar"/>
        </w:rPr>
        <w:t>主机</w:t>
      </w:r>
      <w:r>
        <w:rPr>
          <w:rFonts w:hint="eastAsia"/>
          <w:color w:val="auto"/>
          <w:spacing w:val="-6"/>
          <w:sz w:val="21"/>
          <w:szCs w:val="21"/>
          <w:highlight w:val="none"/>
          <w:u w:val="single"/>
          <w:lang w:bidi="ar"/>
        </w:rPr>
        <w:t xml:space="preserve">   </w:t>
      </w:r>
      <w:r>
        <w:rPr>
          <w:rFonts w:hint="eastAsia" w:cs="宋体"/>
          <w:color w:val="auto"/>
          <w:spacing w:val="-6"/>
          <w:sz w:val="21"/>
          <w:szCs w:val="21"/>
          <w:highlight w:val="none"/>
          <w:lang w:bidi="ar"/>
        </w:rPr>
        <w:t>年（配件</w:t>
      </w:r>
      <w:r>
        <w:rPr>
          <w:rFonts w:hint="eastAsia"/>
          <w:color w:val="auto"/>
          <w:spacing w:val="-6"/>
          <w:sz w:val="21"/>
          <w:szCs w:val="21"/>
          <w:highlight w:val="none"/>
          <w:u w:val="single"/>
          <w:lang w:bidi="ar"/>
        </w:rPr>
        <w:t xml:space="preserve">   </w:t>
      </w:r>
      <w:r>
        <w:rPr>
          <w:rFonts w:hint="eastAsia" w:cs="宋体"/>
          <w:color w:val="auto"/>
          <w:spacing w:val="-6"/>
          <w:sz w:val="21"/>
          <w:szCs w:val="21"/>
          <w:highlight w:val="none"/>
          <w:lang w:bidi="ar"/>
        </w:rPr>
        <w:t>年）</w:t>
      </w:r>
      <w:r>
        <w:rPr>
          <w:rFonts w:hint="eastAsia" w:ascii="宋体" w:hAnsi="宋体" w:cs="宋体"/>
          <w:color w:val="auto"/>
          <w:spacing w:val="-6"/>
          <w:sz w:val="21"/>
          <w:szCs w:val="21"/>
          <w:highlight w:val="none"/>
          <w:lang w:bidi="ar"/>
        </w:rPr>
        <w:t>，因人为因素出现的故障不在免费保修范围内。超过保修期的机器设备，终生维修，维修时只收部件成本费。</w:t>
      </w:r>
    </w:p>
    <w:p>
      <w:pPr>
        <w:snapToGrid w:val="0"/>
        <w:spacing w:line="288" w:lineRule="auto"/>
        <w:ind w:firstLine="420"/>
        <w:rPr>
          <w:rFonts w:ascii="宋体" w:hAnsi="宋体"/>
          <w:b/>
          <w:color w:val="auto"/>
          <w:spacing w:val="-6"/>
          <w:sz w:val="21"/>
          <w:szCs w:val="21"/>
          <w:highlight w:val="none"/>
        </w:rPr>
      </w:pPr>
      <w:r>
        <w:rPr>
          <w:rFonts w:hint="eastAsia" w:ascii="宋体" w:hAnsi="宋体" w:cs="宋体"/>
          <w:b/>
          <w:color w:val="auto"/>
          <w:spacing w:val="-6"/>
          <w:sz w:val="21"/>
          <w:szCs w:val="21"/>
          <w:highlight w:val="none"/>
          <w:lang w:bidi="ar"/>
        </w:rPr>
        <w:t>第三条：技术资料</w:t>
      </w:r>
    </w:p>
    <w:p>
      <w:pPr>
        <w:numPr>
          <w:ilvl w:val="0"/>
          <w:numId w:val="4"/>
        </w:numPr>
        <w:snapToGrid w:val="0"/>
        <w:spacing w:line="288" w:lineRule="auto"/>
        <w:ind w:firstLine="396" w:firstLineChars="200"/>
        <w:rPr>
          <w:rFonts w:ascii="宋体" w:hAnsi="宋体"/>
          <w:color w:val="auto"/>
          <w:spacing w:val="-6"/>
          <w:sz w:val="21"/>
          <w:szCs w:val="21"/>
          <w:highlight w:val="none"/>
        </w:rPr>
      </w:pPr>
      <w:r>
        <w:rPr>
          <w:rFonts w:hint="eastAsia" w:ascii="宋体" w:hAnsi="宋体" w:cs="宋体"/>
          <w:color w:val="auto"/>
          <w:spacing w:val="-6"/>
          <w:sz w:val="21"/>
          <w:szCs w:val="21"/>
          <w:highlight w:val="none"/>
          <w:lang w:bidi="ar"/>
        </w:rPr>
        <w:t>乙方应按招标文件规定的时间向甲方提供使用货物的有关技术资料。</w:t>
      </w:r>
    </w:p>
    <w:p>
      <w:pPr>
        <w:snapToGrid w:val="0"/>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lang w:bidi="ar"/>
        </w:rPr>
        <w:t>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napToGrid w:val="0"/>
        <w:spacing w:line="288" w:lineRule="auto"/>
        <w:ind w:left="340" w:hanging="340" w:hangingChars="171"/>
        <w:rPr>
          <w:rFonts w:ascii="宋体" w:hAnsi="宋体"/>
          <w:b/>
          <w:color w:val="auto"/>
          <w:spacing w:val="-6"/>
          <w:sz w:val="21"/>
          <w:szCs w:val="21"/>
          <w:highlight w:val="none"/>
        </w:rPr>
      </w:pPr>
      <w:r>
        <w:rPr>
          <w:rFonts w:hint="eastAsia" w:ascii="宋体" w:hAnsi="宋体" w:cs="宋体"/>
          <w:b/>
          <w:color w:val="auto"/>
          <w:spacing w:val="-6"/>
          <w:sz w:val="21"/>
          <w:szCs w:val="21"/>
          <w:highlight w:val="none"/>
          <w:lang w:bidi="ar"/>
        </w:rPr>
        <w:t>第四条：知识产权</w:t>
      </w:r>
    </w:p>
    <w:p>
      <w:pPr>
        <w:snapToGrid w:val="0"/>
        <w:spacing w:line="288" w:lineRule="auto"/>
        <w:ind w:firstLine="396" w:firstLineChars="200"/>
        <w:rPr>
          <w:rFonts w:ascii="宋体" w:hAnsi="宋体"/>
          <w:color w:val="auto"/>
          <w:spacing w:val="-6"/>
          <w:sz w:val="21"/>
          <w:szCs w:val="21"/>
          <w:highlight w:val="none"/>
        </w:rPr>
      </w:pPr>
      <w:r>
        <w:rPr>
          <w:rFonts w:hint="eastAsia" w:ascii="宋体" w:hAnsi="宋体" w:cs="宋体"/>
          <w:color w:val="auto"/>
          <w:spacing w:val="-6"/>
          <w:sz w:val="21"/>
          <w:szCs w:val="21"/>
          <w:highlight w:val="none"/>
          <w:lang w:bidi="ar"/>
        </w:rPr>
        <w:t>乙方应保证所提供的货物或其任何一部分均不会侵犯任何第三方的知识产权</w:t>
      </w:r>
    </w:p>
    <w:p>
      <w:pPr>
        <w:snapToGrid w:val="0"/>
        <w:spacing w:line="288" w:lineRule="auto"/>
        <w:rPr>
          <w:rFonts w:ascii="宋体" w:hAnsi="宋体"/>
          <w:b/>
          <w:color w:val="auto"/>
          <w:spacing w:val="-6"/>
          <w:sz w:val="21"/>
          <w:szCs w:val="21"/>
          <w:highlight w:val="none"/>
        </w:rPr>
      </w:pPr>
      <w:r>
        <w:rPr>
          <w:rFonts w:hint="eastAsia" w:ascii="宋体" w:hAnsi="宋体" w:cs="宋体"/>
          <w:b/>
          <w:color w:val="auto"/>
          <w:spacing w:val="-6"/>
          <w:sz w:val="21"/>
          <w:szCs w:val="21"/>
          <w:highlight w:val="none"/>
          <w:lang w:bidi="ar"/>
        </w:rPr>
        <w:t>第五条：交货时间、地点</w:t>
      </w:r>
    </w:p>
    <w:p>
      <w:pPr>
        <w:snapToGrid w:val="0"/>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1.交货时间：合同签订后</w:t>
      </w:r>
      <w:r>
        <w:rPr>
          <w:rFonts w:hint="eastAsia" w:ascii="宋体" w:hAnsi="宋体"/>
          <w:color w:val="auto"/>
          <w:spacing w:val="-6"/>
          <w:sz w:val="21"/>
          <w:szCs w:val="21"/>
          <w:highlight w:val="none"/>
          <w:lang w:val="en-US" w:eastAsia="zh-CN"/>
        </w:rPr>
        <w:t>60</w:t>
      </w:r>
      <w:r>
        <w:rPr>
          <w:rFonts w:hint="eastAsia" w:ascii="宋体" w:hAnsi="宋体"/>
          <w:color w:val="auto"/>
          <w:spacing w:val="-6"/>
          <w:sz w:val="21"/>
          <w:szCs w:val="21"/>
          <w:highlight w:val="none"/>
        </w:rPr>
        <w:t>日内交付并安装完毕。</w:t>
      </w:r>
    </w:p>
    <w:p>
      <w:pPr>
        <w:snapToGrid w:val="0"/>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2.交货地点：采购人指定地点。 </w:t>
      </w:r>
    </w:p>
    <w:p>
      <w:pPr>
        <w:snapToGrid w:val="0"/>
        <w:spacing w:line="288" w:lineRule="auto"/>
        <w:rPr>
          <w:rFonts w:ascii="宋体" w:hAnsi="宋体"/>
          <w:b/>
          <w:color w:val="auto"/>
          <w:spacing w:val="-6"/>
          <w:sz w:val="21"/>
          <w:szCs w:val="21"/>
          <w:highlight w:val="none"/>
        </w:rPr>
      </w:pPr>
      <w:r>
        <w:rPr>
          <w:rFonts w:hint="eastAsia" w:ascii="宋体" w:hAnsi="宋体" w:cs="宋体"/>
          <w:b/>
          <w:color w:val="auto"/>
          <w:spacing w:val="-6"/>
          <w:sz w:val="21"/>
          <w:szCs w:val="21"/>
          <w:highlight w:val="none"/>
          <w:lang w:bidi="ar"/>
        </w:rPr>
        <w:t xml:space="preserve">第六条：售后服务 </w:t>
      </w:r>
    </w:p>
    <w:p>
      <w:pPr>
        <w:snapToGrid w:val="0"/>
        <w:spacing w:line="288" w:lineRule="auto"/>
        <w:ind w:right="31" w:rightChars="11" w:firstLine="420"/>
        <w:rPr>
          <w:rFonts w:ascii="宋体" w:hAnsi="宋体"/>
          <w:color w:val="auto"/>
          <w:spacing w:val="-6"/>
          <w:sz w:val="21"/>
          <w:szCs w:val="21"/>
          <w:highlight w:val="none"/>
        </w:rPr>
      </w:pPr>
      <w:r>
        <w:rPr>
          <w:rFonts w:hint="eastAsia" w:ascii="宋体" w:hAnsi="宋体" w:cs="宋体"/>
          <w:color w:val="auto"/>
          <w:spacing w:val="-6"/>
          <w:sz w:val="21"/>
          <w:szCs w:val="21"/>
          <w:highlight w:val="none"/>
          <w:lang w:bidi="ar"/>
        </w:rPr>
        <w:t>设备自验收合格后起保修主机</w:t>
      </w:r>
      <w:r>
        <w:rPr>
          <w:rFonts w:hint="eastAsia" w:ascii="宋体" w:hAnsi="宋体"/>
          <w:color w:val="auto"/>
          <w:spacing w:val="-6"/>
          <w:sz w:val="21"/>
          <w:szCs w:val="21"/>
          <w:highlight w:val="none"/>
          <w:u w:val="single"/>
          <w:lang w:bidi="ar"/>
        </w:rPr>
        <w:t xml:space="preserve">   </w:t>
      </w:r>
      <w:r>
        <w:rPr>
          <w:rFonts w:hint="eastAsia" w:ascii="宋体" w:hAnsi="宋体" w:cs="宋体"/>
          <w:color w:val="auto"/>
          <w:spacing w:val="-6"/>
          <w:sz w:val="21"/>
          <w:szCs w:val="21"/>
          <w:highlight w:val="none"/>
          <w:lang w:bidi="ar"/>
        </w:rPr>
        <w:t>年（配件</w:t>
      </w:r>
      <w:r>
        <w:rPr>
          <w:rFonts w:hint="eastAsia" w:ascii="宋体" w:hAnsi="宋体"/>
          <w:color w:val="auto"/>
          <w:spacing w:val="-6"/>
          <w:sz w:val="21"/>
          <w:szCs w:val="21"/>
          <w:highlight w:val="none"/>
          <w:u w:val="single"/>
          <w:lang w:bidi="ar"/>
        </w:rPr>
        <w:t xml:space="preserve">   </w:t>
      </w:r>
      <w:r>
        <w:rPr>
          <w:rFonts w:hint="eastAsia" w:ascii="宋体" w:hAnsi="宋体" w:cs="宋体"/>
          <w:color w:val="auto"/>
          <w:spacing w:val="-6"/>
          <w:sz w:val="21"/>
          <w:szCs w:val="21"/>
          <w:highlight w:val="none"/>
          <w:lang w:bidi="ar"/>
        </w:rPr>
        <w:t>年）。维修响应时间：</w:t>
      </w:r>
      <w:r>
        <w:rPr>
          <w:rFonts w:hint="eastAsia" w:ascii="宋体" w:hAnsi="宋体"/>
          <w:color w:val="auto"/>
          <w:spacing w:val="-6"/>
          <w:sz w:val="21"/>
          <w:szCs w:val="21"/>
          <w:highlight w:val="none"/>
          <w:u w:val="single"/>
          <w:lang w:bidi="ar"/>
        </w:rPr>
        <w:t xml:space="preserve">   </w:t>
      </w:r>
      <w:r>
        <w:rPr>
          <w:rFonts w:hint="eastAsia" w:ascii="宋体" w:hAnsi="宋体" w:cs="宋体"/>
          <w:color w:val="auto"/>
          <w:spacing w:val="-6"/>
          <w:sz w:val="21"/>
          <w:szCs w:val="21"/>
          <w:highlight w:val="none"/>
          <w:lang w:bidi="ar"/>
        </w:rPr>
        <w:t>小时以内，电话技术支持；若需上门维修，则</w:t>
      </w:r>
      <w:r>
        <w:rPr>
          <w:rFonts w:hint="eastAsia" w:ascii="宋体" w:hAnsi="宋体"/>
          <w:color w:val="auto"/>
          <w:spacing w:val="-6"/>
          <w:sz w:val="21"/>
          <w:szCs w:val="21"/>
          <w:highlight w:val="none"/>
          <w:u w:val="single"/>
          <w:lang w:bidi="ar"/>
        </w:rPr>
        <w:t xml:space="preserve">   </w:t>
      </w:r>
      <w:r>
        <w:rPr>
          <w:rFonts w:hint="eastAsia" w:ascii="宋体" w:hAnsi="宋体" w:cs="宋体"/>
          <w:color w:val="auto"/>
          <w:spacing w:val="-6"/>
          <w:sz w:val="21"/>
          <w:szCs w:val="21"/>
          <w:highlight w:val="none"/>
          <w:lang w:bidi="ar"/>
        </w:rPr>
        <w:t>小时内到达现场并进行维修；保修期后，乙方继续为甲方服务，仅收取零配件成本费。保修内出现无法排除的故障，乙方需无条件为甲方更换同型号产品。</w:t>
      </w:r>
    </w:p>
    <w:p>
      <w:pPr>
        <w:snapToGrid w:val="0"/>
        <w:spacing w:line="288" w:lineRule="auto"/>
        <w:rPr>
          <w:rFonts w:ascii="宋体" w:hAnsi="宋体"/>
          <w:b/>
          <w:color w:val="auto"/>
          <w:spacing w:val="-6"/>
          <w:sz w:val="21"/>
          <w:szCs w:val="21"/>
          <w:highlight w:val="none"/>
        </w:rPr>
      </w:pPr>
      <w:r>
        <w:rPr>
          <w:rFonts w:hint="eastAsia" w:ascii="宋体" w:hAnsi="宋体" w:cs="宋体"/>
          <w:b/>
          <w:color w:val="auto"/>
          <w:spacing w:val="-6"/>
          <w:sz w:val="21"/>
          <w:szCs w:val="21"/>
          <w:highlight w:val="none"/>
          <w:lang w:bidi="ar"/>
        </w:rPr>
        <w:t>第七条：调试与验收</w:t>
      </w:r>
    </w:p>
    <w:p>
      <w:pPr>
        <w:snapToGrid w:val="0"/>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lang w:bidi="ar"/>
        </w:rPr>
        <w:t>1. 甲方对乙方提交的货物依据招标文件上的技术规格要求和国家有关质量标准进行现场初步验收，外观、说明书符合招标文件技术要求的，给予签收，初步验收不合格的不予签收。</w:t>
      </w:r>
    </w:p>
    <w:p>
      <w:pPr>
        <w:snapToGrid w:val="0"/>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lang w:bidi="ar"/>
        </w:rPr>
        <w:t>2. 乙方交货前应对产品作出全面检查和对验收文件进行整理，并列出清单，作为甲方收货验收和使用的技术条件依据，检验的结果应随货物交甲方。</w:t>
      </w:r>
    </w:p>
    <w:p>
      <w:pPr>
        <w:snapToGrid w:val="0"/>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lang w:bidi="ar"/>
        </w:rPr>
        <w:t>3. 甲方对乙方提供的货物在使用前进行调试时，乙方需负责安装并培训甲方的使用操作人员，并协助甲方一起调试，直到符合技术要求，甲方才做最终验收。</w:t>
      </w:r>
    </w:p>
    <w:p>
      <w:pPr>
        <w:snapToGrid w:val="0"/>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lang w:bidi="ar"/>
        </w:rPr>
        <w:t>4. 对技术复杂的货物，甲方应请国家认可的专业检测机构参与初步验收及最终验收，并由其出具质量检测报告。</w:t>
      </w:r>
    </w:p>
    <w:p>
      <w:pPr>
        <w:snapToGrid w:val="0"/>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lang w:bidi="ar"/>
        </w:rPr>
        <w:t>5. 验收时乙方必须在现场，验收完毕后作出验收结果报告；验收费用由乙方负责。</w:t>
      </w:r>
    </w:p>
    <w:p>
      <w:pPr>
        <w:snapToGrid w:val="0"/>
        <w:spacing w:line="288" w:lineRule="auto"/>
        <w:ind w:right="31" w:rightChars="11"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lang w:bidi="ar"/>
        </w:rPr>
        <w:t xml:space="preserve">6. </w:t>
      </w:r>
      <w:r>
        <w:rPr>
          <w:rFonts w:hint="eastAsia" w:ascii="宋体" w:hAnsi="宋体" w:cs="宋体"/>
          <w:color w:val="auto"/>
          <w:spacing w:val="-6"/>
          <w:sz w:val="21"/>
          <w:szCs w:val="21"/>
          <w:highlight w:val="none"/>
          <w:lang w:bidi="ar"/>
        </w:rPr>
        <w:t>如发现有重大的质量问题，供甲方均同意提请国家法定检测机构鉴定，如检测结果证明产品无质量问题，由甲方承担检测费用；如检测结果证明产品有质量问题，由乙方承担检测费用，同时乙方同意甲方无条件退货并支付给甲方货款总价</w:t>
      </w:r>
      <w:r>
        <w:rPr>
          <w:rFonts w:hint="eastAsia" w:ascii="宋体" w:hAnsi="宋体"/>
          <w:color w:val="auto"/>
          <w:spacing w:val="-6"/>
          <w:sz w:val="21"/>
          <w:szCs w:val="21"/>
          <w:highlight w:val="none"/>
          <w:lang w:bidi="ar"/>
        </w:rPr>
        <w:t>10％的赔偿金。</w:t>
      </w:r>
    </w:p>
    <w:p>
      <w:pPr>
        <w:snapToGrid w:val="0"/>
        <w:spacing w:line="288" w:lineRule="auto"/>
        <w:rPr>
          <w:rFonts w:ascii="宋体" w:hAnsi="宋体" w:cs="宋体"/>
          <w:b/>
          <w:color w:val="auto"/>
          <w:spacing w:val="-6"/>
          <w:kern w:val="0"/>
          <w:sz w:val="21"/>
          <w:szCs w:val="21"/>
          <w:highlight w:val="none"/>
        </w:rPr>
      </w:pPr>
      <w:r>
        <w:rPr>
          <w:rFonts w:hint="eastAsia" w:ascii="宋体" w:hAnsi="宋体" w:cs="宋体"/>
          <w:b/>
          <w:color w:val="auto"/>
          <w:spacing w:val="-6"/>
          <w:sz w:val="21"/>
          <w:szCs w:val="21"/>
          <w:highlight w:val="none"/>
          <w:lang w:bidi="ar"/>
        </w:rPr>
        <w:t>第八条：货款的支付</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1.履约保证金：</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合同签订后，</w:t>
      </w:r>
      <w:r>
        <w:rPr>
          <w:rFonts w:hint="eastAsia" w:ascii="宋体" w:hAnsi="宋体"/>
          <w:color w:val="auto"/>
          <w:spacing w:val="-6"/>
          <w:sz w:val="21"/>
          <w:szCs w:val="21"/>
          <w:highlight w:val="none"/>
          <w:lang w:val="en-US" w:eastAsia="zh-CN"/>
        </w:rPr>
        <w:t>乙方</w:t>
      </w:r>
      <w:r>
        <w:rPr>
          <w:rFonts w:hint="eastAsia" w:ascii="宋体" w:hAnsi="宋体"/>
          <w:color w:val="auto"/>
          <w:spacing w:val="-6"/>
          <w:sz w:val="21"/>
          <w:szCs w:val="21"/>
          <w:highlight w:val="none"/>
        </w:rPr>
        <w:t>向</w:t>
      </w:r>
      <w:r>
        <w:rPr>
          <w:rFonts w:hint="eastAsia" w:ascii="宋体" w:hAnsi="宋体"/>
          <w:color w:val="auto"/>
          <w:spacing w:val="-6"/>
          <w:sz w:val="21"/>
          <w:szCs w:val="21"/>
          <w:highlight w:val="none"/>
          <w:lang w:val="en-US" w:eastAsia="zh-CN"/>
        </w:rPr>
        <w:t>甲方</w:t>
      </w:r>
      <w:r>
        <w:rPr>
          <w:rFonts w:hint="eastAsia" w:ascii="宋体" w:hAnsi="宋体"/>
          <w:color w:val="auto"/>
          <w:spacing w:val="-6"/>
          <w:sz w:val="21"/>
          <w:szCs w:val="21"/>
          <w:highlight w:val="none"/>
        </w:rPr>
        <w:t>缴纳合同金额5%的履约保证金，履约保证金在质保期内无质量问题和维护问题，质保期满后无息退还。</w:t>
      </w:r>
    </w:p>
    <w:p>
      <w:pPr>
        <w:spacing w:line="288" w:lineRule="auto"/>
        <w:ind w:firstLine="396" w:firstLineChars="200"/>
        <w:rPr>
          <w:rFonts w:ascii="宋体" w:hAnsi="宋体"/>
          <w:bCs/>
          <w:color w:val="auto"/>
          <w:spacing w:val="-6"/>
          <w:sz w:val="21"/>
          <w:szCs w:val="21"/>
          <w:highlight w:val="none"/>
        </w:rPr>
      </w:pPr>
      <w:r>
        <w:rPr>
          <w:rFonts w:hint="eastAsia" w:ascii="宋体" w:hAnsi="宋体"/>
          <w:bCs/>
          <w:color w:val="auto"/>
          <w:spacing w:val="-6"/>
          <w:sz w:val="21"/>
          <w:szCs w:val="21"/>
          <w:highlight w:val="none"/>
        </w:rPr>
        <w:t>转账信息如下：</w:t>
      </w:r>
    </w:p>
    <w:p>
      <w:pPr>
        <w:spacing w:line="288" w:lineRule="auto"/>
        <w:ind w:firstLine="396" w:firstLineChars="200"/>
        <w:rPr>
          <w:rFonts w:ascii="宋体" w:hAnsi="宋体"/>
          <w:bCs/>
          <w:color w:val="auto"/>
          <w:spacing w:val="-6"/>
          <w:sz w:val="21"/>
          <w:szCs w:val="21"/>
          <w:highlight w:val="none"/>
        </w:rPr>
      </w:pPr>
      <w:r>
        <w:rPr>
          <w:rFonts w:hint="eastAsia" w:ascii="宋体" w:hAnsi="宋体"/>
          <w:bCs/>
          <w:color w:val="auto"/>
          <w:spacing w:val="-6"/>
          <w:sz w:val="21"/>
          <w:szCs w:val="21"/>
          <w:highlight w:val="none"/>
        </w:rPr>
        <w:t>收款单位（户名）:杭州电子科技大学</w:t>
      </w:r>
    </w:p>
    <w:p>
      <w:pPr>
        <w:spacing w:line="288" w:lineRule="auto"/>
        <w:ind w:firstLine="396" w:firstLineChars="200"/>
        <w:rPr>
          <w:rFonts w:ascii="宋体" w:hAnsi="宋体"/>
          <w:bCs/>
          <w:color w:val="auto"/>
          <w:spacing w:val="-6"/>
          <w:sz w:val="21"/>
          <w:szCs w:val="21"/>
          <w:highlight w:val="none"/>
        </w:rPr>
      </w:pPr>
      <w:r>
        <w:rPr>
          <w:rFonts w:hint="eastAsia" w:ascii="宋体" w:hAnsi="宋体"/>
          <w:bCs/>
          <w:color w:val="auto"/>
          <w:spacing w:val="-6"/>
          <w:sz w:val="21"/>
          <w:szCs w:val="21"/>
          <w:highlight w:val="none"/>
        </w:rPr>
        <w:t>开户银行：工行高新支行</w:t>
      </w:r>
    </w:p>
    <w:p>
      <w:pPr>
        <w:spacing w:line="288" w:lineRule="auto"/>
        <w:ind w:firstLine="396" w:firstLineChars="200"/>
        <w:rPr>
          <w:rFonts w:ascii="宋体" w:hAnsi="宋体"/>
          <w:bCs/>
          <w:color w:val="auto"/>
          <w:spacing w:val="-6"/>
          <w:sz w:val="21"/>
          <w:szCs w:val="21"/>
          <w:highlight w:val="none"/>
        </w:rPr>
      </w:pPr>
      <w:r>
        <w:rPr>
          <w:rFonts w:hint="eastAsia" w:ascii="宋体" w:hAnsi="宋体"/>
          <w:bCs/>
          <w:color w:val="auto"/>
          <w:spacing w:val="-6"/>
          <w:sz w:val="21"/>
          <w:szCs w:val="21"/>
          <w:highlight w:val="none"/>
        </w:rPr>
        <w:t>银行账号：1202026209008806216</w:t>
      </w:r>
    </w:p>
    <w:p>
      <w:pPr>
        <w:spacing w:line="288" w:lineRule="auto"/>
        <w:ind w:firstLine="396" w:firstLineChars="200"/>
        <w:rPr>
          <w:rFonts w:ascii="宋体" w:hAnsi="宋体"/>
          <w:bCs/>
          <w:color w:val="auto"/>
          <w:spacing w:val="-6"/>
          <w:sz w:val="21"/>
          <w:szCs w:val="21"/>
          <w:highlight w:val="none"/>
        </w:rPr>
      </w:pPr>
      <w:r>
        <w:rPr>
          <w:rFonts w:hint="eastAsia" w:ascii="宋体" w:hAnsi="宋体"/>
          <w:bCs/>
          <w:color w:val="auto"/>
          <w:spacing w:val="-6"/>
          <w:sz w:val="21"/>
          <w:szCs w:val="21"/>
          <w:highlight w:val="none"/>
        </w:rPr>
        <w:t>发票开票信息</w:t>
      </w:r>
    </w:p>
    <w:p>
      <w:pPr>
        <w:spacing w:line="288" w:lineRule="auto"/>
        <w:ind w:firstLine="396" w:firstLineChars="200"/>
        <w:rPr>
          <w:rFonts w:ascii="宋体" w:hAnsi="宋体"/>
          <w:bCs/>
          <w:color w:val="auto"/>
          <w:spacing w:val="-6"/>
          <w:sz w:val="21"/>
          <w:szCs w:val="21"/>
          <w:highlight w:val="none"/>
        </w:rPr>
      </w:pPr>
      <w:r>
        <w:rPr>
          <w:rFonts w:hint="eastAsia" w:ascii="宋体" w:hAnsi="宋体"/>
          <w:bCs/>
          <w:color w:val="auto"/>
          <w:spacing w:val="-6"/>
          <w:sz w:val="21"/>
          <w:szCs w:val="21"/>
          <w:highlight w:val="none"/>
        </w:rPr>
        <w:t>抬头：杭州电子科技大学</w:t>
      </w:r>
    </w:p>
    <w:p>
      <w:pPr>
        <w:snapToGrid w:val="0"/>
        <w:spacing w:line="288" w:lineRule="auto"/>
        <w:ind w:firstLine="396" w:firstLineChars="200"/>
        <w:rPr>
          <w:rFonts w:ascii="宋体" w:hAnsi="宋体"/>
          <w:bCs/>
          <w:color w:val="auto"/>
          <w:spacing w:val="-6"/>
          <w:sz w:val="21"/>
          <w:szCs w:val="21"/>
          <w:highlight w:val="none"/>
        </w:rPr>
      </w:pPr>
      <w:r>
        <w:rPr>
          <w:rFonts w:hint="eastAsia" w:ascii="宋体" w:hAnsi="宋体"/>
          <w:bCs/>
          <w:color w:val="auto"/>
          <w:spacing w:val="-6"/>
          <w:sz w:val="21"/>
          <w:szCs w:val="21"/>
          <w:highlight w:val="none"/>
        </w:rPr>
        <w:t>税号：12330000470009026T</w:t>
      </w:r>
    </w:p>
    <w:p>
      <w:pPr>
        <w:snapToGrid w:val="0"/>
        <w:spacing w:line="288" w:lineRule="auto"/>
        <w:ind w:firstLine="396" w:firstLineChars="200"/>
        <w:rPr>
          <w:rFonts w:ascii="宋体" w:hAnsi="宋体"/>
          <w:bCs/>
          <w:color w:val="auto"/>
          <w:spacing w:val="-6"/>
          <w:sz w:val="21"/>
          <w:szCs w:val="21"/>
          <w:highlight w:val="none"/>
        </w:rPr>
      </w:pPr>
      <w:r>
        <w:rPr>
          <w:rFonts w:hint="eastAsia" w:ascii="宋体" w:hAnsi="宋体"/>
          <w:bCs/>
          <w:color w:val="auto"/>
          <w:spacing w:val="-6"/>
          <w:sz w:val="21"/>
          <w:szCs w:val="21"/>
          <w:highlight w:val="none"/>
          <w:lang w:val="en-US" w:eastAsia="zh-CN"/>
        </w:rPr>
        <w:t>2</w:t>
      </w:r>
      <w:r>
        <w:rPr>
          <w:rFonts w:hint="eastAsia" w:ascii="宋体" w:hAnsi="宋体"/>
          <w:bCs/>
          <w:color w:val="auto"/>
          <w:spacing w:val="-6"/>
          <w:sz w:val="21"/>
          <w:szCs w:val="21"/>
          <w:highlight w:val="none"/>
        </w:rPr>
        <w:t>.付款方式：</w:t>
      </w:r>
    </w:p>
    <w:p>
      <w:pPr>
        <w:snapToGrid w:val="0"/>
        <w:spacing w:line="288" w:lineRule="auto"/>
        <w:ind w:firstLine="396" w:firstLineChars="200"/>
        <w:rPr>
          <w:rFonts w:hint="eastAsia" w:ascii="宋体" w:hAnsi="宋体"/>
          <w:bCs/>
          <w:color w:val="auto"/>
          <w:spacing w:val="-6"/>
          <w:sz w:val="21"/>
          <w:szCs w:val="21"/>
          <w:highlight w:val="none"/>
        </w:rPr>
      </w:pPr>
      <w:r>
        <w:rPr>
          <w:rFonts w:hint="eastAsia" w:ascii="宋体" w:hAnsi="宋体"/>
          <w:bCs/>
          <w:color w:val="auto"/>
          <w:spacing w:val="-6"/>
          <w:sz w:val="21"/>
          <w:szCs w:val="21"/>
          <w:highlight w:val="none"/>
        </w:rPr>
        <w:t>货物送达指定地点并安装完毕，经</w:t>
      </w:r>
      <w:r>
        <w:rPr>
          <w:rFonts w:hint="eastAsia" w:ascii="宋体" w:hAnsi="宋体"/>
          <w:bCs/>
          <w:color w:val="auto"/>
          <w:spacing w:val="-6"/>
          <w:sz w:val="21"/>
          <w:szCs w:val="21"/>
          <w:highlight w:val="none"/>
          <w:lang w:val="en-US" w:eastAsia="zh-CN"/>
        </w:rPr>
        <w:t>甲方</w:t>
      </w:r>
      <w:r>
        <w:rPr>
          <w:rFonts w:hint="eastAsia" w:ascii="宋体" w:hAnsi="宋体"/>
          <w:bCs/>
          <w:color w:val="auto"/>
          <w:spacing w:val="-6"/>
          <w:sz w:val="21"/>
          <w:szCs w:val="21"/>
          <w:highlight w:val="none"/>
        </w:rPr>
        <w:t>验收合格且</w:t>
      </w:r>
      <w:r>
        <w:rPr>
          <w:rFonts w:hint="eastAsia" w:ascii="宋体" w:hAnsi="宋体"/>
          <w:bCs/>
          <w:color w:val="auto"/>
          <w:spacing w:val="-6"/>
          <w:sz w:val="21"/>
          <w:szCs w:val="21"/>
          <w:highlight w:val="none"/>
          <w:lang w:val="en-US" w:eastAsia="zh-CN"/>
        </w:rPr>
        <w:t>乙方</w:t>
      </w:r>
      <w:r>
        <w:rPr>
          <w:rFonts w:hint="eastAsia" w:ascii="宋体" w:hAnsi="宋体"/>
          <w:bCs/>
          <w:color w:val="auto"/>
          <w:spacing w:val="-6"/>
          <w:sz w:val="21"/>
          <w:szCs w:val="21"/>
          <w:highlight w:val="none"/>
        </w:rPr>
        <w:t>已提交履约保证金的，</w:t>
      </w:r>
      <w:r>
        <w:rPr>
          <w:rFonts w:hint="eastAsia" w:ascii="宋体" w:hAnsi="宋体"/>
          <w:bCs/>
          <w:color w:val="auto"/>
          <w:spacing w:val="-6"/>
          <w:sz w:val="21"/>
          <w:szCs w:val="21"/>
          <w:highlight w:val="none"/>
          <w:lang w:val="en-US" w:eastAsia="zh-CN"/>
        </w:rPr>
        <w:t>甲方</w:t>
      </w:r>
      <w:r>
        <w:rPr>
          <w:rFonts w:hint="eastAsia" w:ascii="宋体" w:hAnsi="宋体"/>
          <w:bCs/>
          <w:color w:val="auto"/>
          <w:spacing w:val="-6"/>
          <w:sz w:val="21"/>
          <w:szCs w:val="21"/>
          <w:highlight w:val="none"/>
        </w:rPr>
        <w:t>向</w:t>
      </w:r>
      <w:r>
        <w:rPr>
          <w:rFonts w:hint="eastAsia" w:ascii="宋体" w:hAnsi="宋体"/>
          <w:bCs/>
          <w:color w:val="auto"/>
          <w:spacing w:val="-6"/>
          <w:sz w:val="21"/>
          <w:szCs w:val="21"/>
          <w:highlight w:val="none"/>
          <w:lang w:val="en-US" w:eastAsia="zh-CN"/>
        </w:rPr>
        <w:t>乙方</w:t>
      </w:r>
      <w:r>
        <w:rPr>
          <w:rFonts w:hint="eastAsia" w:ascii="宋体" w:hAnsi="宋体"/>
          <w:bCs/>
          <w:color w:val="auto"/>
          <w:spacing w:val="-6"/>
          <w:sz w:val="21"/>
          <w:szCs w:val="21"/>
          <w:highlight w:val="none"/>
        </w:rPr>
        <w:t>支付至合同总价的100%。</w:t>
      </w:r>
    </w:p>
    <w:p>
      <w:pPr>
        <w:snapToGrid w:val="0"/>
        <w:spacing w:line="288" w:lineRule="auto"/>
        <w:ind w:firstLine="396" w:firstLineChars="200"/>
        <w:rPr>
          <w:rFonts w:ascii="宋体" w:hAnsi="宋体"/>
          <w:bCs/>
          <w:color w:val="auto"/>
          <w:spacing w:val="-6"/>
          <w:sz w:val="21"/>
          <w:szCs w:val="21"/>
          <w:highlight w:val="none"/>
        </w:rPr>
      </w:pPr>
      <w:r>
        <w:rPr>
          <w:rFonts w:hint="eastAsia" w:ascii="宋体" w:hAnsi="宋体"/>
          <w:bCs/>
          <w:color w:val="auto"/>
          <w:spacing w:val="-6"/>
          <w:sz w:val="21"/>
          <w:szCs w:val="21"/>
          <w:highlight w:val="none"/>
        </w:rPr>
        <w:t>注：乙方需提供增值税专用发票，开票信息如下：</w:t>
      </w:r>
    </w:p>
    <w:p>
      <w:pPr>
        <w:snapToGrid w:val="0"/>
        <w:spacing w:line="288" w:lineRule="auto"/>
        <w:ind w:firstLine="396" w:firstLineChars="200"/>
        <w:rPr>
          <w:rFonts w:ascii="宋体" w:hAnsi="宋体"/>
          <w:bCs/>
          <w:color w:val="auto"/>
          <w:spacing w:val="-6"/>
          <w:sz w:val="21"/>
          <w:szCs w:val="21"/>
          <w:highlight w:val="none"/>
        </w:rPr>
      </w:pPr>
      <w:r>
        <w:rPr>
          <w:rFonts w:hint="eastAsia" w:ascii="宋体" w:hAnsi="宋体"/>
          <w:bCs/>
          <w:color w:val="auto"/>
          <w:spacing w:val="-6"/>
          <w:sz w:val="21"/>
          <w:szCs w:val="21"/>
          <w:highlight w:val="none"/>
        </w:rPr>
        <w:t>抬头：杭州电子科技大学</w:t>
      </w:r>
    </w:p>
    <w:p>
      <w:pPr>
        <w:snapToGrid w:val="0"/>
        <w:spacing w:line="288" w:lineRule="auto"/>
        <w:ind w:firstLine="396" w:firstLineChars="200"/>
        <w:rPr>
          <w:rFonts w:ascii="宋体" w:hAnsi="宋体"/>
          <w:bCs/>
          <w:color w:val="auto"/>
          <w:spacing w:val="-6"/>
          <w:sz w:val="21"/>
          <w:szCs w:val="21"/>
          <w:highlight w:val="none"/>
        </w:rPr>
      </w:pPr>
      <w:r>
        <w:rPr>
          <w:rFonts w:hint="eastAsia" w:ascii="宋体" w:hAnsi="宋体"/>
          <w:bCs/>
          <w:color w:val="auto"/>
          <w:spacing w:val="-6"/>
          <w:sz w:val="21"/>
          <w:szCs w:val="21"/>
          <w:highlight w:val="none"/>
        </w:rPr>
        <w:t>税号：12330000470009026T</w:t>
      </w:r>
    </w:p>
    <w:p>
      <w:pPr>
        <w:snapToGrid w:val="0"/>
        <w:spacing w:line="288" w:lineRule="auto"/>
        <w:ind w:firstLine="396" w:firstLineChars="200"/>
        <w:rPr>
          <w:rFonts w:ascii="宋体" w:hAnsi="宋体"/>
          <w:bCs/>
          <w:color w:val="auto"/>
          <w:spacing w:val="-6"/>
          <w:sz w:val="21"/>
          <w:szCs w:val="21"/>
          <w:highlight w:val="none"/>
        </w:rPr>
      </w:pPr>
      <w:r>
        <w:rPr>
          <w:rFonts w:hint="eastAsia" w:ascii="宋体" w:hAnsi="宋体"/>
          <w:bCs/>
          <w:color w:val="auto"/>
          <w:spacing w:val="-6"/>
          <w:sz w:val="21"/>
          <w:szCs w:val="21"/>
          <w:highlight w:val="none"/>
        </w:rPr>
        <w:t>地址：杭州市下沙高教园区杭州电子科技大学</w:t>
      </w:r>
    </w:p>
    <w:p>
      <w:pPr>
        <w:snapToGrid w:val="0"/>
        <w:spacing w:line="288" w:lineRule="auto"/>
        <w:ind w:firstLine="396" w:firstLineChars="200"/>
        <w:rPr>
          <w:rFonts w:ascii="宋体" w:hAnsi="宋体"/>
          <w:bCs/>
          <w:color w:val="auto"/>
          <w:spacing w:val="-6"/>
          <w:sz w:val="21"/>
          <w:szCs w:val="21"/>
          <w:highlight w:val="none"/>
        </w:rPr>
      </w:pPr>
      <w:r>
        <w:rPr>
          <w:rFonts w:hint="eastAsia" w:ascii="宋体" w:hAnsi="宋体"/>
          <w:bCs/>
          <w:color w:val="auto"/>
          <w:spacing w:val="-6"/>
          <w:sz w:val="21"/>
          <w:szCs w:val="21"/>
          <w:highlight w:val="none"/>
        </w:rPr>
        <w:t>电话：0571-86915020</w:t>
      </w:r>
    </w:p>
    <w:p>
      <w:pPr>
        <w:snapToGrid w:val="0"/>
        <w:spacing w:line="288" w:lineRule="auto"/>
        <w:ind w:firstLine="396" w:firstLineChars="200"/>
        <w:rPr>
          <w:rFonts w:ascii="宋体" w:hAnsi="宋体"/>
          <w:bCs/>
          <w:color w:val="auto"/>
          <w:spacing w:val="-6"/>
          <w:sz w:val="21"/>
          <w:szCs w:val="21"/>
          <w:highlight w:val="none"/>
        </w:rPr>
      </w:pPr>
      <w:r>
        <w:rPr>
          <w:rFonts w:hint="eastAsia" w:ascii="宋体" w:hAnsi="宋体"/>
          <w:bCs/>
          <w:color w:val="auto"/>
          <w:spacing w:val="-6"/>
          <w:sz w:val="21"/>
          <w:szCs w:val="21"/>
          <w:highlight w:val="none"/>
        </w:rPr>
        <w:t>开户银行：工行高新支行</w:t>
      </w:r>
    </w:p>
    <w:p>
      <w:pPr>
        <w:snapToGrid w:val="0"/>
        <w:spacing w:line="288" w:lineRule="auto"/>
        <w:ind w:firstLine="396" w:firstLineChars="200"/>
        <w:rPr>
          <w:rFonts w:ascii="宋体" w:hAnsi="宋体"/>
          <w:bCs/>
          <w:color w:val="auto"/>
          <w:spacing w:val="-6"/>
          <w:sz w:val="21"/>
          <w:szCs w:val="21"/>
          <w:highlight w:val="none"/>
        </w:rPr>
      </w:pPr>
      <w:r>
        <w:rPr>
          <w:rFonts w:hint="eastAsia" w:ascii="宋体" w:hAnsi="宋体"/>
          <w:bCs/>
          <w:color w:val="auto"/>
          <w:spacing w:val="-6"/>
          <w:sz w:val="21"/>
          <w:szCs w:val="21"/>
          <w:highlight w:val="none"/>
        </w:rPr>
        <w:t>银行账号：1202026209008806216</w:t>
      </w:r>
    </w:p>
    <w:p>
      <w:pPr>
        <w:snapToGrid w:val="0"/>
        <w:spacing w:line="288" w:lineRule="auto"/>
        <w:rPr>
          <w:rFonts w:ascii="宋体" w:hAnsi="宋体"/>
          <w:b/>
          <w:color w:val="auto"/>
          <w:spacing w:val="-6"/>
          <w:sz w:val="21"/>
          <w:szCs w:val="21"/>
          <w:highlight w:val="none"/>
        </w:rPr>
      </w:pPr>
      <w:r>
        <w:rPr>
          <w:rFonts w:hint="eastAsia" w:ascii="宋体" w:hAnsi="宋体" w:cs="宋体"/>
          <w:b/>
          <w:color w:val="auto"/>
          <w:spacing w:val="-6"/>
          <w:sz w:val="21"/>
          <w:szCs w:val="21"/>
          <w:highlight w:val="none"/>
          <w:lang w:bidi="ar"/>
        </w:rPr>
        <w:t>第九条：违约责任</w:t>
      </w:r>
    </w:p>
    <w:p>
      <w:pPr>
        <w:numPr>
          <w:ilvl w:val="0"/>
          <w:numId w:val="5"/>
        </w:numPr>
        <w:snapToGrid w:val="0"/>
        <w:spacing w:line="288" w:lineRule="auto"/>
        <w:ind w:firstLine="396" w:firstLineChars="200"/>
        <w:rPr>
          <w:rFonts w:ascii="宋体" w:hAnsi="宋体"/>
          <w:color w:val="auto"/>
          <w:spacing w:val="-6"/>
          <w:sz w:val="21"/>
          <w:szCs w:val="21"/>
          <w:highlight w:val="none"/>
        </w:rPr>
      </w:pPr>
      <w:r>
        <w:rPr>
          <w:rFonts w:hint="eastAsia" w:ascii="宋体" w:hAnsi="宋体" w:cs="宋体"/>
          <w:color w:val="auto"/>
          <w:spacing w:val="-6"/>
          <w:sz w:val="21"/>
          <w:szCs w:val="21"/>
          <w:highlight w:val="none"/>
          <w:lang w:bidi="ar"/>
        </w:rPr>
        <w:t>乙方逾期履行合同的，自逾期之日起，向甲方每日偿付合同总价千分之五的滞纳金。</w:t>
      </w:r>
    </w:p>
    <w:p>
      <w:pPr>
        <w:numPr>
          <w:ilvl w:val="0"/>
          <w:numId w:val="5"/>
        </w:numPr>
        <w:snapToGrid w:val="0"/>
        <w:spacing w:line="288" w:lineRule="auto"/>
        <w:ind w:firstLine="396" w:firstLineChars="200"/>
        <w:rPr>
          <w:rFonts w:ascii="宋体" w:hAnsi="宋体"/>
          <w:color w:val="auto"/>
          <w:spacing w:val="-6"/>
          <w:sz w:val="21"/>
          <w:szCs w:val="21"/>
          <w:highlight w:val="none"/>
        </w:rPr>
      </w:pPr>
      <w:r>
        <w:rPr>
          <w:rFonts w:hint="eastAsia" w:ascii="宋体" w:hAnsi="宋体" w:cs="宋体"/>
          <w:color w:val="auto"/>
          <w:spacing w:val="-6"/>
          <w:sz w:val="21"/>
          <w:szCs w:val="21"/>
          <w:highlight w:val="none"/>
          <w:lang w:bidi="ar"/>
        </w:rPr>
        <w:t>甲方逾期支付货款的，自逾期之日起，向乙方每日偿付未付价款千分之五的滞纳金。</w:t>
      </w:r>
    </w:p>
    <w:p>
      <w:pPr>
        <w:numPr>
          <w:ilvl w:val="0"/>
          <w:numId w:val="5"/>
        </w:numPr>
        <w:snapToGrid w:val="0"/>
        <w:spacing w:line="288" w:lineRule="auto"/>
        <w:ind w:right="31" w:rightChars="11" w:firstLine="396" w:firstLineChars="200"/>
        <w:rPr>
          <w:rFonts w:ascii="宋体" w:hAnsi="宋体"/>
          <w:color w:val="auto"/>
          <w:spacing w:val="-6"/>
          <w:sz w:val="21"/>
          <w:szCs w:val="21"/>
          <w:highlight w:val="none"/>
        </w:rPr>
      </w:pPr>
      <w:r>
        <w:rPr>
          <w:rFonts w:hint="eastAsia" w:ascii="宋体" w:hAnsi="宋体" w:cs="宋体"/>
          <w:color w:val="auto"/>
          <w:spacing w:val="-6"/>
          <w:sz w:val="21"/>
          <w:szCs w:val="21"/>
          <w:highlight w:val="none"/>
          <w:lang w:bidi="ar"/>
        </w:rPr>
        <w:t>如验收不能达到质量功能（性能）标准，合同商品由乙方在验收后一周内运离安装地点，所需费用由乙方承担。如乙方在一个月内不处理（搬走）合同商品，视为乙方放弃该商品，甲方有权自行处置（包括废物处理）。同时，乙方要支付给甲方总货款的</w:t>
      </w:r>
      <w:r>
        <w:rPr>
          <w:rFonts w:hint="eastAsia" w:ascii="宋体" w:hAnsi="宋体"/>
          <w:color w:val="auto"/>
          <w:spacing w:val="-6"/>
          <w:sz w:val="21"/>
          <w:szCs w:val="21"/>
          <w:highlight w:val="none"/>
          <w:lang w:bidi="ar"/>
        </w:rPr>
        <w:t>20％作为违约赔偿金。</w:t>
      </w:r>
    </w:p>
    <w:p>
      <w:pPr>
        <w:numPr>
          <w:ilvl w:val="0"/>
          <w:numId w:val="5"/>
        </w:numPr>
        <w:snapToGrid w:val="0"/>
        <w:spacing w:line="288" w:lineRule="auto"/>
        <w:ind w:firstLine="396" w:firstLineChars="200"/>
        <w:rPr>
          <w:rFonts w:ascii="宋体" w:hAnsi="宋体"/>
          <w:color w:val="auto"/>
          <w:spacing w:val="-6"/>
          <w:sz w:val="21"/>
          <w:szCs w:val="21"/>
          <w:highlight w:val="none"/>
        </w:rPr>
      </w:pPr>
      <w:r>
        <w:rPr>
          <w:rFonts w:hint="eastAsia" w:ascii="宋体" w:hAnsi="宋体" w:cs="宋体"/>
          <w:color w:val="auto"/>
          <w:spacing w:val="-6"/>
          <w:sz w:val="21"/>
          <w:szCs w:val="21"/>
          <w:highlight w:val="none"/>
          <w:lang w:bidi="ar"/>
        </w:rPr>
        <w:t>乙方所交的货物品种、型号、规格、技术参数、质量不符合合同规定及招标文件规定标准的，甲方有权拒收该货物，乙方愿意更换货物但逾期交货的，按乙方逾期交货处理。乙方拒绝更换货物的，甲方可单方面解除合同。</w:t>
      </w:r>
    </w:p>
    <w:p>
      <w:pPr>
        <w:snapToGrid w:val="0"/>
        <w:spacing w:line="288" w:lineRule="auto"/>
        <w:ind w:firstLine="420"/>
        <w:rPr>
          <w:rFonts w:ascii="宋体" w:hAnsi="宋体"/>
          <w:b/>
          <w:color w:val="auto"/>
          <w:spacing w:val="-6"/>
          <w:sz w:val="21"/>
          <w:szCs w:val="21"/>
          <w:highlight w:val="none"/>
        </w:rPr>
      </w:pPr>
      <w:r>
        <w:rPr>
          <w:rFonts w:hint="eastAsia" w:ascii="宋体" w:hAnsi="宋体" w:cs="宋体"/>
          <w:b/>
          <w:color w:val="auto"/>
          <w:spacing w:val="-6"/>
          <w:sz w:val="21"/>
          <w:szCs w:val="21"/>
          <w:highlight w:val="none"/>
          <w:lang w:bidi="ar"/>
        </w:rPr>
        <w:t>第十条：不可抗力事件处理</w:t>
      </w:r>
    </w:p>
    <w:p>
      <w:pPr>
        <w:snapToGrid w:val="0"/>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lang w:bidi="ar"/>
        </w:rPr>
        <w:t>1. 在合同有效期内，任何一方因不可抗力事件导致不能履行合同，则合同履行期可延长，其延长期与不可抗力影响期相同。</w:t>
      </w:r>
    </w:p>
    <w:p>
      <w:pPr>
        <w:snapToGrid w:val="0"/>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lang w:bidi="ar"/>
        </w:rPr>
        <w:t>2. 不可抗力事件发生后，应立即通知对方，并寄送有关权威机构出具的证明。</w:t>
      </w:r>
    </w:p>
    <w:p>
      <w:pPr>
        <w:snapToGrid w:val="0"/>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lang w:bidi="ar"/>
        </w:rPr>
        <w:t>3. 不可抗力事件延续120天以上，双方应通过友好协商，确定是否继续履行合同。</w:t>
      </w:r>
    </w:p>
    <w:p>
      <w:pPr>
        <w:snapToGrid w:val="0"/>
        <w:spacing w:line="288" w:lineRule="auto"/>
        <w:ind w:right="-686" w:rightChars="-245"/>
        <w:rPr>
          <w:rFonts w:ascii="宋体" w:hAnsi="宋体"/>
          <w:b/>
          <w:color w:val="auto"/>
          <w:spacing w:val="-6"/>
          <w:sz w:val="21"/>
          <w:szCs w:val="21"/>
          <w:highlight w:val="none"/>
        </w:rPr>
      </w:pPr>
      <w:r>
        <w:rPr>
          <w:rFonts w:hint="eastAsia" w:ascii="宋体" w:hAnsi="宋体" w:cs="宋体"/>
          <w:b/>
          <w:color w:val="auto"/>
          <w:spacing w:val="-6"/>
          <w:sz w:val="21"/>
          <w:szCs w:val="21"/>
          <w:highlight w:val="none"/>
          <w:lang w:bidi="ar"/>
        </w:rPr>
        <w:t>第十一条：争议解决</w:t>
      </w:r>
    </w:p>
    <w:p>
      <w:pPr>
        <w:snapToGrid w:val="0"/>
        <w:spacing w:line="288" w:lineRule="auto"/>
        <w:ind w:right="31" w:rightChars="11" w:firstLine="396" w:firstLineChars="200"/>
        <w:rPr>
          <w:rFonts w:ascii="宋体" w:hAnsi="宋体"/>
          <w:color w:val="auto"/>
          <w:spacing w:val="-6"/>
          <w:sz w:val="21"/>
          <w:szCs w:val="21"/>
          <w:highlight w:val="none"/>
        </w:rPr>
      </w:pPr>
      <w:r>
        <w:rPr>
          <w:rFonts w:hint="eastAsia" w:ascii="宋体" w:hAnsi="宋体" w:cs="宋体"/>
          <w:color w:val="auto"/>
          <w:spacing w:val="-6"/>
          <w:sz w:val="21"/>
          <w:szCs w:val="21"/>
          <w:highlight w:val="none"/>
          <w:lang w:bidi="ar"/>
        </w:rPr>
        <w:t>本合同未尽事宜由三方协商解决，如协商不成，三方同意将本合同引起的争议提交杭州仲裁委员会仲裁解决，仲裁为终局。</w:t>
      </w:r>
    </w:p>
    <w:p>
      <w:pPr>
        <w:snapToGrid w:val="0"/>
        <w:spacing w:line="288" w:lineRule="auto"/>
        <w:ind w:right="-686" w:rightChars="-245"/>
        <w:rPr>
          <w:rFonts w:ascii="宋体" w:hAnsi="宋体"/>
          <w:b/>
          <w:color w:val="auto"/>
          <w:spacing w:val="-6"/>
          <w:sz w:val="21"/>
          <w:szCs w:val="21"/>
          <w:highlight w:val="none"/>
        </w:rPr>
      </w:pPr>
      <w:r>
        <w:rPr>
          <w:rFonts w:hint="eastAsia" w:ascii="宋体" w:hAnsi="宋体" w:cs="宋体"/>
          <w:b/>
          <w:color w:val="auto"/>
          <w:spacing w:val="-6"/>
          <w:sz w:val="21"/>
          <w:szCs w:val="21"/>
          <w:highlight w:val="none"/>
          <w:lang w:bidi="ar"/>
        </w:rPr>
        <w:t>第十二条：合同生效</w:t>
      </w:r>
    </w:p>
    <w:p>
      <w:pPr>
        <w:numPr>
          <w:ilvl w:val="0"/>
          <w:numId w:val="6"/>
        </w:numPr>
        <w:snapToGrid w:val="0"/>
        <w:spacing w:line="288" w:lineRule="auto"/>
        <w:ind w:firstLine="396" w:firstLineChars="200"/>
        <w:rPr>
          <w:rFonts w:ascii="宋体" w:hAnsi="宋体"/>
          <w:color w:val="auto"/>
          <w:spacing w:val="-6"/>
          <w:sz w:val="21"/>
          <w:szCs w:val="21"/>
          <w:highlight w:val="none"/>
        </w:rPr>
      </w:pPr>
      <w:r>
        <w:rPr>
          <w:rFonts w:hint="eastAsia" w:ascii="宋体" w:hAnsi="宋体" w:cs="宋体"/>
          <w:color w:val="auto"/>
          <w:spacing w:val="-6"/>
          <w:sz w:val="21"/>
          <w:szCs w:val="21"/>
          <w:highlight w:val="none"/>
          <w:lang w:bidi="ar"/>
        </w:rPr>
        <w:t>合同经三方法定代表人或授权代表签字并加盖单位公章后生效。</w:t>
      </w:r>
    </w:p>
    <w:p>
      <w:pPr>
        <w:numPr>
          <w:ilvl w:val="0"/>
          <w:numId w:val="6"/>
        </w:numPr>
        <w:snapToGrid w:val="0"/>
        <w:spacing w:line="288" w:lineRule="auto"/>
        <w:ind w:firstLine="396" w:firstLineChars="200"/>
        <w:rPr>
          <w:rFonts w:ascii="宋体" w:hAnsi="宋体"/>
          <w:color w:val="auto"/>
          <w:spacing w:val="-6"/>
          <w:sz w:val="21"/>
          <w:szCs w:val="21"/>
          <w:highlight w:val="none"/>
        </w:rPr>
      </w:pPr>
      <w:r>
        <w:rPr>
          <w:rFonts w:hint="eastAsia" w:ascii="宋体" w:hAnsi="宋体" w:cs="宋体"/>
          <w:color w:val="auto"/>
          <w:spacing w:val="-6"/>
          <w:sz w:val="21"/>
          <w:szCs w:val="21"/>
          <w:highlight w:val="none"/>
          <w:lang w:bidi="ar"/>
        </w:rPr>
        <w:t>合同执行中涉及采购资金和采购内容修改或补充的，须经财政部门审批，并签书面补充协议报政府采购监督管理部门备案，方可作为主合同不可分割的一部分。</w:t>
      </w:r>
    </w:p>
    <w:p>
      <w:pPr>
        <w:numPr>
          <w:ilvl w:val="0"/>
          <w:numId w:val="6"/>
        </w:numPr>
        <w:snapToGrid w:val="0"/>
        <w:spacing w:line="288" w:lineRule="auto"/>
        <w:ind w:firstLine="396" w:firstLineChars="200"/>
        <w:rPr>
          <w:rFonts w:ascii="宋体" w:hAnsi="宋体"/>
          <w:color w:val="auto"/>
          <w:spacing w:val="-6"/>
          <w:sz w:val="21"/>
          <w:szCs w:val="21"/>
          <w:highlight w:val="none"/>
        </w:rPr>
      </w:pPr>
      <w:r>
        <w:rPr>
          <w:rFonts w:hint="eastAsia" w:ascii="宋体" w:hAnsi="宋体" w:cs="宋体"/>
          <w:color w:val="auto"/>
          <w:spacing w:val="-6"/>
          <w:sz w:val="21"/>
          <w:szCs w:val="21"/>
          <w:highlight w:val="none"/>
          <w:lang w:bidi="ar"/>
        </w:rPr>
        <w:t>本合同未尽事宜，遵照《合同法》有关条文执行。</w:t>
      </w:r>
    </w:p>
    <w:p>
      <w:pPr>
        <w:numPr>
          <w:ilvl w:val="0"/>
          <w:numId w:val="6"/>
        </w:numPr>
        <w:snapToGrid w:val="0"/>
        <w:spacing w:line="288" w:lineRule="auto"/>
        <w:ind w:firstLine="396" w:firstLineChars="200"/>
        <w:rPr>
          <w:rFonts w:ascii="宋体" w:hAnsi="宋体"/>
          <w:color w:val="auto"/>
          <w:spacing w:val="-6"/>
          <w:sz w:val="21"/>
          <w:szCs w:val="21"/>
          <w:highlight w:val="none"/>
        </w:rPr>
      </w:pPr>
      <w:r>
        <w:rPr>
          <w:rFonts w:hint="eastAsia" w:ascii="宋体" w:hAnsi="宋体" w:cs="宋体"/>
          <w:color w:val="auto"/>
          <w:spacing w:val="-6"/>
          <w:sz w:val="21"/>
          <w:szCs w:val="21"/>
          <w:highlight w:val="none"/>
          <w:lang w:bidi="ar"/>
        </w:rPr>
        <w:t>本合同一式五份，乙方、采购代理机构各执壹份，甲方执叁份。</w:t>
      </w:r>
    </w:p>
    <w:tbl>
      <w:tblPr>
        <w:tblStyle w:val="22"/>
        <w:tblW w:w="82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0"/>
        <w:gridCol w:w="3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432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color w:val="auto"/>
                <w:spacing w:val="-6"/>
                <w:sz w:val="21"/>
                <w:szCs w:val="21"/>
                <w:highlight w:val="none"/>
              </w:rPr>
            </w:pPr>
            <w:r>
              <w:rPr>
                <w:rFonts w:hint="eastAsia" w:ascii="宋体" w:hAnsi="宋体"/>
                <w:color w:val="auto"/>
                <w:spacing w:val="-6"/>
                <w:sz w:val="21"/>
                <w:szCs w:val="21"/>
                <w:highlight w:val="none"/>
                <w:lang w:bidi="ar"/>
              </w:rPr>
              <w:t>甲方（需方）：（公章）</w:t>
            </w:r>
          </w:p>
        </w:tc>
        <w:tc>
          <w:tcPr>
            <w:tcW w:w="3960"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color w:val="auto"/>
                <w:spacing w:val="-6"/>
                <w:sz w:val="21"/>
                <w:szCs w:val="21"/>
                <w:highlight w:val="none"/>
              </w:rPr>
            </w:pPr>
            <w:r>
              <w:rPr>
                <w:rFonts w:hint="eastAsia" w:ascii="宋体" w:hAnsi="宋体"/>
                <w:color w:val="auto"/>
                <w:spacing w:val="-6"/>
                <w:sz w:val="21"/>
                <w:szCs w:val="21"/>
                <w:highlight w:val="none"/>
                <w:lang w:bidi="ar"/>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432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color w:val="auto"/>
                <w:spacing w:val="-6"/>
                <w:sz w:val="21"/>
                <w:szCs w:val="21"/>
                <w:highlight w:val="none"/>
              </w:rPr>
            </w:pPr>
            <w:r>
              <w:rPr>
                <w:rFonts w:hint="eastAsia" w:ascii="宋体" w:hAnsi="宋体"/>
                <w:color w:val="auto"/>
                <w:spacing w:val="-6"/>
                <w:sz w:val="21"/>
                <w:szCs w:val="21"/>
                <w:highlight w:val="none"/>
                <w:lang w:bidi="ar"/>
              </w:rPr>
              <w:t>甲方代表：</w:t>
            </w:r>
          </w:p>
          <w:p>
            <w:pPr>
              <w:keepNext w:val="0"/>
              <w:keepLines w:val="0"/>
              <w:suppressLineNumbers w:val="0"/>
              <w:spacing w:before="0" w:beforeAutospacing="0" w:after="0" w:afterAutospacing="0" w:line="288" w:lineRule="auto"/>
              <w:ind w:left="0" w:right="0"/>
              <w:rPr>
                <w:rFonts w:hint="default" w:ascii="宋体" w:hAnsi="宋体"/>
                <w:color w:val="auto"/>
                <w:spacing w:val="-6"/>
                <w:sz w:val="21"/>
                <w:szCs w:val="21"/>
                <w:highlight w:val="none"/>
              </w:rPr>
            </w:pPr>
            <w:r>
              <w:rPr>
                <w:rFonts w:hint="eastAsia" w:ascii="宋体" w:hAnsi="宋体"/>
                <w:color w:val="auto"/>
                <w:spacing w:val="-6"/>
                <w:sz w:val="21"/>
                <w:szCs w:val="21"/>
                <w:highlight w:val="none"/>
                <w:lang w:bidi="ar"/>
              </w:rPr>
              <w:t>(签字）</w:t>
            </w:r>
          </w:p>
        </w:tc>
        <w:tc>
          <w:tcPr>
            <w:tcW w:w="3960"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color w:val="auto"/>
                <w:spacing w:val="-6"/>
                <w:sz w:val="21"/>
                <w:szCs w:val="21"/>
                <w:highlight w:val="none"/>
              </w:rPr>
            </w:pPr>
            <w:r>
              <w:rPr>
                <w:rFonts w:hint="eastAsia" w:ascii="宋体" w:hAnsi="宋体"/>
                <w:color w:val="auto"/>
                <w:spacing w:val="-6"/>
                <w:sz w:val="21"/>
                <w:szCs w:val="21"/>
                <w:highlight w:val="none"/>
                <w:lang w:bidi="ar"/>
              </w:rPr>
              <w:t>乙方代表：</w:t>
            </w:r>
          </w:p>
          <w:p>
            <w:pPr>
              <w:keepNext w:val="0"/>
              <w:keepLines w:val="0"/>
              <w:suppressLineNumbers w:val="0"/>
              <w:spacing w:before="0" w:beforeAutospacing="0" w:after="0" w:afterAutospacing="0" w:line="288" w:lineRule="auto"/>
              <w:ind w:left="0" w:right="0"/>
              <w:rPr>
                <w:rFonts w:hint="default" w:ascii="宋体" w:hAnsi="宋体"/>
                <w:color w:val="auto"/>
                <w:spacing w:val="-6"/>
                <w:sz w:val="21"/>
                <w:szCs w:val="21"/>
                <w:highlight w:val="none"/>
              </w:rPr>
            </w:pPr>
            <w:r>
              <w:rPr>
                <w:rFonts w:hint="eastAsia" w:ascii="宋体" w:hAnsi="宋体"/>
                <w:color w:val="auto"/>
                <w:spacing w:val="-6"/>
                <w:sz w:val="21"/>
                <w:szCs w:val="21"/>
                <w:highlight w:val="none"/>
                <w:lang w:bidi="ar"/>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color w:val="auto"/>
                <w:sz w:val="21"/>
                <w:szCs w:val="21"/>
                <w:highlight w:val="none"/>
              </w:rPr>
            </w:pPr>
            <w:r>
              <w:rPr>
                <w:rFonts w:hint="eastAsia" w:ascii="宋体" w:hAnsi="宋体"/>
                <w:color w:val="auto"/>
                <w:sz w:val="21"/>
                <w:szCs w:val="21"/>
                <w:highlight w:val="none"/>
                <w:lang w:bidi="ar"/>
              </w:rPr>
              <w:t>地址：杭州市下沙高教园区</w:t>
            </w:r>
          </w:p>
        </w:tc>
        <w:tc>
          <w:tcPr>
            <w:tcW w:w="3960"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color w:val="auto"/>
                <w:spacing w:val="-6"/>
                <w:sz w:val="21"/>
                <w:szCs w:val="21"/>
                <w:highlight w:val="none"/>
              </w:rPr>
            </w:pPr>
            <w:r>
              <w:rPr>
                <w:rFonts w:hint="eastAsia" w:ascii="宋体" w:hAnsi="宋体"/>
                <w:color w:val="auto"/>
                <w:spacing w:val="-6"/>
                <w:sz w:val="21"/>
                <w:szCs w:val="21"/>
                <w:highlight w:val="none"/>
                <w:lang w:bidi="ar"/>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color w:val="auto"/>
                <w:sz w:val="21"/>
                <w:szCs w:val="21"/>
                <w:highlight w:val="none"/>
              </w:rPr>
            </w:pPr>
            <w:r>
              <w:rPr>
                <w:rFonts w:hint="eastAsia" w:ascii="宋体" w:hAnsi="宋体"/>
                <w:color w:val="auto"/>
                <w:sz w:val="21"/>
                <w:szCs w:val="21"/>
                <w:highlight w:val="none"/>
                <w:lang w:bidi="ar"/>
              </w:rPr>
              <w:t>邮编：310018</w:t>
            </w:r>
          </w:p>
        </w:tc>
        <w:tc>
          <w:tcPr>
            <w:tcW w:w="3960"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color w:val="auto"/>
                <w:spacing w:val="-6"/>
                <w:sz w:val="21"/>
                <w:szCs w:val="21"/>
                <w:highlight w:val="none"/>
              </w:rPr>
            </w:pPr>
            <w:r>
              <w:rPr>
                <w:rFonts w:hint="eastAsia" w:ascii="宋体" w:hAnsi="宋体"/>
                <w:color w:val="auto"/>
                <w:spacing w:val="-6"/>
                <w:sz w:val="21"/>
                <w:szCs w:val="21"/>
                <w:highlight w:val="none"/>
                <w:lang w:bidi="ar"/>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color w:val="auto"/>
                <w:sz w:val="21"/>
                <w:szCs w:val="21"/>
                <w:highlight w:val="none"/>
              </w:rPr>
            </w:pPr>
            <w:r>
              <w:rPr>
                <w:rFonts w:hint="eastAsia" w:ascii="宋体" w:hAnsi="宋体"/>
                <w:color w:val="auto"/>
                <w:sz w:val="21"/>
                <w:szCs w:val="21"/>
                <w:highlight w:val="none"/>
                <w:lang w:bidi="ar"/>
              </w:rPr>
              <w:t>电话：86878697</w:t>
            </w:r>
          </w:p>
        </w:tc>
        <w:tc>
          <w:tcPr>
            <w:tcW w:w="3960"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color w:val="auto"/>
                <w:spacing w:val="-6"/>
                <w:sz w:val="21"/>
                <w:szCs w:val="21"/>
                <w:highlight w:val="none"/>
              </w:rPr>
            </w:pPr>
            <w:r>
              <w:rPr>
                <w:rFonts w:hint="eastAsia" w:ascii="宋体" w:hAnsi="宋体"/>
                <w:color w:val="auto"/>
                <w:spacing w:val="-6"/>
                <w:sz w:val="21"/>
                <w:szCs w:val="21"/>
                <w:highlight w:val="none"/>
                <w:lang w:bidi="ar"/>
              </w:rPr>
              <w:t>电话：</w:t>
            </w:r>
          </w:p>
        </w:tc>
      </w:tr>
      <w:tr>
        <w:tblPrEx>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color w:val="auto"/>
                <w:sz w:val="21"/>
                <w:szCs w:val="21"/>
                <w:highlight w:val="none"/>
              </w:rPr>
            </w:pPr>
            <w:r>
              <w:rPr>
                <w:rFonts w:hint="eastAsia" w:ascii="宋体" w:hAnsi="宋体"/>
                <w:color w:val="auto"/>
                <w:sz w:val="21"/>
                <w:szCs w:val="21"/>
                <w:highlight w:val="none"/>
                <w:lang w:bidi="ar"/>
              </w:rPr>
              <w:t>传真：86878697</w:t>
            </w:r>
          </w:p>
        </w:tc>
        <w:tc>
          <w:tcPr>
            <w:tcW w:w="3960"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color w:val="auto"/>
                <w:spacing w:val="-6"/>
                <w:sz w:val="21"/>
                <w:szCs w:val="21"/>
                <w:highlight w:val="none"/>
              </w:rPr>
            </w:pPr>
            <w:r>
              <w:rPr>
                <w:rFonts w:hint="eastAsia" w:ascii="宋体" w:hAnsi="宋体"/>
                <w:color w:val="auto"/>
                <w:spacing w:val="-6"/>
                <w:sz w:val="21"/>
                <w:szCs w:val="21"/>
                <w:highlight w:val="none"/>
                <w:lang w:bidi="ar"/>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color w:val="auto"/>
                <w:sz w:val="21"/>
                <w:szCs w:val="21"/>
                <w:highlight w:val="none"/>
              </w:rPr>
            </w:pPr>
            <w:r>
              <w:rPr>
                <w:rFonts w:hint="eastAsia" w:ascii="宋体" w:hAnsi="宋体"/>
                <w:color w:val="auto"/>
                <w:sz w:val="21"/>
                <w:szCs w:val="21"/>
                <w:highlight w:val="none"/>
                <w:lang w:bidi="ar"/>
              </w:rPr>
              <w:t>开户银行：工行高新支行</w:t>
            </w:r>
          </w:p>
        </w:tc>
        <w:tc>
          <w:tcPr>
            <w:tcW w:w="3960"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color w:val="auto"/>
                <w:spacing w:val="-6"/>
                <w:sz w:val="21"/>
                <w:szCs w:val="21"/>
                <w:highlight w:val="none"/>
              </w:rPr>
            </w:pPr>
            <w:r>
              <w:rPr>
                <w:rFonts w:hint="eastAsia" w:ascii="宋体" w:hAnsi="宋体"/>
                <w:color w:val="auto"/>
                <w:spacing w:val="-6"/>
                <w:sz w:val="21"/>
                <w:szCs w:val="21"/>
                <w:highlight w:val="none"/>
                <w:lang w:bidi="ar"/>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color w:val="auto"/>
                <w:sz w:val="21"/>
                <w:szCs w:val="21"/>
                <w:highlight w:val="none"/>
              </w:rPr>
            </w:pPr>
            <w:r>
              <w:rPr>
                <w:rFonts w:hint="eastAsia" w:ascii="宋体" w:hAnsi="宋体"/>
                <w:color w:val="auto"/>
                <w:sz w:val="21"/>
                <w:szCs w:val="21"/>
                <w:highlight w:val="none"/>
                <w:lang w:bidi="ar"/>
              </w:rPr>
              <w:t>帐号：1202026209008806216</w:t>
            </w:r>
          </w:p>
        </w:tc>
        <w:tc>
          <w:tcPr>
            <w:tcW w:w="3960"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color w:val="auto"/>
                <w:spacing w:val="-6"/>
                <w:sz w:val="21"/>
                <w:szCs w:val="21"/>
                <w:highlight w:val="none"/>
              </w:rPr>
            </w:pPr>
            <w:r>
              <w:rPr>
                <w:rFonts w:hint="eastAsia" w:ascii="宋体" w:hAnsi="宋体"/>
                <w:color w:val="auto"/>
                <w:spacing w:val="-6"/>
                <w:sz w:val="21"/>
                <w:szCs w:val="21"/>
                <w:highlight w:val="none"/>
                <w:lang w:bidi="ar"/>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color w:val="auto"/>
                <w:spacing w:val="-6"/>
                <w:sz w:val="21"/>
                <w:szCs w:val="21"/>
                <w:highlight w:val="none"/>
              </w:rPr>
            </w:pPr>
            <w:r>
              <w:rPr>
                <w:rFonts w:hint="eastAsia" w:ascii="宋体" w:hAnsi="宋体"/>
                <w:color w:val="auto"/>
                <w:spacing w:val="-6"/>
                <w:sz w:val="21"/>
                <w:szCs w:val="21"/>
                <w:highlight w:val="none"/>
                <w:lang w:bidi="ar"/>
              </w:rPr>
              <w:t>签字日期：      年  月  日</w:t>
            </w:r>
          </w:p>
        </w:tc>
        <w:tc>
          <w:tcPr>
            <w:tcW w:w="3960"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color w:val="auto"/>
                <w:spacing w:val="-6"/>
                <w:sz w:val="21"/>
                <w:szCs w:val="21"/>
                <w:highlight w:val="none"/>
              </w:rPr>
            </w:pPr>
            <w:r>
              <w:rPr>
                <w:rFonts w:hint="eastAsia" w:ascii="宋体" w:hAnsi="宋体"/>
                <w:color w:val="auto"/>
                <w:spacing w:val="-6"/>
                <w:sz w:val="21"/>
                <w:szCs w:val="21"/>
                <w:highlight w:val="none"/>
                <w:lang w:bidi="ar"/>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27" w:hRule="atLeast"/>
        </w:trPr>
        <w:tc>
          <w:tcPr>
            <w:tcW w:w="4320" w:type="dxa"/>
            <w:vMerge w:val="restart"/>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288" w:lineRule="auto"/>
              <w:ind w:left="0" w:right="0"/>
              <w:rPr>
                <w:rFonts w:hint="default" w:ascii="宋体" w:hAnsi="宋体"/>
                <w:color w:val="auto"/>
                <w:spacing w:val="-6"/>
                <w:sz w:val="21"/>
                <w:szCs w:val="21"/>
                <w:highlight w:val="none"/>
              </w:rPr>
            </w:pPr>
            <w:r>
              <w:rPr>
                <w:rFonts w:hint="eastAsia" w:ascii="宋体" w:hAnsi="宋体"/>
                <w:color w:val="auto"/>
                <w:spacing w:val="-6"/>
                <w:sz w:val="21"/>
                <w:szCs w:val="21"/>
                <w:highlight w:val="none"/>
                <w:lang w:bidi="ar"/>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27" w:hRule="atLeast"/>
        </w:trPr>
        <w:tc>
          <w:tcPr>
            <w:tcW w:w="4320" w:type="dxa"/>
            <w:vMerge w:val="restart"/>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288" w:lineRule="auto"/>
              <w:ind w:left="0" w:right="0"/>
              <w:rPr>
                <w:rFonts w:hint="default" w:ascii="宋体" w:hAnsi="宋体"/>
                <w:color w:val="auto"/>
                <w:spacing w:val="-6"/>
                <w:sz w:val="21"/>
                <w:szCs w:val="21"/>
                <w:highlight w:val="none"/>
              </w:rPr>
            </w:pPr>
            <w:r>
              <w:rPr>
                <w:rFonts w:hint="eastAsia" w:ascii="宋体" w:hAnsi="宋体"/>
                <w:color w:val="auto"/>
                <w:spacing w:val="-6"/>
                <w:sz w:val="21"/>
                <w:szCs w:val="21"/>
                <w:highlight w:val="none"/>
                <w:lang w:bidi="ar"/>
              </w:rPr>
              <w:t>采购代理机构代表：</w:t>
            </w:r>
          </w:p>
          <w:p>
            <w:pPr>
              <w:keepNext w:val="0"/>
              <w:keepLines w:val="0"/>
              <w:suppressLineNumbers w:val="0"/>
              <w:snapToGrid w:val="0"/>
              <w:spacing w:before="0" w:beforeAutospacing="0" w:after="0" w:afterAutospacing="0" w:line="288" w:lineRule="auto"/>
              <w:ind w:left="0" w:right="0"/>
              <w:rPr>
                <w:rFonts w:hint="default" w:ascii="宋体" w:hAnsi="宋体"/>
                <w:color w:val="auto"/>
                <w:spacing w:val="-6"/>
                <w:sz w:val="21"/>
                <w:szCs w:val="21"/>
                <w:highlight w:val="none"/>
              </w:rPr>
            </w:pPr>
            <w:r>
              <w:rPr>
                <w:rFonts w:hint="eastAsia" w:ascii="宋体" w:hAnsi="宋体"/>
                <w:color w:val="auto"/>
                <w:spacing w:val="-6"/>
                <w:sz w:val="21"/>
                <w:szCs w:val="21"/>
                <w:highlight w:val="none"/>
                <w:lang w:bidi="ar"/>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27" w:hRule="atLeast"/>
        </w:trPr>
        <w:tc>
          <w:tcPr>
            <w:tcW w:w="4320" w:type="dxa"/>
            <w:tcBorders>
              <w:top w:val="nil"/>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rPr>
                <w:rFonts w:hint="default" w:ascii="宋体" w:hAnsi="宋体"/>
                <w:color w:val="auto"/>
                <w:spacing w:val="-6"/>
                <w:sz w:val="21"/>
                <w:szCs w:val="21"/>
                <w:highlight w:val="none"/>
              </w:rPr>
            </w:pPr>
            <w:r>
              <w:rPr>
                <w:rFonts w:hint="eastAsia" w:ascii="宋体" w:hAnsi="宋体"/>
                <w:color w:val="auto"/>
                <w:spacing w:val="-6"/>
                <w:sz w:val="21"/>
                <w:szCs w:val="21"/>
                <w:highlight w:val="none"/>
                <w:lang w:bidi="ar"/>
              </w:rPr>
              <w:t>签约时间：    年   月   日</w:t>
            </w:r>
          </w:p>
        </w:tc>
      </w:tr>
    </w:tbl>
    <w:p>
      <w:pPr>
        <w:spacing w:line="288" w:lineRule="auto"/>
        <w:ind w:firstLine="420"/>
        <w:rPr>
          <w:rFonts w:ascii="宋体" w:hAnsi="宋体" w:cs="宋体"/>
          <w:color w:val="auto"/>
          <w:sz w:val="21"/>
          <w:szCs w:val="21"/>
          <w:highlight w:val="none"/>
          <w:lang w:val="zh-CN"/>
        </w:rPr>
      </w:pPr>
    </w:p>
    <w:p>
      <w:pPr>
        <w:spacing w:line="288" w:lineRule="auto"/>
        <w:jc w:val="center"/>
        <w:outlineLvl w:val="0"/>
        <w:rPr>
          <w:color w:val="auto"/>
          <w:highlight w:val="none"/>
        </w:rPr>
      </w:pPr>
      <w:r>
        <w:rPr>
          <w:rFonts w:ascii="宋体" w:hAnsi="宋体" w:cs="宋体"/>
          <w:color w:val="auto"/>
          <w:sz w:val="21"/>
          <w:szCs w:val="21"/>
          <w:highlight w:val="none"/>
          <w:lang w:val="zh-CN"/>
        </w:rPr>
        <w:br w:type="page"/>
      </w:r>
      <w:r>
        <w:rPr>
          <w:rFonts w:ascii="宋体" w:hAnsi="宋体"/>
          <w:b/>
          <w:color w:val="auto"/>
          <w:sz w:val="32"/>
          <w:szCs w:val="32"/>
          <w:highlight w:val="none"/>
        </w:rPr>
        <w:t>第六章</w:t>
      </w:r>
      <w:r>
        <w:rPr>
          <w:rFonts w:hint="eastAsia" w:ascii="宋体" w:hAnsi="宋体"/>
          <w:b/>
          <w:color w:val="auto"/>
          <w:sz w:val="32"/>
          <w:szCs w:val="32"/>
          <w:highlight w:val="none"/>
        </w:rPr>
        <w:t xml:space="preserve">  </w:t>
      </w:r>
      <w:r>
        <w:rPr>
          <w:rFonts w:ascii="宋体" w:hAnsi="宋体"/>
          <w:b/>
          <w:color w:val="auto"/>
          <w:sz w:val="32"/>
          <w:szCs w:val="32"/>
          <w:highlight w:val="none"/>
        </w:rPr>
        <w:t>投标文件格式</w:t>
      </w:r>
    </w:p>
    <w:p>
      <w:pPr>
        <w:spacing w:line="360" w:lineRule="auto"/>
        <w:rPr>
          <w:rFonts w:ascii="宋体" w:hAnsi="宋体"/>
          <w:b/>
          <w:bCs/>
          <w:color w:val="auto"/>
          <w:spacing w:val="-6"/>
          <w:sz w:val="24"/>
          <w:highlight w:val="none"/>
        </w:rPr>
      </w:pPr>
    </w:p>
    <w:p>
      <w:pPr>
        <w:pStyle w:val="12"/>
        <w:spacing w:before="0" w:beforeLines="0" w:after="0" w:afterLines="0" w:line="360" w:lineRule="auto"/>
        <w:ind w:firstLine="398" w:firstLineChars="200"/>
        <w:jc w:val="center"/>
        <w:rPr>
          <w:rFonts w:hAnsi="宋体"/>
          <w:bCs/>
          <w:color w:val="auto"/>
          <w:spacing w:val="-6"/>
          <w:highlight w:val="none"/>
        </w:rPr>
      </w:pPr>
      <w:r>
        <w:rPr>
          <w:rFonts w:hint="eastAsia" w:hAnsi="宋体"/>
          <w:b/>
          <w:bCs/>
          <w:color w:val="auto"/>
          <w:spacing w:val="-6"/>
          <w:sz w:val="21"/>
          <w:szCs w:val="21"/>
          <w:highlight w:val="none"/>
        </w:rPr>
        <w:t>投标文件的编制应按照本项目：“第三章  投标人须知”</w:t>
      </w:r>
      <w:r>
        <w:rPr>
          <w:rFonts w:hAnsi="宋体"/>
          <w:b/>
          <w:color w:val="auto"/>
          <w:spacing w:val="-6"/>
          <w:sz w:val="21"/>
          <w:szCs w:val="21"/>
          <w:highlight w:val="none"/>
        </w:rPr>
        <w:t>三</w:t>
      </w:r>
      <w:r>
        <w:rPr>
          <w:rFonts w:hint="eastAsia" w:hAnsi="宋体"/>
          <w:b/>
          <w:color w:val="auto"/>
          <w:spacing w:val="-6"/>
          <w:sz w:val="21"/>
          <w:szCs w:val="21"/>
          <w:highlight w:val="none"/>
        </w:rPr>
        <w:t>、</w:t>
      </w:r>
      <w:r>
        <w:rPr>
          <w:rFonts w:hAnsi="宋体"/>
          <w:b/>
          <w:color w:val="auto"/>
          <w:spacing w:val="-6"/>
          <w:sz w:val="21"/>
          <w:szCs w:val="21"/>
          <w:highlight w:val="none"/>
        </w:rPr>
        <w:t>投标文件的编制</w:t>
      </w:r>
      <w:r>
        <w:rPr>
          <w:rFonts w:hint="eastAsia" w:hAnsi="宋体"/>
          <w:b/>
          <w:color w:val="auto"/>
          <w:spacing w:val="-6"/>
          <w:sz w:val="21"/>
          <w:szCs w:val="21"/>
          <w:highlight w:val="none"/>
        </w:rPr>
        <w:t>的要求编制。</w:t>
      </w:r>
    </w:p>
    <w:p>
      <w:pPr>
        <w:spacing w:line="360" w:lineRule="auto"/>
        <w:outlineLvl w:val="1"/>
        <w:rPr>
          <w:rFonts w:ascii="宋体" w:hAnsi="宋体"/>
          <w:bCs/>
          <w:color w:val="auto"/>
          <w:spacing w:val="-6"/>
          <w:sz w:val="24"/>
          <w:highlight w:val="none"/>
        </w:rPr>
      </w:pPr>
    </w:p>
    <w:p>
      <w:pPr>
        <w:spacing w:line="360" w:lineRule="auto"/>
        <w:jc w:val="center"/>
        <w:rPr>
          <w:rFonts w:ascii="宋体" w:hAnsi="宋体"/>
          <w:b/>
          <w:bCs/>
          <w:color w:val="auto"/>
          <w:spacing w:val="-6"/>
          <w:sz w:val="24"/>
          <w:highlight w:val="none"/>
        </w:rPr>
      </w:pPr>
      <w:r>
        <w:rPr>
          <w:rFonts w:hint="eastAsia" w:ascii="宋体" w:hAnsi="宋体"/>
          <w:b/>
          <w:bCs/>
          <w:color w:val="auto"/>
          <w:spacing w:val="-6"/>
          <w:sz w:val="24"/>
          <w:highlight w:val="none"/>
        </w:rPr>
        <w:t>外层包装（封签）</w:t>
      </w:r>
    </w:p>
    <w:p>
      <w:pPr>
        <w:spacing w:line="360" w:lineRule="auto"/>
        <w:rPr>
          <w:rFonts w:ascii="宋体" w:hAnsi="宋体"/>
          <w:color w:val="auto"/>
          <w:spacing w:val="-6"/>
          <w:sz w:val="24"/>
          <w:highlight w:val="none"/>
        </w:rPr>
      </w:pPr>
    </w:p>
    <w:p>
      <w:pPr>
        <w:spacing w:line="360" w:lineRule="auto"/>
        <w:jc w:val="center"/>
        <w:rPr>
          <w:rFonts w:ascii="宋体" w:hAnsi="宋体"/>
          <w:bCs/>
          <w:color w:val="auto"/>
          <w:spacing w:val="-6"/>
          <w:sz w:val="24"/>
          <w:highlight w:val="none"/>
        </w:rPr>
      </w:pPr>
      <w:r>
        <w:rPr>
          <w:rFonts w:hint="eastAsia" w:ascii="宋体" w:hAnsi="宋体"/>
          <w:bCs/>
          <w:color w:val="auto"/>
          <w:spacing w:val="-6"/>
          <w:sz w:val="24"/>
          <w:highlight w:val="none"/>
          <w:u w:val="single"/>
        </w:rPr>
        <w:t xml:space="preserve">                    </w:t>
      </w:r>
      <w:r>
        <w:rPr>
          <w:rFonts w:hint="eastAsia" w:ascii="宋体" w:hAnsi="宋体"/>
          <w:bCs/>
          <w:color w:val="auto"/>
          <w:spacing w:val="-6"/>
          <w:sz w:val="24"/>
          <w:highlight w:val="none"/>
        </w:rPr>
        <w:t>（投标人名称）</w:t>
      </w:r>
    </w:p>
    <w:p>
      <w:pPr>
        <w:spacing w:line="360" w:lineRule="auto"/>
        <w:jc w:val="center"/>
        <w:rPr>
          <w:rFonts w:ascii="宋体" w:hAnsi="宋体"/>
          <w:b/>
          <w:bCs/>
          <w:color w:val="auto"/>
          <w:spacing w:val="-6"/>
          <w:sz w:val="24"/>
          <w:highlight w:val="none"/>
        </w:rPr>
      </w:pPr>
      <w:r>
        <w:rPr>
          <w:rFonts w:hint="eastAsia" w:ascii="宋体" w:hAnsi="宋体"/>
          <w:b/>
          <w:bCs/>
          <w:color w:val="auto"/>
          <w:spacing w:val="-6"/>
          <w:sz w:val="24"/>
          <w:highlight w:val="none"/>
        </w:rPr>
        <w:t>备 份 文 件</w:t>
      </w:r>
    </w:p>
    <w:p>
      <w:pPr>
        <w:spacing w:line="360" w:lineRule="auto"/>
        <w:rPr>
          <w:rFonts w:ascii="宋体" w:hAnsi="宋体"/>
          <w:bCs/>
          <w:color w:val="auto"/>
          <w:spacing w:val="-6"/>
          <w:sz w:val="24"/>
          <w:highlight w:val="none"/>
        </w:rPr>
      </w:pPr>
      <w:r>
        <w:rPr>
          <w:rFonts w:hint="eastAsia" w:ascii="宋体" w:hAnsi="宋体"/>
          <w:bCs/>
          <w:color w:val="auto"/>
          <w:spacing w:val="-6"/>
          <w:sz w:val="24"/>
          <w:highlight w:val="none"/>
        </w:rPr>
        <w:t>采 购 人：杭州电子科技大学</w:t>
      </w:r>
    </w:p>
    <w:p>
      <w:pPr>
        <w:spacing w:line="360" w:lineRule="auto"/>
        <w:rPr>
          <w:rFonts w:ascii="宋体" w:hAnsi="宋体"/>
          <w:bCs/>
          <w:color w:val="auto"/>
          <w:spacing w:val="-6"/>
          <w:sz w:val="24"/>
          <w:highlight w:val="none"/>
        </w:rPr>
      </w:pPr>
      <w:r>
        <w:rPr>
          <w:rFonts w:hint="eastAsia" w:ascii="宋体" w:hAnsi="宋体"/>
          <w:bCs/>
          <w:color w:val="auto"/>
          <w:spacing w:val="-6"/>
          <w:sz w:val="24"/>
          <w:highlight w:val="none"/>
        </w:rPr>
        <w:t>项目名称：协同创新中心高教仪器设备</w:t>
      </w:r>
    </w:p>
    <w:p>
      <w:pPr>
        <w:spacing w:line="360" w:lineRule="auto"/>
        <w:rPr>
          <w:rFonts w:ascii="宋体" w:hAnsi="宋体"/>
          <w:bCs/>
          <w:color w:val="auto"/>
          <w:spacing w:val="-6"/>
          <w:sz w:val="24"/>
          <w:highlight w:val="none"/>
        </w:rPr>
      </w:pPr>
      <w:r>
        <w:rPr>
          <w:rFonts w:hint="eastAsia" w:ascii="宋体" w:hAnsi="宋体"/>
          <w:bCs/>
          <w:color w:val="auto"/>
          <w:spacing w:val="-6"/>
          <w:sz w:val="24"/>
          <w:highlight w:val="none"/>
        </w:rPr>
        <w:t xml:space="preserve">项目编号：QSZB-Z(H)-B20132(GK) </w:t>
      </w:r>
    </w:p>
    <w:p>
      <w:pPr>
        <w:spacing w:line="360" w:lineRule="auto"/>
        <w:rPr>
          <w:rFonts w:ascii="宋体" w:hAnsi="宋体"/>
          <w:bCs/>
          <w:color w:val="auto"/>
          <w:spacing w:val="-6"/>
          <w:sz w:val="24"/>
          <w:highlight w:val="none"/>
        </w:rPr>
      </w:pPr>
      <w:r>
        <w:rPr>
          <w:rFonts w:hint="eastAsia" w:ascii="宋体" w:hAnsi="宋体"/>
          <w:bCs/>
          <w:color w:val="auto"/>
          <w:spacing w:val="-6"/>
          <w:sz w:val="24"/>
          <w:highlight w:val="none"/>
        </w:rPr>
        <w:t>投标文件名称：</w:t>
      </w:r>
    </w:p>
    <w:p>
      <w:pPr>
        <w:spacing w:line="360" w:lineRule="auto"/>
        <w:rPr>
          <w:rFonts w:ascii="宋体" w:hAnsi="宋体"/>
          <w:bCs/>
          <w:color w:val="auto"/>
          <w:spacing w:val="-6"/>
          <w:sz w:val="24"/>
          <w:highlight w:val="none"/>
        </w:rPr>
      </w:pPr>
      <w:r>
        <w:rPr>
          <w:rFonts w:hint="eastAsia" w:ascii="宋体" w:hAnsi="宋体"/>
          <w:bCs/>
          <w:color w:val="auto"/>
          <w:spacing w:val="-6"/>
          <w:sz w:val="24"/>
          <w:highlight w:val="none"/>
        </w:rPr>
        <w:t>投标人名称（盖章）：</w:t>
      </w:r>
    </w:p>
    <w:p>
      <w:pPr>
        <w:spacing w:line="360" w:lineRule="auto"/>
        <w:rPr>
          <w:rFonts w:ascii="宋体" w:hAnsi="宋体"/>
          <w:bCs/>
          <w:color w:val="auto"/>
          <w:spacing w:val="-6"/>
          <w:sz w:val="24"/>
          <w:highlight w:val="none"/>
        </w:rPr>
      </w:pPr>
      <w:r>
        <w:rPr>
          <w:rFonts w:hint="eastAsia" w:ascii="宋体" w:hAnsi="宋体"/>
          <w:bCs/>
          <w:color w:val="auto"/>
          <w:spacing w:val="-6"/>
          <w:sz w:val="24"/>
          <w:highlight w:val="none"/>
        </w:rPr>
        <w:t>投标人地址：</w:t>
      </w:r>
    </w:p>
    <w:p>
      <w:pPr>
        <w:spacing w:line="360" w:lineRule="auto"/>
        <w:rPr>
          <w:rFonts w:ascii="宋体" w:hAnsi="宋体"/>
          <w:bCs/>
          <w:color w:val="auto"/>
          <w:spacing w:val="-6"/>
          <w:sz w:val="24"/>
          <w:highlight w:val="none"/>
        </w:rPr>
      </w:pPr>
      <w:r>
        <w:rPr>
          <w:rFonts w:hint="eastAsia" w:ascii="宋体" w:hAnsi="宋体"/>
          <w:bCs/>
          <w:color w:val="auto"/>
          <w:spacing w:val="-6"/>
          <w:sz w:val="24"/>
          <w:highlight w:val="none"/>
        </w:rPr>
        <w:t>在  年  月  日  时  分之前不得启封</w:t>
      </w:r>
    </w:p>
    <w:p>
      <w:pPr>
        <w:spacing w:line="360" w:lineRule="auto"/>
        <w:rPr>
          <w:rFonts w:ascii="宋体" w:hAnsi="宋体"/>
          <w:bCs/>
          <w:color w:val="auto"/>
          <w:spacing w:val="-6"/>
          <w:sz w:val="24"/>
          <w:highlight w:val="none"/>
        </w:rPr>
      </w:pPr>
    </w:p>
    <w:p>
      <w:pPr>
        <w:spacing w:line="360" w:lineRule="auto"/>
        <w:rPr>
          <w:rFonts w:ascii="宋体" w:hAnsi="宋体"/>
          <w:bCs/>
          <w:color w:val="auto"/>
          <w:spacing w:val="-6"/>
          <w:sz w:val="24"/>
          <w:highlight w:val="none"/>
        </w:rPr>
      </w:pPr>
      <w:r>
        <w:rPr>
          <w:rFonts w:hint="eastAsia" w:ascii="宋体" w:hAnsi="宋体"/>
          <w:color w:val="auto"/>
          <w:spacing w:val="-6"/>
          <w:sz w:val="24"/>
          <w:highlight w:val="none"/>
        </w:rPr>
        <w:t>投标人代表签字</w:t>
      </w:r>
      <w:r>
        <w:rPr>
          <w:rFonts w:hint="eastAsia" w:ascii="宋体" w:hAnsi="宋体"/>
          <w:bCs/>
          <w:color w:val="auto"/>
          <w:spacing w:val="-6"/>
          <w:sz w:val="24"/>
          <w:highlight w:val="none"/>
        </w:rPr>
        <w:t>：</w:t>
      </w:r>
    </w:p>
    <w:p>
      <w:pPr>
        <w:spacing w:line="360" w:lineRule="auto"/>
        <w:rPr>
          <w:rFonts w:ascii="宋体" w:hAnsi="宋体"/>
          <w:bCs/>
          <w:color w:val="auto"/>
          <w:spacing w:val="-6"/>
          <w:sz w:val="24"/>
          <w:highlight w:val="none"/>
        </w:rPr>
      </w:pPr>
      <w:r>
        <w:rPr>
          <w:rFonts w:hint="eastAsia" w:ascii="宋体" w:hAnsi="宋体"/>
          <w:bCs/>
          <w:color w:val="auto"/>
          <w:spacing w:val="-6"/>
          <w:sz w:val="24"/>
          <w:highlight w:val="none"/>
        </w:rPr>
        <w:t xml:space="preserve">日期：  </w:t>
      </w:r>
      <w:r>
        <w:rPr>
          <w:rFonts w:ascii="宋体" w:hAnsi="宋体"/>
          <w:bCs/>
          <w:color w:val="auto"/>
          <w:spacing w:val="-6"/>
          <w:sz w:val="24"/>
          <w:highlight w:val="none"/>
        </w:rPr>
        <w:t xml:space="preserve">  </w:t>
      </w:r>
      <w:r>
        <w:rPr>
          <w:rFonts w:hint="eastAsia" w:ascii="宋体" w:hAnsi="宋体"/>
          <w:bCs/>
          <w:color w:val="auto"/>
          <w:spacing w:val="-6"/>
          <w:sz w:val="24"/>
          <w:highlight w:val="none"/>
        </w:rPr>
        <w:t>年  月  日</w:t>
      </w:r>
    </w:p>
    <w:p>
      <w:pPr>
        <w:spacing w:line="360" w:lineRule="auto"/>
        <w:outlineLvl w:val="1"/>
        <w:rPr>
          <w:rFonts w:ascii="宋体" w:hAnsi="宋体"/>
          <w:bCs/>
          <w:color w:val="auto"/>
          <w:spacing w:val="-6"/>
          <w:sz w:val="24"/>
          <w:highlight w:val="none"/>
        </w:rPr>
      </w:pPr>
    </w:p>
    <w:p>
      <w:pPr>
        <w:spacing w:line="360" w:lineRule="auto"/>
        <w:outlineLvl w:val="1"/>
        <w:rPr>
          <w:rFonts w:ascii="宋体" w:hAnsi="宋体"/>
          <w:color w:val="auto"/>
          <w:spacing w:val="-6"/>
          <w:sz w:val="24"/>
          <w:highlight w:val="none"/>
        </w:rPr>
      </w:pPr>
      <w:r>
        <w:rPr>
          <w:rFonts w:ascii="宋体" w:hAnsi="宋体"/>
          <w:bCs/>
          <w:color w:val="auto"/>
          <w:spacing w:val="-6"/>
          <w:sz w:val="24"/>
          <w:highlight w:val="none"/>
        </w:rPr>
        <w:br w:type="page"/>
      </w:r>
      <w:r>
        <w:rPr>
          <w:rFonts w:hint="eastAsia" w:ascii="宋体" w:hAnsi="宋体"/>
          <w:bCs/>
          <w:color w:val="auto"/>
          <w:spacing w:val="-6"/>
          <w:sz w:val="24"/>
          <w:highlight w:val="none"/>
        </w:rPr>
        <w:t>资格</w:t>
      </w:r>
      <w:r>
        <w:rPr>
          <w:rFonts w:ascii="宋体" w:hAnsi="宋体"/>
          <w:bCs/>
          <w:color w:val="auto"/>
          <w:spacing w:val="-6"/>
          <w:sz w:val="24"/>
          <w:highlight w:val="none"/>
        </w:rPr>
        <w:t>文件</w:t>
      </w:r>
      <w:r>
        <w:rPr>
          <w:rFonts w:hint="eastAsia" w:ascii="宋体" w:hAnsi="宋体"/>
          <w:color w:val="auto"/>
          <w:spacing w:val="-6"/>
          <w:sz w:val="24"/>
          <w:highlight w:val="none"/>
        </w:rPr>
        <w:t>封面</w:t>
      </w:r>
    </w:p>
    <w:p>
      <w:pPr>
        <w:spacing w:line="360" w:lineRule="auto"/>
        <w:jc w:val="right"/>
        <w:rPr>
          <w:rFonts w:ascii="宋体" w:hAnsi="宋体"/>
          <w:color w:val="auto"/>
          <w:spacing w:val="-6"/>
          <w:sz w:val="24"/>
          <w:highlight w:val="none"/>
        </w:rPr>
      </w:pPr>
    </w:p>
    <w:p>
      <w:pPr>
        <w:spacing w:line="360" w:lineRule="auto"/>
        <w:rPr>
          <w:rFonts w:ascii="宋体" w:hAnsi="宋体"/>
          <w:color w:val="auto"/>
          <w:spacing w:val="-6"/>
          <w:sz w:val="24"/>
          <w:highlight w:val="none"/>
        </w:rPr>
      </w:pPr>
    </w:p>
    <w:p>
      <w:pPr>
        <w:spacing w:line="360" w:lineRule="auto"/>
        <w:jc w:val="center"/>
        <w:rPr>
          <w:rFonts w:ascii="宋体" w:hAnsi="宋体"/>
          <w:bCs/>
          <w:color w:val="auto"/>
          <w:spacing w:val="-6"/>
          <w:sz w:val="24"/>
          <w:highlight w:val="none"/>
        </w:rPr>
      </w:pPr>
      <w:r>
        <w:rPr>
          <w:rFonts w:hint="eastAsia" w:ascii="宋体" w:hAnsi="宋体"/>
          <w:bCs/>
          <w:color w:val="auto"/>
          <w:spacing w:val="-6"/>
          <w:sz w:val="24"/>
          <w:highlight w:val="none"/>
          <w:u w:val="single"/>
        </w:rPr>
        <w:t xml:space="preserve">                    </w:t>
      </w:r>
      <w:r>
        <w:rPr>
          <w:rFonts w:hint="eastAsia" w:ascii="宋体" w:hAnsi="宋体"/>
          <w:bCs/>
          <w:color w:val="auto"/>
          <w:spacing w:val="-6"/>
          <w:sz w:val="24"/>
          <w:highlight w:val="none"/>
        </w:rPr>
        <w:t>（投标人名称）</w:t>
      </w:r>
    </w:p>
    <w:p>
      <w:pPr>
        <w:spacing w:line="360" w:lineRule="auto"/>
        <w:jc w:val="center"/>
        <w:rPr>
          <w:rFonts w:ascii="宋体" w:hAnsi="宋体"/>
          <w:b/>
          <w:bCs/>
          <w:color w:val="auto"/>
          <w:spacing w:val="-6"/>
          <w:sz w:val="24"/>
          <w:highlight w:val="none"/>
        </w:rPr>
      </w:pPr>
      <w:r>
        <w:rPr>
          <w:rFonts w:hint="eastAsia" w:ascii="宋体" w:hAnsi="宋体"/>
          <w:b/>
          <w:bCs/>
          <w:color w:val="auto"/>
          <w:spacing w:val="-6"/>
          <w:sz w:val="24"/>
          <w:highlight w:val="none"/>
        </w:rPr>
        <w:t>资格文件</w:t>
      </w:r>
    </w:p>
    <w:p>
      <w:pPr>
        <w:spacing w:line="360" w:lineRule="auto"/>
        <w:rPr>
          <w:rFonts w:ascii="宋体" w:hAnsi="宋体"/>
          <w:bCs/>
          <w:color w:val="auto"/>
          <w:spacing w:val="-6"/>
          <w:sz w:val="24"/>
          <w:highlight w:val="none"/>
        </w:rPr>
      </w:pPr>
    </w:p>
    <w:p>
      <w:pPr>
        <w:spacing w:line="360" w:lineRule="auto"/>
        <w:rPr>
          <w:rFonts w:ascii="宋体" w:hAnsi="宋体"/>
          <w:bCs/>
          <w:color w:val="auto"/>
          <w:spacing w:val="-6"/>
          <w:sz w:val="24"/>
          <w:highlight w:val="none"/>
        </w:rPr>
      </w:pPr>
      <w:r>
        <w:rPr>
          <w:rFonts w:hint="eastAsia" w:ascii="宋体" w:hAnsi="宋体"/>
          <w:bCs/>
          <w:color w:val="auto"/>
          <w:spacing w:val="-6"/>
          <w:sz w:val="24"/>
          <w:highlight w:val="none"/>
        </w:rPr>
        <w:t>采 购 人：杭州电子科技大学</w:t>
      </w:r>
    </w:p>
    <w:p>
      <w:pPr>
        <w:spacing w:line="360" w:lineRule="auto"/>
        <w:rPr>
          <w:rFonts w:ascii="宋体" w:hAnsi="宋体"/>
          <w:bCs/>
          <w:color w:val="auto"/>
          <w:spacing w:val="-6"/>
          <w:sz w:val="24"/>
          <w:highlight w:val="none"/>
        </w:rPr>
      </w:pPr>
      <w:r>
        <w:rPr>
          <w:rFonts w:hint="eastAsia" w:ascii="宋体" w:hAnsi="宋体"/>
          <w:bCs/>
          <w:color w:val="auto"/>
          <w:spacing w:val="-6"/>
          <w:sz w:val="24"/>
          <w:highlight w:val="none"/>
        </w:rPr>
        <w:t>项目名称：协同创新中心高教仪器设备</w:t>
      </w:r>
    </w:p>
    <w:p>
      <w:pPr>
        <w:spacing w:line="360" w:lineRule="auto"/>
        <w:rPr>
          <w:rFonts w:ascii="宋体" w:hAnsi="宋体"/>
          <w:bCs/>
          <w:color w:val="auto"/>
          <w:spacing w:val="-6"/>
          <w:sz w:val="24"/>
          <w:highlight w:val="none"/>
        </w:rPr>
      </w:pPr>
      <w:r>
        <w:rPr>
          <w:rFonts w:hint="eastAsia" w:ascii="宋体" w:hAnsi="宋体"/>
          <w:bCs/>
          <w:color w:val="auto"/>
          <w:spacing w:val="-6"/>
          <w:sz w:val="24"/>
          <w:highlight w:val="none"/>
        </w:rPr>
        <w:t xml:space="preserve">项目编号：QSZB-Z(H)-B20132(GK) </w:t>
      </w:r>
    </w:p>
    <w:p>
      <w:pPr>
        <w:spacing w:line="360" w:lineRule="auto"/>
        <w:rPr>
          <w:rFonts w:ascii="宋体" w:hAnsi="宋体"/>
          <w:bCs/>
          <w:color w:val="auto"/>
          <w:spacing w:val="-6"/>
          <w:sz w:val="24"/>
          <w:highlight w:val="none"/>
        </w:rPr>
      </w:pPr>
      <w:r>
        <w:rPr>
          <w:rFonts w:hint="eastAsia" w:ascii="宋体" w:hAnsi="宋体"/>
          <w:bCs/>
          <w:color w:val="auto"/>
          <w:spacing w:val="-6"/>
          <w:sz w:val="24"/>
          <w:highlight w:val="none"/>
        </w:rPr>
        <w:t>投标人名称（盖章）：</w:t>
      </w:r>
    </w:p>
    <w:p>
      <w:pPr>
        <w:spacing w:line="360" w:lineRule="auto"/>
        <w:rPr>
          <w:rFonts w:ascii="宋体" w:hAnsi="宋体"/>
          <w:bCs/>
          <w:color w:val="auto"/>
          <w:spacing w:val="-6"/>
          <w:sz w:val="24"/>
          <w:highlight w:val="none"/>
        </w:rPr>
      </w:pPr>
      <w:r>
        <w:rPr>
          <w:rFonts w:hint="eastAsia" w:ascii="宋体" w:hAnsi="宋体"/>
          <w:bCs/>
          <w:color w:val="auto"/>
          <w:spacing w:val="-6"/>
          <w:sz w:val="24"/>
          <w:highlight w:val="none"/>
        </w:rPr>
        <w:t>投标人地址：</w:t>
      </w:r>
    </w:p>
    <w:p>
      <w:pPr>
        <w:spacing w:line="360" w:lineRule="auto"/>
        <w:rPr>
          <w:rFonts w:ascii="宋体" w:hAnsi="宋体"/>
          <w:bCs/>
          <w:color w:val="auto"/>
          <w:spacing w:val="-6"/>
          <w:sz w:val="24"/>
          <w:highlight w:val="none"/>
        </w:rPr>
      </w:pPr>
    </w:p>
    <w:p>
      <w:pPr>
        <w:spacing w:line="360" w:lineRule="auto"/>
        <w:rPr>
          <w:rFonts w:ascii="宋体" w:hAnsi="宋体"/>
          <w:bCs/>
          <w:color w:val="auto"/>
          <w:spacing w:val="-6"/>
          <w:sz w:val="24"/>
          <w:highlight w:val="none"/>
        </w:rPr>
      </w:pPr>
      <w:r>
        <w:rPr>
          <w:rFonts w:hint="eastAsia" w:ascii="宋体" w:hAnsi="宋体"/>
          <w:bCs/>
          <w:color w:val="auto"/>
          <w:spacing w:val="-6"/>
          <w:sz w:val="24"/>
          <w:highlight w:val="none"/>
        </w:rPr>
        <w:t>投标人代表签字：</w:t>
      </w:r>
    </w:p>
    <w:p>
      <w:pPr>
        <w:spacing w:line="360" w:lineRule="auto"/>
        <w:rPr>
          <w:rFonts w:ascii="宋体" w:hAnsi="宋体"/>
          <w:color w:val="auto"/>
          <w:spacing w:val="-6"/>
          <w:sz w:val="21"/>
          <w:szCs w:val="21"/>
          <w:highlight w:val="none"/>
        </w:rPr>
      </w:pPr>
      <w:r>
        <w:rPr>
          <w:rFonts w:hint="eastAsia" w:ascii="宋体" w:hAnsi="宋体"/>
          <w:bCs/>
          <w:color w:val="auto"/>
          <w:spacing w:val="-6"/>
          <w:sz w:val="24"/>
          <w:highlight w:val="none"/>
        </w:rPr>
        <w:t>日期：     年   月   日</w:t>
      </w:r>
    </w:p>
    <w:p>
      <w:pPr>
        <w:pStyle w:val="2"/>
        <w:spacing w:line="480" w:lineRule="auto"/>
        <w:ind w:firstLine="0"/>
        <w:jc w:val="center"/>
        <w:rPr>
          <w:rFonts w:hAnsi="宋体"/>
          <w:b/>
          <w:color w:val="auto"/>
          <w:spacing w:val="-6"/>
          <w:sz w:val="24"/>
          <w:highlight w:val="none"/>
        </w:rPr>
      </w:pPr>
      <w:r>
        <w:rPr>
          <w:rFonts w:hAnsi="宋体"/>
          <w:b/>
          <w:color w:val="auto"/>
          <w:spacing w:val="-6"/>
          <w:sz w:val="24"/>
          <w:highlight w:val="none"/>
        </w:rPr>
        <w:br w:type="page"/>
      </w:r>
    </w:p>
    <w:p>
      <w:pPr>
        <w:pStyle w:val="2"/>
        <w:spacing w:line="480" w:lineRule="auto"/>
        <w:ind w:firstLine="0"/>
        <w:jc w:val="center"/>
        <w:rPr>
          <w:rFonts w:hAnsi="宋体"/>
          <w:b/>
          <w:color w:val="auto"/>
          <w:spacing w:val="-6"/>
          <w:sz w:val="24"/>
          <w:highlight w:val="none"/>
        </w:rPr>
      </w:pPr>
    </w:p>
    <w:p>
      <w:pPr>
        <w:pStyle w:val="2"/>
        <w:spacing w:line="480" w:lineRule="auto"/>
        <w:ind w:firstLine="0"/>
        <w:jc w:val="center"/>
        <w:rPr>
          <w:rFonts w:hAnsi="宋体"/>
          <w:b/>
          <w:color w:val="auto"/>
          <w:spacing w:val="-6"/>
          <w:sz w:val="24"/>
          <w:highlight w:val="none"/>
        </w:rPr>
      </w:pPr>
    </w:p>
    <w:p>
      <w:pPr>
        <w:pStyle w:val="2"/>
        <w:spacing w:line="480" w:lineRule="auto"/>
        <w:ind w:firstLine="0"/>
        <w:jc w:val="center"/>
        <w:rPr>
          <w:rFonts w:hAnsi="宋体"/>
          <w:b/>
          <w:color w:val="auto"/>
          <w:spacing w:val="-6"/>
          <w:sz w:val="24"/>
          <w:highlight w:val="none"/>
        </w:rPr>
      </w:pPr>
    </w:p>
    <w:p>
      <w:pPr>
        <w:pStyle w:val="2"/>
        <w:spacing w:line="480" w:lineRule="auto"/>
        <w:ind w:firstLine="0"/>
        <w:jc w:val="center"/>
        <w:rPr>
          <w:rFonts w:hAnsi="宋体"/>
          <w:b/>
          <w:color w:val="auto"/>
          <w:spacing w:val="-6"/>
          <w:sz w:val="24"/>
          <w:highlight w:val="none"/>
        </w:rPr>
      </w:pPr>
    </w:p>
    <w:p>
      <w:pPr>
        <w:pStyle w:val="2"/>
        <w:spacing w:line="480" w:lineRule="auto"/>
        <w:ind w:firstLine="0"/>
        <w:jc w:val="center"/>
        <w:rPr>
          <w:rFonts w:hAnsi="宋体"/>
          <w:b/>
          <w:color w:val="auto"/>
          <w:spacing w:val="-6"/>
          <w:sz w:val="24"/>
          <w:highlight w:val="none"/>
        </w:rPr>
      </w:pPr>
    </w:p>
    <w:p>
      <w:pPr>
        <w:pStyle w:val="2"/>
        <w:spacing w:line="480" w:lineRule="auto"/>
        <w:ind w:firstLine="0"/>
        <w:jc w:val="center"/>
        <w:rPr>
          <w:rFonts w:hAnsi="宋体"/>
          <w:b/>
          <w:color w:val="auto"/>
          <w:spacing w:val="-6"/>
          <w:sz w:val="24"/>
          <w:highlight w:val="none"/>
        </w:rPr>
      </w:pPr>
    </w:p>
    <w:p>
      <w:pPr>
        <w:pStyle w:val="2"/>
        <w:spacing w:line="480" w:lineRule="auto"/>
        <w:ind w:firstLine="0"/>
        <w:jc w:val="center"/>
        <w:rPr>
          <w:rFonts w:hAnsi="宋体"/>
          <w:b/>
          <w:color w:val="auto"/>
          <w:spacing w:val="-6"/>
          <w:sz w:val="24"/>
          <w:highlight w:val="none"/>
        </w:rPr>
      </w:pPr>
    </w:p>
    <w:p>
      <w:pPr>
        <w:pStyle w:val="2"/>
        <w:spacing w:line="360" w:lineRule="auto"/>
        <w:ind w:firstLine="0"/>
        <w:jc w:val="center"/>
        <w:outlineLvl w:val="1"/>
        <w:rPr>
          <w:rFonts w:hAnsi="宋体"/>
          <w:b/>
          <w:color w:val="auto"/>
          <w:spacing w:val="-6"/>
          <w:sz w:val="84"/>
          <w:szCs w:val="84"/>
          <w:highlight w:val="none"/>
        </w:rPr>
      </w:pPr>
      <w:r>
        <w:rPr>
          <w:rFonts w:hint="eastAsia" w:hAnsi="宋体"/>
          <w:b/>
          <w:color w:val="auto"/>
          <w:spacing w:val="-6"/>
          <w:sz w:val="84"/>
          <w:szCs w:val="84"/>
          <w:highlight w:val="none"/>
        </w:rPr>
        <w:t>资格文件</w:t>
      </w:r>
    </w:p>
    <w:p>
      <w:pPr>
        <w:pStyle w:val="2"/>
        <w:spacing w:line="360" w:lineRule="auto"/>
        <w:ind w:firstLine="0"/>
        <w:jc w:val="center"/>
        <w:rPr>
          <w:rFonts w:hAnsi="宋体"/>
          <w:b/>
          <w:bCs/>
          <w:color w:val="auto"/>
          <w:spacing w:val="-6"/>
          <w:sz w:val="24"/>
          <w:szCs w:val="24"/>
          <w:highlight w:val="none"/>
        </w:rPr>
      </w:pPr>
      <w:r>
        <w:rPr>
          <w:rFonts w:hint="eastAsia" w:hAnsi="宋体"/>
          <w:b/>
          <w:bCs/>
          <w:color w:val="auto"/>
          <w:spacing w:val="-6"/>
          <w:sz w:val="24"/>
          <w:szCs w:val="24"/>
          <w:highlight w:val="none"/>
        </w:rPr>
        <w:t>资格审查要求的资格证明材料(均需加盖公章)</w:t>
      </w:r>
    </w:p>
    <w:p>
      <w:pPr>
        <w:pStyle w:val="2"/>
        <w:spacing w:line="360" w:lineRule="auto"/>
        <w:ind w:firstLine="0"/>
        <w:jc w:val="center"/>
        <w:outlineLvl w:val="2"/>
        <w:rPr>
          <w:rFonts w:hAnsi="宋体"/>
          <w:b/>
          <w:color w:val="auto"/>
          <w:spacing w:val="-6"/>
          <w:sz w:val="24"/>
          <w:szCs w:val="24"/>
          <w:highlight w:val="none"/>
        </w:rPr>
      </w:pPr>
      <w:r>
        <w:rPr>
          <w:rFonts w:hint="eastAsia" w:hAnsi="宋体"/>
          <w:b/>
          <w:bCs/>
          <w:color w:val="auto"/>
          <w:spacing w:val="-6"/>
          <w:sz w:val="24"/>
          <w:szCs w:val="24"/>
          <w:highlight w:val="none"/>
        </w:rPr>
        <w:br w:type="page"/>
      </w:r>
      <w:r>
        <w:rPr>
          <w:rFonts w:hint="eastAsia" w:hAnsi="宋体"/>
          <w:b/>
          <w:color w:val="auto"/>
          <w:spacing w:val="-6"/>
          <w:sz w:val="24"/>
          <w:szCs w:val="24"/>
          <w:highlight w:val="none"/>
        </w:rPr>
        <w:t>有效的法人或者其他组织的营业执照等证明文件（扫描件），自然人的身份证明</w:t>
      </w:r>
    </w:p>
    <w:p>
      <w:pPr>
        <w:pStyle w:val="2"/>
        <w:spacing w:line="360" w:lineRule="auto"/>
        <w:ind w:firstLine="0"/>
        <w:jc w:val="center"/>
        <w:rPr>
          <w:rFonts w:hAnsi="宋体"/>
          <w:b/>
          <w:color w:val="auto"/>
          <w:spacing w:val="-6"/>
          <w:sz w:val="24"/>
          <w:szCs w:val="24"/>
          <w:highlight w:val="none"/>
        </w:rPr>
      </w:pPr>
    </w:p>
    <w:p>
      <w:pPr>
        <w:pStyle w:val="2"/>
        <w:spacing w:line="360" w:lineRule="auto"/>
        <w:ind w:firstLine="0"/>
        <w:jc w:val="center"/>
        <w:rPr>
          <w:rFonts w:hAnsi="宋体"/>
          <w:b/>
          <w:color w:val="auto"/>
          <w:spacing w:val="-6"/>
          <w:sz w:val="24"/>
          <w:szCs w:val="24"/>
          <w:highlight w:val="none"/>
        </w:rPr>
      </w:pPr>
    </w:p>
    <w:p>
      <w:pPr>
        <w:pStyle w:val="2"/>
        <w:spacing w:line="360" w:lineRule="auto"/>
        <w:ind w:firstLine="0"/>
        <w:jc w:val="center"/>
        <w:rPr>
          <w:rFonts w:hAnsi="宋体"/>
          <w:b/>
          <w:color w:val="auto"/>
          <w:spacing w:val="-6"/>
          <w:sz w:val="24"/>
          <w:szCs w:val="24"/>
          <w:highlight w:val="none"/>
        </w:rPr>
      </w:pPr>
    </w:p>
    <w:p>
      <w:pPr>
        <w:spacing w:line="360" w:lineRule="auto"/>
        <w:rPr>
          <w:rFonts w:ascii="宋体" w:hAnsi="宋体"/>
          <w:b/>
          <w:color w:val="auto"/>
          <w:spacing w:val="-6"/>
          <w:sz w:val="21"/>
          <w:szCs w:val="21"/>
          <w:highlight w:val="none"/>
        </w:rPr>
      </w:pPr>
      <w:r>
        <w:rPr>
          <w:rFonts w:hint="eastAsia" w:ascii="宋体" w:hAnsi="宋体"/>
          <w:b/>
          <w:color w:val="auto"/>
          <w:spacing w:val="-6"/>
          <w:sz w:val="21"/>
          <w:szCs w:val="21"/>
          <w:highlight w:val="none"/>
        </w:rPr>
        <w:t>说明</w:t>
      </w:r>
      <w:r>
        <w:rPr>
          <w:rFonts w:ascii="宋体" w:hAnsi="宋体"/>
          <w:b/>
          <w:color w:val="auto"/>
          <w:spacing w:val="-6"/>
          <w:sz w:val="21"/>
          <w:szCs w:val="21"/>
          <w:highlight w:val="none"/>
        </w:rPr>
        <w:t>：</w:t>
      </w:r>
    </w:p>
    <w:p>
      <w:pPr>
        <w:pStyle w:val="17"/>
        <w:spacing w:line="360" w:lineRule="auto"/>
        <w:ind w:left="398" w:hanging="398"/>
        <w:rPr>
          <w:rFonts w:ascii="宋体" w:hAnsi="宋体"/>
          <w:b/>
          <w:color w:val="auto"/>
          <w:spacing w:val="-6"/>
          <w:sz w:val="21"/>
          <w:szCs w:val="21"/>
          <w:highlight w:val="none"/>
        </w:rPr>
      </w:pPr>
      <w:r>
        <w:rPr>
          <w:rFonts w:hint="eastAsia" w:ascii="宋体" w:hAnsi="宋体"/>
          <w:b/>
          <w:color w:val="auto"/>
          <w:spacing w:val="-6"/>
          <w:sz w:val="21"/>
          <w:szCs w:val="21"/>
          <w:highlight w:val="none"/>
        </w:rPr>
        <w:t>1</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如投标人是企业（包括合伙企业），提供在工商部门注册的有效“企业法人营业执照”或“营业执照”；</w:t>
      </w:r>
    </w:p>
    <w:p>
      <w:pPr>
        <w:pStyle w:val="17"/>
        <w:spacing w:line="360" w:lineRule="auto"/>
        <w:ind w:left="398" w:hanging="398"/>
        <w:rPr>
          <w:rFonts w:ascii="宋体" w:hAnsi="宋体"/>
          <w:b/>
          <w:color w:val="auto"/>
          <w:spacing w:val="-6"/>
          <w:sz w:val="21"/>
          <w:szCs w:val="21"/>
          <w:highlight w:val="none"/>
        </w:rPr>
      </w:pPr>
      <w:r>
        <w:rPr>
          <w:rFonts w:hint="eastAsia" w:ascii="宋体" w:hAnsi="宋体"/>
          <w:b/>
          <w:color w:val="auto"/>
          <w:spacing w:val="-6"/>
          <w:sz w:val="21"/>
          <w:szCs w:val="21"/>
          <w:highlight w:val="none"/>
        </w:rPr>
        <w:t>2</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如投标人是事业单位，提供有效的“事业单位法人证书”；</w:t>
      </w:r>
    </w:p>
    <w:p>
      <w:pPr>
        <w:pStyle w:val="17"/>
        <w:spacing w:line="360" w:lineRule="auto"/>
        <w:ind w:left="398" w:hanging="398"/>
        <w:rPr>
          <w:rFonts w:ascii="宋体" w:hAnsi="宋体"/>
          <w:b/>
          <w:color w:val="auto"/>
          <w:spacing w:val="-6"/>
          <w:sz w:val="21"/>
          <w:szCs w:val="21"/>
          <w:highlight w:val="none"/>
        </w:rPr>
      </w:pPr>
      <w:r>
        <w:rPr>
          <w:rFonts w:hint="eastAsia" w:ascii="宋体" w:hAnsi="宋体"/>
          <w:b/>
          <w:color w:val="auto"/>
          <w:spacing w:val="-6"/>
          <w:sz w:val="21"/>
          <w:szCs w:val="21"/>
          <w:highlight w:val="none"/>
        </w:rPr>
        <w:t>3</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如投标人是非企业专业服务机构的，提供执业许可证等证明文件；</w:t>
      </w:r>
    </w:p>
    <w:p>
      <w:pPr>
        <w:pStyle w:val="17"/>
        <w:spacing w:line="360" w:lineRule="auto"/>
        <w:ind w:left="398" w:hanging="398"/>
        <w:rPr>
          <w:rFonts w:ascii="宋体" w:hAnsi="宋体"/>
          <w:b/>
          <w:color w:val="auto"/>
          <w:spacing w:val="-6"/>
          <w:sz w:val="21"/>
          <w:szCs w:val="21"/>
          <w:highlight w:val="none"/>
        </w:rPr>
      </w:pPr>
      <w:r>
        <w:rPr>
          <w:rFonts w:hint="eastAsia" w:ascii="宋体" w:hAnsi="宋体"/>
          <w:b/>
          <w:color w:val="auto"/>
          <w:spacing w:val="-6"/>
          <w:sz w:val="21"/>
          <w:szCs w:val="21"/>
          <w:highlight w:val="none"/>
        </w:rPr>
        <w:t>4</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如投标人是个体工商户，提供有效的“个体工商户营业执照”；</w:t>
      </w:r>
    </w:p>
    <w:p>
      <w:pPr>
        <w:pStyle w:val="17"/>
        <w:spacing w:line="360" w:lineRule="auto"/>
        <w:ind w:left="398" w:hanging="398"/>
        <w:rPr>
          <w:rFonts w:ascii="宋体" w:hAnsi="宋体"/>
          <w:b/>
          <w:color w:val="auto"/>
          <w:spacing w:val="-6"/>
          <w:sz w:val="21"/>
          <w:szCs w:val="21"/>
          <w:highlight w:val="none"/>
        </w:rPr>
      </w:pPr>
      <w:r>
        <w:rPr>
          <w:rFonts w:hint="eastAsia" w:ascii="宋体" w:hAnsi="宋体"/>
          <w:b/>
          <w:color w:val="auto"/>
          <w:spacing w:val="-6"/>
          <w:sz w:val="21"/>
          <w:szCs w:val="21"/>
          <w:highlight w:val="none"/>
        </w:rPr>
        <w:t>5</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如投标人是自然人，提供有效的自然人身份证明。</w:t>
      </w:r>
    </w:p>
    <w:p>
      <w:pPr>
        <w:pStyle w:val="17"/>
        <w:spacing w:line="360" w:lineRule="auto"/>
        <w:ind w:left="0" w:firstLine="0" w:firstLineChars="0"/>
        <w:jc w:val="center"/>
        <w:outlineLvl w:val="2"/>
        <w:rPr>
          <w:rFonts w:hAnsi="宋体"/>
          <w:bCs/>
          <w:color w:val="auto"/>
          <w:spacing w:val="-6"/>
          <w:sz w:val="24"/>
          <w:highlight w:val="none"/>
        </w:rPr>
      </w:pPr>
      <w:r>
        <w:rPr>
          <w:rFonts w:hAnsi="宋体"/>
          <w:bCs/>
          <w:color w:val="auto"/>
          <w:spacing w:val="-6"/>
          <w:sz w:val="24"/>
          <w:highlight w:val="none"/>
        </w:rPr>
        <w:br w:type="page"/>
      </w:r>
      <w:r>
        <w:rPr>
          <w:rFonts w:hint="eastAsia" w:hAnsi="宋体"/>
          <w:b/>
          <w:color w:val="auto"/>
          <w:spacing w:val="-6"/>
          <w:sz w:val="24"/>
          <w:highlight w:val="none"/>
        </w:rPr>
        <w:t>2019年12月至今任意一月的财务状况报告（扫描件）或开标前三个月内出具的银行资信证明</w:t>
      </w:r>
      <w:r>
        <w:rPr>
          <w:rFonts w:hint="eastAsia" w:ascii="宋体" w:hAnsi="宋体" w:cs="宋体"/>
          <w:b/>
          <w:color w:val="auto"/>
          <w:spacing w:val="-6"/>
          <w:sz w:val="24"/>
          <w:highlight w:val="none"/>
        </w:rPr>
        <w:t>（扫描件）</w:t>
      </w:r>
    </w:p>
    <w:p>
      <w:pPr>
        <w:pStyle w:val="17"/>
        <w:spacing w:line="360" w:lineRule="auto"/>
        <w:ind w:left="0" w:firstLine="0" w:firstLineChars="0"/>
        <w:jc w:val="center"/>
        <w:rPr>
          <w:rFonts w:hAnsi="宋体"/>
          <w:bCs/>
          <w:color w:val="auto"/>
          <w:spacing w:val="-6"/>
          <w:sz w:val="24"/>
          <w:highlight w:val="none"/>
        </w:rPr>
      </w:pPr>
    </w:p>
    <w:p>
      <w:pPr>
        <w:pStyle w:val="17"/>
        <w:spacing w:line="360" w:lineRule="auto"/>
        <w:ind w:left="0" w:firstLine="0" w:firstLineChars="0"/>
        <w:jc w:val="center"/>
        <w:rPr>
          <w:rFonts w:hAnsi="宋体"/>
          <w:bCs/>
          <w:color w:val="auto"/>
          <w:spacing w:val="-6"/>
          <w:sz w:val="24"/>
          <w:highlight w:val="none"/>
        </w:rPr>
      </w:pPr>
    </w:p>
    <w:p>
      <w:pPr>
        <w:pStyle w:val="17"/>
        <w:spacing w:line="360" w:lineRule="auto"/>
        <w:ind w:left="0" w:firstLine="0" w:firstLineChars="0"/>
        <w:jc w:val="center"/>
        <w:rPr>
          <w:rFonts w:hAnsi="宋体"/>
          <w:bCs/>
          <w:color w:val="auto"/>
          <w:spacing w:val="-6"/>
          <w:sz w:val="24"/>
          <w:highlight w:val="none"/>
        </w:rPr>
      </w:pPr>
    </w:p>
    <w:p>
      <w:pPr>
        <w:spacing w:line="360" w:lineRule="auto"/>
        <w:rPr>
          <w:rFonts w:ascii="宋体" w:hAnsi="宋体"/>
          <w:b/>
          <w:bCs/>
          <w:color w:val="auto"/>
          <w:spacing w:val="-6"/>
          <w:sz w:val="21"/>
          <w:szCs w:val="21"/>
          <w:highlight w:val="none"/>
        </w:rPr>
      </w:pPr>
      <w:r>
        <w:rPr>
          <w:rFonts w:hint="eastAsia" w:ascii="宋体" w:hAnsi="宋体"/>
          <w:b/>
          <w:bCs/>
          <w:color w:val="auto"/>
          <w:spacing w:val="-6"/>
          <w:sz w:val="21"/>
          <w:szCs w:val="21"/>
          <w:highlight w:val="none"/>
        </w:rPr>
        <w:t>说明：</w:t>
      </w:r>
    </w:p>
    <w:p>
      <w:pPr>
        <w:spacing w:line="360" w:lineRule="auto"/>
        <w:rPr>
          <w:rFonts w:ascii="宋体" w:hAnsi="宋体"/>
          <w:b/>
          <w:bCs/>
          <w:color w:val="auto"/>
          <w:spacing w:val="-6"/>
          <w:sz w:val="21"/>
          <w:szCs w:val="21"/>
          <w:highlight w:val="none"/>
        </w:rPr>
      </w:pPr>
      <w:r>
        <w:rPr>
          <w:rFonts w:hint="eastAsia" w:ascii="宋体" w:hAnsi="宋体"/>
          <w:b/>
          <w:bCs/>
          <w:color w:val="auto"/>
          <w:spacing w:val="-6"/>
          <w:sz w:val="21"/>
          <w:szCs w:val="21"/>
          <w:highlight w:val="none"/>
        </w:rPr>
        <w:t>1.投标人是法人的，应提供财务状况报告，包括2019年12月至今任意一月的资产负债表及利润表或开标前三个月内其基本开户银行出具的资信证明；</w:t>
      </w:r>
    </w:p>
    <w:p>
      <w:pPr>
        <w:spacing w:line="360" w:lineRule="auto"/>
        <w:rPr>
          <w:rFonts w:ascii="宋体" w:hAnsi="宋体"/>
          <w:b/>
          <w:bCs/>
          <w:color w:val="auto"/>
          <w:spacing w:val="-6"/>
          <w:sz w:val="21"/>
          <w:szCs w:val="21"/>
          <w:highlight w:val="none"/>
        </w:rPr>
      </w:pPr>
      <w:r>
        <w:rPr>
          <w:rFonts w:hint="eastAsia" w:ascii="宋体" w:hAnsi="宋体"/>
          <w:b/>
          <w:bCs/>
          <w:color w:val="auto"/>
          <w:spacing w:val="-6"/>
          <w:sz w:val="21"/>
          <w:szCs w:val="21"/>
          <w:highlight w:val="none"/>
        </w:rPr>
        <w:t>2.部分其他组织和自然人没有财务状况报告的，可以提供银行出具的资信证明；</w:t>
      </w:r>
    </w:p>
    <w:p>
      <w:pPr>
        <w:spacing w:line="360" w:lineRule="auto"/>
        <w:rPr>
          <w:color w:val="auto"/>
          <w:highlight w:val="none"/>
        </w:rPr>
      </w:pPr>
      <w:r>
        <w:rPr>
          <w:rFonts w:hint="eastAsia" w:ascii="宋体" w:hAnsi="宋体"/>
          <w:b/>
          <w:bCs/>
          <w:color w:val="auto"/>
          <w:spacing w:val="-6"/>
          <w:sz w:val="21"/>
          <w:szCs w:val="21"/>
          <w:highlight w:val="none"/>
        </w:rPr>
        <w:t>3</w:t>
      </w:r>
      <w:r>
        <w:rPr>
          <w:rFonts w:ascii="宋体" w:hAnsi="宋体"/>
          <w:b/>
          <w:bCs/>
          <w:color w:val="auto"/>
          <w:spacing w:val="-6"/>
          <w:sz w:val="21"/>
          <w:szCs w:val="21"/>
          <w:highlight w:val="none"/>
        </w:rPr>
        <w:t>.</w:t>
      </w:r>
      <w:r>
        <w:rPr>
          <w:rFonts w:hint="eastAsia" w:ascii="宋体" w:hAnsi="宋体"/>
          <w:b/>
          <w:bCs/>
          <w:color w:val="auto"/>
          <w:spacing w:val="-6"/>
          <w:sz w:val="21"/>
          <w:szCs w:val="21"/>
          <w:highlight w:val="none"/>
        </w:rPr>
        <w:t>银行资信证明应能说明投标人与银行之间业务往来正常，企业信誉良好等，</w:t>
      </w:r>
      <w:r>
        <w:rPr>
          <w:rFonts w:hint="eastAsia" w:ascii="宋体" w:hAnsi="宋体"/>
          <w:b/>
          <w:color w:val="auto"/>
          <w:spacing w:val="-6"/>
          <w:sz w:val="21"/>
          <w:szCs w:val="21"/>
          <w:highlight w:val="none"/>
        </w:rPr>
        <w:t>银行出具的存款证明不能替代银行资信证明。</w:t>
      </w:r>
    </w:p>
    <w:p>
      <w:pPr>
        <w:spacing w:line="360" w:lineRule="auto"/>
        <w:jc w:val="center"/>
        <w:rPr>
          <w:rFonts w:ascii="Calibri" w:hAnsi="Calibri"/>
          <w:b/>
          <w:color w:val="auto"/>
          <w:sz w:val="24"/>
          <w:highlight w:val="none"/>
        </w:rPr>
      </w:pPr>
      <w:r>
        <w:rPr>
          <w:rFonts w:ascii="宋体" w:hAnsi="宋体"/>
          <w:bCs/>
          <w:color w:val="auto"/>
          <w:spacing w:val="-6"/>
          <w:sz w:val="21"/>
          <w:szCs w:val="21"/>
          <w:highlight w:val="none"/>
        </w:rPr>
        <w:br w:type="page"/>
      </w:r>
      <w:r>
        <w:rPr>
          <w:rFonts w:hint="eastAsia" w:ascii="Calibri" w:hAnsi="Calibri"/>
          <w:b/>
          <w:color w:val="auto"/>
          <w:sz w:val="24"/>
          <w:highlight w:val="none"/>
        </w:rPr>
        <w:t>资信证明</w:t>
      </w:r>
    </w:p>
    <w:p>
      <w:pPr>
        <w:wordWrap w:val="0"/>
        <w:spacing w:line="360" w:lineRule="auto"/>
        <w:rPr>
          <w:rFonts w:ascii="Calibri" w:hAnsi="Calibri"/>
          <w:color w:val="auto"/>
          <w:sz w:val="21"/>
          <w:szCs w:val="21"/>
          <w:highlight w:val="none"/>
        </w:rPr>
      </w:pPr>
      <w:r>
        <w:rPr>
          <w:rFonts w:hint="eastAsia" w:ascii="Calibri" w:hAnsi="Calibri"/>
          <w:color w:val="auto"/>
          <w:sz w:val="21"/>
          <w:szCs w:val="21"/>
          <w:highlight w:val="none"/>
          <w:u w:val="single"/>
        </w:rPr>
        <w:t xml:space="preserve">          </w:t>
      </w:r>
      <w:r>
        <w:rPr>
          <w:rFonts w:hint="eastAsia" w:ascii="Calibri" w:hAnsi="Calibri"/>
          <w:color w:val="auto"/>
          <w:sz w:val="21"/>
          <w:szCs w:val="21"/>
          <w:highlight w:val="none"/>
        </w:rPr>
        <w:t>：</w:t>
      </w:r>
    </w:p>
    <w:p>
      <w:pPr>
        <w:wordWrap w:val="0"/>
        <w:spacing w:line="360" w:lineRule="auto"/>
        <w:ind w:firstLine="420" w:firstLineChars="200"/>
        <w:rPr>
          <w:rFonts w:ascii="Calibri" w:hAnsi="Calibri"/>
          <w:color w:val="auto"/>
          <w:sz w:val="21"/>
          <w:szCs w:val="21"/>
          <w:highlight w:val="none"/>
        </w:rPr>
      </w:pPr>
      <w:r>
        <w:rPr>
          <w:rFonts w:hint="eastAsia" w:ascii="Calibri" w:hAnsi="Calibri"/>
          <w:color w:val="auto"/>
          <w:sz w:val="21"/>
          <w:szCs w:val="21"/>
          <w:highlight w:val="none"/>
        </w:rPr>
        <w:t>兹证明，</w:t>
      </w:r>
      <w:r>
        <w:rPr>
          <w:rFonts w:hint="eastAsia" w:ascii="Calibri" w:hAnsi="Calibri"/>
          <w:color w:val="auto"/>
          <w:sz w:val="21"/>
          <w:szCs w:val="21"/>
          <w:highlight w:val="none"/>
          <w:u w:val="single"/>
        </w:rPr>
        <w:t xml:space="preserve">          </w:t>
      </w:r>
      <w:r>
        <w:rPr>
          <w:rFonts w:hint="eastAsia" w:ascii="Calibri" w:hAnsi="Calibri"/>
          <w:color w:val="auto"/>
          <w:sz w:val="21"/>
          <w:szCs w:val="21"/>
          <w:highlight w:val="none"/>
        </w:rPr>
        <w:t>（单位名称）在我行辖属网点</w:t>
      </w:r>
      <w:r>
        <w:rPr>
          <w:rFonts w:hint="eastAsia" w:ascii="Calibri" w:hAnsi="Calibri"/>
          <w:color w:val="auto"/>
          <w:sz w:val="21"/>
          <w:szCs w:val="21"/>
          <w:highlight w:val="none"/>
          <w:u w:val="single"/>
        </w:rPr>
        <w:t xml:space="preserve">          </w:t>
      </w:r>
      <w:r>
        <w:rPr>
          <w:rFonts w:hint="eastAsia" w:ascii="Calibri" w:hAnsi="Calibri"/>
          <w:color w:val="auto"/>
          <w:sz w:val="21"/>
          <w:szCs w:val="21"/>
          <w:highlight w:val="none"/>
        </w:rPr>
        <w:t>支行开立基本账户，帐号：</w:t>
      </w:r>
      <w:r>
        <w:rPr>
          <w:rFonts w:hint="eastAsia" w:ascii="Calibri" w:hAnsi="Calibri"/>
          <w:color w:val="auto"/>
          <w:sz w:val="21"/>
          <w:szCs w:val="21"/>
          <w:highlight w:val="none"/>
          <w:u w:val="single"/>
        </w:rPr>
        <w:t xml:space="preserve">        </w:t>
      </w:r>
      <w:r>
        <w:rPr>
          <w:rFonts w:hint="eastAsia" w:ascii="Calibri" w:hAnsi="Calibri"/>
          <w:color w:val="auto"/>
          <w:sz w:val="21"/>
          <w:szCs w:val="21"/>
          <w:highlight w:val="none"/>
        </w:rPr>
        <w:t>。根据</w:t>
      </w:r>
      <w:r>
        <w:rPr>
          <w:rFonts w:hint="eastAsia" w:ascii="Calibri" w:hAnsi="Calibri"/>
          <w:color w:val="auto"/>
          <w:sz w:val="21"/>
          <w:szCs w:val="21"/>
          <w:highlight w:val="none"/>
          <w:u w:val="single"/>
        </w:rPr>
        <w:t xml:space="preserve">          </w:t>
      </w:r>
      <w:r>
        <w:rPr>
          <w:rFonts w:hint="eastAsia" w:ascii="Calibri" w:hAnsi="Calibri"/>
          <w:color w:val="auto"/>
          <w:sz w:val="21"/>
          <w:szCs w:val="21"/>
          <w:highlight w:val="none"/>
        </w:rPr>
        <w:t>（单位名称）委托，我行对</w:t>
      </w:r>
      <w:r>
        <w:rPr>
          <w:rFonts w:hint="eastAsia" w:ascii="Calibri" w:hAnsi="Calibri"/>
          <w:color w:val="auto"/>
          <w:sz w:val="21"/>
          <w:szCs w:val="21"/>
          <w:highlight w:val="none"/>
          <w:u w:val="single"/>
        </w:rPr>
        <w:t xml:space="preserve">          </w:t>
      </w:r>
      <w:r>
        <w:rPr>
          <w:rFonts w:hint="eastAsia" w:ascii="Calibri" w:hAnsi="Calibri"/>
          <w:color w:val="auto"/>
          <w:sz w:val="21"/>
          <w:szCs w:val="21"/>
          <w:highlight w:val="none"/>
        </w:rPr>
        <w:t>（单位名称）在我行的结算记录开立本证明书，供</w:t>
      </w:r>
      <w:r>
        <w:rPr>
          <w:rFonts w:hint="eastAsia" w:ascii="Calibri" w:hAnsi="Calibri"/>
          <w:color w:val="auto"/>
          <w:sz w:val="21"/>
          <w:szCs w:val="21"/>
          <w:highlight w:val="none"/>
          <w:u w:val="single"/>
        </w:rPr>
        <w:t xml:space="preserve">          </w:t>
      </w:r>
      <w:r>
        <w:rPr>
          <w:rFonts w:hint="eastAsia" w:ascii="Calibri" w:hAnsi="Calibri"/>
          <w:color w:val="auto"/>
          <w:sz w:val="21"/>
          <w:szCs w:val="21"/>
          <w:highlight w:val="none"/>
        </w:rPr>
        <w:t>单位名称）参加</w:t>
      </w:r>
      <w:r>
        <w:rPr>
          <w:rFonts w:hint="eastAsia" w:ascii="Calibri" w:hAnsi="Calibri"/>
          <w:color w:val="auto"/>
          <w:sz w:val="21"/>
          <w:szCs w:val="21"/>
          <w:highlight w:val="none"/>
          <w:u w:val="single"/>
        </w:rPr>
        <w:t xml:space="preserve">          </w:t>
      </w:r>
      <w:r>
        <w:rPr>
          <w:rFonts w:hint="eastAsia" w:ascii="Calibri" w:hAnsi="Calibri"/>
          <w:color w:val="auto"/>
          <w:sz w:val="21"/>
          <w:szCs w:val="21"/>
          <w:highlight w:val="none"/>
        </w:rPr>
        <w:t>项目招标采购时使用。经确认，具体情况如下：</w:t>
      </w:r>
    </w:p>
    <w:p>
      <w:pPr>
        <w:wordWrap w:val="0"/>
        <w:spacing w:line="360" w:lineRule="auto"/>
        <w:ind w:firstLine="420" w:firstLineChars="200"/>
        <w:rPr>
          <w:rFonts w:ascii="Calibri" w:hAnsi="Calibri"/>
          <w:color w:val="auto"/>
          <w:sz w:val="21"/>
          <w:szCs w:val="21"/>
          <w:highlight w:val="none"/>
        </w:rPr>
      </w:pPr>
      <w:r>
        <w:rPr>
          <w:rFonts w:hint="eastAsia" w:ascii="Calibri" w:hAnsi="Calibri"/>
          <w:color w:val="auto"/>
          <w:sz w:val="21"/>
          <w:szCs w:val="21"/>
          <w:highlight w:val="none"/>
        </w:rPr>
        <w:t>自</w:t>
      </w:r>
      <w:r>
        <w:rPr>
          <w:rFonts w:hint="eastAsia" w:ascii="Calibri" w:hAnsi="Calibri"/>
          <w:color w:val="auto"/>
          <w:sz w:val="21"/>
          <w:szCs w:val="21"/>
          <w:highlight w:val="none"/>
          <w:u w:val="single"/>
        </w:rPr>
        <w:t xml:space="preserve">     </w:t>
      </w:r>
      <w:r>
        <w:rPr>
          <w:rFonts w:hint="eastAsia" w:ascii="Calibri" w:hAnsi="Calibri"/>
          <w:color w:val="auto"/>
          <w:sz w:val="21"/>
          <w:szCs w:val="21"/>
          <w:highlight w:val="none"/>
        </w:rPr>
        <w:t>年</w:t>
      </w:r>
      <w:r>
        <w:rPr>
          <w:rFonts w:hint="eastAsia" w:ascii="Calibri" w:hAnsi="Calibri"/>
          <w:color w:val="auto"/>
          <w:sz w:val="21"/>
          <w:szCs w:val="21"/>
          <w:highlight w:val="none"/>
          <w:u w:val="single"/>
        </w:rPr>
        <w:t xml:space="preserve">   </w:t>
      </w:r>
      <w:r>
        <w:rPr>
          <w:rFonts w:hint="eastAsia" w:ascii="Calibri" w:hAnsi="Calibri"/>
          <w:color w:val="auto"/>
          <w:sz w:val="21"/>
          <w:szCs w:val="21"/>
          <w:highlight w:val="none"/>
        </w:rPr>
        <w:t>月</w:t>
      </w:r>
      <w:r>
        <w:rPr>
          <w:rFonts w:hint="eastAsia" w:ascii="Calibri" w:hAnsi="Calibri"/>
          <w:color w:val="auto"/>
          <w:sz w:val="21"/>
          <w:szCs w:val="21"/>
          <w:highlight w:val="none"/>
          <w:u w:val="single"/>
        </w:rPr>
        <w:t xml:space="preserve">   </w:t>
      </w:r>
      <w:r>
        <w:rPr>
          <w:rFonts w:hint="eastAsia" w:ascii="Calibri" w:hAnsi="Calibri"/>
          <w:color w:val="auto"/>
          <w:sz w:val="21"/>
          <w:szCs w:val="21"/>
          <w:highlight w:val="none"/>
        </w:rPr>
        <w:t>日至</w:t>
      </w:r>
      <w:r>
        <w:rPr>
          <w:rFonts w:hint="eastAsia" w:ascii="Calibri" w:hAnsi="Calibri"/>
          <w:color w:val="auto"/>
          <w:sz w:val="21"/>
          <w:szCs w:val="21"/>
          <w:highlight w:val="none"/>
          <w:u w:val="single"/>
        </w:rPr>
        <w:t xml:space="preserve">     </w:t>
      </w:r>
      <w:r>
        <w:rPr>
          <w:rFonts w:hint="eastAsia" w:ascii="Calibri" w:hAnsi="Calibri"/>
          <w:color w:val="auto"/>
          <w:sz w:val="21"/>
          <w:szCs w:val="21"/>
          <w:highlight w:val="none"/>
        </w:rPr>
        <w:t>年</w:t>
      </w:r>
      <w:r>
        <w:rPr>
          <w:rFonts w:hint="eastAsia" w:ascii="Calibri" w:hAnsi="Calibri"/>
          <w:color w:val="auto"/>
          <w:sz w:val="21"/>
          <w:szCs w:val="21"/>
          <w:highlight w:val="none"/>
          <w:u w:val="single"/>
        </w:rPr>
        <w:t xml:space="preserve">   </w:t>
      </w:r>
      <w:r>
        <w:rPr>
          <w:rFonts w:hint="eastAsia" w:ascii="Calibri" w:hAnsi="Calibri"/>
          <w:color w:val="auto"/>
          <w:sz w:val="21"/>
          <w:szCs w:val="21"/>
          <w:highlight w:val="none"/>
        </w:rPr>
        <w:t>月</w:t>
      </w:r>
      <w:r>
        <w:rPr>
          <w:rFonts w:hint="eastAsia" w:ascii="Calibri" w:hAnsi="Calibri"/>
          <w:color w:val="auto"/>
          <w:sz w:val="21"/>
          <w:szCs w:val="21"/>
          <w:highlight w:val="none"/>
          <w:u w:val="single"/>
        </w:rPr>
        <w:t xml:space="preserve">   </w:t>
      </w:r>
      <w:r>
        <w:rPr>
          <w:rFonts w:hint="eastAsia" w:ascii="Calibri" w:hAnsi="Calibri"/>
          <w:color w:val="auto"/>
          <w:sz w:val="21"/>
          <w:szCs w:val="21"/>
          <w:highlight w:val="none"/>
        </w:rPr>
        <w:t>日（即该日我行营业终了结账时）止，</w:t>
      </w:r>
      <w:r>
        <w:rPr>
          <w:rFonts w:hint="eastAsia" w:ascii="Calibri" w:hAnsi="Calibri"/>
          <w:color w:val="auto"/>
          <w:sz w:val="24"/>
          <w:highlight w:val="none"/>
          <w:u w:val="single"/>
        </w:rPr>
        <w:t xml:space="preserve">          </w:t>
      </w:r>
      <w:r>
        <w:rPr>
          <w:rFonts w:hint="eastAsia" w:ascii="Calibri" w:hAnsi="Calibri"/>
          <w:color w:val="auto"/>
          <w:sz w:val="21"/>
          <w:szCs w:val="21"/>
          <w:highlight w:val="none"/>
        </w:rPr>
        <w:t>（单位名称）无违反我行结算制度规定的行为。</w:t>
      </w:r>
    </w:p>
    <w:p>
      <w:pPr>
        <w:wordWrap w:val="0"/>
        <w:spacing w:line="360" w:lineRule="auto"/>
        <w:ind w:firstLine="420" w:firstLineChars="200"/>
        <w:rPr>
          <w:rFonts w:ascii="Calibri" w:hAnsi="Calibri"/>
          <w:color w:val="auto"/>
          <w:sz w:val="21"/>
          <w:szCs w:val="21"/>
          <w:highlight w:val="none"/>
        </w:rPr>
      </w:pPr>
      <w:r>
        <w:rPr>
          <w:rFonts w:hint="eastAsia" w:ascii="Calibri" w:hAnsi="Calibri"/>
          <w:color w:val="auto"/>
          <w:sz w:val="21"/>
          <w:szCs w:val="21"/>
          <w:highlight w:val="none"/>
        </w:rPr>
        <w:t>仅此证明，下无正文。</w:t>
      </w:r>
    </w:p>
    <w:p>
      <w:pPr>
        <w:wordWrap w:val="0"/>
        <w:spacing w:line="360" w:lineRule="auto"/>
        <w:ind w:firstLine="420" w:firstLineChars="200"/>
        <w:rPr>
          <w:rFonts w:ascii="Calibri" w:hAnsi="Calibri"/>
          <w:color w:val="auto"/>
          <w:sz w:val="21"/>
          <w:szCs w:val="21"/>
          <w:highlight w:val="none"/>
        </w:rPr>
      </w:pPr>
    </w:p>
    <w:p>
      <w:pPr>
        <w:wordWrap w:val="0"/>
        <w:spacing w:line="360" w:lineRule="auto"/>
        <w:ind w:firstLine="420" w:firstLineChars="200"/>
        <w:rPr>
          <w:rFonts w:ascii="Calibri" w:hAnsi="Calibri"/>
          <w:color w:val="auto"/>
          <w:sz w:val="21"/>
          <w:szCs w:val="21"/>
          <w:highlight w:val="none"/>
        </w:rPr>
      </w:pPr>
    </w:p>
    <w:p>
      <w:pPr>
        <w:wordWrap w:val="0"/>
        <w:spacing w:line="360" w:lineRule="auto"/>
        <w:ind w:firstLine="420" w:firstLineChars="200"/>
        <w:jc w:val="right"/>
        <w:rPr>
          <w:rFonts w:ascii="Calibri" w:hAnsi="Calibri"/>
          <w:color w:val="auto"/>
          <w:sz w:val="21"/>
          <w:szCs w:val="21"/>
          <w:highlight w:val="none"/>
        </w:rPr>
      </w:pPr>
      <w:r>
        <w:rPr>
          <w:rFonts w:hint="eastAsia" w:ascii="Calibri" w:hAnsi="Calibri"/>
          <w:color w:val="auto"/>
          <w:sz w:val="21"/>
          <w:szCs w:val="21"/>
          <w:highlight w:val="none"/>
          <w:u w:val="single"/>
        </w:rPr>
        <w:t xml:space="preserve"> </w:t>
      </w:r>
      <w:r>
        <w:rPr>
          <w:rFonts w:ascii="Calibri" w:hAnsi="Calibri"/>
          <w:color w:val="auto"/>
          <w:sz w:val="21"/>
          <w:szCs w:val="21"/>
          <w:highlight w:val="none"/>
          <w:u w:val="single"/>
        </w:rPr>
        <w:t xml:space="preserve">       </w:t>
      </w:r>
      <w:r>
        <w:rPr>
          <w:rFonts w:hint="eastAsia" w:ascii="Calibri" w:hAnsi="Calibri"/>
          <w:color w:val="auto"/>
          <w:sz w:val="21"/>
          <w:szCs w:val="21"/>
          <w:highlight w:val="none"/>
          <w:u w:val="single"/>
        </w:rPr>
        <w:t xml:space="preserve">        </w:t>
      </w:r>
      <w:r>
        <w:rPr>
          <w:rFonts w:hint="eastAsia" w:ascii="Calibri" w:hAnsi="Calibri"/>
          <w:color w:val="auto"/>
          <w:sz w:val="21"/>
          <w:szCs w:val="21"/>
          <w:highlight w:val="none"/>
        </w:rPr>
        <w:t>（银行）</w:t>
      </w:r>
    </w:p>
    <w:p>
      <w:pPr>
        <w:wordWrap w:val="0"/>
        <w:spacing w:line="360" w:lineRule="auto"/>
        <w:ind w:firstLine="420" w:firstLineChars="200"/>
        <w:jc w:val="right"/>
        <w:rPr>
          <w:rFonts w:ascii="Calibri" w:hAnsi="Calibri"/>
          <w:color w:val="auto"/>
          <w:sz w:val="21"/>
          <w:szCs w:val="21"/>
          <w:highlight w:val="none"/>
        </w:rPr>
      </w:pPr>
      <w:r>
        <w:rPr>
          <w:rFonts w:hint="eastAsia" w:ascii="Calibri" w:hAnsi="Calibri"/>
          <w:color w:val="auto"/>
          <w:sz w:val="21"/>
          <w:szCs w:val="21"/>
          <w:highlight w:val="none"/>
          <w:u w:val="single"/>
        </w:rPr>
        <w:t xml:space="preserve"> </w:t>
      </w:r>
      <w:r>
        <w:rPr>
          <w:rFonts w:ascii="Calibri" w:hAnsi="Calibri"/>
          <w:color w:val="auto"/>
          <w:sz w:val="21"/>
          <w:szCs w:val="21"/>
          <w:highlight w:val="none"/>
          <w:u w:val="single"/>
        </w:rPr>
        <w:t xml:space="preserve">  </w:t>
      </w:r>
      <w:r>
        <w:rPr>
          <w:rFonts w:hint="eastAsia" w:ascii="Calibri" w:hAnsi="Calibri"/>
          <w:color w:val="auto"/>
          <w:sz w:val="21"/>
          <w:szCs w:val="21"/>
          <w:highlight w:val="none"/>
          <w:u w:val="single"/>
        </w:rPr>
        <w:t xml:space="preserve">  </w:t>
      </w:r>
      <w:r>
        <w:rPr>
          <w:rFonts w:hint="eastAsia" w:ascii="Calibri" w:hAnsi="Calibri"/>
          <w:color w:val="auto"/>
          <w:sz w:val="21"/>
          <w:szCs w:val="21"/>
          <w:highlight w:val="none"/>
        </w:rPr>
        <w:t>年</w:t>
      </w:r>
      <w:r>
        <w:rPr>
          <w:rFonts w:hint="eastAsia" w:ascii="Calibri" w:hAnsi="Calibri"/>
          <w:color w:val="auto"/>
          <w:sz w:val="21"/>
          <w:szCs w:val="21"/>
          <w:highlight w:val="none"/>
          <w:u w:val="single"/>
        </w:rPr>
        <w:t xml:space="preserve"> </w:t>
      </w:r>
      <w:r>
        <w:rPr>
          <w:rFonts w:ascii="Calibri" w:hAnsi="Calibri"/>
          <w:color w:val="auto"/>
          <w:sz w:val="21"/>
          <w:szCs w:val="21"/>
          <w:highlight w:val="none"/>
          <w:u w:val="single"/>
        </w:rPr>
        <w:t xml:space="preserve"> </w:t>
      </w:r>
      <w:r>
        <w:rPr>
          <w:rFonts w:hint="eastAsia" w:ascii="Calibri" w:hAnsi="Calibri"/>
          <w:color w:val="auto"/>
          <w:sz w:val="21"/>
          <w:szCs w:val="21"/>
          <w:highlight w:val="none"/>
          <w:u w:val="single"/>
        </w:rPr>
        <w:t xml:space="preserve"> </w:t>
      </w:r>
      <w:r>
        <w:rPr>
          <w:rFonts w:hint="eastAsia" w:ascii="Calibri" w:hAnsi="Calibri"/>
          <w:color w:val="auto"/>
          <w:sz w:val="21"/>
          <w:szCs w:val="21"/>
          <w:highlight w:val="none"/>
        </w:rPr>
        <w:t>月</w:t>
      </w:r>
      <w:r>
        <w:rPr>
          <w:rFonts w:hint="eastAsia" w:ascii="Calibri" w:hAnsi="Calibri"/>
          <w:color w:val="auto"/>
          <w:sz w:val="21"/>
          <w:szCs w:val="21"/>
          <w:highlight w:val="none"/>
          <w:u w:val="single"/>
        </w:rPr>
        <w:t xml:space="preserve"> </w:t>
      </w:r>
      <w:r>
        <w:rPr>
          <w:rFonts w:ascii="Calibri" w:hAnsi="Calibri"/>
          <w:color w:val="auto"/>
          <w:sz w:val="21"/>
          <w:szCs w:val="21"/>
          <w:highlight w:val="none"/>
          <w:u w:val="single"/>
        </w:rPr>
        <w:t xml:space="preserve"> </w:t>
      </w:r>
      <w:r>
        <w:rPr>
          <w:rFonts w:hint="eastAsia" w:ascii="Calibri" w:hAnsi="Calibri"/>
          <w:color w:val="auto"/>
          <w:sz w:val="21"/>
          <w:szCs w:val="21"/>
          <w:highlight w:val="none"/>
          <w:u w:val="single"/>
        </w:rPr>
        <w:t xml:space="preserve"> </w:t>
      </w:r>
      <w:r>
        <w:rPr>
          <w:rFonts w:hint="eastAsia" w:ascii="Calibri" w:hAnsi="Calibri"/>
          <w:color w:val="auto"/>
          <w:sz w:val="21"/>
          <w:szCs w:val="21"/>
          <w:highlight w:val="none"/>
        </w:rPr>
        <w:t>日</w:t>
      </w:r>
    </w:p>
    <w:p>
      <w:pPr>
        <w:spacing w:line="360" w:lineRule="auto"/>
        <w:jc w:val="left"/>
        <w:rPr>
          <w:rFonts w:ascii="Calibri" w:hAnsi="Calibri"/>
          <w:color w:val="auto"/>
          <w:sz w:val="21"/>
          <w:szCs w:val="21"/>
          <w:highlight w:val="none"/>
        </w:rPr>
      </w:pPr>
    </w:p>
    <w:p>
      <w:pPr>
        <w:spacing w:line="360" w:lineRule="auto"/>
        <w:jc w:val="left"/>
        <w:rPr>
          <w:rFonts w:ascii="Calibri" w:hAnsi="Calibri"/>
          <w:color w:val="auto"/>
          <w:sz w:val="21"/>
          <w:szCs w:val="21"/>
          <w:highlight w:val="none"/>
        </w:rPr>
      </w:pPr>
    </w:p>
    <w:p>
      <w:pPr>
        <w:spacing w:line="360" w:lineRule="auto"/>
        <w:jc w:val="left"/>
        <w:rPr>
          <w:rFonts w:ascii="Calibri" w:hAnsi="Calibri"/>
          <w:color w:val="auto"/>
          <w:sz w:val="21"/>
          <w:szCs w:val="21"/>
          <w:highlight w:val="none"/>
        </w:rPr>
      </w:pPr>
    </w:p>
    <w:p>
      <w:pPr>
        <w:spacing w:line="360" w:lineRule="auto"/>
        <w:rPr>
          <w:rFonts w:ascii="宋体" w:hAnsi="宋体"/>
          <w:b/>
          <w:bCs/>
          <w:color w:val="auto"/>
          <w:spacing w:val="-6"/>
          <w:sz w:val="21"/>
          <w:szCs w:val="21"/>
          <w:highlight w:val="none"/>
        </w:rPr>
      </w:pPr>
      <w:r>
        <w:rPr>
          <w:rFonts w:hint="eastAsia" w:ascii="宋体" w:hAnsi="宋体"/>
          <w:b/>
          <w:bCs/>
          <w:color w:val="auto"/>
          <w:spacing w:val="-6"/>
          <w:sz w:val="21"/>
          <w:szCs w:val="21"/>
          <w:highlight w:val="none"/>
        </w:rPr>
        <w:t>说明：本“资信证明”内容与格式仅供参考，各银行可根据自身制度进行修改，但应满足本招标文件中对“资信证明”的要求。</w:t>
      </w:r>
    </w:p>
    <w:p>
      <w:pPr>
        <w:pStyle w:val="17"/>
        <w:spacing w:line="360" w:lineRule="auto"/>
        <w:ind w:left="0" w:firstLine="0" w:firstLineChars="0"/>
        <w:jc w:val="center"/>
        <w:outlineLvl w:val="2"/>
        <w:rPr>
          <w:rFonts w:ascii="宋体" w:hAnsi="宋体"/>
          <w:b/>
          <w:color w:val="auto"/>
          <w:spacing w:val="-6"/>
          <w:sz w:val="24"/>
          <w:highlight w:val="none"/>
        </w:rPr>
      </w:pPr>
      <w:r>
        <w:rPr>
          <w:rFonts w:ascii="宋体" w:hAnsi="宋体"/>
          <w:bCs/>
          <w:color w:val="auto"/>
          <w:spacing w:val="-6"/>
          <w:sz w:val="24"/>
          <w:highlight w:val="none"/>
        </w:rPr>
        <w:br w:type="page"/>
      </w:r>
      <w:r>
        <w:rPr>
          <w:rFonts w:hint="eastAsia" w:ascii="宋体" w:hAnsi="宋体"/>
          <w:b/>
          <w:color w:val="auto"/>
          <w:spacing w:val="-6"/>
          <w:sz w:val="24"/>
          <w:highlight w:val="none"/>
        </w:rPr>
        <w:t>2019年12月至今任意一月依法缴纳税收的证明材料</w:t>
      </w:r>
    </w:p>
    <w:p>
      <w:pPr>
        <w:pStyle w:val="17"/>
        <w:spacing w:line="360" w:lineRule="auto"/>
        <w:ind w:left="0" w:firstLine="0" w:firstLineChars="0"/>
        <w:jc w:val="center"/>
        <w:rPr>
          <w:rFonts w:hAnsi="宋体"/>
          <w:color w:val="auto"/>
          <w:spacing w:val="-6"/>
          <w:sz w:val="24"/>
          <w:highlight w:val="none"/>
        </w:rPr>
      </w:pPr>
      <w:r>
        <w:rPr>
          <w:rFonts w:hint="eastAsia" w:ascii="宋体" w:hAnsi="宋体"/>
          <w:b/>
          <w:color w:val="auto"/>
          <w:spacing w:val="-6"/>
          <w:sz w:val="21"/>
          <w:szCs w:val="21"/>
          <w:highlight w:val="none"/>
        </w:rPr>
        <w:t>（依法免税的投标人应提供相应文件证明其依法免税）</w:t>
      </w:r>
    </w:p>
    <w:p>
      <w:pPr>
        <w:pStyle w:val="17"/>
        <w:spacing w:line="360" w:lineRule="auto"/>
        <w:ind w:left="0" w:firstLine="0" w:firstLineChars="0"/>
        <w:jc w:val="center"/>
        <w:rPr>
          <w:rFonts w:hAnsi="宋体"/>
          <w:color w:val="auto"/>
          <w:spacing w:val="-6"/>
          <w:sz w:val="24"/>
          <w:highlight w:val="none"/>
        </w:rPr>
      </w:pPr>
    </w:p>
    <w:p>
      <w:pPr>
        <w:pStyle w:val="17"/>
        <w:spacing w:line="360" w:lineRule="auto"/>
        <w:ind w:left="0" w:firstLine="0" w:firstLineChars="0"/>
        <w:jc w:val="center"/>
        <w:rPr>
          <w:rFonts w:hAnsi="宋体"/>
          <w:color w:val="auto"/>
          <w:spacing w:val="-6"/>
          <w:sz w:val="24"/>
          <w:highlight w:val="none"/>
        </w:rPr>
      </w:pPr>
    </w:p>
    <w:p>
      <w:pPr>
        <w:pStyle w:val="17"/>
        <w:spacing w:line="360" w:lineRule="auto"/>
        <w:ind w:left="0" w:firstLine="0" w:firstLineChars="0"/>
        <w:jc w:val="center"/>
        <w:rPr>
          <w:rFonts w:hAnsi="宋体"/>
          <w:color w:val="auto"/>
          <w:spacing w:val="-6"/>
          <w:sz w:val="24"/>
          <w:highlight w:val="none"/>
        </w:rPr>
      </w:pPr>
    </w:p>
    <w:p>
      <w:pPr>
        <w:pStyle w:val="17"/>
        <w:spacing w:line="360" w:lineRule="auto"/>
        <w:ind w:left="398" w:hanging="398"/>
        <w:rPr>
          <w:rFonts w:ascii="宋体" w:hAnsi="宋体"/>
          <w:b/>
          <w:color w:val="auto"/>
          <w:spacing w:val="-6"/>
          <w:sz w:val="21"/>
          <w:szCs w:val="21"/>
          <w:highlight w:val="none"/>
        </w:rPr>
      </w:pPr>
      <w:r>
        <w:rPr>
          <w:rFonts w:hint="eastAsia" w:ascii="宋体" w:hAnsi="宋体"/>
          <w:b/>
          <w:color w:val="auto"/>
          <w:spacing w:val="-6"/>
          <w:sz w:val="21"/>
          <w:szCs w:val="21"/>
          <w:highlight w:val="none"/>
        </w:rPr>
        <w:t>说明：</w:t>
      </w:r>
    </w:p>
    <w:p>
      <w:pPr>
        <w:spacing w:line="360" w:lineRule="auto"/>
        <w:rPr>
          <w:rFonts w:ascii="宋体" w:hAnsi="宋体"/>
          <w:b/>
          <w:color w:val="auto"/>
          <w:spacing w:val="-6"/>
          <w:sz w:val="21"/>
          <w:szCs w:val="21"/>
          <w:highlight w:val="none"/>
        </w:rPr>
      </w:pPr>
      <w:r>
        <w:rPr>
          <w:rFonts w:hint="eastAsia" w:ascii="宋体" w:hAnsi="宋体"/>
          <w:b/>
          <w:color w:val="auto"/>
          <w:spacing w:val="-6"/>
          <w:sz w:val="21"/>
          <w:szCs w:val="21"/>
          <w:highlight w:val="none"/>
        </w:rPr>
        <w:t>1</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依法缴纳税收的证明材料指依法缴纳税收的凭据（完税证明或</w:t>
      </w:r>
      <w:r>
        <w:rPr>
          <w:rFonts w:ascii="宋体" w:hAnsi="宋体"/>
          <w:b/>
          <w:color w:val="auto"/>
          <w:spacing w:val="-6"/>
          <w:sz w:val="21"/>
          <w:szCs w:val="21"/>
          <w:highlight w:val="none"/>
        </w:rPr>
        <w:t>纳税证明</w:t>
      </w:r>
      <w:r>
        <w:rPr>
          <w:rFonts w:hint="eastAsia" w:ascii="宋体" w:hAnsi="宋体"/>
          <w:b/>
          <w:color w:val="auto"/>
          <w:spacing w:val="-6"/>
          <w:sz w:val="21"/>
          <w:szCs w:val="21"/>
          <w:highlight w:val="none"/>
        </w:rPr>
        <w:t>或银行电子缴税付款凭证等）；</w:t>
      </w:r>
    </w:p>
    <w:p>
      <w:pPr>
        <w:spacing w:line="360" w:lineRule="auto"/>
        <w:rPr>
          <w:rFonts w:ascii="宋体" w:hAnsi="宋体"/>
          <w:b/>
          <w:color w:val="auto"/>
          <w:spacing w:val="-6"/>
          <w:sz w:val="21"/>
          <w:szCs w:val="21"/>
          <w:highlight w:val="none"/>
        </w:rPr>
      </w:pPr>
      <w:r>
        <w:rPr>
          <w:rFonts w:hint="eastAsia" w:ascii="宋体" w:hAnsi="宋体"/>
          <w:b/>
          <w:color w:val="auto"/>
          <w:spacing w:val="-6"/>
          <w:sz w:val="21"/>
          <w:szCs w:val="21"/>
          <w:highlight w:val="none"/>
        </w:rPr>
        <w:t>2</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依法免税的投标人，应提供相应文件证明其依法免税；</w:t>
      </w:r>
    </w:p>
    <w:p>
      <w:pPr>
        <w:spacing w:line="360" w:lineRule="auto"/>
        <w:rPr>
          <w:rFonts w:ascii="宋体" w:hAnsi="宋体"/>
          <w:b/>
          <w:color w:val="auto"/>
          <w:spacing w:val="-6"/>
          <w:sz w:val="21"/>
          <w:szCs w:val="21"/>
          <w:highlight w:val="none"/>
        </w:rPr>
      </w:pPr>
      <w:r>
        <w:rPr>
          <w:rFonts w:hint="eastAsia" w:ascii="宋体" w:hAnsi="宋体"/>
          <w:b/>
          <w:color w:val="auto"/>
          <w:spacing w:val="-6"/>
          <w:sz w:val="21"/>
          <w:szCs w:val="21"/>
          <w:highlight w:val="none"/>
        </w:rPr>
        <w:t>3</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投标人因新注册成立等原因无法提供相关材料的，应在投标文件中提交如实的情况说明。</w:t>
      </w:r>
    </w:p>
    <w:p>
      <w:pPr>
        <w:pStyle w:val="2"/>
        <w:spacing w:line="360" w:lineRule="auto"/>
        <w:ind w:firstLine="0"/>
        <w:jc w:val="center"/>
        <w:outlineLvl w:val="2"/>
        <w:rPr>
          <w:rFonts w:hAnsi="宋体"/>
          <w:b/>
          <w:color w:val="auto"/>
          <w:spacing w:val="-6"/>
          <w:sz w:val="24"/>
          <w:highlight w:val="none"/>
        </w:rPr>
      </w:pPr>
      <w:r>
        <w:rPr>
          <w:rFonts w:hAnsi="宋体"/>
          <w:bCs/>
          <w:color w:val="auto"/>
          <w:spacing w:val="-6"/>
          <w:sz w:val="24"/>
          <w:highlight w:val="none"/>
        </w:rPr>
        <w:br w:type="page"/>
      </w:r>
      <w:r>
        <w:rPr>
          <w:rFonts w:hint="eastAsia" w:hAnsi="宋体"/>
          <w:b/>
          <w:color w:val="auto"/>
          <w:spacing w:val="-6"/>
          <w:sz w:val="24"/>
          <w:highlight w:val="none"/>
        </w:rPr>
        <w:t>2019年12月至今任意一月依法缴纳社会保障资金的证明材料</w:t>
      </w:r>
    </w:p>
    <w:p>
      <w:pPr>
        <w:pStyle w:val="2"/>
        <w:spacing w:line="360" w:lineRule="auto"/>
        <w:ind w:firstLine="0"/>
        <w:jc w:val="center"/>
        <w:rPr>
          <w:rFonts w:hAnsi="宋体"/>
          <w:color w:val="auto"/>
          <w:spacing w:val="-6"/>
          <w:sz w:val="24"/>
          <w:szCs w:val="24"/>
          <w:highlight w:val="none"/>
        </w:rPr>
      </w:pPr>
      <w:r>
        <w:rPr>
          <w:rFonts w:hint="eastAsia" w:hAnsi="宋体"/>
          <w:b/>
          <w:color w:val="auto"/>
          <w:spacing w:val="-6"/>
          <w:sz w:val="21"/>
          <w:szCs w:val="21"/>
          <w:highlight w:val="none"/>
        </w:rPr>
        <w:t>（依法不需要缴纳社会保障资金的投标人应提供相应文件证明其依法不需要缴纳社会保障资金）</w:t>
      </w:r>
    </w:p>
    <w:p>
      <w:pPr>
        <w:pStyle w:val="2"/>
        <w:spacing w:line="360" w:lineRule="auto"/>
        <w:ind w:firstLine="0"/>
        <w:jc w:val="center"/>
        <w:rPr>
          <w:rFonts w:hAnsi="宋体"/>
          <w:color w:val="auto"/>
          <w:spacing w:val="-6"/>
          <w:sz w:val="24"/>
          <w:szCs w:val="24"/>
          <w:highlight w:val="none"/>
        </w:rPr>
      </w:pPr>
    </w:p>
    <w:p>
      <w:pPr>
        <w:pStyle w:val="2"/>
        <w:spacing w:line="360" w:lineRule="auto"/>
        <w:ind w:firstLine="0"/>
        <w:jc w:val="center"/>
        <w:rPr>
          <w:rFonts w:hAnsi="宋体"/>
          <w:color w:val="auto"/>
          <w:spacing w:val="-6"/>
          <w:sz w:val="24"/>
          <w:szCs w:val="24"/>
          <w:highlight w:val="none"/>
        </w:rPr>
      </w:pPr>
    </w:p>
    <w:p>
      <w:pPr>
        <w:pStyle w:val="2"/>
        <w:spacing w:line="360" w:lineRule="auto"/>
        <w:ind w:firstLine="0"/>
        <w:jc w:val="center"/>
        <w:rPr>
          <w:rFonts w:hAnsi="宋体"/>
          <w:color w:val="auto"/>
          <w:spacing w:val="-6"/>
          <w:sz w:val="24"/>
          <w:szCs w:val="24"/>
          <w:highlight w:val="none"/>
        </w:rPr>
      </w:pPr>
    </w:p>
    <w:p>
      <w:pPr>
        <w:pStyle w:val="17"/>
        <w:spacing w:line="360" w:lineRule="auto"/>
        <w:ind w:left="398" w:hanging="398"/>
        <w:rPr>
          <w:rFonts w:ascii="宋体" w:hAnsi="宋体"/>
          <w:b/>
          <w:color w:val="auto"/>
          <w:spacing w:val="-6"/>
          <w:sz w:val="21"/>
          <w:szCs w:val="21"/>
          <w:highlight w:val="none"/>
        </w:rPr>
      </w:pPr>
      <w:r>
        <w:rPr>
          <w:rFonts w:hint="eastAsia" w:ascii="宋体" w:hAnsi="宋体"/>
          <w:b/>
          <w:color w:val="auto"/>
          <w:spacing w:val="-6"/>
          <w:sz w:val="21"/>
          <w:szCs w:val="21"/>
          <w:highlight w:val="none"/>
        </w:rPr>
        <w:t>说明：</w:t>
      </w:r>
    </w:p>
    <w:p>
      <w:pPr>
        <w:spacing w:line="360" w:lineRule="auto"/>
        <w:rPr>
          <w:rFonts w:ascii="宋体" w:hAnsi="宋体"/>
          <w:b/>
          <w:color w:val="auto"/>
          <w:spacing w:val="-6"/>
          <w:sz w:val="21"/>
          <w:szCs w:val="21"/>
          <w:highlight w:val="none"/>
        </w:rPr>
      </w:pPr>
      <w:r>
        <w:rPr>
          <w:rFonts w:hint="eastAsia" w:ascii="宋体" w:hAnsi="宋体"/>
          <w:b/>
          <w:color w:val="auto"/>
          <w:spacing w:val="-6"/>
          <w:sz w:val="21"/>
          <w:szCs w:val="21"/>
          <w:highlight w:val="none"/>
        </w:rPr>
        <w:t>1</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依法缴纳社会保障资金的证明材料指依法缴纳社会保险的凭据（社保缴费专用收据或银行电子缴税付款凭证或社会保险缴纳清单等）；</w:t>
      </w:r>
    </w:p>
    <w:p>
      <w:pPr>
        <w:spacing w:line="360" w:lineRule="auto"/>
        <w:rPr>
          <w:rFonts w:ascii="宋体" w:hAnsi="宋体"/>
          <w:b/>
          <w:color w:val="auto"/>
          <w:spacing w:val="-6"/>
          <w:sz w:val="21"/>
          <w:szCs w:val="21"/>
          <w:highlight w:val="none"/>
        </w:rPr>
      </w:pPr>
      <w:r>
        <w:rPr>
          <w:rFonts w:hint="eastAsia" w:ascii="宋体" w:hAnsi="宋体"/>
          <w:b/>
          <w:color w:val="auto"/>
          <w:spacing w:val="-6"/>
          <w:sz w:val="21"/>
          <w:szCs w:val="21"/>
          <w:highlight w:val="none"/>
        </w:rPr>
        <w:t>2</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依法不需要缴纳社会保障资金的投标人，应提供相应文件证明其依法不需要缴纳社会保障资金；</w:t>
      </w:r>
    </w:p>
    <w:p>
      <w:pPr>
        <w:spacing w:line="360" w:lineRule="auto"/>
        <w:rPr>
          <w:rFonts w:ascii="宋体" w:hAnsi="宋体"/>
          <w:b/>
          <w:color w:val="auto"/>
          <w:spacing w:val="-6"/>
          <w:sz w:val="21"/>
          <w:szCs w:val="21"/>
          <w:highlight w:val="none"/>
        </w:rPr>
      </w:pPr>
      <w:r>
        <w:rPr>
          <w:rFonts w:hint="eastAsia" w:ascii="宋体" w:hAnsi="宋体"/>
          <w:b/>
          <w:color w:val="auto"/>
          <w:spacing w:val="-6"/>
          <w:sz w:val="21"/>
          <w:szCs w:val="21"/>
          <w:highlight w:val="none"/>
        </w:rPr>
        <w:t>3</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投标人因新注册成立等原因无法提供相关材料的，应在投标文件中提交如实的情况说明。</w:t>
      </w:r>
    </w:p>
    <w:p>
      <w:pPr>
        <w:pStyle w:val="17"/>
        <w:spacing w:line="360" w:lineRule="auto"/>
        <w:ind w:left="0" w:firstLine="0" w:firstLineChars="0"/>
        <w:jc w:val="center"/>
        <w:outlineLvl w:val="2"/>
        <w:rPr>
          <w:rFonts w:ascii="宋体" w:hAnsi="宋体"/>
          <w:b/>
          <w:color w:val="auto"/>
          <w:spacing w:val="-6"/>
          <w:sz w:val="24"/>
          <w:highlight w:val="none"/>
        </w:rPr>
      </w:pPr>
      <w:r>
        <w:rPr>
          <w:rFonts w:ascii="宋体" w:hAnsi="宋体"/>
          <w:bCs/>
          <w:color w:val="auto"/>
          <w:spacing w:val="-6"/>
          <w:sz w:val="24"/>
          <w:highlight w:val="none"/>
        </w:rPr>
        <w:br w:type="page"/>
      </w:r>
      <w:r>
        <w:rPr>
          <w:rFonts w:hint="eastAsia" w:ascii="宋体" w:hAnsi="宋体"/>
          <w:b/>
          <w:color w:val="auto"/>
          <w:spacing w:val="-6"/>
          <w:sz w:val="24"/>
          <w:highlight w:val="none"/>
        </w:rPr>
        <w:t>具有履行合同所必需的设备和专业技术能力的承诺函（</w:t>
      </w:r>
      <w:r>
        <w:rPr>
          <w:rFonts w:ascii="宋体" w:hAnsi="宋体"/>
          <w:b/>
          <w:color w:val="auto"/>
          <w:spacing w:val="-6"/>
          <w:sz w:val="24"/>
          <w:highlight w:val="none"/>
        </w:rPr>
        <w:t>格式自拟）</w:t>
      </w:r>
    </w:p>
    <w:p>
      <w:pPr>
        <w:pStyle w:val="17"/>
        <w:spacing w:line="360" w:lineRule="auto"/>
        <w:ind w:left="0" w:firstLine="0" w:firstLineChars="0"/>
        <w:jc w:val="center"/>
        <w:rPr>
          <w:rFonts w:ascii="宋体" w:hAnsi="宋体"/>
          <w:b/>
          <w:color w:val="auto"/>
          <w:spacing w:val="-6"/>
          <w:sz w:val="24"/>
          <w:highlight w:val="none"/>
        </w:rPr>
      </w:pPr>
    </w:p>
    <w:p>
      <w:pPr>
        <w:pStyle w:val="17"/>
        <w:spacing w:line="360" w:lineRule="auto"/>
        <w:ind w:left="0" w:firstLine="0" w:firstLineChars="0"/>
        <w:jc w:val="center"/>
        <w:rPr>
          <w:rFonts w:ascii="宋体" w:hAnsi="宋体"/>
          <w:b/>
          <w:color w:val="auto"/>
          <w:spacing w:val="-6"/>
          <w:sz w:val="24"/>
          <w:highlight w:val="none"/>
        </w:rPr>
      </w:pPr>
    </w:p>
    <w:p>
      <w:pPr>
        <w:pStyle w:val="17"/>
        <w:spacing w:line="360" w:lineRule="auto"/>
        <w:ind w:left="0" w:firstLine="0" w:firstLineChars="0"/>
        <w:jc w:val="center"/>
        <w:rPr>
          <w:rFonts w:ascii="宋体" w:hAnsi="宋体"/>
          <w:b/>
          <w:color w:val="auto"/>
          <w:spacing w:val="-6"/>
          <w:sz w:val="24"/>
          <w:highlight w:val="none"/>
        </w:rPr>
      </w:pP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投标人名称（盖章）：</w:t>
      </w: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投标人代表签字：</w:t>
      </w:r>
    </w:p>
    <w:p>
      <w:pPr>
        <w:pStyle w:val="17"/>
        <w:spacing w:line="360" w:lineRule="auto"/>
        <w:ind w:left="169" w:hanging="168" w:hangingChars="74"/>
        <w:rPr>
          <w:rFonts w:ascii="宋体" w:hAnsi="宋体"/>
          <w:color w:val="auto"/>
          <w:spacing w:val="-6"/>
          <w:sz w:val="24"/>
          <w:highlight w:val="none"/>
        </w:rPr>
      </w:pPr>
      <w:r>
        <w:rPr>
          <w:rFonts w:hint="eastAsia" w:ascii="宋体" w:hAnsi="宋体"/>
          <w:color w:val="auto"/>
          <w:spacing w:val="-6"/>
          <w:sz w:val="24"/>
          <w:highlight w:val="none"/>
        </w:rPr>
        <w:t>日期：     年   月   日</w:t>
      </w:r>
    </w:p>
    <w:p>
      <w:pPr>
        <w:pStyle w:val="17"/>
        <w:spacing w:line="360" w:lineRule="auto"/>
        <w:ind w:left="0" w:firstLine="0" w:firstLineChars="0"/>
        <w:jc w:val="center"/>
        <w:outlineLvl w:val="2"/>
        <w:rPr>
          <w:rFonts w:ascii="宋体" w:hAnsi="宋体"/>
          <w:b/>
          <w:color w:val="auto"/>
          <w:spacing w:val="-6"/>
          <w:sz w:val="24"/>
          <w:highlight w:val="none"/>
        </w:rPr>
      </w:pPr>
      <w:r>
        <w:rPr>
          <w:rFonts w:ascii="宋体" w:hAnsi="宋体"/>
          <w:bCs/>
          <w:color w:val="auto"/>
          <w:spacing w:val="-6"/>
          <w:sz w:val="24"/>
          <w:highlight w:val="none"/>
        </w:rPr>
        <w:br w:type="page"/>
      </w:r>
      <w:r>
        <w:rPr>
          <w:rFonts w:hint="eastAsia" w:ascii="宋体" w:hAnsi="宋体"/>
          <w:b/>
          <w:color w:val="auto"/>
          <w:spacing w:val="-6"/>
          <w:sz w:val="24"/>
          <w:highlight w:val="none"/>
        </w:rPr>
        <w:t>参加政府采购活动前3年内在经营活动中没有重大违法记录的书面声明</w:t>
      </w:r>
    </w:p>
    <w:p>
      <w:pPr>
        <w:pStyle w:val="17"/>
        <w:spacing w:line="360" w:lineRule="auto"/>
        <w:ind w:left="169" w:hanging="169" w:hangingChars="74"/>
        <w:jc w:val="center"/>
        <w:rPr>
          <w:rFonts w:ascii="宋体" w:hAnsi="宋体"/>
          <w:b/>
          <w:color w:val="auto"/>
          <w:spacing w:val="-6"/>
          <w:sz w:val="24"/>
          <w:highlight w:val="none"/>
        </w:rPr>
      </w:pPr>
      <w:r>
        <w:rPr>
          <w:rFonts w:hint="eastAsia" w:ascii="宋体" w:hAnsi="宋体"/>
          <w:b/>
          <w:color w:val="auto"/>
          <w:spacing w:val="-6"/>
          <w:sz w:val="24"/>
          <w:highlight w:val="none"/>
        </w:rPr>
        <w:t>声明函</w:t>
      </w: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致：杭州电子科技大学、浙江求是招标代理有限公司</w:t>
      </w:r>
    </w:p>
    <w:p>
      <w:pPr>
        <w:spacing w:line="360" w:lineRule="auto"/>
        <w:ind w:firstLine="456" w:firstLineChars="200"/>
        <w:rPr>
          <w:rFonts w:ascii="宋体" w:hAnsi="宋体"/>
          <w:color w:val="auto"/>
          <w:spacing w:val="-6"/>
          <w:sz w:val="24"/>
          <w:highlight w:val="none"/>
        </w:rPr>
      </w:pPr>
      <w:r>
        <w:rPr>
          <w:rFonts w:hint="eastAsia" w:ascii="宋体" w:hAnsi="宋体"/>
          <w:color w:val="auto"/>
          <w:spacing w:val="-6"/>
          <w:sz w:val="24"/>
          <w:highlight w:val="none"/>
        </w:rPr>
        <w:t>我公司郑重承诺在参加本项目政府采购活动前三年内，在经营活动中</w:t>
      </w:r>
      <w:r>
        <w:rPr>
          <w:rFonts w:hint="eastAsia" w:ascii="宋体" w:hAnsi="宋体"/>
          <w:b/>
          <w:color w:val="auto"/>
          <w:spacing w:val="-6"/>
          <w:sz w:val="24"/>
          <w:highlight w:val="none"/>
          <w:u w:val="single"/>
        </w:rPr>
        <w:t xml:space="preserve">     </w:t>
      </w:r>
      <w:r>
        <w:rPr>
          <w:rFonts w:hint="eastAsia" w:ascii="宋体" w:hAnsi="宋体"/>
          <w:b/>
          <w:color w:val="auto"/>
          <w:spacing w:val="-6"/>
          <w:sz w:val="24"/>
          <w:highlight w:val="none"/>
        </w:rPr>
        <w:t>（填写“有”或“没有”，如实填写，如不填写视同未提供本声明函）</w:t>
      </w:r>
      <w:r>
        <w:rPr>
          <w:rFonts w:hint="eastAsia" w:ascii="宋体" w:hAnsi="宋体"/>
          <w:color w:val="auto"/>
          <w:spacing w:val="-6"/>
          <w:sz w:val="24"/>
          <w:highlight w:val="none"/>
        </w:rPr>
        <w:t>重大违法记录，重大违法记录是指投标人因违法经营受到刑事处罚或者责令停产停业、吊销许可证或者执照、较大数额罚款等行政处罚。</w:t>
      </w:r>
    </w:p>
    <w:p>
      <w:pPr>
        <w:spacing w:line="360" w:lineRule="auto"/>
        <w:ind w:firstLine="456" w:firstLineChars="200"/>
        <w:rPr>
          <w:rFonts w:ascii="宋体" w:hAnsi="宋体"/>
          <w:color w:val="auto"/>
          <w:spacing w:val="-6"/>
          <w:sz w:val="24"/>
          <w:highlight w:val="none"/>
        </w:rPr>
      </w:pPr>
      <w:r>
        <w:rPr>
          <w:rFonts w:hAnsi="宋体"/>
          <w:color w:val="auto"/>
          <w:spacing w:val="-6"/>
          <w:sz w:val="24"/>
          <w:highlight w:val="none"/>
        </w:rPr>
        <w:t>以上事项如有虚假或隐瞒，我方愿意承担一切后果和责任。</w:t>
      </w:r>
    </w:p>
    <w:p>
      <w:pPr>
        <w:spacing w:line="360" w:lineRule="auto"/>
        <w:ind w:firstLine="456" w:firstLineChars="200"/>
        <w:rPr>
          <w:rFonts w:ascii="宋体" w:hAnsi="宋体"/>
          <w:color w:val="auto"/>
          <w:spacing w:val="-6"/>
          <w:sz w:val="24"/>
          <w:highlight w:val="none"/>
        </w:rPr>
      </w:pPr>
      <w:r>
        <w:rPr>
          <w:rFonts w:hint="eastAsia" w:ascii="宋体" w:hAnsi="宋体"/>
          <w:color w:val="auto"/>
          <w:spacing w:val="-6"/>
          <w:sz w:val="24"/>
          <w:highlight w:val="none"/>
        </w:rPr>
        <w:t>特此声明。</w:t>
      </w:r>
    </w:p>
    <w:p>
      <w:pPr>
        <w:spacing w:line="360" w:lineRule="auto"/>
        <w:rPr>
          <w:rFonts w:ascii="宋体" w:hAnsi="宋体"/>
          <w:color w:val="auto"/>
          <w:spacing w:val="-6"/>
          <w:sz w:val="24"/>
          <w:highlight w:val="none"/>
        </w:rPr>
      </w:pPr>
    </w:p>
    <w:p>
      <w:pPr>
        <w:spacing w:line="360" w:lineRule="auto"/>
        <w:rPr>
          <w:rFonts w:ascii="宋体" w:hAnsi="宋体"/>
          <w:color w:val="auto"/>
          <w:spacing w:val="-6"/>
          <w:sz w:val="24"/>
          <w:highlight w:val="none"/>
        </w:rPr>
      </w:pPr>
    </w:p>
    <w:p>
      <w:pPr>
        <w:spacing w:line="360" w:lineRule="auto"/>
        <w:rPr>
          <w:rFonts w:ascii="宋体" w:hAnsi="宋体"/>
          <w:color w:val="auto"/>
          <w:spacing w:val="-6"/>
          <w:sz w:val="24"/>
          <w:highlight w:val="none"/>
        </w:rPr>
      </w:pP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投标人名称（盖章）：</w:t>
      </w: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投标人代表签字：</w:t>
      </w:r>
    </w:p>
    <w:p>
      <w:pPr>
        <w:pStyle w:val="17"/>
        <w:spacing w:line="360" w:lineRule="auto"/>
        <w:ind w:left="0" w:firstLine="0" w:firstLineChars="0"/>
        <w:rPr>
          <w:rFonts w:ascii="宋体" w:hAnsi="宋体"/>
          <w:color w:val="auto"/>
          <w:sz w:val="21"/>
          <w:szCs w:val="21"/>
          <w:highlight w:val="none"/>
        </w:rPr>
      </w:pPr>
      <w:r>
        <w:rPr>
          <w:rFonts w:hint="eastAsia" w:ascii="宋体" w:hAnsi="宋体"/>
          <w:color w:val="auto"/>
          <w:spacing w:val="-6"/>
          <w:sz w:val="24"/>
          <w:highlight w:val="none"/>
        </w:rPr>
        <w:t>日期：     年   月   日</w:t>
      </w:r>
    </w:p>
    <w:p>
      <w:pPr>
        <w:spacing w:line="360" w:lineRule="auto"/>
        <w:outlineLvl w:val="1"/>
        <w:rPr>
          <w:rFonts w:ascii="宋体" w:hAnsi="宋体"/>
          <w:bCs/>
          <w:color w:val="auto"/>
          <w:spacing w:val="-6"/>
          <w:sz w:val="24"/>
          <w:highlight w:val="none"/>
        </w:rPr>
      </w:pPr>
      <w:r>
        <w:rPr>
          <w:rFonts w:ascii="宋体" w:hAnsi="宋体"/>
          <w:b/>
          <w:color w:val="auto"/>
          <w:spacing w:val="-6"/>
          <w:sz w:val="52"/>
          <w:szCs w:val="52"/>
          <w:highlight w:val="none"/>
        </w:rPr>
        <w:br w:type="page"/>
      </w:r>
      <w:r>
        <w:rPr>
          <w:rFonts w:hint="eastAsia" w:ascii="宋体" w:hAnsi="宋体"/>
          <w:bCs/>
          <w:color w:val="auto"/>
          <w:spacing w:val="-6"/>
          <w:sz w:val="24"/>
          <w:highlight w:val="none"/>
        </w:rPr>
        <w:t>报价</w:t>
      </w:r>
      <w:r>
        <w:rPr>
          <w:rFonts w:ascii="宋体" w:hAnsi="宋体"/>
          <w:bCs/>
          <w:color w:val="auto"/>
          <w:spacing w:val="-6"/>
          <w:sz w:val="24"/>
          <w:highlight w:val="none"/>
        </w:rPr>
        <w:t>文件</w:t>
      </w:r>
      <w:r>
        <w:rPr>
          <w:rFonts w:hint="eastAsia" w:ascii="宋体" w:hAnsi="宋体"/>
          <w:bCs/>
          <w:color w:val="auto"/>
          <w:spacing w:val="-6"/>
          <w:sz w:val="24"/>
          <w:highlight w:val="none"/>
        </w:rPr>
        <w:t>封面</w:t>
      </w:r>
    </w:p>
    <w:p>
      <w:pPr>
        <w:spacing w:line="360" w:lineRule="auto"/>
        <w:jc w:val="right"/>
        <w:rPr>
          <w:rFonts w:ascii="宋体" w:hAnsi="宋体"/>
          <w:color w:val="auto"/>
          <w:spacing w:val="-6"/>
          <w:sz w:val="24"/>
          <w:highlight w:val="none"/>
        </w:rPr>
      </w:pPr>
    </w:p>
    <w:p>
      <w:pPr>
        <w:spacing w:line="360" w:lineRule="auto"/>
        <w:rPr>
          <w:rFonts w:ascii="宋体" w:hAnsi="宋体"/>
          <w:color w:val="auto"/>
          <w:spacing w:val="-6"/>
          <w:sz w:val="24"/>
          <w:highlight w:val="none"/>
        </w:rPr>
      </w:pPr>
    </w:p>
    <w:p>
      <w:pPr>
        <w:spacing w:line="360" w:lineRule="auto"/>
        <w:jc w:val="center"/>
        <w:rPr>
          <w:rFonts w:ascii="宋体" w:hAnsi="宋体"/>
          <w:bCs/>
          <w:color w:val="auto"/>
          <w:spacing w:val="-6"/>
          <w:sz w:val="24"/>
          <w:highlight w:val="none"/>
        </w:rPr>
      </w:pPr>
      <w:r>
        <w:rPr>
          <w:rFonts w:hint="eastAsia" w:ascii="宋体" w:hAnsi="宋体"/>
          <w:bCs/>
          <w:color w:val="auto"/>
          <w:spacing w:val="-6"/>
          <w:sz w:val="24"/>
          <w:highlight w:val="none"/>
          <w:u w:val="single"/>
        </w:rPr>
        <w:t xml:space="preserve">                    </w:t>
      </w:r>
      <w:r>
        <w:rPr>
          <w:rFonts w:hint="eastAsia" w:ascii="宋体" w:hAnsi="宋体"/>
          <w:bCs/>
          <w:color w:val="auto"/>
          <w:spacing w:val="-6"/>
          <w:sz w:val="24"/>
          <w:highlight w:val="none"/>
        </w:rPr>
        <w:t>（投标人名称）</w:t>
      </w:r>
    </w:p>
    <w:p>
      <w:pPr>
        <w:spacing w:line="360" w:lineRule="auto"/>
        <w:jc w:val="center"/>
        <w:rPr>
          <w:rFonts w:ascii="宋体" w:hAnsi="宋体"/>
          <w:b/>
          <w:bCs/>
          <w:color w:val="auto"/>
          <w:spacing w:val="-6"/>
          <w:sz w:val="24"/>
          <w:highlight w:val="none"/>
        </w:rPr>
      </w:pPr>
      <w:r>
        <w:rPr>
          <w:rFonts w:hint="eastAsia" w:ascii="宋体" w:hAnsi="宋体"/>
          <w:b/>
          <w:bCs/>
          <w:color w:val="auto"/>
          <w:spacing w:val="-6"/>
          <w:sz w:val="24"/>
          <w:highlight w:val="none"/>
        </w:rPr>
        <w:t>报价文件</w:t>
      </w:r>
    </w:p>
    <w:p>
      <w:pPr>
        <w:spacing w:line="360" w:lineRule="auto"/>
        <w:rPr>
          <w:rFonts w:ascii="宋体" w:hAnsi="宋体"/>
          <w:bCs/>
          <w:color w:val="auto"/>
          <w:spacing w:val="-6"/>
          <w:sz w:val="24"/>
          <w:highlight w:val="none"/>
        </w:rPr>
      </w:pPr>
    </w:p>
    <w:p>
      <w:pPr>
        <w:spacing w:line="360" w:lineRule="auto"/>
        <w:rPr>
          <w:rFonts w:ascii="宋体" w:hAnsi="宋体"/>
          <w:bCs/>
          <w:color w:val="auto"/>
          <w:spacing w:val="-6"/>
          <w:sz w:val="24"/>
          <w:highlight w:val="none"/>
        </w:rPr>
      </w:pPr>
      <w:r>
        <w:rPr>
          <w:rFonts w:hint="eastAsia" w:ascii="宋体" w:hAnsi="宋体"/>
          <w:bCs/>
          <w:color w:val="auto"/>
          <w:spacing w:val="-6"/>
          <w:sz w:val="24"/>
          <w:highlight w:val="none"/>
        </w:rPr>
        <w:t>采 购 人：杭州电子科技大学</w:t>
      </w:r>
    </w:p>
    <w:p>
      <w:pPr>
        <w:spacing w:line="360" w:lineRule="auto"/>
        <w:rPr>
          <w:rFonts w:ascii="宋体" w:hAnsi="宋体"/>
          <w:bCs/>
          <w:color w:val="auto"/>
          <w:spacing w:val="-6"/>
          <w:sz w:val="24"/>
          <w:highlight w:val="none"/>
        </w:rPr>
      </w:pPr>
      <w:r>
        <w:rPr>
          <w:rFonts w:hint="eastAsia" w:ascii="宋体" w:hAnsi="宋体"/>
          <w:bCs/>
          <w:color w:val="auto"/>
          <w:spacing w:val="-6"/>
          <w:sz w:val="24"/>
          <w:highlight w:val="none"/>
        </w:rPr>
        <w:t>项目名称：协同创新中心高教仪器设备</w:t>
      </w:r>
    </w:p>
    <w:p>
      <w:pPr>
        <w:spacing w:line="360" w:lineRule="auto"/>
        <w:rPr>
          <w:rFonts w:ascii="宋体" w:hAnsi="宋体"/>
          <w:bCs/>
          <w:color w:val="auto"/>
          <w:spacing w:val="-6"/>
          <w:sz w:val="24"/>
          <w:highlight w:val="none"/>
        </w:rPr>
      </w:pPr>
      <w:r>
        <w:rPr>
          <w:rFonts w:hint="eastAsia" w:ascii="宋体" w:hAnsi="宋体"/>
          <w:bCs/>
          <w:color w:val="auto"/>
          <w:spacing w:val="-6"/>
          <w:sz w:val="24"/>
          <w:highlight w:val="none"/>
        </w:rPr>
        <w:t xml:space="preserve">项目编号：QSZB-Z(H)-B20132(GK) </w:t>
      </w:r>
    </w:p>
    <w:p>
      <w:pPr>
        <w:spacing w:line="360" w:lineRule="auto"/>
        <w:rPr>
          <w:rFonts w:ascii="宋体" w:hAnsi="宋体"/>
          <w:bCs/>
          <w:color w:val="auto"/>
          <w:spacing w:val="-6"/>
          <w:sz w:val="24"/>
          <w:highlight w:val="none"/>
        </w:rPr>
      </w:pPr>
      <w:r>
        <w:rPr>
          <w:rFonts w:hint="eastAsia" w:ascii="宋体" w:hAnsi="宋体"/>
          <w:bCs/>
          <w:color w:val="auto"/>
          <w:spacing w:val="-6"/>
          <w:sz w:val="24"/>
          <w:highlight w:val="none"/>
        </w:rPr>
        <w:t>投标人名称（盖章）：</w:t>
      </w:r>
    </w:p>
    <w:p>
      <w:pPr>
        <w:spacing w:line="360" w:lineRule="auto"/>
        <w:rPr>
          <w:rFonts w:ascii="宋体" w:hAnsi="宋体"/>
          <w:bCs/>
          <w:color w:val="auto"/>
          <w:spacing w:val="-6"/>
          <w:sz w:val="24"/>
          <w:highlight w:val="none"/>
        </w:rPr>
      </w:pPr>
      <w:r>
        <w:rPr>
          <w:rFonts w:hint="eastAsia" w:ascii="宋体" w:hAnsi="宋体"/>
          <w:bCs/>
          <w:color w:val="auto"/>
          <w:spacing w:val="-6"/>
          <w:sz w:val="24"/>
          <w:highlight w:val="none"/>
        </w:rPr>
        <w:t>投标人地址：</w:t>
      </w:r>
    </w:p>
    <w:p>
      <w:pPr>
        <w:spacing w:line="360" w:lineRule="auto"/>
        <w:rPr>
          <w:rFonts w:ascii="宋体" w:hAnsi="宋体"/>
          <w:bCs/>
          <w:color w:val="auto"/>
          <w:spacing w:val="-6"/>
          <w:sz w:val="24"/>
          <w:highlight w:val="none"/>
        </w:rPr>
      </w:pPr>
    </w:p>
    <w:p>
      <w:pPr>
        <w:spacing w:line="360" w:lineRule="auto"/>
        <w:rPr>
          <w:rFonts w:ascii="宋体" w:hAnsi="宋体"/>
          <w:bCs/>
          <w:color w:val="auto"/>
          <w:spacing w:val="-6"/>
          <w:sz w:val="24"/>
          <w:highlight w:val="none"/>
        </w:rPr>
      </w:pPr>
      <w:r>
        <w:rPr>
          <w:rFonts w:hint="eastAsia" w:ascii="宋体" w:hAnsi="宋体"/>
          <w:bCs/>
          <w:color w:val="auto"/>
          <w:spacing w:val="-6"/>
          <w:sz w:val="24"/>
          <w:highlight w:val="none"/>
        </w:rPr>
        <w:t>投标人代表签字：</w:t>
      </w:r>
    </w:p>
    <w:p>
      <w:pPr>
        <w:spacing w:line="360" w:lineRule="auto"/>
        <w:rPr>
          <w:rFonts w:ascii="宋体" w:hAnsi="宋体"/>
          <w:color w:val="auto"/>
          <w:spacing w:val="-6"/>
          <w:sz w:val="21"/>
          <w:szCs w:val="21"/>
          <w:highlight w:val="none"/>
        </w:rPr>
      </w:pPr>
      <w:r>
        <w:rPr>
          <w:rFonts w:hint="eastAsia" w:ascii="宋体" w:hAnsi="宋体"/>
          <w:bCs/>
          <w:color w:val="auto"/>
          <w:spacing w:val="-6"/>
          <w:sz w:val="24"/>
          <w:highlight w:val="none"/>
        </w:rPr>
        <w:t>日期：     年   月   日</w:t>
      </w:r>
    </w:p>
    <w:p>
      <w:pPr>
        <w:pStyle w:val="2"/>
        <w:spacing w:line="480" w:lineRule="auto"/>
        <w:ind w:firstLine="0"/>
        <w:jc w:val="center"/>
        <w:rPr>
          <w:rFonts w:hAnsi="宋体"/>
          <w:b/>
          <w:color w:val="auto"/>
          <w:spacing w:val="-6"/>
          <w:sz w:val="24"/>
          <w:highlight w:val="none"/>
        </w:rPr>
      </w:pPr>
      <w:r>
        <w:rPr>
          <w:rFonts w:hAnsi="宋体"/>
          <w:b/>
          <w:color w:val="auto"/>
          <w:spacing w:val="-6"/>
          <w:sz w:val="52"/>
          <w:szCs w:val="52"/>
          <w:highlight w:val="none"/>
        </w:rPr>
        <w:br w:type="page"/>
      </w:r>
    </w:p>
    <w:p>
      <w:pPr>
        <w:pStyle w:val="2"/>
        <w:spacing w:line="480" w:lineRule="auto"/>
        <w:ind w:firstLine="0"/>
        <w:jc w:val="center"/>
        <w:rPr>
          <w:rFonts w:hAnsi="宋体"/>
          <w:b/>
          <w:color w:val="auto"/>
          <w:spacing w:val="-6"/>
          <w:sz w:val="24"/>
          <w:highlight w:val="none"/>
        </w:rPr>
      </w:pPr>
    </w:p>
    <w:p>
      <w:pPr>
        <w:pStyle w:val="2"/>
        <w:spacing w:line="480" w:lineRule="auto"/>
        <w:ind w:firstLine="0"/>
        <w:jc w:val="center"/>
        <w:rPr>
          <w:rFonts w:hAnsi="宋体"/>
          <w:b/>
          <w:color w:val="auto"/>
          <w:spacing w:val="-6"/>
          <w:sz w:val="24"/>
          <w:highlight w:val="none"/>
        </w:rPr>
      </w:pPr>
    </w:p>
    <w:p>
      <w:pPr>
        <w:pStyle w:val="2"/>
        <w:spacing w:line="480" w:lineRule="auto"/>
        <w:ind w:firstLine="0"/>
        <w:jc w:val="center"/>
        <w:rPr>
          <w:rFonts w:hAnsi="宋体"/>
          <w:b/>
          <w:color w:val="auto"/>
          <w:spacing w:val="-6"/>
          <w:sz w:val="24"/>
          <w:highlight w:val="none"/>
        </w:rPr>
      </w:pPr>
    </w:p>
    <w:p>
      <w:pPr>
        <w:pStyle w:val="2"/>
        <w:spacing w:line="480" w:lineRule="auto"/>
        <w:ind w:firstLine="0"/>
        <w:jc w:val="center"/>
        <w:rPr>
          <w:rFonts w:hAnsi="宋体"/>
          <w:b/>
          <w:color w:val="auto"/>
          <w:spacing w:val="-6"/>
          <w:sz w:val="24"/>
          <w:highlight w:val="none"/>
        </w:rPr>
      </w:pPr>
    </w:p>
    <w:p>
      <w:pPr>
        <w:pStyle w:val="2"/>
        <w:spacing w:line="480" w:lineRule="auto"/>
        <w:ind w:firstLine="0"/>
        <w:jc w:val="center"/>
        <w:rPr>
          <w:rFonts w:hAnsi="宋体"/>
          <w:b/>
          <w:color w:val="auto"/>
          <w:spacing w:val="-6"/>
          <w:sz w:val="24"/>
          <w:highlight w:val="none"/>
        </w:rPr>
      </w:pPr>
    </w:p>
    <w:p>
      <w:pPr>
        <w:pStyle w:val="2"/>
        <w:spacing w:line="480" w:lineRule="auto"/>
        <w:ind w:firstLine="0"/>
        <w:jc w:val="center"/>
        <w:rPr>
          <w:rFonts w:hAnsi="宋体"/>
          <w:b/>
          <w:color w:val="auto"/>
          <w:spacing w:val="-6"/>
          <w:sz w:val="24"/>
          <w:highlight w:val="none"/>
        </w:rPr>
      </w:pPr>
    </w:p>
    <w:p>
      <w:pPr>
        <w:pStyle w:val="2"/>
        <w:spacing w:line="480" w:lineRule="auto"/>
        <w:ind w:firstLine="0"/>
        <w:jc w:val="center"/>
        <w:rPr>
          <w:rFonts w:hAnsi="宋体"/>
          <w:b/>
          <w:color w:val="auto"/>
          <w:spacing w:val="-6"/>
          <w:sz w:val="24"/>
          <w:highlight w:val="none"/>
        </w:rPr>
      </w:pPr>
    </w:p>
    <w:p>
      <w:pPr>
        <w:pStyle w:val="7"/>
        <w:overflowPunct w:val="0"/>
        <w:spacing w:line="360" w:lineRule="auto"/>
        <w:ind w:firstLine="0"/>
        <w:jc w:val="center"/>
        <w:outlineLvl w:val="1"/>
        <w:rPr>
          <w:rFonts w:ascii="宋体" w:hAnsi="宋体"/>
          <w:b/>
          <w:color w:val="auto"/>
          <w:spacing w:val="-6"/>
          <w:sz w:val="84"/>
          <w:szCs w:val="84"/>
          <w:highlight w:val="none"/>
        </w:rPr>
      </w:pPr>
      <w:r>
        <w:rPr>
          <w:rFonts w:hint="eastAsia" w:ascii="宋体" w:hAnsi="宋体"/>
          <w:b/>
          <w:color w:val="auto"/>
          <w:spacing w:val="-6"/>
          <w:sz w:val="84"/>
          <w:szCs w:val="84"/>
          <w:highlight w:val="none"/>
        </w:rPr>
        <w:t>报价文件</w:t>
      </w:r>
    </w:p>
    <w:p>
      <w:pPr>
        <w:spacing w:line="360" w:lineRule="auto"/>
        <w:jc w:val="center"/>
        <w:outlineLvl w:val="2"/>
        <w:rPr>
          <w:rFonts w:ascii="宋体" w:hAnsi="宋体"/>
          <w:b/>
          <w:color w:val="auto"/>
          <w:spacing w:val="-6"/>
          <w:sz w:val="24"/>
          <w:highlight w:val="none"/>
        </w:rPr>
      </w:pPr>
      <w:r>
        <w:rPr>
          <w:rFonts w:ascii="宋体" w:hAnsi="宋体"/>
          <w:b/>
          <w:color w:val="auto"/>
          <w:spacing w:val="-6"/>
          <w:sz w:val="52"/>
          <w:szCs w:val="52"/>
          <w:highlight w:val="none"/>
        </w:rPr>
        <w:br w:type="page"/>
      </w:r>
      <w:r>
        <w:rPr>
          <w:rFonts w:hint="eastAsia" w:ascii="宋体" w:hAnsi="宋体"/>
          <w:b/>
          <w:color w:val="auto"/>
          <w:spacing w:val="-6"/>
          <w:sz w:val="24"/>
          <w:highlight w:val="none"/>
        </w:rPr>
        <w:t>开标一览表</w:t>
      </w:r>
    </w:p>
    <w:p>
      <w:pPr>
        <w:spacing w:line="360" w:lineRule="auto"/>
        <w:rPr>
          <w:rFonts w:ascii="宋体" w:hAnsi="宋体"/>
          <w:bCs/>
          <w:color w:val="auto"/>
          <w:spacing w:val="-6"/>
          <w:sz w:val="24"/>
          <w:highlight w:val="none"/>
        </w:rPr>
      </w:pPr>
      <w:r>
        <w:rPr>
          <w:rFonts w:hint="eastAsia" w:ascii="宋体" w:hAnsi="宋体"/>
          <w:bCs/>
          <w:color w:val="auto"/>
          <w:spacing w:val="-6"/>
          <w:sz w:val="24"/>
          <w:highlight w:val="none"/>
        </w:rPr>
        <w:t>采 购 人：杭州电子科技大学</w:t>
      </w:r>
    </w:p>
    <w:p>
      <w:pPr>
        <w:spacing w:line="360" w:lineRule="auto"/>
        <w:rPr>
          <w:rFonts w:ascii="宋体" w:hAnsi="宋体"/>
          <w:bCs/>
          <w:color w:val="auto"/>
          <w:spacing w:val="-6"/>
          <w:sz w:val="24"/>
          <w:highlight w:val="none"/>
        </w:rPr>
      </w:pPr>
      <w:r>
        <w:rPr>
          <w:rFonts w:hint="eastAsia" w:ascii="宋体" w:hAnsi="宋体"/>
          <w:bCs/>
          <w:color w:val="auto"/>
          <w:spacing w:val="-6"/>
          <w:sz w:val="24"/>
          <w:highlight w:val="none"/>
        </w:rPr>
        <w:t>项目名称：协同创新中心高教仪器设备</w:t>
      </w:r>
    </w:p>
    <w:p>
      <w:pPr>
        <w:spacing w:line="360" w:lineRule="auto"/>
        <w:rPr>
          <w:rFonts w:ascii="宋体" w:hAnsi="宋体"/>
          <w:bCs/>
          <w:color w:val="auto"/>
          <w:spacing w:val="-6"/>
          <w:sz w:val="24"/>
          <w:highlight w:val="none"/>
        </w:rPr>
      </w:pPr>
      <w:r>
        <w:rPr>
          <w:rFonts w:hint="eastAsia" w:ascii="宋体" w:hAnsi="宋体"/>
          <w:bCs/>
          <w:color w:val="auto"/>
          <w:spacing w:val="-6"/>
          <w:sz w:val="24"/>
          <w:highlight w:val="none"/>
        </w:rPr>
        <w:t xml:space="preserve">项目编号：QSZB-Z(H)-B20132(GK) </w:t>
      </w:r>
    </w:p>
    <w:tbl>
      <w:tblPr>
        <w:tblStyle w:val="22"/>
        <w:tblW w:w="9628"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jc w:val="center"/>
        </w:trPr>
        <w:tc>
          <w:tcPr>
            <w:tcW w:w="962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4"/>
                <w:highlight w:val="none"/>
              </w:rPr>
            </w:pPr>
            <w:r>
              <w:rPr>
                <w:rFonts w:hint="eastAsia" w:ascii="宋体" w:hAnsi="宋体" w:cs="宋体"/>
                <w:b/>
                <w:bCs/>
                <w:color w:val="auto"/>
                <w:sz w:val="24"/>
                <w:highlight w:val="none"/>
              </w:rPr>
              <w:t>投标报价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jc w:val="center"/>
        </w:trPr>
        <w:tc>
          <w:tcPr>
            <w:tcW w:w="962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cs="宋体"/>
                <w:b/>
                <w:bCs/>
                <w:color w:val="auto"/>
                <w:sz w:val="24"/>
                <w:highlight w:val="none"/>
              </w:rPr>
            </w:pPr>
          </w:p>
          <w:p>
            <w:pPr>
              <w:keepNext w:val="0"/>
              <w:keepLines w:val="0"/>
              <w:suppressLineNumbers w:val="0"/>
              <w:spacing w:before="0" w:beforeAutospacing="0" w:after="0" w:afterAutospacing="0"/>
              <w:ind w:left="0" w:right="0"/>
              <w:rPr>
                <w:rFonts w:hint="default" w:ascii="宋体" w:hAnsi="宋体" w:cs="宋体"/>
                <w:b/>
                <w:bCs/>
                <w:color w:val="auto"/>
                <w:sz w:val="24"/>
                <w:highlight w:val="none"/>
              </w:rPr>
            </w:pPr>
            <w:r>
              <w:rPr>
                <w:rFonts w:hint="eastAsia" w:ascii="宋体" w:hAnsi="宋体" w:cs="宋体"/>
                <w:b/>
                <w:bCs/>
                <w:color w:val="auto"/>
                <w:sz w:val="24"/>
                <w:highlight w:val="none"/>
              </w:rPr>
              <w:t>金额大写：_________________________小写：_________________________</w:t>
            </w:r>
          </w:p>
          <w:p>
            <w:pPr>
              <w:keepNext w:val="0"/>
              <w:keepLines w:val="0"/>
              <w:suppressLineNumbers w:val="0"/>
              <w:spacing w:before="0" w:beforeAutospacing="0" w:after="0" w:afterAutospacing="0"/>
              <w:ind w:left="0" w:right="0"/>
              <w:rPr>
                <w:rFonts w:hint="default" w:ascii="宋体" w:hAnsi="宋体" w:cs="宋体"/>
                <w:b/>
                <w:bCs/>
                <w:color w:val="auto"/>
                <w:sz w:val="24"/>
                <w:highlight w:val="none"/>
              </w:rPr>
            </w:pPr>
          </w:p>
          <w:p>
            <w:pPr>
              <w:keepNext w:val="0"/>
              <w:keepLines w:val="0"/>
              <w:suppressLineNumbers w:val="0"/>
              <w:spacing w:before="0" w:beforeAutospacing="0" w:after="0" w:afterAutospacing="0"/>
              <w:ind w:left="0" w:right="0"/>
              <w:rPr>
                <w:rFonts w:hint="default" w:ascii="宋体" w:hAnsi="宋体" w:cs="宋体"/>
                <w:b/>
                <w:bCs/>
                <w:color w:val="auto"/>
                <w:sz w:val="24"/>
                <w:highlight w:val="none"/>
              </w:rPr>
            </w:pPr>
            <w:r>
              <w:rPr>
                <w:rFonts w:hint="eastAsia" w:ascii="宋体" w:hAnsi="宋体" w:cs="宋体"/>
                <w:b/>
                <w:bCs/>
                <w:color w:val="auto"/>
                <w:sz w:val="24"/>
                <w:highlight w:val="none"/>
              </w:rPr>
              <w:t>单位：人民币元</w:t>
            </w:r>
          </w:p>
          <w:p>
            <w:pPr>
              <w:pStyle w:val="2"/>
              <w:keepNext w:val="0"/>
              <w:keepLines w:val="0"/>
              <w:suppressLineNumbers w:val="0"/>
              <w:spacing w:before="0" w:beforeAutospacing="0" w:after="0" w:afterAutospacing="0"/>
              <w:ind w:left="0" w:right="0" w:firstLine="0"/>
              <w:rPr>
                <w:rFonts w:hint="default"/>
                <w:color w:val="auto"/>
                <w:sz w:val="24"/>
                <w:szCs w:val="24"/>
                <w:highlight w:val="none"/>
              </w:rPr>
            </w:pPr>
          </w:p>
        </w:tc>
      </w:tr>
    </w:tbl>
    <w:p>
      <w:pPr>
        <w:spacing w:line="360" w:lineRule="auto"/>
        <w:rPr>
          <w:rFonts w:ascii="宋体" w:hAnsi="宋体"/>
          <w:color w:val="auto"/>
          <w:spacing w:val="-6"/>
          <w:sz w:val="24"/>
          <w:highlight w:val="none"/>
        </w:rPr>
      </w:pPr>
    </w:p>
    <w:p>
      <w:pPr>
        <w:pStyle w:val="2"/>
        <w:spacing w:line="360" w:lineRule="auto"/>
        <w:ind w:firstLine="0"/>
        <w:rPr>
          <w:b/>
          <w:bCs/>
          <w:color w:val="auto"/>
          <w:sz w:val="21"/>
          <w:szCs w:val="21"/>
          <w:highlight w:val="none"/>
        </w:rPr>
      </w:pPr>
      <w:r>
        <w:rPr>
          <w:rFonts w:hint="eastAsia" w:hAnsi="宋体"/>
          <w:b/>
          <w:bCs/>
          <w:color w:val="auto"/>
          <w:spacing w:val="-6"/>
          <w:sz w:val="21"/>
          <w:szCs w:val="21"/>
          <w:highlight w:val="none"/>
        </w:rPr>
        <w:t>说明：投标报价是履行合同的最终价格，应包括完成所有产品供货及履行所有规定服务所产生的全部税、费。</w:t>
      </w:r>
    </w:p>
    <w:p>
      <w:pPr>
        <w:spacing w:line="360" w:lineRule="auto"/>
        <w:rPr>
          <w:rFonts w:ascii="宋体" w:hAnsi="宋体"/>
          <w:color w:val="auto"/>
          <w:spacing w:val="-6"/>
          <w:sz w:val="24"/>
          <w:highlight w:val="none"/>
        </w:rPr>
      </w:pPr>
    </w:p>
    <w:p>
      <w:pPr>
        <w:pStyle w:val="2"/>
        <w:spacing w:line="360" w:lineRule="auto"/>
        <w:ind w:firstLine="0"/>
        <w:rPr>
          <w:color w:val="auto"/>
          <w:highlight w:val="none"/>
        </w:rPr>
      </w:pPr>
    </w:p>
    <w:p>
      <w:pPr>
        <w:spacing w:line="360" w:lineRule="auto"/>
        <w:rPr>
          <w:color w:val="auto"/>
          <w:highlight w:val="none"/>
        </w:rPr>
      </w:pP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投标人名称（盖章）：</w:t>
      </w: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投标人代表签字：</w:t>
      </w:r>
    </w:p>
    <w:p>
      <w:pPr>
        <w:pStyle w:val="12"/>
        <w:spacing w:before="0" w:beforeLines="0" w:after="0" w:afterLines="0" w:line="360" w:lineRule="auto"/>
        <w:rPr>
          <w:rFonts w:hAnsi="宋体"/>
          <w:bCs/>
          <w:color w:val="auto"/>
          <w:spacing w:val="-6"/>
          <w:highlight w:val="none"/>
        </w:rPr>
      </w:pPr>
      <w:r>
        <w:rPr>
          <w:rFonts w:hint="eastAsia" w:hAnsi="宋体"/>
          <w:bCs/>
          <w:color w:val="auto"/>
          <w:spacing w:val="-6"/>
          <w:highlight w:val="none"/>
        </w:rPr>
        <w:t>日期：     年   月   日</w:t>
      </w:r>
    </w:p>
    <w:p>
      <w:pPr>
        <w:pStyle w:val="12"/>
        <w:spacing w:before="0" w:beforeLines="0" w:after="0" w:afterLines="0" w:line="360" w:lineRule="auto"/>
        <w:jc w:val="center"/>
        <w:outlineLvl w:val="2"/>
        <w:rPr>
          <w:rFonts w:hAnsi="宋体"/>
          <w:b/>
          <w:color w:val="auto"/>
          <w:spacing w:val="-6"/>
          <w:highlight w:val="none"/>
        </w:rPr>
      </w:pPr>
      <w:r>
        <w:rPr>
          <w:rFonts w:hint="eastAsia" w:hAnsi="宋体"/>
          <w:bCs/>
          <w:color w:val="auto"/>
          <w:spacing w:val="-6"/>
          <w:highlight w:val="none"/>
        </w:rPr>
        <w:br w:type="page"/>
      </w:r>
      <w:r>
        <w:rPr>
          <w:rFonts w:hAnsi="宋体"/>
          <w:b/>
          <w:color w:val="auto"/>
          <w:spacing w:val="-6"/>
          <w:highlight w:val="none"/>
        </w:rPr>
        <w:t>投标报价明细表</w:t>
      </w:r>
    </w:p>
    <w:p>
      <w:pPr>
        <w:pStyle w:val="12"/>
        <w:spacing w:before="0" w:beforeLines="0" w:after="0" w:afterLines="0" w:line="360" w:lineRule="auto"/>
        <w:ind w:right="342"/>
        <w:jc w:val="left"/>
        <w:rPr>
          <w:rFonts w:hAnsi="宋体"/>
          <w:b/>
          <w:bCs/>
          <w:color w:val="auto"/>
          <w:spacing w:val="-6"/>
          <w:sz w:val="21"/>
          <w:szCs w:val="21"/>
          <w:highlight w:val="none"/>
        </w:rPr>
      </w:pPr>
      <w:r>
        <w:rPr>
          <w:rFonts w:hint="eastAsia" w:hAnsi="宋体"/>
          <w:b/>
          <w:bCs/>
          <w:color w:val="auto"/>
          <w:spacing w:val="-6"/>
          <w:sz w:val="21"/>
          <w:szCs w:val="21"/>
          <w:highlight w:val="none"/>
        </w:rPr>
        <w:t xml:space="preserve">                                                                        </w:t>
      </w:r>
      <w:r>
        <w:rPr>
          <w:rFonts w:hAnsi="宋体"/>
          <w:b/>
          <w:bCs/>
          <w:color w:val="auto"/>
          <w:spacing w:val="-6"/>
          <w:sz w:val="21"/>
          <w:szCs w:val="21"/>
          <w:highlight w:val="none"/>
        </w:rPr>
        <w:t>金额单位：</w:t>
      </w:r>
      <w:r>
        <w:rPr>
          <w:rFonts w:hint="eastAsia" w:hAnsi="宋体"/>
          <w:b/>
          <w:bCs/>
          <w:color w:val="auto"/>
          <w:spacing w:val="-6"/>
          <w:sz w:val="21"/>
          <w:szCs w:val="21"/>
          <w:highlight w:val="none"/>
        </w:rPr>
        <w:t>人民币元</w:t>
      </w:r>
    </w:p>
    <w:tbl>
      <w:tblPr>
        <w:tblStyle w:val="22"/>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011"/>
        <w:gridCol w:w="1010"/>
        <w:gridCol w:w="1266"/>
        <w:gridCol w:w="756"/>
        <w:gridCol w:w="1011"/>
        <w:gridCol w:w="1010"/>
        <w:gridCol w:w="101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货物名称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厂家</w:t>
            </w: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品牌</w:t>
            </w: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规格型号</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数量</w:t>
            </w:r>
          </w:p>
        </w:tc>
        <w:tc>
          <w:tcPr>
            <w:tcW w:w="101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单价</w:t>
            </w:r>
          </w:p>
        </w:tc>
        <w:tc>
          <w:tcPr>
            <w:tcW w:w="101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金额</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9628" w:type="dxa"/>
            <w:gridSpan w:val="9"/>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投标总价：</w:t>
            </w:r>
          </w:p>
        </w:tc>
      </w:tr>
    </w:tbl>
    <w:p>
      <w:pPr>
        <w:pStyle w:val="12"/>
        <w:spacing w:before="0" w:beforeLines="0" w:after="0" w:afterLines="0" w:line="360" w:lineRule="auto"/>
        <w:rPr>
          <w:rFonts w:hAnsi="宋体"/>
          <w:color w:val="auto"/>
          <w:spacing w:val="-6"/>
          <w:highlight w:val="none"/>
          <w:u w:val="single"/>
        </w:rPr>
      </w:pPr>
    </w:p>
    <w:p>
      <w:pPr>
        <w:pStyle w:val="12"/>
        <w:spacing w:before="0" w:beforeLines="0" w:after="0" w:afterLines="0" w:line="360" w:lineRule="auto"/>
        <w:rPr>
          <w:rFonts w:hAnsi="宋体"/>
          <w:color w:val="auto"/>
          <w:spacing w:val="-6"/>
          <w:highlight w:val="none"/>
          <w:u w:val="single"/>
        </w:rPr>
      </w:pPr>
    </w:p>
    <w:p>
      <w:pPr>
        <w:pStyle w:val="12"/>
        <w:spacing w:before="0" w:beforeLines="0" w:after="0" w:afterLines="0" w:line="360" w:lineRule="auto"/>
        <w:rPr>
          <w:rFonts w:hAnsi="宋体"/>
          <w:color w:val="auto"/>
          <w:spacing w:val="-6"/>
          <w:highlight w:val="none"/>
          <w:u w:val="single"/>
        </w:rPr>
      </w:pP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投标人名称（盖章）：</w:t>
      </w: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投标人代表签字：</w:t>
      </w:r>
    </w:p>
    <w:p>
      <w:pPr>
        <w:spacing w:line="360" w:lineRule="auto"/>
        <w:rPr>
          <w:rFonts w:ascii="宋体" w:hAnsi="宋体"/>
          <w:bCs/>
          <w:color w:val="auto"/>
          <w:spacing w:val="-6"/>
          <w:sz w:val="21"/>
          <w:szCs w:val="21"/>
          <w:highlight w:val="none"/>
        </w:rPr>
      </w:pPr>
      <w:r>
        <w:rPr>
          <w:rFonts w:hint="eastAsia" w:ascii="宋体" w:hAnsi="宋体"/>
          <w:bCs/>
          <w:color w:val="auto"/>
          <w:spacing w:val="-6"/>
          <w:sz w:val="24"/>
          <w:highlight w:val="none"/>
        </w:rPr>
        <w:t>日期：     年   月   日</w:t>
      </w:r>
    </w:p>
    <w:p>
      <w:pPr>
        <w:spacing w:line="360" w:lineRule="auto"/>
        <w:jc w:val="center"/>
        <w:outlineLvl w:val="2"/>
        <w:rPr>
          <w:rFonts w:ascii="宋体" w:hAnsi="宋体"/>
          <w:color w:val="auto"/>
          <w:spacing w:val="-6"/>
          <w:sz w:val="24"/>
          <w:highlight w:val="none"/>
        </w:rPr>
      </w:pPr>
      <w:r>
        <w:rPr>
          <w:rFonts w:ascii="宋体" w:hAnsi="宋体"/>
          <w:b/>
          <w:color w:val="auto"/>
          <w:spacing w:val="-6"/>
          <w:sz w:val="24"/>
          <w:highlight w:val="none"/>
        </w:rPr>
        <w:br w:type="page"/>
      </w:r>
      <w:r>
        <w:rPr>
          <w:rFonts w:hint="eastAsia" w:ascii="宋体" w:hAnsi="宋体"/>
          <w:b/>
          <w:bCs/>
          <w:color w:val="auto"/>
          <w:sz w:val="24"/>
          <w:highlight w:val="none"/>
        </w:rPr>
        <w:t>投标人企业类型声明函</w:t>
      </w:r>
    </w:p>
    <w:p>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本公司郑重声明，根据《政府采购促进中小企业发展暂行办法》（财库</w:t>
      </w:r>
      <w:r>
        <w:rPr>
          <w:rFonts w:ascii="宋体" w:hAnsi="宋体"/>
          <w:color w:val="auto"/>
          <w:sz w:val="24"/>
          <w:highlight w:val="none"/>
        </w:rPr>
        <w:t>[</w:t>
      </w:r>
      <w:r>
        <w:rPr>
          <w:rFonts w:hint="eastAsia" w:ascii="宋体" w:hAnsi="宋体"/>
          <w:color w:val="auto"/>
          <w:sz w:val="24"/>
          <w:highlight w:val="none"/>
        </w:rPr>
        <w:t>2011</w:t>
      </w:r>
      <w:r>
        <w:rPr>
          <w:rFonts w:ascii="宋体" w:hAnsi="宋体"/>
          <w:color w:val="auto"/>
          <w:sz w:val="24"/>
          <w:highlight w:val="none"/>
        </w:rPr>
        <w:t>]</w:t>
      </w:r>
      <w:r>
        <w:rPr>
          <w:rFonts w:hint="eastAsia" w:ascii="宋体" w:hAnsi="宋体"/>
          <w:color w:val="auto"/>
          <w:sz w:val="24"/>
          <w:highlight w:val="none"/>
        </w:rPr>
        <w:t>181号）的规定，本公司为______（请填写：大型、中型、小型、微型）企业。即，本公司同时满足以下条件：</w:t>
      </w:r>
    </w:p>
    <w:p>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根据《工业和信息化部、国家统计局、国家发展和改革委员会、财政部关于印发中小企业划型标准规定的通知》（工信部联企业[2011]300号）规定的划分标准，本公司为______（请填写：大型、中型、小型、微型）企业。</w:t>
      </w:r>
    </w:p>
    <w:p>
      <w:pPr>
        <w:spacing w:line="360" w:lineRule="auto"/>
        <w:ind w:firstLine="480" w:firstLineChars="200"/>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本公司参加</w:t>
      </w:r>
      <w:r>
        <w:rPr>
          <w:rFonts w:hint="eastAsia" w:ascii="宋体" w:hAnsi="宋体"/>
          <w:bCs/>
          <w:color w:val="auto"/>
          <w:spacing w:val="-6"/>
          <w:sz w:val="24"/>
          <w:highlight w:val="none"/>
        </w:rPr>
        <w:t>杭州电子科技大学</w:t>
      </w:r>
      <w:r>
        <w:rPr>
          <w:rFonts w:hint="eastAsia" w:ascii="宋体" w:hAnsi="宋体"/>
          <w:color w:val="auto"/>
          <w:sz w:val="24"/>
          <w:highlight w:val="none"/>
        </w:rPr>
        <w:t>协同创新中心高教仪器设备采购活动（按投标形式选择填写）：</w:t>
      </w:r>
    </w:p>
    <w:p>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（1）□本公司为直接投标人提供本企业制造的货物。</w:t>
      </w:r>
    </w:p>
    <w:p>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（2）□本公司为代理商，提供其他______（请填写：中型、小型、微型）企业制造的货物。本条所称货物不包括使用大型企业注册商标的货物。</w:t>
      </w:r>
    </w:p>
    <w:p>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本公司对上述声明的真实性负责。如有虚假，将依法承担相应责任。</w:t>
      </w:r>
    </w:p>
    <w:p>
      <w:pPr>
        <w:spacing w:line="360" w:lineRule="auto"/>
        <w:rPr>
          <w:rFonts w:ascii="宋体" w:hAnsi="宋体"/>
          <w:color w:val="auto"/>
          <w:sz w:val="24"/>
          <w:highlight w:val="none"/>
        </w:rPr>
      </w:pPr>
    </w:p>
    <w:p>
      <w:pPr>
        <w:spacing w:line="360" w:lineRule="auto"/>
        <w:rPr>
          <w:rFonts w:ascii="宋体" w:hAnsi="宋体"/>
          <w:color w:val="auto"/>
          <w:sz w:val="24"/>
          <w:highlight w:val="none"/>
        </w:rPr>
      </w:pPr>
    </w:p>
    <w:p>
      <w:pPr>
        <w:spacing w:line="360" w:lineRule="auto"/>
        <w:rPr>
          <w:rFonts w:ascii="宋体" w:hAnsi="宋体"/>
          <w:color w:val="auto"/>
          <w:sz w:val="24"/>
          <w:highlight w:val="none"/>
        </w:rPr>
      </w:pP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投标人名称（盖章）：</w:t>
      </w: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投标人代表签字：</w:t>
      </w: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日期：     年   月   日</w:t>
      </w:r>
    </w:p>
    <w:p>
      <w:pPr>
        <w:spacing w:line="360" w:lineRule="auto"/>
        <w:jc w:val="center"/>
        <w:outlineLvl w:val="2"/>
        <w:rPr>
          <w:rFonts w:ascii="宋体" w:hAnsi="宋体"/>
          <w:color w:val="auto"/>
          <w:sz w:val="24"/>
          <w:highlight w:val="none"/>
        </w:rPr>
      </w:pPr>
      <w:r>
        <w:rPr>
          <w:rFonts w:ascii="宋体" w:hAnsi="宋体"/>
          <w:color w:val="auto"/>
          <w:sz w:val="24"/>
          <w:highlight w:val="none"/>
        </w:rPr>
        <w:br w:type="page"/>
      </w:r>
      <w:r>
        <w:rPr>
          <w:rFonts w:hint="eastAsia" w:ascii="宋体" w:hAnsi="宋体"/>
          <w:b/>
          <w:bCs/>
          <w:color w:val="auto"/>
          <w:sz w:val="24"/>
          <w:highlight w:val="none"/>
        </w:rPr>
        <w:t>小微企业资格证明材料</w:t>
      </w:r>
    </w:p>
    <w:p>
      <w:pPr>
        <w:spacing w:line="360" w:lineRule="auto"/>
        <w:jc w:val="center"/>
        <w:rPr>
          <w:rFonts w:ascii="宋体" w:hAnsi="宋体"/>
          <w:color w:val="auto"/>
          <w:sz w:val="21"/>
          <w:szCs w:val="21"/>
          <w:highlight w:val="none"/>
        </w:rPr>
      </w:pPr>
    </w:p>
    <w:p>
      <w:pPr>
        <w:spacing w:line="360" w:lineRule="auto"/>
        <w:jc w:val="center"/>
        <w:rPr>
          <w:rFonts w:ascii="宋体" w:hAnsi="宋体"/>
          <w:color w:val="auto"/>
          <w:sz w:val="21"/>
          <w:szCs w:val="21"/>
          <w:highlight w:val="none"/>
        </w:rPr>
      </w:pPr>
    </w:p>
    <w:p>
      <w:pPr>
        <w:spacing w:line="360" w:lineRule="auto"/>
        <w:jc w:val="center"/>
        <w:rPr>
          <w:rFonts w:ascii="宋体" w:hAnsi="宋体"/>
          <w:color w:val="auto"/>
          <w:sz w:val="21"/>
          <w:szCs w:val="21"/>
          <w:highlight w:val="none"/>
        </w:rPr>
      </w:pPr>
    </w:p>
    <w:p>
      <w:pPr>
        <w:spacing w:line="360" w:lineRule="auto"/>
        <w:rPr>
          <w:rFonts w:ascii="宋体" w:hAnsi="宋体"/>
          <w:b/>
          <w:bCs/>
          <w:color w:val="auto"/>
          <w:sz w:val="21"/>
          <w:szCs w:val="21"/>
          <w:highlight w:val="none"/>
        </w:rPr>
      </w:pPr>
      <w:r>
        <w:rPr>
          <w:rFonts w:hint="eastAsia" w:ascii="宋体" w:hAnsi="宋体"/>
          <w:b/>
          <w:bCs/>
          <w:color w:val="auto"/>
          <w:sz w:val="21"/>
          <w:szCs w:val="21"/>
          <w:highlight w:val="none"/>
        </w:rPr>
        <w:t>说明</w:t>
      </w:r>
      <w:r>
        <w:rPr>
          <w:rFonts w:ascii="宋体" w:hAnsi="宋体"/>
          <w:b/>
          <w:bCs/>
          <w:color w:val="auto"/>
          <w:sz w:val="21"/>
          <w:szCs w:val="21"/>
          <w:highlight w:val="none"/>
        </w:rPr>
        <w:t>：</w:t>
      </w:r>
    </w:p>
    <w:p>
      <w:pPr>
        <w:spacing w:line="360" w:lineRule="auto"/>
        <w:jc w:val="left"/>
        <w:rPr>
          <w:rFonts w:ascii="宋体" w:hAnsi="宋体"/>
          <w:b/>
          <w:bCs/>
          <w:color w:val="auto"/>
          <w:sz w:val="21"/>
          <w:szCs w:val="21"/>
          <w:highlight w:val="none"/>
        </w:rPr>
      </w:pPr>
      <w:r>
        <w:rPr>
          <w:rFonts w:hint="eastAsia" w:ascii="宋体" w:hAnsi="宋体"/>
          <w:b/>
          <w:bCs/>
          <w:color w:val="auto"/>
          <w:sz w:val="21"/>
          <w:szCs w:val="21"/>
          <w:highlight w:val="none"/>
        </w:rPr>
        <w:t>1.评标委员会将依据“投标人企业类型声明函”及小微企业资格证明材料评定投标人的企业类型；</w:t>
      </w:r>
    </w:p>
    <w:p>
      <w:pPr>
        <w:spacing w:line="360" w:lineRule="auto"/>
        <w:jc w:val="left"/>
        <w:rPr>
          <w:rFonts w:ascii="宋体" w:hAnsi="宋体"/>
          <w:b/>
          <w:bCs/>
          <w:color w:val="auto"/>
          <w:sz w:val="21"/>
          <w:szCs w:val="21"/>
          <w:highlight w:val="none"/>
        </w:rPr>
      </w:pPr>
      <w:r>
        <w:rPr>
          <w:rFonts w:hint="eastAsia" w:ascii="宋体" w:hAnsi="宋体"/>
          <w:b/>
          <w:bCs/>
          <w:color w:val="auto"/>
          <w:sz w:val="21"/>
          <w:szCs w:val="21"/>
          <w:highlight w:val="none"/>
        </w:rPr>
        <w:t>2.小微企业资格证明材料（加盖公章）：投标人在“国家企业信用信息公示系统-小微企业名录”中的网页查询截图或当地中小企业行政主管部门的确认意见；</w:t>
      </w:r>
    </w:p>
    <w:p>
      <w:pPr>
        <w:spacing w:line="360" w:lineRule="auto"/>
        <w:jc w:val="left"/>
        <w:rPr>
          <w:rFonts w:ascii="宋体" w:hAnsi="宋体"/>
          <w:b/>
          <w:bCs/>
          <w:color w:val="auto"/>
          <w:sz w:val="21"/>
          <w:szCs w:val="21"/>
          <w:highlight w:val="none"/>
        </w:rPr>
      </w:pPr>
      <w:r>
        <w:rPr>
          <w:rFonts w:hint="eastAsia" w:ascii="宋体" w:hAnsi="宋体"/>
          <w:b/>
          <w:bCs/>
          <w:color w:val="auto"/>
          <w:sz w:val="21"/>
          <w:szCs w:val="21"/>
          <w:highlight w:val="none"/>
        </w:rPr>
        <w:t>3</w:t>
      </w:r>
      <w:r>
        <w:rPr>
          <w:rFonts w:ascii="宋体" w:hAnsi="宋体"/>
          <w:b/>
          <w:bCs/>
          <w:color w:val="auto"/>
          <w:sz w:val="21"/>
          <w:szCs w:val="21"/>
          <w:highlight w:val="none"/>
        </w:rPr>
        <w:t>.如投标人为代理商</w:t>
      </w:r>
      <w:r>
        <w:rPr>
          <w:rFonts w:hint="eastAsia" w:ascii="宋体" w:hAnsi="宋体"/>
          <w:b/>
          <w:bCs/>
          <w:color w:val="auto"/>
          <w:sz w:val="21"/>
          <w:szCs w:val="21"/>
          <w:highlight w:val="none"/>
        </w:rPr>
        <w:t>，提供其它小微企业</w:t>
      </w:r>
      <w:r>
        <w:rPr>
          <w:rFonts w:ascii="宋体" w:hAnsi="宋体"/>
          <w:b/>
          <w:bCs/>
          <w:color w:val="auto"/>
          <w:sz w:val="21"/>
          <w:szCs w:val="21"/>
          <w:highlight w:val="none"/>
        </w:rPr>
        <w:t>制造的货物的，</w:t>
      </w:r>
      <w:r>
        <w:rPr>
          <w:rFonts w:hint="eastAsia" w:ascii="宋体" w:hAnsi="宋体"/>
          <w:b/>
          <w:bCs/>
          <w:color w:val="auto"/>
          <w:sz w:val="21"/>
          <w:szCs w:val="21"/>
          <w:highlight w:val="none"/>
        </w:rPr>
        <w:t>所</w:t>
      </w:r>
      <w:r>
        <w:rPr>
          <w:rFonts w:ascii="宋体" w:hAnsi="宋体"/>
          <w:b/>
          <w:bCs/>
          <w:color w:val="auto"/>
          <w:sz w:val="21"/>
          <w:szCs w:val="21"/>
          <w:highlight w:val="none"/>
        </w:rPr>
        <w:t>代理品牌</w:t>
      </w:r>
      <w:r>
        <w:rPr>
          <w:rFonts w:hint="eastAsia" w:ascii="宋体" w:hAnsi="宋体"/>
          <w:b/>
          <w:bCs/>
          <w:color w:val="auto"/>
          <w:sz w:val="21"/>
          <w:szCs w:val="21"/>
          <w:highlight w:val="none"/>
        </w:rPr>
        <w:t>制造</w:t>
      </w:r>
      <w:r>
        <w:rPr>
          <w:rFonts w:ascii="宋体" w:hAnsi="宋体"/>
          <w:b/>
          <w:bCs/>
          <w:color w:val="auto"/>
          <w:sz w:val="21"/>
          <w:szCs w:val="21"/>
          <w:highlight w:val="none"/>
        </w:rPr>
        <w:t>商</w:t>
      </w:r>
      <w:r>
        <w:rPr>
          <w:rFonts w:hint="eastAsia" w:ascii="宋体" w:hAnsi="宋体"/>
          <w:b/>
          <w:bCs/>
          <w:color w:val="auto"/>
          <w:sz w:val="21"/>
          <w:szCs w:val="21"/>
          <w:highlight w:val="none"/>
        </w:rPr>
        <w:t>的小微企业资格证明材料也需同时提供；</w:t>
      </w:r>
    </w:p>
    <w:p>
      <w:pPr>
        <w:spacing w:line="360" w:lineRule="auto"/>
        <w:jc w:val="left"/>
        <w:rPr>
          <w:rFonts w:ascii="宋体" w:hAnsi="宋体"/>
          <w:b/>
          <w:bCs/>
          <w:color w:val="auto"/>
          <w:sz w:val="21"/>
          <w:szCs w:val="21"/>
          <w:highlight w:val="none"/>
        </w:rPr>
      </w:pPr>
      <w:r>
        <w:rPr>
          <w:rFonts w:hint="eastAsia" w:ascii="宋体" w:hAnsi="宋体"/>
          <w:b/>
          <w:bCs/>
          <w:color w:val="auto"/>
          <w:sz w:val="21"/>
          <w:szCs w:val="21"/>
          <w:highlight w:val="none"/>
        </w:rPr>
        <w:t>4.小微企业资格证明材料中认定情形为“中小企业”等无法界定投标人或其代理品牌制造商具体企业类型的均为无效证明材料。</w:t>
      </w:r>
    </w:p>
    <w:p>
      <w:pPr>
        <w:spacing w:line="360" w:lineRule="auto"/>
        <w:jc w:val="center"/>
        <w:outlineLvl w:val="2"/>
        <w:rPr>
          <w:rFonts w:ascii="宋体" w:hAnsi="宋体"/>
          <w:b/>
          <w:bCs/>
          <w:color w:val="auto"/>
          <w:sz w:val="24"/>
          <w:highlight w:val="none"/>
        </w:rPr>
      </w:pPr>
      <w:r>
        <w:rPr>
          <w:rFonts w:ascii="宋体" w:hAnsi="宋体"/>
          <w:b/>
          <w:bCs/>
          <w:color w:val="auto"/>
          <w:sz w:val="24"/>
          <w:highlight w:val="none"/>
        </w:rPr>
        <w:br w:type="page"/>
      </w:r>
      <w:r>
        <w:rPr>
          <w:rFonts w:hint="eastAsia" w:ascii="宋体" w:hAnsi="宋体"/>
          <w:b/>
          <w:bCs/>
          <w:color w:val="auto"/>
          <w:sz w:val="24"/>
          <w:highlight w:val="none"/>
        </w:rPr>
        <w:t>监狱企业资格证明材料</w:t>
      </w:r>
    </w:p>
    <w:p>
      <w:pPr>
        <w:spacing w:line="360" w:lineRule="auto"/>
        <w:jc w:val="center"/>
        <w:rPr>
          <w:rFonts w:ascii="宋体" w:hAnsi="宋体"/>
          <w:b/>
          <w:bCs/>
          <w:color w:val="auto"/>
          <w:sz w:val="21"/>
          <w:szCs w:val="21"/>
          <w:highlight w:val="none"/>
        </w:rPr>
      </w:pPr>
      <w:r>
        <w:rPr>
          <w:rFonts w:hint="eastAsia" w:ascii="宋体" w:hAnsi="宋体"/>
          <w:b/>
          <w:bCs/>
          <w:color w:val="auto"/>
          <w:sz w:val="21"/>
          <w:szCs w:val="21"/>
          <w:highlight w:val="none"/>
        </w:rPr>
        <w:t>【省级以上监狱管理局、戒毒管理局（含新疆生产建设兵团）出具的属于监狱企业的证明文件】</w:t>
      </w:r>
    </w:p>
    <w:p>
      <w:pPr>
        <w:spacing w:line="360" w:lineRule="auto"/>
        <w:ind w:firstLine="536" w:firstLineChars="200"/>
        <w:jc w:val="center"/>
        <w:rPr>
          <w:rFonts w:hAnsi="宋体"/>
          <w:b/>
          <w:color w:val="auto"/>
          <w:spacing w:val="6"/>
          <w:sz w:val="24"/>
          <w:highlight w:val="none"/>
        </w:rPr>
      </w:pPr>
      <w:r>
        <w:rPr>
          <w:rFonts w:hAnsi="宋体"/>
          <w:color w:val="auto"/>
          <w:spacing w:val="-6"/>
          <w:highlight w:val="none"/>
        </w:rPr>
        <w:br w:type="page"/>
      </w:r>
      <w:r>
        <w:rPr>
          <w:rFonts w:hint="eastAsia" w:hAnsi="宋体"/>
          <w:b/>
          <w:color w:val="auto"/>
          <w:spacing w:val="6"/>
          <w:sz w:val="24"/>
          <w:highlight w:val="none"/>
        </w:rPr>
        <w:t>残疾人福利性单位声明函</w:t>
      </w:r>
    </w:p>
    <w:p>
      <w:pPr>
        <w:spacing w:line="360" w:lineRule="auto"/>
        <w:ind w:firstLine="504" w:firstLineChars="200"/>
        <w:rPr>
          <w:rFonts w:ascii="宋体" w:hAnsi="宋体"/>
          <w:color w:val="auto"/>
          <w:spacing w:val="6"/>
          <w:sz w:val="24"/>
          <w:highlight w:val="none"/>
        </w:rPr>
      </w:pPr>
      <w:r>
        <w:rPr>
          <w:rFonts w:hint="eastAsia" w:ascii="宋体" w:hAnsi="宋体"/>
          <w:color w:val="auto"/>
          <w:spacing w:val="6"/>
          <w:sz w:val="24"/>
          <w:highlight w:val="none"/>
        </w:rPr>
        <w:t>本单位郑重声明，根据《财政部 民政部 中国残疾人联合会关于促进残疾人就业政府采购政策的通知》（财库</w:t>
      </w:r>
      <w:r>
        <w:rPr>
          <w:rFonts w:hint="eastAsia" w:ascii="宋体" w:hAnsi="宋体"/>
          <w:color w:val="auto"/>
          <w:sz w:val="24"/>
          <w:highlight w:val="none"/>
        </w:rPr>
        <w:t>[2017]141</w:t>
      </w:r>
      <w:r>
        <w:rPr>
          <w:rFonts w:hint="eastAsia" w:ascii="宋体" w:hAnsi="宋体"/>
          <w:color w:val="auto"/>
          <w:spacing w:val="6"/>
          <w:sz w:val="24"/>
          <w:highlight w:val="none"/>
        </w:rPr>
        <w:t>号）的规定，本单位为符合条件的残疾人福利性单位，且本单位参加</w:t>
      </w:r>
      <w:r>
        <w:rPr>
          <w:rFonts w:hint="eastAsia" w:ascii="宋体" w:hAnsi="宋体"/>
          <w:color w:val="auto"/>
          <w:sz w:val="24"/>
          <w:highlight w:val="none"/>
        </w:rPr>
        <w:t>杭州电子科技大学</w:t>
      </w:r>
      <w:r>
        <w:rPr>
          <w:rFonts w:hint="eastAsia" w:ascii="宋体" w:hAnsi="宋体"/>
          <w:color w:val="auto"/>
          <w:spacing w:val="6"/>
          <w:sz w:val="24"/>
          <w:highlight w:val="none"/>
        </w:rPr>
        <w:t>的协同创新中心高教仪器设备采购活动提供本单位制造的货物，或者提供其他残疾人福利性单位制造的货物（不包括使用非残疾人福利性单位注册商标的货物）。</w:t>
      </w:r>
    </w:p>
    <w:p>
      <w:pPr>
        <w:spacing w:line="360" w:lineRule="auto"/>
        <w:ind w:firstLine="504" w:firstLineChars="200"/>
        <w:rPr>
          <w:rFonts w:ascii="宋体" w:hAnsi="宋体"/>
          <w:color w:val="auto"/>
          <w:spacing w:val="6"/>
          <w:sz w:val="24"/>
          <w:highlight w:val="none"/>
        </w:rPr>
      </w:pPr>
      <w:r>
        <w:rPr>
          <w:rFonts w:hint="eastAsia" w:ascii="宋体" w:hAnsi="宋体"/>
          <w:color w:val="auto"/>
          <w:spacing w:val="6"/>
          <w:sz w:val="24"/>
          <w:highlight w:val="none"/>
        </w:rPr>
        <w:t>本单位对上述声明的真实性负责。如有虚假，将依法承担相应责任。</w:t>
      </w:r>
    </w:p>
    <w:p>
      <w:pPr>
        <w:spacing w:line="360" w:lineRule="auto"/>
        <w:rPr>
          <w:rFonts w:hAnsi="宋体"/>
          <w:color w:val="auto"/>
          <w:spacing w:val="-6"/>
          <w:sz w:val="24"/>
          <w:highlight w:val="none"/>
        </w:rPr>
      </w:pP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投标人名称（盖章）：</w:t>
      </w: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投标人代表签字：</w:t>
      </w:r>
    </w:p>
    <w:p>
      <w:pPr>
        <w:spacing w:line="360" w:lineRule="auto"/>
        <w:jc w:val="left"/>
        <w:rPr>
          <w:rFonts w:ascii="宋体" w:hAnsi="宋体"/>
          <w:b/>
          <w:bCs/>
          <w:color w:val="auto"/>
          <w:sz w:val="21"/>
          <w:szCs w:val="21"/>
          <w:highlight w:val="none"/>
        </w:rPr>
      </w:pPr>
      <w:r>
        <w:rPr>
          <w:rFonts w:hint="eastAsia" w:ascii="宋体" w:hAnsi="宋体"/>
          <w:color w:val="auto"/>
          <w:spacing w:val="-6"/>
          <w:sz w:val="24"/>
          <w:highlight w:val="none"/>
        </w:rPr>
        <w:t>日期：     年   月   日</w:t>
      </w:r>
    </w:p>
    <w:p>
      <w:pPr>
        <w:spacing w:line="360" w:lineRule="auto"/>
        <w:rPr>
          <w:rFonts w:ascii="宋体" w:hAnsi="宋体"/>
          <w:b/>
          <w:bCs/>
          <w:color w:val="auto"/>
          <w:sz w:val="21"/>
          <w:szCs w:val="21"/>
          <w:highlight w:val="none"/>
        </w:rPr>
      </w:pPr>
    </w:p>
    <w:p>
      <w:pPr>
        <w:spacing w:line="360" w:lineRule="auto"/>
        <w:rPr>
          <w:rFonts w:ascii="宋体" w:hAnsi="宋体"/>
          <w:b/>
          <w:bCs/>
          <w:color w:val="auto"/>
          <w:sz w:val="21"/>
          <w:szCs w:val="21"/>
          <w:highlight w:val="none"/>
        </w:rPr>
      </w:pPr>
      <w:r>
        <w:rPr>
          <w:rFonts w:hint="eastAsia" w:ascii="宋体" w:hAnsi="宋体"/>
          <w:b/>
          <w:bCs/>
          <w:color w:val="auto"/>
          <w:sz w:val="21"/>
          <w:szCs w:val="21"/>
          <w:highlight w:val="none"/>
        </w:rPr>
        <w:t>说明</w:t>
      </w:r>
      <w:r>
        <w:rPr>
          <w:rFonts w:ascii="宋体" w:hAnsi="宋体"/>
          <w:b/>
          <w:bCs/>
          <w:color w:val="auto"/>
          <w:sz w:val="21"/>
          <w:szCs w:val="21"/>
          <w:highlight w:val="none"/>
        </w:rPr>
        <w:t>：</w:t>
      </w:r>
    </w:p>
    <w:p>
      <w:pPr>
        <w:spacing w:line="360" w:lineRule="auto"/>
        <w:ind w:firstLine="420" w:firstLineChars="200"/>
        <w:jc w:val="left"/>
        <w:rPr>
          <w:rFonts w:ascii="宋体" w:hAnsi="宋体"/>
          <w:color w:val="auto"/>
          <w:spacing w:val="6"/>
          <w:sz w:val="21"/>
          <w:szCs w:val="21"/>
          <w:highlight w:val="none"/>
        </w:rPr>
      </w:pPr>
      <w:r>
        <w:rPr>
          <w:rFonts w:hint="eastAsia" w:ascii="宋体" w:hAnsi="宋体"/>
          <w:bCs/>
          <w:color w:val="auto"/>
          <w:sz w:val="21"/>
          <w:szCs w:val="21"/>
          <w:highlight w:val="none"/>
        </w:rPr>
        <w:t>1</w:t>
      </w:r>
      <w:r>
        <w:rPr>
          <w:rFonts w:ascii="宋体" w:hAnsi="宋体"/>
          <w:bCs/>
          <w:color w:val="auto"/>
          <w:sz w:val="21"/>
          <w:szCs w:val="21"/>
          <w:highlight w:val="none"/>
        </w:rPr>
        <w:t>.</w:t>
      </w:r>
      <w:r>
        <w:rPr>
          <w:rFonts w:hint="eastAsia" w:ascii="宋体" w:hAnsi="宋体"/>
          <w:color w:val="auto"/>
          <w:spacing w:val="6"/>
          <w:sz w:val="21"/>
          <w:szCs w:val="21"/>
          <w:highlight w:val="none"/>
        </w:rPr>
        <w:t>若投标人同时满足以下条件，则属于依法享受政府采购支持政策的残疾人福利性单位，可提供《残疾人福利性单位声明函》，并对声明的真实性负责：</w:t>
      </w:r>
    </w:p>
    <w:p>
      <w:pPr>
        <w:widowControl/>
        <w:shd w:val="clear" w:color="auto" w:fill="FFFFFF"/>
        <w:spacing w:line="360" w:lineRule="auto"/>
        <w:ind w:firstLine="444"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（一）安置的残疾人占本单位在职职工人数的比例不低于25%（含25%），并且安置的残疾人人数不少于10人（含10人）；</w:t>
      </w:r>
    </w:p>
    <w:p>
      <w:pPr>
        <w:widowControl/>
        <w:shd w:val="clear" w:color="auto" w:fill="FFFFFF"/>
        <w:spacing w:line="360" w:lineRule="auto"/>
        <w:ind w:firstLine="444"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（二）依法与安置的每位残疾人签订了一年以上（含一年）的劳动合同或服务协议；</w:t>
      </w:r>
    </w:p>
    <w:p>
      <w:pPr>
        <w:widowControl/>
        <w:shd w:val="clear" w:color="auto" w:fill="FFFFFF"/>
        <w:spacing w:line="360" w:lineRule="auto"/>
        <w:ind w:firstLine="444"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（三）为安置的每位残疾人按月足额缴纳了基本养老保险、基本医疗保险、失业保险、工伤保险和生育保险等社会保险费；</w:t>
      </w:r>
    </w:p>
    <w:p>
      <w:pPr>
        <w:widowControl/>
        <w:shd w:val="clear" w:color="auto" w:fill="FFFFFF"/>
        <w:spacing w:line="360" w:lineRule="auto"/>
        <w:ind w:firstLine="444"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（四）通过银行等金融机构向安置的每位残疾人，按月支付了不低于单位所在区县适用的经省级人民政府批准的月最低工资标准的工资；</w:t>
      </w:r>
    </w:p>
    <w:p>
      <w:pPr>
        <w:widowControl/>
        <w:shd w:val="clear" w:color="auto" w:fill="FFFFFF"/>
        <w:spacing w:line="360" w:lineRule="auto"/>
        <w:ind w:firstLine="444"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（五）提供本单位制造的货物、承担的工程或者服务（以下简称产品），或者提供其他残疾人福利性单位制造的货物（不包括使用非残疾人福利性单位注册商标的货物）。</w:t>
      </w:r>
    </w:p>
    <w:p>
      <w:pPr>
        <w:widowControl/>
        <w:shd w:val="clear" w:color="auto" w:fill="FFFFFF"/>
        <w:spacing w:line="360" w:lineRule="auto"/>
        <w:ind w:firstLine="444"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spacing w:line="360" w:lineRule="auto"/>
        <w:ind w:firstLine="420" w:firstLineChars="200"/>
        <w:jc w:val="left"/>
        <w:rPr>
          <w:rFonts w:ascii="宋体" w:hAnsi="宋体"/>
          <w:bCs/>
          <w:color w:val="auto"/>
          <w:sz w:val="21"/>
          <w:szCs w:val="21"/>
          <w:highlight w:val="none"/>
        </w:rPr>
      </w:pPr>
      <w:r>
        <w:rPr>
          <w:rFonts w:hint="eastAsia" w:ascii="宋体" w:hAnsi="宋体"/>
          <w:bCs/>
          <w:color w:val="auto"/>
          <w:sz w:val="21"/>
          <w:szCs w:val="21"/>
          <w:highlight w:val="none"/>
        </w:rPr>
        <w:t>2.中标人为残疾人福利性单位的，《残疾人福利性单位声明函》随中标结果同时公告，接受社会监督。</w:t>
      </w:r>
    </w:p>
    <w:p>
      <w:pPr>
        <w:pStyle w:val="7"/>
        <w:overflowPunct w:val="0"/>
        <w:spacing w:line="360" w:lineRule="auto"/>
        <w:ind w:firstLine="0"/>
        <w:jc w:val="center"/>
        <w:rPr>
          <w:rFonts w:ascii="宋体" w:hAnsi="宋体"/>
          <w:bCs/>
          <w:color w:val="auto"/>
          <w:szCs w:val="21"/>
          <w:highlight w:val="none"/>
        </w:rPr>
      </w:pPr>
      <w:r>
        <w:rPr>
          <w:rFonts w:hint="eastAsia" w:ascii="宋体" w:hAnsi="宋体"/>
          <w:b/>
          <w:color w:val="auto"/>
          <w:spacing w:val="6"/>
          <w:szCs w:val="21"/>
          <w:highlight w:val="none"/>
        </w:rPr>
        <w:t>投标人不属于残疾人福利性单位的，无需提供此声明函，如提供所引起的后果由投标人承担。</w:t>
      </w:r>
    </w:p>
    <w:p>
      <w:pPr>
        <w:spacing w:line="360" w:lineRule="auto"/>
        <w:outlineLvl w:val="1"/>
        <w:rPr>
          <w:rFonts w:ascii="宋体" w:hAnsi="宋体"/>
          <w:bCs/>
          <w:color w:val="auto"/>
          <w:spacing w:val="-6"/>
          <w:sz w:val="24"/>
          <w:highlight w:val="none"/>
        </w:rPr>
      </w:pPr>
      <w:r>
        <w:rPr>
          <w:rFonts w:ascii="宋体" w:hAnsi="宋体"/>
          <w:b/>
          <w:color w:val="auto"/>
          <w:spacing w:val="-6"/>
          <w:sz w:val="52"/>
          <w:szCs w:val="52"/>
          <w:highlight w:val="none"/>
        </w:rPr>
        <w:br w:type="page"/>
      </w:r>
      <w:r>
        <w:rPr>
          <w:rFonts w:hint="eastAsia" w:ascii="宋体" w:hAnsi="宋体"/>
          <w:bCs/>
          <w:color w:val="auto"/>
          <w:spacing w:val="-6"/>
          <w:sz w:val="24"/>
          <w:highlight w:val="none"/>
        </w:rPr>
        <w:t>商务技术文件封面</w:t>
      </w:r>
    </w:p>
    <w:p>
      <w:pPr>
        <w:spacing w:line="360" w:lineRule="auto"/>
        <w:jc w:val="right"/>
        <w:rPr>
          <w:rFonts w:ascii="宋体" w:hAnsi="宋体"/>
          <w:color w:val="auto"/>
          <w:spacing w:val="-6"/>
          <w:sz w:val="24"/>
          <w:highlight w:val="none"/>
        </w:rPr>
      </w:pPr>
    </w:p>
    <w:p>
      <w:pPr>
        <w:spacing w:line="360" w:lineRule="auto"/>
        <w:rPr>
          <w:rFonts w:ascii="宋体" w:hAnsi="宋体"/>
          <w:color w:val="auto"/>
          <w:spacing w:val="-6"/>
          <w:sz w:val="24"/>
          <w:highlight w:val="none"/>
        </w:rPr>
      </w:pPr>
    </w:p>
    <w:p>
      <w:pPr>
        <w:spacing w:line="360" w:lineRule="auto"/>
        <w:jc w:val="center"/>
        <w:rPr>
          <w:rFonts w:ascii="宋体" w:hAnsi="宋体"/>
          <w:bCs/>
          <w:color w:val="auto"/>
          <w:spacing w:val="-6"/>
          <w:sz w:val="24"/>
          <w:highlight w:val="none"/>
        </w:rPr>
      </w:pPr>
      <w:r>
        <w:rPr>
          <w:rFonts w:hint="eastAsia" w:ascii="宋体" w:hAnsi="宋体"/>
          <w:bCs/>
          <w:color w:val="auto"/>
          <w:spacing w:val="-6"/>
          <w:sz w:val="24"/>
          <w:highlight w:val="none"/>
          <w:u w:val="single"/>
        </w:rPr>
        <w:t xml:space="preserve">                    </w:t>
      </w:r>
      <w:r>
        <w:rPr>
          <w:rFonts w:hint="eastAsia" w:ascii="宋体" w:hAnsi="宋体"/>
          <w:bCs/>
          <w:color w:val="auto"/>
          <w:spacing w:val="-6"/>
          <w:sz w:val="24"/>
          <w:highlight w:val="none"/>
        </w:rPr>
        <w:t>（投标人名称）</w:t>
      </w:r>
    </w:p>
    <w:p>
      <w:pPr>
        <w:spacing w:line="360" w:lineRule="auto"/>
        <w:jc w:val="center"/>
        <w:rPr>
          <w:rFonts w:ascii="宋体" w:hAnsi="宋体"/>
          <w:b/>
          <w:bCs/>
          <w:color w:val="auto"/>
          <w:spacing w:val="-6"/>
          <w:sz w:val="24"/>
          <w:highlight w:val="none"/>
        </w:rPr>
      </w:pPr>
      <w:r>
        <w:rPr>
          <w:rFonts w:hint="eastAsia" w:ascii="宋体" w:hAnsi="宋体"/>
          <w:b/>
          <w:bCs/>
          <w:color w:val="auto"/>
          <w:spacing w:val="-6"/>
          <w:sz w:val="24"/>
          <w:highlight w:val="none"/>
        </w:rPr>
        <w:t>商务技术文件</w:t>
      </w:r>
    </w:p>
    <w:p>
      <w:pPr>
        <w:spacing w:line="360" w:lineRule="auto"/>
        <w:rPr>
          <w:rFonts w:ascii="宋体" w:hAnsi="宋体"/>
          <w:bCs/>
          <w:color w:val="auto"/>
          <w:spacing w:val="-6"/>
          <w:sz w:val="24"/>
          <w:highlight w:val="none"/>
        </w:rPr>
      </w:pPr>
    </w:p>
    <w:p>
      <w:pPr>
        <w:spacing w:line="360" w:lineRule="auto"/>
        <w:rPr>
          <w:rFonts w:ascii="宋体" w:hAnsi="宋体"/>
          <w:bCs/>
          <w:color w:val="auto"/>
          <w:spacing w:val="-6"/>
          <w:sz w:val="24"/>
          <w:highlight w:val="none"/>
        </w:rPr>
      </w:pPr>
      <w:r>
        <w:rPr>
          <w:rFonts w:hint="eastAsia" w:ascii="宋体" w:hAnsi="宋体"/>
          <w:bCs/>
          <w:color w:val="auto"/>
          <w:spacing w:val="-6"/>
          <w:sz w:val="24"/>
          <w:highlight w:val="none"/>
        </w:rPr>
        <w:t>采 购 人：杭州电子科技大学</w:t>
      </w:r>
    </w:p>
    <w:p>
      <w:pPr>
        <w:spacing w:line="360" w:lineRule="auto"/>
        <w:rPr>
          <w:rFonts w:ascii="宋体" w:hAnsi="宋体"/>
          <w:bCs/>
          <w:color w:val="auto"/>
          <w:spacing w:val="-6"/>
          <w:sz w:val="24"/>
          <w:highlight w:val="none"/>
        </w:rPr>
      </w:pPr>
      <w:r>
        <w:rPr>
          <w:rFonts w:hint="eastAsia" w:ascii="宋体" w:hAnsi="宋体"/>
          <w:bCs/>
          <w:color w:val="auto"/>
          <w:spacing w:val="-6"/>
          <w:sz w:val="24"/>
          <w:highlight w:val="none"/>
        </w:rPr>
        <w:t>项目名称：协同创新中心高教仪器设备</w:t>
      </w:r>
    </w:p>
    <w:p>
      <w:pPr>
        <w:spacing w:line="360" w:lineRule="auto"/>
        <w:rPr>
          <w:rFonts w:ascii="宋体" w:hAnsi="宋体"/>
          <w:bCs/>
          <w:color w:val="auto"/>
          <w:spacing w:val="-6"/>
          <w:sz w:val="24"/>
          <w:highlight w:val="none"/>
        </w:rPr>
      </w:pPr>
      <w:r>
        <w:rPr>
          <w:rFonts w:hint="eastAsia" w:ascii="宋体" w:hAnsi="宋体"/>
          <w:bCs/>
          <w:color w:val="auto"/>
          <w:spacing w:val="-6"/>
          <w:sz w:val="24"/>
          <w:highlight w:val="none"/>
        </w:rPr>
        <w:t xml:space="preserve">项目编号：QSZB-Z(H)-B20132(GK) </w:t>
      </w:r>
    </w:p>
    <w:p>
      <w:pPr>
        <w:spacing w:line="360" w:lineRule="auto"/>
        <w:rPr>
          <w:rFonts w:ascii="宋体" w:hAnsi="宋体"/>
          <w:bCs/>
          <w:color w:val="auto"/>
          <w:spacing w:val="-6"/>
          <w:sz w:val="24"/>
          <w:highlight w:val="none"/>
        </w:rPr>
      </w:pPr>
      <w:r>
        <w:rPr>
          <w:rFonts w:hint="eastAsia" w:ascii="宋体" w:hAnsi="宋体"/>
          <w:bCs/>
          <w:color w:val="auto"/>
          <w:spacing w:val="-6"/>
          <w:sz w:val="24"/>
          <w:highlight w:val="none"/>
        </w:rPr>
        <w:t>投标人名称（盖章）：</w:t>
      </w:r>
    </w:p>
    <w:p>
      <w:pPr>
        <w:spacing w:line="360" w:lineRule="auto"/>
        <w:rPr>
          <w:rFonts w:ascii="宋体" w:hAnsi="宋体"/>
          <w:bCs/>
          <w:color w:val="auto"/>
          <w:spacing w:val="-6"/>
          <w:sz w:val="24"/>
          <w:highlight w:val="none"/>
        </w:rPr>
      </w:pPr>
      <w:r>
        <w:rPr>
          <w:rFonts w:hint="eastAsia" w:ascii="宋体" w:hAnsi="宋体"/>
          <w:bCs/>
          <w:color w:val="auto"/>
          <w:spacing w:val="-6"/>
          <w:sz w:val="24"/>
          <w:highlight w:val="none"/>
        </w:rPr>
        <w:t>投标人地址：</w:t>
      </w:r>
    </w:p>
    <w:p>
      <w:pPr>
        <w:spacing w:line="360" w:lineRule="auto"/>
        <w:rPr>
          <w:rFonts w:ascii="宋体" w:hAnsi="宋体"/>
          <w:bCs/>
          <w:color w:val="auto"/>
          <w:spacing w:val="-6"/>
          <w:sz w:val="24"/>
          <w:highlight w:val="none"/>
        </w:rPr>
      </w:pPr>
    </w:p>
    <w:p>
      <w:pPr>
        <w:spacing w:line="360" w:lineRule="auto"/>
        <w:rPr>
          <w:rFonts w:ascii="宋体" w:hAnsi="宋体"/>
          <w:bCs/>
          <w:color w:val="auto"/>
          <w:spacing w:val="-6"/>
          <w:sz w:val="24"/>
          <w:highlight w:val="none"/>
        </w:rPr>
      </w:pPr>
      <w:r>
        <w:rPr>
          <w:rFonts w:hint="eastAsia" w:ascii="宋体" w:hAnsi="宋体"/>
          <w:bCs/>
          <w:color w:val="auto"/>
          <w:spacing w:val="-6"/>
          <w:sz w:val="24"/>
          <w:highlight w:val="none"/>
        </w:rPr>
        <w:t>投标人代表签字：</w:t>
      </w:r>
    </w:p>
    <w:p>
      <w:pPr>
        <w:pStyle w:val="2"/>
        <w:spacing w:line="480" w:lineRule="auto"/>
        <w:ind w:firstLine="0"/>
        <w:rPr>
          <w:rFonts w:hAnsi="宋体"/>
          <w:bCs/>
          <w:color w:val="auto"/>
          <w:spacing w:val="-6"/>
          <w:sz w:val="24"/>
          <w:highlight w:val="none"/>
        </w:rPr>
      </w:pPr>
      <w:r>
        <w:rPr>
          <w:rFonts w:hint="eastAsia" w:hAnsi="宋体"/>
          <w:bCs/>
          <w:color w:val="auto"/>
          <w:spacing w:val="-6"/>
          <w:sz w:val="24"/>
          <w:highlight w:val="none"/>
        </w:rPr>
        <w:t>日期：     年   月   日</w:t>
      </w:r>
    </w:p>
    <w:p>
      <w:pPr>
        <w:pStyle w:val="2"/>
        <w:spacing w:line="480" w:lineRule="auto"/>
        <w:ind w:firstLine="0"/>
        <w:rPr>
          <w:rFonts w:hAnsi="宋体"/>
          <w:b/>
          <w:color w:val="auto"/>
          <w:spacing w:val="-6"/>
          <w:sz w:val="24"/>
          <w:highlight w:val="none"/>
        </w:rPr>
      </w:pPr>
      <w:r>
        <w:rPr>
          <w:rFonts w:hAnsi="宋体"/>
          <w:b/>
          <w:color w:val="auto"/>
          <w:spacing w:val="-6"/>
          <w:sz w:val="52"/>
          <w:szCs w:val="52"/>
          <w:highlight w:val="none"/>
        </w:rPr>
        <w:br w:type="page"/>
      </w:r>
    </w:p>
    <w:p>
      <w:pPr>
        <w:pStyle w:val="2"/>
        <w:spacing w:line="480" w:lineRule="auto"/>
        <w:ind w:firstLine="0"/>
        <w:jc w:val="center"/>
        <w:rPr>
          <w:rFonts w:hAnsi="宋体"/>
          <w:b/>
          <w:color w:val="auto"/>
          <w:spacing w:val="-6"/>
          <w:sz w:val="24"/>
          <w:highlight w:val="none"/>
        </w:rPr>
      </w:pPr>
    </w:p>
    <w:p>
      <w:pPr>
        <w:pStyle w:val="2"/>
        <w:spacing w:line="480" w:lineRule="auto"/>
        <w:ind w:firstLine="0"/>
        <w:jc w:val="center"/>
        <w:rPr>
          <w:rFonts w:hAnsi="宋体"/>
          <w:b/>
          <w:color w:val="auto"/>
          <w:spacing w:val="-6"/>
          <w:sz w:val="24"/>
          <w:highlight w:val="none"/>
        </w:rPr>
      </w:pPr>
    </w:p>
    <w:p>
      <w:pPr>
        <w:pStyle w:val="2"/>
        <w:spacing w:line="480" w:lineRule="auto"/>
        <w:ind w:firstLine="0"/>
        <w:jc w:val="center"/>
        <w:rPr>
          <w:rFonts w:hAnsi="宋体"/>
          <w:b/>
          <w:color w:val="auto"/>
          <w:spacing w:val="-6"/>
          <w:sz w:val="24"/>
          <w:highlight w:val="none"/>
        </w:rPr>
      </w:pPr>
    </w:p>
    <w:p>
      <w:pPr>
        <w:pStyle w:val="2"/>
        <w:spacing w:line="480" w:lineRule="auto"/>
        <w:ind w:firstLine="0"/>
        <w:jc w:val="center"/>
        <w:rPr>
          <w:rFonts w:hAnsi="宋体"/>
          <w:b/>
          <w:color w:val="auto"/>
          <w:spacing w:val="-6"/>
          <w:sz w:val="24"/>
          <w:highlight w:val="none"/>
        </w:rPr>
      </w:pPr>
    </w:p>
    <w:p>
      <w:pPr>
        <w:pStyle w:val="2"/>
        <w:spacing w:line="480" w:lineRule="auto"/>
        <w:ind w:firstLine="0"/>
        <w:jc w:val="center"/>
        <w:rPr>
          <w:rFonts w:hAnsi="宋体"/>
          <w:b/>
          <w:color w:val="auto"/>
          <w:spacing w:val="-6"/>
          <w:sz w:val="24"/>
          <w:highlight w:val="none"/>
        </w:rPr>
      </w:pPr>
    </w:p>
    <w:p>
      <w:pPr>
        <w:pStyle w:val="2"/>
        <w:spacing w:line="480" w:lineRule="auto"/>
        <w:ind w:firstLine="0"/>
        <w:jc w:val="center"/>
        <w:rPr>
          <w:rFonts w:hAnsi="宋体"/>
          <w:b/>
          <w:color w:val="auto"/>
          <w:spacing w:val="-6"/>
          <w:sz w:val="24"/>
          <w:highlight w:val="none"/>
        </w:rPr>
      </w:pPr>
    </w:p>
    <w:p>
      <w:pPr>
        <w:pStyle w:val="2"/>
        <w:spacing w:line="480" w:lineRule="auto"/>
        <w:ind w:firstLine="0"/>
        <w:jc w:val="center"/>
        <w:rPr>
          <w:rFonts w:hAnsi="宋体"/>
          <w:b/>
          <w:color w:val="auto"/>
          <w:spacing w:val="-6"/>
          <w:sz w:val="24"/>
          <w:highlight w:val="none"/>
        </w:rPr>
      </w:pPr>
    </w:p>
    <w:p>
      <w:pPr>
        <w:pStyle w:val="7"/>
        <w:overflowPunct w:val="0"/>
        <w:spacing w:line="360" w:lineRule="auto"/>
        <w:ind w:firstLine="0"/>
        <w:jc w:val="center"/>
        <w:outlineLvl w:val="1"/>
        <w:rPr>
          <w:rFonts w:ascii="宋体" w:hAnsi="宋体"/>
          <w:bCs/>
          <w:color w:val="auto"/>
          <w:spacing w:val="-6"/>
          <w:sz w:val="24"/>
          <w:highlight w:val="none"/>
        </w:rPr>
      </w:pPr>
      <w:r>
        <w:rPr>
          <w:rFonts w:hint="eastAsia" w:ascii="宋体" w:hAnsi="宋体"/>
          <w:b/>
          <w:color w:val="auto"/>
          <w:spacing w:val="-6"/>
          <w:sz w:val="84"/>
          <w:szCs w:val="84"/>
          <w:highlight w:val="none"/>
        </w:rPr>
        <w:t>商务技术文件</w:t>
      </w:r>
    </w:p>
    <w:p>
      <w:pPr>
        <w:spacing w:line="360" w:lineRule="auto"/>
        <w:jc w:val="center"/>
        <w:outlineLvl w:val="2"/>
        <w:rPr>
          <w:rFonts w:ascii="宋体" w:hAnsi="宋体"/>
          <w:b/>
          <w:color w:val="auto"/>
          <w:spacing w:val="-6"/>
          <w:sz w:val="24"/>
          <w:highlight w:val="none"/>
        </w:rPr>
      </w:pPr>
      <w:r>
        <w:rPr>
          <w:rFonts w:hint="eastAsia" w:ascii="宋体" w:hAnsi="宋体"/>
          <w:b/>
          <w:color w:val="auto"/>
          <w:spacing w:val="-6"/>
          <w:sz w:val="24"/>
          <w:highlight w:val="none"/>
        </w:rPr>
        <w:br w:type="page"/>
      </w:r>
      <w:r>
        <w:rPr>
          <w:rFonts w:hint="eastAsia" w:ascii="宋体" w:hAnsi="宋体"/>
          <w:b/>
          <w:color w:val="auto"/>
          <w:spacing w:val="-6"/>
          <w:sz w:val="52"/>
          <w:szCs w:val="52"/>
          <w:highlight w:val="none"/>
        </w:rPr>
        <w:t>商务文件</w:t>
      </w:r>
    </w:p>
    <w:p>
      <w:pPr>
        <w:spacing w:line="360" w:lineRule="auto"/>
        <w:jc w:val="center"/>
        <w:outlineLvl w:val="3"/>
        <w:rPr>
          <w:rFonts w:ascii="宋体" w:hAnsi="宋体"/>
          <w:b/>
          <w:color w:val="auto"/>
          <w:spacing w:val="-6"/>
          <w:sz w:val="24"/>
          <w:highlight w:val="none"/>
        </w:rPr>
      </w:pPr>
      <w:r>
        <w:rPr>
          <w:rFonts w:hint="eastAsia" w:ascii="宋体" w:hAnsi="宋体"/>
          <w:b/>
          <w:color w:val="auto"/>
          <w:spacing w:val="-6"/>
          <w:sz w:val="24"/>
          <w:highlight w:val="none"/>
        </w:rPr>
        <w:t>投 标 函</w:t>
      </w: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致：浙江求是招标代理有限公司</w:t>
      </w:r>
    </w:p>
    <w:p>
      <w:pPr>
        <w:spacing w:line="360" w:lineRule="auto"/>
        <w:ind w:firstLine="456" w:firstLineChars="200"/>
        <w:rPr>
          <w:rFonts w:ascii="宋体" w:hAnsi="宋体"/>
          <w:color w:val="auto"/>
          <w:spacing w:val="-6"/>
          <w:sz w:val="24"/>
          <w:highlight w:val="none"/>
        </w:rPr>
      </w:pPr>
      <w:r>
        <w:rPr>
          <w:rFonts w:hint="eastAsia" w:ascii="宋体" w:hAnsi="宋体"/>
          <w:color w:val="auto"/>
          <w:spacing w:val="-6"/>
          <w:sz w:val="24"/>
          <w:highlight w:val="none"/>
        </w:rPr>
        <w:t>根据贵方为</w:t>
      </w:r>
      <w:r>
        <w:rPr>
          <w:rFonts w:hint="eastAsia" w:ascii="宋体" w:hAnsi="宋体"/>
          <w:bCs/>
          <w:color w:val="auto"/>
          <w:spacing w:val="-6"/>
          <w:sz w:val="24"/>
          <w:highlight w:val="none"/>
        </w:rPr>
        <w:t>杭州电子科技大学协同创新中心高教仪器设备</w:t>
      </w:r>
      <w:r>
        <w:rPr>
          <w:rFonts w:hint="eastAsia" w:ascii="宋体" w:hAnsi="宋体"/>
          <w:color w:val="auto"/>
          <w:spacing w:val="-6"/>
          <w:sz w:val="24"/>
          <w:highlight w:val="none"/>
        </w:rPr>
        <w:t>的投标邀请【项目编号</w:t>
      </w:r>
      <w:r>
        <w:rPr>
          <w:rFonts w:hint="eastAsia" w:ascii="宋体" w:hAnsi="宋体"/>
          <w:bCs/>
          <w:color w:val="auto"/>
          <w:spacing w:val="-6"/>
          <w:sz w:val="24"/>
          <w:highlight w:val="none"/>
        </w:rPr>
        <w:t>：QSZB-Z(H)-B20132(GK) 】</w:t>
      </w:r>
      <w:r>
        <w:rPr>
          <w:rFonts w:hint="eastAsia" w:ascii="宋体" w:hAnsi="宋体"/>
          <w:color w:val="auto"/>
          <w:spacing w:val="-6"/>
          <w:sz w:val="24"/>
          <w:highlight w:val="none"/>
        </w:rPr>
        <w:t>，签字代表</w:t>
      </w:r>
      <w:r>
        <w:rPr>
          <w:rFonts w:hint="eastAsia" w:ascii="宋体" w:hAnsi="宋体"/>
          <w:bCs/>
          <w:color w:val="auto"/>
          <w:spacing w:val="-6"/>
          <w:sz w:val="24"/>
          <w:highlight w:val="none"/>
        </w:rPr>
        <w:t>____________（</w:t>
      </w:r>
      <w:r>
        <w:rPr>
          <w:rFonts w:hint="eastAsia" w:ascii="宋体" w:hAnsi="宋体"/>
          <w:color w:val="auto"/>
          <w:spacing w:val="-6"/>
          <w:sz w:val="24"/>
          <w:highlight w:val="none"/>
        </w:rPr>
        <w:t>全名）经正式授权并代表投标人</w:t>
      </w:r>
      <w:r>
        <w:rPr>
          <w:rFonts w:hint="eastAsia" w:ascii="宋体" w:hAnsi="宋体"/>
          <w:bCs/>
          <w:color w:val="auto"/>
          <w:spacing w:val="-6"/>
          <w:sz w:val="24"/>
          <w:highlight w:val="none"/>
        </w:rPr>
        <w:t>__________________________（</w:t>
      </w:r>
      <w:r>
        <w:rPr>
          <w:rFonts w:hint="eastAsia" w:ascii="宋体" w:hAnsi="宋体"/>
          <w:color w:val="auto"/>
          <w:spacing w:val="-6"/>
          <w:sz w:val="24"/>
          <w:highlight w:val="none"/>
        </w:rPr>
        <w:t>投标人名称）提交电子加密投标文件一份、以介质（U盘）存储的数据电文形式的备份投标文件___份。</w:t>
      </w:r>
    </w:p>
    <w:p>
      <w:pPr>
        <w:spacing w:line="360" w:lineRule="auto"/>
        <w:ind w:firstLine="456" w:firstLineChars="200"/>
        <w:rPr>
          <w:rFonts w:ascii="宋体" w:hAnsi="宋体"/>
          <w:color w:val="auto"/>
          <w:spacing w:val="-6"/>
          <w:sz w:val="24"/>
          <w:highlight w:val="none"/>
        </w:rPr>
      </w:pPr>
      <w:r>
        <w:rPr>
          <w:rFonts w:hint="eastAsia" w:ascii="宋体" w:hAnsi="宋体"/>
          <w:color w:val="auto"/>
          <w:spacing w:val="-6"/>
          <w:sz w:val="24"/>
          <w:highlight w:val="none"/>
        </w:rPr>
        <w:t>据此函，签字代表宣布同意如下：</w:t>
      </w:r>
    </w:p>
    <w:p>
      <w:pPr>
        <w:spacing w:line="360" w:lineRule="auto"/>
        <w:ind w:firstLine="456" w:firstLineChars="200"/>
        <w:rPr>
          <w:rFonts w:ascii="宋体" w:hAnsi="宋体"/>
          <w:color w:val="auto"/>
          <w:spacing w:val="-6"/>
          <w:sz w:val="24"/>
          <w:highlight w:val="none"/>
        </w:rPr>
      </w:pPr>
      <w:r>
        <w:rPr>
          <w:rFonts w:hint="eastAsia" w:ascii="宋体" w:hAnsi="宋体"/>
          <w:color w:val="auto"/>
          <w:spacing w:val="-6"/>
          <w:sz w:val="24"/>
          <w:highlight w:val="none"/>
        </w:rPr>
        <w:t>1</w:t>
      </w:r>
      <w:r>
        <w:rPr>
          <w:rFonts w:ascii="宋体" w:hAnsi="宋体"/>
          <w:color w:val="auto"/>
          <w:spacing w:val="-6"/>
          <w:sz w:val="24"/>
          <w:highlight w:val="none"/>
        </w:rPr>
        <w:t>.</w:t>
      </w:r>
      <w:r>
        <w:rPr>
          <w:rFonts w:hint="eastAsia" w:ascii="宋体" w:hAnsi="宋体"/>
          <w:color w:val="auto"/>
          <w:spacing w:val="-6"/>
          <w:sz w:val="24"/>
          <w:highlight w:val="none"/>
        </w:rPr>
        <w:t>我方已详细审查全部“招标文件”，包括修改文件（如有）以及全部参考资料和有关附件，已经了解我方对于招标文件、招标过程、中标结果有依法进行询问、质疑、投诉的权利及相关渠道和要求。</w:t>
      </w:r>
    </w:p>
    <w:p>
      <w:pPr>
        <w:spacing w:line="360" w:lineRule="auto"/>
        <w:ind w:firstLine="456" w:firstLineChars="200"/>
        <w:rPr>
          <w:rFonts w:ascii="宋体" w:hAnsi="宋体"/>
          <w:color w:val="auto"/>
          <w:spacing w:val="-6"/>
          <w:sz w:val="24"/>
          <w:highlight w:val="none"/>
        </w:rPr>
      </w:pPr>
      <w:r>
        <w:rPr>
          <w:rFonts w:hint="eastAsia" w:ascii="宋体" w:hAnsi="宋体"/>
          <w:color w:val="auto"/>
          <w:spacing w:val="-6"/>
          <w:sz w:val="24"/>
          <w:highlight w:val="none"/>
        </w:rPr>
        <w:t>2</w:t>
      </w:r>
      <w:r>
        <w:rPr>
          <w:rFonts w:ascii="宋体" w:hAnsi="宋体"/>
          <w:color w:val="auto"/>
          <w:spacing w:val="-6"/>
          <w:sz w:val="24"/>
          <w:highlight w:val="none"/>
        </w:rPr>
        <w:t>.</w:t>
      </w:r>
      <w:r>
        <w:rPr>
          <w:rFonts w:hint="eastAsia" w:ascii="宋体" w:hAnsi="宋体"/>
          <w:color w:val="auto"/>
          <w:spacing w:val="-6"/>
          <w:sz w:val="24"/>
          <w:highlight w:val="none"/>
        </w:rPr>
        <w:t>我方在投标之前已经与贵方进行了充分的沟通，完全理解并接受招标文件的各项规定和要求，对招标文件的合理性、合法性不再有异议。</w:t>
      </w:r>
    </w:p>
    <w:p>
      <w:pPr>
        <w:spacing w:line="360" w:lineRule="auto"/>
        <w:ind w:firstLine="456" w:firstLineChars="200"/>
        <w:rPr>
          <w:rFonts w:ascii="宋体" w:hAnsi="宋体"/>
          <w:color w:val="auto"/>
          <w:spacing w:val="-6"/>
          <w:sz w:val="24"/>
          <w:highlight w:val="none"/>
        </w:rPr>
      </w:pPr>
      <w:r>
        <w:rPr>
          <w:rFonts w:hint="eastAsia" w:ascii="宋体" w:hAnsi="宋体"/>
          <w:color w:val="auto"/>
          <w:spacing w:val="-6"/>
          <w:sz w:val="24"/>
          <w:highlight w:val="none"/>
        </w:rPr>
        <w:t>3</w:t>
      </w:r>
      <w:r>
        <w:rPr>
          <w:rFonts w:ascii="宋体" w:hAnsi="宋体"/>
          <w:color w:val="auto"/>
          <w:spacing w:val="-6"/>
          <w:sz w:val="24"/>
          <w:highlight w:val="none"/>
        </w:rPr>
        <w:t>.</w:t>
      </w:r>
      <w:r>
        <w:rPr>
          <w:rFonts w:hint="eastAsia" w:ascii="宋体" w:hAnsi="宋体"/>
          <w:color w:val="auto"/>
          <w:spacing w:val="-6"/>
          <w:sz w:val="24"/>
          <w:highlight w:val="none"/>
        </w:rPr>
        <w:t>投标有效期自提交投标文件的截止之日起</w:t>
      </w:r>
      <w:r>
        <w:rPr>
          <w:rFonts w:hint="eastAsia" w:ascii="宋体" w:hAnsi="宋体"/>
          <w:bCs/>
          <w:color w:val="auto"/>
          <w:spacing w:val="-6"/>
          <w:sz w:val="24"/>
          <w:highlight w:val="none"/>
          <w:u w:val="single"/>
        </w:rPr>
        <w:t xml:space="preserve"> 90</w:t>
      </w:r>
      <w:r>
        <w:rPr>
          <w:rFonts w:ascii="宋体" w:hAnsi="宋体"/>
          <w:bCs/>
          <w:color w:val="auto"/>
          <w:spacing w:val="-6"/>
          <w:sz w:val="24"/>
          <w:highlight w:val="none"/>
          <w:u w:val="single"/>
        </w:rPr>
        <w:t xml:space="preserve"> </w:t>
      </w:r>
      <w:r>
        <w:rPr>
          <w:rFonts w:hint="eastAsia" w:ascii="宋体" w:hAnsi="宋体"/>
          <w:color w:val="auto"/>
          <w:spacing w:val="-6"/>
          <w:sz w:val="24"/>
          <w:highlight w:val="none"/>
        </w:rPr>
        <w:t>天。</w:t>
      </w:r>
    </w:p>
    <w:p>
      <w:pPr>
        <w:spacing w:line="360" w:lineRule="auto"/>
        <w:ind w:firstLine="456" w:firstLineChars="200"/>
        <w:rPr>
          <w:rFonts w:ascii="宋体" w:hAnsi="宋体"/>
          <w:color w:val="auto"/>
          <w:spacing w:val="-6"/>
          <w:sz w:val="24"/>
          <w:highlight w:val="none"/>
        </w:rPr>
      </w:pPr>
      <w:r>
        <w:rPr>
          <w:rFonts w:hint="eastAsia" w:ascii="宋体" w:hAnsi="宋体"/>
          <w:color w:val="auto"/>
          <w:spacing w:val="-6"/>
          <w:sz w:val="24"/>
          <w:highlight w:val="none"/>
        </w:rPr>
        <w:t>4</w:t>
      </w:r>
      <w:r>
        <w:rPr>
          <w:rFonts w:ascii="宋体" w:hAnsi="宋体"/>
          <w:color w:val="auto"/>
          <w:spacing w:val="-6"/>
          <w:sz w:val="24"/>
          <w:highlight w:val="none"/>
        </w:rPr>
        <w:t>.</w:t>
      </w:r>
      <w:r>
        <w:rPr>
          <w:rFonts w:hint="eastAsia" w:ascii="宋体" w:hAnsi="宋体"/>
          <w:color w:val="auto"/>
          <w:spacing w:val="-6"/>
          <w:sz w:val="24"/>
          <w:highlight w:val="none"/>
        </w:rPr>
        <w:t>如中标，本投标文件至本项目合同履行完毕止均保持有效，我方将按“招标文件”及政府采购法律、法规的规定履行合同责任和义务。关于代理服务费，我方承诺按照招标文件的规定履行并承担相应的责任。</w:t>
      </w:r>
    </w:p>
    <w:p>
      <w:pPr>
        <w:spacing w:line="360" w:lineRule="auto"/>
        <w:ind w:firstLine="456" w:firstLineChars="200"/>
        <w:rPr>
          <w:rFonts w:ascii="宋体" w:hAnsi="宋体"/>
          <w:color w:val="auto"/>
          <w:spacing w:val="-6"/>
          <w:sz w:val="24"/>
          <w:highlight w:val="none"/>
        </w:rPr>
      </w:pPr>
      <w:r>
        <w:rPr>
          <w:rFonts w:hint="eastAsia" w:ascii="宋体" w:hAnsi="宋体"/>
          <w:color w:val="auto"/>
          <w:spacing w:val="-6"/>
          <w:sz w:val="24"/>
          <w:highlight w:val="none"/>
        </w:rPr>
        <w:t>5</w:t>
      </w:r>
      <w:r>
        <w:rPr>
          <w:rFonts w:ascii="宋体" w:hAnsi="宋体"/>
          <w:color w:val="auto"/>
          <w:spacing w:val="-6"/>
          <w:sz w:val="24"/>
          <w:highlight w:val="none"/>
        </w:rPr>
        <w:t>.</w:t>
      </w:r>
      <w:r>
        <w:rPr>
          <w:rFonts w:hint="eastAsia" w:ascii="宋体" w:hAnsi="宋体"/>
          <w:color w:val="auto"/>
          <w:spacing w:val="-6"/>
          <w:sz w:val="24"/>
          <w:highlight w:val="none"/>
        </w:rPr>
        <w:t>我方同意按照贵方要求提供与投标有关的一切数据或资料。</w:t>
      </w:r>
    </w:p>
    <w:p>
      <w:pPr>
        <w:spacing w:line="360" w:lineRule="auto"/>
        <w:ind w:firstLine="456" w:firstLineChars="200"/>
        <w:rPr>
          <w:rFonts w:ascii="宋体" w:hAnsi="宋体"/>
          <w:color w:val="auto"/>
          <w:spacing w:val="-6"/>
          <w:sz w:val="24"/>
          <w:highlight w:val="none"/>
        </w:rPr>
      </w:pPr>
      <w:r>
        <w:rPr>
          <w:rFonts w:hint="eastAsia" w:ascii="宋体" w:hAnsi="宋体"/>
          <w:color w:val="auto"/>
          <w:spacing w:val="-6"/>
          <w:sz w:val="24"/>
          <w:highlight w:val="none"/>
        </w:rPr>
        <w:t>6</w:t>
      </w:r>
      <w:r>
        <w:rPr>
          <w:rFonts w:ascii="宋体" w:hAnsi="宋体"/>
          <w:color w:val="auto"/>
          <w:spacing w:val="-6"/>
          <w:sz w:val="24"/>
          <w:highlight w:val="none"/>
        </w:rPr>
        <w:t>.</w:t>
      </w:r>
      <w:r>
        <w:rPr>
          <w:rFonts w:hint="eastAsia" w:ascii="宋体" w:hAnsi="宋体"/>
          <w:color w:val="auto"/>
          <w:spacing w:val="-6"/>
          <w:sz w:val="24"/>
          <w:highlight w:val="none"/>
        </w:rPr>
        <w:t>与本投标有关的一切正式往来信函请寄：</w:t>
      </w:r>
    </w:p>
    <w:p>
      <w:pPr>
        <w:spacing w:line="360" w:lineRule="auto"/>
        <w:ind w:firstLine="456" w:firstLineChars="200"/>
        <w:rPr>
          <w:rFonts w:ascii="宋体" w:hAnsi="宋体"/>
          <w:color w:val="auto"/>
          <w:spacing w:val="-6"/>
          <w:sz w:val="24"/>
          <w:highlight w:val="none"/>
        </w:rPr>
      </w:pPr>
      <w:r>
        <w:rPr>
          <w:rFonts w:hint="eastAsia" w:ascii="宋体" w:hAnsi="宋体"/>
          <w:color w:val="auto"/>
          <w:spacing w:val="-6"/>
          <w:sz w:val="24"/>
          <w:highlight w:val="none"/>
        </w:rPr>
        <w:t xml:space="preserve">地址：                         </w:t>
      </w:r>
      <w:r>
        <w:rPr>
          <w:rFonts w:ascii="宋体" w:hAnsi="宋体"/>
          <w:color w:val="auto"/>
          <w:spacing w:val="-6"/>
          <w:sz w:val="24"/>
          <w:highlight w:val="none"/>
        </w:rPr>
        <w:t xml:space="preserve">     </w:t>
      </w:r>
      <w:r>
        <w:rPr>
          <w:rFonts w:hint="eastAsia" w:ascii="宋体" w:hAnsi="宋体"/>
          <w:color w:val="auto"/>
          <w:spacing w:val="-6"/>
          <w:sz w:val="24"/>
          <w:highlight w:val="none"/>
        </w:rPr>
        <w:t>邮编：</w:t>
      </w:r>
      <w:r>
        <w:rPr>
          <w:rFonts w:hint="eastAsia" w:ascii="宋体" w:hAnsi="宋体"/>
          <w:color w:val="auto"/>
          <w:spacing w:val="-6"/>
          <w:sz w:val="24"/>
          <w:highlight w:val="none"/>
          <w:u w:val="single"/>
        </w:rPr>
        <w:t xml:space="preserve">                         </w:t>
      </w:r>
    </w:p>
    <w:p>
      <w:pPr>
        <w:spacing w:line="360" w:lineRule="auto"/>
        <w:ind w:firstLine="456" w:firstLineChars="200"/>
        <w:rPr>
          <w:rFonts w:ascii="宋体" w:hAnsi="宋体"/>
          <w:color w:val="auto"/>
          <w:spacing w:val="-6"/>
          <w:sz w:val="24"/>
          <w:highlight w:val="none"/>
          <w:u w:val="single"/>
        </w:rPr>
      </w:pPr>
      <w:r>
        <w:rPr>
          <w:rFonts w:hint="eastAsia" w:ascii="宋体" w:hAnsi="宋体"/>
          <w:color w:val="auto"/>
          <w:spacing w:val="-6"/>
          <w:sz w:val="24"/>
          <w:highlight w:val="none"/>
        </w:rPr>
        <w:t xml:space="preserve">电话：                         </w:t>
      </w:r>
      <w:r>
        <w:rPr>
          <w:rFonts w:ascii="宋体" w:hAnsi="宋体"/>
          <w:color w:val="auto"/>
          <w:spacing w:val="-6"/>
          <w:sz w:val="24"/>
          <w:highlight w:val="none"/>
        </w:rPr>
        <w:t xml:space="preserve">     </w:t>
      </w:r>
      <w:r>
        <w:rPr>
          <w:rFonts w:hint="eastAsia" w:ascii="宋体" w:hAnsi="宋体"/>
          <w:color w:val="auto"/>
          <w:spacing w:val="-6"/>
          <w:sz w:val="24"/>
          <w:highlight w:val="none"/>
        </w:rPr>
        <w:t xml:space="preserve">传真：                         </w:t>
      </w:r>
    </w:p>
    <w:p>
      <w:pPr>
        <w:spacing w:line="360" w:lineRule="auto"/>
        <w:ind w:firstLine="456" w:firstLineChars="200"/>
        <w:rPr>
          <w:rFonts w:ascii="宋体" w:hAnsi="宋体"/>
          <w:color w:val="auto"/>
          <w:spacing w:val="-6"/>
          <w:sz w:val="24"/>
          <w:highlight w:val="none"/>
        </w:rPr>
      </w:pPr>
      <w:r>
        <w:rPr>
          <w:rFonts w:hint="eastAsia" w:ascii="宋体" w:hAnsi="宋体"/>
          <w:color w:val="auto"/>
          <w:spacing w:val="-6"/>
          <w:sz w:val="24"/>
          <w:highlight w:val="none"/>
        </w:rPr>
        <w:t xml:space="preserve">投标人代表姓名：               </w:t>
      </w:r>
      <w:r>
        <w:rPr>
          <w:rFonts w:ascii="宋体" w:hAnsi="宋体"/>
          <w:color w:val="auto"/>
          <w:spacing w:val="-6"/>
          <w:sz w:val="24"/>
          <w:highlight w:val="none"/>
        </w:rPr>
        <w:t xml:space="preserve">     </w:t>
      </w:r>
      <w:r>
        <w:rPr>
          <w:rFonts w:hint="eastAsia" w:ascii="宋体" w:hAnsi="宋体"/>
          <w:color w:val="auto"/>
          <w:spacing w:val="-6"/>
          <w:sz w:val="24"/>
          <w:highlight w:val="none"/>
        </w:rPr>
        <w:t xml:space="preserve">职务：                        </w:t>
      </w:r>
    </w:p>
    <w:p>
      <w:pPr>
        <w:spacing w:line="360" w:lineRule="auto"/>
        <w:ind w:firstLine="456" w:firstLineChars="200"/>
        <w:rPr>
          <w:rFonts w:ascii="宋体" w:hAnsi="宋体"/>
          <w:color w:val="auto"/>
          <w:spacing w:val="-6"/>
          <w:sz w:val="24"/>
          <w:highlight w:val="none"/>
        </w:rPr>
      </w:pPr>
      <w:r>
        <w:rPr>
          <w:rFonts w:hint="eastAsia" w:ascii="宋体" w:hAnsi="宋体"/>
          <w:color w:val="auto"/>
          <w:spacing w:val="-6"/>
          <w:sz w:val="24"/>
          <w:highlight w:val="none"/>
        </w:rPr>
        <w:t>开户银行：</w:t>
      </w:r>
    </w:p>
    <w:p>
      <w:pPr>
        <w:spacing w:line="360" w:lineRule="auto"/>
        <w:ind w:firstLine="456" w:firstLineChars="200"/>
        <w:rPr>
          <w:rFonts w:ascii="宋体" w:hAnsi="宋体"/>
          <w:color w:val="auto"/>
          <w:spacing w:val="-6"/>
          <w:sz w:val="24"/>
          <w:highlight w:val="none"/>
        </w:rPr>
      </w:pPr>
      <w:r>
        <w:rPr>
          <w:rFonts w:hint="eastAsia" w:ascii="宋体" w:hAnsi="宋体"/>
          <w:color w:val="auto"/>
          <w:spacing w:val="-6"/>
          <w:sz w:val="24"/>
          <w:highlight w:val="none"/>
        </w:rPr>
        <w:t>银行账号：</w:t>
      </w:r>
    </w:p>
    <w:p>
      <w:pPr>
        <w:spacing w:line="360" w:lineRule="auto"/>
        <w:rPr>
          <w:rFonts w:ascii="宋体" w:hAnsi="宋体"/>
          <w:color w:val="auto"/>
          <w:spacing w:val="-6"/>
          <w:sz w:val="24"/>
          <w:highlight w:val="none"/>
        </w:rPr>
      </w:pP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投标人名称（盖章）：</w:t>
      </w: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投标人代表签字</w:t>
      </w:r>
      <w:r>
        <w:rPr>
          <w:rFonts w:hint="eastAsia" w:ascii="宋体" w:hAnsi="宋体"/>
          <w:bCs/>
          <w:color w:val="auto"/>
          <w:spacing w:val="-6"/>
          <w:sz w:val="24"/>
          <w:highlight w:val="none"/>
        </w:rPr>
        <w:t>：</w:t>
      </w:r>
    </w:p>
    <w:p>
      <w:pPr>
        <w:spacing w:line="360" w:lineRule="auto"/>
        <w:rPr>
          <w:rFonts w:ascii="宋体" w:hAnsi="宋体"/>
          <w:color w:val="auto"/>
          <w:spacing w:val="-6"/>
          <w:sz w:val="24"/>
          <w:highlight w:val="none"/>
        </w:rPr>
      </w:pPr>
      <w:r>
        <w:rPr>
          <w:rFonts w:hint="eastAsia" w:ascii="宋体" w:hAnsi="宋体"/>
          <w:bCs/>
          <w:color w:val="auto"/>
          <w:spacing w:val="-6"/>
          <w:sz w:val="24"/>
          <w:highlight w:val="none"/>
        </w:rPr>
        <w:t>日期：     年   月   日</w:t>
      </w:r>
    </w:p>
    <w:p>
      <w:pPr>
        <w:spacing w:line="360" w:lineRule="auto"/>
        <w:jc w:val="center"/>
        <w:outlineLvl w:val="3"/>
        <w:rPr>
          <w:rFonts w:ascii="宋体" w:hAnsi="宋体"/>
          <w:b/>
          <w:color w:val="auto"/>
          <w:spacing w:val="-6"/>
          <w:sz w:val="24"/>
          <w:highlight w:val="none"/>
        </w:rPr>
      </w:pPr>
      <w:r>
        <w:rPr>
          <w:rFonts w:ascii="宋体" w:hAnsi="宋体"/>
          <w:b/>
          <w:color w:val="auto"/>
          <w:spacing w:val="-6"/>
          <w:sz w:val="24"/>
          <w:highlight w:val="none"/>
        </w:rPr>
        <w:br w:type="page"/>
      </w:r>
      <w:r>
        <w:rPr>
          <w:rFonts w:hint="eastAsia" w:ascii="宋体" w:hAnsi="宋体"/>
          <w:b/>
          <w:color w:val="auto"/>
          <w:spacing w:val="-6"/>
          <w:sz w:val="24"/>
          <w:highlight w:val="none"/>
        </w:rPr>
        <w:t>法定代表人资格证明书</w:t>
      </w:r>
    </w:p>
    <w:p>
      <w:pPr>
        <w:spacing w:line="360" w:lineRule="auto"/>
        <w:rPr>
          <w:rFonts w:ascii="宋体" w:hAnsi="宋体"/>
          <w:bCs/>
          <w:color w:val="auto"/>
          <w:spacing w:val="-6"/>
          <w:sz w:val="24"/>
          <w:highlight w:val="none"/>
        </w:rPr>
      </w:pPr>
      <w:r>
        <w:rPr>
          <w:rFonts w:hint="eastAsia" w:ascii="宋体" w:hAnsi="宋体"/>
          <w:bCs/>
          <w:color w:val="auto"/>
          <w:spacing w:val="-6"/>
          <w:sz w:val="24"/>
          <w:highlight w:val="none"/>
        </w:rPr>
        <w:t>致：杭州电子科技大学、浙江求是招标代理有限公司</w:t>
      </w:r>
    </w:p>
    <w:p>
      <w:pPr>
        <w:spacing w:line="360" w:lineRule="auto"/>
        <w:ind w:firstLine="456" w:firstLineChars="200"/>
        <w:rPr>
          <w:rFonts w:ascii="宋体" w:hAnsi="宋体"/>
          <w:bCs/>
          <w:color w:val="auto"/>
          <w:spacing w:val="-6"/>
          <w:sz w:val="24"/>
          <w:highlight w:val="none"/>
        </w:rPr>
      </w:pPr>
      <w:r>
        <w:rPr>
          <w:rFonts w:hint="eastAsia" w:ascii="宋体" w:hAnsi="宋体"/>
          <w:bCs/>
          <w:color w:val="auto"/>
          <w:spacing w:val="-6"/>
          <w:sz w:val="24"/>
          <w:highlight w:val="none"/>
        </w:rPr>
        <w:t>我</w:t>
      </w:r>
      <w:r>
        <w:rPr>
          <w:rFonts w:ascii="宋体" w:hAnsi="宋体"/>
          <w:color w:val="auto"/>
          <w:spacing w:val="-6"/>
          <w:sz w:val="24"/>
          <w:highlight w:val="none"/>
        </w:rPr>
        <w:t>________________</w:t>
      </w:r>
      <w:r>
        <w:rPr>
          <w:rFonts w:hint="eastAsia" w:ascii="宋体" w:hAnsi="宋体"/>
          <w:color w:val="auto"/>
          <w:spacing w:val="-6"/>
          <w:sz w:val="24"/>
          <w:highlight w:val="none"/>
        </w:rPr>
        <w:t>（</w:t>
      </w:r>
      <w:r>
        <w:rPr>
          <w:rFonts w:ascii="宋体" w:hAnsi="宋体"/>
          <w:bCs/>
          <w:color w:val="auto"/>
          <w:spacing w:val="-6"/>
          <w:sz w:val="24"/>
          <w:highlight w:val="none"/>
        </w:rPr>
        <w:t>姓名</w:t>
      </w:r>
      <w:r>
        <w:rPr>
          <w:rFonts w:hint="eastAsia" w:ascii="宋体" w:hAnsi="宋体"/>
          <w:bCs/>
          <w:color w:val="auto"/>
          <w:spacing w:val="-6"/>
          <w:sz w:val="24"/>
          <w:highlight w:val="none"/>
        </w:rPr>
        <w:t>）</w:t>
      </w:r>
      <w:r>
        <w:rPr>
          <w:rFonts w:ascii="宋体" w:hAnsi="宋体"/>
          <w:bCs/>
          <w:color w:val="auto"/>
          <w:spacing w:val="-6"/>
          <w:sz w:val="24"/>
          <w:highlight w:val="none"/>
        </w:rPr>
        <w:t>系</w:t>
      </w:r>
      <w:r>
        <w:rPr>
          <w:rFonts w:hint="eastAsia" w:ascii="宋体" w:hAnsi="宋体"/>
          <w:bCs/>
          <w:color w:val="auto"/>
          <w:spacing w:val="-6"/>
          <w:sz w:val="24"/>
          <w:highlight w:val="none"/>
        </w:rPr>
        <w:t>_________________________（投标人名称）</w:t>
      </w:r>
      <w:r>
        <w:rPr>
          <w:rFonts w:ascii="宋体" w:hAnsi="宋体"/>
          <w:bCs/>
          <w:color w:val="auto"/>
          <w:spacing w:val="-6"/>
          <w:sz w:val="24"/>
          <w:highlight w:val="none"/>
        </w:rPr>
        <w:t>的法定代表人，身份证</w:t>
      </w:r>
      <w:r>
        <w:rPr>
          <w:rFonts w:hint="eastAsia" w:ascii="宋体" w:hAnsi="宋体"/>
          <w:bCs/>
          <w:color w:val="auto"/>
          <w:spacing w:val="-6"/>
          <w:sz w:val="24"/>
          <w:highlight w:val="none"/>
        </w:rPr>
        <w:t>号码：_________________________________。</w:t>
      </w:r>
    </w:p>
    <w:p>
      <w:pPr>
        <w:spacing w:line="360" w:lineRule="auto"/>
        <w:ind w:firstLine="456" w:firstLineChars="200"/>
        <w:rPr>
          <w:rFonts w:ascii="宋体" w:hAnsi="宋体"/>
          <w:bCs/>
          <w:color w:val="auto"/>
          <w:spacing w:val="-6"/>
          <w:sz w:val="24"/>
          <w:highlight w:val="none"/>
        </w:rPr>
      </w:pPr>
      <w:r>
        <w:rPr>
          <w:rFonts w:ascii="宋体" w:hAnsi="宋体"/>
          <w:bCs/>
          <w:color w:val="auto"/>
          <w:spacing w:val="-6"/>
          <w:sz w:val="24"/>
          <w:highlight w:val="none"/>
        </w:rPr>
        <w:t>特此证明。</w:t>
      </w:r>
    </w:p>
    <w:p>
      <w:pPr>
        <w:spacing w:line="360" w:lineRule="auto"/>
        <w:rPr>
          <w:rFonts w:ascii="宋体" w:hAnsi="宋体"/>
          <w:bCs/>
          <w:color w:val="auto"/>
          <w:spacing w:val="-6"/>
          <w:sz w:val="24"/>
          <w:highlight w:val="none"/>
        </w:rPr>
      </w:pPr>
    </w:p>
    <w:tbl>
      <w:tblPr>
        <w:tblStyle w:val="22"/>
        <w:tblW w:w="949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2" w:hRule="atLeast"/>
          <w:jc w:val="center"/>
        </w:trPr>
        <w:tc>
          <w:tcPr>
            <w:tcW w:w="9498" w:type="dxa"/>
          </w:tcPr>
          <w:p>
            <w:pPr>
              <w:keepNext w:val="0"/>
              <w:keepLines w:val="0"/>
              <w:suppressLineNumbers w:val="0"/>
              <w:spacing w:before="0" w:beforeAutospacing="0" w:after="0" w:afterAutospacing="0" w:line="360" w:lineRule="auto"/>
              <w:ind w:left="0" w:right="0"/>
              <w:rPr>
                <w:rFonts w:hint="default" w:ascii="宋体" w:hAnsi="宋体"/>
                <w:color w:val="auto"/>
                <w:sz w:val="24"/>
                <w:highlight w:val="none"/>
              </w:rPr>
            </w:pPr>
            <w:r>
              <w:rPr>
                <w:rFonts w:hint="eastAsia" w:ascii="新宋体" w:hAnsi="新宋体" w:eastAsia="新宋体"/>
                <w:color w:val="auto"/>
                <w:sz w:val="24"/>
                <w:highlight w:val="none"/>
              </w:rPr>
              <w:t>法定代表人</w:t>
            </w:r>
            <w:r>
              <w:rPr>
                <w:rFonts w:hint="eastAsia" w:ascii="宋体" w:hAnsi="宋体"/>
                <w:color w:val="auto"/>
                <w:sz w:val="24"/>
                <w:highlight w:val="none"/>
              </w:rPr>
              <w:t>身份证：</w:t>
            </w:r>
          </w:p>
          <w:p>
            <w:pPr>
              <w:keepNext w:val="0"/>
              <w:keepLines w:val="0"/>
              <w:suppressLineNumbers w:val="0"/>
              <w:spacing w:before="0" w:beforeAutospacing="0" w:after="0" w:afterAutospacing="0" w:line="360" w:lineRule="auto"/>
              <w:ind w:left="0" w:right="0"/>
              <w:rPr>
                <w:rFonts w:hint="default" w:ascii="宋体" w:hAnsi="宋体"/>
                <w:color w:val="auto"/>
                <w:sz w:val="24"/>
                <w:highlight w:val="none"/>
              </w:rPr>
            </w:pPr>
          </w:p>
          <w:p>
            <w:pPr>
              <w:keepNext w:val="0"/>
              <w:keepLines w:val="0"/>
              <w:suppressLineNumbers w:val="0"/>
              <w:spacing w:before="0" w:beforeAutospacing="0" w:after="0" w:afterAutospacing="0" w:line="360" w:lineRule="auto"/>
              <w:ind w:left="0" w:right="0"/>
              <w:rPr>
                <w:rFonts w:hint="default" w:ascii="宋体" w:hAnsi="宋体"/>
                <w:color w:val="auto"/>
                <w:sz w:val="24"/>
                <w:highlight w:val="none"/>
              </w:rPr>
            </w:pPr>
          </w:p>
          <w:p>
            <w:pPr>
              <w:keepNext w:val="0"/>
              <w:keepLines w:val="0"/>
              <w:suppressLineNumbers w:val="0"/>
              <w:spacing w:before="0" w:beforeAutospacing="0" w:after="0" w:afterAutospacing="0" w:line="360" w:lineRule="auto"/>
              <w:ind w:left="0" w:right="0"/>
              <w:rPr>
                <w:rFonts w:hint="default" w:ascii="宋体" w:hAnsi="宋体"/>
                <w:color w:val="auto"/>
                <w:sz w:val="24"/>
                <w:highlight w:val="none"/>
              </w:rPr>
            </w:pPr>
          </w:p>
          <w:p>
            <w:pPr>
              <w:keepNext w:val="0"/>
              <w:keepLines w:val="0"/>
              <w:suppressLineNumbers w:val="0"/>
              <w:spacing w:before="0" w:beforeAutospacing="0" w:after="0" w:afterAutospacing="0" w:line="360" w:lineRule="auto"/>
              <w:ind w:left="0" w:right="0"/>
              <w:rPr>
                <w:rFonts w:hint="default" w:ascii="宋体" w:hAnsi="宋体"/>
                <w:color w:val="auto"/>
                <w:sz w:val="24"/>
                <w:highlight w:val="none"/>
              </w:rPr>
            </w:pPr>
          </w:p>
          <w:p>
            <w:pPr>
              <w:keepNext w:val="0"/>
              <w:keepLines w:val="0"/>
              <w:suppressLineNumbers w:val="0"/>
              <w:spacing w:before="0" w:beforeAutospacing="0" w:after="0" w:afterAutospacing="0" w:line="360" w:lineRule="auto"/>
              <w:ind w:left="0" w:right="0"/>
              <w:rPr>
                <w:rFonts w:hint="default" w:ascii="宋体" w:hAnsi="宋体"/>
                <w:bCs/>
                <w:color w:val="auto"/>
                <w:spacing w:val="-6"/>
                <w:sz w:val="24"/>
                <w:highlight w:val="none"/>
              </w:rPr>
            </w:pPr>
            <w:r>
              <w:rPr>
                <w:rFonts w:hint="eastAsia" w:ascii="宋体" w:hAnsi="宋体"/>
                <w:color w:val="auto"/>
                <w:sz w:val="24"/>
                <w:highlight w:val="none"/>
              </w:rPr>
              <w:t>复印件粘贴处</w:t>
            </w:r>
          </w:p>
        </w:tc>
      </w:tr>
    </w:tbl>
    <w:p>
      <w:pPr>
        <w:spacing w:line="360" w:lineRule="auto"/>
        <w:rPr>
          <w:rFonts w:ascii="宋体" w:hAnsi="宋体"/>
          <w:bCs/>
          <w:color w:val="auto"/>
          <w:spacing w:val="-6"/>
          <w:sz w:val="24"/>
          <w:highlight w:val="none"/>
        </w:rPr>
      </w:pPr>
    </w:p>
    <w:p>
      <w:pPr>
        <w:spacing w:line="360" w:lineRule="auto"/>
        <w:rPr>
          <w:rFonts w:ascii="宋体" w:hAnsi="宋体"/>
          <w:b/>
          <w:bCs/>
          <w:color w:val="auto"/>
          <w:spacing w:val="-6"/>
          <w:sz w:val="24"/>
          <w:highlight w:val="none"/>
        </w:rPr>
      </w:pPr>
    </w:p>
    <w:p>
      <w:pPr>
        <w:spacing w:line="360" w:lineRule="auto"/>
        <w:rPr>
          <w:rFonts w:ascii="宋体" w:hAnsi="宋体"/>
          <w:b/>
          <w:bCs/>
          <w:color w:val="auto"/>
          <w:spacing w:val="-6"/>
          <w:sz w:val="24"/>
          <w:highlight w:val="none"/>
        </w:rPr>
      </w:pP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投标人名称（盖章）：</w:t>
      </w:r>
    </w:p>
    <w:p>
      <w:pPr>
        <w:spacing w:line="360" w:lineRule="auto"/>
        <w:rPr>
          <w:rFonts w:ascii="宋体" w:hAnsi="宋体"/>
          <w:color w:val="auto"/>
          <w:spacing w:val="-6"/>
          <w:sz w:val="24"/>
          <w:highlight w:val="none"/>
        </w:rPr>
      </w:pPr>
      <w:r>
        <w:rPr>
          <w:rFonts w:hint="eastAsia" w:ascii="宋体" w:hAnsi="宋体"/>
          <w:bCs/>
          <w:color w:val="auto"/>
          <w:spacing w:val="-6"/>
          <w:sz w:val="24"/>
          <w:highlight w:val="none"/>
        </w:rPr>
        <w:t>日期：     年   月   日</w:t>
      </w:r>
    </w:p>
    <w:p>
      <w:pPr>
        <w:spacing w:line="360" w:lineRule="auto"/>
        <w:jc w:val="center"/>
        <w:outlineLvl w:val="3"/>
        <w:rPr>
          <w:rFonts w:ascii="宋体" w:hAnsi="宋体"/>
          <w:b/>
          <w:color w:val="auto"/>
          <w:spacing w:val="-6"/>
          <w:sz w:val="24"/>
          <w:highlight w:val="none"/>
        </w:rPr>
      </w:pPr>
      <w:r>
        <w:rPr>
          <w:rFonts w:ascii="宋体" w:hAnsi="宋体"/>
          <w:b/>
          <w:color w:val="auto"/>
          <w:spacing w:val="-6"/>
          <w:sz w:val="24"/>
          <w:highlight w:val="none"/>
        </w:rPr>
        <w:br w:type="page"/>
      </w:r>
      <w:r>
        <w:rPr>
          <w:rFonts w:hint="eastAsia" w:ascii="宋体" w:hAnsi="宋体"/>
          <w:b/>
          <w:color w:val="auto"/>
          <w:spacing w:val="-6"/>
          <w:sz w:val="24"/>
          <w:highlight w:val="none"/>
        </w:rPr>
        <w:t>法定代表人授权委托书</w:t>
      </w:r>
    </w:p>
    <w:p>
      <w:pPr>
        <w:spacing w:line="360" w:lineRule="auto"/>
        <w:rPr>
          <w:rFonts w:ascii="宋体" w:hAnsi="宋体"/>
          <w:b/>
          <w:bCs/>
          <w:color w:val="auto"/>
          <w:spacing w:val="-6"/>
          <w:sz w:val="24"/>
          <w:highlight w:val="none"/>
        </w:rPr>
      </w:pPr>
      <w:r>
        <w:rPr>
          <w:rFonts w:hint="eastAsia" w:ascii="宋体" w:hAnsi="宋体"/>
          <w:bCs/>
          <w:color w:val="auto"/>
          <w:spacing w:val="-6"/>
          <w:sz w:val="24"/>
          <w:highlight w:val="none"/>
        </w:rPr>
        <w:t>致：杭州电子科技大学、浙江求是招标代理有限公司</w:t>
      </w:r>
    </w:p>
    <w:p>
      <w:pPr>
        <w:spacing w:line="360" w:lineRule="auto"/>
        <w:ind w:firstLine="456" w:firstLineChars="200"/>
        <w:rPr>
          <w:rFonts w:ascii="宋体" w:hAnsi="宋体"/>
          <w:color w:val="auto"/>
          <w:spacing w:val="-6"/>
          <w:sz w:val="24"/>
          <w:highlight w:val="none"/>
        </w:rPr>
      </w:pPr>
      <w:r>
        <w:rPr>
          <w:rFonts w:hint="eastAsia" w:ascii="宋体" w:hAnsi="宋体"/>
          <w:color w:val="auto"/>
          <w:spacing w:val="-6"/>
          <w:sz w:val="24"/>
          <w:highlight w:val="none"/>
        </w:rPr>
        <w:t>我____________（姓名）系</w:t>
      </w:r>
      <w:r>
        <w:rPr>
          <w:rFonts w:ascii="宋体" w:hAnsi="宋体"/>
          <w:color w:val="auto"/>
          <w:spacing w:val="-6"/>
          <w:sz w:val="24"/>
          <w:highlight w:val="none"/>
        </w:rPr>
        <w:t>__________________________</w:t>
      </w:r>
      <w:r>
        <w:rPr>
          <w:rFonts w:hint="eastAsia" w:ascii="宋体" w:hAnsi="宋体"/>
          <w:color w:val="auto"/>
          <w:spacing w:val="-6"/>
          <w:sz w:val="24"/>
          <w:highlight w:val="none"/>
        </w:rPr>
        <w:t>（投标人名称）的法定代表人，现授权委托本单位在职职工：</w:t>
      </w:r>
      <w:r>
        <w:rPr>
          <w:rFonts w:ascii="宋体" w:hAnsi="宋体"/>
          <w:color w:val="auto"/>
          <w:spacing w:val="-6"/>
          <w:sz w:val="24"/>
          <w:highlight w:val="none"/>
        </w:rPr>
        <w:t>_________</w:t>
      </w:r>
      <w:r>
        <w:rPr>
          <w:rFonts w:hint="eastAsia" w:ascii="宋体" w:hAnsi="宋体"/>
          <w:color w:val="auto"/>
          <w:spacing w:val="-6"/>
          <w:sz w:val="24"/>
          <w:highlight w:val="none"/>
        </w:rPr>
        <w:t>（姓名），身份证号码：</w:t>
      </w:r>
      <w:r>
        <w:rPr>
          <w:rFonts w:ascii="宋体" w:hAnsi="宋体"/>
          <w:color w:val="auto"/>
          <w:spacing w:val="-6"/>
          <w:sz w:val="24"/>
          <w:highlight w:val="none"/>
        </w:rPr>
        <w:t>_________________________</w:t>
      </w:r>
      <w:r>
        <w:rPr>
          <w:rFonts w:hint="eastAsia" w:ascii="宋体" w:hAnsi="宋体"/>
          <w:color w:val="auto"/>
          <w:spacing w:val="-6"/>
          <w:sz w:val="24"/>
          <w:highlight w:val="none"/>
        </w:rPr>
        <w:t>以我方的名义参加</w:t>
      </w:r>
      <w:r>
        <w:rPr>
          <w:rFonts w:hint="eastAsia" w:ascii="宋体" w:hAnsi="宋体"/>
          <w:bCs/>
          <w:color w:val="auto"/>
          <w:spacing w:val="-6"/>
          <w:sz w:val="24"/>
          <w:highlight w:val="none"/>
        </w:rPr>
        <w:t>杭州电子科技大学协同创新中心高教仪器设备</w:t>
      </w:r>
      <w:r>
        <w:rPr>
          <w:rFonts w:hint="eastAsia" w:ascii="宋体" w:hAnsi="宋体"/>
          <w:color w:val="auto"/>
          <w:spacing w:val="-6"/>
          <w:sz w:val="24"/>
          <w:highlight w:val="none"/>
        </w:rPr>
        <w:t>的投标活动，并代表我方全权办理针对上述项目的投标、开标、评标、签约等具体事务和签署相关文件。</w:t>
      </w:r>
    </w:p>
    <w:p>
      <w:pPr>
        <w:spacing w:line="360" w:lineRule="auto"/>
        <w:ind w:firstLine="456" w:firstLineChars="200"/>
        <w:rPr>
          <w:rFonts w:ascii="宋体" w:hAnsi="宋体"/>
          <w:color w:val="auto"/>
          <w:spacing w:val="-6"/>
          <w:sz w:val="24"/>
          <w:highlight w:val="none"/>
        </w:rPr>
      </w:pPr>
      <w:r>
        <w:rPr>
          <w:rFonts w:hint="eastAsia" w:ascii="宋体" w:hAnsi="宋体"/>
          <w:color w:val="auto"/>
          <w:spacing w:val="-6"/>
          <w:sz w:val="24"/>
          <w:highlight w:val="none"/>
        </w:rPr>
        <w:t>我方对被授权人的签名负全部责任。</w:t>
      </w:r>
    </w:p>
    <w:p>
      <w:pPr>
        <w:spacing w:line="360" w:lineRule="auto"/>
        <w:ind w:firstLine="456" w:firstLineChars="200"/>
        <w:rPr>
          <w:rFonts w:ascii="宋体" w:hAnsi="宋体"/>
          <w:color w:val="auto"/>
          <w:spacing w:val="-6"/>
          <w:sz w:val="24"/>
          <w:highlight w:val="none"/>
        </w:rPr>
      </w:pPr>
      <w:r>
        <w:rPr>
          <w:rFonts w:hint="eastAsia" w:ascii="宋体" w:hAnsi="宋体"/>
          <w:color w:val="auto"/>
          <w:spacing w:val="-6"/>
          <w:sz w:val="24"/>
          <w:highlight w:val="none"/>
        </w:rPr>
        <w:t>在撤销授权的书面通知以前，本授权书一直有效。被授权人在授权书有效期内签署的所有文件不因授权的撤销而失效。</w:t>
      </w:r>
    </w:p>
    <w:p>
      <w:pPr>
        <w:spacing w:line="360" w:lineRule="auto"/>
        <w:ind w:firstLine="456" w:firstLineChars="200"/>
        <w:rPr>
          <w:rFonts w:ascii="宋体" w:hAnsi="宋体"/>
          <w:color w:val="auto"/>
          <w:spacing w:val="-6"/>
          <w:sz w:val="24"/>
          <w:highlight w:val="none"/>
        </w:rPr>
      </w:pPr>
      <w:r>
        <w:rPr>
          <w:rFonts w:hint="eastAsia" w:ascii="宋体" w:hAnsi="宋体"/>
          <w:color w:val="auto"/>
          <w:spacing w:val="-6"/>
          <w:sz w:val="24"/>
          <w:highlight w:val="none"/>
        </w:rPr>
        <w:t>被授权人无转委托权，特此委托。</w:t>
      </w:r>
    </w:p>
    <w:p>
      <w:pPr>
        <w:spacing w:line="360" w:lineRule="auto"/>
        <w:ind w:firstLine="424" w:firstLineChars="186"/>
        <w:rPr>
          <w:rFonts w:ascii="宋体" w:hAnsi="宋体"/>
          <w:color w:val="auto"/>
          <w:spacing w:val="-6"/>
          <w:sz w:val="24"/>
          <w:highlight w:val="none"/>
        </w:rPr>
      </w:pPr>
    </w:p>
    <w:p>
      <w:pPr>
        <w:spacing w:line="360" w:lineRule="auto"/>
        <w:ind w:firstLine="424" w:firstLineChars="186"/>
        <w:rPr>
          <w:rFonts w:ascii="宋体" w:hAnsi="宋体"/>
          <w:color w:val="auto"/>
          <w:spacing w:val="-6"/>
          <w:sz w:val="24"/>
          <w:highlight w:val="none"/>
          <w:u w:val="single"/>
        </w:rPr>
      </w:pPr>
      <w:r>
        <w:rPr>
          <w:rFonts w:hint="eastAsia" w:ascii="宋体" w:hAnsi="宋体"/>
          <w:color w:val="auto"/>
          <w:spacing w:val="-6"/>
          <w:sz w:val="24"/>
          <w:highlight w:val="none"/>
        </w:rPr>
        <w:t>法定代表人（签字或盖章）：</w:t>
      </w:r>
    </w:p>
    <w:p>
      <w:pPr>
        <w:spacing w:line="360" w:lineRule="auto"/>
        <w:ind w:firstLine="424" w:firstLineChars="186"/>
        <w:rPr>
          <w:rFonts w:ascii="宋体" w:hAnsi="宋体"/>
          <w:color w:val="auto"/>
          <w:spacing w:val="-6"/>
          <w:sz w:val="24"/>
          <w:highlight w:val="none"/>
        </w:rPr>
      </w:pP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投标人名称（盖章）：</w:t>
      </w:r>
    </w:p>
    <w:p>
      <w:pPr>
        <w:spacing w:line="360" w:lineRule="auto"/>
        <w:rPr>
          <w:rFonts w:ascii="宋体" w:hAnsi="宋体"/>
          <w:color w:val="auto"/>
          <w:spacing w:val="-6"/>
          <w:sz w:val="24"/>
          <w:highlight w:val="none"/>
        </w:rPr>
      </w:pPr>
      <w:r>
        <w:rPr>
          <w:rFonts w:hint="eastAsia" w:ascii="宋体" w:hAnsi="宋体"/>
          <w:bCs/>
          <w:color w:val="auto"/>
          <w:spacing w:val="-6"/>
          <w:sz w:val="24"/>
          <w:highlight w:val="none"/>
        </w:rPr>
        <w:t>日期：     年   月   日</w:t>
      </w:r>
    </w:p>
    <w:tbl>
      <w:tblPr>
        <w:tblStyle w:val="22"/>
        <w:tblW w:w="96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2" w:hRule="atLeast"/>
        </w:trPr>
        <w:tc>
          <w:tcPr>
            <w:tcW w:w="9639" w:type="dxa"/>
          </w:tcPr>
          <w:p>
            <w:pPr>
              <w:keepNext w:val="0"/>
              <w:keepLines w:val="0"/>
              <w:suppressLineNumbers w:val="0"/>
              <w:spacing w:before="0" w:beforeAutospacing="0" w:after="0" w:afterAutospacing="0" w:line="360" w:lineRule="auto"/>
              <w:ind w:left="0" w:right="0"/>
              <w:rPr>
                <w:rFonts w:hint="default" w:ascii="宋体" w:hAnsi="宋体"/>
                <w:color w:val="auto"/>
                <w:sz w:val="24"/>
                <w:highlight w:val="none"/>
              </w:rPr>
            </w:pPr>
            <w:r>
              <w:rPr>
                <w:rFonts w:hint="eastAsia" w:ascii="新宋体" w:hAnsi="新宋体" w:eastAsia="新宋体"/>
                <w:color w:val="auto"/>
                <w:sz w:val="24"/>
                <w:highlight w:val="none"/>
              </w:rPr>
              <w:t>授权代表</w:t>
            </w:r>
            <w:r>
              <w:rPr>
                <w:rFonts w:hint="eastAsia" w:ascii="宋体" w:hAnsi="宋体"/>
                <w:color w:val="auto"/>
                <w:sz w:val="24"/>
                <w:highlight w:val="none"/>
              </w:rPr>
              <w:t>身份证：</w:t>
            </w:r>
          </w:p>
          <w:p>
            <w:pPr>
              <w:keepNext w:val="0"/>
              <w:keepLines w:val="0"/>
              <w:suppressLineNumbers w:val="0"/>
              <w:spacing w:before="0" w:beforeAutospacing="0" w:after="0" w:afterAutospacing="0" w:line="360" w:lineRule="auto"/>
              <w:ind w:left="0" w:right="0"/>
              <w:rPr>
                <w:rFonts w:hint="default" w:ascii="宋体" w:hAnsi="宋体"/>
                <w:color w:val="auto"/>
                <w:sz w:val="24"/>
                <w:highlight w:val="none"/>
              </w:rPr>
            </w:pPr>
          </w:p>
          <w:p>
            <w:pPr>
              <w:keepNext w:val="0"/>
              <w:keepLines w:val="0"/>
              <w:suppressLineNumbers w:val="0"/>
              <w:spacing w:before="0" w:beforeAutospacing="0" w:after="0" w:afterAutospacing="0" w:line="360" w:lineRule="auto"/>
              <w:ind w:left="0" w:right="0"/>
              <w:rPr>
                <w:rFonts w:hint="default" w:ascii="宋体" w:hAnsi="宋体"/>
                <w:color w:val="auto"/>
                <w:sz w:val="24"/>
                <w:highlight w:val="none"/>
              </w:rPr>
            </w:pPr>
          </w:p>
          <w:p>
            <w:pPr>
              <w:keepNext w:val="0"/>
              <w:keepLines w:val="0"/>
              <w:suppressLineNumbers w:val="0"/>
              <w:spacing w:before="0" w:beforeAutospacing="0" w:after="0" w:afterAutospacing="0" w:line="360" w:lineRule="auto"/>
              <w:ind w:left="0" w:right="0"/>
              <w:rPr>
                <w:rFonts w:hint="default" w:ascii="宋体" w:hAnsi="宋体"/>
                <w:color w:val="auto"/>
                <w:sz w:val="24"/>
                <w:highlight w:val="none"/>
              </w:rPr>
            </w:pPr>
          </w:p>
          <w:p>
            <w:pPr>
              <w:keepNext w:val="0"/>
              <w:keepLines w:val="0"/>
              <w:suppressLineNumbers w:val="0"/>
              <w:spacing w:before="0" w:beforeAutospacing="0" w:after="0" w:afterAutospacing="0" w:line="360" w:lineRule="auto"/>
              <w:ind w:left="0" w:right="0"/>
              <w:rPr>
                <w:rFonts w:hint="default" w:ascii="宋体" w:hAnsi="宋体"/>
                <w:color w:val="auto"/>
                <w:sz w:val="24"/>
                <w:highlight w:val="none"/>
              </w:rPr>
            </w:pPr>
          </w:p>
          <w:p>
            <w:pPr>
              <w:keepNext w:val="0"/>
              <w:keepLines w:val="0"/>
              <w:suppressLineNumbers w:val="0"/>
              <w:spacing w:before="0" w:beforeAutospacing="0" w:after="0" w:afterAutospacing="0" w:line="360" w:lineRule="auto"/>
              <w:ind w:left="0" w:right="0"/>
              <w:rPr>
                <w:rFonts w:hint="default" w:ascii="宋体" w:hAnsi="宋体"/>
                <w:color w:val="auto"/>
                <w:sz w:val="24"/>
                <w:highlight w:val="none"/>
              </w:rPr>
            </w:pPr>
            <w:r>
              <w:rPr>
                <w:rFonts w:hint="eastAsia" w:ascii="宋体" w:hAnsi="宋体"/>
                <w:color w:val="auto"/>
                <w:sz w:val="24"/>
                <w:highlight w:val="none"/>
              </w:rPr>
              <w:t>复印件粘贴处</w:t>
            </w:r>
          </w:p>
        </w:tc>
      </w:tr>
    </w:tbl>
    <w:p>
      <w:pPr>
        <w:pStyle w:val="12"/>
        <w:spacing w:before="0" w:beforeLines="0" w:after="0" w:afterLines="0" w:line="360" w:lineRule="auto"/>
        <w:rPr>
          <w:rFonts w:hAnsi="宋体"/>
          <w:b/>
          <w:color w:val="auto"/>
          <w:spacing w:val="-6"/>
          <w:highlight w:val="none"/>
        </w:rPr>
      </w:pPr>
    </w:p>
    <w:p>
      <w:pPr>
        <w:spacing w:line="360" w:lineRule="auto"/>
        <w:rPr>
          <w:rFonts w:ascii="宋体" w:hAnsi="宋体"/>
          <w:b/>
          <w:bCs/>
          <w:color w:val="auto"/>
          <w:spacing w:val="-6"/>
          <w:sz w:val="21"/>
          <w:szCs w:val="21"/>
          <w:highlight w:val="none"/>
        </w:rPr>
      </w:pPr>
      <w:r>
        <w:rPr>
          <w:rFonts w:hint="eastAsia" w:ascii="宋体" w:hAnsi="宋体"/>
          <w:b/>
          <w:bCs/>
          <w:color w:val="auto"/>
          <w:spacing w:val="-6"/>
          <w:sz w:val="21"/>
          <w:szCs w:val="21"/>
          <w:highlight w:val="none"/>
        </w:rPr>
        <w:t>说明：</w:t>
      </w:r>
    </w:p>
    <w:p>
      <w:pPr>
        <w:spacing w:line="360" w:lineRule="auto"/>
        <w:rPr>
          <w:rFonts w:ascii="宋体" w:hAnsi="宋体"/>
          <w:b/>
          <w:bCs/>
          <w:color w:val="auto"/>
          <w:spacing w:val="-6"/>
          <w:sz w:val="21"/>
          <w:szCs w:val="21"/>
          <w:highlight w:val="none"/>
        </w:rPr>
      </w:pPr>
      <w:r>
        <w:rPr>
          <w:rFonts w:hint="eastAsia" w:ascii="宋体" w:hAnsi="宋体"/>
          <w:b/>
          <w:bCs/>
          <w:color w:val="auto"/>
          <w:spacing w:val="-6"/>
          <w:sz w:val="21"/>
          <w:szCs w:val="21"/>
          <w:highlight w:val="none"/>
        </w:rPr>
        <w:t>1</w:t>
      </w:r>
      <w:r>
        <w:rPr>
          <w:rFonts w:ascii="宋体" w:hAnsi="宋体"/>
          <w:b/>
          <w:bCs/>
          <w:color w:val="auto"/>
          <w:spacing w:val="-6"/>
          <w:sz w:val="21"/>
          <w:szCs w:val="21"/>
          <w:highlight w:val="none"/>
        </w:rPr>
        <w:t>.</w:t>
      </w:r>
      <w:r>
        <w:rPr>
          <w:rFonts w:hint="eastAsia" w:ascii="宋体" w:hAnsi="宋体"/>
          <w:b/>
          <w:bCs/>
          <w:color w:val="auto"/>
          <w:spacing w:val="-6"/>
          <w:sz w:val="21"/>
          <w:szCs w:val="21"/>
          <w:highlight w:val="none"/>
        </w:rPr>
        <w:t>投标人的</w:t>
      </w:r>
      <w:r>
        <w:rPr>
          <w:rFonts w:ascii="宋体" w:hAnsi="宋体"/>
          <w:b/>
          <w:bCs/>
          <w:color w:val="auto"/>
          <w:spacing w:val="-6"/>
          <w:sz w:val="21"/>
          <w:szCs w:val="21"/>
          <w:highlight w:val="none"/>
        </w:rPr>
        <w:t>法定代表人参加投标，须在投标文件中提供</w:t>
      </w:r>
      <w:r>
        <w:rPr>
          <w:rFonts w:hint="eastAsia" w:ascii="宋体" w:hAnsi="宋体"/>
          <w:b/>
          <w:bCs/>
          <w:color w:val="auto"/>
          <w:spacing w:val="-6"/>
          <w:sz w:val="21"/>
          <w:szCs w:val="21"/>
          <w:highlight w:val="none"/>
        </w:rPr>
        <w:t>：</w:t>
      </w:r>
      <w:r>
        <w:rPr>
          <w:rFonts w:ascii="宋体" w:hAnsi="宋体"/>
          <w:b/>
          <w:bCs/>
          <w:color w:val="auto"/>
          <w:spacing w:val="-6"/>
          <w:sz w:val="21"/>
          <w:szCs w:val="21"/>
          <w:highlight w:val="none"/>
        </w:rPr>
        <w:t>法定代表人资格证明</w:t>
      </w:r>
      <w:r>
        <w:rPr>
          <w:rFonts w:hint="eastAsia" w:ascii="宋体" w:hAnsi="宋体"/>
          <w:b/>
          <w:bCs/>
          <w:color w:val="auto"/>
          <w:spacing w:val="-6"/>
          <w:sz w:val="21"/>
          <w:szCs w:val="21"/>
          <w:highlight w:val="none"/>
        </w:rPr>
        <w:t>书；</w:t>
      </w:r>
    </w:p>
    <w:p>
      <w:pPr>
        <w:spacing w:line="360" w:lineRule="auto"/>
        <w:rPr>
          <w:rFonts w:ascii="宋体" w:hAnsi="宋体"/>
          <w:b/>
          <w:bCs/>
          <w:color w:val="auto"/>
          <w:spacing w:val="-6"/>
          <w:sz w:val="21"/>
          <w:szCs w:val="21"/>
          <w:highlight w:val="none"/>
        </w:rPr>
      </w:pPr>
      <w:r>
        <w:rPr>
          <w:rFonts w:hint="eastAsia" w:ascii="宋体" w:hAnsi="宋体"/>
          <w:b/>
          <w:bCs/>
          <w:color w:val="auto"/>
          <w:spacing w:val="-6"/>
          <w:sz w:val="21"/>
          <w:szCs w:val="21"/>
          <w:highlight w:val="none"/>
        </w:rPr>
        <w:t>2</w:t>
      </w:r>
      <w:r>
        <w:rPr>
          <w:rFonts w:ascii="宋体" w:hAnsi="宋体"/>
          <w:b/>
          <w:bCs/>
          <w:color w:val="auto"/>
          <w:spacing w:val="-6"/>
          <w:sz w:val="21"/>
          <w:szCs w:val="21"/>
          <w:highlight w:val="none"/>
        </w:rPr>
        <w:t>.</w:t>
      </w:r>
      <w:r>
        <w:rPr>
          <w:rFonts w:hint="eastAsia" w:ascii="宋体" w:hAnsi="宋体"/>
          <w:b/>
          <w:bCs/>
          <w:color w:val="auto"/>
          <w:spacing w:val="-6"/>
          <w:sz w:val="21"/>
          <w:szCs w:val="21"/>
          <w:highlight w:val="none"/>
        </w:rPr>
        <w:t>投标人的法定代表人委托授权代表</w:t>
      </w:r>
      <w:r>
        <w:rPr>
          <w:rFonts w:ascii="宋体" w:hAnsi="宋体"/>
          <w:b/>
          <w:bCs/>
          <w:color w:val="auto"/>
          <w:spacing w:val="-6"/>
          <w:sz w:val="21"/>
          <w:szCs w:val="21"/>
          <w:highlight w:val="none"/>
        </w:rPr>
        <w:t>参加投标，须在投标文件中提供</w:t>
      </w:r>
      <w:r>
        <w:rPr>
          <w:rFonts w:hint="eastAsia" w:ascii="宋体" w:hAnsi="宋体"/>
          <w:b/>
          <w:bCs/>
          <w:color w:val="auto"/>
          <w:spacing w:val="-6"/>
          <w:sz w:val="21"/>
          <w:szCs w:val="21"/>
          <w:highlight w:val="none"/>
        </w:rPr>
        <w:t>：</w:t>
      </w:r>
      <w:r>
        <w:rPr>
          <w:rFonts w:ascii="宋体" w:hAnsi="宋体"/>
          <w:b/>
          <w:bCs/>
          <w:color w:val="auto"/>
          <w:spacing w:val="-6"/>
          <w:sz w:val="21"/>
          <w:szCs w:val="21"/>
          <w:highlight w:val="none"/>
        </w:rPr>
        <w:t>法定代表人资格证明</w:t>
      </w:r>
      <w:r>
        <w:rPr>
          <w:rFonts w:hint="eastAsia" w:ascii="宋体" w:hAnsi="宋体"/>
          <w:b/>
          <w:bCs/>
          <w:color w:val="auto"/>
          <w:spacing w:val="-6"/>
          <w:sz w:val="21"/>
          <w:szCs w:val="21"/>
          <w:highlight w:val="none"/>
        </w:rPr>
        <w:t>书和</w:t>
      </w:r>
      <w:r>
        <w:rPr>
          <w:rFonts w:ascii="宋体" w:hAnsi="宋体"/>
          <w:b/>
          <w:bCs/>
          <w:color w:val="auto"/>
          <w:spacing w:val="-6"/>
          <w:sz w:val="21"/>
          <w:szCs w:val="21"/>
          <w:highlight w:val="none"/>
        </w:rPr>
        <w:t>法定代表人授权</w:t>
      </w:r>
      <w:r>
        <w:rPr>
          <w:rFonts w:hint="eastAsia" w:ascii="宋体" w:hAnsi="宋体"/>
          <w:b/>
          <w:bCs/>
          <w:color w:val="auto"/>
          <w:spacing w:val="-6"/>
          <w:sz w:val="21"/>
          <w:szCs w:val="21"/>
          <w:highlight w:val="none"/>
        </w:rPr>
        <w:t>委托</w:t>
      </w:r>
      <w:r>
        <w:rPr>
          <w:rFonts w:ascii="宋体" w:hAnsi="宋体"/>
          <w:b/>
          <w:bCs/>
          <w:color w:val="auto"/>
          <w:spacing w:val="-6"/>
          <w:sz w:val="21"/>
          <w:szCs w:val="21"/>
          <w:highlight w:val="none"/>
        </w:rPr>
        <w:t>书</w:t>
      </w:r>
      <w:r>
        <w:rPr>
          <w:rFonts w:hint="eastAsia" w:ascii="宋体" w:hAnsi="宋体"/>
          <w:b/>
          <w:bCs/>
          <w:color w:val="auto"/>
          <w:spacing w:val="-6"/>
          <w:sz w:val="21"/>
          <w:szCs w:val="21"/>
          <w:highlight w:val="none"/>
        </w:rPr>
        <w:t>。</w:t>
      </w:r>
    </w:p>
    <w:p>
      <w:pPr>
        <w:spacing w:line="360" w:lineRule="auto"/>
        <w:jc w:val="center"/>
        <w:outlineLvl w:val="3"/>
        <w:rPr>
          <w:rFonts w:ascii="宋体" w:hAnsi="宋体"/>
          <w:b/>
          <w:color w:val="auto"/>
          <w:spacing w:val="-6"/>
          <w:sz w:val="24"/>
          <w:szCs w:val="20"/>
          <w:highlight w:val="none"/>
        </w:rPr>
      </w:pPr>
      <w:r>
        <w:rPr>
          <w:rFonts w:ascii="宋体" w:hAnsi="宋体"/>
          <w:b/>
          <w:color w:val="auto"/>
          <w:spacing w:val="-6"/>
          <w:sz w:val="24"/>
          <w:highlight w:val="none"/>
        </w:rPr>
        <w:br w:type="page"/>
      </w:r>
      <w:r>
        <w:rPr>
          <w:rFonts w:hint="eastAsia" w:ascii="宋体" w:hAnsi="宋体"/>
          <w:b/>
          <w:color w:val="auto"/>
          <w:spacing w:val="-6"/>
          <w:sz w:val="24"/>
          <w:highlight w:val="none"/>
        </w:rPr>
        <w:t>2019年12月至今任意一月的</w:t>
      </w:r>
      <w:r>
        <w:rPr>
          <w:rFonts w:hint="eastAsia" w:ascii="宋体" w:hAnsi="宋体"/>
          <w:b/>
          <w:color w:val="auto"/>
          <w:spacing w:val="-6"/>
          <w:sz w:val="24"/>
          <w:szCs w:val="20"/>
          <w:highlight w:val="none"/>
        </w:rPr>
        <w:t>投标授权代表社保缴纳证明</w:t>
      </w:r>
    </w:p>
    <w:p>
      <w:pPr>
        <w:pStyle w:val="21"/>
        <w:jc w:val="center"/>
        <w:rPr>
          <w:b/>
          <w:color w:val="auto"/>
          <w:highlight w:val="none"/>
        </w:rPr>
      </w:pPr>
      <w:r>
        <w:rPr>
          <w:rFonts w:hint="eastAsia" w:hAnsi="宋体"/>
          <w:b/>
          <w:color w:val="auto"/>
          <w:spacing w:val="-6"/>
          <w:sz w:val="21"/>
          <w:szCs w:val="21"/>
          <w:highlight w:val="none"/>
        </w:rPr>
        <w:t>（授权代表为法定代表人可不提供）</w:t>
      </w:r>
    </w:p>
    <w:p>
      <w:pPr>
        <w:spacing w:line="360" w:lineRule="auto"/>
        <w:jc w:val="center"/>
        <w:outlineLvl w:val="3"/>
        <w:rPr>
          <w:rFonts w:ascii="宋体" w:hAnsi="宋体"/>
          <w:b/>
          <w:color w:val="auto"/>
          <w:spacing w:val="-6"/>
          <w:sz w:val="24"/>
          <w:highlight w:val="none"/>
        </w:rPr>
      </w:pPr>
      <w:r>
        <w:rPr>
          <w:rFonts w:ascii="宋体" w:hAnsi="宋体"/>
          <w:b/>
          <w:color w:val="auto"/>
          <w:spacing w:val="-6"/>
          <w:sz w:val="24"/>
          <w:highlight w:val="none"/>
        </w:rPr>
        <w:br w:type="page"/>
      </w:r>
      <w:r>
        <w:rPr>
          <w:rFonts w:hint="eastAsia" w:ascii="宋体" w:hAnsi="宋体"/>
          <w:b/>
          <w:color w:val="auto"/>
          <w:spacing w:val="-6"/>
          <w:sz w:val="24"/>
          <w:highlight w:val="none"/>
        </w:rPr>
        <w:t>投标声明书</w:t>
      </w: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致：浙江求是招标代理有限公司</w:t>
      </w:r>
    </w:p>
    <w:p>
      <w:pPr>
        <w:spacing w:line="360" w:lineRule="auto"/>
        <w:ind w:firstLine="456" w:firstLineChars="200"/>
        <w:rPr>
          <w:rFonts w:ascii="宋体" w:hAnsi="宋体"/>
          <w:color w:val="auto"/>
          <w:spacing w:val="-6"/>
          <w:sz w:val="24"/>
          <w:highlight w:val="none"/>
        </w:rPr>
      </w:pPr>
      <w:r>
        <w:rPr>
          <w:rFonts w:ascii="宋体" w:hAnsi="宋体"/>
          <w:color w:val="auto"/>
          <w:spacing w:val="-6"/>
          <w:sz w:val="24"/>
          <w:highlight w:val="none"/>
        </w:rPr>
        <w:t>___________________________________</w:t>
      </w:r>
      <w:r>
        <w:rPr>
          <w:rFonts w:hint="eastAsia" w:ascii="宋体" w:hAnsi="宋体"/>
          <w:color w:val="auto"/>
          <w:spacing w:val="-6"/>
          <w:sz w:val="24"/>
          <w:highlight w:val="none"/>
        </w:rPr>
        <w:t>（投标人名称）系中华人民共和国合法企业，经营地址</w:t>
      </w:r>
      <w:r>
        <w:rPr>
          <w:rFonts w:ascii="宋体" w:hAnsi="宋体"/>
          <w:color w:val="auto"/>
          <w:spacing w:val="-6"/>
          <w:sz w:val="24"/>
          <w:highlight w:val="none"/>
        </w:rPr>
        <w:t>___________________________________</w:t>
      </w:r>
      <w:r>
        <w:rPr>
          <w:rFonts w:hint="eastAsia" w:ascii="宋体" w:hAnsi="宋体"/>
          <w:color w:val="auto"/>
          <w:spacing w:val="-6"/>
          <w:sz w:val="24"/>
          <w:highlight w:val="none"/>
        </w:rPr>
        <w:t>。</w:t>
      </w:r>
    </w:p>
    <w:p>
      <w:pPr>
        <w:spacing w:line="360" w:lineRule="auto"/>
        <w:ind w:firstLine="456" w:firstLineChars="200"/>
        <w:rPr>
          <w:rFonts w:ascii="宋体" w:hAnsi="宋体"/>
          <w:color w:val="auto"/>
          <w:spacing w:val="-6"/>
          <w:sz w:val="24"/>
          <w:highlight w:val="none"/>
        </w:rPr>
      </w:pPr>
      <w:r>
        <w:rPr>
          <w:rFonts w:hint="eastAsia" w:ascii="宋体" w:hAnsi="宋体"/>
          <w:color w:val="auto"/>
          <w:spacing w:val="-6"/>
          <w:sz w:val="24"/>
          <w:highlight w:val="none"/>
        </w:rPr>
        <w:t>我方愿意参加贵方组织的杭州电子科技大学协同创新中心高教仪器设备的投标，为便于贵方公正、择优地确定中标人及其产品和服务，我方就本次投标有关事项郑重声明如下：</w:t>
      </w:r>
    </w:p>
    <w:p>
      <w:pPr>
        <w:spacing w:line="360" w:lineRule="auto"/>
        <w:ind w:firstLine="456" w:firstLineChars="200"/>
        <w:rPr>
          <w:rFonts w:ascii="宋体" w:hAnsi="宋体"/>
          <w:color w:val="auto"/>
          <w:spacing w:val="-6"/>
          <w:sz w:val="24"/>
          <w:highlight w:val="none"/>
        </w:rPr>
      </w:pPr>
      <w:r>
        <w:rPr>
          <w:rFonts w:hint="eastAsia" w:ascii="宋体" w:hAnsi="宋体"/>
          <w:color w:val="auto"/>
          <w:spacing w:val="-6"/>
          <w:sz w:val="24"/>
          <w:highlight w:val="none"/>
        </w:rPr>
        <w:t>1</w:t>
      </w:r>
      <w:r>
        <w:rPr>
          <w:rFonts w:ascii="宋体" w:hAnsi="宋体"/>
          <w:color w:val="auto"/>
          <w:spacing w:val="-6"/>
          <w:sz w:val="24"/>
          <w:highlight w:val="none"/>
        </w:rPr>
        <w:t>.</w:t>
      </w:r>
      <w:r>
        <w:rPr>
          <w:rFonts w:hint="eastAsia" w:ascii="宋体" w:hAnsi="宋体"/>
          <w:color w:val="auto"/>
          <w:spacing w:val="-6"/>
          <w:sz w:val="24"/>
          <w:highlight w:val="none"/>
        </w:rPr>
        <w:t>我方向贵方提交的所有投标文件、资料都是准确的和真实的；</w:t>
      </w:r>
    </w:p>
    <w:p>
      <w:pPr>
        <w:spacing w:line="360" w:lineRule="auto"/>
        <w:ind w:firstLine="456" w:firstLineChars="200"/>
        <w:rPr>
          <w:rFonts w:ascii="宋体" w:hAnsi="宋体"/>
          <w:color w:val="auto"/>
          <w:spacing w:val="-6"/>
          <w:sz w:val="24"/>
          <w:highlight w:val="none"/>
        </w:rPr>
      </w:pPr>
      <w:r>
        <w:rPr>
          <w:rFonts w:hint="eastAsia" w:ascii="宋体" w:hAnsi="宋体"/>
          <w:color w:val="auto"/>
          <w:spacing w:val="-6"/>
          <w:sz w:val="24"/>
          <w:highlight w:val="none"/>
        </w:rPr>
        <w:t>2</w:t>
      </w:r>
      <w:r>
        <w:rPr>
          <w:rFonts w:ascii="宋体" w:hAnsi="宋体"/>
          <w:color w:val="auto"/>
          <w:spacing w:val="-6"/>
          <w:sz w:val="24"/>
          <w:highlight w:val="none"/>
        </w:rPr>
        <w:t>.</w:t>
      </w:r>
      <w:r>
        <w:rPr>
          <w:rFonts w:hint="eastAsia" w:ascii="宋体" w:hAnsi="宋体"/>
          <w:color w:val="auto"/>
          <w:spacing w:val="-6"/>
          <w:sz w:val="24"/>
          <w:highlight w:val="none"/>
        </w:rPr>
        <w:t>我方不是采购人的附属机构；在获知本项目采购信息后，与采购人聘请的为此项目提供咨询服务的公司及其附属机构没有任何联系。</w:t>
      </w:r>
    </w:p>
    <w:p>
      <w:pPr>
        <w:pStyle w:val="2"/>
        <w:spacing w:line="360" w:lineRule="auto"/>
        <w:ind w:firstLine="456" w:firstLineChars="200"/>
        <w:rPr>
          <w:rFonts w:hAnsi="宋体"/>
          <w:color w:val="auto"/>
          <w:spacing w:val="-6"/>
          <w:sz w:val="24"/>
          <w:szCs w:val="24"/>
          <w:highlight w:val="none"/>
        </w:rPr>
      </w:pPr>
      <w:r>
        <w:rPr>
          <w:rFonts w:hAnsi="宋体"/>
          <w:color w:val="auto"/>
          <w:spacing w:val="-6"/>
          <w:sz w:val="24"/>
          <w:szCs w:val="24"/>
          <w:highlight w:val="none"/>
        </w:rPr>
        <w:t>3.我方</w:t>
      </w:r>
      <w:r>
        <w:rPr>
          <w:rFonts w:hint="eastAsia" w:hAnsi="宋体"/>
          <w:color w:val="auto"/>
          <w:spacing w:val="-6"/>
          <w:sz w:val="24"/>
          <w:szCs w:val="24"/>
          <w:highlight w:val="none"/>
        </w:rPr>
        <w:t>在参加政府采购活动前3年内：</w:t>
      </w:r>
      <w:r>
        <w:rPr>
          <w:rFonts w:hint="eastAsia" w:hAnsi="宋体"/>
          <w:b/>
          <w:color w:val="auto"/>
          <w:spacing w:val="-6"/>
          <w:sz w:val="24"/>
          <w:szCs w:val="24"/>
          <w:highlight w:val="none"/>
          <w:u w:val="single"/>
        </w:rPr>
        <w:t xml:space="preserve">     </w:t>
      </w:r>
      <w:r>
        <w:rPr>
          <w:rFonts w:hint="eastAsia" w:hAnsi="宋体"/>
          <w:b/>
          <w:color w:val="auto"/>
          <w:spacing w:val="-6"/>
          <w:sz w:val="24"/>
          <w:szCs w:val="24"/>
          <w:highlight w:val="none"/>
        </w:rPr>
        <w:t>（填写“有”或“没有”，如实填写，如不填写视同未按要求填写）</w:t>
      </w:r>
      <w:r>
        <w:rPr>
          <w:rFonts w:hint="eastAsia" w:hAnsi="宋体"/>
          <w:color w:val="auto"/>
          <w:spacing w:val="-6"/>
          <w:sz w:val="24"/>
          <w:szCs w:val="24"/>
          <w:highlight w:val="none"/>
        </w:rPr>
        <w:t>因违法经营被禁止在一定期限内参加政府采购活动,且期限未满的情形。</w:t>
      </w:r>
    </w:p>
    <w:p>
      <w:pPr>
        <w:pStyle w:val="2"/>
        <w:spacing w:line="360" w:lineRule="auto"/>
        <w:ind w:firstLine="456" w:firstLineChars="200"/>
        <w:rPr>
          <w:rFonts w:hAnsi="宋体"/>
          <w:color w:val="auto"/>
          <w:spacing w:val="-6"/>
          <w:sz w:val="24"/>
          <w:szCs w:val="24"/>
          <w:highlight w:val="none"/>
        </w:rPr>
      </w:pPr>
      <w:r>
        <w:rPr>
          <w:rFonts w:hAnsi="宋体"/>
          <w:color w:val="auto"/>
          <w:spacing w:val="-6"/>
          <w:sz w:val="24"/>
          <w:szCs w:val="24"/>
          <w:highlight w:val="none"/>
        </w:rPr>
        <w:t>4.以上事项如有虚假或隐瞒，我方愿意承担一切后果和责任。</w:t>
      </w:r>
    </w:p>
    <w:p>
      <w:pPr>
        <w:pStyle w:val="44"/>
        <w:spacing w:line="360" w:lineRule="auto"/>
        <w:rPr>
          <w:rFonts w:ascii="宋体" w:hAnsi="宋体"/>
          <w:color w:val="auto"/>
          <w:spacing w:val="-6"/>
          <w:szCs w:val="24"/>
          <w:highlight w:val="none"/>
        </w:rPr>
      </w:pPr>
    </w:p>
    <w:p>
      <w:pPr>
        <w:pStyle w:val="44"/>
        <w:spacing w:line="360" w:lineRule="auto"/>
        <w:rPr>
          <w:rFonts w:ascii="宋体" w:hAnsi="宋体"/>
          <w:color w:val="auto"/>
          <w:spacing w:val="-6"/>
          <w:szCs w:val="24"/>
          <w:highlight w:val="none"/>
        </w:rPr>
      </w:pPr>
    </w:p>
    <w:p>
      <w:pPr>
        <w:pStyle w:val="44"/>
        <w:spacing w:line="360" w:lineRule="auto"/>
        <w:rPr>
          <w:rFonts w:ascii="宋体" w:hAnsi="宋体"/>
          <w:color w:val="auto"/>
          <w:spacing w:val="-6"/>
          <w:szCs w:val="24"/>
          <w:highlight w:val="none"/>
        </w:rPr>
      </w:pP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投标人名称（盖章）：</w:t>
      </w: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投标人代表签字：</w:t>
      </w:r>
    </w:p>
    <w:p>
      <w:pPr>
        <w:spacing w:line="360" w:lineRule="auto"/>
        <w:rPr>
          <w:rFonts w:ascii="宋体" w:hAnsi="宋体"/>
          <w:color w:val="auto"/>
          <w:spacing w:val="-6"/>
          <w:sz w:val="24"/>
          <w:highlight w:val="none"/>
        </w:rPr>
      </w:pPr>
      <w:r>
        <w:rPr>
          <w:rFonts w:hint="eastAsia" w:ascii="宋体" w:hAnsi="宋体"/>
          <w:bCs/>
          <w:color w:val="auto"/>
          <w:spacing w:val="-6"/>
          <w:sz w:val="24"/>
          <w:highlight w:val="none"/>
        </w:rPr>
        <w:t>日期：     年   月   日</w:t>
      </w:r>
    </w:p>
    <w:p>
      <w:pPr>
        <w:spacing w:line="360" w:lineRule="auto"/>
        <w:jc w:val="center"/>
        <w:outlineLvl w:val="3"/>
        <w:rPr>
          <w:rFonts w:ascii="宋体" w:hAnsi="宋体"/>
          <w:b/>
          <w:color w:val="auto"/>
          <w:spacing w:val="-6"/>
          <w:sz w:val="24"/>
          <w:highlight w:val="none"/>
        </w:rPr>
      </w:pPr>
      <w:r>
        <w:rPr>
          <w:rFonts w:ascii="宋体" w:hAnsi="宋体"/>
          <w:b/>
          <w:color w:val="auto"/>
          <w:spacing w:val="-6"/>
          <w:sz w:val="24"/>
          <w:highlight w:val="none"/>
        </w:rPr>
        <w:br w:type="page"/>
      </w:r>
      <w:r>
        <w:rPr>
          <w:rFonts w:hint="eastAsia" w:ascii="宋体" w:hAnsi="宋体"/>
          <w:b/>
          <w:color w:val="auto"/>
          <w:spacing w:val="-6"/>
          <w:sz w:val="24"/>
          <w:highlight w:val="none"/>
        </w:rPr>
        <w:t>投标人一般情况</w:t>
      </w:r>
    </w:p>
    <w:tbl>
      <w:tblPr>
        <w:tblStyle w:val="22"/>
        <w:tblW w:w="9603"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520"/>
        <w:gridCol w:w="1785"/>
        <w:gridCol w:w="4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r>
              <w:rPr>
                <w:rFonts w:hint="eastAsia" w:ascii="宋体" w:hAnsi="宋体" w:cs="宋体"/>
                <w:color w:val="auto"/>
                <w:sz w:val="21"/>
                <w:szCs w:val="21"/>
                <w:highlight w:val="none"/>
              </w:rPr>
              <w:t>1</w:t>
            </w:r>
          </w:p>
        </w:tc>
        <w:tc>
          <w:tcPr>
            <w:tcW w:w="8868" w:type="dxa"/>
            <w:gridSpan w:val="3"/>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r>
              <w:rPr>
                <w:rFonts w:hint="eastAsia" w:ascii="宋体" w:hAnsi="宋体" w:cs="宋体"/>
                <w:color w:val="auto"/>
                <w:sz w:val="21"/>
                <w:szCs w:val="21"/>
                <w:highlight w:val="none"/>
              </w:rPr>
              <w:t>企业名称：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r>
              <w:rPr>
                <w:rFonts w:hint="eastAsia" w:ascii="宋体" w:hAnsi="宋体" w:cs="宋体"/>
                <w:color w:val="auto"/>
                <w:sz w:val="21"/>
                <w:szCs w:val="21"/>
                <w:highlight w:val="none"/>
              </w:rPr>
              <w:t>2</w:t>
            </w:r>
          </w:p>
        </w:tc>
        <w:tc>
          <w:tcPr>
            <w:tcW w:w="8868" w:type="dxa"/>
            <w:gridSpan w:val="3"/>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r>
              <w:rPr>
                <w:rFonts w:hint="eastAsia" w:ascii="宋体" w:hAnsi="宋体" w:cs="宋体"/>
                <w:color w:val="auto"/>
                <w:sz w:val="21"/>
                <w:szCs w:val="21"/>
                <w:highlight w:val="none"/>
              </w:rPr>
              <w:t>总部地址：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r>
              <w:rPr>
                <w:rFonts w:hint="eastAsia" w:ascii="宋体" w:hAnsi="宋体" w:cs="宋体"/>
                <w:color w:val="auto"/>
                <w:sz w:val="21"/>
                <w:szCs w:val="21"/>
                <w:highlight w:val="none"/>
              </w:rPr>
              <w:t>3</w:t>
            </w:r>
          </w:p>
        </w:tc>
        <w:tc>
          <w:tcPr>
            <w:tcW w:w="8868" w:type="dxa"/>
            <w:gridSpan w:val="3"/>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r>
              <w:rPr>
                <w:rFonts w:hint="eastAsia" w:ascii="宋体" w:hAnsi="宋体" w:cs="宋体"/>
                <w:color w:val="auto"/>
                <w:sz w:val="21"/>
                <w:szCs w:val="21"/>
                <w:highlight w:val="none"/>
              </w:rPr>
              <w:t>当地代表处地址：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r>
              <w:rPr>
                <w:rFonts w:hint="eastAsia" w:ascii="宋体" w:hAnsi="宋体" w:cs="宋体"/>
                <w:color w:val="auto"/>
                <w:sz w:val="21"/>
                <w:szCs w:val="21"/>
                <w:highlight w:val="none"/>
              </w:rPr>
              <w:t>4</w:t>
            </w:r>
          </w:p>
        </w:tc>
        <w:tc>
          <w:tcPr>
            <w:tcW w:w="4305" w:type="dxa"/>
            <w:gridSpan w:val="2"/>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r>
              <w:rPr>
                <w:rFonts w:hint="eastAsia" w:ascii="宋体" w:hAnsi="宋体" w:cs="宋体"/>
                <w:color w:val="auto"/>
                <w:sz w:val="21"/>
                <w:szCs w:val="21"/>
                <w:highlight w:val="none"/>
              </w:rPr>
              <w:t>电话：</w:t>
            </w:r>
          </w:p>
        </w:tc>
        <w:tc>
          <w:tcPr>
            <w:tcW w:w="4563" w:type="dxa"/>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r>
              <w:rPr>
                <w:rFonts w:hint="eastAsia" w:ascii="宋体" w:hAnsi="宋体" w:cs="宋体"/>
                <w:color w:val="auto"/>
                <w:sz w:val="21"/>
                <w:szCs w:val="21"/>
                <w:highlight w:val="none"/>
              </w:rPr>
              <w:t>联系人：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r>
              <w:rPr>
                <w:rFonts w:hint="eastAsia" w:ascii="宋体" w:hAnsi="宋体" w:cs="宋体"/>
                <w:color w:val="auto"/>
                <w:sz w:val="21"/>
                <w:szCs w:val="21"/>
                <w:highlight w:val="none"/>
              </w:rPr>
              <w:t>5</w:t>
            </w:r>
          </w:p>
        </w:tc>
        <w:tc>
          <w:tcPr>
            <w:tcW w:w="4305" w:type="dxa"/>
            <w:gridSpan w:val="2"/>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r>
              <w:rPr>
                <w:rFonts w:hint="eastAsia" w:ascii="宋体" w:hAnsi="宋体" w:cs="宋体"/>
                <w:color w:val="auto"/>
                <w:sz w:val="21"/>
                <w:szCs w:val="21"/>
                <w:highlight w:val="none"/>
              </w:rPr>
              <w:t>传真：</w:t>
            </w:r>
          </w:p>
        </w:tc>
        <w:tc>
          <w:tcPr>
            <w:tcW w:w="4563" w:type="dxa"/>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r>
              <w:rPr>
                <w:rFonts w:hint="eastAsia" w:ascii="宋体" w:hAnsi="宋体" w:cs="宋体"/>
                <w:color w:val="auto"/>
                <w:sz w:val="21"/>
                <w:szCs w:val="21"/>
                <w:highlight w:val="none"/>
              </w:rPr>
              <w:t>电子信箱：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r>
              <w:rPr>
                <w:rFonts w:hint="eastAsia" w:ascii="宋体" w:hAnsi="宋体" w:cs="宋体"/>
                <w:color w:val="auto"/>
                <w:sz w:val="21"/>
                <w:szCs w:val="21"/>
                <w:highlight w:val="none"/>
              </w:rPr>
              <w:t>6</w:t>
            </w:r>
          </w:p>
        </w:tc>
        <w:tc>
          <w:tcPr>
            <w:tcW w:w="4305" w:type="dxa"/>
            <w:gridSpan w:val="2"/>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r>
              <w:rPr>
                <w:rFonts w:hint="eastAsia" w:ascii="宋体" w:hAnsi="宋体" w:cs="宋体"/>
                <w:color w:val="auto"/>
                <w:sz w:val="21"/>
                <w:szCs w:val="21"/>
                <w:highlight w:val="none"/>
              </w:rPr>
              <w:t>注册地：</w:t>
            </w:r>
          </w:p>
        </w:tc>
        <w:tc>
          <w:tcPr>
            <w:tcW w:w="4563" w:type="dxa"/>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r>
              <w:rPr>
                <w:rFonts w:hint="eastAsia" w:ascii="宋体" w:hAnsi="宋体" w:cs="宋体"/>
                <w:color w:val="auto"/>
                <w:sz w:val="21"/>
                <w:szCs w:val="21"/>
                <w:highlight w:val="none"/>
              </w:rPr>
              <w:t>注册年份：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r>
              <w:rPr>
                <w:rFonts w:hint="eastAsia" w:ascii="宋体" w:hAnsi="宋体" w:cs="宋体"/>
                <w:color w:val="auto"/>
                <w:sz w:val="21"/>
                <w:szCs w:val="21"/>
                <w:highlight w:val="none"/>
              </w:rPr>
              <w:t>7</w:t>
            </w:r>
          </w:p>
        </w:tc>
        <w:tc>
          <w:tcPr>
            <w:tcW w:w="8868" w:type="dxa"/>
            <w:gridSpan w:val="3"/>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r>
              <w:rPr>
                <w:rFonts w:hint="eastAsia" w:ascii="宋体" w:hAnsi="宋体" w:cs="宋体"/>
                <w:color w:val="auto"/>
                <w:sz w:val="21"/>
                <w:szCs w:val="21"/>
                <w:highlight w:val="none"/>
              </w:rPr>
              <w:t>公司的资质等级（请附上有关证书的扫描件）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r>
              <w:rPr>
                <w:rFonts w:hint="eastAsia" w:ascii="宋体" w:hAnsi="宋体" w:cs="宋体"/>
                <w:color w:val="auto"/>
                <w:sz w:val="21"/>
                <w:szCs w:val="21"/>
                <w:highlight w:val="none"/>
              </w:rPr>
              <w:t>8</w:t>
            </w:r>
          </w:p>
        </w:tc>
        <w:tc>
          <w:tcPr>
            <w:tcW w:w="8868" w:type="dxa"/>
            <w:gridSpan w:val="3"/>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r>
              <w:rPr>
                <w:rFonts w:hint="eastAsia" w:ascii="宋体" w:hAnsi="宋体" w:cs="宋体"/>
                <w:color w:val="auto"/>
                <w:sz w:val="21"/>
                <w:szCs w:val="21"/>
                <w:highlight w:val="none"/>
              </w:rPr>
              <w:t>公司（是否通过，何种）质量保证体系认证（如通过请附相关证书扫描件，提供认证机构年审监督报告）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r>
              <w:rPr>
                <w:rFonts w:hint="eastAsia" w:ascii="宋体" w:hAnsi="宋体" w:cs="宋体"/>
                <w:color w:val="auto"/>
                <w:sz w:val="21"/>
                <w:szCs w:val="21"/>
                <w:highlight w:val="none"/>
              </w:rPr>
              <w:t>9</w:t>
            </w:r>
          </w:p>
        </w:tc>
        <w:tc>
          <w:tcPr>
            <w:tcW w:w="2520" w:type="dxa"/>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r>
              <w:rPr>
                <w:rFonts w:hint="eastAsia" w:ascii="宋体" w:hAnsi="宋体" w:cs="宋体"/>
                <w:color w:val="auto"/>
                <w:sz w:val="21"/>
                <w:szCs w:val="21"/>
                <w:highlight w:val="none"/>
              </w:rPr>
              <w:t>作为中标人经历年数</w:t>
            </w:r>
          </w:p>
        </w:tc>
        <w:tc>
          <w:tcPr>
            <w:tcW w:w="6348" w:type="dxa"/>
            <w:gridSpan w:val="2"/>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r>
              <w:rPr>
                <w:rFonts w:hint="eastAsia" w:ascii="宋体" w:hAnsi="宋体" w:cs="宋体"/>
                <w:color w:val="auto"/>
                <w:sz w:val="21"/>
                <w:szCs w:val="21"/>
                <w:highlight w:val="none"/>
              </w:rPr>
              <w:t>10</w:t>
            </w:r>
          </w:p>
        </w:tc>
        <w:tc>
          <w:tcPr>
            <w:tcW w:w="2520" w:type="dxa"/>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r>
              <w:rPr>
                <w:rFonts w:hint="eastAsia" w:ascii="宋体" w:hAnsi="宋体" w:cs="宋体"/>
                <w:color w:val="auto"/>
                <w:sz w:val="21"/>
                <w:szCs w:val="21"/>
                <w:highlight w:val="none"/>
              </w:rPr>
              <w:t>其他需要说明的情况</w:t>
            </w:r>
          </w:p>
        </w:tc>
        <w:tc>
          <w:tcPr>
            <w:tcW w:w="6348" w:type="dxa"/>
            <w:gridSpan w:val="2"/>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p>
        </w:tc>
      </w:tr>
    </w:tbl>
    <w:p>
      <w:pPr>
        <w:spacing w:line="360" w:lineRule="auto"/>
        <w:rPr>
          <w:rFonts w:ascii="宋体" w:hAnsi="宋体"/>
          <w:color w:val="auto"/>
          <w:spacing w:val="-6"/>
          <w:sz w:val="21"/>
          <w:szCs w:val="21"/>
          <w:highlight w:val="none"/>
        </w:rPr>
      </w:pPr>
    </w:p>
    <w:p>
      <w:pPr>
        <w:spacing w:line="360" w:lineRule="auto"/>
        <w:rPr>
          <w:rFonts w:ascii="宋体" w:hAnsi="宋体"/>
          <w:b/>
          <w:color w:val="auto"/>
          <w:spacing w:val="-6"/>
          <w:sz w:val="21"/>
          <w:szCs w:val="21"/>
          <w:highlight w:val="none"/>
        </w:rPr>
      </w:pPr>
      <w:r>
        <w:rPr>
          <w:rFonts w:hint="eastAsia" w:ascii="宋体" w:hAnsi="宋体"/>
          <w:b/>
          <w:color w:val="auto"/>
          <w:spacing w:val="-6"/>
          <w:sz w:val="21"/>
          <w:szCs w:val="21"/>
          <w:highlight w:val="none"/>
        </w:rPr>
        <w:t>说明：所有投标人都须填写此表。</w:t>
      </w:r>
    </w:p>
    <w:p>
      <w:pPr>
        <w:spacing w:line="360" w:lineRule="auto"/>
        <w:rPr>
          <w:rFonts w:ascii="宋体" w:hAnsi="宋体"/>
          <w:color w:val="auto"/>
          <w:spacing w:val="-6"/>
          <w:sz w:val="24"/>
          <w:highlight w:val="none"/>
        </w:rPr>
      </w:pPr>
    </w:p>
    <w:p>
      <w:pPr>
        <w:spacing w:line="360" w:lineRule="auto"/>
        <w:rPr>
          <w:rFonts w:ascii="宋体" w:hAnsi="宋体"/>
          <w:color w:val="auto"/>
          <w:spacing w:val="-6"/>
          <w:sz w:val="24"/>
          <w:highlight w:val="none"/>
        </w:rPr>
      </w:pPr>
    </w:p>
    <w:p>
      <w:pPr>
        <w:spacing w:line="360" w:lineRule="auto"/>
        <w:rPr>
          <w:rFonts w:ascii="宋体" w:hAnsi="宋体"/>
          <w:color w:val="auto"/>
          <w:spacing w:val="-6"/>
          <w:sz w:val="24"/>
          <w:highlight w:val="none"/>
        </w:rPr>
      </w:pP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投标人名称（盖章）：</w:t>
      </w: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投标人代表签字：</w:t>
      </w: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日期：     年   月   日</w:t>
      </w:r>
    </w:p>
    <w:p>
      <w:pPr>
        <w:spacing w:line="360" w:lineRule="auto"/>
        <w:jc w:val="center"/>
        <w:outlineLvl w:val="3"/>
        <w:rPr>
          <w:rFonts w:ascii="宋体" w:hAnsi="宋体"/>
          <w:b/>
          <w:bCs/>
          <w:iCs/>
          <w:color w:val="auto"/>
          <w:spacing w:val="-6"/>
          <w:sz w:val="24"/>
          <w:highlight w:val="none"/>
        </w:rPr>
      </w:pPr>
      <w:r>
        <w:rPr>
          <w:rFonts w:hint="eastAsia" w:ascii="宋体" w:hAnsi="宋体"/>
          <w:color w:val="auto"/>
          <w:spacing w:val="-6"/>
          <w:sz w:val="24"/>
          <w:highlight w:val="none"/>
        </w:rPr>
        <w:br w:type="page"/>
      </w:r>
      <w:r>
        <w:rPr>
          <w:rFonts w:hint="eastAsia" w:ascii="宋体" w:hAnsi="宋体"/>
          <w:b/>
          <w:bCs/>
          <w:iCs/>
          <w:color w:val="auto"/>
          <w:spacing w:val="-6"/>
          <w:sz w:val="24"/>
          <w:highlight w:val="none"/>
        </w:rPr>
        <w:t>商务偏离表</w:t>
      </w:r>
    </w:p>
    <w:p>
      <w:pPr>
        <w:spacing w:line="360" w:lineRule="auto"/>
        <w:rPr>
          <w:rFonts w:ascii="宋体" w:hAnsi="宋体"/>
          <w:bCs/>
          <w:color w:val="auto"/>
          <w:spacing w:val="-6"/>
          <w:sz w:val="24"/>
          <w:highlight w:val="none"/>
        </w:rPr>
      </w:pPr>
      <w:r>
        <w:rPr>
          <w:rFonts w:hint="eastAsia" w:ascii="宋体" w:hAnsi="宋体"/>
          <w:bCs/>
          <w:color w:val="auto"/>
          <w:spacing w:val="-6"/>
          <w:sz w:val="24"/>
          <w:highlight w:val="none"/>
        </w:rPr>
        <w:t>采 购 人：杭州电子科技大学</w:t>
      </w:r>
    </w:p>
    <w:p>
      <w:pPr>
        <w:spacing w:line="360" w:lineRule="auto"/>
        <w:rPr>
          <w:rFonts w:ascii="宋体" w:hAnsi="宋体"/>
          <w:bCs/>
          <w:color w:val="auto"/>
          <w:spacing w:val="-6"/>
          <w:sz w:val="24"/>
          <w:highlight w:val="none"/>
        </w:rPr>
      </w:pPr>
      <w:r>
        <w:rPr>
          <w:rFonts w:hint="eastAsia" w:ascii="宋体" w:hAnsi="宋体"/>
          <w:bCs/>
          <w:color w:val="auto"/>
          <w:spacing w:val="-6"/>
          <w:sz w:val="24"/>
          <w:highlight w:val="none"/>
        </w:rPr>
        <w:t>项目名称：协同创新中心高教仪器设备</w:t>
      </w:r>
    </w:p>
    <w:p>
      <w:pPr>
        <w:spacing w:line="360" w:lineRule="auto"/>
        <w:rPr>
          <w:rFonts w:ascii="宋体" w:hAnsi="宋体"/>
          <w:bCs/>
          <w:color w:val="auto"/>
          <w:spacing w:val="-6"/>
          <w:sz w:val="24"/>
          <w:highlight w:val="none"/>
        </w:rPr>
      </w:pPr>
      <w:r>
        <w:rPr>
          <w:rFonts w:hint="eastAsia" w:ascii="宋体" w:hAnsi="宋体"/>
          <w:bCs/>
          <w:color w:val="auto"/>
          <w:spacing w:val="-6"/>
          <w:sz w:val="24"/>
          <w:highlight w:val="none"/>
        </w:rPr>
        <w:t xml:space="preserve">项目编号：QSZB-Z(H)-B20132(GK) </w:t>
      </w:r>
    </w:p>
    <w:tbl>
      <w:tblPr>
        <w:tblStyle w:val="22"/>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序号</w:t>
            </w:r>
          </w:p>
        </w:tc>
        <w:tc>
          <w:tcPr>
            <w:tcW w:w="4254" w:type="dxa"/>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招标文件要求</w:t>
            </w:r>
          </w:p>
        </w:tc>
        <w:tc>
          <w:tcPr>
            <w:tcW w:w="2574" w:type="dxa"/>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响应规格</w:t>
            </w:r>
          </w:p>
        </w:tc>
        <w:tc>
          <w:tcPr>
            <w:tcW w:w="2124" w:type="dxa"/>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r>
              <w:rPr>
                <w:rFonts w:hint="eastAsia" w:ascii="宋体" w:hAnsi="宋体" w:cs="宋体"/>
                <w:b/>
                <w:bCs/>
                <w:color w:val="auto"/>
                <w:sz w:val="21"/>
                <w:szCs w:val="21"/>
                <w:highlight w:val="none"/>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1</w:t>
            </w:r>
          </w:p>
        </w:tc>
        <w:tc>
          <w:tcPr>
            <w:tcW w:w="4254" w:type="dxa"/>
            <w:vAlign w:val="center"/>
          </w:tcPr>
          <w:p>
            <w:pPr>
              <w:keepNext w:val="0"/>
              <w:keepLines w:val="0"/>
              <w:suppressLineNumbers w:val="0"/>
              <w:spacing w:before="0" w:beforeAutospacing="0" w:after="0" w:afterAutospacing="0" w:line="288" w:lineRule="auto"/>
              <w:ind w:left="0" w:right="0"/>
              <w:jc w:val="center"/>
              <w:rPr>
                <w:rFonts w:hint="default" w:ascii="宋体" w:hAnsi="宋体"/>
                <w:b/>
                <w:color w:val="auto"/>
                <w:spacing w:val="-6"/>
                <w:sz w:val="21"/>
                <w:szCs w:val="21"/>
                <w:highlight w:val="none"/>
              </w:rPr>
            </w:pPr>
          </w:p>
        </w:tc>
        <w:tc>
          <w:tcPr>
            <w:tcW w:w="2574" w:type="dxa"/>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p>
        </w:tc>
        <w:tc>
          <w:tcPr>
            <w:tcW w:w="2124" w:type="dxa"/>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2</w:t>
            </w:r>
          </w:p>
        </w:tc>
        <w:tc>
          <w:tcPr>
            <w:tcW w:w="4254" w:type="dxa"/>
            <w:vAlign w:val="center"/>
          </w:tcPr>
          <w:p>
            <w:pPr>
              <w:keepNext w:val="0"/>
              <w:keepLines w:val="0"/>
              <w:suppressLineNumbers w:val="0"/>
              <w:spacing w:before="0" w:beforeAutospacing="0" w:after="0" w:afterAutospacing="0" w:line="288" w:lineRule="auto"/>
              <w:ind w:left="0" w:right="0"/>
              <w:jc w:val="center"/>
              <w:rPr>
                <w:rFonts w:hint="default" w:ascii="宋体" w:hAnsi="宋体"/>
                <w:b/>
                <w:color w:val="auto"/>
                <w:spacing w:val="-6"/>
                <w:sz w:val="21"/>
                <w:szCs w:val="21"/>
                <w:highlight w:val="none"/>
              </w:rPr>
            </w:pPr>
          </w:p>
        </w:tc>
        <w:tc>
          <w:tcPr>
            <w:tcW w:w="2574" w:type="dxa"/>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p>
        </w:tc>
        <w:tc>
          <w:tcPr>
            <w:tcW w:w="2124" w:type="dxa"/>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w:t>
            </w:r>
          </w:p>
        </w:tc>
        <w:tc>
          <w:tcPr>
            <w:tcW w:w="4254" w:type="dxa"/>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p>
        </w:tc>
        <w:tc>
          <w:tcPr>
            <w:tcW w:w="2574" w:type="dxa"/>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p>
        </w:tc>
        <w:tc>
          <w:tcPr>
            <w:tcW w:w="2124" w:type="dxa"/>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r>
              <w:rPr>
                <w:rFonts w:hint="eastAsia" w:ascii="宋体" w:hAnsi="宋体" w:cs="宋体"/>
                <w:b/>
                <w:bCs/>
                <w:color w:val="auto"/>
                <w:sz w:val="21"/>
                <w:szCs w:val="21"/>
                <w:highlight w:val="none"/>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1</w:t>
            </w:r>
          </w:p>
        </w:tc>
        <w:tc>
          <w:tcPr>
            <w:tcW w:w="4254"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1"/>
                <w:szCs w:val="21"/>
                <w:highlight w:val="none"/>
              </w:rPr>
            </w:pPr>
          </w:p>
        </w:tc>
        <w:tc>
          <w:tcPr>
            <w:tcW w:w="2574"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1"/>
                <w:szCs w:val="21"/>
                <w:highlight w:val="none"/>
              </w:rPr>
            </w:pPr>
          </w:p>
        </w:tc>
        <w:tc>
          <w:tcPr>
            <w:tcW w:w="2124"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2</w:t>
            </w:r>
          </w:p>
        </w:tc>
        <w:tc>
          <w:tcPr>
            <w:tcW w:w="4254"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1"/>
                <w:szCs w:val="21"/>
                <w:highlight w:val="none"/>
              </w:rPr>
            </w:pPr>
          </w:p>
        </w:tc>
        <w:tc>
          <w:tcPr>
            <w:tcW w:w="2574"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1"/>
                <w:szCs w:val="21"/>
                <w:highlight w:val="none"/>
              </w:rPr>
            </w:pPr>
          </w:p>
        </w:tc>
        <w:tc>
          <w:tcPr>
            <w:tcW w:w="2124"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3</w:t>
            </w:r>
          </w:p>
        </w:tc>
        <w:tc>
          <w:tcPr>
            <w:tcW w:w="4254"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1"/>
                <w:szCs w:val="21"/>
                <w:highlight w:val="none"/>
              </w:rPr>
            </w:pPr>
          </w:p>
        </w:tc>
        <w:tc>
          <w:tcPr>
            <w:tcW w:w="2574"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1"/>
                <w:szCs w:val="21"/>
                <w:highlight w:val="none"/>
              </w:rPr>
            </w:pPr>
          </w:p>
        </w:tc>
        <w:tc>
          <w:tcPr>
            <w:tcW w:w="2124"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4</w:t>
            </w:r>
          </w:p>
        </w:tc>
        <w:tc>
          <w:tcPr>
            <w:tcW w:w="4254"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1"/>
                <w:szCs w:val="21"/>
                <w:highlight w:val="none"/>
              </w:rPr>
            </w:pPr>
          </w:p>
        </w:tc>
        <w:tc>
          <w:tcPr>
            <w:tcW w:w="2574"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1"/>
                <w:szCs w:val="21"/>
                <w:highlight w:val="none"/>
              </w:rPr>
            </w:pPr>
          </w:p>
        </w:tc>
        <w:tc>
          <w:tcPr>
            <w:tcW w:w="2124"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5</w:t>
            </w:r>
          </w:p>
        </w:tc>
        <w:tc>
          <w:tcPr>
            <w:tcW w:w="4254"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1"/>
                <w:szCs w:val="21"/>
                <w:highlight w:val="none"/>
              </w:rPr>
            </w:pPr>
          </w:p>
        </w:tc>
        <w:tc>
          <w:tcPr>
            <w:tcW w:w="2574"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1"/>
                <w:szCs w:val="21"/>
                <w:highlight w:val="none"/>
              </w:rPr>
            </w:pPr>
          </w:p>
        </w:tc>
        <w:tc>
          <w:tcPr>
            <w:tcW w:w="2124"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6</w:t>
            </w:r>
          </w:p>
        </w:tc>
        <w:tc>
          <w:tcPr>
            <w:tcW w:w="4254"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1"/>
                <w:szCs w:val="21"/>
                <w:highlight w:val="none"/>
              </w:rPr>
            </w:pPr>
          </w:p>
        </w:tc>
        <w:tc>
          <w:tcPr>
            <w:tcW w:w="2574"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1"/>
                <w:szCs w:val="21"/>
                <w:highlight w:val="none"/>
              </w:rPr>
            </w:pPr>
          </w:p>
        </w:tc>
        <w:tc>
          <w:tcPr>
            <w:tcW w:w="2124"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w:t>
            </w:r>
          </w:p>
        </w:tc>
        <w:tc>
          <w:tcPr>
            <w:tcW w:w="4254" w:type="dxa"/>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p>
        </w:tc>
        <w:tc>
          <w:tcPr>
            <w:tcW w:w="2574"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1"/>
                <w:szCs w:val="21"/>
                <w:highlight w:val="none"/>
              </w:rPr>
            </w:pPr>
          </w:p>
        </w:tc>
        <w:tc>
          <w:tcPr>
            <w:tcW w:w="2124"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1"/>
                <w:szCs w:val="21"/>
                <w:highlight w:val="none"/>
              </w:rPr>
            </w:pPr>
          </w:p>
        </w:tc>
      </w:tr>
    </w:tbl>
    <w:p>
      <w:pPr>
        <w:spacing w:line="360" w:lineRule="auto"/>
        <w:rPr>
          <w:rFonts w:ascii="宋体" w:hAnsi="宋体"/>
          <w:b/>
          <w:bCs/>
          <w:color w:val="auto"/>
          <w:spacing w:val="-6"/>
          <w:sz w:val="24"/>
          <w:highlight w:val="none"/>
        </w:rPr>
      </w:pPr>
    </w:p>
    <w:p>
      <w:pPr>
        <w:spacing w:line="360" w:lineRule="auto"/>
        <w:rPr>
          <w:rFonts w:ascii="宋体" w:hAnsi="宋体"/>
          <w:b/>
          <w:bCs/>
          <w:color w:val="auto"/>
          <w:spacing w:val="-6"/>
          <w:sz w:val="21"/>
          <w:szCs w:val="21"/>
          <w:highlight w:val="none"/>
        </w:rPr>
      </w:pPr>
      <w:r>
        <w:rPr>
          <w:rFonts w:hint="eastAsia" w:ascii="宋体" w:hAnsi="宋体"/>
          <w:b/>
          <w:bCs/>
          <w:color w:val="auto"/>
          <w:spacing w:val="-6"/>
          <w:sz w:val="21"/>
          <w:szCs w:val="21"/>
          <w:highlight w:val="none"/>
        </w:rPr>
        <w:t>说明：</w:t>
      </w:r>
    </w:p>
    <w:p>
      <w:pPr>
        <w:spacing w:line="360" w:lineRule="auto"/>
        <w:rPr>
          <w:rFonts w:ascii="宋体" w:hAnsi="宋体"/>
          <w:b/>
          <w:bCs/>
          <w:color w:val="auto"/>
          <w:spacing w:val="-6"/>
          <w:sz w:val="21"/>
          <w:szCs w:val="21"/>
          <w:highlight w:val="none"/>
        </w:rPr>
      </w:pPr>
      <w:r>
        <w:rPr>
          <w:rFonts w:hint="eastAsia" w:ascii="宋体" w:hAnsi="宋体"/>
          <w:b/>
          <w:bCs/>
          <w:color w:val="auto"/>
          <w:spacing w:val="-6"/>
          <w:sz w:val="21"/>
          <w:szCs w:val="21"/>
          <w:highlight w:val="none"/>
        </w:rPr>
        <w:t>1</w:t>
      </w:r>
      <w:r>
        <w:rPr>
          <w:rFonts w:ascii="宋体" w:hAnsi="宋体"/>
          <w:b/>
          <w:bCs/>
          <w:color w:val="auto"/>
          <w:spacing w:val="-6"/>
          <w:sz w:val="21"/>
          <w:szCs w:val="21"/>
          <w:highlight w:val="none"/>
        </w:rPr>
        <w:t>.</w:t>
      </w:r>
      <w:r>
        <w:rPr>
          <w:rFonts w:hint="eastAsia" w:ascii="宋体" w:hAnsi="宋体"/>
          <w:b/>
          <w:bCs/>
          <w:color w:val="auto"/>
          <w:spacing w:val="-6"/>
          <w:sz w:val="21"/>
          <w:szCs w:val="21"/>
          <w:highlight w:val="none"/>
        </w:rPr>
        <w:t>逐项按照招标文件要求填写响应规格；</w:t>
      </w:r>
    </w:p>
    <w:p>
      <w:pPr>
        <w:spacing w:line="360" w:lineRule="auto"/>
        <w:rPr>
          <w:rFonts w:ascii="宋体" w:hAnsi="宋体"/>
          <w:b/>
          <w:bCs/>
          <w:color w:val="auto"/>
          <w:spacing w:val="-6"/>
          <w:sz w:val="21"/>
          <w:szCs w:val="21"/>
          <w:highlight w:val="none"/>
        </w:rPr>
      </w:pPr>
      <w:r>
        <w:rPr>
          <w:rFonts w:hint="eastAsia" w:ascii="宋体" w:hAnsi="宋体"/>
          <w:b/>
          <w:bCs/>
          <w:color w:val="auto"/>
          <w:spacing w:val="-6"/>
          <w:sz w:val="21"/>
          <w:szCs w:val="21"/>
          <w:highlight w:val="none"/>
        </w:rPr>
        <w:t>2</w:t>
      </w:r>
      <w:r>
        <w:rPr>
          <w:rFonts w:ascii="宋体" w:hAnsi="宋体"/>
          <w:b/>
          <w:bCs/>
          <w:color w:val="auto"/>
          <w:spacing w:val="-6"/>
          <w:sz w:val="21"/>
          <w:szCs w:val="21"/>
          <w:highlight w:val="none"/>
        </w:rPr>
        <w:t>.</w:t>
      </w:r>
      <w:r>
        <w:rPr>
          <w:rFonts w:hint="eastAsia" w:ascii="宋体" w:hAnsi="宋体"/>
          <w:b/>
          <w:bCs/>
          <w:color w:val="auto"/>
          <w:spacing w:val="-6"/>
          <w:sz w:val="21"/>
          <w:szCs w:val="21"/>
          <w:highlight w:val="none"/>
        </w:rPr>
        <w:t>偏离说明是指对招标文件要求存在不同之处的解释说明。偏离系指：正偏离（高于采购需求）、负偏离（低于采购需求）、无偏离（满足采购需求）；</w:t>
      </w:r>
    </w:p>
    <w:p>
      <w:pPr>
        <w:spacing w:line="360" w:lineRule="auto"/>
        <w:rPr>
          <w:rFonts w:ascii="宋体" w:hAnsi="宋体"/>
          <w:b/>
          <w:color w:val="auto"/>
          <w:spacing w:val="-6"/>
          <w:sz w:val="21"/>
          <w:szCs w:val="21"/>
          <w:highlight w:val="none"/>
        </w:rPr>
      </w:pPr>
      <w:r>
        <w:rPr>
          <w:rFonts w:hint="eastAsia" w:ascii="宋体" w:hAnsi="宋体"/>
          <w:b/>
          <w:bCs/>
          <w:color w:val="auto"/>
          <w:spacing w:val="-6"/>
          <w:sz w:val="21"/>
          <w:szCs w:val="21"/>
          <w:highlight w:val="none"/>
        </w:rPr>
        <w:t>3</w:t>
      </w:r>
      <w:r>
        <w:rPr>
          <w:rFonts w:ascii="宋体" w:hAnsi="宋体"/>
          <w:b/>
          <w:bCs/>
          <w:color w:val="auto"/>
          <w:spacing w:val="-6"/>
          <w:sz w:val="21"/>
          <w:szCs w:val="21"/>
          <w:highlight w:val="none"/>
        </w:rPr>
        <w:t>.</w:t>
      </w:r>
      <w:r>
        <w:rPr>
          <w:rFonts w:hint="eastAsia" w:ascii="宋体" w:hAnsi="宋体"/>
          <w:b/>
          <w:bCs/>
          <w:color w:val="auto"/>
          <w:spacing w:val="-6"/>
          <w:sz w:val="21"/>
          <w:szCs w:val="21"/>
          <w:highlight w:val="none"/>
        </w:rPr>
        <w:t>如不填写或未如实填写</w:t>
      </w:r>
      <w:r>
        <w:rPr>
          <w:rFonts w:hint="eastAsia" w:ascii="宋体" w:hAnsi="宋体"/>
          <w:b/>
          <w:color w:val="auto"/>
          <w:spacing w:val="-6"/>
          <w:sz w:val="21"/>
          <w:szCs w:val="21"/>
          <w:highlight w:val="none"/>
        </w:rPr>
        <w:t>，自行承担投标风险。</w:t>
      </w:r>
    </w:p>
    <w:p>
      <w:pPr>
        <w:pStyle w:val="21"/>
        <w:spacing w:line="360" w:lineRule="auto"/>
        <w:ind w:firstLine="0"/>
        <w:rPr>
          <w:rFonts w:hAnsi="宋体"/>
          <w:color w:val="auto"/>
          <w:spacing w:val="-6"/>
          <w:sz w:val="24"/>
          <w:highlight w:val="none"/>
        </w:rPr>
      </w:pPr>
    </w:p>
    <w:p>
      <w:pPr>
        <w:pStyle w:val="21"/>
        <w:spacing w:line="360" w:lineRule="auto"/>
        <w:ind w:firstLine="0"/>
        <w:rPr>
          <w:rFonts w:hAnsi="宋体"/>
          <w:color w:val="auto"/>
          <w:spacing w:val="-6"/>
          <w:sz w:val="24"/>
          <w:highlight w:val="none"/>
        </w:rPr>
      </w:pPr>
    </w:p>
    <w:p>
      <w:pPr>
        <w:pStyle w:val="21"/>
        <w:spacing w:line="360" w:lineRule="auto"/>
        <w:ind w:firstLine="0"/>
        <w:rPr>
          <w:rFonts w:hAnsi="宋体"/>
          <w:color w:val="auto"/>
          <w:spacing w:val="-6"/>
          <w:sz w:val="24"/>
          <w:highlight w:val="none"/>
        </w:rPr>
      </w:pP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投标人名称（盖章）：</w:t>
      </w: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投标人代表签字：</w:t>
      </w: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日期：     年   月   日</w:t>
      </w:r>
    </w:p>
    <w:p>
      <w:pPr>
        <w:pStyle w:val="17"/>
        <w:spacing w:line="360" w:lineRule="auto"/>
        <w:ind w:left="0" w:firstLine="0" w:firstLineChars="0"/>
        <w:jc w:val="center"/>
        <w:outlineLvl w:val="3"/>
        <w:rPr>
          <w:rFonts w:ascii="宋体" w:hAnsi="宋体"/>
          <w:b/>
          <w:color w:val="auto"/>
          <w:spacing w:val="-6"/>
          <w:sz w:val="24"/>
          <w:highlight w:val="none"/>
        </w:rPr>
      </w:pPr>
      <w:r>
        <w:rPr>
          <w:rFonts w:ascii="宋体" w:hAnsi="宋体"/>
          <w:b/>
          <w:color w:val="auto"/>
          <w:spacing w:val="-6"/>
          <w:sz w:val="24"/>
          <w:highlight w:val="none"/>
        </w:rPr>
        <w:br w:type="page"/>
      </w:r>
      <w:r>
        <w:rPr>
          <w:rFonts w:hint="eastAsia" w:ascii="宋体" w:hAnsi="宋体"/>
          <w:b/>
          <w:color w:val="auto"/>
          <w:spacing w:val="-6"/>
          <w:sz w:val="24"/>
          <w:highlight w:val="none"/>
        </w:rPr>
        <w:t>投标人同类项目实施情况一览表</w:t>
      </w:r>
    </w:p>
    <w:tbl>
      <w:tblPr>
        <w:tblStyle w:val="22"/>
        <w:tblW w:w="9628"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序号</w:t>
            </w: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采购人</w:t>
            </w: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数量</w:t>
            </w: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合同金额</w:t>
            </w:r>
          </w:p>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（万元）</w:t>
            </w: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采购人联系人</w:t>
            </w:r>
          </w:p>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联系方式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cs="宋体"/>
                <w:b/>
                <w:bCs/>
                <w:color w:val="auto"/>
                <w:sz w:val="21"/>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cs="宋体"/>
                <w:b/>
                <w:bCs/>
                <w:color w:val="auto"/>
                <w:sz w:val="21"/>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cs="宋体"/>
                <w:b/>
                <w:bCs/>
                <w:color w:val="auto"/>
                <w:sz w:val="21"/>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cs="宋体"/>
                <w:b/>
                <w:bCs/>
                <w:color w:val="auto"/>
                <w:sz w:val="21"/>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cs="宋体"/>
                <w:b/>
                <w:bCs/>
                <w:color w:val="auto"/>
                <w:sz w:val="21"/>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cs="宋体"/>
                <w:b/>
                <w:bCs/>
                <w:color w:val="auto"/>
                <w:sz w:val="21"/>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cs="宋体"/>
                <w:b/>
                <w:bCs/>
                <w:color w:val="auto"/>
                <w:sz w:val="21"/>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cs="宋体"/>
                <w:b/>
                <w:bCs/>
                <w:color w:val="auto"/>
                <w:sz w:val="21"/>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cs="宋体"/>
                <w:b/>
                <w:bCs/>
                <w:color w:val="auto"/>
                <w:sz w:val="21"/>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cs="宋体"/>
                <w:b/>
                <w:bCs/>
                <w:color w:val="auto"/>
                <w:sz w:val="21"/>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cs="宋体"/>
                <w:b/>
                <w:bCs/>
                <w:color w:val="auto"/>
                <w:sz w:val="21"/>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cs="宋体"/>
                <w:b/>
                <w:bCs/>
                <w:color w:val="auto"/>
                <w:sz w:val="21"/>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cs="宋体"/>
                <w:b/>
                <w:bCs/>
                <w:color w:val="auto"/>
                <w:sz w:val="21"/>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cs="宋体"/>
                <w:b/>
                <w:bCs/>
                <w:color w:val="auto"/>
                <w:sz w:val="21"/>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cs="宋体"/>
                <w:b/>
                <w:bCs/>
                <w:color w:val="auto"/>
                <w:sz w:val="21"/>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cs="宋体"/>
                <w:b/>
                <w:bCs/>
                <w:color w:val="auto"/>
                <w:sz w:val="21"/>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cs="宋体"/>
                <w:b/>
                <w:bCs/>
                <w:color w:val="auto"/>
                <w:sz w:val="21"/>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cs="宋体"/>
                <w:b/>
                <w:bCs/>
                <w:color w:val="auto"/>
                <w:sz w:val="21"/>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cs="宋体"/>
                <w:b/>
                <w:bCs/>
                <w:color w:val="auto"/>
                <w:sz w:val="21"/>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cs="宋体"/>
                <w:b/>
                <w:bCs/>
                <w:color w:val="auto"/>
                <w:sz w:val="21"/>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cs="宋体"/>
                <w:b/>
                <w:bCs/>
                <w:color w:val="auto"/>
                <w:sz w:val="21"/>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cs="宋体"/>
                <w:b/>
                <w:bCs/>
                <w:color w:val="auto"/>
                <w:sz w:val="21"/>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cs="宋体"/>
                <w:b/>
                <w:bCs/>
                <w:color w:val="auto"/>
                <w:sz w:val="21"/>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cs="宋体"/>
                <w:b/>
                <w:bCs/>
                <w:color w:val="auto"/>
                <w:sz w:val="21"/>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cs="宋体"/>
                <w:b/>
                <w:bCs/>
                <w:color w:val="auto"/>
                <w:sz w:val="21"/>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cs="宋体"/>
                <w:b/>
                <w:bCs/>
                <w:color w:val="auto"/>
                <w:sz w:val="21"/>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cs="宋体"/>
                <w:b/>
                <w:bCs/>
                <w:color w:val="auto"/>
                <w:sz w:val="21"/>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cs="宋体"/>
                <w:b/>
                <w:bCs/>
                <w:color w:val="auto"/>
                <w:sz w:val="21"/>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cs="宋体"/>
                <w:b/>
                <w:bCs/>
                <w:color w:val="auto"/>
                <w:sz w:val="21"/>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cs="宋体"/>
                <w:b/>
                <w:bCs/>
                <w:color w:val="auto"/>
                <w:sz w:val="21"/>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cs="宋体"/>
                <w:b/>
                <w:bCs/>
                <w:color w:val="auto"/>
                <w:sz w:val="21"/>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cs="宋体"/>
                <w:b/>
                <w:bCs/>
                <w:color w:val="auto"/>
                <w:sz w:val="21"/>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cs="宋体"/>
                <w:b/>
                <w:bCs/>
                <w:color w:val="auto"/>
                <w:sz w:val="21"/>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cs="宋体"/>
                <w:b/>
                <w:bCs/>
                <w:color w:val="auto"/>
                <w:sz w:val="21"/>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cs="宋体"/>
                <w:b/>
                <w:bCs/>
                <w:color w:val="auto"/>
                <w:sz w:val="21"/>
                <w:szCs w:val="21"/>
                <w:highlight w:val="none"/>
              </w:rPr>
            </w:pPr>
          </w:p>
        </w:tc>
        <w:tc>
          <w:tcPr>
            <w:tcW w:w="198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cs="宋体"/>
                <w:b/>
                <w:bCs/>
                <w:color w:val="auto"/>
                <w:sz w:val="21"/>
                <w:szCs w:val="21"/>
                <w:highlight w:val="none"/>
              </w:rPr>
            </w:pPr>
          </w:p>
        </w:tc>
      </w:tr>
    </w:tbl>
    <w:p>
      <w:pPr>
        <w:pStyle w:val="17"/>
        <w:spacing w:line="360" w:lineRule="auto"/>
        <w:ind w:left="0" w:firstLine="0" w:firstLineChars="0"/>
        <w:rPr>
          <w:rFonts w:ascii="宋体" w:hAnsi="宋体"/>
          <w:color w:val="auto"/>
          <w:sz w:val="24"/>
          <w:highlight w:val="none"/>
        </w:rPr>
      </w:pPr>
    </w:p>
    <w:p>
      <w:pPr>
        <w:spacing w:line="360" w:lineRule="auto"/>
        <w:rPr>
          <w:rFonts w:ascii="宋体" w:hAnsi="宋体"/>
          <w:b/>
          <w:color w:val="auto"/>
          <w:spacing w:val="-6"/>
          <w:sz w:val="21"/>
          <w:szCs w:val="21"/>
          <w:highlight w:val="none"/>
        </w:rPr>
      </w:pPr>
      <w:r>
        <w:rPr>
          <w:rFonts w:hint="eastAsia" w:ascii="宋体" w:hAnsi="宋体"/>
          <w:b/>
          <w:color w:val="auto"/>
          <w:spacing w:val="-6"/>
          <w:sz w:val="21"/>
          <w:szCs w:val="21"/>
          <w:highlight w:val="none"/>
        </w:rPr>
        <w:t>说明：</w:t>
      </w:r>
    </w:p>
    <w:p>
      <w:pPr>
        <w:spacing w:line="360" w:lineRule="auto"/>
        <w:rPr>
          <w:rFonts w:ascii="宋体" w:hAnsi="宋体"/>
          <w:b/>
          <w:color w:val="auto"/>
          <w:spacing w:val="-6"/>
          <w:sz w:val="21"/>
          <w:szCs w:val="21"/>
          <w:highlight w:val="none"/>
        </w:rPr>
      </w:pPr>
      <w:r>
        <w:rPr>
          <w:rFonts w:hint="eastAsia" w:ascii="宋体" w:hAnsi="宋体"/>
          <w:b/>
          <w:color w:val="auto"/>
          <w:spacing w:val="-6"/>
          <w:sz w:val="21"/>
          <w:szCs w:val="21"/>
          <w:highlight w:val="none"/>
        </w:rPr>
        <w:t>1</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投标人须提供上述业绩合同扫描件；</w:t>
      </w:r>
    </w:p>
    <w:p>
      <w:pPr>
        <w:spacing w:line="360" w:lineRule="auto"/>
        <w:rPr>
          <w:rFonts w:ascii="宋体" w:hAnsi="宋体"/>
          <w:b/>
          <w:color w:val="auto"/>
          <w:spacing w:val="-6"/>
          <w:sz w:val="21"/>
          <w:szCs w:val="21"/>
          <w:highlight w:val="none"/>
        </w:rPr>
      </w:pPr>
      <w:r>
        <w:rPr>
          <w:rFonts w:hint="eastAsia" w:ascii="宋体" w:hAnsi="宋体"/>
          <w:b/>
          <w:color w:val="auto"/>
          <w:spacing w:val="-6"/>
          <w:sz w:val="21"/>
          <w:szCs w:val="21"/>
          <w:highlight w:val="none"/>
        </w:rPr>
        <w:t>2</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所有合同扫描件应清晰，应能体现合同签订时间、双方签字盖章等内容；</w:t>
      </w:r>
    </w:p>
    <w:p>
      <w:pPr>
        <w:spacing w:line="360" w:lineRule="auto"/>
        <w:rPr>
          <w:rFonts w:ascii="宋体" w:hAnsi="宋体"/>
          <w:b/>
          <w:color w:val="auto"/>
          <w:spacing w:val="-6"/>
          <w:sz w:val="21"/>
          <w:szCs w:val="21"/>
          <w:highlight w:val="none"/>
        </w:rPr>
      </w:pPr>
      <w:r>
        <w:rPr>
          <w:rFonts w:hint="eastAsia" w:ascii="宋体" w:hAnsi="宋体"/>
          <w:b/>
          <w:color w:val="auto"/>
          <w:spacing w:val="-6"/>
          <w:sz w:val="21"/>
          <w:szCs w:val="21"/>
          <w:highlight w:val="none"/>
        </w:rPr>
        <w:t>3</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投标人应在不涉及商业秘密的前提下尽可能提供详细的合同扫描件内容。</w:t>
      </w:r>
    </w:p>
    <w:p>
      <w:pPr>
        <w:spacing w:line="360" w:lineRule="auto"/>
        <w:rPr>
          <w:rFonts w:ascii="宋体" w:hAnsi="宋体"/>
          <w:color w:val="auto"/>
          <w:spacing w:val="-6"/>
          <w:sz w:val="24"/>
          <w:highlight w:val="none"/>
        </w:rPr>
      </w:pPr>
    </w:p>
    <w:p>
      <w:pPr>
        <w:pStyle w:val="21"/>
        <w:spacing w:line="360" w:lineRule="auto"/>
        <w:ind w:firstLine="0"/>
        <w:rPr>
          <w:rFonts w:hAnsi="宋体"/>
          <w:color w:val="auto"/>
          <w:spacing w:val="-6"/>
          <w:sz w:val="24"/>
          <w:highlight w:val="none"/>
        </w:rPr>
      </w:pPr>
    </w:p>
    <w:p>
      <w:pPr>
        <w:pStyle w:val="21"/>
        <w:spacing w:line="360" w:lineRule="auto"/>
        <w:ind w:firstLine="0"/>
        <w:rPr>
          <w:rFonts w:hAnsi="宋体"/>
          <w:color w:val="auto"/>
          <w:spacing w:val="-6"/>
          <w:sz w:val="24"/>
          <w:highlight w:val="none"/>
        </w:rPr>
      </w:pP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投标人名称（盖章）：</w:t>
      </w: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投标人代表签字：</w:t>
      </w: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日期：     年   月   日</w:t>
      </w:r>
    </w:p>
    <w:p>
      <w:pPr>
        <w:pStyle w:val="2"/>
        <w:rPr>
          <w:rFonts w:hAnsi="宋体"/>
          <w:color w:val="auto"/>
          <w:spacing w:val="-6"/>
          <w:sz w:val="24"/>
          <w:highlight w:val="none"/>
        </w:rPr>
      </w:pPr>
    </w:p>
    <w:p>
      <w:pPr>
        <w:pStyle w:val="2"/>
        <w:rPr>
          <w:rFonts w:hAnsi="宋体"/>
          <w:color w:val="auto"/>
          <w:spacing w:val="-6"/>
          <w:sz w:val="24"/>
          <w:highlight w:val="none"/>
        </w:rPr>
      </w:pPr>
    </w:p>
    <w:p>
      <w:pPr>
        <w:rPr>
          <w:rFonts w:ascii="宋体" w:hAnsi="宋体"/>
          <w:color w:val="auto"/>
          <w:spacing w:val="-6"/>
          <w:sz w:val="24"/>
          <w:highlight w:val="none"/>
        </w:rPr>
      </w:pPr>
      <w:r>
        <w:rPr>
          <w:rFonts w:hint="eastAsia" w:ascii="宋体" w:hAnsi="宋体"/>
          <w:color w:val="auto"/>
          <w:spacing w:val="-6"/>
          <w:sz w:val="24"/>
          <w:highlight w:val="none"/>
        </w:rPr>
        <w:br w:type="page"/>
      </w:r>
    </w:p>
    <w:p>
      <w:pPr>
        <w:spacing w:line="360" w:lineRule="auto"/>
        <w:jc w:val="center"/>
        <w:rPr>
          <w:rFonts w:ascii="宋体" w:hAnsi="宋体"/>
          <w:b/>
          <w:color w:val="auto"/>
          <w:sz w:val="24"/>
          <w:highlight w:val="none"/>
        </w:rPr>
      </w:pPr>
      <w:r>
        <w:rPr>
          <w:rFonts w:hint="eastAsia" w:ascii="宋体" w:hAnsi="宋体"/>
          <w:b/>
          <w:color w:val="auto"/>
          <w:sz w:val="24"/>
          <w:highlight w:val="none"/>
        </w:rPr>
        <w:t>节能环保产品证明材料</w:t>
      </w:r>
    </w:p>
    <w:p>
      <w:pPr>
        <w:spacing w:line="360" w:lineRule="auto"/>
        <w:rPr>
          <w:rFonts w:ascii="宋体" w:hAnsi="宋体"/>
          <w:bCs/>
          <w:color w:val="auto"/>
          <w:sz w:val="24"/>
          <w:highlight w:val="none"/>
        </w:rPr>
      </w:pPr>
    </w:p>
    <w:p>
      <w:pPr>
        <w:spacing w:line="288" w:lineRule="auto"/>
        <w:rPr>
          <w:rFonts w:ascii="宋体" w:hAnsi="宋体"/>
          <w:b/>
          <w:color w:val="auto"/>
          <w:sz w:val="21"/>
          <w:szCs w:val="21"/>
          <w:highlight w:val="none"/>
        </w:rPr>
      </w:pPr>
      <w:r>
        <w:rPr>
          <w:rFonts w:hint="eastAsia" w:ascii="宋体" w:hAnsi="宋体"/>
          <w:b/>
          <w:color w:val="auto"/>
          <w:sz w:val="21"/>
          <w:szCs w:val="21"/>
          <w:highlight w:val="none"/>
        </w:rPr>
        <w:t>说明：</w:t>
      </w:r>
    </w:p>
    <w:p>
      <w:pPr>
        <w:spacing w:line="288" w:lineRule="auto"/>
        <w:rPr>
          <w:rFonts w:ascii="宋体" w:hAnsi="宋体"/>
          <w:b/>
          <w:color w:val="auto"/>
          <w:sz w:val="21"/>
          <w:szCs w:val="21"/>
          <w:highlight w:val="none"/>
        </w:rPr>
      </w:pPr>
    </w:p>
    <w:p>
      <w:pPr>
        <w:spacing w:line="288" w:lineRule="auto"/>
        <w:ind w:firstLine="422" w:firstLineChars="200"/>
        <w:rPr>
          <w:b/>
          <w:color w:val="auto"/>
          <w:sz w:val="21"/>
          <w:szCs w:val="21"/>
          <w:highlight w:val="none"/>
        </w:rPr>
      </w:pPr>
      <w:r>
        <w:rPr>
          <w:rFonts w:hint="eastAsia"/>
          <w:b/>
          <w:color w:val="auto"/>
          <w:sz w:val="21"/>
          <w:szCs w:val="21"/>
          <w:highlight w:val="none"/>
        </w:rPr>
        <w:t>所投产品属于品目清单范围，且提供国家确定的认证机构出具的处于有效期之内的节能产品、环境标志产品认证证书（扫描件加盖公章）。</w:t>
      </w:r>
    </w:p>
    <w:p>
      <w:pPr>
        <w:pStyle w:val="2"/>
        <w:rPr>
          <w:rFonts w:hAnsi="宋体"/>
          <w:color w:val="auto"/>
          <w:spacing w:val="-6"/>
          <w:sz w:val="24"/>
          <w:highlight w:val="none"/>
        </w:rPr>
      </w:pPr>
    </w:p>
    <w:p>
      <w:pPr>
        <w:pStyle w:val="2"/>
        <w:spacing w:line="288" w:lineRule="auto"/>
        <w:ind w:firstLine="456" w:firstLineChars="200"/>
        <w:jc w:val="center"/>
        <w:outlineLvl w:val="3"/>
        <w:rPr>
          <w:rFonts w:hAnsi="宋体"/>
          <w:color w:val="auto"/>
          <w:spacing w:val="-6"/>
          <w:sz w:val="21"/>
          <w:szCs w:val="21"/>
          <w:highlight w:val="none"/>
        </w:rPr>
      </w:pPr>
      <w:r>
        <w:rPr>
          <w:rFonts w:hint="eastAsia" w:hAnsi="宋体"/>
          <w:color w:val="auto"/>
          <w:spacing w:val="-6"/>
          <w:sz w:val="24"/>
          <w:highlight w:val="none"/>
        </w:rPr>
        <w:br w:type="page"/>
      </w:r>
      <w:r>
        <w:rPr>
          <w:rFonts w:hint="eastAsia" w:hAnsi="宋体"/>
          <w:b/>
          <w:bCs/>
          <w:color w:val="auto"/>
          <w:spacing w:val="-6"/>
          <w:sz w:val="24"/>
          <w:szCs w:val="24"/>
          <w:highlight w:val="none"/>
        </w:rPr>
        <w:t>投标人需要说明的其他文件和材料</w:t>
      </w:r>
    </w:p>
    <w:p>
      <w:pPr>
        <w:spacing w:line="360" w:lineRule="auto"/>
        <w:rPr>
          <w:rFonts w:ascii="宋体" w:hAnsi="宋体"/>
          <w:b/>
          <w:bCs/>
          <w:color w:val="auto"/>
          <w:sz w:val="21"/>
          <w:szCs w:val="21"/>
          <w:highlight w:val="none"/>
        </w:rPr>
      </w:pPr>
      <w:r>
        <w:rPr>
          <w:rFonts w:hint="eastAsia" w:ascii="宋体" w:hAnsi="宋体"/>
          <w:b/>
          <w:bCs/>
          <w:color w:val="auto"/>
          <w:sz w:val="21"/>
          <w:szCs w:val="21"/>
          <w:highlight w:val="none"/>
        </w:rPr>
        <w:t>说明：投标人可根据自身情况提供。</w:t>
      </w:r>
    </w:p>
    <w:p>
      <w:pPr>
        <w:spacing w:line="360" w:lineRule="auto"/>
        <w:jc w:val="center"/>
        <w:outlineLvl w:val="2"/>
        <w:rPr>
          <w:rFonts w:ascii="宋体" w:hAnsi="宋体"/>
          <w:b/>
          <w:color w:val="auto"/>
          <w:sz w:val="52"/>
          <w:szCs w:val="52"/>
          <w:highlight w:val="none"/>
        </w:rPr>
      </w:pPr>
      <w:r>
        <w:rPr>
          <w:rFonts w:ascii="宋体" w:hAnsi="宋体"/>
          <w:b/>
          <w:color w:val="auto"/>
          <w:sz w:val="52"/>
          <w:szCs w:val="52"/>
          <w:highlight w:val="none"/>
        </w:rPr>
        <w:br w:type="page"/>
      </w:r>
      <w:r>
        <w:rPr>
          <w:rFonts w:hint="eastAsia" w:ascii="宋体" w:hAnsi="宋体"/>
          <w:b/>
          <w:color w:val="auto"/>
          <w:sz w:val="52"/>
          <w:szCs w:val="52"/>
          <w:highlight w:val="none"/>
        </w:rPr>
        <w:t>技术文件</w:t>
      </w:r>
    </w:p>
    <w:p>
      <w:pPr>
        <w:spacing w:line="360" w:lineRule="auto"/>
        <w:jc w:val="center"/>
        <w:outlineLvl w:val="3"/>
        <w:rPr>
          <w:rFonts w:ascii="宋体" w:hAnsi="宋体"/>
          <w:b/>
          <w:bCs/>
          <w:iCs/>
          <w:color w:val="auto"/>
          <w:spacing w:val="-6"/>
          <w:sz w:val="24"/>
          <w:highlight w:val="none"/>
        </w:rPr>
      </w:pPr>
      <w:r>
        <w:rPr>
          <w:rFonts w:hint="eastAsia" w:ascii="宋体" w:hAnsi="宋体"/>
          <w:b/>
          <w:bCs/>
          <w:iCs/>
          <w:color w:val="auto"/>
          <w:spacing w:val="-6"/>
          <w:sz w:val="24"/>
          <w:highlight w:val="none"/>
        </w:rPr>
        <w:t>技术偏离表</w:t>
      </w:r>
    </w:p>
    <w:p>
      <w:pPr>
        <w:spacing w:line="360" w:lineRule="auto"/>
        <w:rPr>
          <w:rFonts w:ascii="宋体" w:hAnsi="宋体"/>
          <w:bCs/>
          <w:color w:val="auto"/>
          <w:spacing w:val="-6"/>
          <w:sz w:val="24"/>
          <w:highlight w:val="none"/>
        </w:rPr>
      </w:pPr>
      <w:r>
        <w:rPr>
          <w:rFonts w:hint="eastAsia" w:ascii="宋体" w:hAnsi="宋体"/>
          <w:bCs/>
          <w:color w:val="auto"/>
          <w:spacing w:val="-6"/>
          <w:sz w:val="24"/>
          <w:highlight w:val="none"/>
        </w:rPr>
        <w:t>采 购 人：杭州电子科技大学</w:t>
      </w:r>
    </w:p>
    <w:p>
      <w:pPr>
        <w:spacing w:line="360" w:lineRule="auto"/>
        <w:rPr>
          <w:rFonts w:ascii="宋体" w:hAnsi="宋体"/>
          <w:bCs/>
          <w:color w:val="auto"/>
          <w:spacing w:val="-6"/>
          <w:sz w:val="24"/>
          <w:highlight w:val="none"/>
        </w:rPr>
      </w:pPr>
      <w:r>
        <w:rPr>
          <w:rFonts w:hint="eastAsia" w:ascii="宋体" w:hAnsi="宋体"/>
          <w:bCs/>
          <w:color w:val="auto"/>
          <w:spacing w:val="-6"/>
          <w:sz w:val="24"/>
          <w:highlight w:val="none"/>
        </w:rPr>
        <w:t>项目名称：协同创新中心高教仪器设备</w:t>
      </w:r>
    </w:p>
    <w:p>
      <w:pPr>
        <w:spacing w:line="360" w:lineRule="auto"/>
        <w:rPr>
          <w:rFonts w:ascii="宋体" w:hAnsi="宋体"/>
          <w:bCs/>
          <w:color w:val="auto"/>
          <w:spacing w:val="-6"/>
          <w:sz w:val="24"/>
          <w:highlight w:val="none"/>
        </w:rPr>
      </w:pPr>
      <w:r>
        <w:rPr>
          <w:rFonts w:hint="eastAsia" w:ascii="宋体" w:hAnsi="宋体"/>
          <w:bCs/>
          <w:color w:val="auto"/>
          <w:spacing w:val="-6"/>
          <w:sz w:val="24"/>
          <w:highlight w:val="none"/>
        </w:rPr>
        <w:t xml:space="preserve">项目编号：QSZB-Z(H)-B20132(GK) </w:t>
      </w:r>
    </w:p>
    <w:tbl>
      <w:tblPr>
        <w:tblStyle w:val="22"/>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序号</w:t>
            </w:r>
          </w:p>
        </w:tc>
        <w:tc>
          <w:tcPr>
            <w:tcW w:w="4254" w:type="dxa"/>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招标文件要求</w:t>
            </w:r>
          </w:p>
        </w:tc>
        <w:tc>
          <w:tcPr>
            <w:tcW w:w="2574" w:type="dxa"/>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响应规格</w:t>
            </w:r>
          </w:p>
        </w:tc>
        <w:tc>
          <w:tcPr>
            <w:tcW w:w="2124" w:type="dxa"/>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r>
              <w:rPr>
                <w:rFonts w:hint="eastAsia" w:ascii="宋体" w:hAnsi="宋体"/>
                <w:b/>
                <w:bCs/>
                <w:color w:val="auto"/>
                <w:sz w:val="21"/>
                <w:szCs w:val="21"/>
                <w:highlight w:val="none"/>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1</w:t>
            </w:r>
          </w:p>
        </w:tc>
        <w:tc>
          <w:tcPr>
            <w:tcW w:w="4254" w:type="dxa"/>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p>
        </w:tc>
        <w:tc>
          <w:tcPr>
            <w:tcW w:w="2574" w:type="dxa"/>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p>
        </w:tc>
        <w:tc>
          <w:tcPr>
            <w:tcW w:w="2124" w:type="dxa"/>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2</w:t>
            </w:r>
          </w:p>
        </w:tc>
        <w:tc>
          <w:tcPr>
            <w:tcW w:w="4254" w:type="dxa"/>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p>
        </w:tc>
        <w:tc>
          <w:tcPr>
            <w:tcW w:w="2574" w:type="dxa"/>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p>
        </w:tc>
        <w:tc>
          <w:tcPr>
            <w:tcW w:w="2124" w:type="dxa"/>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1"/>
                <w:szCs w:val="21"/>
                <w:highlight w:val="none"/>
              </w:rPr>
            </w:pPr>
          </w:p>
        </w:tc>
        <w:tc>
          <w:tcPr>
            <w:tcW w:w="4254" w:type="dxa"/>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p>
        </w:tc>
        <w:tc>
          <w:tcPr>
            <w:tcW w:w="2574" w:type="dxa"/>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p>
        </w:tc>
        <w:tc>
          <w:tcPr>
            <w:tcW w:w="2124" w:type="dxa"/>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1"/>
                <w:szCs w:val="21"/>
                <w:highlight w:val="none"/>
              </w:rPr>
            </w:pPr>
          </w:p>
        </w:tc>
        <w:tc>
          <w:tcPr>
            <w:tcW w:w="4254" w:type="dxa"/>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p>
        </w:tc>
        <w:tc>
          <w:tcPr>
            <w:tcW w:w="2574" w:type="dxa"/>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p>
        </w:tc>
        <w:tc>
          <w:tcPr>
            <w:tcW w:w="2124" w:type="dxa"/>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1"/>
                <w:szCs w:val="21"/>
                <w:highlight w:val="none"/>
              </w:rPr>
            </w:pPr>
          </w:p>
        </w:tc>
        <w:tc>
          <w:tcPr>
            <w:tcW w:w="4254" w:type="dxa"/>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p>
        </w:tc>
        <w:tc>
          <w:tcPr>
            <w:tcW w:w="2574" w:type="dxa"/>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p>
        </w:tc>
        <w:tc>
          <w:tcPr>
            <w:tcW w:w="2124" w:type="dxa"/>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1"/>
                <w:szCs w:val="21"/>
                <w:highlight w:val="none"/>
              </w:rPr>
            </w:pPr>
          </w:p>
        </w:tc>
        <w:tc>
          <w:tcPr>
            <w:tcW w:w="4254" w:type="dxa"/>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p>
        </w:tc>
        <w:tc>
          <w:tcPr>
            <w:tcW w:w="2574" w:type="dxa"/>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p>
        </w:tc>
        <w:tc>
          <w:tcPr>
            <w:tcW w:w="2124" w:type="dxa"/>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spacing w:before="0" w:beforeAutospacing="0" w:after="0" w:afterAutospacing="0"/>
              <w:ind w:left="0" w:right="0"/>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w:t>
            </w:r>
          </w:p>
        </w:tc>
        <w:tc>
          <w:tcPr>
            <w:tcW w:w="4254" w:type="dxa"/>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p>
        </w:tc>
        <w:tc>
          <w:tcPr>
            <w:tcW w:w="2574" w:type="dxa"/>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p>
        </w:tc>
        <w:tc>
          <w:tcPr>
            <w:tcW w:w="2124" w:type="dxa"/>
            <w:vAlign w:val="center"/>
          </w:tcPr>
          <w:p>
            <w:pPr>
              <w:keepNext w:val="0"/>
              <w:keepLines w:val="0"/>
              <w:suppressLineNumbers w:val="0"/>
              <w:spacing w:before="0" w:beforeAutospacing="0" w:after="0" w:afterAutospacing="0"/>
              <w:ind w:left="0" w:right="0"/>
              <w:rPr>
                <w:rFonts w:hint="default" w:ascii="宋体" w:hAnsi="宋体" w:cs="宋体"/>
                <w:color w:val="auto"/>
                <w:sz w:val="21"/>
                <w:szCs w:val="21"/>
                <w:highlight w:val="none"/>
              </w:rPr>
            </w:pPr>
          </w:p>
        </w:tc>
      </w:tr>
    </w:tbl>
    <w:p>
      <w:pPr>
        <w:spacing w:line="360" w:lineRule="auto"/>
        <w:rPr>
          <w:rFonts w:ascii="宋体" w:hAnsi="宋体"/>
          <w:b/>
          <w:bCs/>
          <w:color w:val="auto"/>
          <w:spacing w:val="-6"/>
          <w:sz w:val="24"/>
          <w:highlight w:val="none"/>
        </w:rPr>
      </w:pPr>
    </w:p>
    <w:p>
      <w:pPr>
        <w:spacing w:line="360" w:lineRule="auto"/>
        <w:rPr>
          <w:rFonts w:ascii="宋体" w:hAnsi="宋体"/>
          <w:b/>
          <w:bCs/>
          <w:color w:val="auto"/>
          <w:spacing w:val="-6"/>
          <w:sz w:val="21"/>
          <w:szCs w:val="21"/>
          <w:highlight w:val="none"/>
        </w:rPr>
      </w:pPr>
      <w:r>
        <w:rPr>
          <w:rFonts w:hint="eastAsia" w:ascii="宋体" w:hAnsi="宋体"/>
          <w:b/>
          <w:bCs/>
          <w:color w:val="auto"/>
          <w:spacing w:val="-6"/>
          <w:sz w:val="21"/>
          <w:szCs w:val="21"/>
          <w:highlight w:val="none"/>
        </w:rPr>
        <w:t>说明：</w:t>
      </w:r>
    </w:p>
    <w:p>
      <w:pPr>
        <w:spacing w:line="360" w:lineRule="auto"/>
        <w:rPr>
          <w:rFonts w:ascii="宋体" w:hAnsi="宋体"/>
          <w:b/>
          <w:bCs/>
          <w:color w:val="auto"/>
          <w:spacing w:val="-6"/>
          <w:sz w:val="21"/>
          <w:szCs w:val="21"/>
          <w:highlight w:val="none"/>
        </w:rPr>
      </w:pPr>
      <w:r>
        <w:rPr>
          <w:rFonts w:hint="eastAsia" w:ascii="宋体" w:hAnsi="宋体"/>
          <w:b/>
          <w:bCs/>
          <w:color w:val="auto"/>
          <w:spacing w:val="-6"/>
          <w:sz w:val="21"/>
          <w:szCs w:val="21"/>
          <w:highlight w:val="none"/>
        </w:rPr>
        <w:t>1</w:t>
      </w:r>
      <w:r>
        <w:rPr>
          <w:rFonts w:ascii="宋体" w:hAnsi="宋体"/>
          <w:b/>
          <w:bCs/>
          <w:color w:val="auto"/>
          <w:spacing w:val="-6"/>
          <w:sz w:val="21"/>
          <w:szCs w:val="21"/>
          <w:highlight w:val="none"/>
        </w:rPr>
        <w:t>.</w:t>
      </w:r>
      <w:r>
        <w:rPr>
          <w:rFonts w:hint="eastAsia" w:ascii="宋体" w:hAnsi="宋体"/>
          <w:b/>
          <w:bCs/>
          <w:color w:val="auto"/>
          <w:spacing w:val="-6"/>
          <w:sz w:val="21"/>
          <w:szCs w:val="21"/>
          <w:highlight w:val="none"/>
        </w:rPr>
        <w:t>逐项按照招标文件要求填写响应规格；</w:t>
      </w:r>
    </w:p>
    <w:p>
      <w:pPr>
        <w:spacing w:line="360" w:lineRule="auto"/>
        <w:rPr>
          <w:rFonts w:ascii="宋体" w:hAnsi="宋体"/>
          <w:b/>
          <w:bCs/>
          <w:color w:val="auto"/>
          <w:spacing w:val="-6"/>
          <w:sz w:val="21"/>
          <w:szCs w:val="21"/>
          <w:highlight w:val="none"/>
        </w:rPr>
      </w:pPr>
      <w:r>
        <w:rPr>
          <w:rFonts w:hint="eastAsia" w:ascii="宋体" w:hAnsi="宋体"/>
          <w:b/>
          <w:bCs/>
          <w:color w:val="auto"/>
          <w:spacing w:val="-6"/>
          <w:sz w:val="21"/>
          <w:szCs w:val="21"/>
          <w:highlight w:val="none"/>
        </w:rPr>
        <w:t>2</w:t>
      </w:r>
      <w:r>
        <w:rPr>
          <w:rFonts w:ascii="宋体" w:hAnsi="宋体"/>
          <w:b/>
          <w:bCs/>
          <w:color w:val="auto"/>
          <w:spacing w:val="-6"/>
          <w:sz w:val="21"/>
          <w:szCs w:val="21"/>
          <w:highlight w:val="none"/>
        </w:rPr>
        <w:t>.</w:t>
      </w:r>
      <w:r>
        <w:rPr>
          <w:rFonts w:hint="eastAsia" w:ascii="宋体" w:hAnsi="宋体"/>
          <w:b/>
          <w:bCs/>
          <w:color w:val="auto"/>
          <w:spacing w:val="-6"/>
          <w:sz w:val="21"/>
          <w:szCs w:val="21"/>
          <w:highlight w:val="none"/>
        </w:rPr>
        <w:t>偏离说明是指对招标文件要求存在不同之处的解释说明。偏离系指：正偏离（高于采购需求）、负偏离（低于采购需求）、无偏离（满足采购需求）；</w:t>
      </w:r>
    </w:p>
    <w:p>
      <w:pPr>
        <w:spacing w:line="360" w:lineRule="auto"/>
        <w:rPr>
          <w:rFonts w:ascii="宋体" w:hAnsi="宋体"/>
          <w:b/>
          <w:color w:val="auto"/>
          <w:spacing w:val="-6"/>
          <w:sz w:val="21"/>
          <w:szCs w:val="21"/>
          <w:highlight w:val="none"/>
        </w:rPr>
      </w:pPr>
      <w:r>
        <w:rPr>
          <w:rFonts w:hint="eastAsia" w:ascii="宋体" w:hAnsi="宋体"/>
          <w:b/>
          <w:bCs/>
          <w:color w:val="auto"/>
          <w:spacing w:val="-6"/>
          <w:sz w:val="21"/>
          <w:szCs w:val="21"/>
          <w:highlight w:val="none"/>
        </w:rPr>
        <w:t>3</w:t>
      </w:r>
      <w:r>
        <w:rPr>
          <w:rFonts w:ascii="宋体" w:hAnsi="宋体"/>
          <w:b/>
          <w:bCs/>
          <w:color w:val="auto"/>
          <w:spacing w:val="-6"/>
          <w:sz w:val="21"/>
          <w:szCs w:val="21"/>
          <w:highlight w:val="none"/>
        </w:rPr>
        <w:t>.</w:t>
      </w:r>
      <w:r>
        <w:rPr>
          <w:rFonts w:hint="eastAsia" w:ascii="宋体" w:hAnsi="宋体"/>
          <w:b/>
          <w:bCs/>
          <w:color w:val="auto"/>
          <w:spacing w:val="-6"/>
          <w:sz w:val="21"/>
          <w:szCs w:val="21"/>
          <w:highlight w:val="none"/>
        </w:rPr>
        <w:t>如不填写或未如实填写</w:t>
      </w:r>
      <w:r>
        <w:rPr>
          <w:rFonts w:hint="eastAsia" w:ascii="宋体" w:hAnsi="宋体"/>
          <w:b/>
          <w:color w:val="auto"/>
          <w:spacing w:val="-6"/>
          <w:sz w:val="21"/>
          <w:szCs w:val="21"/>
          <w:highlight w:val="none"/>
        </w:rPr>
        <w:t>，自行承担投标风险。</w:t>
      </w:r>
    </w:p>
    <w:p>
      <w:pPr>
        <w:pStyle w:val="21"/>
        <w:spacing w:line="360" w:lineRule="auto"/>
        <w:ind w:firstLine="0"/>
        <w:rPr>
          <w:rFonts w:hAnsi="宋体"/>
          <w:color w:val="auto"/>
          <w:spacing w:val="-6"/>
          <w:sz w:val="24"/>
          <w:highlight w:val="none"/>
        </w:rPr>
      </w:pPr>
    </w:p>
    <w:p>
      <w:pPr>
        <w:pStyle w:val="21"/>
        <w:spacing w:line="360" w:lineRule="auto"/>
        <w:ind w:firstLine="0"/>
        <w:rPr>
          <w:rFonts w:hAnsi="宋体"/>
          <w:color w:val="auto"/>
          <w:spacing w:val="-6"/>
          <w:sz w:val="24"/>
          <w:highlight w:val="none"/>
        </w:rPr>
      </w:pPr>
    </w:p>
    <w:p>
      <w:pPr>
        <w:pStyle w:val="21"/>
        <w:spacing w:line="360" w:lineRule="auto"/>
        <w:ind w:firstLine="0"/>
        <w:rPr>
          <w:rFonts w:hAnsi="宋体"/>
          <w:color w:val="auto"/>
          <w:spacing w:val="-6"/>
          <w:sz w:val="24"/>
          <w:highlight w:val="none"/>
        </w:rPr>
      </w:pP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投标人名称（盖章）：</w:t>
      </w: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投标人代表签字：</w:t>
      </w: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日期：     年   月   日</w:t>
      </w:r>
    </w:p>
    <w:p>
      <w:pPr>
        <w:snapToGrid w:val="0"/>
        <w:spacing w:before="50" w:after="120" w:afterLines="50" w:line="288" w:lineRule="auto"/>
        <w:jc w:val="center"/>
        <w:outlineLvl w:val="3"/>
        <w:rPr>
          <w:rFonts w:ascii="宋体" w:hAnsi="宋体"/>
          <w:b/>
          <w:color w:val="auto"/>
          <w:spacing w:val="-6"/>
          <w:sz w:val="24"/>
          <w:highlight w:val="none"/>
        </w:rPr>
      </w:pPr>
      <w:r>
        <w:rPr>
          <w:rFonts w:hint="eastAsia" w:ascii="宋体" w:hAnsi="宋体"/>
          <w:color w:val="auto"/>
          <w:spacing w:val="-6"/>
          <w:sz w:val="24"/>
          <w:highlight w:val="none"/>
        </w:rPr>
        <w:br w:type="page"/>
      </w:r>
      <w:r>
        <w:rPr>
          <w:rFonts w:hint="eastAsia" w:ascii="宋体" w:hAnsi="宋体"/>
          <w:b/>
          <w:color w:val="auto"/>
          <w:spacing w:val="-6"/>
          <w:sz w:val="24"/>
          <w:highlight w:val="none"/>
        </w:rPr>
        <w:t>货物配置清单、原厂出厂配置表</w:t>
      </w:r>
    </w:p>
    <w:p>
      <w:pPr>
        <w:snapToGrid w:val="0"/>
        <w:spacing w:before="50" w:after="120" w:afterLines="50" w:line="288" w:lineRule="auto"/>
        <w:rPr>
          <w:rFonts w:ascii="宋体" w:hAnsi="宋体"/>
          <w:color w:val="auto"/>
          <w:spacing w:val="-6"/>
          <w:sz w:val="21"/>
          <w:szCs w:val="21"/>
          <w:highlight w:val="none"/>
        </w:rPr>
      </w:pPr>
      <w:r>
        <w:rPr>
          <w:rFonts w:hint="eastAsia" w:ascii="宋体" w:hAnsi="宋体"/>
          <w:b/>
          <w:color w:val="auto"/>
          <w:spacing w:val="-6"/>
          <w:sz w:val="21"/>
          <w:szCs w:val="21"/>
          <w:highlight w:val="none"/>
        </w:rPr>
        <w:t>货物配置清单</w:t>
      </w:r>
      <w:r>
        <w:rPr>
          <w:rFonts w:hint="eastAsia" w:ascii="宋体" w:hAnsi="宋体"/>
          <w:color w:val="auto"/>
          <w:spacing w:val="-6"/>
          <w:sz w:val="21"/>
          <w:szCs w:val="21"/>
          <w:highlight w:val="none"/>
        </w:rPr>
        <w:t>（不含报价）</w:t>
      </w:r>
    </w:p>
    <w:tbl>
      <w:tblPr>
        <w:tblStyle w:val="22"/>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011"/>
        <w:gridCol w:w="1010"/>
        <w:gridCol w:w="1266"/>
        <w:gridCol w:w="756"/>
        <w:gridCol w:w="1011"/>
        <w:gridCol w:w="202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货物名称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厂家</w:t>
            </w: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品牌</w:t>
            </w: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规格型号</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数量</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配置（可另附页）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r>
    </w:tbl>
    <w:p>
      <w:pPr>
        <w:spacing w:line="360" w:lineRule="auto"/>
        <w:rPr>
          <w:rFonts w:ascii="宋体" w:hAnsi="宋体"/>
          <w:color w:val="auto"/>
          <w:spacing w:val="-6"/>
          <w:sz w:val="24"/>
          <w:highlight w:val="none"/>
        </w:rPr>
      </w:pPr>
    </w:p>
    <w:p>
      <w:pPr>
        <w:spacing w:line="360" w:lineRule="auto"/>
        <w:rPr>
          <w:color w:val="auto"/>
          <w:highlight w:val="none"/>
        </w:rPr>
      </w:pPr>
    </w:p>
    <w:p>
      <w:pPr>
        <w:spacing w:line="360" w:lineRule="auto"/>
        <w:rPr>
          <w:rFonts w:ascii="宋体" w:hAnsi="宋体"/>
          <w:color w:val="auto"/>
          <w:spacing w:val="-6"/>
          <w:sz w:val="24"/>
          <w:highlight w:val="none"/>
        </w:rPr>
      </w:pP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投标人名称（盖章）：</w:t>
      </w: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投标人代表签字：</w:t>
      </w: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日期：     年   月   日</w:t>
      </w:r>
    </w:p>
    <w:p>
      <w:pPr>
        <w:pStyle w:val="36"/>
        <w:spacing w:line="360" w:lineRule="auto"/>
        <w:rPr>
          <w:rFonts w:ascii="宋体" w:hAnsi="宋体"/>
          <w:color w:val="auto"/>
          <w:spacing w:val="-6"/>
          <w:highlight w:val="none"/>
        </w:rPr>
      </w:pPr>
    </w:p>
    <w:p>
      <w:pPr>
        <w:pStyle w:val="37"/>
        <w:spacing w:line="360" w:lineRule="auto"/>
        <w:ind w:left="0"/>
        <w:rPr>
          <w:rFonts w:ascii="宋体" w:hAnsi="宋体"/>
          <w:color w:val="auto"/>
          <w:spacing w:val="-6"/>
          <w:sz w:val="24"/>
          <w:highlight w:val="none"/>
        </w:rPr>
      </w:pPr>
    </w:p>
    <w:p>
      <w:pPr>
        <w:spacing w:line="360" w:lineRule="auto"/>
        <w:rPr>
          <w:color w:val="auto"/>
          <w:highlight w:val="none"/>
        </w:rPr>
      </w:pPr>
    </w:p>
    <w:p>
      <w:pPr>
        <w:spacing w:line="360" w:lineRule="auto"/>
        <w:rPr>
          <w:color w:val="auto"/>
          <w:highlight w:val="none"/>
        </w:rPr>
      </w:pPr>
      <w:r>
        <w:rPr>
          <w:rFonts w:hint="eastAsia" w:ascii="宋体" w:hAnsi="宋体"/>
          <w:b/>
          <w:color w:val="auto"/>
          <w:spacing w:val="-6"/>
          <w:sz w:val="21"/>
          <w:szCs w:val="21"/>
          <w:highlight w:val="none"/>
        </w:rPr>
        <w:t>原厂出厂配置表</w:t>
      </w:r>
    </w:p>
    <w:p>
      <w:pPr>
        <w:pStyle w:val="2"/>
        <w:spacing w:line="360" w:lineRule="auto"/>
        <w:ind w:firstLine="0"/>
        <w:jc w:val="center"/>
        <w:outlineLvl w:val="3"/>
        <w:rPr>
          <w:rFonts w:hAnsi="宋体"/>
          <w:b/>
          <w:color w:val="auto"/>
          <w:spacing w:val="-6"/>
          <w:sz w:val="24"/>
          <w:szCs w:val="24"/>
          <w:highlight w:val="none"/>
        </w:rPr>
      </w:pPr>
      <w:r>
        <w:rPr>
          <w:rFonts w:hint="eastAsia" w:hAnsi="宋体"/>
          <w:b/>
          <w:color w:val="auto"/>
          <w:spacing w:val="-6"/>
          <w:sz w:val="24"/>
          <w:highlight w:val="none"/>
        </w:rPr>
        <w:br w:type="page"/>
      </w:r>
      <w:r>
        <w:rPr>
          <w:rFonts w:hint="eastAsia" w:hAnsi="宋体"/>
          <w:b/>
          <w:color w:val="auto"/>
          <w:spacing w:val="-6"/>
          <w:sz w:val="24"/>
          <w:szCs w:val="24"/>
          <w:highlight w:val="none"/>
        </w:rPr>
        <w:t>技术支持资料</w:t>
      </w:r>
    </w:p>
    <w:p>
      <w:pPr>
        <w:spacing w:line="360" w:lineRule="auto"/>
        <w:rPr>
          <w:rFonts w:ascii="宋体" w:hAnsi="宋体"/>
          <w:b/>
          <w:color w:val="auto"/>
          <w:spacing w:val="-6"/>
          <w:sz w:val="21"/>
          <w:szCs w:val="21"/>
          <w:highlight w:val="none"/>
        </w:rPr>
      </w:pPr>
      <w:r>
        <w:rPr>
          <w:rFonts w:hint="eastAsia" w:ascii="宋体" w:hAnsi="宋体"/>
          <w:b/>
          <w:color w:val="auto"/>
          <w:spacing w:val="-6"/>
          <w:sz w:val="21"/>
          <w:szCs w:val="21"/>
          <w:highlight w:val="none"/>
        </w:rPr>
        <w:t>说明：</w:t>
      </w:r>
    </w:p>
    <w:p>
      <w:pPr>
        <w:spacing w:line="360" w:lineRule="auto"/>
        <w:rPr>
          <w:rFonts w:ascii="宋体" w:hAnsi="宋体"/>
          <w:b/>
          <w:color w:val="auto"/>
          <w:spacing w:val="-6"/>
          <w:sz w:val="21"/>
          <w:szCs w:val="21"/>
          <w:highlight w:val="none"/>
        </w:rPr>
      </w:pPr>
      <w:r>
        <w:rPr>
          <w:rFonts w:hint="eastAsia" w:ascii="宋体" w:hAnsi="宋体"/>
          <w:b/>
          <w:color w:val="auto"/>
          <w:spacing w:val="-6"/>
          <w:sz w:val="21"/>
          <w:szCs w:val="21"/>
          <w:highlight w:val="none"/>
        </w:rPr>
        <w:t>1</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投标人提供技术支持资料以证明其对技术指标的应答；</w:t>
      </w:r>
    </w:p>
    <w:p>
      <w:pPr>
        <w:spacing w:line="360" w:lineRule="auto"/>
        <w:rPr>
          <w:rFonts w:ascii="宋体" w:hAnsi="宋体"/>
          <w:b/>
          <w:color w:val="auto"/>
          <w:spacing w:val="-6"/>
          <w:sz w:val="21"/>
          <w:szCs w:val="21"/>
          <w:highlight w:val="none"/>
        </w:rPr>
      </w:pPr>
      <w:r>
        <w:rPr>
          <w:rFonts w:hint="eastAsia" w:ascii="宋体" w:hAnsi="宋体"/>
          <w:b/>
          <w:color w:val="auto"/>
          <w:spacing w:val="-6"/>
          <w:sz w:val="21"/>
          <w:szCs w:val="21"/>
          <w:highlight w:val="none"/>
        </w:rPr>
        <w:t>2</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技术支持资料应是制造商公开发布的印刷资料（官网材料、彩页、Datasheet）或由有关政府部门或检测机构合法出具的文件或报告；</w:t>
      </w:r>
    </w:p>
    <w:p>
      <w:pPr>
        <w:spacing w:line="360" w:lineRule="auto"/>
        <w:rPr>
          <w:rFonts w:ascii="宋体" w:hAnsi="宋体"/>
          <w:b/>
          <w:color w:val="auto"/>
          <w:spacing w:val="-6"/>
          <w:sz w:val="21"/>
          <w:szCs w:val="21"/>
          <w:highlight w:val="none"/>
        </w:rPr>
      </w:pPr>
      <w:r>
        <w:rPr>
          <w:rFonts w:hint="eastAsia" w:ascii="宋体" w:hAnsi="宋体"/>
          <w:b/>
          <w:color w:val="auto"/>
          <w:spacing w:val="-6"/>
          <w:sz w:val="21"/>
          <w:szCs w:val="21"/>
          <w:highlight w:val="none"/>
        </w:rPr>
        <w:t>3</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不符合上述要求的资料，可被视为是无效的技术支持资料；</w:t>
      </w:r>
    </w:p>
    <w:p>
      <w:pPr>
        <w:spacing w:line="360" w:lineRule="auto"/>
        <w:rPr>
          <w:rFonts w:ascii="宋体" w:hAnsi="宋体"/>
          <w:b/>
          <w:color w:val="auto"/>
          <w:spacing w:val="-6"/>
          <w:sz w:val="21"/>
          <w:szCs w:val="21"/>
          <w:highlight w:val="none"/>
        </w:rPr>
      </w:pPr>
      <w:r>
        <w:rPr>
          <w:rFonts w:hint="eastAsia" w:ascii="宋体" w:hAnsi="宋体"/>
          <w:b/>
          <w:color w:val="auto"/>
          <w:spacing w:val="-6"/>
          <w:sz w:val="21"/>
          <w:szCs w:val="21"/>
          <w:highlight w:val="none"/>
        </w:rPr>
        <w:t>4</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如上述资料之间存在不一致的，以有关政府部门或检测机构合法出具的文件或报告为准；</w:t>
      </w:r>
    </w:p>
    <w:p>
      <w:pPr>
        <w:spacing w:line="360" w:lineRule="auto"/>
        <w:rPr>
          <w:rFonts w:ascii="宋体" w:hAnsi="宋体"/>
          <w:b/>
          <w:color w:val="auto"/>
          <w:spacing w:val="-6"/>
          <w:sz w:val="21"/>
          <w:szCs w:val="21"/>
          <w:highlight w:val="none"/>
        </w:rPr>
      </w:pPr>
      <w:r>
        <w:rPr>
          <w:rFonts w:hint="eastAsia" w:ascii="宋体" w:hAnsi="宋体"/>
          <w:b/>
          <w:color w:val="auto"/>
          <w:spacing w:val="-6"/>
          <w:sz w:val="21"/>
          <w:szCs w:val="21"/>
          <w:highlight w:val="none"/>
        </w:rPr>
        <w:t>5</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若对技术指标的应答无技术支持资料证明，评标委员会可不予承认，并可认为该应答不符合招标文件要求，</w:t>
      </w:r>
      <w:r>
        <w:rPr>
          <w:rFonts w:hint="eastAsia" w:ascii="宋体" w:hAnsi="宋体"/>
          <w:b/>
          <w:bCs/>
          <w:color w:val="auto"/>
          <w:spacing w:val="-6"/>
          <w:sz w:val="21"/>
          <w:szCs w:val="21"/>
          <w:highlight w:val="none"/>
        </w:rPr>
        <w:t>将作出不利于投标人的技术评审，其后果将由投标人自行承担</w:t>
      </w:r>
      <w:r>
        <w:rPr>
          <w:rFonts w:hint="eastAsia" w:ascii="宋体" w:hAnsi="宋体"/>
          <w:b/>
          <w:color w:val="auto"/>
          <w:spacing w:val="-6"/>
          <w:sz w:val="21"/>
          <w:szCs w:val="21"/>
          <w:highlight w:val="none"/>
        </w:rPr>
        <w:t>；</w:t>
      </w:r>
    </w:p>
    <w:p>
      <w:pPr>
        <w:spacing w:line="360" w:lineRule="auto"/>
        <w:rPr>
          <w:rFonts w:ascii="宋体" w:hAnsi="宋体"/>
          <w:b/>
          <w:color w:val="auto"/>
          <w:spacing w:val="-6"/>
          <w:sz w:val="21"/>
          <w:szCs w:val="21"/>
          <w:highlight w:val="none"/>
        </w:rPr>
      </w:pPr>
      <w:r>
        <w:rPr>
          <w:rFonts w:hint="eastAsia" w:ascii="宋体" w:hAnsi="宋体"/>
          <w:b/>
          <w:color w:val="auto"/>
          <w:spacing w:val="-6"/>
          <w:sz w:val="21"/>
          <w:szCs w:val="21"/>
          <w:highlight w:val="none"/>
        </w:rPr>
        <w:t>6</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投标人可提供同等于或优于招标文件要求的货物和服务。</w:t>
      </w:r>
    </w:p>
    <w:p>
      <w:pPr>
        <w:spacing w:line="360" w:lineRule="auto"/>
        <w:jc w:val="center"/>
        <w:outlineLvl w:val="3"/>
        <w:rPr>
          <w:rFonts w:ascii="宋体" w:hAnsi="宋体"/>
          <w:b/>
          <w:color w:val="auto"/>
          <w:spacing w:val="-6"/>
          <w:sz w:val="24"/>
          <w:highlight w:val="none"/>
        </w:rPr>
      </w:pPr>
      <w:r>
        <w:rPr>
          <w:rFonts w:hint="eastAsia" w:ascii="宋体" w:hAnsi="宋体"/>
          <w:b/>
          <w:color w:val="auto"/>
          <w:spacing w:val="-6"/>
          <w:sz w:val="21"/>
          <w:szCs w:val="21"/>
          <w:highlight w:val="none"/>
        </w:rPr>
        <w:br w:type="page"/>
      </w:r>
      <w:r>
        <w:rPr>
          <w:rFonts w:hint="eastAsia" w:ascii="宋体" w:hAnsi="宋体"/>
          <w:b/>
          <w:color w:val="auto"/>
          <w:spacing w:val="-6"/>
          <w:sz w:val="24"/>
          <w:highlight w:val="none"/>
        </w:rPr>
        <w:t>技术方案</w:t>
      </w:r>
    </w:p>
    <w:p>
      <w:pPr>
        <w:spacing w:line="360" w:lineRule="auto"/>
        <w:rPr>
          <w:color w:val="auto"/>
          <w:highlight w:val="none"/>
        </w:rPr>
      </w:pPr>
      <w:r>
        <w:rPr>
          <w:rFonts w:hint="eastAsia" w:ascii="宋体" w:hAnsi="宋体"/>
          <w:b/>
          <w:color w:val="auto"/>
          <w:spacing w:val="-6"/>
          <w:sz w:val="21"/>
          <w:szCs w:val="21"/>
          <w:highlight w:val="none"/>
        </w:rPr>
        <w:t>说明：根据评分细则提供和编写格式自拟，包括但不仅限于：</w:t>
      </w:r>
    </w:p>
    <w:p>
      <w:pPr>
        <w:spacing w:line="360" w:lineRule="auto"/>
        <w:outlineLvl w:val="3"/>
        <w:rPr>
          <w:rFonts w:ascii="宋体" w:hAnsi="宋体"/>
          <w:b/>
          <w:color w:val="auto"/>
          <w:spacing w:val="-6"/>
          <w:sz w:val="24"/>
          <w:highlight w:val="none"/>
        </w:rPr>
      </w:pPr>
      <w:r>
        <w:rPr>
          <w:rFonts w:hint="eastAsia" w:ascii="宋体" w:hAnsi="宋体"/>
          <w:b/>
          <w:color w:val="auto"/>
          <w:spacing w:val="-6"/>
          <w:sz w:val="24"/>
          <w:highlight w:val="none"/>
        </w:rPr>
        <w:br w:type="page"/>
      </w:r>
      <w:r>
        <w:rPr>
          <w:rFonts w:hint="eastAsia" w:ascii="宋体" w:hAnsi="宋体"/>
          <w:b/>
          <w:color w:val="auto"/>
          <w:spacing w:val="-6"/>
          <w:sz w:val="24"/>
          <w:highlight w:val="none"/>
        </w:rPr>
        <w:t>售后服务方案</w:t>
      </w:r>
    </w:p>
    <w:p>
      <w:pPr>
        <w:spacing w:line="360" w:lineRule="auto"/>
        <w:rPr>
          <w:rFonts w:ascii="宋体" w:hAnsi="宋体"/>
          <w:b/>
          <w:color w:val="auto"/>
          <w:spacing w:val="-6"/>
          <w:sz w:val="24"/>
          <w:highlight w:val="none"/>
        </w:rPr>
      </w:pPr>
      <w:r>
        <w:rPr>
          <w:rFonts w:hint="eastAsia" w:ascii="宋体" w:hAnsi="宋体"/>
          <w:b/>
          <w:color w:val="auto"/>
          <w:spacing w:val="-6"/>
          <w:sz w:val="21"/>
          <w:szCs w:val="21"/>
          <w:highlight w:val="none"/>
        </w:rPr>
        <w:t>说明：根据评分细则提供和编写格式自拟</w:t>
      </w:r>
    </w:p>
    <w:p>
      <w:pPr>
        <w:spacing w:line="360" w:lineRule="auto"/>
        <w:rPr>
          <w:rFonts w:ascii="宋体" w:hAnsi="宋体"/>
          <w:b/>
          <w:color w:val="auto"/>
          <w:spacing w:val="-6"/>
          <w:sz w:val="24"/>
          <w:highlight w:val="none"/>
        </w:rPr>
      </w:pPr>
    </w:p>
    <w:p>
      <w:pPr>
        <w:spacing w:line="360" w:lineRule="auto"/>
        <w:rPr>
          <w:rFonts w:ascii="宋体" w:hAnsi="宋体"/>
          <w:b/>
          <w:color w:val="auto"/>
          <w:spacing w:val="-6"/>
          <w:sz w:val="24"/>
          <w:highlight w:val="none"/>
        </w:rPr>
      </w:pPr>
    </w:p>
    <w:p>
      <w:pPr>
        <w:spacing w:line="360" w:lineRule="auto"/>
        <w:rPr>
          <w:rFonts w:ascii="宋体" w:hAnsi="宋体"/>
          <w:b/>
          <w:color w:val="auto"/>
          <w:spacing w:val="-6"/>
          <w:sz w:val="24"/>
          <w:highlight w:val="none"/>
        </w:rPr>
      </w:pPr>
    </w:p>
    <w:p>
      <w:pPr>
        <w:spacing w:line="360" w:lineRule="auto"/>
        <w:outlineLvl w:val="3"/>
        <w:rPr>
          <w:rFonts w:ascii="宋体" w:hAnsi="宋体"/>
          <w:b/>
          <w:color w:val="auto"/>
          <w:spacing w:val="-6"/>
          <w:sz w:val="24"/>
          <w:highlight w:val="none"/>
        </w:rPr>
      </w:pPr>
      <w:r>
        <w:rPr>
          <w:rFonts w:hint="eastAsia" w:ascii="宋体" w:hAnsi="宋体"/>
          <w:b/>
          <w:color w:val="auto"/>
          <w:spacing w:val="-6"/>
          <w:sz w:val="24"/>
          <w:highlight w:val="none"/>
        </w:rPr>
        <w:t>技术服务、技术培训的内容和措施</w:t>
      </w:r>
    </w:p>
    <w:p>
      <w:pPr>
        <w:spacing w:line="360" w:lineRule="auto"/>
        <w:rPr>
          <w:rFonts w:ascii="宋体" w:hAnsi="宋体"/>
          <w:b/>
          <w:color w:val="auto"/>
          <w:spacing w:val="-6"/>
          <w:sz w:val="21"/>
          <w:szCs w:val="21"/>
          <w:highlight w:val="none"/>
        </w:rPr>
      </w:pPr>
      <w:r>
        <w:rPr>
          <w:rFonts w:hint="eastAsia" w:ascii="宋体" w:hAnsi="宋体"/>
          <w:b/>
          <w:color w:val="auto"/>
          <w:spacing w:val="-6"/>
          <w:sz w:val="21"/>
          <w:szCs w:val="21"/>
          <w:highlight w:val="none"/>
        </w:rPr>
        <w:t>说明：根据</w:t>
      </w:r>
      <w:r>
        <w:rPr>
          <w:rFonts w:ascii="宋体" w:hAnsi="宋体"/>
          <w:b/>
          <w:color w:val="auto"/>
          <w:spacing w:val="-6"/>
          <w:sz w:val="21"/>
          <w:szCs w:val="21"/>
          <w:highlight w:val="none"/>
        </w:rPr>
        <w:t>评分细则提供和编写格式自拟</w:t>
      </w:r>
    </w:p>
    <w:p>
      <w:pPr>
        <w:spacing w:line="360" w:lineRule="auto"/>
        <w:jc w:val="center"/>
        <w:outlineLvl w:val="3"/>
        <w:rPr>
          <w:rFonts w:ascii="宋体" w:hAnsi="宋体"/>
          <w:b/>
          <w:bCs/>
          <w:color w:val="auto"/>
          <w:spacing w:val="-6"/>
          <w:sz w:val="24"/>
          <w:highlight w:val="none"/>
        </w:rPr>
      </w:pPr>
      <w:r>
        <w:rPr>
          <w:rFonts w:hint="eastAsia" w:ascii="宋体" w:hAnsi="宋体"/>
          <w:b/>
          <w:color w:val="auto"/>
          <w:spacing w:val="-6"/>
          <w:sz w:val="21"/>
          <w:szCs w:val="21"/>
          <w:highlight w:val="none"/>
        </w:rPr>
        <w:br w:type="page"/>
      </w:r>
      <w:r>
        <w:rPr>
          <w:rFonts w:hint="eastAsia" w:ascii="宋体" w:hAnsi="宋体"/>
          <w:b/>
          <w:bCs/>
          <w:color w:val="auto"/>
          <w:spacing w:val="-6"/>
          <w:sz w:val="24"/>
          <w:highlight w:val="none"/>
        </w:rPr>
        <w:t>配件、专用耗材和售后服务优惠表</w:t>
      </w:r>
    </w:p>
    <w:p>
      <w:pPr>
        <w:spacing w:line="360" w:lineRule="auto"/>
        <w:jc w:val="center"/>
        <w:rPr>
          <w:rFonts w:ascii="宋体" w:hAnsi="宋体"/>
          <w:b/>
          <w:bCs/>
          <w:color w:val="auto"/>
          <w:spacing w:val="-6"/>
          <w:sz w:val="21"/>
          <w:szCs w:val="21"/>
          <w:highlight w:val="none"/>
        </w:rPr>
      </w:pPr>
      <w:r>
        <w:rPr>
          <w:rFonts w:hint="eastAsia" w:ascii="宋体" w:hAnsi="宋体"/>
          <w:b/>
          <w:bCs/>
          <w:color w:val="auto"/>
          <w:spacing w:val="-6"/>
          <w:sz w:val="21"/>
          <w:szCs w:val="21"/>
          <w:highlight w:val="none"/>
        </w:rPr>
        <w:t>（价格保持三年以上）</w:t>
      </w:r>
    </w:p>
    <w:tbl>
      <w:tblPr>
        <w:tblStyle w:val="22"/>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3862"/>
        <w:gridCol w:w="1686"/>
        <w:gridCol w:w="1483"/>
        <w:gridCol w:w="188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序号</w:t>
            </w:r>
          </w:p>
        </w:tc>
        <w:tc>
          <w:tcPr>
            <w:tcW w:w="386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b/>
                <w:bCs/>
                <w:color w:val="auto"/>
                <w:spacing w:val="-6"/>
                <w:sz w:val="21"/>
                <w:szCs w:val="21"/>
                <w:highlight w:val="none"/>
              </w:rPr>
              <w:t>配件、专用耗材和售后服务内容</w:t>
            </w:r>
          </w:p>
        </w:tc>
        <w:tc>
          <w:tcPr>
            <w:tcW w:w="168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适用货物</w:t>
            </w:r>
          </w:p>
        </w:tc>
        <w:tc>
          <w:tcPr>
            <w:tcW w:w="1483"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单价（元）</w:t>
            </w:r>
          </w:p>
        </w:tc>
        <w:tc>
          <w:tcPr>
            <w:tcW w:w="1889"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比报价优惠率（%）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386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68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483"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889"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386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68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483"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889"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386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68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483"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889"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386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68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483"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889"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386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68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483"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889"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386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68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483"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889"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386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68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483"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889"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386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68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483"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889"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386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68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483"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889"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386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68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483"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889"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r>
    </w:tbl>
    <w:p>
      <w:pPr>
        <w:spacing w:line="360" w:lineRule="auto"/>
        <w:rPr>
          <w:color w:val="auto"/>
          <w:highlight w:val="none"/>
        </w:rPr>
      </w:pPr>
    </w:p>
    <w:p>
      <w:pPr>
        <w:spacing w:line="360" w:lineRule="auto"/>
        <w:rPr>
          <w:color w:val="auto"/>
          <w:highlight w:val="none"/>
        </w:rPr>
      </w:pPr>
    </w:p>
    <w:p>
      <w:pPr>
        <w:spacing w:line="360" w:lineRule="auto"/>
        <w:rPr>
          <w:color w:val="auto"/>
          <w:highlight w:val="none"/>
        </w:rPr>
      </w:pP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投标人名称（盖章）：</w:t>
      </w: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投标人代表签字：</w:t>
      </w:r>
    </w:p>
    <w:p>
      <w:pPr>
        <w:spacing w:line="360" w:lineRule="auto"/>
        <w:rPr>
          <w:rFonts w:ascii="宋体" w:hAnsi="宋体" w:cs="宋体"/>
          <w:color w:val="auto"/>
          <w:sz w:val="21"/>
          <w:szCs w:val="21"/>
          <w:highlight w:val="none"/>
        </w:rPr>
      </w:pPr>
      <w:r>
        <w:rPr>
          <w:rFonts w:hint="eastAsia" w:ascii="宋体" w:hAnsi="宋体"/>
          <w:color w:val="auto"/>
          <w:spacing w:val="-6"/>
          <w:sz w:val="24"/>
          <w:highlight w:val="none"/>
        </w:rPr>
        <w:t>日期：     年   月   日</w:t>
      </w:r>
    </w:p>
    <w:sectPr>
      <w:footerReference r:id="rId4" w:type="default"/>
      <w:pgSz w:w="11906" w:h="16838"/>
      <w:pgMar w:top="1440" w:right="1247" w:bottom="1440" w:left="1247" w:header="283" w:footer="850" w:gutter="0"/>
      <w:pgNumType w:start="2"/>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pple-system">
    <w:altName w:val="Segoe Print"/>
    <w:panose1 w:val="00000000000000000000"/>
    <w:charset w:val="00"/>
    <w:family w:val="auto"/>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仿宋_GB2312">
    <w:panose1 w:val="02010609030101010101"/>
    <w:charset w:val="86"/>
    <w:family w:val="modern"/>
    <w:pitch w:val="default"/>
    <w:sig w:usb0="00000001" w:usb1="080E0000" w:usb2="00000000" w:usb3="00000000" w:csb0="00040000" w:csb1="00000000"/>
  </w:font>
  <w:font w:name="Helvetica Neue Light">
    <w:altName w:val="Courier New"/>
    <w:panose1 w:val="00000000000000000000"/>
    <w:charset w:val="00"/>
    <w:family w:val="auto"/>
    <w:pitch w:val="default"/>
    <w:sig w:usb0="00000000" w:usb1="00000000" w:usb2="00000002" w:usb3="00000000" w:csb0="00000007" w:csb1="00000000"/>
  </w:font>
  <w:font w:name="ヒラギノ角ゴ Pro W3">
    <w:altName w:val="Yu Gothic"/>
    <w:panose1 w:val="00000000000000000000"/>
    <w:charset w:val="80"/>
    <w:family w:val="auto"/>
    <w:pitch w:val="default"/>
    <w:sig w:usb0="00000000" w:usb1="00000000" w:usb2="00000012" w:usb3="00000000" w:csb0="0002000D"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8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06375" cy="146685"/>
              <wp:effectExtent l="0" t="0" r="0" b="0"/>
              <wp:wrapNone/>
              <wp:docPr id="2" name="文本框 1026"/>
              <wp:cNvGraphicFramePr/>
              <a:graphic xmlns:a="http://schemas.openxmlformats.org/drawingml/2006/main">
                <a:graphicData uri="http://schemas.microsoft.com/office/word/2010/wordprocessingShape">
                  <wps:wsp>
                    <wps:cNvSpPr txBox="1"/>
                    <wps:spPr>
                      <a:xfrm>
                        <a:off x="0" y="0"/>
                        <a:ext cx="206375" cy="146685"/>
                      </a:xfrm>
                      <a:prstGeom prst="rect">
                        <a:avLst/>
                      </a:prstGeom>
                      <a:noFill/>
                      <a:ln w="15875">
                        <a:noFill/>
                      </a:ln>
                    </wps:spPr>
                    <wps:txbx>
                      <w:txbxContent>
                        <w:p>
                          <w:pPr>
                            <w:pStyle w:val="15"/>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t>19</w:t>
                          </w:r>
                          <w:r>
                            <w:rPr>
                              <w:rFonts w:hint="eastAsia"/>
                            </w:rPr>
                            <w:fldChar w:fldCharType="end"/>
                          </w:r>
                        </w:p>
                      </w:txbxContent>
                    </wps:txbx>
                    <wps:bodyPr wrap="square" lIns="0" tIns="0" rIns="0" bIns="0">
                      <a:spAutoFit/>
                    </wps:bodyPr>
                  </wps:wsp>
                </a:graphicData>
              </a:graphic>
            </wp:anchor>
          </w:drawing>
        </mc:Choice>
        <mc:Fallback>
          <w:pict>
            <v:shape id="文本框 1026" o:spid="_x0000_s1026" o:spt="202" type="#_x0000_t202" style="position:absolute;left:0pt;margin-top:0pt;height:11.55pt;width:16.25pt;mso-position-horizontal:center;mso-position-horizontal-relative:margin;z-index:251659264;mso-width-relative:page;mso-height-relative:page;" filled="f" stroked="f" coordsize="21600,21600" o:gfxdata="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d1sNe9QAAAADAQAADwAAAAAAAAABACAAAAAiAAAAZHJzL2Rvd25yZXYueG1sUEsBAhQAFAAAAAgA&#10;h07iQAlgMXK3AQAATAMAAA4AAAAAAAAAAQAgAAAAIwEAAGRycy9lMm9Eb2MueG1sUEsFBgAAAAAG&#10;AAYAWQEAAEwFAAAAAA==&#10;">
              <v:fill on="f" focussize="0,0"/>
              <v:stroke on="f" weight="1.25pt"/>
              <v:imagedata o:title=""/>
              <o:lock v:ext="edit" aspectratio="f"/>
              <v:textbox inset="0mm,0mm,0mm,0mm" style="mso-fit-shape-to-text:t;">
                <w:txbxContent>
                  <w:p>
                    <w:pPr>
                      <w:pStyle w:val="15"/>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t>19</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w:drawing>
        <wp:anchor distT="0" distB="0" distL="114300" distR="114300" simplePos="0" relativeHeight="251658240" behindDoc="0" locked="0" layoutInCell="1" allowOverlap="1">
          <wp:simplePos x="0" y="0"/>
          <wp:positionH relativeFrom="column">
            <wp:posOffset>45720</wp:posOffset>
          </wp:positionH>
          <wp:positionV relativeFrom="paragraph">
            <wp:posOffset>42545</wp:posOffset>
          </wp:positionV>
          <wp:extent cx="5872480" cy="633730"/>
          <wp:effectExtent l="0" t="0" r="7620" b="1270"/>
          <wp:wrapSquare wrapText="bothSides"/>
          <wp:docPr id="1" name="图片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051"/>
                  <pic:cNvPicPr>
                    <a:picLocks noChangeAspect="1"/>
                  </pic:cNvPicPr>
                </pic:nvPicPr>
                <pic:blipFill>
                  <a:blip r:embed="rId1"/>
                  <a:stretch>
                    <a:fillRect/>
                  </a:stretch>
                </pic:blipFill>
                <pic:spPr>
                  <a:xfrm>
                    <a:off x="0" y="0"/>
                    <a:ext cx="5872480" cy="63373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EC44928"/>
    <w:multiLevelType w:val="singleLevel"/>
    <w:tmpl w:val="8EC44928"/>
    <w:lvl w:ilvl="0" w:tentative="0">
      <w:start w:val="9"/>
      <w:numFmt w:val="decimal"/>
      <w:lvlText w:val="%1."/>
      <w:lvlJc w:val="left"/>
      <w:pPr>
        <w:tabs>
          <w:tab w:val="left" w:pos="312"/>
        </w:tabs>
      </w:pPr>
    </w:lvl>
  </w:abstractNum>
  <w:abstractNum w:abstractNumId="1">
    <w:nsid w:val="00000005"/>
    <w:multiLevelType w:val="multilevel"/>
    <w:tmpl w:val="00000005"/>
    <w:lvl w:ilvl="0" w:tentative="0">
      <w:start w:val="1"/>
      <w:numFmt w:val="decimal"/>
      <w:pStyle w:val="6"/>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2CDC45D6"/>
    <w:multiLevelType w:val="multilevel"/>
    <w:tmpl w:val="2CDC45D6"/>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42B7AC5E"/>
    <w:multiLevelType w:val="multilevel"/>
    <w:tmpl w:val="42B7AC5E"/>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4B1D6676"/>
    <w:multiLevelType w:val="multilevel"/>
    <w:tmpl w:val="4B1D6676"/>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64F49EF1"/>
    <w:multiLevelType w:val="singleLevel"/>
    <w:tmpl w:val="64F49EF1"/>
    <w:lvl w:ilvl="0" w:tentative="0">
      <w:start w:val="2"/>
      <w:numFmt w:val="chineseCounting"/>
      <w:suff w:val="nothing"/>
      <w:lvlText w:val="%1、"/>
      <w:lvlJc w:val="left"/>
      <w:rPr>
        <w:rFonts w:hint="eastAsia"/>
      </w:rPr>
    </w:lvl>
  </w:abstractNum>
  <w:num w:numId="1">
    <w:abstractNumId w:val="1"/>
  </w:num>
  <w:num w:numId="2">
    <w:abstractNumId w:val="0"/>
  </w:num>
  <w:num w:numId="3">
    <w:abstractNumId w:val="5"/>
  </w:num>
  <w:num w:numId="4">
    <w:abstractNumId w:val="3"/>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4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3BD7"/>
    <w:rsid w:val="0000407F"/>
    <w:rsid w:val="000046AC"/>
    <w:rsid w:val="00006479"/>
    <w:rsid w:val="00007370"/>
    <w:rsid w:val="0001073A"/>
    <w:rsid w:val="00010B5C"/>
    <w:rsid w:val="000114CE"/>
    <w:rsid w:val="000114CF"/>
    <w:rsid w:val="00012447"/>
    <w:rsid w:val="00012579"/>
    <w:rsid w:val="00012EBC"/>
    <w:rsid w:val="00012FC3"/>
    <w:rsid w:val="0001334A"/>
    <w:rsid w:val="00014602"/>
    <w:rsid w:val="0001520A"/>
    <w:rsid w:val="00015891"/>
    <w:rsid w:val="000169F9"/>
    <w:rsid w:val="0001775B"/>
    <w:rsid w:val="00017BEE"/>
    <w:rsid w:val="00020676"/>
    <w:rsid w:val="00020801"/>
    <w:rsid w:val="00020F9E"/>
    <w:rsid w:val="00021D4E"/>
    <w:rsid w:val="00022F14"/>
    <w:rsid w:val="00023178"/>
    <w:rsid w:val="00024130"/>
    <w:rsid w:val="00025E6A"/>
    <w:rsid w:val="00026877"/>
    <w:rsid w:val="00027A3C"/>
    <w:rsid w:val="00027CFF"/>
    <w:rsid w:val="00030DB5"/>
    <w:rsid w:val="00030E81"/>
    <w:rsid w:val="000310FE"/>
    <w:rsid w:val="00031193"/>
    <w:rsid w:val="00031E2B"/>
    <w:rsid w:val="00032280"/>
    <w:rsid w:val="000325E1"/>
    <w:rsid w:val="00033E2F"/>
    <w:rsid w:val="00034B6F"/>
    <w:rsid w:val="00035A6C"/>
    <w:rsid w:val="00036996"/>
    <w:rsid w:val="0003700E"/>
    <w:rsid w:val="0003797E"/>
    <w:rsid w:val="00040041"/>
    <w:rsid w:val="00041D0F"/>
    <w:rsid w:val="00041FA3"/>
    <w:rsid w:val="000438E1"/>
    <w:rsid w:val="00043E78"/>
    <w:rsid w:val="00044274"/>
    <w:rsid w:val="000459B5"/>
    <w:rsid w:val="00045C96"/>
    <w:rsid w:val="00045EE2"/>
    <w:rsid w:val="00047DF2"/>
    <w:rsid w:val="00050CC8"/>
    <w:rsid w:val="0005166C"/>
    <w:rsid w:val="00051736"/>
    <w:rsid w:val="00051774"/>
    <w:rsid w:val="00052C43"/>
    <w:rsid w:val="00053AD2"/>
    <w:rsid w:val="00054211"/>
    <w:rsid w:val="00055269"/>
    <w:rsid w:val="00055708"/>
    <w:rsid w:val="000558AF"/>
    <w:rsid w:val="0005629D"/>
    <w:rsid w:val="000572E5"/>
    <w:rsid w:val="000574BB"/>
    <w:rsid w:val="00057B3C"/>
    <w:rsid w:val="00057C6A"/>
    <w:rsid w:val="0006044C"/>
    <w:rsid w:val="00060AAB"/>
    <w:rsid w:val="00061877"/>
    <w:rsid w:val="00062C77"/>
    <w:rsid w:val="00062D39"/>
    <w:rsid w:val="00064453"/>
    <w:rsid w:val="00064F1A"/>
    <w:rsid w:val="00065066"/>
    <w:rsid w:val="00065362"/>
    <w:rsid w:val="00065A82"/>
    <w:rsid w:val="00066072"/>
    <w:rsid w:val="0006785D"/>
    <w:rsid w:val="00067B67"/>
    <w:rsid w:val="00071135"/>
    <w:rsid w:val="0007182D"/>
    <w:rsid w:val="00071C2A"/>
    <w:rsid w:val="00072425"/>
    <w:rsid w:val="00073FF7"/>
    <w:rsid w:val="00074378"/>
    <w:rsid w:val="00074D7B"/>
    <w:rsid w:val="00076570"/>
    <w:rsid w:val="000765AF"/>
    <w:rsid w:val="00077067"/>
    <w:rsid w:val="000804A7"/>
    <w:rsid w:val="00080A03"/>
    <w:rsid w:val="00084D5F"/>
    <w:rsid w:val="00085880"/>
    <w:rsid w:val="00085EC0"/>
    <w:rsid w:val="00090ABA"/>
    <w:rsid w:val="00092E35"/>
    <w:rsid w:val="00093340"/>
    <w:rsid w:val="000941F1"/>
    <w:rsid w:val="00094C73"/>
    <w:rsid w:val="000957CD"/>
    <w:rsid w:val="00096127"/>
    <w:rsid w:val="000965C7"/>
    <w:rsid w:val="0009732C"/>
    <w:rsid w:val="00097651"/>
    <w:rsid w:val="000A2678"/>
    <w:rsid w:val="000A29BE"/>
    <w:rsid w:val="000A3119"/>
    <w:rsid w:val="000A3A96"/>
    <w:rsid w:val="000A4CE6"/>
    <w:rsid w:val="000A7CFC"/>
    <w:rsid w:val="000B1842"/>
    <w:rsid w:val="000B2628"/>
    <w:rsid w:val="000B3E1B"/>
    <w:rsid w:val="000B40E6"/>
    <w:rsid w:val="000B504A"/>
    <w:rsid w:val="000B55D0"/>
    <w:rsid w:val="000B575E"/>
    <w:rsid w:val="000B5C73"/>
    <w:rsid w:val="000B6848"/>
    <w:rsid w:val="000B6C54"/>
    <w:rsid w:val="000B75B1"/>
    <w:rsid w:val="000B78AE"/>
    <w:rsid w:val="000C3741"/>
    <w:rsid w:val="000C37FE"/>
    <w:rsid w:val="000C460F"/>
    <w:rsid w:val="000C47A9"/>
    <w:rsid w:val="000C4883"/>
    <w:rsid w:val="000C5831"/>
    <w:rsid w:val="000C587D"/>
    <w:rsid w:val="000C5C75"/>
    <w:rsid w:val="000C60CB"/>
    <w:rsid w:val="000C6718"/>
    <w:rsid w:val="000C741E"/>
    <w:rsid w:val="000D03C9"/>
    <w:rsid w:val="000D1903"/>
    <w:rsid w:val="000D25B1"/>
    <w:rsid w:val="000D2F1B"/>
    <w:rsid w:val="000D2FF7"/>
    <w:rsid w:val="000D3E9E"/>
    <w:rsid w:val="000D4C7F"/>
    <w:rsid w:val="000D519D"/>
    <w:rsid w:val="000D6C0F"/>
    <w:rsid w:val="000E01C6"/>
    <w:rsid w:val="000E0978"/>
    <w:rsid w:val="000E157A"/>
    <w:rsid w:val="000E1629"/>
    <w:rsid w:val="000E1EE9"/>
    <w:rsid w:val="000E1F26"/>
    <w:rsid w:val="000E2248"/>
    <w:rsid w:val="000E25FD"/>
    <w:rsid w:val="000E32A8"/>
    <w:rsid w:val="000E3A24"/>
    <w:rsid w:val="000E6588"/>
    <w:rsid w:val="000E7DBB"/>
    <w:rsid w:val="000F09AF"/>
    <w:rsid w:val="000F0D64"/>
    <w:rsid w:val="000F1F26"/>
    <w:rsid w:val="000F2AAD"/>
    <w:rsid w:val="000F31CF"/>
    <w:rsid w:val="000F47CE"/>
    <w:rsid w:val="000F5377"/>
    <w:rsid w:val="000F55B7"/>
    <w:rsid w:val="000F5BBD"/>
    <w:rsid w:val="000F5D40"/>
    <w:rsid w:val="000F665A"/>
    <w:rsid w:val="000F7174"/>
    <w:rsid w:val="000F7941"/>
    <w:rsid w:val="000F79DE"/>
    <w:rsid w:val="001003F0"/>
    <w:rsid w:val="0010098C"/>
    <w:rsid w:val="00100E4C"/>
    <w:rsid w:val="00101341"/>
    <w:rsid w:val="00101D03"/>
    <w:rsid w:val="00101F5D"/>
    <w:rsid w:val="00102403"/>
    <w:rsid w:val="001024AA"/>
    <w:rsid w:val="00102D01"/>
    <w:rsid w:val="00103865"/>
    <w:rsid w:val="00104A59"/>
    <w:rsid w:val="00105F12"/>
    <w:rsid w:val="00106018"/>
    <w:rsid w:val="001070C4"/>
    <w:rsid w:val="001078DB"/>
    <w:rsid w:val="00110547"/>
    <w:rsid w:val="001107C6"/>
    <w:rsid w:val="00110AE7"/>
    <w:rsid w:val="00111B51"/>
    <w:rsid w:val="001144F7"/>
    <w:rsid w:val="0011645E"/>
    <w:rsid w:val="00116AC0"/>
    <w:rsid w:val="00117084"/>
    <w:rsid w:val="00117CA4"/>
    <w:rsid w:val="0012048B"/>
    <w:rsid w:val="00121040"/>
    <w:rsid w:val="00124DE1"/>
    <w:rsid w:val="00125768"/>
    <w:rsid w:val="00126439"/>
    <w:rsid w:val="001266CC"/>
    <w:rsid w:val="00126C29"/>
    <w:rsid w:val="00130CAF"/>
    <w:rsid w:val="00130ED6"/>
    <w:rsid w:val="00132A2E"/>
    <w:rsid w:val="001330A8"/>
    <w:rsid w:val="001333EF"/>
    <w:rsid w:val="001345C3"/>
    <w:rsid w:val="00136919"/>
    <w:rsid w:val="0013796A"/>
    <w:rsid w:val="00140466"/>
    <w:rsid w:val="00142B06"/>
    <w:rsid w:val="0014310B"/>
    <w:rsid w:val="00143148"/>
    <w:rsid w:val="0014555E"/>
    <w:rsid w:val="00145989"/>
    <w:rsid w:val="00145E97"/>
    <w:rsid w:val="00146158"/>
    <w:rsid w:val="001475CB"/>
    <w:rsid w:val="001502BC"/>
    <w:rsid w:val="00150D1E"/>
    <w:rsid w:val="00150D46"/>
    <w:rsid w:val="00150EE4"/>
    <w:rsid w:val="00152D27"/>
    <w:rsid w:val="00153628"/>
    <w:rsid w:val="001540BA"/>
    <w:rsid w:val="00155AFA"/>
    <w:rsid w:val="001566F2"/>
    <w:rsid w:val="00157447"/>
    <w:rsid w:val="00157BA2"/>
    <w:rsid w:val="00157C26"/>
    <w:rsid w:val="00160B84"/>
    <w:rsid w:val="00161017"/>
    <w:rsid w:val="001613DD"/>
    <w:rsid w:val="001621D4"/>
    <w:rsid w:val="001632A6"/>
    <w:rsid w:val="00163EB2"/>
    <w:rsid w:val="00164AA0"/>
    <w:rsid w:val="00164DDA"/>
    <w:rsid w:val="00165007"/>
    <w:rsid w:val="001655BB"/>
    <w:rsid w:val="001656CC"/>
    <w:rsid w:val="001662B7"/>
    <w:rsid w:val="001663C7"/>
    <w:rsid w:val="00166D5B"/>
    <w:rsid w:val="0016712C"/>
    <w:rsid w:val="00167CCA"/>
    <w:rsid w:val="00170101"/>
    <w:rsid w:val="0017021A"/>
    <w:rsid w:val="00170703"/>
    <w:rsid w:val="00170DDC"/>
    <w:rsid w:val="0017118D"/>
    <w:rsid w:val="001712CC"/>
    <w:rsid w:val="00171AF6"/>
    <w:rsid w:val="001725FD"/>
    <w:rsid w:val="00172A27"/>
    <w:rsid w:val="00172F22"/>
    <w:rsid w:val="001735C7"/>
    <w:rsid w:val="00174784"/>
    <w:rsid w:val="001747BE"/>
    <w:rsid w:val="001763B3"/>
    <w:rsid w:val="001772C1"/>
    <w:rsid w:val="00177F6F"/>
    <w:rsid w:val="00181A44"/>
    <w:rsid w:val="00181A50"/>
    <w:rsid w:val="00182310"/>
    <w:rsid w:val="00182D78"/>
    <w:rsid w:val="00183235"/>
    <w:rsid w:val="00183978"/>
    <w:rsid w:val="00183AEF"/>
    <w:rsid w:val="00184D3D"/>
    <w:rsid w:val="00184E31"/>
    <w:rsid w:val="00187FD8"/>
    <w:rsid w:val="00190C4E"/>
    <w:rsid w:val="00191584"/>
    <w:rsid w:val="001916C6"/>
    <w:rsid w:val="00193798"/>
    <w:rsid w:val="00193B8A"/>
    <w:rsid w:val="00193E13"/>
    <w:rsid w:val="00194E2F"/>
    <w:rsid w:val="00195094"/>
    <w:rsid w:val="00195167"/>
    <w:rsid w:val="00195A86"/>
    <w:rsid w:val="001965A7"/>
    <w:rsid w:val="001969F2"/>
    <w:rsid w:val="00196D70"/>
    <w:rsid w:val="00197580"/>
    <w:rsid w:val="001A01B6"/>
    <w:rsid w:val="001A1D09"/>
    <w:rsid w:val="001A25AA"/>
    <w:rsid w:val="001A25C8"/>
    <w:rsid w:val="001A3FFB"/>
    <w:rsid w:val="001A4D48"/>
    <w:rsid w:val="001A5A88"/>
    <w:rsid w:val="001A5DA8"/>
    <w:rsid w:val="001A6AB8"/>
    <w:rsid w:val="001A78EC"/>
    <w:rsid w:val="001B045F"/>
    <w:rsid w:val="001B0589"/>
    <w:rsid w:val="001B0E53"/>
    <w:rsid w:val="001B0ED0"/>
    <w:rsid w:val="001B20DE"/>
    <w:rsid w:val="001B2A98"/>
    <w:rsid w:val="001B2CF6"/>
    <w:rsid w:val="001B3C59"/>
    <w:rsid w:val="001B3E88"/>
    <w:rsid w:val="001B5FB1"/>
    <w:rsid w:val="001B68FB"/>
    <w:rsid w:val="001B6FB1"/>
    <w:rsid w:val="001B7852"/>
    <w:rsid w:val="001C11F4"/>
    <w:rsid w:val="001C18CF"/>
    <w:rsid w:val="001C1AF2"/>
    <w:rsid w:val="001C39AF"/>
    <w:rsid w:val="001C5968"/>
    <w:rsid w:val="001C60EB"/>
    <w:rsid w:val="001C787A"/>
    <w:rsid w:val="001D0B2F"/>
    <w:rsid w:val="001D0F0B"/>
    <w:rsid w:val="001D273B"/>
    <w:rsid w:val="001D2BC7"/>
    <w:rsid w:val="001D37E3"/>
    <w:rsid w:val="001D43A8"/>
    <w:rsid w:val="001D4791"/>
    <w:rsid w:val="001D584D"/>
    <w:rsid w:val="001E1578"/>
    <w:rsid w:val="001E1686"/>
    <w:rsid w:val="001E2199"/>
    <w:rsid w:val="001E2316"/>
    <w:rsid w:val="001E27B1"/>
    <w:rsid w:val="001E2F91"/>
    <w:rsid w:val="001E309E"/>
    <w:rsid w:val="001E39FB"/>
    <w:rsid w:val="001E3A76"/>
    <w:rsid w:val="001E509F"/>
    <w:rsid w:val="001E57A3"/>
    <w:rsid w:val="001E5818"/>
    <w:rsid w:val="001E6A29"/>
    <w:rsid w:val="001E7AE0"/>
    <w:rsid w:val="001E7C22"/>
    <w:rsid w:val="001F01E8"/>
    <w:rsid w:val="001F0BF3"/>
    <w:rsid w:val="001F21F0"/>
    <w:rsid w:val="001F2717"/>
    <w:rsid w:val="001F3E40"/>
    <w:rsid w:val="001F3F3F"/>
    <w:rsid w:val="001F44F4"/>
    <w:rsid w:val="001F464D"/>
    <w:rsid w:val="001F5858"/>
    <w:rsid w:val="001F627F"/>
    <w:rsid w:val="001F7D64"/>
    <w:rsid w:val="00201740"/>
    <w:rsid w:val="00202AFC"/>
    <w:rsid w:val="00203DAA"/>
    <w:rsid w:val="00204379"/>
    <w:rsid w:val="00204748"/>
    <w:rsid w:val="002048D6"/>
    <w:rsid w:val="00205352"/>
    <w:rsid w:val="002053B5"/>
    <w:rsid w:val="00205919"/>
    <w:rsid w:val="00206B67"/>
    <w:rsid w:val="00206C9F"/>
    <w:rsid w:val="002102BE"/>
    <w:rsid w:val="00210B1B"/>
    <w:rsid w:val="00210DE3"/>
    <w:rsid w:val="00211045"/>
    <w:rsid w:val="00212052"/>
    <w:rsid w:val="0021237D"/>
    <w:rsid w:val="002126B6"/>
    <w:rsid w:val="00212ED2"/>
    <w:rsid w:val="002143CB"/>
    <w:rsid w:val="00214D3C"/>
    <w:rsid w:val="00214FEB"/>
    <w:rsid w:val="00216BB7"/>
    <w:rsid w:val="00217173"/>
    <w:rsid w:val="00217560"/>
    <w:rsid w:val="00220CFB"/>
    <w:rsid w:val="0022121A"/>
    <w:rsid w:val="00221A49"/>
    <w:rsid w:val="002225D5"/>
    <w:rsid w:val="002225F6"/>
    <w:rsid w:val="00223964"/>
    <w:rsid w:val="002242FA"/>
    <w:rsid w:val="00225014"/>
    <w:rsid w:val="00225666"/>
    <w:rsid w:val="00225E4F"/>
    <w:rsid w:val="00226B5C"/>
    <w:rsid w:val="00226DAF"/>
    <w:rsid w:val="00227BFF"/>
    <w:rsid w:val="00227F07"/>
    <w:rsid w:val="00230467"/>
    <w:rsid w:val="00230BB3"/>
    <w:rsid w:val="00231503"/>
    <w:rsid w:val="002315A6"/>
    <w:rsid w:val="00231D77"/>
    <w:rsid w:val="00232CAA"/>
    <w:rsid w:val="002335EA"/>
    <w:rsid w:val="0023377A"/>
    <w:rsid w:val="002340E8"/>
    <w:rsid w:val="00235211"/>
    <w:rsid w:val="00235D8A"/>
    <w:rsid w:val="00237186"/>
    <w:rsid w:val="00237361"/>
    <w:rsid w:val="002378EC"/>
    <w:rsid w:val="00237EE5"/>
    <w:rsid w:val="002405D3"/>
    <w:rsid w:val="00240C9B"/>
    <w:rsid w:val="00242080"/>
    <w:rsid w:val="00242235"/>
    <w:rsid w:val="00242E6A"/>
    <w:rsid w:val="00243E14"/>
    <w:rsid w:val="00244534"/>
    <w:rsid w:val="0024503F"/>
    <w:rsid w:val="002450D1"/>
    <w:rsid w:val="0024679B"/>
    <w:rsid w:val="00247559"/>
    <w:rsid w:val="00250A45"/>
    <w:rsid w:val="00251C48"/>
    <w:rsid w:val="0025247A"/>
    <w:rsid w:val="00253721"/>
    <w:rsid w:val="002547BE"/>
    <w:rsid w:val="00255253"/>
    <w:rsid w:val="002562F5"/>
    <w:rsid w:val="002571E6"/>
    <w:rsid w:val="0026011F"/>
    <w:rsid w:val="00260977"/>
    <w:rsid w:val="002629DD"/>
    <w:rsid w:val="0026507F"/>
    <w:rsid w:val="00265095"/>
    <w:rsid w:val="0027040C"/>
    <w:rsid w:val="00270464"/>
    <w:rsid w:val="0027204E"/>
    <w:rsid w:val="00272542"/>
    <w:rsid w:val="00273787"/>
    <w:rsid w:val="00274A62"/>
    <w:rsid w:val="00274D87"/>
    <w:rsid w:val="00276367"/>
    <w:rsid w:val="00277580"/>
    <w:rsid w:val="00277C34"/>
    <w:rsid w:val="002803A1"/>
    <w:rsid w:val="00282451"/>
    <w:rsid w:val="00282FB2"/>
    <w:rsid w:val="00283516"/>
    <w:rsid w:val="0028576A"/>
    <w:rsid w:val="002858BB"/>
    <w:rsid w:val="00291E79"/>
    <w:rsid w:val="00292964"/>
    <w:rsid w:val="00293231"/>
    <w:rsid w:val="002932D1"/>
    <w:rsid w:val="002935D3"/>
    <w:rsid w:val="00294556"/>
    <w:rsid w:val="00294EB9"/>
    <w:rsid w:val="002959EC"/>
    <w:rsid w:val="00295D58"/>
    <w:rsid w:val="002968CF"/>
    <w:rsid w:val="0029695C"/>
    <w:rsid w:val="00296EF4"/>
    <w:rsid w:val="002972C0"/>
    <w:rsid w:val="002979DD"/>
    <w:rsid w:val="002A067E"/>
    <w:rsid w:val="002A14AF"/>
    <w:rsid w:val="002A3063"/>
    <w:rsid w:val="002A311A"/>
    <w:rsid w:val="002A3506"/>
    <w:rsid w:val="002A3CBC"/>
    <w:rsid w:val="002A5106"/>
    <w:rsid w:val="002A565F"/>
    <w:rsid w:val="002A5CCC"/>
    <w:rsid w:val="002A64AF"/>
    <w:rsid w:val="002A6C3D"/>
    <w:rsid w:val="002A7E11"/>
    <w:rsid w:val="002B11C3"/>
    <w:rsid w:val="002B1BA2"/>
    <w:rsid w:val="002B2768"/>
    <w:rsid w:val="002B2FEC"/>
    <w:rsid w:val="002B3E2B"/>
    <w:rsid w:val="002B3E5C"/>
    <w:rsid w:val="002B4E83"/>
    <w:rsid w:val="002B5D76"/>
    <w:rsid w:val="002B6BA6"/>
    <w:rsid w:val="002B6F01"/>
    <w:rsid w:val="002C076E"/>
    <w:rsid w:val="002C10A2"/>
    <w:rsid w:val="002C143C"/>
    <w:rsid w:val="002C1912"/>
    <w:rsid w:val="002C1B38"/>
    <w:rsid w:val="002C245F"/>
    <w:rsid w:val="002C2BBB"/>
    <w:rsid w:val="002C357E"/>
    <w:rsid w:val="002C3E9F"/>
    <w:rsid w:val="002C3EAE"/>
    <w:rsid w:val="002C3F11"/>
    <w:rsid w:val="002C40FF"/>
    <w:rsid w:val="002C44E9"/>
    <w:rsid w:val="002C477A"/>
    <w:rsid w:val="002C5CB1"/>
    <w:rsid w:val="002C5E13"/>
    <w:rsid w:val="002C5E97"/>
    <w:rsid w:val="002C5EBF"/>
    <w:rsid w:val="002C7CAD"/>
    <w:rsid w:val="002D03C0"/>
    <w:rsid w:val="002D0896"/>
    <w:rsid w:val="002D10B5"/>
    <w:rsid w:val="002D1786"/>
    <w:rsid w:val="002D3048"/>
    <w:rsid w:val="002D3294"/>
    <w:rsid w:val="002D47F3"/>
    <w:rsid w:val="002D5FFD"/>
    <w:rsid w:val="002D7383"/>
    <w:rsid w:val="002E03E2"/>
    <w:rsid w:val="002E07ED"/>
    <w:rsid w:val="002E3A71"/>
    <w:rsid w:val="002E4C92"/>
    <w:rsid w:val="002E4FDC"/>
    <w:rsid w:val="002E549E"/>
    <w:rsid w:val="002E5791"/>
    <w:rsid w:val="002E62A7"/>
    <w:rsid w:val="002E64B2"/>
    <w:rsid w:val="002E66CF"/>
    <w:rsid w:val="002E68EC"/>
    <w:rsid w:val="002F0F07"/>
    <w:rsid w:val="002F1714"/>
    <w:rsid w:val="002F3B32"/>
    <w:rsid w:val="002F4178"/>
    <w:rsid w:val="002F41F8"/>
    <w:rsid w:val="002F6F89"/>
    <w:rsid w:val="002F7560"/>
    <w:rsid w:val="003016B5"/>
    <w:rsid w:val="00302500"/>
    <w:rsid w:val="00302711"/>
    <w:rsid w:val="0030392B"/>
    <w:rsid w:val="00304728"/>
    <w:rsid w:val="003047BC"/>
    <w:rsid w:val="00304EE6"/>
    <w:rsid w:val="003052FD"/>
    <w:rsid w:val="00305807"/>
    <w:rsid w:val="00306D72"/>
    <w:rsid w:val="00306DD9"/>
    <w:rsid w:val="00306E8F"/>
    <w:rsid w:val="003079BD"/>
    <w:rsid w:val="003079E4"/>
    <w:rsid w:val="00307CC0"/>
    <w:rsid w:val="0031093B"/>
    <w:rsid w:val="00312365"/>
    <w:rsid w:val="0031267B"/>
    <w:rsid w:val="00313747"/>
    <w:rsid w:val="003140F3"/>
    <w:rsid w:val="003153A6"/>
    <w:rsid w:val="00316590"/>
    <w:rsid w:val="00316B96"/>
    <w:rsid w:val="003171CE"/>
    <w:rsid w:val="0032012F"/>
    <w:rsid w:val="00320747"/>
    <w:rsid w:val="003210E3"/>
    <w:rsid w:val="00322408"/>
    <w:rsid w:val="00322663"/>
    <w:rsid w:val="003232CA"/>
    <w:rsid w:val="003232CD"/>
    <w:rsid w:val="003241E3"/>
    <w:rsid w:val="00324345"/>
    <w:rsid w:val="00325133"/>
    <w:rsid w:val="00325EA2"/>
    <w:rsid w:val="003264E3"/>
    <w:rsid w:val="00326C09"/>
    <w:rsid w:val="00326DBE"/>
    <w:rsid w:val="00327EC1"/>
    <w:rsid w:val="003309CC"/>
    <w:rsid w:val="00330ACE"/>
    <w:rsid w:val="00331BE2"/>
    <w:rsid w:val="00332DED"/>
    <w:rsid w:val="003337C2"/>
    <w:rsid w:val="00333ED6"/>
    <w:rsid w:val="0033444D"/>
    <w:rsid w:val="0033509F"/>
    <w:rsid w:val="00341716"/>
    <w:rsid w:val="00341D06"/>
    <w:rsid w:val="00342644"/>
    <w:rsid w:val="00343044"/>
    <w:rsid w:val="00343788"/>
    <w:rsid w:val="00343CEA"/>
    <w:rsid w:val="003442F4"/>
    <w:rsid w:val="0034476F"/>
    <w:rsid w:val="003449A1"/>
    <w:rsid w:val="00344C67"/>
    <w:rsid w:val="00346CEF"/>
    <w:rsid w:val="00346FCC"/>
    <w:rsid w:val="00347BE6"/>
    <w:rsid w:val="00350356"/>
    <w:rsid w:val="003504FE"/>
    <w:rsid w:val="00350E13"/>
    <w:rsid w:val="00352463"/>
    <w:rsid w:val="00352801"/>
    <w:rsid w:val="0035322E"/>
    <w:rsid w:val="00353427"/>
    <w:rsid w:val="00354ADC"/>
    <w:rsid w:val="00354EF9"/>
    <w:rsid w:val="00354F38"/>
    <w:rsid w:val="00355CFF"/>
    <w:rsid w:val="003563F3"/>
    <w:rsid w:val="00356CF5"/>
    <w:rsid w:val="00357217"/>
    <w:rsid w:val="003573E8"/>
    <w:rsid w:val="003603C8"/>
    <w:rsid w:val="003604DE"/>
    <w:rsid w:val="0036055A"/>
    <w:rsid w:val="00362FEA"/>
    <w:rsid w:val="0036319C"/>
    <w:rsid w:val="003636F6"/>
    <w:rsid w:val="003641CF"/>
    <w:rsid w:val="0036450B"/>
    <w:rsid w:val="00364B7C"/>
    <w:rsid w:val="00365895"/>
    <w:rsid w:val="0036590F"/>
    <w:rsid w:val="003668F9"/>
    <w:rsid w:val="00367213"/>
    <w:rsid w:val="003673D3"/>
    <w:rsid w:val="003675D2"/>
    <w:rsid w:val="00367ABC"/>
    <w:rsid w:val="00367B48"/>
    <w:rsid w:val="00370631"/>
    <w:rsid w:val="00370A2E"/>
    <w:rsid w:val="00371073"/>
    <w:rsid w:val="00371B9E"/>
    <w:rsid w:val="0037202A"/>
    <w:rsid w:val="00372798"/>
    <w:rsid w:val="00373B68"/>
    <w:rsid w:val="00374413"/>
    <w:rsid w:val="003773A7"/>
    <w:rsid w:val="00380C0A"/>
    <w:rsid w:val="003839BD"/>
    <w:rsid w:val="00385FBB"/>
    <w:rsid w:val="00386526"/>
    <w:rsid w:val="00387150"/>
    <w:rsid w:val="00387B54"/>
    <w:rsid w:val="00387C2A"/>
    <w:rsid w:val="003933A4"/>
    <w:rsid w:val="00393EF7"/>
    <w:rsid w:val="00395436"/>
    <w:rsid w:val="0039578F"/>
    <w:rsid w:val="00395BA7"/>
    <w:rsid w:val="003964A1"/>
    <w:rsid w:val="0039735E"/>
    <w:rsid w:val="00397533"/>
    <w:rsid w:val="00397FC5"/>
    <w:rsid w:val="003A06EB"/>
    <w:rsid w:val="003A0759"/>
    <w:rsid w:val="003A14F2"/>
    <w:rsid w:val="003A2CB6"/>
    <w:rsid w:val="003A2CBB"/>
    <w:rsid w:val="003A3E9B"/>
    <w:rsid w:val="003A41F8"/>
    <w:rsid w:val="003A5460"/>
    <w:rsid w:val="003A5D2C"/>
    <w:rsid w:val="003A7431"/>
    <w:rsid w:val="003A7D18"/>
    <w:rsid w:val="003B0FA7"/>
    <w:rsid w:val="003B11CA"/>
    <w:rsid w:val="003B134E"/>
    <w:rsid w:val="003B1AEE"/>
    <w:rsid w:val="003B1C1F"/>
    <w:rsid w:val="003B28C2"/>
    <w:rsid w:val="003B2F96"/>
    <w:rsid w:val="003B31A6"/>
    <w:rsid w:val="003B357D"/>
    <w:rsid w:val="003B386B"/>
    <w:rsid w:val="003B4019"/>
    <w:rsid w:val="003B4C6F"/>
    <w:rsid w:val="003B51F5"/>
    <w:rsid w:val="003B51F8"/>
    <w:rsid w:val="003B5A24"/>
    <w:rsid w:val="003B659C"/>
    <w:rsid w:val="003B7865"/>
    <w:rsid w:val="003C01CA"/>
    <w:rsid w:val="003C067F"/>
    <w:rsid w:val="003C1CBC"/>
    <w:rsid w:val="003C1E84"/>
    <w:rsid w:val="003C26D7"/>
    <w:rsid w:val="003C293B"/>
    <w:rsid w:val="003C3603"/>
    <w:rsid w:val="003C4DEA"/>
    <w:rsid w:val="003C5342"/>
    <w:rsid w:val="003C6699"/>
    <w:rsid w:val="003C7359"/>
    <w:rsid w:val="003C746E"/>
    <w:rsid w:val="003C77EB"/>
    <w:rsid w:val="003D1E07"/>
    <w:rsid w:val="003D2811"/>
    <w:rsid w:val="003D2850"/>
    <w:rsid w:val="003D306E"/>
    <w:rsid w:val="003D3342"/>
    <w:rsid w:val="003D35A2"/>
    <w:rsid w:val="003D3E5C"/>
    <w:rsid w:val="003D481B"/>
    <w:rsid w:val="003D5252"/>
    <w:rsid w:val="003D6E3B"/>
    <w:rsid w:val="003D7DA3"/>
    <w:rsid w:val="003E157B"/>
    <w:rsid w:val="003E23C3"/>
    <w:rsid w:val="003E420E"/>
    <w:rsid w:val="003E432C"/>
    <w:rsid w:val="003E4AC9"/>
    <w:rsid w:val="003E4D6D"/>
    <w:rsid w:val="003E5474"/>
    <w:rsid w:val="003E5479"/>
    <w:rsid w:val="003E68D9"/>
    <w:rsid w:val="003E72D6"/>
    <w:rsid w:val="003E7EBC"/>
    <w:rsid w:val="003F08F0"/>
    <w:rsid w:val="003F0B69"/>
    <w:rsid w:val="003F1386"/>
    <w:rsid w:val="003F15BA"/>
    <w:rsid w:val="003F19B7"/>
    <w:rsid w:val="003F1B5D"/>
    <w:rsid w:val="003F218F"/>
    <w:rsid w:val="003F2989"/>
    <w:rsid w:val="003F2E62"/>
    <w:rsid w:val="003F3600"/>
    <w:rsid w:val="003F3ECE"/>
    <w:rsid w:val="003F3F07"/>
    <w:rsid w:val="003F55C9"/>
    <w:rsid w:val="003F5EB4"/>
    <w:rsid w:val="003F6704"/>
    <w:rsid w:val="003F6BE0"/>
    <w:rsid w:val="003F7B1D"/>
    <w:rsid w:val="003F7DC8"/>
    <w:rsid w:val="00400338"/>
    <w:rsid w:val="00400E1E"/>
    <w:rsid w:val="004010BC"/>
    <w:rsid w:val="00401661"/>
    <w:rsid w:val="00402965"/>
    <w:rsid w:val="00403823"/>
    <w:rsid w:val="004042F9"/>
    <w:rsid w:val="004046C7"/>
    <w:rsid w:val="00405967"/>
    <w:rsid w:val="0040605A"/>
    <w:rsid w:val="00407DE3"/>
    <w:rsid w:val="00410855"/>
    <w:rsid w:val="00411200"/>
    <w:rsid w:val="0041213C"/>
    <w:rsid w:val="0041409C"/>
    <w:rsid w:val="0041426E"/>
    <w:rsid w:val="0041545F"/>
    <w:rsid w:val="00416015"/>
    <w:rsid w:val="00416B34"/>
    <w:rsid w:val="00417DF2"/>
    <w:rsid w:val="00420634"/>
    <w:rsid w:val="0042081F"/>
    <w:rsid w:val="004211C9"/>
    <w:rsid w:val="00421296"/>
    <w:rsid w:val="004223F6"/>
    <w:rsid w:val="004232A0"/>
    <w:rsid w:val="0042563A"/>
    <w:rsid w:val="00425765"/>
    <w:rsid w:val="00426194"/>
    <w:rsid w:val="00427131"/>
    <w:rsid w:val="004277BA"/>
    <w:rsid w:val="00427E22"/>
    <w:rsid w:val="00431295"/>
    <w:rsid w:val="0043176C"/>
    <w:rsid w:val="00431BAB"/>
    <w:rsid w:val="00433638"/>
    <w:rsid w:val="00434010"/>
    <w:rsid w:val="004355DD"/>
    <w:rsid w:val="00441565"/>
    <w:rsid w:val="00442074"/>
    <w:rsid w:val="004422EC"/>
    <w:rsid w:val="0044272F"/>
    <w:rsid w:val="00442B30"/>
    <w:rsid w:val="00442C86"/>
    <w:rsid w:val="00445D9A"/>
    <w:rsid w:val="004469A9"/>
    <w:rsid w:val="00446D05"/>
    <w:rsid w:val="004473FE"/>
    <w:rsid w:val="00450275"/>
    <w:rsid w:val="004502D8"/>
    <w:rsid w:val="00452D8A"/>
    <w:rsid w:val="00453435"/>
    <w:rsid w:val="00453A4B"/>
    <w:rsid w:val="00455AF6"/>
    <w:rsid w:val="00455B3C"/>
    <w:rsid w:val="00456080"/>
    <w:rsid w:val="00457648"/>
    <w:rsid w:val="00460046"/>
    <w:rsid w:val="004608B3"/>
    <w:rsid w:val="00462652"/>
    <w:rsid w:val="00463B75"/>
    <w:rsid w:val="00463D29"/>
    <w:rsid w:val="00464A8D"/>
    <w:rsid w:val="004653D3"/>
    <w:rsid w:val="00465A6B"/>
    <w:rsid w:val="004665C7"/>
    <w:rsid w:val="004667D5"/>
    <w:rsid w:val="00466F63"/>
    <w:rsid w:val="004678B9"/>
    <w:rsid w:val="0047158C"/>
    <w:rsid w:val="00473ED5"/>
    <w:rsid w:val="0047439E"/>
    <w:rsid w:val="00474C99"/>
    <w:rsid w:val="00474D59"/>
    <w:rsid w:val="00475629"/>
    <w:rsid w:val="00475CE0"/>
    <w:rsid w:val="0047604F"/>
    <w:rsid w:val="004775BF"/>
    <w:rsid w:val="00477BC2"/>
    <w:rsid w:val="0048048B"/>
    <w:rsid w:val="00480857"/>
    <w:rsid w:val="00480998"/>
    <w:rsid w:val="00480CB2"/>
    <w:rsid w:val="00480F34"/>
    <w:rsid w:val="004810C9"/>
    <w:rsid w:val="00481899"/>
    <w:rsid w:val="004819B5"/>
    <w:rsid w:val="00481A52"/>
    <w:rsid w:val="00481A6F"/>
    <w:rsid w:val="00481CAD"/>
    <w:rsid w:val="004820A1"/>
    <w:rsid w:val="00482B89"/>
    <w:rsid w:val="00483F4B"/>
    <w:rsid w:val="00483F8A"/>
    <w:rsid w:val="00484415"/>
    <w:rsid w:val="00490624"/>
    <w:rsid w:val="00490A7B"/>
    <w:rsid w:val="004921C2"/>
    <w:rsid w:val="004925C8"/>
    <w:rsid w:val="00492B0C"/>
    <w:rsid w:val="00494993"/>
    <w:rsid w:val="00495BB8"/>
    <w:rsid w:val="00496105"/>
    <w:rsid w:val="004968B7"/>
    <w:rsid w:val="00496AF0"/>
    <w:rsid w:val="004A0E59"/>
    <w:rsid w:val="004A24A6"/>
    <w:rsid w:val="004A2DE8"/>
    <w:rsid w:val="004A3D82"/>
    <w:rsid w:val="004A3FE4"/>
    <w:rsid w:val="004A489C"/>
    <w:rsid w:val="004A79B1"/>
    <w:rsid w:val="004B005F"/>
    <w:rsid w:val="004B154C"/>
    <w:rsid w:val="004B41C6"/>
    <w:rsid w:val="004B759C"/>
    <w:rsid w:val="004B7A1A"/>
    <w:rsid w:val="004C0B2C"/>
    <w:rsid w:val="004C18F8"/>
    <w:rsid w:val="004C285D"/>
    <w:rsid w:val="004C3E5D"/>
    <w:rsid w:val="004C424F"/>
    <w:rsid w:val="004C4640"/>
    <w:rsid w:val="004C4D43"/>
    <w:rsid w:val="004C5352"/>
    <w:rsid w:val="004C5C99"/>
    <w:rsid w:val="004C6118"/>
    <w:rsid w:val="004C635E"/>
    <w:rsid w:val="004C696F"/>
    <w:rsid w:val="004C6BBE"/>
    <w:rsid w:val="004C7688"/>
    <w:rsid w:val="004C78D0"/>
    <w:rsid w:val="004C7DDF"/>
    <w:rsid w:val="004C7FC0"/>
    <w:rsid w:val="004D0196"/>
    <w:rsid w:val="004D0385"/>
    <w:rsid w:val="004D0ABE"/>
    <w:rsid w:val="004D10B9"/>
    <w:rsid w:val="004D1BC3"/>
    <w:rsid w:val="004D2173"/>
    <w:rsid w:val="004D244D"/>
    <w:rsid w:val="004D338F"/>
    <w:rsid w:val="004D3604"/>
    <w:rsid w:val="004D3A12"/>
    <w:rsid w:val="004D42B5"/>
    <w:rsid w:val="004D65EE"/>
    <w:rsid w:val="004D691A"/>
    <w:rsid w:val="004D6C06"/>
    <w:rsid w:val="004D7A3E"/>
    <w:rsid w:val="004D7C80"/>
    <w:rsid w:val="004E05EA"/>
    <w:rsid w:val="004E13AE"/>
    <w:rsid w:val="004E1A2F"/>
    <w:rsid w:val="004E1AC2"/>
    <w:rsid w:val="004E1C0D"/>
    <w:rsid w:val="004E248D"/>
    <w:rsid w:val="004E4DF5"/>
    <w:rsid w:val="004E55ED"/>
    <w:rsid w:val="004E5A54"/>
    <w:rsid w:val="004E5AB9"/>
    <w:rsid w:val="004E641D"/>
    <w:rsid w:val="004E666E"/>
    <w:rsid w:val="004F014A"/>
    <w:rsid w:val="004F04A4"/>
    <w:rsid w:val="004F0E43"/>
    <w:rsid w:val="004F1269"/>
    <w:rsid w:val="004F1478"/>
    <w:rsid w:val="004F148B"/>
    <w:rsid w:val="004F15DF"/>
    <w:rsid w:val="004F1C64"/>
    <w:rsid w:val="004F2288"/>
    <w:rsid w:val="004F25EC"/>
    <w:rsid w:val="004F293E"/>
    <w:rsid w:val="004F2DE7"/>
    <w:rsid w:val="004F3EB8"/>
    <w:rsid w:val="004F3F0F"/>
    <w:rsid w:val="004F49E7"/>
    <w:rsid w:val="004F5086"/>
    <w:rsid w:val="004F5F86"/>
    <w:rsid w:val="004F6E70"/>
    <w:rsid w:val="004F76EF"/>
    <w:rsid w:val="004F790A"/>
    <w:rsid w:val="004F7AAC"/>
    <w:rsid w:val="005002DC"/>
    <w:rsid w:val="00501DC4"/>
    <w:rsid w:val="0050283A"/>
    <w:rsid w:val="00502E5B"/>
    <w:rsid w:val="00502F81"/>
    <w:rsid w:val="00503437"/>
    <w:rsid w:val="00503F1B"/>
    <w:rsid w:val="00504712"/>
    <w:rsid w:val="00504A29"/>
    <w:rsid w:val="00504D67"/>
    <w:rsid w:val="00505A25"/>
    <w:rsid w:val="00505C50"/>
    <w:rsid w:val="005069F0"/>
    <w:rsid w:val="00506A53"/>
    <w:rsid w:val="00510BB7"/>
    <w:rsid w:val="00511929"/>
    <w:rsid w:val="00512A62"/>
    <w:rsid w:val="00513B1C"/>
    <w:rsid w:val="0051448D"/>
    <w:rsid w:val="005144D1"/>
    <w:rsid w:val="005150AE"/>
    <w:rsid w:val="0051588D"/>
    <w:rsid w:val="00515BE8"/>
    <w:rsid w:val="0051644D"/>
    <w:rsid w:val="00516CD3"/>
    <w:rsid w:val="005170B5"/>
    <w:rsid w:val="005171A3"/>
    <w:rsid w:val="005205F6"/>
    <w:rsid w:val="00520A33"/>
    <w:rsid w:val="00521116"/>
    <w:rsid w:val="005224A1"/>
    <w:rsid w:val="00522A86"/>
    <w:rsid w:val="00522CE3"/>
    <w:rsid w:val="00523E7A"/>
    <w:rsid w:val="00524853"/>
    <w:rsid w:val="00524D5F"/>
    <w:rsid w:val="00526134"/>
    <w:rsid w:val="00526451"/>
    <w:rsid w:val="00526A45"/>
    <w:rsid w:val="00532103"/>
    <w:rsid w:val="00532F04"/>
    <w:rsid w:val="00533518"/>
    <w:rsid w:val="005341B3"/>
    <w:rsid w:val="00534DBF"/>
    <w:rsid w:val="00535EA7"/>
    <w:rsid w:val="00536654"/>
    <w:rsid w:val="005371C1"/>
    <w:rsid w:val="00537834"/>
    <w:rsid w:val="005411C1"/>
    <w:rsid w:val="005420A4"/>
    <w:rsid w:val="00542AF9"/>
    <w:rsid w:val="00542CB1"/>
    <w:rsid w:val="00544BE2"/>
    <w:rsid w:val="00545106"/>
    <w:rsid w:val="005454D8"/>
    <w:rsid w:val="00545ACE"/>
    <w:rsid w:val="005467E3"/>
    <w:rsid w:val="00546A69"/>
    <w:rsid w:val="00546CBB"/>
    <w:rsid w:val="005476C8"/>
    <w:rsid w:val="0054774A"/>
    <w:rsid w:val="00551107"/>
    <w:rsid w:val="005518B4"/>
    <w:rsid w:val="00552213"/>
    <w:rsid w:val="00552A8A"/>
    <w:rsid w:val="0055307A"/>
    <w:rsid w:val="00553F8F"/>
    <w:rsid w:val="005546E1"/>
    <w:rsid w:val="00554DD6"/>
    <w:rsid w:val="00556914"/>
    <w:rsid w:val="00556B9C"/>
    <w:rsid w:val="00557654"/>
    <w:rsid w:val="005606E1"/>
    <w:rsid w:val="00560A36"/>
    <w:rsid w:val="00560A79"/>
    <w:rsid w:val="00560F3D"/>
    <w:rsid w:val="005616BD"/>
    <w:rsid w:val="005622DC"/>
    <w:rsid w:val="0056252C"/>
    <w:rsid w:val="005625F7"/>
    <w:rsid w:val="005643E8"/>
    <w:rsid w:val="005644F8"/>
    <w:rsid w:val="00564D6C"/>
    <w:rsid w:val="005654BE"/>
    <w:rsid w:val="00565879"/>
    <w:rsid w:val="00566529"/>
    <w:rsid w:val="00567533"/>
    <w:rsid w:val="00571DBA"/>
    <w:rsid w:val="005723DC"/>
    <w:rsid w:val="005726F3"/>
    <w:rsid w:val="00574DC1"/>
    <w:rsid w:val="00575895"/>
    <w:rsid w:val="00577C3A"/>
    <w:rsid w:val="005802E6"/>
    <w:rsid w:val="00581D03"/>
    <w:rsid w:val="0058256A"/>
    <w:rsid w:val="00582816"/>
    <w:rsid w:val="00583539"/>
    <w:rsid w:val="00584DB3"/>
    <w:rsid w:val="005876EF"/>
    <w:rsid w:val="005878B8"/>
    <w:rsid w:val="005905B4"/>
    <w:rsid w:val="00590773"/>
    <w:rsid w:val="005915D7"/>
    <w:rsid w:val="005917E3"/>
    <w:rsid w:val="00592337"/>
    <w:rsid w:val="005930E6"/>
    <w:rsid w:val="00593C63"/>
    <w:rsid w:val="00594786"/>
    <w:rsid w:val="00594BFF"/>
    <w:rsid w:val="005967A6"/>
    <w:rsid w:val="005967EE"/>
    <w:rsid w:val="005977A9"/>
    <w:rsid w:val="005A0B3D"/>
    <w:rsid w:val="005A1471"/>
    <w:rsid w:val="005A2394"/>
    <w:rsid w:val="005A2822"/>
    <w:rsid w:val="005A3ADA"/>
    <w:rsid w:val="005A4528"/>
    <w:rsid w:val="005A45F6"/>
    <w:rsid w:val="005A4E57"/>
    <w:rsid w:val="005A5140"/>
    <w:rsid w:val="005A6080"/>
    <w:rsid w:val="005A63E9"/>
    <w:rsid w:val="005A6690"/>
    <w:rsid w:val="005A66AD"/>
    <w:rsid w:val="005A68EE"/>
    <w:rsid w:val="005A71F4"/>
    <w:rsid w:val="005B0817"/>
    <w:rsid w:val="005B0D5E"/>
    <w:rsid w:val="005B10DB"/>
    <w:rsid w:val="005B1867"/>
    <w:rsid w:val="005B1CE1"/>
    <w:rsid w:val="005B3E38"/>
    <w:rsid w:val="005B47D1"/>
    <w:rsid w:val="005B5026"/>
    <w:rsid w:val="005B5690"/>
    <w:rsid w:val="005B5B8E"/>
    <w:rsid w:val="005B5CAD"/>
    <w:rsid w:val="005B6045"/>
    <w:rsid w:val="005B6BD8"/>
    <w:rsid w:val="005B7B7A"/>
    <w:rsid w:val="005B7F8C"/>
    <w:rsid w:val="005C0C37"/>
    <w:rsid w:val="005C367E"/>
    <w:rsid w:val="005C3FB6"/>
    <w:rsid w:val="005C4A34"/>
    <w:rsid w:val="005C4CDD"/>
    <w:rsid w:val="005C512B"/>
    <w:rsid w:val="005C613B"/>
    <w:rsid w:val="005C619B"/>
    <w:rsid w:val="005C6E9F"/>
    <w:rsid w:val="005C6EB2"/>
    <w:rsid w:val="005C6F03"/>
    <w:rsid w:val="005C701B"/>
    <w:rsid w:val="005D0515"/>
    <w:rsid w:val="005D0E6E"/>
    <w:rsid w:val="005D131E"/>
    <w:rsid w:val="005D2E87"/>
    <w:rsid w:val="005D4DBD"/>
    <w:rsid w:val="005D515E"/>
    <w:rsid w:val="005D6725"/>
    <w:rsid w:val="005D6D07"/>
    <w:rsid w:val="005D72EC"/>
    <w:rsid w:val="005D7671"/>
    <w:rsid w:val="005D7846"/>
    <w:rsid w:val="005D79BB"/>
    <w:rsid w:val="005E0481"/>
    <w:rsid w:val="005E0795"/>
    <w:rsid w:val="005E0A59"/>
    <w:rsid w:val="005E2553"/>
    <w:rsid w:val="005E30D1"/>
    <w:rsid w:val="005E4137"/>
    <w:rsid w:val="005E4AAD"/>
    <w:rsid w:val="005E4ABE"/>
    <w:rsid w:val="005E4DDB"/>
    <w:rsid w:val="005E5088"/>
    <w:rsid w:val="005E60F5"/>
    <w:rsid w:val="005E7B45"/>
    <w:rsid w:val="005F1172"/>
    <w:rsid w:val="005F163A"/>
    <w:rsid w:val="005F2F4F"/>
    <w:rsid w:val="005F3CFC"/>
    <w:rsid w:val="005F5B90"/>
    <w:rsid w:val="005F6088"/>
    <w:rsid w:val="005F6E77"/>
    <w:rsid w:val="005F77A5"/>
    <w:rsid w:val="00600FF3"/>
    <w:rsid w:val="006020B8"/>
    <w:rsid w:val="00602381"/>
    <w:rsid w:val="006023A2"/>
    <w:rsid w:val="00604625"/>
    <w:rsid w:val="00604F66"/>
    <w:rsid w:val="0060539A"/>
    <w:rsid w:val="0060542B"/>
    <w:rsid w:val="00605AC8"/>
    <w:rsid w:val="00606FCA"/>
    <w:rsid w:val="0060710A"/>
    <w:rsid w:val="00607642"/>
    <w:rsid w:val="0061157C"/>
    <w:rsid w:val="00611BD5"/>
    <w:rsid w:val="00611D13"/>
    <w:rsid w:val="006122CB"/>
    <w:rsid w:val="006124EC"/>
    <w:rsid w:val="006137A4"/>
    <w:rsid w:val="00613885"/>
    <w:rsid w:val="00613D42"/>
    <w:rsid w:val="0061497F"/>
    <w:rsid w:val="00616B49"/>
    <w:rsid w:val="006171F9"/>
    <w:rsid w:val="00617997"/>
    <w:rsid w:val="00617E4F"/>
    <w:rsid w:val="0062136D"/>
    <w:rsid w:val="00622BCB"/>
    <w:rsid w:val="0062313E"/>
    <w:rsid w:val="006234A2"/>
    <w:rsid w:val="006241A6"/>
    <w:rsid w:val="00624B01"/>
    <w:rsid w:val="006253D5"/>
    <w:rsid w:val="0062542D"/>
    <w:rsid w:val="00625F2E"/>
    <w:rsid w:val="00627BCD"/>
    <w:rsid w:val="00627D66"/>
    <w:rsid w:val="00631079"/>
    <w:rsid w:val="006311DA"/>
    <w:rsid w:val="00631DCB"/>
    <w:rsid w:val="00631E35"/>
    <w:rsid w:val="00632425"/>
    <w:rsid w:val="006324C5"/>
    <w:rsid w:val="00632B80"/>
    <w:rsid w:val="00634EB6"/>
    <w:rsid w:val="0063533C"/>
    <w:rsid w:val="0063560C"/>
    <w:rsid w:val="00636593"/>
    <w:rsid w:val="00637CB2"/>
    <w:rsid w:val="00640A40"/>
    <w:rsid w:val="00641AC2"/>
    <w:rsid w:val="00641B22"/>
    <w:rsid w:val="00642353"/>
    <w:rsid w:val="00643E26"/>
    <w:rsid w:val="00644C53"/>
    <w:rsid w:val="006454A6"/>
    <w:rsid w:val="006460DA"/>
    <w:rsid w:val="00646A98"/>
    <w:rsid w:val="0064712A"/>
    <w:rsid w:val="006471BB"/>
    <w:rsid w:val="00650D4C"/>
    <w:rsid w:val="00651518"/>
    <w:rsid w:val="00651589"/>
    <w:rsid w:val="0065182B"/>
    <w:rsid w:val="00651BA8"/>
    <w:rsid w:val="0065339E"/>
    <w:rsid w:val="00653AA3"/>
    <w:rsid w:val="00653E9A"/>
    <w:rsid w:val="00655257"/>
    <w:rsid w:val="00655BFA"/>
    <w:rsid w:val="00656B4B"/>
    <w:rsid w:val="00661B07"/>
    <w:rsid w:val="006625A5"/>
    <w:rsid w:val="00663DF6"/>
    <w:rsid w:val="0066445B"/>
    <w:rsid w:val="006646D8"/>
    <w:rsid w:val="0066485B"/>
    <w:rsid w:val="00664A68"/>
    <w:rsid w:val="00665C3D"/>
    <w:rsid w:val="006660FE"/>
    <w:rsid w:val="00666304"/>
    <w:rsid w:val="00670B47"/>
    <w:rsid w:val="006716EA"/>
    <w:rsid w:val="00671DFD"/>
    <w:rsid w:val="00671EC4"/>
    <w:rsid w:val="006729B0"/>
    <w:rsid w:val="00673C8C"/>
    <w:rsid w:val="00674747"/>
    <w:rsid w:val="0067535B"/>
    <w:rsid w:val="00676D52"/>
    <w:rsid w:val="006773E9"/>
    <w:rsid w:val="006811F9"/>
    <w:rsid w:val="00682AD7"/>
    <w:rsid w:val="006839CB"/>
    <w:rsid w:val="00684614"/>
    <w:rsid w:val="00684F77"/>
    <w:rsid w:val="006858D2"/>
    <w:rsid w:val="00686915"/>
    <w:rsid w:val="00686F4F"/>
    <w:rsid w:val="00686FEB"/>
    <w:rsid w:val="006873A5"/>
    <w:rsid w:val="006902DA"/>
    <w:rsid w:val="006904D5"/>
    <w:rsid w:val="00690FD0"/>
    <w:rsid w:val="0069199E"/>
    <w:rsid w:val="00692BF2"/>
    <w:rsid w:val="0069387D"/>
    <w:rsid w:val="00693A7B"/>
    <w:rsid w:val="00693F70"/>
    <w:rsid w:val="006941E8"/>
    <w:rsid w:val="0069435B"/>
    <w:rsid w:val="006943DE"/>
    <w:rsid w:val="00695EC0"/>
    <w:rsid w:val="00697F33"/>
    <w:rsid w:val="006A02F8"/>
    <w:rsid w:val="006A0333"/>
    <w:rsid w:val="006A0435"/>
    <w:rsid w:val="006A144C"/>
    <w:rsid w:val="006A19C9"/>
    <w:rsid w:val="006A200A"/>
    <w:rsid w:val="006A21EA"/>
    <w:rsid w:val="006A27F6"/>
    <w:rsid w:val="006A2CFB"/>
    <w:rsid w:val="006A3181"/>
    <w:rsid w:val="006A3524"/>
    <w:rsid w:val="006A475C"/>
    <w:rsid w:val="006A4AD6"/>
    <w:rsid w:val="006A53B8"/>
    <w:rsid w:val="006A6157"/>
    <w:rsid w:val="006A768F"/>
    <w:rsid w:val="006A77D9"/>
    <w:rsid w:val="006B03F2"/>
    <w:rsid w:val="006B0E24"/>
    <w:rsid w:val="006B1614"/>
    <w:rsid w:val="006B17ED"/>
    <w:rsid w:val="006B2C52"/>
    <w:rsid w:val="006B2CC2"/>
    <w:rsid w:val="006B3DA0"/>
    <w:rsid w:val="006B42CD"/>
    <w:rsid w:val="006B53D3"/>
    <w:rsid w:val="006B5A26"/>
    <w:rsid w:val="006B5DB1"/>
    <w:rsid w:val="006B5DCA"/>
    <w:rsid w:val="006B67DB"/>
    <w:rsid w:val="006B6921"/>
    <w:rsid w:val="006B77CE"/>
    <w:rsid w:val="006B7912"/>
    <w:rsid w:val="006C062B"/>
    <w:rsid w:val="006C20D9"/>
    <w:rsid w:val="006C2F87"/>
    <w:rsid w:val="006C2FBC"/>
    <w:rsid w:val="006C3E82"/>
    <w:rsid w:val="006C675A"/>
    <w:rsid w:val="006C6A41"/>
    <w:rsid w:val="006C7041"/>
    <w:rsid w:val="006C77EC"/>
    <w:rsid w:val="006C79DA"/>
    <w:rsid w:val="006D0283"/>
    <w:rsid w:val="006D2A51"/>
    <w:rsid w:val="006D33C0"/>
    <w:rsid w:val="006D385A"/>
    <w:rsid w:val="006D4A88"/>
    <w:rsid w:val="006D4E91"/>
    <w:rsid w:val="006D4F4A"/>
    <w:rsid w:val="006D5AC9"/>
    <w:rsid w:val="006D5EB4"/>
    <w:rsid w:val="006D6742"/>
    <w:rsid w:val="006D6F17"/>
    <w:rsid w:val="006D70DA"/>
    <w:rsid w:val="006D7269"/>
    <w:rsid w:val="006D7C1C"/>
    <w:rsid w:val="006E01E1"/>
    <w:rsid w:val="006E0B5D"/>
    <w:rsid w:val="006E0DA9"/>
    <w:rsid w:val="006E11AE"/>
    <w:rsid w:val="006E1442"/>
    <w:rsid w:val="006E2543"/>
    <w:rsid w:val="006E2868"/>
    <w:rsid w:val="006E2B55"/>
    <w:rsid w:val="006E30CC"/>
    <w:rsid w:val="006E4198"/>
    <w:rsid w:val="006E4425"/>
    <w:rsid w:val="006E4BFC"/>
    <w:rsid w:val="006E51E2"/>
    <w:rsid w:val="006E56F7"/>
    <w:rsid w:val="006E5A01"/>
    <w:rsid w:val="006E5BB6"/>
    <w:rsid w:val="006F0ADD"/>
    <w:rsid w:val="006F0F42"/>
    <w:rsid w:val="006F17C3"/>
    <w:rsid w:val="006F1CCA"/>
    <w:rsid w:val="006F63A0"/>
    <w:rsid w:val="006F6A32"/>
    <w:rsid w:val="006F6FAD"/>
    <w:rsid w:val="006F764F"/>
    <w:rsid w:val="006F79CB"/>
    <w:rsid w:val="006F7E8A"/>
    <w:rsid w:val="00700546"/>
    <w:rsid w:val="00701DC6"/>
    <w:rsid w:val="00702818"/>
    <w:rsid w:val="007050BF"/>
    <w:rsid w:val="00707062"/>
    <w:rsid w:val="007079FC"/>
    <w:rsid w:val="00707FC5"/>
    <w:rsid w:val="0071044A"/>
    <w:rsid w:val="00710D9B"/>
    <w:rsid w:val="007124A3"/>
    <w:rsid w:val="00712D65"/>
    <w:rsid w:val="00713CD3"/>
    <w:rsid w:val="00714B8A"/>
    <w:rsid w:val="00715A52"/>
    <w:rsid w:val="00716D52"/>
    <w:rsid w:val="00717BBD"/>
    <w:rsid w:val="00721189"/>
    <w:rsid w:val="00721974"/>
    <w:rsid w:val="007224C5"/>
    <w:rsid w:val="00722C09"/>
    <w:rsid w:val="0072444D"/>
    <w:rsid w:val="0072490B"/>
    <w:rsid w:val="0072545F"/>
    <w:rsid w:val="00725469"/>
    <w:rsid w:val="00725715"/>
    <w:rsid w:val="00727040"/>
    <w:rsid w:val="00727B78"/>
    <w:rsid w:val="00727FC5"/>
    <w:rsid w:val="007301B8"/>
    <w:rsid w:val="00730985"/>
    <w:rsid w:val="00731944"/>
    <w:rsid w:val="00732B90"/>
    <w:rsid w:val="00732F31"/>
    <w:rsid w:val="007345F6"/>
    <w:rsid w:val="007348F8"/>
    <w:rsid w:val="007349FB"/>
    <w:rsid w:val="0073516A"/>
    <w:rsid w:val="00735AD9"/>
    <w:rsid w:val="007361EE"/>
    <w:rsid w:val="007362B1"/>
    <w:rsid w:val="0073637A"/>
    <w:rsid w:val="007374E8"/>
    <w:rsid w:val="00740287"/>
    <w:rsid w:val="00740289"/>
    <w:rsid w:val="00740D39"/>
    <w:rsid w:val="007427F5"/>
    <w:rsid w:val="00743503"/>
    <w:rsid w:val="007459CF"/>
    <w:rsid w:val="007467B7"/>
    <w:rsid w:val="007504C8"/>
    <w:rsid w:val="007522F5"/>
    <w:rsid w:val="00753C8E"/>
    <w:rsid w:val="00753DDE"/>
    <w:rsid w:val="00755683"/>
    <w:rsid w:val="007563F9"/>
    <w:rsid w:val="00756428"/>
    <w:rsid w:val="00756C3F"/>
    <w:rsid w:val="007576BA"/>
    <w:rsid w:val="0076011D"/>
    <w:rsid w:val="00760A12"/>
    <w:rsid w:val="00760F3C"/>
    <w:rsid w:val="007614DF"/>
    <w:rsid w:val="00761C30"/>
    <w:rsid w:val="007622ED"/>
    <w:rsid w:val="0076374F"/>
    <w:rsid w:val="00763901"/>
    <w:rsid w:val="00763D85"/>
    <w:rsid w:val="00763EED"/>
    <w:rsid w:val="00764342"/>
    <w:rsid w:val="00764357"/>
    <w:rsid w:val="00765CC7"/>
    <w:rsid w:val="00766419"/>
    <w:rsid w:val="00767717"/>
    <w:rsid w:val="00770064"/>
    <w:rsid w:val="00770DC5"/>
    <w:rsid w:val="007710C8"/>
    <w:rsid w:val="00771263"/>
    <w:rsid w:val="00773D1D"/>
    <w:rsid w:val="00774976"/>
    <w:rsid w:val="00774A21"/>
    <w:rsid w:val="00774EEC"/>
    <w:rsid w:val="00775DCF"/>
    <w:rsid w:val="0077618C"/>
    <w:rsid w:val="00776857"/>
    <w:rsid w:val="00776B4A"/>
    <w:rsid w:val="00776C7D"/>
    <w:rsid w:val="00777870"/>
    <w:rsid w:val="00777D33"/>
    <w:rsid w:val="007807B1"/>
    <w:rsid w:val="00780B43"/>
    <w:rsid w:val="0078100F"/>
    <w:rsid w:val="00781A1E"/>
    <w:rsid w:val="00782159"/>
    <w:rsid w:val="00784690"/>
    <w:rsid w:val="00785EB0"/>
    <w:rsid w:val="007864B4"/>
    <w:rsid w:val="00786B56"/>
    <w:rsid w:val="00787A73"/>
    <w:rsid w:val="00787FCC"/>
    <w:rsid w:val="00791653"/>
    <w:rsid w:val="007916D9"/>
    <w:rsid w:val="007922CA"/>
    <w:rsid w:val="007923FC"/>
    <w:rsid w:val="00792A9D"/>
    <w:rsid w:val="007931C3"/>
    <w:rsid w:val="00793896"/>
    <w:rsid w:val="007941DF"/>
    <w:rsid w:val="00794444"/>
    <w:rsid w:val="0079468C"/>
    <w:rsid w:val="007955AC"/>
    <w:rsid w:val="00795793"/>
    <w:rsid w:val="00795DC1"/>
    <w:rsid w:val="00796702"/>
    <w:rsid w:val="0079687A"/>
    <w:rsid w:val="00797228"/>
    <w:rsid w:val="00797663"/>
    <w:rsid w:val="00797AC4"/>
    <w:rsid w:val="00797C10"/>
    <w:rsid w:val="007A163A"/>
    <w:rsid w:val="007A1A9E"/>
    <w:rsid w:val="007A1B96"/>
    <w:rsid w:val="007A251E"/>
    <w:rsid w:val="007A46E3"/>
    <w:rsid w:val="007A4ED9"/>
    <w:rsid w:val="007A517D"/>
    <w:rsid w:val="007A5684"/>
    <w:rsid w:val="007A56D2"/>
    <w:rsid w:val="007A56F1"/>
    <w:rsid w:val="007A5705"/>
    <w:rsid w:val="007A6062"/>
    <w:rsid w:val="007A6CA0"/>
    <w:rsid w:val="007A714A"/>
    <w:rsid w:val="007B07FA"/>
    <w:rsid w:val="007B1E88"/>
    <w:rsid w:val="007B2E70"/>
    <w:rsid w:val="007B3ED8"/>
    <w:rsid w:val="007B4359"/>
    <w:rsid w:val="007B4C10"/>
    <w:rsid w:val="007B4F3B"/>
    <w:rsid w:val="007B50E5"/>
    <w:rsid w:val="007B6179"/>
    <w:rsid w:val="007B6381"/>
    <w:rsid w:val="007B68B2"/>
    <w:rsid w:val="007B7DD3"/>
    <w:rsid w:val="007C08D2"/>
    <w:rsid w:val="007C0AB2"/>
    <w:rsid w:val="007C0D74"/>
    <w:rsid w:val="007C0F6D"/>
    <w:rsid w:val="007C187F"/>
    <w:rsid w:val="007C238C"/>
    <w:rsid w:val="007C2534"/>
    <w:rsid w:val="007C2898"/>
    <w:rsid w:val="007C348D"/>
    <w:rsid w:val="007C3C92"/>
    <w:rsid w:val="007C63BC"/>
    <w:rsid w:val="007C6FDE"/>
    <w:rsid w:val="007C75A1"/>
    <w:rsid w:val="007C7ADF"/>
    <w:rsid w:val="007C7D9A"/>
    <w:rsid w:val="007D0EBE"/>
    <w:rsid w:val="007D14E5"/>
    <w:rsid w:val="007D1C44"/>
    <w:rsid w:val="007D1D15"/>
    <w:rsid w:val="007D2D93"/>
    <w:rsid w:val="007D3B2C"/>
    <w:rsid w:val="007D4369"/>
    <w:rsid w:val="007D6F12"/>
    <w:rsid w:val="007D7679"/>
    <w:rsid w:val="007D7947"/>
    <w:rsid w:val="007E058F"/>
    <w:rsid w:val="007E48B5"/>
    <w:rsid w:val="007E5B57"/>
    <w:rsid w:val="007E6121"/>
    <w:rsid w:val="007E709E"/>
    <w:rsid w:val="007E709F"/>
    <w:rsid w:val="007E765F"/>
    <w:rsid w:val="007F0774"/>
    <w:rsid w:val="007F087E"/>
    <w:rsid w:val="007F0B33"/>
    <w:rsid w:val="007F0B48"/>
    <w:rsid w:val="007F0B54"/>
    <w:rsid w:val="007F0BAD"/>
    <w:rsid w:val="007F20ED"/>
    <w:rsid w:val="007F3330"/>
    <w:rsid w:val="007F3352"/>
    <w:rsid w:val="007F3C55"/>
    <w:rsid w:val="007F4CA3"/>
    <w:rsid w:val="007F647D"/>
    <w:rsid w:val="007F6D41"/>
    <w:rsid w:val="007F71DD"/>
    <w:rsid w:val="007F750D"/>
    <w:rsid w:val="007F794F"/>
    <w:rsid w:val="00800AAB"/>
    <w:rsid w:val="0080130F"/>
    <w:rsid w:val="008029B2"/>
    <w:rsid w:val="00802E9D"/>
    <w:rsid w:val="00804442"/>
    <w:rsid w:val="00804A56"/>
    <w:rsid w:val="00804FDD"/>
    <w:rsid w:val="0080545B"/>
    <w:rsid w:val="008059CB"/>
    <w:rsid w:val="008060FA"/>
    <w:rsid w:val="00807215"/>
    <w:rsid w:val="0080786B"/>
    <w:rsid w:val="008117D0"/>
    <w:rsid w:val="0081236F"/>
    <w:rsid w:val="00812EB7"/>
    <w:rsid w:val="00813BC1"/>
    <w:rsid w:val="00813F40"/>
    <w:rsid w:val="008144F4"/>
    <w:rsid w:val="00814968"/>
    <w:rsid w:val="00814A49"/>
    <w:rsid w:val="00816F65"/>
    <w:rsid w:val="008172F6"/>
    <w:rsid w:val="00817AC1"/>
    <w:rsid w:val="00817AED"/>
    <w:rsid w:val="00820732"/>
    <w:rsid w:val="0082109C"/>
    <w:rsid w:val="00821290"/>
    <w:rsid w:val="00822304"/>
    <w:rsid w:val="00822912"/>
    <w:rsid w:val="00822C2E"/>
    <w:rsid w:val="008230B9"/>
    <w:rsid w:val="00823558"/>
    <w:rsid w:val="00824B7F"/>
    <w:rsid w:val="00824BD3"/>
    <w:rsid w:val="0082574E"/>
    <w:rsid w:val="00826020"/>
    <w:rsid w:val="00826240"/>
    <w:rsid w:val="00826A78"/>
    <w:rsid w:val="00826B17"/>
    <w:rsid w:val="0082730A"/>
    <w:rsid w:val="00830052"/>
    <w:rsid w:val="008303DB"/>
    <w:rsid w:val="008319C0"/>
    <w:rsid w:val="00831E4F"/>
    <w:rsid w:val="00831F0B"/>
    <w:rsid w:val="0083207D"/>
    <w:rsid w:val="00837A14"/>
    <w:rsid w:val="00840E42"/>
    <w:rsid w:val="00841409"/>
    <w:rsid w:val="00841BCB"/>
    <w:rsid w:val="00842722"/>
    <w:rsid w:val="00844B7E"/>
    <w:rsid w:val="00844F2F"/>
    <w:rsid w:val="00846521"/>
    <w:rsid w:val="00846CE8"/>
    <w:rsid w:val="00846F8D"/>
    <w:rsid w:val="00847048"/>
    <w:rsid w:val="008471C4"/>
    <w:rsid w:val="00847385"/>
    <w:rsid w:val="00847843"/>
    <w:rsid w:val="00847A88"/>
    <w:rsid w:val="00851753"/>
    <w:rsid w:val="00851AE6"/>
    <w:rsid w:val="00851C77"/>
    <w:rsid w:val="00851D97"/>
    <w:rsid w:val="008522D3"/>
    <w:rsid w:val="008524D2"/>
    <w:rsid w:val="0085386D"/>
    <w:rsid w:val="008541CE"/>
    <w:rsid w:val="00854ADE"/>
    <w:rsid w:val="008553B2"/>
    <w:rsid w:val="008557ED"/>
    <w:rsid w:val="00855903"/>
    <w:rsid w:val="00855E7C"/>
    <w:rsid w:val="00857D30"/>
    <w:rsid w:val="00860A35"/>
    <w:rsid w:val="00861B88"/>
    <w:rsid w:val="00861F7D"/>
    <w:rsid w:val="00862C05"/>
    <w:rsid w:val="00864094"/>
    <w:rsid w:val="008655DA"/>
    <w:rsid w:val="00866CE1"/>
    <w:rsid w:val="00866EC9"/>
    <w:rsid w:val="00870E1A"/>
    <w:rsid w:val="008724E9"/>
    <w:rsid w:val="00873FCF"/>
    <w:rsid w:val="008744BC"/>
    <w:rsid w:val="008744D1"/>
    <w:rsid w:val="00875709"/>
    <w:rsid w:val="00876C30"/>
    <w:rsid w:val="00876DA6"/>
    <w:rsid w:val="00880B93"/>
    <w:rsid w:val="00881357"/>
    <w:rsid w:val="00882313"/>
    <w:rsid w:val="0088589D"/>
    <w:rsid w:val="00886116"/>
    <w:rsid w:val="0088749D"/>
    <w:rsid w:val="00887CEB"/>
    <w:rsid w:val="00887FDD"/>
    <w:rsid w:val="00890347"/>
    <w:rsid w:val="0089069A"/>
    <w:rsid w:val="008909A8"/>
    <w:rsid w:val="00890D42"/>
    <w:rsid w:val="00892CAB"/>
    <w:rsid w:val="008935C4"/>
    <w:rsid w:val="008937A3"/>
    <w:rsid w:val="00893991"/>
    <w:rsid w:val="00894725"/>
    <w:rsid w:val="008958BB"/>
    <w:rsid w:val="0089602C"/>
    <w:rsid w:val="00896A68"/>
    <w:rsid w:val="008A01CB"/>
    <w:rsid w:val="008A05C8"/>
    <w:rsid w:val="008A06A2"/>
    <w:rsid w:val="008A105A"/>
    <w:rsid w:val="008A12E6"/>
    <w:rsid w:val="008A1C04"/>
    <w:rsid w:val="008A2779"/>
    <w:rsid w:val="008A3630"/>
    <w:rsid w:val="008A41BA"/>
    <w:rsid w:val="008A4836"/>
    <w:rsid w:val="008A4DCB"/>
    <w:rsid w:val="008A6037"/>
    <w:rsid w:val="008A6F11"/>
    <w:rsid w:val="008A6F63"/>
    <w:rsid w:val="008B0295"/>
    <w:rsid w:val="008B17B6"/>
    <w:rsid w:val="008B193A"/>
    <w:rsid w:val="008B1963"/>
    <w:rsid w:val="008B2566"/>
    <w:rsid w:val="008B37A5"/>
    <w:rsid w:val="008B43E4"/>
    <w:rsid w:val="008B49B0"/>
    <w:rsid w:val="008B4B8C"/>
    <w:rsid w:val="008B4CD6"/>
    <w:rsid w:val="008B525E"/>
    <w:rsid w:val="008B5D73"/>
    <w:rsid w:val="008B6802"/>
    <w:rsid w:val="008B74D7"/>
    <w:rsid w:val="008C04FA"/>
    <w:rsid w:val="008C0FE3"/>
    <w:rsid w:val="008C1158"/>
    <w:rsid w:val="008C2CB9"/>
    <w:rsid w:val="008C2E48"/>
    <w:rsid w:val="008C39BC"/>
    <w:rsid w:val="008C4193"/>
    <w:rsid w:val="008C57AC"/>
    <w:rsid w:val="008C6582"/>
    <w:rsid w:val="008C6838"/>
    <w:rsid w:val="008C6865"/>
    <w:rsid w:val="008D0FF4"/>
    <w:rsid w:val="008D1021"/>
    <w:rsid w:val="008D10EE"/>
    <w:rsid w:val="008D150B"/>
    <w:rsid w:val="008D2A54"/>
    <w:rsid w:val="008D3842"/>
    <w:rsid w:val="008D489F"/>
    <w:rsid w:val="008D49C8"/>
    <w:rsid w:val="008D4A72"/>
    <w:rsid w:val="008D611D"/>
    <w:rsid w:val="008D7410"/>
    <w:rsid w:val="008D76B0"/>
    <w:rsid w:val="008E0F85"/>
    <w:rsid w:val="008E17AF"/>
    <w:rsid w:val="008E1A89"/>
    <w:rsid w:val="008E1E97"/>
    <w:rsid w:val="008E36A5"/>
    <w:rsid w:val="008E3767"/>
    <w:rsid w:val="008E3CB9"/>
    <w:rsid w:val="008E52F6"/>
    <w:rsid w:val="008E5B81"/>
    <w:rsid w:val="008E76FC"/>
    <w:rsid w:val="008F2A5A"/>
    <w:rsid w:val="008F398B"/>
    <w:rsid w:val="008F3EF5"/>
    <w:rsid w:val="008F489A"/>
    <w:rsid w:val="008F4A59"/>
    <w:rsid w:val="008F50E2"/>
    <w:rsid w:val="008F5B12"/>
    <w:rsid w:val="008F61A4"/>
    <w:rsid w:val="008F673C"/>
    <w:rsid w:val="008F6AAD"/>
    <w:rsid w:val="008F7726"/>
    <w:rsid w:val="00901116"/>
    <w:rsid w:val="00901FE7"/>
    <w:rsid w:val="00902041"/>
    <w:rsid w:val="009026E9"/>
    <w:rsid w:val="00902874"/>
    <w:rsid w:val="00905495"/>
    <w:rsid w:val="0090632C"/>
    <w:rsid w:val="00906B13"/>
    <w:rsid w:val="00906CE8"/>
    <w:rsid w:val="009079F8"/>
    <w:rsid w:val="00910AB5"/>
    <w:rsid w:val="009118A7"/>
    <w:rsid w:val="00911E91"/>
    <w:rsid w:val="00913C4B"/>
    <w:rsid w:val="0091587E"/>
    <w:rsid w:val="009220F6"/>
    <w:rsid w:val="00923861"/>
    <w:rsid w:val="00924652"/>
    <w:rsid w:val="00924753"/>
    <w:rsid w:val="0092550E"/>
    <w:rsid w:val="009255C6"/>
    <w:rsid w:val="0092599B"/>
    <w:rsid w:val="00925CEC"/>
    <w:rsid w:val="0092603D"/>
    <w:rsid w:val="00926185"/>
    <w:rsid w:val="009301F8"/>
    <w:rsid w:val="0093076F"/>
    <w:rsid w:val="009311D1"/>
    <w:rsid w:val="009321C2"/>
    <w:rsid w:val="00932622"/>
    <w:rsid w:val="00932748"/>
    <w:rsid w:val="00932AFC"/>
    <w:rsid w:val="0093370A"/>
    <w:rsid w:val="00935870"/>
    <w:rsid w:val="00935BA4"/>
    <w:rsid w:val="00935D33"/>
    <w:rsid w:val="00936378"/>
    <w:rsid w:val="00936BD2"/>
    <w:rsid w:val="00937A59"/>
    <w:rsid w:val="00940CFF"/>
    <w:rsid w:val="0094270E"/>
    <w:rsid w:val="00943EBB"/>
    <w:rsid w:val="00944D3F"/>
    <w:rsid w:val="00945869"/>
    <w:rsid w:val="00945A84"/>
    <w:rsid w:val="00946AF5"/>
    <w:rsid w:val="00947BC9"/>
    <w:rsid w:val="00947F1D"/>
    <w:rsid w:val="0095095A"/>
    <w:rsid w:val="0095187E"/>
    <w:rsid w:val="00951DFB"/>
    <w:rsid w:val="00953603"/>
    <w:rsid w:val="00953608"/>
    <w:rsid w:val="00953663"/>
    <w:rsid w:val="00953808"/>
    <w:rsid w:val="00953A2B"/>
    <w:rsid w:val="00953F82"/>
    <w:rsid w:val="009542F7"/>
    <w:rsid w:val="009544BF"/>
    <w:rsid w:val="00954992"/>
    <w:rsid w:val="00954C21"/>
    <w:rsid w:val="00955A2B"/>
    <w:rsid w:val="0095619B"/>
    <w:rsid w:val="00956A06"/>
    <w:rsid w:val="00956A07"/>
    <w:rsid w:val="00960578"/>
    <w:rsid w:val="00961136"/>
    <w:rsid w:val="00962D5A"/>
    <w:rsid w:val="009630F7"/>
    <w:rsid w:val="00963598"/>
    <w:rsid w:val="009659CD"/>
    <w:rsid w:val="00967FE6"/>
    <w:rsid w:val="00970B2E"/>
    <w:rsid w:val="0097108B"/>
    <w:rsid w:val="00971A63"/>
    <w:rsid w:val="00972B71"/>
    <w:rsid w:val="00974045"/>
    <w:rsid w:val="009740DC"/>
    <w:rsid w:val="009743C1"/>
    <w:rsid w:val="00974C39"/>
    <w:rsid w:val="00974F18"/>
    <w:rsid w:val="00974F5F"/>
    <w:rsid w:val="0097510A"/>
    <w:rsid w:val="00975D97"/>
    <w:rsid w:val="00975EF9"/>
    <w:rsid w:val="009765DB"/>
    <w:rsid w:val="009773C6"/>
    <w:rsid w:val="009773C8"/>
    <w:rsid w:val="0098016E"/>
    <w:rsid w:val="009811BB"/>
    <w:rsid w:val="00984C5F"/>
    <w:rsid w:val="00985433"/>
    <w:rsid w:val="0099000D"/>
    <w:rsid w:val="00992C1B"/>
    <w:rsid w:val="00993077"/>
    <w:rsid w:val="00993876"/>
    <w:rsid w:val="00994286"/>
    <w:rsid w:val="00994CDE"/>
    <w:rsid w:val="00995542"/>
    <w:rsid w:val="00996D2C"/>
    <w:rsid w:val="009A01D0"/>
    <w:rsid w:val="009A0209"/>
    <w:rsid w:val="009A0AB5"/>
    <w:rsid w:val="009A405D"/>
    <w:rsid w:val="009A56C6"/>
    <w:rsid w:val="009A60A5"/>
    <w:rsid w:val="009A71F0"/>
    <w:rsid w:val="009A7B57"/>
    <w:rsid w:val="009A7D0E"/>
    <w:rsid w:val="009B1124"/>
    <w:rsid w:val="009B256C"/>
    <w:rsid w:val="009B36B4"/>
    <w:rsid w:val="009B3AC5"/>
    <w:rsid w:val="009B4484"/>
    <w:rsid w:val="009B59F1"/>
    <w:rsid w:val="009B7D9D"/>
    <w:rsid w:val="009C047F"/>
    <w:rsid w:val="009C1131"/>
    <w:rsid w:val="009C2700"/>
    <w:rsid w:val="009C292F"/>
    <w:rsid w:val="009C2B88"/>
    <w:rsid w:val="009C3F74"/>
    <w:rsid w:val="009C51CB"/>
    <w:rsid w:val="009C5D35"/>
    <w:rsid w:val="009C6D3B"/>
    <w:rsid w:val="009C6DB3"/>
    <w:rsid w:val="009C6E89"/>
    <w:rsid w:val="009D09F7"/>
    <w:rsid w:val="009D1EAA"/>
    <w:rsid w:val="009D2856"/>
    <w:rsid w:val="009D38D4"/>
    <w:rsid w:val="009D3992"/>
    <w:rsid w:val="009D4487"/>
    <w:rsid w:val="009D471F"/>
    <w:rsid w:val="009D5641"/>
    <w:rsid w:val="009D6C4D"/>
    <w:rsid w:val="009D6DC4"/>
    <w:rsid w:val="009E1C6C"/>
    <w:rsid w:val="009E1D25"/>
    <w:rsid w:val="009E3036"/>
    <w:rsid w:val="009E31E1"/>
    <w:rsid w:val="009E36C7"/>
    <w:rsid w:val="009E4E14"/>
    <w:rsid w:val="009E4F6A"/>
    <w:rsid w:val="009E59D2"/>
    <w:rsid w:val="009E5DD7"/>
    <w:rsid w:val="009E61D2"/>
    <w:rsid w:val="009E7C3F"/>
    <w:rsid w:val="009F015D"/>
    <w:rsid w:val="009F0505"/>
    <w:rsid w:val="009F071D"/>
    <w:rsid w:val="009F0AC9"/>
    <w:rsid w:val="009F1ECF"/>
    <w:rsid w:val="009F39C8"/>
    <w:rsid w:val="009F5EFB"/>
    <w:rsid w:val="009F78F0"/>
    <w:rsid w:val="009F7D5C"/>
    <w:rsid w:val="00A0051E"/>
    <w:rsid w:val="00A00DB1"/>
    <w:rsid w:val="00A02135"/>
    <w:rsid w:val="00A02621"/>
    <w:rsid w:val="00A02976"/>
    <w:rsid w:val="00A02B31"/>
    <w:rsid w:val="00A04118"/>
    <w:rsid w:val="00A0427E"/>
    <w:rsid w:val="00A05A52"/>
    <w:rsid w:val="00A07B93"/>
    <w:rsid w:val="00A10456"/>
    <w:rsid w:val="00A129D7"/>
    <w:rsid w:val="00A12FA2"/>
    <w:rsid w:val="00A1392D"/>
    <w:rsid w:val="00A141D4"/>
    <w:rsid w:val="00A1431A"/>
    <w:rsid w:val="00A14728"/>
    <w:rsid w:val="00A1491D"/>
    <w:rsid w:val="00A14A74"/>
    <w:rsid w:val="00A14BB6"/>
    <w:rsid w:val="00A14BCD"/>
    <w:rsid w:val="00A157FB"/>
    <w:rsid w:val="00A15DFA"/>
    <w:rsid w:val="00A16AAB"/>
    <w:rsid w:val="00A16AF9"/>
    <w:rsid w:val="00A16F40"/>
    <w:rsid w:val="00A17254"/>
    <w:rsid w:val="00A205DF"/>
    <w:rsid w:val="00A21540"/>
    <w:rsid w:val="00A2170E"/>
    <w:rsid w:val="00A23505"/>
    <w:rsid w:val="00A236DE"/>
    <w:rsid w:val="00A2439F"/>
    <w:rsid w:val="00A243CE"/>
    <w:rsid w:val="00A248F2"/>
    <w:rsid w:val="00A25439"/>
    <w:rsid w:val="00A259E8"/>
    <w:rsid w:val="00A25CB7"/>
    <w:rsid w:val="00A26AB9"/>
    <w:rsid w:val="00A27FC5"/>
    <w:rsid w:val="00A30DD5"/>
    <w:rsid w:val="00A312EA"/>
    <w:rsid w:val="00A31424"/>
    <w:rsid w:val="00A32176"/>
    <w:rsid w:val="00A33692"/>
    <w:rsid w:val="00A36666"/>
    <w:rsid w:val="00A3777B"/>
    <w:rsid w:val="00A3782A"/>
    <w:rsid w:val="00A40370"/>
    <w:rsid w:val="00A41F7E"/>
    <w:rsid w:val="00A42FC9"/>
    <w:rsid w:val="00A4319C"/>
    <w:rsid w:val="00A43C79"/>
    <w:rsid w:val="00A445B7"/>
    <w:rsid w:val="00A446C5"/>
    <w:rsid w:val="00A50424"/>
    <w:rsid w:val="00A51DE9"/>
    <w:rsid w:val="00A52110"/>
    <w:rsid w:val="00A527CF"/>
    <w:rsid w:val="00A52DB1"/>
    <w:rsid w:val="00A5363A"/>
    <w:rsid w:val="00A53ADC"/>
    <w:rsid w:val="00A53C6D"/>
    <w:rsid w:val="00A54380"/>
    <w:rsid w:val="00A54947"/>
    <w:rsid w:val="00A54A40"/>
    <w:rsid w:val="00A5584C"/>
    <w:rsid w:val="00A573A9"/>
    <w:rsid w:val="00A57D4E"/>
    <w:rsid w:val="00A60A95"/>
    <w:rsid w:val="00A61213"/>
    <w:rsid w:val="00A616EF"/>
    <w:rsid w:val="00A62B8C"/>
    <w:rsid w:val="00A63B9A"/>
    <w:rsid w:val="00A63CD1"/>
    <w:rsid w:val="00A64903"/>
    <w:rsid w:val="00A6503E"/>
    <w:rsid w:val="00A65969"/>
    <w:rsid w:val="00A667E4"/>
    <w:rsid w:val="00A66C3C"/>
    <w:rsid w:val="00A6703B"/>
    <w:rsid w:val="00A701F6"/>
    <w:rsid w:val="00A7035E"/>
    <w:rsid w:val="00A70748"/>
    <w:rsid w:val="00A70C72"/>
    <w:rsid w:val="00A71F05"/>
    <w:rsid w:val="00A71FCD"/>
    <w:rsid w:val="00A726DB"/>
    <w:rsid w:val="00A72F25"/>
    <w:rsid w:val="00A734A5"/>
    <w:rsid w:val="00A73E33"/>
    <w:rsid w:val="00A7439E"/>
    <w:rsid w:val="00A751DC"/>
    <w:rsid w:val="00A7616E"/>
    <w:rsid w:val="00A7625F"/>
    <w:rsid w:val="00A76648"/>
    <w:rsid w:val="00A81205"/>
    <w:rsid w:val="00A81CC4"/>
    <w:rsid w:val="00A824E5"/>
    <w:rsid w:val="00A8260B"/>
    <w:rsid w:val="00A836BC"/>
    <w:rsid w:val="00A83AB2"/>
    <w:rsid w:val="00A85BAC"/>
    <w:rsid w:val="00A868BE"/>
    <w:rsid w:val="00A87032"/>
    <w:rsid w:val="00A87240"/>
    <w:rsid w:val="00A876D6"/>
    <w:rsid w:val="00A901B8"/>
    <w:rsid w:val="00A9040C"/>
    <w:rsid w:val="00A9093A"/>
    <w:rsid w:val="00A91BD6"/>
    <w:rsid w:val="00A91D8F"/>
    <w:rsid w:val="00A9237F"/>
    <w:rsid w:val="00A92819"/>
    <w:rsid w:val="00A92965"/>
    <w:rsid w:val="00A92AB9"/>
    <w:rsid w:val="00A9301D"/>
    <w:rsid w:val="00A9426A"/>
    <w:rsid w:val="00A9427B"/>
    <w:rsid w:val="00A947F8"/>
    <w:rsid w:val="00A95D38"/>
    <w:rsid w:val="00A9668B"/>
    <w:rsid w:val="00A96BFB"/>
    <w:rsid w:val="00A97C80"/>
    <w:rsid w:val="00A97F2D"/>
    <w:rsid w:val="00AA003F"/>
    <w:rsid w:val="00AA07AF"/>
    <w:rsid w:val="00AA0B04"/>
    <w:rsid w:val="00AA0DF7"/>
    <w:rsid w:val="00AA1595"/>
    <w:rsid w:val="00AA1A04"/>
    <w:rsid w:val="00AA2FDC"/>
    <w:rsid w:val="00AA31CA"/>
    <w:rsid w:val="00AA4173"/>
    <w:rsid w:val="00AA45BF"/>
    <w:rsid w:val="00AA4B1A"/>
    <w:rsid w:val="00AA5D9B"/>
    <w:rsid w:val="00AA6699"/>
    <w:rsid w:val="00AB037A"/>
    <w:rsid w:val="00AB1045"/>
    <w:rsid w:val="00AB1880"/>
    <w:rsid w:val="00AB19BA"/>
    <w:rsid w:val="00AB1D6A"/>
    <w:rsid w:val="00AB2555"/>
    <w:rsid w:val="00AB2718"/>
    <w:rsid w:val="00AB3C5E"/>
    <w:rsid w:val="00AB3DBB"/>
    <w:rsid w:val="00AB620F"/>
    <w:rsid w:val="00AB6A15"/>
    <w:rsid w:val="00AB6A18"/>
    <w:rsid w:val="00AB6AFA"/>
    <w:rsid w:val="00AB7814"/>
    <w:rsid w:val="00AB7F2D"/>
    <w:rsid w:val="00AC03EB"/>
    <w:rsid w:val="00AC122A"/>
    <w:rsid w:val="00AC14F1"/>
    <w:rsid w:val="00AC195F"/>
    <w:rsid w:val="00AC38A6"/>
    <w:rsid w:val="00AC3BD2"/>
    <w:rsid w:val="00AC3DC6"/>
    <w:rsid w:val="00AC406A"/>
    <w:rsid w:val="00AC413C"/>
    <w:rsid w:val="00AC44C3"/>
    <w:rsid w:val="00AC490F"/>
    <w:rsid w:val="00AC5255"/>
    <w:rsid w:val="00AC547C"/>
    <w:rsid w:val="00AC5679"/>
    <w:rsid w:val="00AC7D8F"/>
    <w:rsid w:val="00AC7E2E"/>
    <w:rsid w:val="00AD1265"/>
    <w:rsid w:val="00AD209D"/>
    <w:rsid w:val="00AD25B9"/>
    <w:rsid w:val="00AD2A06"/>
    <w:rsid w:val="00AD36F3"/>
    <w:rsid w:val="00AD4B0B"/>
    <w:rsid w:val="00AD6CB8"/>
    <w:rsid w:val="00AE00E9"/>
    <w:rsid w:val="00AE1BD6"/>
    <w:rsid w:val="00AE1D46"/>
    <w:rsid w:val="00AE236D"/>
    <w:rsid w:val="00AE5A55"/>
    <w:rsid w:val="00AE6003"/>
    <w:rsid w:val="00AE624F"/>
    <w:rsid w:val="00AE6B99"/>
    <w:rsid w:val="00AE6BEC"/>
    <w:rsid w:val="00AE7040"/>
    <w:rsid w:val="00AF0702"/>
    <w:rsid w:val="00AF0AA5"/>
    <w:rsid w:val="00AF0B3A"/>
    <w:rsid w:val="00AF0EBE"/>
    <w:rsid w:val="00AF0EFB"/>
    <w:rsid w:val="00AF13E6"/>
    <w:rsid w:val="00AF2458"/>
    <w:rsid w:val="00AF2889"/>
    <w:rsid w:val="00AF2C5F"/>
    <w:rsid w:val="00AF498B"/>
    <w:rsid w:val="00AF5A98"/>
    <w:rsid w:val="00AF5EF9"/>
    <w:rsid w:val="00AF620E"/>
    <w:rsid w:val="00AF6D36"/>
    <w:rsid w:val="00AF75BE"/>
    <w:rsid w:val="00AF79C9"/>
    <w:rsid w:val="00AF7E41"/>
    <w:rsid w:val="00B0168B"/>
    <w:rsid w:val="00B01BE3"/>
    <w:rsid w:val="00B02A47"/>
    <w:rsid w:val="00B035F8"/>
    <w:rsid w:val="00B036AC"/>
    <w:rsid w:val="00B038D8"/>
    <w:rsid w:val="00B052E0"/>
    <w:rsid w:val="00B06AFE"/>
    <w:rsid w:val="00B072BD"/>
    <w:rsid w:val="00B1176B"/>
    <w:rsid w:val="00B11D18"/>
    <w:rsid w:val="00B120E8"/>
    <w:rsid w:val="00B127B0"/>
    <w:rsid w:val="00B13407"/>
    <w:rsid w:val="00B13F7B"/>
    <w:rsid w:val="00B14629"/>
    <w:rsid w:val="00B151D8"/>
    <w:rsid w:val="00B15790"/>
    <w:rsid w:val="00B15C8E"/>
    <w:rsid w:val="00B166DE"/>
    <w:rsid w:val="00B1688A"/>
    <w:rsid w:val="00B16D65"/>
    <w:rsid w:val="00B1780E"/>
    <w:rsid w:val="00B1781D"/>
    <w:rsid w:val="00B21942"/>
    <w:rsid w:val="00B2243A"/>
    <w:rsid w:val="00B228FE"/>
    <w:rsid w:val="00B230E1"/>
    <w:rsid w:val="00B23940"/>
    <w:rsid w:val="00B240C6"/>
    <w:rsid w:val="00B245DA"/>
    <w:rsid w:val="00B24E42"/>
    <w:rsid w:val="00B25A51"/>
    <w:rsid w:val="00B25EF5"/>
    <w:rsid w:val="00B25F29"/>
    <w:rsid w:val="00B2631A"/>
    <w:rsid w:val="00B264E1"/>
    <w:rsid w:val="00B26937"/>
    <w:rsid w:val="00B26A24"/>
    <w:rsid w:val="00B26CD2"/>
    <w:rsid w:val="00B26E42"/>
    <w:rsid w:val="00B274DC"/>
    <w:rsid w:val="00B27829"/>
    <w:rsid w:val="00B27B99"/>
    <w:rsid w:val="00B27C8E"/>
    <w:rsid w:val="00B30111"/>
    <w:rsid w:val="00B30EC9"/>
    <w:rsid w:val="00B31A7E"/>
    <w:rsid w:val="00B33DDE"/>
    <w:rsid w:val="00B33FB0"/>
    <w:rsid w:val="00B347F3"/>
    <w:rsid w:val="00B34C23"/>
    <w:rsid w:val="00B34E48"/>
    <w:rsid w:val="00B40580"/>
    <w:rsid w:val="00B40D1D"/>
    <w:rsid w:val="00B40D56"/>
    <w:rsid w:val="00B40F7E"/>
    <w:rsid w:val="00B4180E"/>
    <w:rsid w:val="00B42C03"/>
    <w:rsid w:val="00B44562"/>
    <w:rsid w:val="00B44A46"/>
    <w:rsid w:val="00B45A2B"/>
    <w:rsid w:val="00B50F4A"/>
    <w:rsid w:val="00B51B73"/>
    <w:rsid w:val="00B52542"/>
    <w:rsid w:val="00B5299E"/>
    <w:rsid w:val="00B53074"/>
    <w:rsid w:val="00B554D4"/>
    <w:rsid w:val="00B5729E"/>
    <w:rsid w:val="00B605F7"/>
    <w:rsid w:val="00B60EF2"/>
    <w:rsid w:val="00B6105C"/>
    <w:rsid w:val="00B617FF"/>
    <w:rsid w:val="00B61FFB"/>
    <w:rsid w:val="00B6501B"/>
    <w:rsid w:val="00B67D0C"/>
    <w:rsid w:val="00B70ACC"/>
    <w:rsid w:val="00B72011"/>
    <w:rsid w:val="00B72356"/>
    <w:rsid w:val="00B7236D"/>
    <w:rsid w:val="00B74D31"/>
    <w:rsid w:val="00B74F6E"/>
    <w:rsid w:val="00B751A1"/>
    <w:rsid w:val="00B760B4"/>
    <w:rsid w:val="00B76747"/>
    <w:rsid w:val="00B778BE"/>
    <w:rsid w:val="00B77949"/>
    <w:rsid w:val="00B80FBA"/>
    <w:rsid w:val="00B81584"/>
    <w:rsid w:val="00B815D5"/>
    <w:rsid w:val="00B82862"/>
    <w:rsid w:val="00B8286B"/>
    <w:rsid w:val="00B839CD"/>
    <w:rsid w:val="00B83DEE"/>
    <w:rsid w:val="00B83F17"/>
    <w:rsid w:val="00B84415"/>
    <w:rsid w:val="00B84CE8"/>
    <w:rsid w:val="00B87F33"/>
    <w:rsid w:val="00B90070"/>
    <w:rsid w:val="00B91320"/>
    <w:rsid w:val="00B92F62"/>
    <w:rsid w:val="00B93802"/>
    <w:rsid w:val="00B95152"/>
    <w:rsid w:val="00B952FB"/>
    <w:rsid w:val="00B95414"/>
    <w:rsid w:val="00B95D3B"/>
    <w:rsid w:val="00B96462"/>
    <w:rsid w:val="00B96FF1"/>
    <w:rsid w:val="00B971FD"/>
    <w:rsid w:val="00BA0EBF"/>
    <w:rsid w:val="00BA1999"/>
    <w:rsid w:val="00BA1DE6"/>
    <w:rsid w:val="00BA1EBC"/>
    <w:rsid w:val="00BA328A"/>
    <w:rsid w:val="00BA374C"/>
    <w:rsid w:val="00BA407E"/>
    <w:rsid w:val="00BA40B3"/>
    <w:rsid w:val="00BA465A"/>
    <w:rsid w:val="00BA47A1"/>
    <w:rsid w:val="00BA5522"/>
    <w:rsid w:val="00BA5659"/>
    <w:rsid w:val="00BA5BAD"/>
    <w:rsid w:val="00BA6299"/>
    <w:rsid w:val="00BA6424"/>
    <w:rsid w:val="00BA649A"/>
    <w:rsid w:val="00BA6567"/>
    <w:rsid w:val="00BA7B4D"/>
    <w:rsid w:val="00BB0418"/>
    <w:rsid w:val="00BB05C1"/>
    <w:rsid w:val="00BB0A81"/>
    <w:rsid w:val="00BB18BD"/>
    <w:rsid w:val="00BB1A99"/>
    <w:rsid w:val="00BB2F5F"/>
    <w:rsid w:val="00BB3E9A"/>
    <w:rsid w:val="00BB4E91"/>
    <w:rsid w:val="00BB5A6E"/>
    <w:rsid w:val="00BB651C"/>
    <w:rsid w:val="00BB674F"/>
    <w:rsid w:val="00BB6764"/>
    <w:rsid w:val="00BB69AD"/>
    <w:rsid w:val="00BB6E1C"/>
    <w:rsid w:val="00BB739E"/>
    <w:rsid w:val="00BC019B"/>
    <w:rsid w:val="00BC100F"/>
    <w:rsid w:val="00BC1B7C"/>
    <w:rsid w:val="00BC335D"/>
    <w:rsid w:val="00BC339A"/>
    <w:rsid w:val="00BC3C0E"/>
    <w:rsid w:val="00BC52C9"/>
    <w:rsid w:val="00BC5ABD"/>
    <w:rsid w:val="00BC6BDA"/>
    <w:rsid w:val="00BC6DAD"/>
    <w:rsid w:val="00BD10C8"/>
    <w:rsid w:val="00BD16E8"/>
    <w:rsid w:val="00BD255E"/>
    <w:rsid w:val="00BD2C6A"/>
    <w:rsid w:val="00BD2E63"/>
    <w:rsid w:val="00BD3E6D"/>
    <w:rsid w:val="00BD7AC5"/>
    <w:rsid w:val="00BD7F4D"/>
    <w:rsid w:val="00BE0E84"/>
    <w:rsid w:val="00BE1420"/>
    <w:rsid w:val="00BE1586"/>
    <w:rsid w:val="00BE19B8"/>
    <w:rsid w:val="00BE2B7F"/>
    <w:rsid w:val="00BE2C75"/>
    <w:rsid w:val="00BE369D"/>
    <w:rsid w:val="00BE3B36"/>
    <w:rsid w:val="00BE4D03"/>
    <w:rsid w:val="00BE5CEA"/>
    <w:rsid w:val="00BE7017"/>
    <w:rsid w:val="00BE70C8"/>
    <w:rsid w:val="00BE7378"/>
    <w:rsid w:val="00BE788D"/>
    <w:rsid w:val="00BE7906"/>
    <w:rsid w:val="00BE798B"/>
    <w:rsid w:val="00BE7F08"/>
    <w:rsid w:val="00BF0969"/>
    <w:rsid w:val="00BF108E"/>
    <w:rsid w:val="00BF126C"/>
    <w:rsid w:val="00BF15F0"/>
    <w:rsid w:val="00BF1BD6"/>
    <w:rsid w:val="00BF1C6B"/>
    <w:rsid w:val="00BF3658"/>
    <w:rsid w:val="00BF3F9C"/>
    <w:rsid w:val="00BF49B0"/>
    <w:rsid w:val="00BF59F4"/>
    <w:rsid w:val="00C00F72"/>
    <w:rsid w:val="00C01D3E"/>
    <w:rsid w:val="00C01DDE"/>
    <w:rsid w:val="00C03FFD"/>
    <w:rsid w:val="00C04D10"/>
    <w:rsid w:val="00C05116"/>
    <w:rsid w:val="00C0606C"/>
    <w:rsid w:val="00C0696D"/>
    <w:rsid w:val="00C1086B"/>
    <w:rsid w:val="00C10CDB"/>
    <w:rsid w:val="00C11418"/>
    <w:rsid w:val="00C134EC"/>
    <w:rsid w:val="00C141C9"/>
    <w:rsid w:val="00C15084"/>
    <w:rsid w:val="00C1593E"/>
    <w:rsid w:val="00C15940"/>
    <w:rsid w:val="00C15BA8"/>
    <w:rsid w:val="00C16F01"/>
    <w:rsid w:val="00C203D4"/>
    <w:rsid w:val="00C21E75"/>
    <w:rsid w:val="00C22D7A"/>
    <w:rsid w:val="00C23D65"/>
    <w:rsid w:val="00C24009"/>
    <w:rsid w:val="00C25FD4"/>
    <w:rsid w:val="00C2600E"/>
    <w:rsid w:val="00C26113"/>
    <w:rsid w:val="00C26C41"/>
    <w:rsid w:val="00C26CA2"/>
    <w:rsid w:val="00C271DB"/>
    <w:rsid w:val="00C30062"/>
    <w:rsid w:val="00C31072"/>
    <w:rsid w:val="00C3162E"/>
    <w:rsid w:val="00C32603"/>
    <w:rsid w:val="00C330BA"/>
    <w:rsid w:val="00C3343D"/>
    <w:rsid w:val="00C35711"/>
    <w:rsid w:val="00C36C10"/>
    <w:rsid w:val="00C37F61"/>
    <w:rsid w:val="00C410D1"/>
    <w:rsid w:val="00C4121D"/>
    <w:rsid w:val="00C41828"/>
    <w:rsid w:val="00C46465"/>
    <w:rsid w:val="00C4672B"/>
    <w:rsid w:val="00C468E9"/>
    <w:rsid w:val="00C4747B"/>
    <w:rsid w:val="00C50971"/>
    <w:rsid w:val="00C518BE"/>
    <w:rsid w:val="00C525C7"/>
    <w:rsid w:val="00C52BC8"/>
    <w:rsid w:val="00C52E2C"/>
    <w:rsid w:val="00C551F8"/>
    <w:rsid w:val="00C55424"/>
    <w:rsid w:val="00C55F54"/>
    <w:rsid w:val="00C565EB"/>
    <w:rsid w:val="00C5770E"/>
    <w:rsid w:val="00C6150A"/>
    <w:rsid w:val="00C6154C"/>
    <w:rsid w:val="00C61B53"/>
    <w:rsid w:val="00C620D3"/>
    <w:rsid w:val="00C62AC5"/>
    <w:rsid w:val="00C630AC"/>
    <w:rsid w:val="00C6410B"/>
    <w:rsid w:val="00C64265"/>
    <w:rsid w:val="00C6448D"/>
    <w:rsid w:val="00C64564"/>
    <w:rsid w:val="00C6664D"/>
    <w:rsid w:val="00C66CBE"/>
    <w:rsid w:val="00C67342"/>
    <w:rsid w:val="00C67743"/>
    <w:rsid w:val="00C67F8A"/>
    <w:rsid w:val="00C704C0"/>
    <w:rsid w:val="00C704E2"/>
    <w:rsid w:val="00C70B92"/>
    <w:rsid w:val="00C7227F"/>
    <w:rsid w:val="00C7284E"/>
    <w:rsid w:val="00C7417D"/>
    <w:rsid w:val="00C74DF9"/>
    <w:rsid w:val="00C76859"/>
    <w:rsid w:val="00C76C16"/>
    <w:rsid w:val="00C80F89"/>
    <w:rsid w:val="00C81134"/>
    <w:rsid w:val="00C813DE"/>
    <w:rsid w:val="00C81F2E"/>
    <w:rsid w:val="00C820C0"/>
    <w:rsid w:val="00C82523"/>
    <w:rsid w:val="00C83623"/>
    <w:rsid w:val="00C836D5"/>
    <w:rsid w:val="00C842A2"/>
    <w:rsid w:val="00C84727"/>
    <w:rsid w:val="00C850E2"/>
    <w:rsid w:val="00C86BA3"/>
    <w:rsid w:val="00C87B83"/>
    <w:rsid w:val="00C92255"/>
    <w:rsid w:val="00C93A92"/>
    <w:rsid w:val="00C93C59"/>
    <w:rsid w:val="00C94C58"/>
    <w:rsid w:val="00C9505D"/>
    <w:rsid w:val="00C95C76"/>
    <w:rsid w:val="00C9706D"/>
    <w:rsid w:val="00C9765D"/>
    <w:rsid w:val="00CA011C"/>
    <w:rsid w:val="00CA1CD7"/>
    <w:rsid w:val="00CA34C2"/>
    <w:rsid w:val="00CA3920"/>
    <w:rsid w:val="00CA42E3"/>
    <w:rsid w:val="00CA4517"/>
    <w:rsid w:val="00CA46AB"/>
    <w:rsid w:val="00CA58F5"/>
    <w:rsid w:val="00CA6417"/>
    <w:rsid w:val="00CA66B6"/>
    <w:rsid w:val="00CA66C7"/>
    <w:rsid w:val="00CA7BAE"/>
    <w:rsid w:val="00CB01EE"/>
    <w:rsid w:val="00CB0364"/>
    <w:rsid w:val="00CB0980"/>
    <w:rsid w:val="00CB1C0A"/>
    <w:rsid w:val="00CB21EF"/>
    <w:rsid w:val="00CB297C"/>
    <w:rsid w:val="00CB2985"/>
    <w:rsid w:val="00CB3948"/>
    <w:rsid w:val="00CB4B18"/>
    <w:rsid w:val="00CB4C95"/>
    <w:rsid w:val="00CB6C76"/>
    <w:rsid w:val="00CB6EC8"/>
    <w:rsid w:val="00CB7CBA"/>
    <w:rsid w:val="00CB7D30"/>
    <w:rsid w:val="00CC05D4"/>
    <w:rsid w:val="00CC494D"/>
    <w:rsid w:val="00CC4DE8"/>
    <w:rsid w:val="00CC5012"/>
    <w:rsid w:val="00CC54C1"/>
    <w:rsid w:val="00CC5A0C"/>
    <w:rsid w:val="00CD0E49"/>
    <w:rsid w:val="00CD1356"/>
    <w:rsid w:val="00CD1698"/>
    <w:rsid w:val="00CD23CE"/>
    <w:rsid w:val="00CD25EE"/>
    <w:rsid w:val="00CD2DE7"/>
    <w:rsid w:val="00CD2E25"/>
    <w:rsid w:val="00CD51E0"/>
    <w:rsid w:val="00CD5C1C"/>
    <w:rsid w:val="00CD71C8"/>
    <w:rsid w:val="00CD7864"/>
    <w:rsid w:val="00CE1191"/>
    <w:rsid w:val="00CE177A"/>
    <w:rsid w:val="00CE1EB4"/>
    <w:rsid w:val="00CE213F"/>
    <w:rsid w:val="00CE2279"/>
    <w:rsid w:val="00CE2B79"/>
    <w:rsid w:val="00CE2C00"/>
    <w:rsid w:val="00CE2D60"/>
    <w:rsid w:val="00CE3C9A"/>
    <w:rsid w:val="00CE4480"/>
    <w:rsid w:val="00CE4BD0"/>
    <w:rsid w:val="00CE4CD5"/>
    <w:rsid w:val="00CE6381"/>
    <w:rsid w:val="00CE6AC0"/>
    <w:rsid w:val="00CF0663"/>
    <w:rsid w:val="00CF1CEF"/>
    <w:rsid w:val="00CF245C"/>
    <w:rsid w:val="00CF2659"/>
    <w:rsid w:val="00CF350E"/>
    <w:rsid w:val="00CF3F70"/>
    <w:rsid w:val="00CF5166"/>
    <w:rsid w:val="00CF69AC"/>
    <w:rsid w:val="00CF723C"/>
    <w:rsid w:val="00CF7693"/>
    <w:rsid w:val="00D016CA"/>
    <w:rsid w:val="00D017BE"/>
    <w:rsid w:val="00D01B03"/>
    <w:rsid w:val="00D02F4B"/>
    <w:rsid w:val="00D031D0"/>
    <w:rsid w:val="00D035A9"/>
    <w:rsid w:val="00D03D6B"/>
    <w:rsid w:val="00D03F28"/>
    <w:rsid w:val="00D04082"/>
    <w:rsid w:val="00D047F3"/>
    <w:rsid w:val="00D04B61"/>
    <w:rsid w:val="00D063A9"/>
    <w:rsid w:val="00D07096"/>
    <w:rsid w:val="00D11C81"/>
    <w:rsid w:val="00D1208F"/>
    <w:rsid w:val="00D133EA"/>
    <w:rsid w:val="00D15FC6"/>
    <w:rsid w:val="00D20B0D"/>
    <w:rsid w:val="00D21E42"/>
    <w:rsid w:val="00D23EA0"/>
    <w:rsid w:val="00D24132"/>
    <w:rsid w:val="00D24153"/>
    <w:rsid w:val="00D24548"/>
    <w:rsid w:val="00D26276"/>
    <w:rsid w:val="00D26E98"/>
    <w:rsid w:val="00D27718"/>
    <w:rsid w:val="00D30081"/>
    <w:rsid w:val="00D304C1"/>
    <w:rsid w:val="00D30C4A"/>
    <w:rsid w:val="00D3167A"/>
    <w:rsid w:val="00D31AC2"/>
    <w:rsid w:val="00D31AEF"/>
    <w:rsid w:val="00D343B2"/>
    <w:rsid w:val="00D3532B"/>
    <w:rsid w:val="00D357CA"/>
    <w:rsid w:val="00D35DA5"/>
    <w:rsid w:val="00D376C1"/>
    <w:rsid w:val="00D41B5E"/>
    <w:rsid w:val="00D41E2F"/>
    <w:rsid w:val="00D42672"/>
    <w:rsid w:val="00D42D09"/>
    <w:rsid w:val="00D4301D"/>
    <w:rsid w:val="00D4450E"/>
    <w:rsid w:val="00D4539C"/>
    <w:rsid w:val="00D457F1"/>
    <w:rsid w:val="00D45CE3"/>
    <w:rsid w:val="00D46DD9"/>
    <w:rsid w:val="00D47FA2"/>
    <w:rsid w:val="00D504AF"/>
    <w:rsid w:val="00D52155"/>
    <w:rsid w:val="00D53FF7"/>
    <w:rsid w:val="00D546F4"/>
    <w:rsid w:val="00D54A7A"/>
    <w:rsid w:val="00D553ED"/>
    <w:rsid w:val="00D5549E"/>
    <w:rsid w:val="00D56886"/>
    <w:rsid w:val="00D57009"/>
    <w:rsid w:val="00D60528"/>
    <w:rsid w:val="00D6182B"/>
    <w:rsid w:val="00D65FAC"/>
    <w:rsid w:val="00D67892"/>
    <w:rsid w:val="00D71451"/>
    <w:rsid w:val="00D72441"/>
    <w:rsid w:val="00D72ADC"/>
    <w:rsid w:val="00D72BA6"/>
    <w:rsid w:val="00D7397C"/>
    <w:rsid w:val="00D74B2C"/>
    <w:rsid w:val="00D753F1"/>
    <w:rsid w:val="00D77F1F"/>
    <w:rsid w:val="00D8005B"/>
    <w:rsid w:val="00D8163E"/>
    <w:rsid w:val="00D81CB6"/>
    <w:rsid w:val="00D82D58"/>
    <w:rsid w:val="00D83F66"/>
    <w:rsid w:val="00D84429"/>
    <w:rsid w:val="00D84D51"/>
    <w:rsid w:val="00D85B44"/>
    <w:rsid w:val="00D8698C"/>
    <w:rsid w:val="00D86CE5"/>
    <w:rsid w:val="00D8746E"/>
    <w:rsid w:val="00D878F3"/>
    <w:rsid w:val="00D87AF6"/>
    <w:rsid w:val="00D90740"/>
    <w:rsid w:val="00D9111F"/>
    <w:rsid w:val="00D91B1D"/>
    <w:rsid w:val="00D931D7"/>
    <w:rsid w:val="00D93AEB"/>
    <w:rsid w:val="00D951D2"/>
    <w:rsid w:val="00D9781D"/>
    <w:rsid w:val="00D97CCD"/>
    <w:rsid w:val="00DA11D1"/>
    <w:rsid w:val="00DA14A8"/>
    <w:rsid w:val="00DA23DC"/>
    <w:rsid w:val="00DA3DE4"/>
    <w:rsid w:val="00DA51AD"/>
    <w:rsid w:val="00DA7373"/>
    <w:rsid w:val="00DB06DD"/>
    <w:rsid w:val="00DB1138"/>
    <w:rsid w:val="00DB14D0"/>
    <w:rsid w:val="00DB151A"/>
    <w:rsid w:val="00DB28B7"/>
    <w:rsid w:val="00DB3929"/>
    <w:rsid w:val="00DB40FD"/>
    <w:rsid w:val="00DB5011"/>
    <w:rsid w:val="00DB5075"/>
    <w:rsid w:val="00DB52F8"/>
    <w:rsid w:val="00DB5BAD"/>
    <w:rsid w:val="00DB733D"/>
    <w:rsid w:val="00DB744D"/>
    <w:rsid w:val="00DC0027"/>
    <w:rsid w:val="00DC046E"/>
    <w:rsid w:val="00DC0616"/>
    <w:rsid w:val="00DC0727"/>
    <w:rsid w:val="00DC0B7E"/>
    <w:rsid w:val="00DC1A0D"/>
    <w:rsid w:val="00DC4563"/>
    <w:rsid w:val="00DC4906"/>
    <w:rsid w:val="00DC52F6"/>
    <w:rsid w:val="00DC644A"/>
    <w:rsid w:val="00DD03D8"/>
    <w:rsid w:val="00DD1BAB"/>
    <w:rsid w:val="00DD1DDF"/>
    <w:rsid w:val="00DD2076"/>
    <w:rsid w:val="00DD209E"/>
    <w:rsid w:val="00DD249B"/>
    <w:rsid w:val="00DD2E59"/>
    <w:rsid w:val="00DD3B2F"/>
    <w:rsid w:val="00DD3C36"/>
    <w:rsid w:val="00DD442C"/>
    <w:rsid w:val="00DD484F"/>
    <w:rsid w:val="00DD487F"/>
    <w:rsid w:val="00DD51CB"/>
    <w:rsid w:val="00DD521D"/>
    <w:rsid w:val="00DD746E"/>
    <w:rsid w:val="00DD76CE"/>
    <w:rsid w:val="00DD7742"/>
    <w:rsid w:val="00DD7BB6"/>
    <w:rsid w:val="00DD7EF3"/>
    <w:rsid w:val="00DE0506"/>
    <w:rsid w:val="00DE1D2C"/>
    <w:rsid w:val="00DE2B6B"/>
    <w:rsid w:val="00DE2DFD"/>
    <w:rsid w:val="00DE4BCD"/>
    <w:rsid w:val="00DE57DB"/>
    <w:rsid w:val="00DE6595"/>
    <w:rsid w:val="00DE659B"/>
    <w:rsid w:val="00DF034A"/>
    <w:rsid w:val="00DF03BB"/>
    <w:rsid w:val="00DF0B13"/>
    <w:rsid w:val="00DF0FD7"/>
    <w:rsid w:val="00DF0FEA"/>
    <w:rsid w:val="00DF12E3"/>
    <w:rsid w:val="00DF1E3E"/>
    <w:rsid w:val="00DF1FBB"/>
    <w:rsid w:val="00DF430D"/>
    <w:rsid w:val="00DF4952"/>
    <w:rsid w:val="00DF5B87"/>
    <w:rsid w:val="00DF5C3D"/>
    <w:rsid w:val="00DF7933"/>
    <w:rsid w:val="00DF799F"/>
    <w:rsid w:val="00DF7A05"/>
    <w:rsid w:val="00E006B6"/>
    <w:rsid w:val="00E0080F"/>
    <w:rsid w:val="00E02269"/>
    <w:rsid w:val="00E029D5"/>
    <w:rsid w:val="00E03577"/>
    <w:rsid w:val="00E0378B"/>
    <w:rsid w:val="00E03F23"/>
    <w:rsid w:val="00E05628"/>
    <w:rsid w:val="00E06A26"/>
    <w:rsid w:val="00E06AD6"/>
    <w:rsid w:val="00E07AAE"/>
    <w:rsid w:val="00E07E09"/>
    <w:rsid w:val="00E105B8"/>
    <w:rsid w:val="00E118B9"/>
    <w:rsid w:val="00E12028"/>
    <w:rsid w:val="00E1233C"/>
    <w:rsid w:val="00E1257B"/>
    <w:rsid w:val="00E13009"/>
    <w:rsid w:val="00E13393"/>
    <w:rsid w:val="00E13B6F"/>
    <w:rsid w:val="00E1697E"/>
    <w:rsid w:val="00E16BBA"/>
    <w:rsid w:val="00E177A4"/>
    <w:rsid w:val="00E22500"/>
    <w:rsid w:val="00E227C9"/>
    <w:rsid w:val="00E22F68"/>
    <w:rsid w:val="00E23819"/>
    <w:rsid w:val="00E243F9"/>
    <w:rsid w:val="00E24FB3"/>
    <w:rsid w:val="00E25068"/>
    <w:rsid w:val="00E2557A"/>
    <w:rsid w:val="00E25D81"/>
    <w:rsid w:val="00E26AF2"/>
    <w:rsid w:val="00E26FAE"/>
    <w:rsid w:val="00E2762E"/>
    <w:rsid w:val="00E303E0"/>
    <w:rsid w:val="00E30408"/>
    <w:rsid w:val="00E30EFB"/>
    <w:rsid w:val="00E320DA"/>
    <w:rsid w:val="00E32B86"/>
    <w:rsid w:val="00E33548"/>
    <w:rsid w:val="00E33AC2"/>
    <w:rsid w:val="00E33AD1"/>
    <w:rsid w:val="00E33F8E"/>
    <w:rsid w:val="00E3580C"/>
    <w:rsid w:val="00E35CBE"/>
    <w:rsid w:val="00E3615D"/>
    <w:rsid w:val="00E37F28"/>
    <w:rsid w:val="00E400BB"/>
    <w:rsid w:val="00E40516"/>
    <w:rsid w:val="00E405F5"/>
    <w:rsid w:val="00E4083F"/>
    <w:rsid w:val="00E40CC0"/>
    <w:rsid w:val="00E41521"/>
    <w:rsid w:val="00E42B00"/>
    <w:rsid w:val="00E44698"/>
    <w:rsid w:val="00E44F0D"/>
    <w:rsid w:val="00E455F5"/>
    <w:rsid w:val="00E456A8"/>
    <w:rsid w:val="00E45F2A"/>
    <w:rsid w:val="00E477A3"/>
    <w:rsid w:val="00E47885"/>
    <w:rsid w:val="00E479C2"/>
    <w:rsid w:val="00E47B79"/>
    <w:rsid w:val="00E51E87"/>
    <w:rsid w:val="00E52AC3"/>
    <w:rsid w:val="00E5309B"/>
    <w:rsid w:val="00E53133"/>
    <w:rsid w:val="00E53849"/>
    <w:rsid w:val="00E538D9"/>
    <w:rsid w:val="00E53D0E"/>
    <w:rsid w:val="00E53E04"/>
    <w:rsid w:val="00E54270"/>
    <w:rsid w:val="00E547ED"/>
    <w:rsid w:val="00E554A9"/>
    <w:rsid w:val="00E56197"/>
    <w:rsid w:val="00E56850"/>
    <w:rsid w:val="00E56C7A"/>
    <w:rsid w:val="00E60310"/>
    <w:rsid w:val="00E60CAE"/>
    <w:rsid w:val="00E617C1"/>
    <w:rsid w:val="00E61935"/>
    <w:rsid w:val="00E62B4D"/>
    <w:rsid w:val="00E62EB1"/>
    <w:rsid w:val="00E6358A"/>
    <w:rsid w:val="00E63CB4"/>
    <w:rsid w:val="00E64173"/>
    <w:rsid w:val="00E64263"/>
    <w:rsid w:val="00E6495B"/>
    <w:rsid w:val="00E65A29"/>
    <w:rsid w:val="00E66266"/>
    <w:rsid w:val="00E666FB"/>
    <w:rsid w:val="00E6695E"/>
    <w:rsid w:val="00E66A42"/>
    <w:rsid w:val="00E66C0C"/>
    <w:rsid w:val="00E70D51"/>
    <w:rsid w:val="00E71B13"/>
    <w:rsid w:val="00E71DC2"/>
    <w:rsid w:val="00E72564"/>
    <w:rsid w:val="00E73425"/>
    <w:rsid w:val="00E74359"/>
    <w:rsid w:val="00E77E0E"/>
    <w:rsid w:val="00E77E98"/>
    <w:rsid w:val="00E80DDB"/>
    <w:rsid w:val="00E821D7"/>
    <w:rsid w:val="00E8274E"/>
    <w:rsid w:val="00E87A9C"/>
    <w:rsid w:val="00E87B7D"/>
    <w:rsid w:val="00E87E3D"/>
    <w:rsid w:val="00E87EAD"/>
    <w:rsid w:val="00E9045F"/>
    <w:rsid w:val="00E920C5"/>
    <w:rsid w:val="00E934A6"/>
    <w:rsid w:val="00E958C4"/>
    <w:rsid w:val="00E97011"/>
    <w:rsid w:val="00E97303"/>
    <w:rsid w:val="00E973E3"/>
    <w:rsid w:val="00E978B5"/>
    <w:rsid w:val="00E97D98"/>
    <w:rsid w:val="00EA0048"/>
    <w:rsid w:val="00EA0096"/>
    <w:rsid w:val="00EA0692"/>
    <w:rsid w:val="00EA0DD6"/>
    <w:rsid w:val="00EA1466"/>
    <w:rsid w:val="00EA3363"/>
    <w:rsid w:val="00EA34B8"/>
    <w:rsid w:val="00EA3E7A"/>
    <w:rsid w:val="00EA3FD8"/>
    <w:rsid w:val="00EA4330"/>
    <w:rsid w:val="00EA5EB5"/>
    <w:rsid w:val="00EA5EFF"/>
    <w:rsid w:val="00EA74CD"/>
    <w:rsid w:val="00EB196C"/>
    <w:rsid w:val="00EB2541"/>
    <w:rsid w:val="00EB2A4D"/>
    <w:rsid w:val="00EB349C"/>
    <w:rsid w:val="00EB574C"/>
    <w:rsid w:val="00EB5D91"/>
    <w:rsid w:val="00EB73AE"/>
    <w:rsid w:val="00EC014C"/>
    <w:rsid w:val="00EC07AC"/>
    <w:rsid w:val="00EC102A"/>
    <w:rsid w:val="00EC2129"/>
    <w:rsid w:val="00EC24FD"/>
    <w:rsid w:val="00EC2961"/>
    <w:rsid w:val="00EC3354"/>
    <w:rsid w:val="00EC34DF"/>
    <w:rsid w:val="00EC3C03"/>
    <w:rsid w:val="00EC4DB9"/>
    <w:rsid w:val="00EC57DE"/>
    <w:rsid w:val="00EC66F2"/>
    <w:rsid w:val="00EC7A06"/>
    <w:rsid w:val="00EC7B7C"/>
    <w:rsid w:val="00ED12BE"/>
    <w:rsid w:val="00ED1D39"/>
    <w:rsid w:val="00ED3597"/>
    <w:rsid w:val="00ED485F"/>
    <w:rsid w:val="00ED5598"/>
    <w:rsid w:val="00ED5AF8"/>
    <w:rsid w:val="00ED5EA1"/>
    <w:rsid w:val="00ED6985"/>
    <w:rsid w:val="00ED6B1B"/>
    <w:rsid w:val="00EE02CF"/>
    <w:rsid w:val="00EE0AAC"/>
    <w:rsid w:val="00EE11DA"/>
    <w:rsid w:val="00EE15B3"/>
    <w:rsid w:val="00EE1BC5"/>
    <w:rsid w:val="00EE2345"/>
    <w:rsid w:val="00EE2B66"/>
    <w:rsid w:val="00EE2E28"/>
    <w:rsid w:val="00EE417F"/>
    <w:rsid w:val="00EE470A"/>
    <w:rsid w:val="00EE47E7"/>
    <w:rsid w:val="00EE564A"/>
    <w:rsid w:val="00EE58BF"/>
    <w:rsid w:val="00EE6BDC"/>
    <w:rsid w:val="00EF132F"/>
    <w:rsid w:val="00EF1426"/>
    <w:rsid w:val="00EF1652"/>
    <w:rsid w:val="00EF1C0D"/>
    <w:rsid w:val="00EF24DD"/>
    <w:rsid w:val="00EF2C0A"/>
    <w:rsid w:val="00EF367C"/>
    <w:rsid w:val="00EF3763"/>
    <w:rsid w:val="00EF4FD1"/>
    <w:rsid w:val="00EF5884"/>
    <w:rsid w:val="00EF5A30"/>
    <w:rsid w:val="00EF636C"/>
    <w:rsid w:val="00EF66E3"/>
    <w:rsid w:val="00F00E12"/>
    <w:rsid w:val="00F012B1"/>
    <w:rsid w:val="00F01C3C"/>
    <w:rsid w:val="00F0291D"/>
    <w:rsid w:val="00F029D8"/>
    <w:rsid w:val="00F02B44"/>
    <w:rsid w:val="00F04857"/>
    <w:rsid w:val="00F04D5D"/>
    <w:rsid w:val="00F067C2"/>
    <w:rsid w:val="00F0706C"/>
    <w:rsid w:val="00F07277"/>
    <w:rsid w:val="00F1181C"/>
    <w:rsid w:val="00F125F3"/>
    <w:rsid w:val="00F12C87"/>
    <w:rsid w:val="00F14514"/>
    <w:rsid w:val="00F148B2"/>
    <w:rsid w:val="00F15C6C"/>
    <w:rsid w:val="00F16673"/>
    <w:rsid w:val="00F1779C"/>
    <w:rsid w:val="00F1780A"/>
    <w:rsid w:val="00F17D5E"/>
    <w:rsid w:val="00F17FDA"/>
    <w:rsid w:val="00F2011D"/>
    <w:rsid w:val="00F22455"/>
    <w:rsid w:val="00F23E53"/>
    <w:rsid w:val="00F23E72"/>
    <w:rsid w:val="00F24237"/>
    <w:rsid w:val="00F248A4"/>
    <w:rsid w:val="00F2523B"/>
    <w:rsid w:val="00F252A7"/>
    <w:rsid w:val="00F25CB2"/>
    <w:rsid w:val="00F264CE"/>
    <w:rsid w:val="00F27082"/>
    <w:rsid w:val="00F271C9"/>
    <w:rsid w:val="00F27246"/>
    <w:rsid w:val="00F274BF"/>
    <w:rsid w:val="00F27A32"/>
    <w:rsid w:val="00F27D23"/>
    <w:rsid w:val="00F314A9"/>
    <w:rsid w:val="00F3213A"/>
    <w:rsid w:val="00F3274E"/>
    <w:rsid w:val="00F33539"/>
    <w:rsid w:val="00F345F1"/>
    <w:rsid w:val="00F3462E"/>
    <w:rsid w:val="00F34A8B"/>
    <w:rsid w:val="00F356A6"/>
    <w:rsid w:val="00F35DF9"/>
    <w:rsid w:val="00F35F9A"/>
    <w:rsid w:val="00F3693E"/>
    <w:rsid w:val="00F36A29"/>
    <w:rsid w:val="00F370FC"/>
    <w:rsid w:val="00F40CF0"/>
    <w:rsid w:val="00F41F7F"/>
    <w:rsid w:val="00F42046"/>
    <w:rsid w:val="00F43F29"/>
    <w:rsid w:val="00F456DC"/>
    <w:rsid w:val="00F50E37"/>
    <w:rsid w:val="00F512E8"/>
    <w:rsid w:val="00F5182F"/>
    <w:rsid w:val="00F51BAE"/>
    <w:rsid w:val="00F521A6"/>
    <w:rsid w:val="00F531FC"/>
    <w:rsid w:val="00F54A4A"/>
    <w:rsid w:val="00F56637"/>
    <w:rsid w:val="00F56EAB"/>
    <w:rsid w:val="00F572B7"/>
    <w:rsid w:val="00F57407"/>
    <w:rsid w:val="00F5753F"/>
    <w:rsid w:val="00F57559"/>
    <w:rsid w:val="00F60D93"/>
    <w:rsid w:val="00F616F6"/>
    <w:rsid w:val="00F640BE"/>
    <w:rsid w:val="00F64156"/>
    <w:rsid w:val="00F6431A"/>
    <w:rsid w:val="00F64B7F"/>
    <w:rsid w:val="00F65FBE"/>
    <w:rsid w:val="00F66FEC"/>
    <w:rsid w:val="00F679DA"/>
    <w:rsid w:val="00F70979"/>
    <w:rsid w:val="00F70FCE"/>
    <w:rsid w:val="00F71B43"/>
    <w:rsid w:val="00F71F72"/>
    <w:rsid w:val="00F76037"/>
    <w:rsid w:val="00F7637F"/>
    <w:rsid w:val="00F766DA"/>
    <w:rsid w:val="00F77B22"/>
    <w:rsid w:val="00F77BA2"/>
    <w:rsid w:val="00F8053B"/>
    <w:rsid w:val="00F80F4C"/>
    <w:rsid w:val="00F81F7D"/>
    <w:rsid w:val="00F83154"/>
    <w:rsid w:val="00F83CF1"/>
    <w:rsid w:val="00F84107"/>
    <w:rsid w:val="00F85035"/>
    <w:rsid w:val="00F858C6"/>
    <w:rsid w:val="00F87A0D"/>
    <w:rsid w:val="00F923E9"/>
    <w:rsid w:val="00F9259A"/>
    <w:rsid w:val="00F92840"/>
    <w:rsid w:val="00F92DC1"/>
    <w:rsid w:val="00F93BCE"/>
    <w:rsid w:val="00F93D48"/>
    <w:rsid w:val="00F95C6D"/>
    <w:rsid w:val="00F9738A"/>
    <w:rsid w:val="00F974F3"/>
    <w:rsid w:val="00F97B20"/>
    <w:rsid w:val="00FA0B91"/>
    <w:rsid w:val="00FA1842"/>
    <w:rsid w:val="00FA1A8F"/>
    <w:rsid w:val="00FA29EF"/>
    <w:rsid w:val="00FA3709"/>
    <w:rsid w:val="00FA3993"/>
    <w:rsid w:val="00FA3EA5"/>
    <w:rsid w:val="00FA43C2"/>
    <w:rsid w:val="00FA4F5E"/>
    <w:rsid w:val="00FA57ED"/>
    <w:rsid w:val="00FA5985"/>
    <w:rsid w:val="00FA6A77"/>
    <w:rsid w:val="00FA6B7D"/>
    <w:rsid w:val="00FB03BD"/>
    <w:rsid w:val="00FB11A0"/>
    <w:rsid w:val="00FB265B"/>
    <w:rsid w:val="00FB3FE6"/>
    <w:rsid w:val="00FB4C94"/>
    <w:rsid w:val="00FB5CF8"/>
    <w:rsid w:val="00FB6248"/>
    <w:rsid w:val="00FB6BE5"/>
    <w:rsid w:val="00FC044C"/>
    <w:rsid w:val="00FC0A4B"/>
    <w:rsid w:val="00FC3188"/>
    <w:rsid w:val="00FC4494"/>
    <w:rsid w:val="00FC4AFC"/>
    <w:rsid w:val="00FC5B9B"/>
    <w:rsid w:val="00FD08A7"/>
    <w:rsid w:val="00FD0974"/>
    <w:rsid w:val="00FD1207"/>
    <w:rsid w:val="00FD188A"/>
    <w:rsid w:val="00FD1905"/>
    <w:rsid w:val="00FD1C7E"/>
    <w:rsid w:val="00FD1D32"/>
    <w:rsid w:val="00FD4C67"/>
    <w:rsid w:val="00FD4E6D"/>
    <w:rsid w:val="00FD5259"/>
    <w:rsid w:val="00FD71D1"/>
    <w:rsid w:val="00FE03A0"/>
    <w:rsid w:val="00FE0DF1"/>
    <w:rsid w:val="00FE12B4"/>
    <w:rsid w:val="00FE1AD5"/>
    <w:rsid w:val="00FE1E56"/>
    <w:rsid w:val="00FE211E"/>
    <w:rsid w:val="00FE2603"/>
    <w:rsid w:val="00FE3625"/>
    <w:rsid w:val="00FE3911"/>
    <w:rsid w:val="00FE3B6E"/>
    <w:rsid w:val="00FE4CE7"/>
    <w:rsid w:val="00FE5B2A"/>
    <w:rsid w:val="00FE6443"/>
    <w:rsid w:val="00FE6685"/>
    <w:rsid w:val="00FE7213"/>
    <w:rsid w:val="00FE7C9C"/>
    <w:rsid w:val="00FF0154"/>
    <w:rsid w:val="00FF07D7"/>
    <w:rsid w:val="00FF1A1E"/>
    <w:rsid w:val="00FF20A4"/>
    <w:rsid w:val="00FF2DBC"/>
    <w:rsid w:val="00FF2F42"/>
    <w:rsid w:val="00FF425C"/>
    <w:rsid w:val="00FF57AF"/>
    <w:rsid w:val="00FF657C"/>
    <w:rsid w:val="00FF68DD"/>
    <w:rsid w:val="00FF7858"/>
    <w:rsid w:val="00FF7EA6"/>
    <w:rsid w:val="013A1130"/>
    <w:rsid w:val="01474512"/>
    <w:rsid w:val="01AB4491"/>
    <w:rsid w:val="01B53780"/>
    <w:rsid w:val="01DB3C18"/>
    <w:rsid w:val="02201250"/>
    <w:rsid w:val="02236824"/>
    <w:rsid w:val="02670091"/>
    <w:rsid w:val="028426B0"/>
    <w:rsid w:val="02885499"/>
    <w:rsid w:val="02992DB8"/>
    <w:rsid w:val="02AE35CB"/>
    <w:rsid w:val="0301696B"/>
    <w:rsid w:val="03031BA4"/>
    <w:rsid w:val="031B2597"/>
    <w:rsid w:val="0348616E"/>
    <w:rsid w:val="037763AB"/>
    <w:rsid w:val="03AB679F"/>
    <w:rsid w:val="03D012A8"/>
    <w:rsid w:val="041222D4"/>
    <w:rsid w:val="04554B7E"/>
    <w:rsid w:val="04625CA9"/>
    <w:rsid w:val="0476464C"/>
    <w:rsid w:val="04BF387D"/>
    <w:rsid w:val="04F92F58"/>
    <w:rsid w:val="05551C16"/>
    <w:rsid w:val="057D35B7"/>
    <w:rsid w:val="059233AC"/>
    <w:rsid w:val="0598690D"/>
    <w:rsid w:val="059B3AAE"/>
    <w:rsid w:val="05A80EFD"/>
    <w:rsid w:val="05A97EF2"/>
    <w:rsid w:val="05C86530"/>
    <w:rsid w:val="05FD12F1"/>
    <w:rsid w:val="06010BB0"/>
    <w:rsid w:val="06150FA8"/>
    <w:rsid w:val="062B4BF2"/>
    <w:rsid w:val="0686670B"/>
    <w:rsid w:val="06984505"/>
    <w:rsid w:val="07054C6D"/>
    <w:rsid w:val="076013E0"/>
    <w:rsid w:val="079375B6"/>
    <w:rsid w:val="07B70998"/>
    <w:rsid w:val="07C16FF9"/>
    <w:rsid w:val="07F54BC0"/>
    <w:rsid w:val="082008CE"/>
    <w:rsid w:val="084E3529"/>
    <w:rsid w:val="08724419"/>
    <w:rsid w:val="08732BE6"/>
    <w:rsid w:val="088D64CF"/>
    <w:rsid w:val="08DF221C"/>
    <w:rsid w:val="08F45FE8"/>
    <w:rsid w:val="094D23D2"/>
    <w:rsid w:val="095B20FB"/>
    <w:rsid w:val="096B180A"/>
    <w:rsid w:val="09705438"/>
    <w:rsid w:val="09933D81"/>
    <w:rsid w:val="09A04D49"/>
    <w:rsid w:val="09A815EF"/>
    <w:rsid w:val="09BF0A5F"/>
    <w:rsid w:val="09E7370B"/>
    <w:rsid w:val="09ED6FFA"/>
    <w:rsid w:val="09F37181"/>
    <w:rsid w:val="09FF14CE"/>
    <w:rsid w:val="0A3F2825"/>
    <w:rsid w:val="0A7C48D4"/>
    <w:rsid w:val="0A800311"/>
    <w:rsid w:val="0A897CE9"/>
    <w:rsid w:val="0AAC779A"/>
    <w:rsid w:val="0AC422BA"/>
    <w:rsid w:val="0AEC3899"/>
    <w:rsid w:val="0B1672A2"/>
    <w:rsid w:val="0B6D3222"/>
    <w:rsid w:val="0BCF050F"/>
    <w:rsid w:val="0BD163ED"/>
    <w:rsid w:val="0C566760"/>
    <w:rsid w:val="0C64421C"/>
    <w:rsid w:val="0CB633D9"/>
    <w:rsid w:val="0D0A5D09"/>
    <w:rsid w:val="0D12317E"/>
    <w:rsid w:val="0D521B34"/>
    <w:rsid w:val="0D533931"/>
    <w:rsid w:val="0D8060B5"/>
    <w:rsid w:val="0DFB7AC2"/>
    <w:rsid w:val="0E0A7653"/>
    <w:rsid w:val="0E487CD8"/>
    <w:rsid w:val="0E7526B5"/>
    <w:rsid w:val="0EA87102"/>
    <w:rsid w:val="0F1E000F"/>
    <w:rsid w:val="0F6F5CAE"/>
    <w:rsid w:val="0F7F6700"/>
    <w:rsid w:val="0FAB0FA8"/>
    <w:rsid w:val="0FE92C15"/>
    <w:rsid w:val="100168CC"/>
    <w:rsid w:val="10435247"/>
    <w:rsid w:val="10817ED7"/>
    <w:rsid w:val="109D1B85"/>
    <w:rsid w:val="10C733E0"/>
    <w:rsid w:val="10CE67C0"/>
    <w:rsid w:val="10F519F2"/>
    <w:rsid w:val="11481A01"/>
    <w:rsid w:val="11647498"/>
    <w:rsid w:val="11B774CC"/>
    <w:rsid w:val="11BE1624"/>
    <w:rsid w:val="11BE2404"/>
    <w:rsid w:val="11D3202B"/>
    <w:rsid w:val="11DF68DF"/>
    <w:rsid w:val="11E43329"/>
    <w:rsid w:val="120454F1"/>
    <w:rsid w:val="125D0261"/>
    <w:rsid w:val="125E6002"/>
    <w:rsid w:val="12A642AC"/>
    <w:rsid w:val="12C276E5"/>
    <w:rsid w:val="12F05378"/>
    <w:rsid w:val="12FA13F5"/>
    <w:rsid w:val="130A06A1"/>
    <w:rsid w:val="132C75E5"/>
    <w:rsid w:val="1391198A"/>
    <w:rsid w:val="13B30E0B"/>
    <w:rsid w:val="13EA57B4"/>
    <w:rsid w:val="14042496"/>
    <w:rsid w:val="142C015D"/>
    <w:rsid w:val="147439AB"/>
    <w:rsid w:val="147C5C35"/>
    <w:rsid w:val="14BA3EE0"/>
    <w:rsid w:val="14DB3B34"/>
    <w:rsid w:val="15032A5B"/>
    <w:rsid w:val="154B2D8E"/>
    <w:rsid w:val="154F6435"/>
    <w:rsid w:val="156B1BAF"/>
    <w:rsid w:val="159D60AA"/>
    <w:rsid w:val="159F4F27"/>
    <w:rsid w:val="15F54BC5"/>
    <w:rsid w:val="160E074B"/>
    <w:rsid w:val="161533F4"/>
    <w:rsid w:val="163B318B"/>
    <w:rsid w:val="166951DF"/>
    <w:rsid w:val="16823E01"/>
    <w:rsid w:val="168A7548"/>
    <w:rsid w:val="168E35F3"/>
    <w:rsid w:val="16A55344"/>
    <w:rsid w:val="16D704B9"/>
    <w:rsid w:val="170550E7"/>
    <w:rsid w:val="170C0021"/>
    <w:rsid w:val="174B0860"/>
    <w:rsid w:val="17637C2E"/>
    <w:rsid w:val="178072CB"/>
    <w:rsid w:val="179B12F7"/>
    <w:rsid w:val="17C41AE7"/>
    <w:rsid w:val="17C5097C"/>
    <w:rsid w:val="17CD7F2C"/>
    <w:rsid w:val="17F35790"/>
    <w:rsid w:val="17FD0542"/>
    <w:rsid w:val="18AC3253"/>
    <w:rsid w:val="18C01770"/>
    <w:rsid w:val="192E5C4E"/>
    <w:rsid w:val="193D5985"/>
    <w:rsid w:val="19416DFD"/>
    <w:rsid w:val="194444AB"/>
    <w:rsid w:val="194B4F34"/>
    <w:rsid w:val="19503D2D"/>
    <w:rsid w:val="19507E5C"/>
    <w:rsid w:val="19B62CB0"/>
    <w:rsid w:val="1A012B5F"/>
    <w:rsid w:val="1A084772"/>
    <w:rsid w:val="1A110090"/>
    <w:rsid w:val="1A275168"/>
    <w:rsid w:val="1A4C04ED"/>
    <w:rsid w:val="1A4D7C55"/>
    <w:rsid w:val="1A5D6BD9"/>
    <w:rsid w:val="1AA33CBC"/>
    <w:rsid w:val="1ADD18E5"/>
    <w:rsid w:val="1AF91405"/>
    <w:rsid w:val="1AF95386"/>
    <w:rsid w:val="1B30632B"/>
    <w:rsid w:val="1B3D3845"/>
    <w:rsid w:val="1B531A1C"/>
    <w:rsid w:val="1B546478"/>
    <w:rsid w:val="1B773F37"/>
    <w:rsid w:val="1B7E45CC"/>
    <w:rsid w:val="1BB94FA0"/>
    <w:rsid w:val="1BCC4D5A"/>
    <w:rsid w:val="1BD21818"/>
    <w:rsid w:val="1BE95AA6"/>
    <w:rsid w:val="1C433895"/>
    <w:rsid w:val="1C515DB3"/>
    <w:rsid w:val="1C551C36"/>
    <w:rsid w:val="1D2F0A85"/>
    <w:rsid w:val="1D49300A"/>
    <w:rsid w:val="1D6C20DF"/>
    <w:rsid w:val="1D6F10B5"/>
    <w:rsid w:val="1D950DF5"/>
    <w:rsid w:val="1DE354B6"/>
    <w:rsid w:val="1E491587"/>
    <w:rsid w:val="1EBE3259"/>
    <w:rsid w:val="1EBF464D"/>
    <w:rsid w:val="1EC16D2C"/>
    <w:rsid w:val="1EC835CB"/>
    <w:rsid w:val="1EE14F15"/>
    <w:rsid w:val="1F2C7FBC"/>
    <w:rsid w:val="1FBA6CCE"/>
    <w:rsid w:val="1FC4099A"/>
    <w:rsid w:val="1FF76471"/>
    <w:rsid w:val="20046FD1"/>
    <w:rsid w:val="201574A1"/>
    <w:rsid w:val="20183540"/>
    <w:rsid w:val="201B6574"/>
    <w:rsid w:val="20822DE8"/>
    <w:rsid w:val="209B00B8"/>
    <w:rsid w:val="20CB5CFA"/>
    <w:rsid w:val="20CC07CE"/>
    <w:rsid w:val="21014A8D"/>
    <w:rsid w:val="214A5106"/>
    <w:rsid w:val="21560235"/>
    <w:rsid w:val="21913DBA"/>
    <w:rsid w:val="222416AA"/>
    <w:rsid w:val="22246FF4"/>
    <w:rsid w:val="223F32AD"/>
    <w:rsid w:val="22564C3B"/>
    <w:rsid w:val="226E18D2"/>
    <w:rsid w:val="227117F0"/>
    <w:rsid w:val="229032BC"/>
    <w:rsid w:val="22E91128"/>
    <w:rsid w:val="23023468"/>
    <w:rsid w:val="23113D5E"/>
    <w:rsid w:val="23283A0B"/>
    <w:rsid w:val="23345E0E"/>
    <w:rsid w:val="23CD1FB5"/>
    <w:rsid w:val="23EE4811"/>
    <w:rsid w:val="23F4633A"/>
    <w:rsid w:val="23F519CD"/>
    <w:rsid w:val="2408451B"/>
    <w:rsid w:val="24287BD3"/>
    <w:rsid w:val="24340275"/>
    <w:rsid w:val="24691523"/>
    <w:rsid w:val="24783FC0"/>
    <w:rsid w:val="24795DAD"/>
    <w:rsid w:val="248F341C"/>
    <w:rsid w:val="24983B90"/>
    <w:rsid w:val="24AC7022"/>
    <w:rsid w:val="24E21EE4"/>
    <w:rsid w:val="24F417CC"/>
    <w:rsid w:val="250658E9"/>
    <w:rsid w:val="250C0AFF"/>
    <w:rsid w:val="25CD6E0D"/>
    <w:rsid w:val="25D55E6F"/>
    <w:rsid w:val="263059F4"/>
    <w:rsid w:val="265E792E"/>
    <w:rsid w:val="26647764"/>
    <w:rsid w:val="26BE7FC3"/>
    <w:rsid w:val="26F85FDC"/>
    <w:rsid w:val="27535BB4"/>
    <w:rsid w:val="2760332F"/>
    <w:rsid w:val="27705C82"/>
    <w:rsid w:val="27902B5C"/>
    <w:rsid w:val="27EE2546"/>
    <w:rsid w:val="28222BD0"/>
    <w:rsid w:val="28BE6AD5"/>
    <w:rsid w:val="28C2798E"/>
    <w:rsid w:val="28E46616"/>
    <w:rsid w:val="28FC2B64"/>
    <w:rsid w:val="290B52A5"/>
    <w:rsid w:val="2975179A"/>
    <w:rsid w:val="29992D97"/>
    <w:rsid w:val="29AD7DEE"/>
    <w:rsid w:val="29E83B4C"/>
    <w:rsid w:val="2A32641D"/>
    <w:rsid w:val="2A5B30DB"/>
    <w:rsid w:val="2A830702"/>
    <w:rsid w:val="2ABE5E63"/>
    <w:rsid w:val="2AFD3C60"/>
    <w:rsid w:val="2B4B5EFD"/>
    <w:rsid w:val="2B6834ED"/>
    <w:rsid w:val="2B6C1F78"/>
    <w:rsid w:val="2BA2006A"/>
    <w:rsid w:val="2BFE3890"/>
    <w:rsid w:val="2C05252B"/>
    <w:rsid w:val="2C0F4C44"/>
    <w:rsid w:val="2C2939C1"/>
    <w:rsid w:val="2C323456"/>
    <w:rsid w:val="2C607F08"/>
    <w:rsid w:val="2C8827D8"/>
    <w:rsid w:val="2C8B6B16"/>
    <w:rsid w:val="2CF12614"/>
    <w:rsid w:val="2CFC5AFB"/>
    <w:rsid w:val="2D4A1A33"/>
    <w:rsid w:val="2D691EA6"/>
    <w:rsid w:val="2D780DA1"/>
    <w:rsid w:val="2DC22B77"/>
    <w:rsid w:val="2DD070FC"/>
    <w:rsid w:val="2DD309F0"/>
    <w:rsid w:val="2DDB2055"/>
    <w:rsid w:val="2E236631"/>
    <w:rsid w:val="2E3655A5"/>
    <w:rsid w:val="2E5D662D"/>
    <w:rsid w:val="2E9A6D8E"/>
    <w:rsid w:val="2ECE67BF"/>
    <w:rsid w:val="2F136099"/>
    <w:rsid w:val="2F3B15D1"/>
    <w:rsid w:val="2FD67739"/>
    <w:rsid w:val="30703B41"/>
    <w:rsid w:val="30830218"/>
    <w:rsid w:val="30A66553"/>
    <w:rsid w:val="30C52AF8"/>
    <w:rsid w:val="31195BDD"/>
    <w:rsid w:val="312377B2"/>
    <w:rsid w:val="31552BA5"/>
    <w:rsid w:val="31626EEC"/>
    <w:rsid w:val="316516F3"/>
    <w:rsid w:val="31904461"/>
    <w:rsid w:val="31991E4B"/>
    <w:rsid w:val="31BA1499"/>
    <w:rsid w:val="31E53686"/>
    <w:rsid w:val="31F22C35"/>
    <w:rsid w:val="31F46EB4"/>
    <w:rsid w:val="322446D7"/>
    <w:rsid w:val="32556B94"/>
    <w:rsid w:val="327370F7"/>
    <w:rsid w:val="32862880"/>
    <w:rsid w:val="32997283"/>
    <w:rsid w:val="32B30C96"/>
    <w:rsid w:val="32D32FB2"/>
    <w:rsid w:val="32E3795F"/>
    <w:rsid w:val="335761D7"/>
    <w:rsid w:val="33633134"/>
    <w:rsid w:val="336E60F4"/>
    <w:rsid w:val="339300E8"/>
    <w:rsid w:val="33C42128"/>
    <w:rsid w:val="34165AD2"/>
    <w:rsid w:val="342C1FFE"/>
    <w:rsid w:val="34D74C20"/>
    <w:rsid w:val="34DD55F3"/>
    <w:rsid w:val="35006110"/>
    <w:rsid w:val="353051D1"/>
    <w:rsid w:val="354624E7"/>
    <w:rsid w:val="35A317D2"/>
    <w:rsid w:val="35B92E47"/>
    <w:rsid w:val="35F81B76"/>
    <w:rsid w:val="36080AAF"/>
    <w:rsid w:val="361C2D95"/>
    <w:rsid w:val="3677286F"/>
    <w:rsid w:val="36937331"/>
    <w:rsid w:val="36963E03"/>
    <w:rsid w:val="369C1CDA"/>
    <w:rsid w:val="36B55F6B"/>
    <w:rsid w:val="36C900B7"/>
    <w:rsid w:val="36F0250E"/>
    <w:rsid w:val="370D0CC0"/>
    <w:rsid w:val="37316B00"/>
    <w:rsid w:val="37396ED7"/>
    <w:rsid w:val="37E80F39"/>
    <w:rsid w:val="37F41BB3"/>
    <w:rsid w:val="38157B80"/>
    <w:rsid w:val="382F5281"/>
    <w:rsid w:val="38455D28"/>
    <w:rsid w:val="3849224A"/>
    <w:rsid w:val="38592026"/>
    <w:rsid w:val="38654E64"/>
    <w:rsid w:val="38CD18D2"/>
    <w:rsid w:val="39B1799E"/>
    <w:rsid w:val="3A0342CF"/>
    <w:rsid w:val="3A1C3277"/>
    <w:rsid w:val="3A496F92"/>
    <w:rsid w:val="3A8C029D"/>
    <w:rsid w:val="3B3B0F7A"/>
    <w:rsid w:val="3B7D4803"/>
    <w:rsid w:val="3B9D70F7"/>
    <w:rsid w:val="3BBC0B3B"/>
    <w:rsid w:val="3BDB63DE"/>
    <w:rsid w:val="3C022718"/>
    <w:rsid w:val="3C1770DA"/>
    <w:rsid w:val="3C2678ED"/>
    <w:rsid w:val="3C760D23"/>
    <w:rsid w:val="3C8F5F78"/>
    <w:rsid w:val="3CEB1852"/>
    <w:rsid w:val="3D0F5AFE"/>
    <w:rsid w:val="3D412BBC"/>
    <w:rsid w:val="3D461C6C"/>
    <w:rsid w:val="3D482F03"/>
    <w:rsid w:val="3D81332B"/>
    <w:rsid w:val="3DCE17F9"/>
    <w:rsid w:val="3DD63BA2"/>
    <w:rsid w:val="3E252E76"/>
    <w:rsid w:val="3E3844DE"/>
    <w:rsid w:val="3E55777D"/>
    <w:rsid w:val="3E5D33E1"/>
    <w:rsid w:val="3E6E0EFD"/>
    <w:rsid w:val="3E743817"/>
    <w:rsid w:val="3E9E5DB4"/>
    <w:rsid w:val="3EC035FB"/>
    <w:rsid w:val="3EEB72C9"/>
    <w:rsid w:val="3F023062"/>
    <w:rsid w:val="3F1464BB"/>
    <w:rsid w:val="3F471A10"/>
    <w:rsid w:val="3F5102FC"/>
    <w:rsid w:val="3F662721"/>
    <w:rsid w:val="3F83211A"/>
    <w:rsid w:val="3F9107FC"/>
    <w:rsid w:val="3F9F114C"/>
    <w:rsid w:val="3FBE237E"/>
    <w:rsid w:val="3FC30C1E"/>
    <w:rsid w:val="3FCB6996"/>
    <w:rsid w:val="3FD008F7"/>
    <w:rsid w:val="3FDC2B95"/>
    <w:rsid w:val="400C28DB"/>
    <w:rsid w:val="4062059F"/>
    <w:rsid w:val="40B842F4"/>
    <w:rsid w:val="41122B16"/>
    <w:rsid w:val="41294A54"/>
    <w:rsid w:val="416870FB"/>
    <w:rsid w:val="41912701"/>
    <w:rsid w:val="41AC52E3"/>
    <w:rsid w:val="41B22539"/>
    <w:rsid w:val="41CE7D37"/>
    <w:rsid w:val="41D85F1B"/>
    <w:rsid w:val="41E339FE"/>
    <w:rsid w:val="41FA15A4"/>
    <w:rsid w:val="42012363"/>
    <w:rsid w:val="421835AC"/>
    <w:rsid w:val="42355F51"/>
    <w:rsid w:val="42465FDE"/>
    <w:rsid w:val="427417CC"/>
    <w:rsid w:val="42884742"/>
    <w:rsid w:val="42890273"/>
    <w:rsid w:val="42AE5AE3"/>
    <w:rsid w:val="42D03F07"/>
    <w:rsid w:val="42EA02F6"/>
    <w:rsid w:val="43205265"/>
    <w:rsid w:val="435A19B8"/>
    <w:rsid w:val="436F77C0"/>
    <w:rsid w:val="439610D7"/>
    <w:rsid w:val="43A34DB1"/>
    <w:rsid w:val="43B95D26"/>
    <w:rsid w:val="43B97087"/>
    <w:rsid w:val="43C85B6C"/>
    <w:rsid w:val="43DE4B5B"/>
    <w:rsid w:val="44203F0E"/>
    <w:rsid w:val="444075FB"/>
    <w:rsid w:val="44717C3B"/>
    <w:rsid w:val="44BE65E0"/>
    <w:rsid w:val="44F50EFC"/>
    <w:rsid w:val="45045AC7"/>
    <w:rsid w:val="455F7633"/>
    <w:rsid w:val="457E3FDF"/>
    <w:rsid w:val="458E64E3"/>
    <w:rsid w:val="45A936D6"/>
    <w:rsid w:val="45D43EAD"/>
    <w:rsid w:val="465D36F9"/>
    <w:rsid w:val="46685710"/>
    <w:rsid w:val="46DF0366"/>
    <w:rsid w:val="47044815"/>
    <w:rsid w:val="471D5D1F"/>
    <w:rsid w:val="472A4DB0"/>
    <w:rsid w:val="4738342D"/>
    <w:rsid w:val="47C5448F"/>
    <w:rsid w:val="48506B8D"/>
    <w:rsid w:val="486C005E"/>
    <w:rsid w:val="48BC6346"/>
    <w:rsid w:val="48BD58BF"/>
    <w:rsid w:val="48E20288"/>
    <w:rsid w:val="490B5807"/>
    <w:rsid w:val="49197452"/>
    <w:rsid w:val="49652EED"/>
    <w:rsid w:val="49732E87"/>
    <w:rsid w:val="49D2063E"/>
    <w:rsid w:val="49FF35F0"/>
    <w:rsid w:val="4A1F57D9"/>
    <w:rsid w:val="4A2D71FF"/>
    <w:rsid w:val="4A8E43FC"/>
    <w:rsid w:val="4AB15E2F"/>
    <w:rsid w:val="4AD64D18"/>
    <w:rsid w:val="4B153050"/>
    <w:rsid w:val="4B582BD7"/>
    <w:rsid w:val="4B670137"/>
    <w:rsid w:val="4B9C0EE4"/>
    <w:rsid w:val="4BC55EC0"/>
    <w:rsid w:val="4BDB4ECF"/>
    <w:rsid w:val="4BE258DE"/>
    <w:rsid w:val="4C2058DD"/>
    <w:rsid w:val="4C582B91"/>
    <w:rsid w:val="4C856298"/>
    <w:rsid w:val="4D1F2B08"/>
    <w:rsid w:val="4D202F62"/>
    <w:rsid w:val="4D414D00"/>
    <w:rsid w:val="4D4250FA"/>
    <w:rsid w:val="4D7F25C1"/>
    <w:rsid w:val="4DCB2E58"/>
    <w:rsid w:val="4DEE4222"/>
    <w:rsid w:val="4DEF4110"/>
    <w:rsid w:val="4DF76EC4"/>
    <w:rsid w:val="4E277758"/>
    <w:rsid w:val="4E41583C"/>
    <w:rsid w:val="4E7D5B54"/>
    <w:rsid w:val="4E8004B4"/>
    <w:rsid w:val="4EA86BDB"/>
    <w:rsid w:val="4EE05226"/>
    <w:rsid w:val="4EE851A5"/>
    <w:rsid w:val="4F140B78"/>
    <w:rsid w:val="4F2518BB"/>
    <w:rsid w:val="4F5E7ECC"/>
    <w:rsid w:val="4F6C231D"/>
    <w:rsid w:val="4FA47FEB"/>
    <w:rsid w:val="50263228"/>
    <w:rsid w:val="50265F97"/>
    <w:rsid w:val="50581F89"/>
    <w:rsid w:val="50D802B2"/>
    <w:rsid w:val="50E13A61"/>
    <w:rsid w:val="50E768C2"/>
    <w:rsid w:val="510332A5"/>
    <w:rsid w:val="51453626"/>
    <w:rsid w:val="5146382D"/>
    <w:rsid w:val="517459E7"/>
    <w:rsid w:val="518911B3"/>
    <w:rsid w:val="519604B6"/>
    <w:rsid w:val="51B93E1F"/>
    <w:rsid w:val="51BA1695"/>
    <w:rsid w:val="51CC4063"/>
    <w:rsid w:val="51FE1D3C"/>
    <w:rsid w:val="521B756B"/>
    <w:rsid w:val="523D1809"/>
    <w:rsid w:val="528C16DA"/>
    <w:rsid w:val="529F0403"/>
    <w:rsid w:val="52A5602D"/>
    <w:rsid w:val="52CE3B68"/>
    <w:rsid w:val="52FC2B21"/>
    <w:rsid w:val="535D2658"/>
    <w:rsid w:val="53782955"/>
    <w:rsid w:val="539D27B9"/>
    <w:rsid w:val="53AB6D1A"/>
    <w:rsid w:val="540B48F1"/>
    <w:rsid w:val="540F274E"/>
    <w:rsid w:val="54114993"/>
    <w:rsid w:val="542D1506"/>
    <w:rsid w:val="542F516B"/>
    <w:rsid w:val="549A4BCA"/>
    <w:rsid w:val="54B9674D"/>
    <w:rsid w:val="54C52B79"/>
    <w:rsid w:val="54F24A86"/>
    <w:rsid w:val="553118B0"/>
    <w:rsid w:val="5548424A"/>
    <w:rsid w:val="559001B2"/>
    <w:rsid w:val="55B2291D"/>
    <w:rsid w:val="5609005D"/>
    <w:rsid w:val="562B44C2"/>
    <w:rsid w:val="56502D1C"/>
    <w:rsid w:val="565616CF"/>
    <w:rsid w:val="568D06DF"/>
    <w:rsid w:val="56B14CDE"/>
    <w:rsid w:val="56CC59F9"/>
    <w:rsid w:val="576E2CF5"/>
    <w:rsid w:val="58290EC7"/>
    <w:rsid w:val="58507B2C"/>
    <w:rsid w:val="587D64B7"/>
    <w:rsid w:val="58AC24B2"/>
    <w:rsid w:val="58B87927"/>
    <w:rsid w:val="58BB0954"/>
    <w:rsid w:val="58D60A67"/>
    <w:rsid w:val="5907399F"/>
    <w:rsid w:val="593144FC"/>
    <w:rsid w:val="593E5E46"/>
    <w:rsid w:val="59530660"/>
    <w:rsid w:val="59662F67"/>
    <w:rsid w:val="59B37637"/>
    <w:rsid w:val="5A0E2665"/>
    <w:rsid w:val="5A1C3CD4"/>
    <w:rsid w:val="5A362FB0"/>
    <w:rsid w:val="5A521EF4"/>
    <w:rsid w:val="5A5B76C5"/>
    <w:rsid w:val="5A6D682C"/>
    <w:rsid w:val="5AEB3B33"/>
    <w:rsid w:val="5AF17991"/>
    <w:rsid w:val="5B3B15CF"/>
    <w:rsid w:val="5B5C53ED"/>
    <w:rsid w:val="5B72246E"/>
    <w:rsid w:val="5B7347E8"/>
    <w:rsid w:val="5B8A1F98"/>
    <w:rsid w:val="5BCE38F5"/>
    <w:rsid w:val="5BDC60C9"/>
    <w:rsid w:val="5C3204A7"/>
    <w:rsid w:val="5C4E49A2"/>
    <w:rsid w:val="5C5408DC"/>
    <w:rsid w:val="5C725E17"/>
    <w:rsid w:val="5C7F7496"/>
    <w:rsid w:val="5C9F22D2"/>
    <w:rsid w:val="5CBA5771"/>
    <w:rsid w:val="5CCA218F"/>
    <w:rsid w:val="5CCA5A2B"/>
    <w:rsid w:val="5D1A42DE"/>
    <w:rsid w:val="5D4221F0"/>
    <w:rsid w:val="5D690CC4"/>
    <w:rsid w:val="5D8456FE"/>
    <w:rsid w:val="5DA70C1F"/>
    <w:rsid w:val="5E057968"/>
    <w:rsid w:val="5E932020"/>
    <w:rsid w:val="5EA270D1"/>
    <w:rsid w:val="5EA82DB6"/>
    <w:rsid w:val="5EA90FD9"/>
    <w:rsid w:val="5F001790"/>
    <w:rsid w:val="5F112FEA"/>
    <w:rsid w:val="5F2E1060"/>
    <w:rsid w:val="5F726888"/>
    <w:rsid w:val="5F751977"/>
    <w:rsid w:val="5F8C1DE2"/>
    <w:rsid w:val="600913B2"/>
    <w:rsid w:val="60754BB7"/>
    <w:rsid w:val="60764CF9"/>
    <w:rsid w:val="609160BF"/>
    <w:rsid w:val="609163EC"/>
    <w:rsid w:val="60E75D8B"/>
    <w:rsid w:val="610A32A7"/>
    <w:rsid w:val="61172C8F"/>
    <w:rsid w:val="613E4824"/>
    <w:rsid w:val="6146422C"/>
    <w:rsid w:val="61552F0D"/>
    <w:rsid w:val="61786A45"/>
    <w:rsid w:val="618D4CD1"/>
    <w:rsid w:val="61B8661C"/>
    <w:rsid w:val="61C72EAB"/>
    <w:rsid w:val="61DC549C"/>
    <w:rsid w:val="61DC63F3"/>
    <w:rsid w:val="62097ACE"/>
    <w:rsid w:val="620B111A"/>
    <w:rsid w:val="620B22C0"/>
    <w:rsid w:val="62120667"/>
    <w:rsid w:val="623E7551"/>
    <w:rsid w:val="623F5F65"/>
    <w:rsid w:val="624A5543"/>
    <w:rsid w:val="62783EB1"/>
    <w:rsid w:val="62E00992"/>
    <w:rsid w:val="62FB32C7"/>
    <w:rsid w:val="63091291"/>
    <w:rsid w:val="6312215F"/>
    <w:rsid w:val="632B1961"/>
    <w:rsid w:val="632B29CD"/>
    <w:rsid w:val="63462E7A"/>
    <w:rsid w:val="63AC6F8D"/>
    <w:rsid w:val="63CA6489"/>
    <w:rsid w:val="63E04A22"/>
    <w:rsid w:val="63E35D12"/>
    <w:rsid w:val="63FE4EB5"/>
    <w:rsid w:val="64014D19"/>
    <w:rsid w:val="640749E9"/>
    <w:rsid w:val="64486DFF"/>
    <w:rsid w:val="64522A2D"/>
    <w:rsid w:val="645C08F1"/>
    <w:rsid w:val="648A47B6"/>
    <w:rsid w:val="648F4E80"/>
    <w:rsid w:val="649C015F"/>
    <w:rsid w:val="65676711"/>
    <w:rsid w:val="65D86E7B"/>
    <w:rsid w:val="6699657F"/>
    <w:rsid w:val="66F74058"/>
    <w:rsid w:val="670B0904"/>
    <w:rsid w:val="671F6FDB"/>
    <w:rsid w:val="67372716"/>
    <w:rsid w:val="6742100C"/>
    <w:rsid w:val="675E4D8F"/>
    <w:rsid w:val="676F4F44"/>
    <w:rsid w:val="679720DB"/>
    <w:rsid w:val="67BB3C02"/>
    <w:rsid w:val="68127CA1"/>
    <w:rsid w:val="682626D6"/>
    <w:rsid w:val="68462EA0"/>
    <w:rsid w:val="68542E83"/>
    <w:rsid w:val="68A13454"/>
    <w:rsid w:val="69300193"/>
    <w:rsid w:val="69423FE0"/>
    <w:rsid w:val="696A383B"/>
    <w:rsid w:val="69AA5C07"/>
    <w:rsid w:val="69FC6C2A"/>
    <w:rsid w:val="6A0D1884"/>
    <w:rsid w:val="6A6754CD"/>
    <w:rsid w:val="6A7F2D26"/>
    <w:rsid w:val="6A945A9B"/>
    <w:rsid w:val="6AEA2988"/>
    <w:rsid w:val="6B155834"/>
    <w:rsid w:val="6B2B4757"/>
    <w:rsid w:val="6B564A12"/>
    <w:rsid w:val="6B655C57"/>
    <w:rsid w:val="6BE10C67"/>
    <w:rsid w:val="6C0471DA"/>
    <w:rsid w:val="6C1D0AF1"/>
    <w:rsid w:val="6C490484"/>
    <w:rsid w:val="6C7A7447"/>
    <w:rsid w:val="6CA874F3"/>
    <w:rsid w:val="6CB12446"/>
    <w:rsid w:val="6CC429BE"/>
    <w:rsid w:val="6CD5347D"/>
    <w:rsid w:val="6CF55FCB"/>
    <w:rsid w:val="6D1C038D"/>
    <w:rsid w:val="6D603F92"/>
    <w:rsid w:val="6D777B45"/>
    <w:rsid w:val="6DD0636B"/>
    <w:rsid w:val="6E033242"/>
    <w:rsid w:val="6E0501EE"/>
    <w:rsid w:val="6E450AE0"/>
    <w:rsid w:val="6E636E1D"/>
    <w:rsid w:val="6E88486B"/>
    <w:rsid w:val="6EA6448C"/>
    <w:rsid w:val="6EB159C7"/>
    <w:rsid w:val="6EB521E8"/>
    <w:rsid w:val="6EC05B55"/>
    <w:rsid w:val="6EE22B3C"/>
    <w:rsid w:val="6EE460F8"/>
    <w:rsid w:val="6EE557C2"/>
    <w:rsid w:val="6EF73D1A"/>
    <w:rsid w:val="6F0C033D"/>
    <w:rsid w:val="6F25742D"/>
    <w:rsid w:val="6F5748DD"/>
    <w:rsid w:val="6F6A455F"/>
    <w:rsid w:val="6F760B24"/>
    <w:rsid w:val="6F870C7B"/>
    <w:rsid w:val="6FF96E03"/>
    <w:rsid w:val="700B3712"/>
    <w:rsid w:val="703B084C"/>
    <w:rsid w:val="70446FFB"/>
    <w:rsid w:val="70B70481"/>
    <w:rsid w:val="70CF6D65"/>
    <w:rsid w:val="714B4E0A"/>
    <w:rsid w:val="714F726A"/>
    <w:rsid w:val="71536D72"/>
    <w:rsid w:val="715E3C51"/>
    <w:rsid w:val="71D92F74"/>
    <w:rsid w:val="71ED7871"/>
    <w:rsid w:val="71FF6C48"/>
    <w:rsid w:val="721232F7"/>
    <w:rsid w:val="7214068D"/>
    <w:rsid w:val="723F744B"/>
    <w:rsid w:val="72631E0C"/>
    <w:rsid w:val="72772A50"/>
    <w:rsid w:val="727E3507"/>
    <w:rsid w:val="72876DEB"/>
    <w:rsid w:val="72C82DDB"/>
    <w:rsid w:val="72CE307C"/>
    <w:rsid w:val="73213242"/>
    <w:rsid w:val="73697151"/>
    <w:rsid w:val="736C0658"/>
    <w:rsid w:val="739C1E39"/>
    <w:rsid w:val="73A9032A"/>
    <w:rsid w:val="73D5196F"/>
    <w:rsid w:val="73E423CC"/>
    <w:rsid w:val="74167F9E"/>
    <w:rsid w:val="742B41E8"/>
    <w:rsid w:val="74773FF5"/>
    <w:rsid w:val="747F5537"/>
    <w:rsid w:val="74CC073A"/>
    <w:rsid w:val="75315330"/>
    <w:rsid w:val="753A7791"/>
    <w:rsid w:val="75401780"/>
    <w:rsid w:val="758458C3"/>
    <w:rsid w:val="75F13D9C"/>
    <w:rsid w:val="75F72551"/>
    <w:rsid w:val="760826FB"/>
    <w:rsid w:val="76135D3A"/>
    <w:rsid w:val="767A627F"/>
    <w:rsid w:val="76847F75"/>
    <w:rsid w:val="76970BE9"/>
    <w:rsid w:val="76C02781"/>
    <w:rsid w:val="770E70A0"/>
    <w:rsid w:val="771A6FC1"/>
    <w:rsid w:val="771C4BF4"/>
    <w:rsid w:val="77737DB9"/>
    <w:rsid w:val="777C2CA0"/>
    <w:rsid w:val="778B254E"/>
    <w:rsid w:val="77900E7D"/>
    <w:rsid w:val="77FC0056"/>
    <w:rsid w:val="7814331D"/>
    <w:rsid w:val="7872717E"/>
    <w:rsid w:val="78C75A4F"/>
    <w:rsid w:val="791F21A9"/>
    <w:rsid w:val="79567599"/>
    <w:rsid w:val="795B7B3E"/>
    <w:rsid w:val="7966432C"/>
    <w:rsid w:val="796E15D8"/>
    <w:rsid w:val="79A75BED"/>
    <w:rsid w:val="79B77AFD"/>
    <w:rsid w:val="7A441E7C"/>
    <w:rsid w:val="7A4C7CF2"/>
    <w:rsid w:val="7A8C3D04"/>
    <w:rsid w:val="7A9A1EA4"/>
    <w:rsid w:val="7AA0261E"/>
    <w:rsid w:val="7AAF4DD9"/>
    <w:rsid w:val="7ABA4E4E"/>
    <w:rsid w:val="7ACD6A3D"/>
    <w:rsid w:val="7AFD5EEC"/>
    <w:rsid w:val="7B043B11"/>
    <w:rsid w:val="7B127A63"/>
    <w:rsid w:val="7B1A2C8D"/>
    <w:rsid w:val="7B230DB1"/>
    <w:rsid w:val="7B6B270A"/>
    <w:rsid w:val="7B6D3913"/>
    <w:rsid w:val="7B735CCB"/>
    <w:rsid w:val="7B866893"/>
    <w:rsid w:val="7BBC5AB7"/>
    <w:rsid w:val="7BBE3A01"/>
    <w:rsid w:val="7BCD6BDC"/>
    <w:rsid w:val="7C880AB1"/>
    <w:rsid w:val="7CAB1C8C"/>
    <w:rsid w:val="7CAF07D5"/>
    <w:rsid w:val="7CEE69CA"/>
    <w:rsid w:val="7D374FCD"/>
    <w:rsid w:val="7D3A13EE"/>
    <w:rsid w:val="7D424EAA"/>
    <w:rsid w:val="7D464CFB"/>
    <w:rsid w:val="7D53317C"/>
    <w:rsid w:val="7DD341AE"/>
    <w:rsid w:val="7DD71392"/>
    <w:rsid w:val="7DE95CAF"/>
    <w:rsid w:val="7DF56AEA"/>
    <w:rsid w:val="7E13557A"/>
    <w:rsid w:val="7E18219E"/>
    <w:rsid w:val="7E206EC8"/>
    <w:rsid w:val="7E286A6E"/>
    <w:rsid w:val="7E490FDF"/>
    <w:rsid w:val="7E750D36"/>
    <w:rsid w:val="7EA94C29"/>
    <w:rsid w:val="7EF12B51"/>
    <w:rsid w:val="7FAF7A14"/>
    <w:rsid w:val="7FB44DA6"/>
    <w:rsid w:val="7FD13B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szCs w:val="24"/>
      <w:lang w:val="en-US" w:eastAsia="zh-CN" w:bidi="ar-SA"/>
    </w:rPr>
  </w:style>
  <w:style w:type="paragraph" w:styleId="3">
    <w:name w:val="heading 1"/>
    <w:basedOn w:val="1"/>
    <w:next w:val="1"/>
    <w:link w:val="87"/>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61"/>
    <w:qFormat/>
    <w:uiPriority w:val="9"/>
    <w:pPr>
      <w:keepNext/>
      <w:keepLines/>
      <w:spacing w:before="260" w:after="260" w:line="416" w:lineRule="auto"/>
      <w:outlineLvl w:val="1"/>
    </w:pPr>
    <w:rPr>
      <w:rFonts w:ascii="Cambria" w:hAnsi="Cambria"/>
      <w:b/>
      <w:bCs/>
      <w:sz w:val="32"/>
      <w:szCs w:val="32"/>
    </w:rPr>
  </w:style>
  <w:style w:type="paragraph" w:styleId="5">
    <w:name w:val="heading 3"/>
    <w:basedOn w:val="1"/>
    <w:next w:val="1"/>
    <w:link w:val="66"/>
    <w:qFormat/>
    <w:uiPriority w:val="9"/>
    <w:pPr>
      <w:keepNext/>
      <w:keepLines/>
      <w:spacing w:before="260" w:after="260" w:line="416" w:lineRule="auto"/>
      <w:outlineLvl w:val="2"/>
    </w:pPr>
    <w:rPr>
      <w:b/>
      <w:bCs/>
      <w:sz w:val="32"/>
      <w:szCs w:val="32"/>
    </w:rPr>
  </w:style>
  <w:style w:type="character" w:default="1" w:styleId="24">
    <w:name w:val="Default Paragraph Font"/>
    <w:semiHidden/>
    <w:unhideWhenUsed/>
    <w:uiPriority w:val="1"/>
  </w:style>
  <w:style w:type="table" w:default="1" w:styleId="22">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2">
    <w:name w:val="Body Text Indent"/>
    <w:basedOn w:val="1"/>
    <w:link w:val="89"/>
    <w:qFormat/>
    <w:uiPriority w:val="0"/>
    <w:pPr>
      <w:spacing w:line="200" w:lineRule="atLeast"/>
      <w:ind w:firstLine="301"/>
    </w:pPr>
    <w:rPr>
      <w:rFonts w:ascii="宋体" w:hAnsi="Courier New"/>
      <w:spacing w:val="-4"/>
      <w:sz w:val="18"/>
      <w:szCs w:val="20"/>
    </w:rPr>
  </w:style>
  <w:style w:type="paragraph" w:styleId="6">
    <w:name w:val="List Number"/>
    <w:basedOn w:val="1"/>
    <w:qFormat/>
    <w:uiPriority w:val="0"/>
    <w:pPr>
      <w:widowControl/>
      <w:numPr>
        <w:ilvl w:val="0"/>
        <w:numId w:val="1"/>
      </w:numPr>
      <w:tabs>
        <w:tab w:val="left" w:pos="454"/>
        <w:tab w:val="clear" w:pos="720"/>
      </w:tabs>
      <w:spacing w:after="156" w:afterLines="50"/>
      <w:ind w:left="454" w:hanging="284"/>
      <w:jc w:val="left"/>
    </w:pPr>
    <w:rPr>
      <w:kern w:val="0"/>
      <w:sz w:val="24"/>
      <w:szCs w:val="20"/>
    </w:rPr>
  </w:style>
  <w:style w:type="paragraph" w:styleId="7">
    <w:name w:val="Normal Indent"/>
    <w:basedOn w:val="1"/>
    <w:link w:val="64"/>
    <w:qFormat/>
    <w:uiPriority w:val="0"/>
    <w:pPr>
      <w:ind w:firstLine="420"/>
    </w:pPr>
    <w:rPr>
      <w:sz w:val="21"/>
      <w:szCs w:val="20"/>
    </w:rPr>
  </w:style>
  <w:style w:type="paragraph" w:styleId="8">
    <w:name w:val="caption"/>
    <w:basedOn w:val="1"/>
    <w:next w:val="1"/>
    <w:qFormat/>
    <w:uiPriority w:val="0"/>
    <w:pPr>
      <w:spacing w:before="152" w:after="160"/>
    </w:pPr>
    <w:rPr>
      <w:rFonts w:ascii="Arial" w:hAnsi="Arial" w:eastAsia="黑体" w:cs="Arial"/>
      <w:sz w:val="20"/>
      <w:szCs w:val="20"/>
    </w:rPr>
  </w:style>
  <w:style w:type="paragraph" w:styleId="9">
    <w:name w:val="Document Map"/>
    <w:basedOn w:val="1"/>
    <w:link w:val="85"/>
    <w:unhideWhenUsed/>
    <w:qFormat/>
    <w:uiPriority w:val="99"/>
    <w:rPr>
      <w:rFonts w:ascii="宋体"/>
      <w:sz w:val="18"/>
      <w:szCs w:val="18"/>
    </w:rPr>
  </w:style>
  <w:style w:type="paragraph" w:styleId="10">
    <w:name w:val="annotation text"/>
    <w:basedOn w:val="1"/>
    <w:link w:val="82"/>
    <w:unhideWhenUsed/>
    <w:qFormat/>
    <w:uiPriority w:val="99"/>
    <w:pPr>
      <w:jc w:val="left"/>
    </w:pPr>
  </w:style>
  <w:style w:type="paragraph" w:styleId="11">
    <w:name w:val="List 2"/>
    <w:basedOn w:val="1"/>
    <w:unhideWhenUsed/>
    <w:qFormat/>
    <w:uiPriority w:val="99"/>
    <w:pPr>
      <w:ind w:left="100" w:leftChars="200" w:hanging="200" w:hangingChars="200"/>
      <w:contextualSpacing/>
    </w:pPr>
  </w:style>
  <w:style w:type="paragraph" w:styleId="12">
    <w:name w:val="Plain Text"/>
    <w:basedOn w:val="1"/>
    <w:link w:val="57"/>
    <w:qFormat/>
    <w:uiPriority w:val="99"/>
    <w:pPr>
      <w:spacing w:before="156" w:beforeLines="50" w:after="156" w:afterLines="50" w:line="400" w:lineRule="atLeast"/>
    </w:pPr>
    <w:rPr>
      <w:rFonts w:ascii="宋体" w:hAnsi="Courier New"/>
      <w:sz w:val="24"/>
    </w:rPr>
  </w:style>
  <w:style w:type="paragraph" w:styleId="13">
    <w:name w:val="Date"/>
    <w:basedOn w:val="1"/>
    <w:next w:val="1"/>
    <w:qFormat/>
    <w:uiPriority w:val="0"/>
    <w:pPr>
      <w:ind w:left="2500" w:leftChars="2500"/>
    </w:pPr>
    <w:rPr>
      <w:rFonts w:eastAsia="楷体_GB2312"/>
      <w:sz w:val="32"/>
      <w:szCs w:val="20"/>
    </w:rPr>
  </w:style>
  <w:style w:type="paragraph" w:styleId="14">
    <w:name w:val="Balloon Text"/>
    <w:basedOn w:val="1"/>
    <w:qFormat/>
    <w:uiPriority w:val="0"/>
    <w:rPr>
      <w:sz w:val="18"/>
      <w:szCs w:val="18"/>
    </w:rPr>
  </w:style>
  <w:style w:type="paragraph" w:styleId="15">
    <w:name w:val="footer"/>
    <w:basedOn w:val="1"/>
    <w:link w:val="63"/>
    <w:qFormat/>
    <w:uiPriority w:val="99"/>
    <w:pPr>
      <w:tabs>
        <w:tab w:val="center" w:pos="4153"/>
        <w:tab w:val="right" w:pos="8306"/>
      </w:tabs>
      <w:snapToGrid w:val="0"/>
      <w:jc w:val="left"/>
    </w:pPr>
    <w:rPr>
      <w:sz w:val="18"/>
      <w:szCs w:val="18"/>
    </w:rPr>
  </w:style>
  <w:style w:type="paragraph" w:styleId="16">
    <w:name w:val="header"/>
    <w:basedOn w:val="1"/>
    <w:link w:val="90"/>
    <w:qFormat/>
    <w:uiPriority w:val="99"/>
    <w:pPr>
      <w:tabs>
        <w:tab w:val="center" w:pos="4153"/>
        <w:tab w:val="right" w:pos="8306"/>
      </w:tabs>
      <w:snapToGrid w:val="0"/>
      <w:jc w:val="center"/>
    </w:pPr>
    <w:rPr>
      <w:sz w:val="18"/>
      <w:szCs w:val="18"/>
    </w:rPr>
  </w:style>
  <w:style w:type="paragraph" w:styleId="17">
    <w:name w:val="List"/>
    <w:basedOn w:val="1"/>
    <w:qFormat/>
    <w:uiPriority w:val="0"/>
    <w:pPr>
      <w:ind w:left="200" w:hanging="200" w:hangingChars="200"/>
    </w:pPr>
  </w:style>
  <w:style w:type="paragraph" w:styleId="18">
    <w:name w:val="Body Text 2"/>
    <w:basedOn w:val="1"/>
    <w:qFormat/>
    <w:uiPriority w:val="0"/>
    <w:pPr>
      <w:widowControl/>
      <w:snapToGrid w:val="0"/>
      <w:spacing w:before="50" w:after="156" w:afterLines="50" w:line="400" w:lineRule="atLeast"/>
      <w:jc w:val="left"/>
    </w:pPr>
    <w:rPr>
      <w:rFonts w:hint="eastAsia" w:ascii="宋体" w:hAnsi="宋体"/>
      <w:color w:val="000000"/>
      <w:sz w:val="24"/>
    </w:rPr>
  </w:style>
  <w:style w:type="paragraph" w:styleId="19">
    <w:name w:val="Normal (Web)"/>
    <w:basedOn w:val="1"/>
    <w:qFormat/>
    <w:uiPriority w:val="99"/>
    <w:pPr>
      <w:widowControl/>
      <w:spacing w:before="100" w:beforeAutospacing="1" w:after="100" w:afterAutospacing="1"/>
      <w:ind w:firstLine="420"/>
      <w:jc w:val="left"/>
    </w:pPr>
    <w:rPr>
      <w:rFonts w:ascii="宋体" w:hAnsi="宋体"/>
      <w:kern w:val="0"/>
      <w:sz w:val="20"/>
      <w:szCs w:val="20"/>
    </w:rPr>
  </w:style>
  <w:style w:type="paragraph" w:styleId="20">
    <w:name w:val="annotation subject"/>
    <w:basedOn w:val="10"/>
    <w:next w:val="10"/>
    <w:link w:val="65"/>
    <w:unhideWhenUsed/>
    <w:qFormat/>
    <w:uiPriority w:val="99"/>
    <w:rPr>
      <w:b/>
      <w:bCs/>
    </w:rPr>
  </w:style>
  <w:style w:type="paragraph" w:styleId="21">
    <w:name w:val="Body Text First Indent 2"/>
    <w:basedOn w:val="2"/>
    <w:unhideWhenUsed/>
    <w:qFormat/>
    <w:uiPriority w:val="99"/>
    <w:pPr>
      <w:ind w:firstLine="420"/>
    </w:pPr>
  </w:style>
  <w:style w:type="table" w:styleId="23">
    <w:name w:val="Table Grid"/>
    <w:basedOn w:val="2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styleId="25">
    <w:name w:val="Strong"/>
    <w:qFormat/>
    <w:uiPriority w:val="0"/>
    <w:rPr>
      <w:b/>
      <w:bCs/>
    </w:rPr>
  </w:style>
  <w:style w:type="character" w:styleId="26">
    <w:name w:val="page number"/>
    <w:basedOn w:val="24"/>
    <w:qFormat/>
    <w:uiPriority w:val="0"/>
  </w:style>
  <w:style w:type="character" w:styleId="27">
    <w:name w:val="FollowedHyperlink"/>
    <w:unhideWhenUsed/>
    <w:qFormat/>
    <w:uiPriority w:val="99"/>
    <w:rPr>
      <w:color w:val="5579A7"/>
      <w:u w:val="none"/>
    </w:rPr>
  </w:style>
  <w:style w:type="character" w:styleId="28">
    <w:name w:val="HTML Definition"/>
    <w:unhideWhenUsed/>
    <w:qFormat/>
    <w:uiPriority w:val="99"/>
    <w:rPr>
      <w:i/>
    </w:rPr>
  </w:style>
  <w:style w:type="character" w:styleId="29">
    <w:name w:val="Hyperlink"/>
    <w:qFormat/>
    <w:uiPriority w:val="0"/>
    <w:rPr>
      <w:color w:val="5579A7"/>
      <w:u w:val="none"/>
    </w:rPr>
  </w:style>
  <w:style w:type="character" w:styleId="30">
    <w:name w:val="HTML Code"/>
    <w:unhideWhenUsed/>
    <w:qFormat/>
    <w:uiPriority w:val="99"/>
    <w:rPr>
      <w:rFonts w:ascii="-apple-system" w:hAnsi="-apple-system" w:eastAsia="-apple-system" w:cs="-apple-system"/>
      <w:sz w:val="21"/>
      <w:szCs w:val="21"/>
    </w:rPr>
  </w:style>
  <w:style w:type="character" w:styleId="31">
    <w:name w:val="annotation reference"/>
    <w:unhideWhenUsed/>
    <w:qFormat/>
    <w:uiPriority w:val="99"/>
    <w:rPr>
      <w:sz w:val="21"/>
      <w:szCs w:val="21"/>
    </w:rPr>
  </w:style>
  <w:style w:type="character" w:styleId="32">
    <w:name w:val="HTML Keyboard"/>
    <w:unhideWhenUsed/>
    <w:qFormat/>
    <w:uiPriority w:val="99"/>
    <w:rPr>
      <w:rFonts w:hint="default" w:ascii="-apple-system" w:hAnsi="-apple-system" w:eastAsia="-apple-system" w:cs="-apple-system"/>
      <w:sz w:val="21"/>
      <w:szCs w:val="21"/>
    </w:rPr>
  </w:style>
  <w:style w:type="character" w:styleId="33">
    <w:name w:val="HTML Sample"/>
    <w:unhideWhenUsed/>
    <w:qFormat/>
    <w:uiPriority w:val="99"/>
    <w:rPr>
      <w:rFonts w:hint="default" w:ascii="-apple-system" w:hAnsi="-apple-system" w:eastAsia="-apple-system" w:cs="-apple-system"/>
      <w:sz w:val="21"/>
      <w:szCs w:val="21"/>
    </w:rPr>
  </w:style>
  <w:style w:type="paragraph" w:customStyle="1" w:styleId="34">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35">
    <w:name w:val="Proposals body"/>
    <w:basedOn w:val="1"/>
    <w:next w:val="1"/>
    <w:qFormat/>
    <w:uiPriority w:val="0"/>
    <w:pPr>
      <w:widowControl/>
      <w:spacing w:line="460" w:lineRule="exact"/>
      <w:jc w:val="left"/>
    </w:pPr>
    <w:rPr>
      <w:rFonts w:ascii="仿宋_GB2312" w:eastAsia="仿宋_GB2312"/>
      <w:snapToGrid w:val="0"/>
      <w:kern w:val="0"/>
      <w:sz w:val="24"/>
    </w:rPr>
  </w:style>
  <w:style w:type="paragraph" w:customStyle="1" w:styleId="36">
    <w:name w:val="Default"/>
    <w:next w:val="37"/>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customStyle="1" w:styleId="37">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38">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39">
    <w:name w:val="title11"/>
    <w:basedOn w:val="1"/>
    <w:qFormat/>
    <w:uiPriority w:val="0"/>
    <w:pPr>
      <w:spacing w:before="150"/>
      <w:jc w:val="left"/>
    </w:pPr>
    <w:rPr>
      <w:b/>
      <w:kern w:val="0"/>
    </w:rPr>
  </w:style>
  <w:style w:type="paragraph" w:customStyle="1" w:styleId="40">
    <w:name w:val="标题 10"/>
    <w:basedOn w:val="4"/>
    <w:qFormat/>
    <w:uiPriority w:val="0"/>
    <w:pPr>
      <w:jc w:val="center"/>
    </w:pPr>
    <w:rPr>
      <w:kern w:val="0"/>
    </w:rPr>
  </w:style>
  <w:style w:type="paragraph" w:customStyle="1" w:styleId="41">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42">
    <w:name w:val="TOC 71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43">
    <w:name w:val="List Paragraph1"/>
    <w:basedOn w:val="1"/>
    <w:qFormat/>
    <w:uiPriority w:val="0"/>
    <w:pPr>
      <w:ind w:firstLine="420" w:firstLineChars="200"/>
    </w:pPr>
    <w:rPr>
      <w:sz w:val="21"/>
    </w:rPr>
  </w:style>
  <w:style w:type="paragraph" w:customStyle="1" w:styleId="44">
    <w:name w:val="默认段落字体 Para Char Char Char Char Char Char Char Char Char1 Char Char Char Char"/>
    <w:basedOn w:val="1"/>
    <w:qFormat/>
    <w:uiPriority w:val="0"/>
    <w:rPr>
      <w:rFonts w:ascii="Tahoma" w:hAnsi="Tahoma"/>
      <w:sz w:val="24"/>
      <w:szCs w:val="20"/>
    </w:rPr>
  </w:style>
  <w:style w:type="paragraph" w:customStyle="1" w:styleId="45">
    <w:name w:val="Char Char Char Char1"/>
    <w:basedOn w:val="1"/>
    <w:qFormat/>
    <w:uiPriority w:val="0"/>
    <w:rPr>
      <w:rFonts w:ascii="Tahoma" w:hAnsi="Tahoma"/>
      <w:sz w:val="24"/>
      <w:szCs w:val="20"/>
    </w:rPr>
  </w:style>
  <w:style w:type="paragraph" w:customStyle="1" w:styleId="46">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47">
    <w:name w:val="_Style 46"/>
    <w:basedOn w:val="1"/>
    <w:next w:val="1"/>
    <w:link w:val="69"/>
    <w:unhideWhenUsed/>
    <w:qFormat/>
    <w:uiPriority w:val="99"/>
    <w:pPr>
      <w:widowControl/>
      <w:pBdr>
        <w:bottom w:val="single" w:color="auto" w:sz="6" w:space="1"/>
      </w:pBdr>
      <w:jc w:val="center"/>
    </w:pPr>
    <w:rPr>
      <w:rFonts w:ascii="Arial" w:hAnsi="Arial"/>
      <w:vanish/>
      <w:kern w:val="0"/>
      <w:sz w:val="16"/>
      <w:szCs w:val="16"/>
    </w:rPr>
  </w:style>
  <w:style w:type="paragraph" w:customStyle="1" w:styleId="48">
    <w:name w:val="此正文"/>
    <w:basedOn w:val="1"/>
    <w:qFormat/>
    <w:uiPriority w:val="0"/>
    <w:pPr>
      <w:spacing w:line="360" w:lineRule="auto"/>
      <w:ind w:firstLine="200" w:firstLineChars="200"/>
    </w:pPr>
    <w:rPr>
      <w:sz w:val="24"/>
    </w:rPr>
  </w:style>
  <w:style w:type="paragraph" w:customStyle="1" w:styleId="49">
    <w:name w:val="xl25"/>
    <w:basedOn w:val="1"/>
    <w:qFormat/>
    <w:uiPriority w:val="0"/>
    <w:pPr>
      <w:widowControl/>
      <w:spacing w:before="100" w:beforeAutospacing="1" w:after="100" w:afterAutospacing="1"/>
      <w:jc w:val="center"/>
      <w:textAlignment w:val="center"/>
    </w:pPr>
    <w:rPr>
      <w:rFonts w:hint="eastAsia" w:ascii="楷体_GB2312" w:hAnsi="宋体" w:eastAsia="楷体_GB2312"/>
      <w:kern w:val="0"/>
      <w:sz w:val="24"/>
    </w:rPr>
  </w:style>
  <w:style w:type="paragraph" w:customStyle="1" w:styleId="50">
    <w:name w:val="彩色列表 - 强调文字颜色 11"/>
    <w:basedOn w:val="1"/>
    <w:qFormat/>
    <w:uiPriority w:val="34"/>
    <w:pPr>
      <w:ind w:firstLine="420" w:firstLineChars="200"/>
    </w:pPr>
    <w:rPr>
      <w:rFonts w:ascii="Calibri" w:hAnsi="Calibri"/>
      <w:sz w:val="21"/>
      <w:szCs w:val="22"/>
    </w:rPr>
  </w:style>
  <w:style w:type="paragraph" w:customStyle="1" w:styleId="51">
    <w:name w:val="正文段"/>
    <w:basedOn w:val="1"/>
    <w:qFormat/>
    <w:uiPriority w:val="0"/>
    <w:pPr>
      <w:widowControl/>
      <w:snapToGrid w:val="0"/>
      <w:spacing w:after="156" w:afterLines="50"/>
      <w:ind w:firstLine="200" w:firstLineChars="200"/>
    </w:pPr>
    <w:rPr>
      <w:kern w:val="0"/>
      <w:sz w:val="24"/>
      <w:szCs w:val="20"/>
    </w:rPr>
  </w:style>
  <w:style w:type="paragraph" w:customStyle="1" w:styleId="52">
    <w:name w:val="无间距"/>
    <w:qFormat/>
    <w:uiPriority w:val="0"/>
    <w:pPr>
      <w:widowControl w:val="0"/>
      <w:jc w:val="both"/>
    </w:pPr>
    <w:rPr>
      <w:rFonts w:ascii="Calibri" w:hAnsi="Calibri" w:eastAsia="宋体" w:cs="Times New Roman"/>
      <w:kern w:val="2"/>
      <w:sz w:val="21"/>
      <w:szCs w:val="22"/>
      <w:lang w:val="en-US" w:eastAsia="zh-CN" w:bidi="ar-SA"/>
    </w:rPr>
  </w:style>
  <w:style w:type="paragraph" w:customStyle="1" w:styleId="53">
    <w:name w:val="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54">
    <w:name w:val="表内文字"/>
    <w:basedOn w:val="1"/>
    <w:qFormat/>
    <w:uiPriority w:val="0"/>
    <w:pPr>
      <w:tabs>
        <w:tab w:val="left" w:pos="1418"/>
      </w:tabs>
      <w:spacing w:line="360" w:lineRule="auto"/>
      <w:jc w:val="center"/>
    </w:pPr>
    <w:rPr>
      <w:rFonts w:hint="eastAsia" w:ascii="仿宋_GB2312" w:eastAsia="仿宋_GB2312"/>
      <w:spacing w:val="-20"/>
      <w:kern w:val="0"/>
      <w:sz w:val="24"/>
    </w:rPr>
  </w:style>
  <w:style w:type="paragraph" w:customStyle="1" w:styleId="55">
    <w:name w:val="_Style 54"/>
    <w:basedOn w:val="1"/>
    <w:next w:val="1"/>
    <w:link w:val="73"/>
    <w:unhideWhenUsed/>
    <w:qFormat/>
    <w:uiPriority w:val="99"/>
    <w:pPr>
      <w:widowControl/>
      <w:pBdr>
        <w:top w:val="single" w:color="auto" w:sz="6" w:space="1"/>
      </w:pBdr>
      <w:jc w:val="center"/>
    </w:pPr>
    <w:rPr>
      <w:rFonts w:ascii="Arial" w:hAnsi="Arial"/>
      <w:vanish/>
      <w:kern w:val="0"/>
      <w:sz w:val="16"/>
      <w:szCs w:val="16"/>
    </w:rPr>
  </w:style>
  <w:style w:type="paragraph" w:customStyle="1" w:styleId="56">
    <w:name w:val="正文2"/>
    <w:basedOn w:val="1"/>
    <w:qFormat/>
    <w:uiPriority w:val="0"/>
    <w:pPr>
      <w:spacing w:before="156" w:line="360" w:lineRule="auto"/>
      <w:ind w:firstLine="510" w:firstLineChars="200"/>
    </w:pPr>
    <w:rPr>
      <w:sz w:val="24"/>
      <w:szCs w:val="20"/>
    </w:rPr>
  </w:style>
  <w:style w:type="character" w:customStyle="1" w:styleId="57">
    <w:name w:val="纯文本 Char2"/>
    <w:link w:val="12"/>
    <w:qFormat/>
    <w:uiPriority w:val="99"/>
    <w:rPr>
      <w:rFonts w:ascii="宋体" w:hAnsi="Courier New"/>
      <w:kern w:val="2"/>
      <w:sz w:val="24"/>
      <w:szCs w:val="24"/>
    </w:rPr>
  </w:style>
  <w:style w:type="character" w:customStyle="1" w:styleId="58">
    <w:name w:val="纯文本 字符"/>
    <w:qFormat/>
    <w:uiPriority w:val="99"/>
    <w:rPr>
      <w:rFonts w:ascii="宋体" w:hAnsi="Courier New"/>
      <w:kern w:val="2"/>
      <w:sz w:val="24"/>
      <w:szCs w:val="24"/>
    </w:rPr>
  </w:style>
  <w:style w:type="character" w:customStyle="1" w:styleId="59">
    <w:name w:val="正文文本缩进 字符"/>
    <w:qFormat/>
    <w:uiPriority w:val="0"/>
    <w:rPr>
      <w:rFonts w:ascii="宋体" w:hAnsi="Courier New"/>
      <w:spacing w:val="-4"/>
      <w:kern w:val="2"/>
      <w:sz w:val="18"/>
    </w:rPr>
  </w:style>
  <w:style w:type="character" w:customStyle="1" w:styleId="60">
    <w:name w:val="jbox-icon-warning"/>
    <w:basedOn w:val="24"/>
    <w:qFormat/>
    <w:uiPriority w:val="0"/>
  </w:style>
  <w:style w:type="character" w:customStyle="1" w:styleId="61">
    <w:name w:val="标题 2 Char"/>
    <w:link w:val="4"/>
    <w:semiHidden/>
    <w:qFormat/>
    <w:uiPriority w:val="9"/>
    <w:rPr>
      <w:rFonts w:ascii="Cambria" w:hAnsi="Cambria" w:eastAsia="宋体" w:cs="Times New Roman"/>
      <w:b/>
      <w:bCs/>
      <w:kern w:val="2"/>
      <w:sz w:val="32"/>
      <w:szCs w:val="32"/>
    </w:rPr>
  </w:style>
  <w:style w:type="character" w:customStyle="1" w:styleId="62">
    <w:name w:val="hover9"/>
    <w:qFormat/>
    <w:uiPriority w:val="0"/>
    <w:rPr>
      <w:shd w:val="clear" w:color="auto" w:fill="EEEEEE"/>
    </w:rPr>
  </w:style>
  <w:style w:type="character" w:customStyle="1" w:styleId="63">
    <w:name w:val="页脚 Char"/>
    <w:link w:val="15"/>
    <w:qFormat/>
    <w:uiPriority w:val="99"/>
    <w:rPr>
      <w:kern w:val="2"/>
      <w:sz w:val="18"/>
      <w:szCs w:val="18"/>
    </w:rPr>
  </w:style>
  <w:style w:type="character" w:customStyle="1" w:styleId="64">
    <w:name w:val="正文缩进 Char"/>
    <w:link w:val="7"/>
    <w:qFormat/>
    <w:uiPriority w:val="0"/>
    <w:rPr>
      <w:rFonts w:eastAsia="宋体"/>
      <w:kern w:val="2"/>
      <w:sz w:val="21"/>
      <w:lang w:val="en-US" w:eastAsia="zh-CN" w:bidi="ar-SA"/>
    </w:rPr>
  </w:style>
  <w:style w:type="character" w:customStyle="1" w:styleId="65">
    <w:name w:val="批注主题 Char"/>
    <w:link w:val="20"/>
    <w:semiHidden/>
    <w:qFormat/>
    <w:uiPriority w:val="99"/>
    <w:rPr>
      <w:b/>
      <w:bCs/>
      <w:kern w:val="2"/>
      <w:sz w:val="28"/>
      <w:szCs w:val="24"/>
    </w:rPr>
  </w:style>
  <w:style w:type="character" w:customStyle="1" w:styleId="66">
    <w:name w:val="标题 3 Char"/>
    <w:link w:val="5"/>
    <w:semiHidden/>
    <w:qFormat/>
    <w:uiPriority w:val="9"/>
    <w:rPr>
      <w:b/>
      <w:bCs/>
      <w:kern w:val="2"/>
      <w:sz w:val="32"/>
      <w:szCs w:val="32"/>
    </w:rPr>
  </w:style>
  <w:style w:type="character" w:customStyle="1" w:styleId="67">
    <w:name w:val="hour_pm"/>
    <w:basedOn w:val="24"/>
    <w:qFormat/>
    <w:uiPriority w:val="0"/>
  </w:style>
  <w:style w:type="character" w:customStyle="1" w:styleId="68">
    <w:name w:val="jbox-icon-info"/>
    <w:basedOn w:val="24"/>
    <w:qFormat/>
    <w:uiPriority w:val="0"/>
  </w:style>
  <w:style w:type="character" w:customStyle="1" w:styleId="69">
    <w:name w:val="z-窗体顶端 Char"/>
    <w:link w:val="47"/>
    <w:semiHidden/>
    <w:qFormat/>
    <w:uiPriority w:val="99"/>
    <w:rPr>
      <w:rFonts w:ascii="Arial" w:hAnsi="Arial"/>
      <w:vanish/>
      <w:sz w:val="16"/>
      <w:szCs w:val="16"/>
    </w:rPr>
  </w:style>
  <w:style w:type="character" w:customStyle="1" w:styleId="70">
    <w:name w:val="black601"/>
    <w:qFormat/>
    <w:uiPriority w:val="0"/>
    <w:rPr>
      <w:color w:val="666666"/>
    </w:rPr>
  </w:style>
  <w:style w:type="character" w:customStyle="1" w:styleId="71">
    <w:name w:val="hour_am"/>
    <w:basedOn w:val="24"/>
    <w:qFormat/>
    <w:uiPriority w:val="0"/>
  </w:style>
  <w:style w:type="character" w:customStyle="1" w:styleId="72">
    <w:name w:val="jbox-icon-error"/>
    <w:basedOn w:val="24"/>
    <w:qFormat/>
    <w:uiPriority w:val="0"/>
  </w:style>
  <w:style w:type="character" w:customStyle="1" w:styleId="73">
    <w:name w:val="z-窗体底端 Char"/>
    <w:link w:val="55"/>
    <w:semiHidden/>
    <w:qFormat/>
    <w:uiPriority w:val="99"/>
    <w:rPr>
      <w:rFonts w:ascii="Arial" w:hAnsi="Arial"/>
      <w:vanish/>
      <w:sz w:val="16"/>
      <w:szCs w:val="16"/>
    </w:rPr>
  </w:style>
  <w:style w:type="character" w:customStyle="1" w:styleId="74">
    <w:name w:val="jbox-icon-success"/>
    <w:basedOn w:val="24"/>
    <w:qFormat/>
    <w:uiPriority w:val="0"/>
  </w:style>
  <w:style w:type="character" w:customStyle="1" w:styleId="75">
    <w:name w:val="maywed421"/>
    <w:qFormat/>
    <w:uiPriority w:val="0"/>
    <w:rPr>
      <w:color w:val="366FB6"/>
      <w:u w:val="none"/>
    </w:rPr>
  </w:style>
  <w:style w:type="character" w:customStyle="1" w:styleId="76">
    <w:name w:val="正文文本缩进 字符1"/>
    <w:qFormat/>
    <w:uiPriority w:val="0"/>
    <w:rPr>
      <w:rFonts w:ascii="宋体" w:hAnsi="Courier New"/>
      <w:spacing w:val="-4"/>
      <w:kern w:val="2"/>
      <w:sz w:val="18"/>
    </w:rPr>
  </w:style>
  <w:style w:type="character" w:customStyle="1" w:styleId="77">
    <w:name w:val="jbox-icon-question"/>
    <w:basedOn w:val="24"/>
    <w:qFormat/>
    <w:uiPriority w:val="0"/>
  </w:style>
  <w:style w:type="character" w:customStyle="1" w:styleId="78">
    <w:name w:val="jbox-icon-loading"/>
    <w:basedOn w:val="24"/>
    <w:qFormat/>
    <w:uiPriority w:val="0"/>
  </w:style>
  <w:style w:type="character" w:customStyle="1" w:styleId="79">
    <w:name w:val="标题 1 Char Char"/>
    <w:qFormat/>
    <w:uiPriority w:val="0"/>
    <w:rPr>
      <w:rFonts w:eastAsia="宋体"/>
      <w:b/>
      <w:spacing w:val="-2"/>
      <w:sz w:val="24"/>
      <w:lang w:val="en-US" w:eastAsia="zh-CN" w:bidi="ar-SA"/>
    </w:rPr>
  </w:style>
  <w:style w:type="character" w:customStyle="1" w:styleId="80">
    <w:name w:val="jbox-icon-none"/>
    <w:qFormat/>
    <w:uiPriority w:val="0"/>
    <w:rPr>
      <w:vanish/>
    </w:rPr>
  </w:style>
  <w:style w:type="character" w:customStyle="1" w:styleId="81">
    <w:name w:val="sub_title s0"/>
    <w:basedOn w:val="24"/>
    <w:qFormat/>
    <w:uiPriority w:val="0"/>
  </w:style>
  <w:style w:type="character" w:customStyle="1" w:styleId="82">
    <w:name w:val="批注文字 Char"/>
    <w:link w:val="10"/>
    <w:qFormat/>
    <w:uiPriority w:val="99"/>
    <w:rPr>
      <w:kern w:val="2"/>
      <w:sz w:val="28"/>
      <w:szCs w:val="24"/>
    </w:rPr>
  </w:style>
  <w:style w:type="character" w:customStyle="1" w:styleId="83">
    <w:name w:val="纯文本 字符2"/>
    <w:qFormat/>
    <w:uiPriority w:val="99"/>
    <w:rPr>
      <w:rFonts w:ascii="宋体" w:hAnsi="Courier New"/>
      <w:kern w:val="2"/>
      <w:sz w:val="24"/>
      <w:szCs w:val="24"/>
    </w:rPr>
  </w:style>
  <w:style w:type="character" w:customStyle="1" w:styleId="84">
    <w:name w:val="jbox-icon"/>
    <w:basedOn w:val="24"/>
    <w:qFormat/>
    <w:uiPriority w:val="0"/>
  </w:style>
  <w:style w:type="character" w:customStyle="1" w:styleId="85">
    <w:name w:val="文档结构图 Char"/>
    <w:link w:val="9"/>
    <w:semiHidden/>
    <w:qFormat/>
    <w:uiPriority w:val="99"/>
    <w:rPr>
      <w:rFonts w:ascii="宋体"/>
      <w:kern w:val="2"/>
      <w:sz w:val="18"/>
      <w:szCs w:val="18"/>
    </w:rPr>
  </w:style>
  <w:style w:type="character" w:customStyle="1" w:styleId="86">
    <w:name w:val="纯文本 Char1"/>
    <w:qFormat/>
    <w:uiPriority w:val="0"/>
    <w:rPr>
      <w:rFonts w:ascii="宋体" w:hAnsi="Courier New"/>
      <w:kern w:val="2"/>
      <w:sz w:val="21"/>
    </w:rPr>
  </w:style>
  <w:style w:type="character" w:customStyle="1" w:styleId="87">
    <w:name w:val="标题 1 Char"/>
    <w:link w:val="3"/>
    <w:qFormat/>
    <w:uiPriority w:val="0"/>
    <w:rPr>
      <w:b/>
      <w:bCs/>
      <w:kern w:val="44"/>
      <w:sz w:val="44"/>
      <w:szCs w:val="44"/>
    </w:rPr>
  </w:style>
  <w:style w:type="character" w:customStyle="1" w:styleId="88">
    <w:name w:val="纯文本 Char"/>
    <w:qFormat/>
    <w:uiPriority w:val="99"/>
    <w:rPr>
      <w:rFonts w:ascii="宋体" w:hAnsi="Courier New"/>
      <w:kern w:val="2"/>
      <w:sz w:val="24"/>
      <w:szCs w:val="24"/>
    </w:rPr>
  </w:style>
  <w:style w:type="character" w:customStyle="1" w:styleId="89">
    <w:name w:val="正文文本缩进 Char"/>
    <w:link w:val="2"/>
    <w:qFormat/>
    <w:uiPriority w:val="0"/>
    <w:rPr>
      <w:rFonts w:ascii="宋体" w:hAnsi="Courier New"/>
      <w:spacing w:val="-4"/>
      <w:kern w:val="2"/>
      <w:sz w:val="18"/>
    </w:rPr>
  </w:style>
  <w:style w:type="character" w:customStyle="1" w:styleId="90">
    <w:name w:val="页眉 Char"/>
    <w:link w:val="16"/>
    <w:qFormat/>
    <w:uiPriority w:val="99"/>
    <w:rPr>
      <w:kern w:val="2"/>
      <w:sz w:val="18"/>
      <w:szCs w:val="18"/>
    </w:rPr>
  </w:style>
  <w:style w:type="character" w:customStyle="1" w:styleId="91">
    <w:name w:val="old"/>
    <w:qFormat/>
    <w:uiPriority w:val="0"/>
    <w:rPr>
      <w:color w:val="999999"/>
    </w:rPr>
  </w:style>
  <w:style w:type="paragraph" w:styleId="92">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Pages>
  <Words>7315</Words>
  <Characters>41702</Characters>
  <Lines>1</Lines>
  <Paragraphs>1</Paragraphs>
  <TotalTime>42</TotalTime>
  <ScaleCrop>false</ScaleCrop>
  <LinksUpToDate>false</LinksUpToDate>
  <CharactersWithSpaces>48920</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2020-07-24T08:02:00Z</dcterms:created>
  <dc:creator>jj</dc:creator>
  <cp:lastModifiedBy>浙江求是招标代理有限公司</cp:lastModifiedBy>
  <cp:lastPrinted>2018-06-25T02:02:00Z</cp:lastPrinted>
  <dcterms:modified xsi:type="dcterms:W3CDTF">2020-07-27T00:00:54Z</dcterms:modified>
  <dc:title>求是招标代理有限公司</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