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校园数据治理及综合数字应用</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项目名称：校园数据治理及综合数字应用</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项目编号：QSZB-Z(F)-B22462(CS)</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rPr>
        <w:t>[2022]72675号-001</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校园数据治理及综合数字应用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2022年</w:t>
      </w:r>
      <w:r>
        <w:rPr>
          <w:rFonts w:hint="eastAsia"/>
          <w:b/>
          <w:color w:val="auto"/>
          <w:sz w:val="21"/>
          <w:szCs w:val="21"/>
          <w:highlight w:val="none"/>
          <w:u w:val="single"/>
          <w:lang w:eastAsia="zh-CN"/>
        </w:rPr>
        <w:t>11月16日</w:t>
      </w:r>
      <w:r>
        <w:rPr>
          <w:rFonts w:hint="eastAsia"/>
          <w:b/>
          <w:color w:val="auto"/>
          <w:sz w:val="21"/>
          <w:szCs w:val="21"/>
          <w:highlight w:val="none"/>
          <w:u w:val="single"/>
        </w:rPr>
        <w:t xml:space="preserve">9:00:00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28359079"/>
      <w:bookmarkStart w:id="1" w:name="_Toc28359002"/>
      <w:bookmarkStart w:id="2" w:name="_Toc35393621"/>
      <w:bookmarkStart w:id="3" w:name="_Toc35393790"/>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rPr>
        <w:t>QSZB-Z(F)-B22462(CS)</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项目名称：校园数据治理及综合数字应用</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预算金额（元）：1200000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最高限价（元）：1200000</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合同履约期限：自</w:t>
      </w:r>
      <w:r>
        <w:rPr>
          <w:rFonts w:hint="eastAsia"/>
          <w:color w:val="auto"/>
          <w:spacing w:val="-6"/>
          <w:sz w:val="21"/>
          <w:szCs w:val="21"/>
          <w:highlight w:val="none"/>
        </w:rPr>
        <w:t>合同签订之日起180日内交付</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3522"/>
        <w:gridCol w:w="830"/>
        <w:gridCol w:w="830"/>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791"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522"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830"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830"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655"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791"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522"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校园数据治理及综合数字应用</w:t>
            </w:r>
          </w:p>
        </w:tc>
        <w:tc>
          <w:tcPr>
            <w:tcW w:w="830"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830"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项</w:t>
            </w:r>
          </w:p>
        </w:tc>
        <w:tc>
          <w:tcPr>
            <w:tcW w:w="3655"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详见第二章 采购需求</w:t>
            </w:r>
          </w:p>
        </w:tc>
      </w:tr>
    </w:tbl>
    <w:p>
      <w:pPr>
        <w:adjustRightInd w:val="0"/>
        <w:snapToGrid w:val="0"/>
        <w:spacing w:line="288" w:lineRule="auto"/>
        <w:rPr>
          <w:b/>
          <w:color w:val="auto"/>
          <w:sz w:val="21"/>
          <w:szCs w:val="21"/>
          <w:highlight w:val="none"/>
        </w:rPr>
      </w:pPr>
      <w:bookmarkStart w:id="5" w:name="_Toc35393622"/>
      <w:bookmarkStart w:id="6" w:name="_Toc28359080"/>
      <w:bookmarkStart w:id="7" w:name="_Toc28359003"/>
      <w:bookmarkStart w:id="8" w:name="_Toc35393791"/>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04"/>
      <w:bookmarkStart w:id="10" w:name="_Toc28359081"/>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35393793"/>
      <w:bookmarkStart w:id="14" w:name="_Toc28359005"/>
      <w:bookmarkStart w:id="15" w:name="_Toc35393624"/>
      <w:bookmarkStart w:id="16" w:name="_Toc28359082"/>
      <w:r>
        <w:rPr>
          <w:rFonts w:hint="eastAsia"/>
          <w:color w:val="auto"/>
          <w:sz w:val="21"/>
          <w:szCs w:val="21"/>
          <w:highlight w:val="none"/>
        </w:rPr>
        <w:t>时间：2022年</w:t>
      </w:r>
      <w:r>
        <w:rPr>
          <w:rFonts w:hint="eastAsia"/>
          <w:color w:val="auto"/>
          <w:sz w:val="21"/>
          <w:szCs w:val="21"/>
          <w:highlight w:val="none"/>
          <w:lang w:val="en-US" w:eastAsia="zh-CN"/>
        </w:rPr>
        <w:t>11</w:t>
      </w:r>
      <w:r>
        <w:rPr>
          <w:rFonts w:hint="eastAsia"/>
          <w:color w:val="auto"/>
          <w:sz w:val="21"/>
          <w:szCs w:val="21"/>
          <w:highlight w:val="none"/>
        </w:rPr>
        <w:t>月</w:t>
      </w:r>
      <w:r>
        <w:rPr>
          <w:rFonts w:hint="eastAsia"/>
          <w:color w:val="auto"/>
          <w:sz w:val="21"/>
          <w:szCs w:val="21"/>
          <w:highlight w:val="none"/>
          <w:lang w:val="en-US" w:eastAsia="zh-CN"/>
        </w:rPr>
        <w:t>3</w:t>
      </w:r>
      <w:r>
        <w:rPr>
          <w:rFonts w:hint="eastAsia"/>
          <w:color w:val="auto"/>
          <w:sz w:val="21"/>
          <w:szCs w:val="21"/>
          <w:highlight w:val="none"/>
        </w:rPr>
        <w:t>日至2022年</w:t>
      </w:r>
      <w:r>
        <w:rPr>
          <w:rFonts w:hint="eastAsia"/>
          <w:color w:val="auto"/>
          <w:sz w:val="21"/>
          <w:szCs w:val="21"/>
          <w:highlight w:val="none"/>
          <w:lang w:eastAsia="zh-CN"/>
        </w:rPr>
        <w:t>11月16日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截止时间：2022年</w:t>
      </w:r>
      <w:r>
        <w:rPr>
          <w:rFonts w:hint="eastAsia"/>
          <w:bCs/>
          <w:color w:val="auto"/>
          <w:sz w:val="21"/>
          <w:szCs w:val="21"/>
          <w:highlight w:val="none"/>
          <w:lang w:eastAsia="zh-CN"/>
        </w:rPr>
        <w:t>11月16日</w:t>
      </w:r>
      <w:r>
        <w:rPr>
          <w:rFonts w:hint="eastAsia"/>
          <w:bCs/>
          <w:color w:val="auto"/>
          <w:sz w:val="21"/>
          <w:szCs w:val="21"/>
          <w:highlight w:val="none"/>
        </w:rPr>
        <w:t>9:00:00（北京时间）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35393794"/>
      <w:bookmarkStart w:id="18" w:name="_Toc28359007"/>
      <w:bookmarkStart w:id="19" w:name="_Toc28359084"/>
      <w:bookmarkStart w:id="20" w:name="_Toc35393625"/>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开启时间：2022年</w:t>
      </w:r>
      <w:r>
        <w:rPr>
          <w:rFonts w:hint="eastAsia"/>
          <w:bCs/>
          <w:color w:val="auto"/>
          <w:sz w:val="21"/>
          <w:szCs w:val="21"/>
          <w:highlight w:val="none"/>
          <w:lang w:eastAsia="zh-CN"/>
        </w:rPr>
        <w:t>11月16日</w:t>
      </w:r>
      <w:r>
        <w:rPr>
          <w:rFonts w:hint="eastAsia"/>
          <w:bCs/>
          <w:color w:val="auto"/>
          <w:sz w:val="21"/>
          <w:szCs w:val="21"/>
          <w:highlight w:val="none"/>
        </w:rPr>
        <w:t>9:00:00（北京时间）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16</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8</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28359008"/>
      <w:bookmarkStart w:id="24" w:name="_Toc28359085"/>
      <w:bookmarkStart w:id="25" w:name="_Toc35393627"/>
      <w:bookmarkStart w:id="26" w:name="_Toc35393796"/>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color w:val="auto"/>
          <w:sz w:val="21"/>
          <w:szCs w:val="21"/>
          <w:highlight w:val="none"/>
        </w:rPr>
        <w:t>1.采购人信息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项目联系人（询问）：刘老师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项目联系方式（询问）：0571-86878568</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质疑联系人：蒋敏芝</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w:t>
      </w:r>
      <w:r>
        <w:rPr>
          <w:rFonts w:hint="eastAsia"/>
          <w:color w:val="auto"/>
          <w:sz w:val="21"/>
          <w:szCs w:val="21"/>
          <w:highlight w:val="none"/>
          <w:lang w:val="en-US" w:eastAsia="zh-CN"/>
        </w:rPr>
        <w:t>齐鲁</w:t>
      </w:r>
      <w:r>
        <w:rPr>
          <w:rFonts w:hint="eastAsia"/>
          <w:color w:val="auto"/>
          <w:sz w:val="21"/>
          <w:szCs w:val="21"/>
          <w:highlight w:val="none"/>
        </w:rPr>
        <w:t>、吴聪瑜</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w:t>
      </w:r>
      <w:r>
        <w:rPr>
          <w:color w:val="auto"/>
          <w:sz w:val="21"/>
          <w:szCs w:val="21"/>
          <w:highlight w:val="none"/>
        </w:rPr>
        <w:t>0571-8705761</w:t>
      </w:r>
      <w:r>
        <w:rPr>
          <w:rFonts w:hint="eastAsia"/>
          <w:color w:val="auto"/>
          <w:sz w:val="21"/>
          <w:szCs w:val="21"/>
          <w:highlight w:val="none"/>
          <w:lang w:val="en-US" w:eastAsia="zh-CN"/>
        </w:rPr>
        <w:t>2</w:t>
      </w:r>
      <w:r>
        <w:rPr>
          <w:color w:val="auto"/>
          <w:sz w:val="21"/>
          <w:szCs w:val="21"/>
          <w:highlight w:val="none"/>
        </w:rPr>
        <w:t>、87058489</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bookmarkStart w:id="28" w:name="_Hlk45005599"/>
            <w:r>
              <w:rPr>
                <w:rFonts w:hint="eastAsia"/>
                <w:b/>
                <w:bCs/>
                <w:color w:val="auto"/>
                <w:sz w:val="21"/>
                <w:szCs w:val="21"/>
                <w:highlight w:val="none"/>
              </w:rPr>
              <w:t>序号</w:t>
            </w:r>
          </w:p>
        </w:tc>
        <w:tc>
          <w:tcPr>
            <w:tcW w:w="3302"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政策名称</w:t>
            </w:r>
          </w:p>
        </w:tc>
        <w:tc>
          <w:tcPr>
            <w:tcW w:w="5608"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1</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政府采购进口产品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2</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3</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4</w:t>
            </w:r>
          </w:p>
        </w:tc>
        <w:tc>
          <w:tcPr>
            <w:tcW w:w="3302" w:type="dxa"/>
            <w:vAlign w:val="center"/>
          </w:tcPr>
          <w:p>
            <w:pPr>
              <w:adjustRightInd w:val="0"/>
              <w:snapToGrid w:val="0"/>
              <w:spacing w:line="288" w:lineRule="auto"/>
              <w:jc w:val="left"/>
              <w:rPr>
                <w:color w:val="auto"/>
                <w:sz w:val="21"/>
                <w:szCs w:val="18"/>
                <w:highlight w:val="none"/>
              </w:rPr>
            </w:pPr>
            <w:r>
              <w:rPr>
                <w:rFonts w:hint="eastAsia"/>
                <w:color w:val="auto"/>
                <w:sz w:val="21"/>
                <w:szCs w:val="18"/>
                <w:highlight w:val="none"/>
              </w:rPr>
              <w:t>政府采购支持科技创新</w:t>
            </w:r>
          </w:p>
        </w:tc>
        <w:tc>
          <w:tcPr>
            <w:tcW w:w="5608" w:type="dxa"/>
            <w:vAlign w:val="center"/>
          </w:tcPr>
          <w:p>
            <w:pPr>
              <w:adjustRightInd w:val="0"/>
              <w:snapToGrid w:val="0"/>
              <w:spacing w:line="288" w:lineRule="auto"/>
              <w:jc w:val="left"/>
              <w:rPr>
                <w:color w:val="auto"/>
                <w:sz w:val="21"/>
                <w:szCs w:val="18"/>
                <w:highlight w:val="none"/>
              </w:rPr>
            </w:pPr>
            <w:r>
              <w:rPr>
                <w:rFonts w:hint="eastAsia"/>
                <w:color w:val="auto"/>
                <w:sz w:val="21"/>
                <w:szCs w:val="18"/>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5</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提供材料详见磋商文件第六章“报价文件”</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本项目属性为：</w:t>
            </w:r>
            <w:r>
              <w:rPr>
                <w:rFonts w:cs="Times New Roman"/>
                <w:b/>
                <w:bCs/>
                <w:color w:val="auto"/>
                <w:sz w:val="21"/>
                <w:szCs w:val="21"/>
                <w:highlight w:val="none"/>
              </w:rPr>
              <w:t>服务</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采购标的对应的中小企业划分标准所属行业：软件和信息技术服务业</w:t>
            </w:r>
          </w:p>
          <w:p>
            <w:pPr>
              <w:adjustRightInd w:val="0"/>
              <w:snapToGrid w:val="0"/>
              <w:spacing w:line="288" w:lineRule="auto"/>
              <w:jc w:val="left"/>
              <w:rPr>
                <w:b/>
                <w:bCs/>
                <w:color w:val="auto"/>
                <w:sz w:val="21"/>
                <w:szCs w:val="21"/>
                <w:highlight w:val="none"/>
              </w:rPr>
            </w:pPr>
            <w:r>
              <w:rPr>
                <w:rFonts w:hint="eastAsia" w:cs="Times New Roman"/>
                <w:b/>
                <w:bCs/>
                <w:color w:val="auto"/>
                <w:sz w:val="21"/>
                <w:szCs w:val="21"/>
                <w:highlight w:val="none"/>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6</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adjustRightInd w:val="0"/>
              <w:snapToGrid w:val="0"/>
              <w:spacing w:line="288" w:lineRule="auto"/>
              <w:jc w:val="left"/>
              <w:rPr>
                <w:rFonts w:cs="Times New Roman"/>
                <w:b/>
                <w:bCs/>
                <w:color w:val="auto"/>
                <w:sz w:val="21"/>
                <w:szCs w:val="21"/>
                <w:highlight w:val="none"/>
              </w:rPr>
            </w:pPr>
            <w:r>
              <w:rPr>
                <w:rFonts w:hint="eastAsia"/>
                <w:color w:val="auto"/>
                <w:sz w:val="21"/>
                <w:szCs w:val="21"/>
                <w:highlight w:val="none"/>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7</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政府采购促进残疾人就业</w:t>
            </w:r>
          </w:p>
        </w:tc>
        <w:tc>
          <w:tcPr>
            <w:tcW w:w="560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提供材料详见磋商文件第六章“报价文件”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1"/>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1.合同签订后一周内，成交供应商向采购人提交合同总价1%的履约保证金，履约保证金在合同履约期间无违约情形的，项目验收结束后，于一周内退还（不计息）；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2.提交方式：支票、汇票、本票或金融机构、担保机构出具的保函等非现金形式或银行转账。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开户银行：工行高新支行</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1.供应商为中小企业的，合同生效以及具备实施条件后7个工作日内，且供应商已向采购人提交银行、保险公司等金融机构出具的预付款保函的，采购人向供应商支付合同总价的40%；供应商完成软件开发、安装调试，达到项目约定的功能需求和技术参数，并通过采购人验收后，采购人在收到发票后7个工作日内，向供应商支付合同总价的60%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2.供应商为大型企业的，合同生效以及具备实施条件后7个工作日内，且供应商已向采购人提交银行、保险公司等金融机构出具的预付款保函的，采购人向供应商支付合同总价的30%；供应商完成软件开发、安装调试，达到项目约定的功能需求和技术参数，并通过采购人验收后，采购人在收到发票后7个工作日内，向供应商支付合同总价的70%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注：供应商需提供增值税专用发票，开票信息如下：</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抬头：杭州电子科技大学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税号：12330000470009026T</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地址：杭州市下沙高教园区杭州电子科技大学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电话：0571-86915020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开户银行：工行高新支行</w:t>
            </w:r>
          </w:p>
          <w:p>
            <w:pPr>
              <w:rPr>
                <w:color w:val="auto"/>
                <w:spacing w:val="-6"/>
                <w:kern w:val="0"/>
                <w:sz w:val="21"/>
                <w:szCs w:val="21"/>
                <w:highlight w:val="none"/>
              </w:rPr>
            </w:pPr>
            <w:r>
              <w:rPr>
                <w:rFonts w:hint="eastAsia"/>
                <w:color w:val="auto"/>
                <w:spacing w:val="-6"/>
                <w:kern w:val="0"/>
                <w:sz w:val="21"/>
                <w:szCs w:val="21"/>
                <w:highlight w:val="none"/>
                <w:lang w:bidi="ar"/>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1"/>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自合同签订之日起180日内交付。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2年，项目验收合格后开始计算。质保期满后的维保费用由甲乙双方协商确定。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.在质保期内，供应商应对系统出现的质量及安全问题负责处理解决并承担一切费用。</w:t>
            </w:r>
          </w:p>
          <w:p>
            <w:pPr>
              <w:adjustRightInd w:val="0"/>
              <w:snapToGrid w:val="0"/>
              <w:spacing w:line="288" w:lineRule="auto"/>
              <w:rPr>
                <w:color w:val="auto"/>
                <w:sz w:val="21"/>
                <w:szCs w:val="21"/>
                <w:highlight w:val="none"/>
                <w:u w:val="single"/>
              </w:rPr>
            </w:pPr>
            <w:r>
              <w:rPr>
                <w:rFonts w:hint="eastAsia"/>
                <w:color w:val="auto"/>
                <w:sz w:val="21"/>
                <w:szCs w:val="21"/>
                <w:highlight w:val="none"/>
              </w:rPr>
              <w:t>2.</w:t>
            </w:r>
            <w:r>
              <w:rPr>
                <w:rFonts w:hint="eastAsia"/>
                <w:color w:val="auto"/>
                <w:sz w:val="21"/>
                <w:szCs w:val="21"/>
                <w:highlight w:val="none"/>
                <w:u w:val="single"/>
              </w:rPr>
              <w:t>如在使用过程中发生问题，供应商维修响应时间：1小时以内；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若需上门处理，则在：2小时内到达现场并进行处理；不超过8小时解决故障。</w:t>
            </w:r>
          </w:p>
          <w:p>
            <w:pPr>
              <w:adjustRightInd w:val="0"/>
              <w:snapToGrid w:val="0"/>
              <w:spacing w:line="288" w:lineRule="auto"/>
              <w:rPr>
                <w:color w:val="auto"/>
                <w:sz w:val="21"/>
                <w:szCs w:val="21"/>
                <w:highlight w:val="none"/>
              </w:rPr>
            </w:pPr>
            <w:r>
              <w:rPr>
                <w:rFonts w:hint="eastAsia"/>
                <w:color w:val="auto"/>
                <w:sz w:val="21"/>
                <w:szCs w:val="21"/>
                <w:highlight w:val="none"/>
              </w:rPr>
              <w:t>3.在服务期内针对重大节日、特殊事件等，应按采购人要求提供相关支持和服务。</w:t>
            </w:r>
          </w:p>
          <w:p>
            <w:pPr>
              <w:adjustRightInd w:val="0"/>
              <w:snapToGrid w:val="0"/>
              <w:spacing w:line="288" w:lineRule="auto"/>
              <w:rPr>
                <w:color w:val="auto"/>
                <w:sz w:val="21"/>
                <w:szCs w:val="21"/>
                <w:highlight w:val="none"/>
              </w:rPr>
            </w:pPr>
            <w:r>
              <w:rPr>
                <w:rFonts w:hint="eastAsia"/>
                <w:color w:val="auto"/>
                <w:sz w:val="21"/>
                <w:szCs w:val="21"/>
                <w:highlight w:val="none"/>
              </w:rPr>
              <w:t>4.培训：</w:t>
            </w:r>
          </w:p>
          <w:p>
            <w:pPr>
              <w:adjustRightInd w:val="0"/>
              <w:snapToGrid w:val="0"/>
              <w:spacing w:line="288" w:lineRule="auto"/>
              <w:rPr>
                <w:color w:val="auto"/>
                <w:sz w:val="21"/>
                <w:szCs w:val="21"/>
                <w:highlight w:val="none"/>
              </w:rPr>
            </w:pPr>
            <w:r>
              <w:rPr>
                <w:rFonts w:hint="eastAsia"/>
                <w:color w:val="auto"/>
                <w:sz w:val="21"/>
                <w:szCs w:val="21"/>
                <w:highlight w:val="none"/>
              </w:rPr>
              <w:t>供应商应对采购人的操作人员免费进行培训；</w:t>
            </w:r>
          </w:p>
          <w:p>
            <w:pPr>
              <w:adjustRightInd w:val="0"/>
              <w:snapToGrid w:val="0"/>
              <w:spacing w:line="288" w:lineRule="auto"/>
              <w:rPr>
                <w:color w:val="auto"/>
                <w:sz w:val="21"/>
                <w:szCs w:val="21"/>
                <w:highlight w:val="none"/>
              </w:rPr>
            </w:pPr>
            <w:r>
              <w:rPr>
                <w:rFonts w:hint="eastAsia"/>
                <w:color w:val="auto"/>
                <w:sz w:val="21"/>
                <w:szCs w:val="21"/>
                <w:highlight w:val="none"/>
              </w:rPr>
              <w:t>供应商应提供相应的培训计划；</w:t>
            </w:r>
          </w:p>
          <w:p>
            <w:pPr>
              <w:adjustRightInd w:val="0"/>
              <w:snapToGrid w:val="0"/>
              <w:spacing w:line="288" w:lineRule="auto"/>
              <w:rPr>
                <w:color w:val="auto"/>
                <w:sz w:val="21"/>
                <w:szCs w:val="21"/>
                <w:highlight w:val="none"/>
              </w:rPr>
            </w:pPr>
            <w:r>
              <w:rPr>
                <w:rFonts w:hint="eastAsia"/>
                <w:color w:val="auto"/>
                <w:sz w:val="21"/>
                <w:szCs w:val="21"/>
                <w:highlight w:val="none"/>
              </w:rPr>
              <w:t>上述内容的实现方式、时间、地点、人数应在响应文件中详细说明。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1.验收由采购人负责实施；</w:t>
            </w:r>
          </w:p>
          <w:p>
            <w:pPr>
              <w:adjustRightInd w:val="0"/>
              <w:snapToGrid w:val="0"/>
              <w:spacing w:line="288" w:lineRule="auto"/>
              <w:rPr>
                <w:color w:val="auto"/>
                <w:sz w:val="21"/>
                <w:szCs w:val="21"/>
                <w:highlight w:val="none"/>
              </w:rPr>
            </w:pPr>
            <w:r>
              <w:rPr>
                <w:rFonts w:hint="eastAsia"/>
                <w:color w:val="auto"/>
                <w:sz w:val="21"/>
                <w:szCs w:val="21"/>
                <w:highlight w:val="none"/>
              </w:rPr>
              <w:t>2.验收依据：</w:t>
            </w:r>
          </w:p>
          <w:p>
            <w:pPr>
              <w:adjustRightInd w:val="0"/>
              <w:snapToGrid w:val="0"/>
              <w:spacing w:line="288" w:lineRule="auto"/>
              <w:rPr>
                <w:color w:val="auto"/>
                <w:sz w:val="21"/>
                <w:szCs w:val="21"/>
                <w:highlight w:val="none"/>
              </w:rPr>
            </w:pPr>
            <w:r>
              <w:rPr>
                <w:rFonts w:hint="eastAsia"/>
                <w:color w:val="auto"/>
                <w:sz w:val="21"/>
                <w:szCs w:val="21"/>
                <w:highlight w:val="none"/>
              </w:rPr>
              <w:t>2.1合同、磋商文件、响应文件；</w:t>
            </w:r>
          </w:p>
          <w:p>
            <w:pPr>
              <w:adjustRightInd w:val="0"/>
              <w:snapToGrid w:val="0"/>
              <w:spacing w:line="288" w:lineRule="auto"/>
              <w:rPr>
                <w:color w:val="auto"/>
                <w:sz w:val="21"/>
                <w:szCs w:val="21"/>
                <w:highlight w:val="none"/>
              </w:rPr>
            </w:pPr>
            <w:r>
              <w:rPr>
                <w:rFonts w:hint="eastAsia"/>
                <w:color w:val="auto"/>
                <w:sz w:val="21"/>
                <w:szCs w:val="21"/>
                <w:highlight w:val="none"/>
              </w:rPr>
              <w:t>2.2供应商提供的技术规格、经采购人认可的合同系统的有效检验文件；</w:t>
            </w:r>
          </w:p>
          <w:p>
            <w:pPr>
              <w:adjustRightInd w:val="0"/>
              <w:snapToGrid w:val="0"/>
              <w:spacing w:line="288" w:lineRule="auto"/>
              <w:rPr>
                <w:color w:val="auto"/>
                <w:sz w:val="21"/>
                <w:szCs w:val="21"/>
                <w:highlight w:val="none"/>
              </w:rPr>
            </w:pPr>
            <w:r>
              <w:rPr>
                <w:rFonts w:hint="eastAsia"/>
                <w:color w:val="auto"/>
                <w:sz w:val="21"/>
                <w:szCs w:val="21"/>
                <w:highlight w:val="none"/>
              </w:rPr>
              <w:t>2.3供应商响应文件中提供的经采购人认可的合同系统的验收标准（符合中国有关的国家、地方、行业标准）和检测办法及相应检测手段。</w:t>
            </w:r>
          </w:p>
          <w:p>
            <w:pPr>
              <w:adjustRightInd w:val="0"/>
              <w:snapToGrid w:val="0"/>
              <w:spacing w:line="288" w:lineRule="auto"/>
              <w:rPr>
                <w:color w:val="auto"/>
                <w:sz w:val="21"/>
                <w:szCs w:val="21"/>
                <w:highlight w:val="none"/>
              </w:rPr>
            </w:pPr>
            <w:r>
              <w:rPr>
                <w:rFonts w:hint="eastAsia"/>
                <w:color w:val="auto"/>
                <w:sz w:val="21"/>
                <w:szCs w:val="21"/>
                <w:highlight w:val="none"/>
              </w:rPr>
              <w:t>3.若发现任何质量问题，供应商负责妥善处理直至采购人满意，由此产生的费用由供应商承担。</w:t>
            </w:r>
          </w:p>
          <w:p>
            <w:pPr>
              <w:adjustRightInd w:val="0"/>
              <w:snapToGrid w:val="0"/>
              <w:spacing w:line="288" w:lineRule="auto"/>
              <w:rPr>
                <w:color w:val="auto"/>
                <w:sz w:val="21"/>
                <w:szCs w:val="21"/>
                <w:highlight w:val="none"/>
              </w:rPr>
            </w:pPr>
            <w:r>
              <w:rPr>
                <w:rFonts w:hint="eastAsia"/>
                <w:color w:val="auto"/>
                <w:sz w:val="21"/>
                <w:szCs w:val="21"/>
                <w:highlight w:val="none"/>
              </w:rPr>
              <w:t>4.验收合格的条件：</w:t>
            </w:r>
          </w:p>
          <w:p>
            <w:pPr>
              <w:adjustRightInd w:val="0"/>
              <w:snapToGrid w:val="0"/>
              <w:spacing w:line="288" w:lineRule="auto"/>
              <w:rPr>
                <w:color w:val="auto"/>
                <w:sz w:val="21"/>
                <w:szCs w:val="21"/>
                <w:highlight w:val="none"/>
              </w:rPr>
            </w:pPr>
            <w:r>
              <w:rPr>
                <w:rFonts w:hint="eastAsia"/>
                <w:color w:val="auto"/>
                <w:sz w:val="21"/>
                <w:szCs w:val="21"/>
                <w:highlight w:val="none"/>
              </w:rPr>
              <w:t>4.1所供系统符合标准和及合同的要求；</w:t>
            </w:r>
          </w:p>
          <w:p>
            <w:pPr>
              <w:adjustRightInd w:val="0"/>
              <w:snapToGrid w:val="0"/>
              <w:spacing w:line="288" w:lineRule="auto"/>
              <w:rPr>
                <w:color w:val="auto"/>
                <w:sz w:val="21"/>
                <w:szCs w:val="21"/>
                <w:highlight w:val="none"/>
              </w:rPr>
            </w:pPr>
            <w:r>
              <w:rPr>
                <w:rFonts w:hint="eastAsia"/>
                <w:color w:val="auto"/>
                <w:sz w:val="21"/>
                <w:szCs w:val="21"/>
                <w:highlight w:val="none"/>
              </w:rPr>
              <w:t>4.2在进行测试和验收过程中发现的问题已被解决并得到采购人的认可；</w:t>
            </w:r>
          </w:p>
          <w:p>
            <w:pPr>
              <w:adjustRightInd w:val="0"/>
              <w:snapToGrid w:val="0"/>
              <w:spacing w:line="288" w:lineRule="auto"/>
              <w:rPr>
                <w:color w:val="auto"/>
                <w:sz w:val="21"/>
                <w:szCs w:val="21"/>
                <w:highlight w:val="none"/>
              </w:rPr>
            </w:pPr>
            <w:r>
              <w:rPr>
                <w:rFonts w:hint="eastAsia"/>
                <w:color w:val="auto"/>
                <w:sz w:val="21"/>
                <w:szCs w:val="21"/>
                <w:highlight w:val="none"/>
              </w:rPr>
              <w:t>4.3合同中规定的所有材料均已交付；</w:t>
            </w:r>
          </w:p>
          <w:p>
            <w:pPr>
              <w:adjustRightInd w:val="0"/>
              <w:snapToGrid w:val="0"/>
              <w:spacing w:line="288" w:lineRule="auto"/>
              <w:rPr>
                <w:color w:val="auto"/>
                <w:sz w:val="21"/>
                <w:szCs w:val="21"/>
                <w:highlight w:val="none"/>
              </w:rPr>
            </w:pPr>
            <w:r>
              <w:rPr>
                <w:rFonts w:hint="eastAsia"/>
                <w:color w:val="auto"/>
                <w:sz w:val="21"/>
                <w:szCs w:val="21"/>
                <w:highlight w:val="none"/>
              </w:rPr>
              <w:t>4.4所供系统已通过使用单位组织的验收；</w:t>
            </w:r>
          </w:p>
          <w:p>
            <w:pPr>
              <w:adjustRightInd w:val="0"/>
              <w:snapToGrid w:val="0"/>
              <w:spacing w:line="288" w:lineRule="auto"/>
              <w:rPr>
                <w:color w:val="auto"/>
                <w:sz w:val="21"/>
                <w:szCs w:val="21"/>
                <w:highlight w:val="none"/>
              </w:rPr>
            </w:pPr>
            <w:r>
              <w:rPr>
                <w:rFonts w:hint="eastAsia"/>
                <w:color w:val="auto"/>
                <w:sz w:val="21"/>
                <w:szCs w:val="21"/>
                <w:highlight w:val="none"/>
              </w:rPr>
              <w:t>4.5所有相关的技术文件及资料均已提交并得到接受。</w:t>
            </w:r>
          </w:p>
          <w:p>
            <w:pPr>
              <w:adjustRightInd w:val="0"/>
              <w:snapToGrid w:val="0"/>
              <w:spacing w:line="288" w:lineRule="auto"/>
              <w:rPr>
                <w:color w:val="auto"/>
                <w:sz w:val="21"/>
                <w:szCs w:val="21"/>
                <w:highlight w:val="none"/>
              </w:rPr>
            </w:pPr>
            <w:r>
              <w:rPr>
                <w:rFonts w:hint="eastAsia"/>
                <w:color w:val="auto"/>
                <w:sz w:val="21"/>
                <w:szCs w:val="21"/>
                <w:highlight w:val="none"/>
              </w:rPr>
              <w:t>4.6供应商须以书面形式提交系统验收申请并提交所需的系统设计、开发、测试文档；采购人负责验收、评定，并签署相应的验收报告。如果系统在运行期间发现功能及性能与本合同内容不符的，采购人有权推迟系统验收时间或随时要求成交供应商采取补救开发措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其他</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▲1.版权与知识保护：</w:t>
            </w:r>
          </w:p>
          <w:p>
            <w:pPr>
              <w:adjustRightInd w:val="0"/>
              <w:snapToGrid w:val="0"/>
              <w:spacing w:line="288" w:lineRule="auto"/>
              <w:rPr>
                <w:color w:val="auto"/>
                <w:sz w:val="21"/>
                <w:szCs w:val="21"/>
                <w:highlight w:val="none"/>
              </w:rPr>
            </w:pPr>
            <w:r>
              <w:rPr>
                <w:rFonts w:hint="eastAsia"/>
                <w:color w:val="auto"/>
                <w:sz w:val="21"/>
                <w:szCs w:val="21"/>
                <w:highlight w:val="none"/>
              </w:rPr>
              <w:t>数据产权归采购人所有，成交供应商不得泄露学校内部数据，也不得将学校内部数据用于商业用途。</w:t>
            </w:r>
          </w:p>
          <w:p>
            <w:pPr>
              <w:adjustRightInd w:val="0"/>
              <w:snapToGrid w:val="0"/>
              <w:spacing w:line="288" w:lineRule="auto"/>
              <w:rPr>
                <w:color w:val="auto"/>
                <w:sz w:val="21"/>
                <w:szCs w:val="21"/>
                <w:highlight w:val="none"/>
              </w:rPr>
            </w:pPr>
            <w:r>
              <w:rPr>
                <w:rFonts w:hint="eastAsia"/>
                <w:color w:val="auto"/>
                <w:sz w:val="21"/>
                <w:szCs w:val="21"/>
                <w:highlight w:val="none"/>
              </w:rPr>
              <w:t>2.防疫防控要求：</w:t>
            </w:r>
          </w:p>
          <w:p>
            <w:pPr>
              <w:adjustRightInd w:val="0"/>
              <w:snapToGrid w:val="0"/>
              <w:spacing w:line="288" w:lineRule="auto"/>
              <w:rPr>
                <w:color w:val="auto"/>
                <w:sz w:val="21"/>
                <w:szCs w:val="21"/>
                <w:highlight w:val="none"/>
              </w:rPr>
            </w:pPr>
            <w:r>
              <w:rPr>
                <w:rFonts w:hint="eastAsia"/>
                <w:color w:val="auto"/>
                <w:sz w:val="21"/>
                <w:szCs w:val="21"/>
                <w:highlight w:val="none"/>
              </w:rPr>
              <w:t>项目实施期间，成交供应商要贯彻落实好“新冠”疫情防控工作要求，对派至采购人工作的具体人员要加强教育管理，强化疫情防控责任，严格遵守采购人疫情防控管理制度和措施要求，进校前主动报告相关人员的行程、健康码等信息；如项目实施过程中需要携带服务设备进校的，设备进校前应进行严格消毒并提供相关证明，确保进校人员与设备防控管理到位。</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spacing w:line="288" w:lineRule="auto"/>
        <w:ind w:firstLine="422" w:firstLineChars="200"/>
        <w:jc w:val="left"/>
        <w:rPr>
          <w:b/>
          <w:bCs/>
          <w:color w:val="auto"/>
          <w:sz w:val="21"/>
          <w:szCs w:val="21"/>
          <w:highlight w:val="none"/>
        </w:rPr>
      </w:pPr>
      <w:bookmarkStart w:id="30" w:name="_Toc5995"/>
      <w:bookmarkStart w:id="31" w:name="_Toc115439594"/>
      <w:bookmarkStart w:id="32" w:name="_Toc11342"/>
      <w:r>
        <w:rPr>
          <w:rFonts w:hint="eastAsia"/>
          <w:b/>
          <w:bCs/>
          <w:color w:val="auto"/>
          <w:sz w:val="21"/>
          <w:szCs w:val="21"/>
          <w:highlight w:val="none"/>
        </w:rPr>
        <w:t>1.建设背景：</w:t>
      </w:r>
    </w:p>
    <w:p>
      <w:pPr>
        <w:widowControl/>
        <w:spacing w:line="288" w:lineRule="auto"/>
        <w:ind w:firstLine="420" w:firstLineChars="200"/>
        <w:jc w:val="left"/>
        <w:rPr>
          <w:color w:val="auto"/>
          <w:sz w:val="21"/>
          <w:szCs w:val="21"/>
          <w:highlight w:val="none"/>
        </w:rPr>
      </w:pPr>
      <w:r>
        <w:rPr>
          <w:rFonts w:hint="eastAsia"/>
          <w:color w:val="auto"/>
          <w:sz w:val="21"/>
          <w:szCs w:val="21"/>
          <w:highlight w:val="none"/>
        </w:rPr>
        <w:t>浙江省教育厅印发《浙江省教育领域数字化改革工作方案》《2022年浙江省教育领域数字化改革工作要点》提出以全域性数字化改革为总牵引，撬动教育领域各方面改革，办好人民满意的教育。当前采购人在信息化基础设施、信息系统、教育技术、用户服务方面取得了长足进展，位于国内高校领先地位。但随着应用的逐步深入，管理精细化程度加深，采购人的信息系统也逐渐暴露一些问题，与国内信息化程度较高的高校相比，信息系统分散、数据质量问题突出、数据应用没有聚焦等方面仍存在较大差距。</w:t>
      </w:r>
    </w:p>
    <w:p>
      <w:pPr>
        <w:spacing w:line="288" w:lineRule="auto"/>
        <w:ind w:firstLine="422" w:firstLineChars="200"/>
        <w:jc w:val="left"/>
        <w:rPr>
          <w:b/>
          <w:bCs/>
          <w:color w:val="auto"/>
          <w:sz w:val="21"/>
          <w:szCs w:val="21"/>
          <w:highlight w:val="none"/>
        </w:rPr>
      </w:pPr>
      <w:r>
        <w:rPr>
          <w:rFonts w:hint="eastAsia"/>
          <w:b/>
          <w:bCs/>
          <w:color w:val="auto"/>
          <w:sz w:val="21"/>
          <w:szCs w:val="21"/>
          <w:highlight w:val="none"/>
        </w:rPr>
        <w:t>2.建设目标</w:t>
      </w:r>
      <w:bookmarkEnd w:id="30"/>
      <w:bookmarkEnd w:id="31"/>
      <w:bookmarkEnd w:id="32"/>
      <w:r>
        <w:rPr>
          <w:rFonts w:hint="eastAsia"/>
          <w:b/>
          <w:bCs/>
          <w:color w:val="auto"/>
          <w:sz w:val="21"/>
          <w:szCs w:val="21"/>
          <w:highlight w:val="none"/>
        </w:rPr>
        <w:t>：</w:t>
      </w:r>
    </w:p>
    <w:p>
      <w:pPr>
        <w:widowControl/>
        <w:spacing w:line="288" w:lineRule="auto"/>
        <w:ind w:firstLine="420" w:firstLineChars="200"/>
        <w:jc w:val="left"/>
        <w:rPr>
          <w:color w:val="auto"/>
          <w:sz w:val="21"/>
          <w:szCs w:val="21"/>
          <w:highlight w:val="none"/>
        </w:rPr>
      </w:pPr>
      <w:r>
        <w:rPr>
          <w:rFonts w:hint="eastAsia"/>
          <w:color w:val="auto"/>
          <w:sz w:val="21"/>
          <w:szCs w:val="21"/>
          <w:highlight w:val="none"/>
        </w:rPr>
        <w:t>聚焦2022杭州电子科技大学数字化改革目标任务，以开展杭州电子科技大学重要业务数据治理为基础，完成杭州电子科技大学基于一体化大数据平台的教师数字空间（教师画像）建设。通过对教师日常本科教学工作数据统计、分析、挖掘、预测，为学校教师本科教学管理、服务和决策提供数据支撑，为学院开展教师教学业绩考核提供数据依据，实现教师本科教学的“一师一表”、勾勒教师教学能力完整能力标签。大数据建模生成个人画像，全面透明化教师个人发展，通过教师授课信息、教学工作量分布、教学成果展示、研究生教学信息、科研项目、论文著作、成果奖励等，从职称、学位、入校时间等不同维度分析建模，精准跟踪教师综合能力发展，促进教师职业发展。</w:t>
      </w:r>
    </w:p>
    <w:p>
      <w:pPr>
        <w:widowControl/>
        <w:spacing w:line="288" w:lineRule="auto"/>
        <w:ind w:firstLine="420" w:firstLineChars="200"/>
        <w:jc w:val="left"/>
        <w:rPr>
          <w:color w:val="auto"/>
          <w:spacing w:val="-4"/>
          <w:sz w:val="21"/>
          <w:szCs w:val="21"/>
          <w:highlight w:val="none"/>
          <w:lang w:eastAsia="zh-Hans"/>
        </w:rPr>
      </w:pPr>
      <w:r>
        <w:rPr>
          <w:rFonts w:hint="eastAsia"/>
          <w:color w:val="auto"/>
          <w:sz w:val="21"/>
          <w:szCs w:val="21"/>
          <w:highlight w:val="none"/>
        </w:rPr>
        <w:t>本次除教师画像之外，还包含数字融合门户、各业务部门数据驾驶舱、研究生导学评价系统、值班系统、科研安2.0、服务器，全面满足聚焦数字化改革任务，提升学校数字化水平。</w:t>
      </w:r>
    </w:p>
    <w:p>
      <w:pPr>
        <w:spacing w:line="288" w:lineRule="auto"/>
        <w:ind w:firstLine="422" w:firstLineChars="200"/>
        <w:jc w:val="left"/>
        <w:rPr>
          <w:b/>
          <w:bCs/>
          <w:caps/>
          <w:color w:val="auto"/>
          <w:sz w:val="21"/>
          <w:szCs w:val="21"/>
          <w:highlight w:val="none"/>
        </w:rPr>
      </w:pPr>
      <w:bookmarkStart w:id="33" w:name="_Toc115439595"/>
      <w:bookmarkStart w:id="34" w:name="_Toc16041"/>
      <w:bookmarkStart w:id="35" w:name="_Toc2649"/>
      <w:bookmarkStart w:id="36" w:name="_Toc1994"/>
      <w:r>
        <w:rPr>
          <w:rFonts w:hint="eastAsia"/>
          <w:b/>
          <w:bCs/>
          <w:color w:val="auto"/>
          <w:sz w:val="21"/>
          <w:szCs w:val="21"/>
          <w:highlight w:val="none"/>
        </w:rPr>
        <w:t>3.系统总体技术</w:t>
      </w:r>
      <w:bookmarkEnd w:id="33"/>
      <w:bookmarkEnd w:id="34"/>
      <w:bookmarkEnd w:id="35"/>
      <w:bookmarkEnd w:id="36"/>
      <w:r>
        <w:rPr>
          <w:rFonts w:hint="eastAsia"/>
          <w:b/>
          <w:bCs/>
          <w:color w:val="auto"/>
          <w:sz w:val="21"/>
          <w:szCs w:val="21"/>
          <w:highlight w:val="none"/>
        </w:rPr>
        <w:t>：</w:t>
      </w:r>
    </w:p>
    <w:p>
      <w:pPr>
        <w:spacing w:line="288" w:lineRule="auto"/>
        <w:ind w:firstLine="420" w:firstLineChars="200"/>
        <w:rPr>
          <w:color w:val="auto"/>
          <w:sz w:val="21"/>
          <w:szCs w:val="21"/>
          <w:highlight w:val="none"/>
        </w:rPr>
      </w:pPr>
      <w:r>
        <w:rPr>
          <w:rFonts w:hint="eastAsia"/>
          <w:color w:val="auto"/>
          <w:sz w:val="21"/>
          <w:szCs w:val="21"/>
          <w:highlight w:val="none"/>
        </w:rPr>
        <w:t xml:space="preserve">3.1 </w:t>
      </w:r>
      <w:r>
        <w:rPr>
          <w:rFonts w:hint="eastAsia"/>
          <w:color w:val="auto"/>
          <w:sz w:val="21"/>
          <w:szCs w:val="21"/>
          <w:highlight w:val="none"/>
          <w:lang w:eastAsia="zh-Hans"/>
        </w:rPr>
        <w:t>系统应用环境</w:t>
      </w:r>
      <w:r>
        <w:rPr>
          <w:rFonts w:hint="eastAsia"/>
          <w:color w:val="auto"/>
          <w:sz w:val="21"/>
          <w:szCs w:val="21"/>
          <w:highlight w:val="none"/>
        </w:rPr>
        <w:t>：</w:t>
      </w:r>
    </w:p>
    <w:p>
      <w:pPr>
        <w:spacing w:line="288" w:lineRule="auto"/>
        <w:ind w:firstLine="420" w:firstLineChars="200"/>
        <w:rPr>
          <w:color w:val="auto"/>
          <w:sz w:val="21"/>
          <w:szCs w:val="21"/>
          <w:highlight w:val="none"/>
          <w:lang w:eastAsia="zh-Hans"/>
        </w:rPr>
      </w:pPr>
      <w:r>
        <w:rPr>
          <w:rFonts w:hint="eastAsia"/>
          <w:color w:val="auto"/>
          <w:sz w:val="21"/>
          <w:szCs w:val="21"/>
          <w:highlight w:val="none"/>
          <w:lang w:eastAsia="zh-Hans"/>
        </w:rPr>
        <w:t>采用先进的技术构架和设计方法，融合先进的管理思想，用国际通用的技术标准，研发</w:t>
      </w:r>
      <w:r>
        <w:rPr>
          <w:rFonts w:hint="eastAsia"/>
          <w:color w:val="auto"/>
          <w:sz w:val="21"/>
          <w:szCs w:val="21"/>
          <w:highlight w:val="none"/>
        </w:rPr>
        <w:t>集</w:t>
      </w:r>
      <w:r>
        <w:rPr>
          <w:rFonts w:hint="eastAsia"/>
          <w:color w:val="auto"/>
          <w:sz w:val="21"/>
          <w:szCs w:val="21"/>
          <w:highlight w:val="none"/>
          <w:lang w:eastAsia="zh-Hans"/>
        </w:rPr>
        <w:t>灵活性、扩展性、兼容性、升级性好速度快为一体</w:t>
      </w:r>
      <w:r>
        <w:rPr>
          <w:rFonts w:hint="eastAsia"/>
          <w:color w:val="auto"/>
          <w:sz w:val="21"/>
          <w:szCs w:val="21"/>
          <w:highlight w:val="none"/>
        </w:rPr>
        <w:t>的应用平台</w:t>
      </w:r>
      <w:r>
        <w:rPr>
          <w:rFonts w:hint="eastAsia"/>
          <w:color w:val="auto"/>
          <w:sz w:val="21"/>
          <w:szCs w:val="21"/>
          <w:highlight w:val="none"/>
          <w:lang w:eastAsia="zh-Hans"/>
        </w:rPr>
        <w:t>。</w:t>
      </w:r>
    </w:p>
    <w:p>
      <w:pPr>
        <w:spacing w:line="288" w:lineRule="auto"/>
        <w:ind w:firstLine="420" w:firstLineChars="200"/>
        <w:rPr>
          <w:color w:val="auto"/>
          <w:sz w:val="21"/>
          <w:szCs w:val="21"/>
          <w:highlight w:val="none"/>
          <w:lang w:eastAsia="zh-Hans"/>
        </w:rPr>
      </w:pPr>
      <w:r>
        <w:rPr>
          <w:rFonts w:hint="eastAsia"/>
          <w:color w:val="auto"/>
          <w:sz w:val="21"/>
          <w:szCs w:val="21"/>
          <w:highlight w:val="none"/>
          <w:lang w:eastAsia="zh-Hans"/>
        </w:rPr>
        <w:t>系统要求部署于</w:t>
      </w:r>
      <w:r>
        <w:rPr>
          <w:rFonts w:hint="eastAsia"/>
          <w:color w:val="auto"/>
          <w:sz w:val="21"/>
          <w:szCs w:val="21"/>
          <w:highlight w:val="none"/>
        </w:rPr>
        <w:t>信息中心统一环境</w:t>
      </w:r>
      <w:r>
        <w:rPr>
          <w:rFonts w:hint="eastAsia"/>
          <w:color w:val="auto"/>
          <w:sz w:val="21"/>
          <w:szCs w:val="21"/>
          <w:highlight w:val="none"/>
          <w:lang w:eastAsia="zh-Hans"/>
        </w:rPr>
        <w:t>中，可根据需要灵活配置增减各类应用模块，平台产品至少要具备4类功能或模块扩展</w:t>
      </w:r>
      <w:r>
        <w:rPr>
          <w:rFonts w:hint="eastAsia"/>
          <w:color w:val="auto"/>
          <w:sz w:val="21"/>
          <w:szCs w:val="21"/>
          <w:highlight w:val="none"/>
        </w:rPr>
        <w:t>（</w:t>
      </w:r>
      <w:r>
        <w:rPr>
          <w:rFonts w:hint="eastAsia"/>
          <w:color w:val="auto"/>
          <w:sz w:val="21"/>
          <w:szCs w:val="21"/>
          <w:highlight w:val="none"/>
          <w:lang w:eastAsia="zh-Hans"/>
        </w:rPr>
        <w:t>如数据治理、数据开发、驾驶舱、教师数字空间等</w:t>
      </w:r>
      <w:r>
        <w:rPr>
          <w:rFonts w:hint="eastAsia"/>
          <w:color w:val="auto"/>
          <w:sz w:val="21"/>
          <w:szCs w:val="21"/>
          <w:highlight w:val="none"/>
        </w:rPr>
        <w:t>）。</w:t>
      </w:r>
    </w:p>
    <w:p>
      <w:pPr>
        <w:spacing w:line="288" w:lineRule="auto"/>
        <w:ind w:firstLine="420" w:firstLineChars="200"/>
        <w:rPr>
          <w:color w:val="auto"/>
          <w:sz w:val="21"/>
          <w:szCs w:val="21"/>
          <w:highlight w:val="none"/>
        </w:rPr>
      </w:pPr>
      <w:r>
        <w:rPr>
          <w:rFonts w:hint="eastAsia"/>
          <w:color w:val="auto"/>
          <w:sz w:val="21"/>
          <w:szCs w:val="21"/>
          <w:highlight w:val="none"/>
        </w:rPr>
        <w:t xml:space="preserve">3.2 </w:t>
      </w:r>
      <w:r>
        <w:rPr>
          <w:rFonts w:hint="eastAsia"/>
          <w:color w:val="auto"/>
          <w:sz w:val="21"/>
          <w:szCs w:val="21"/>
          <w:highlight w:val="none"/>
          <w:lang w:eastAsia="zh-Hans"/>
        </w:rPr>
        <w:t>系统技术架构要求</w:t>
      </w:r>
      <w:r>
        <w:rPr>
          <w:rFonts w:hint="eastAsia"/>
          <w:color w:val="auto"/>
          <w:sz w:val="21"/>
          <w:szCs w:val="21"/>
          <w:highlight w:val="none"/>
        </w:rPr>
        <w:t>：</w:t>
      </w:r>
    </w:p>
    <w:p>
      <w:pPr>
        <w:spacing w:line="288" w:lineRule="auto"/>
        <w:ind w:firstLine="420" w:firstLineChars="200"/>
        <w:rPr>
          <w:color w:val="auto"/>
          <w:sz w:val="21"/>
          <w:szCs w:val="21"/>
          <w:highlight w:val="none"/>
        </w:rPr>
      </w:pPr>
      <w:r>
        <w:rPr>
          <w:rFonts w:hint="eastAsia"/>
          <w:color w:val="auto"/>
          <w:sz w:val="21"/>
          <w:szCs w:val="21"/>
          <w:highlight w:val="none"/>
        </w:rPr>
        <w:t>各项应用系统应满足</w:t>
      </w:r>
      <w:r>
        <w:rPr>
          <w:rFonts w:hint="eastAsia"/>
          <w:color w:val="auto"/>
          <w:sz w:val="21"/>
          <w:szCs w:val="21"/>
          <w:highlight w:val="none"/>
          <w:lang w:eastAsia="zh-Hans"/>
        </w:rPr>
        <w:t>浏览器</w:t>
      </w:r>
      <w:r>
        <w:rPr>
          <w:rFonts w:hint="eastAsia"/>
          <w:color w:val="auto"/>
          <w:sz w:val="21"/>
          <w:szCs w:val="21"/>
          <w:highlight w:val="none"/>
        </w:rPr>
        <w:t>访问</w:t>
      </w:r>
      <w:r>
        <w:rPr>
          <w:rFonts w:hint="eastAsia"/>
          <w:color w:val="auto"/>
          <w:sz w:val="21"/>
          <w:szCs w:val="21"/>
          <w:highlight w:val="none"/>
          <w:lang w:eastAsia="zh-Hans"/>
        </w:rPr>
        <w:t>操作，</w:t>
      </w:r>
      <w:r>
        <w:rPr>
          <w:rFonts w:hint="eastAsia"/>
          <w:color w:val="auto"/>
          <w:sz w:val="21"/>
          <w:szCs w:val="21"/>
          <w:highlight w:val="none"/>
        </w:rPr>
        <w:t>采用</w:t>
      </w:r>
      <w:r>
        <w:rPr>
          <w:rFonts w:hint="eastAsia"/>
          <w:color w:val="auto"/>
          <w:sz w:val="21"/>
          <w:szCs w:val="21"/>
          <w:highlight w:val="none"/>
          <w:lang w:eastAsia="zh-Hans"/>
        </w:rPr>
        <w:t>Browser/Application Server/DataBase Sever 三层体系结构</w:t>
      </w:r>
      <w:r>
        <w:rPr>
          <w:rFonts w:hint="eastAsia"/>
          <w:color w:val="auto"/>
          <w:sz w:val="21"/>
          <w:szCs w:val="21"/>
          <w:highlight w:val="none"/>
        </w:rPr>
        <w:t>。</w:t>
      </w:r>
    </w:p>
    <w:p>
      <w:pPr>
        <w:spacing w:line="288" w:lineRule="auto"/>
        <w:ind w:firstLine="422" w:firstLineChars="200"/>
        <w:jc w:val="left"/>
        <w:rPr>
          <w:b/>
          <w:bCs/>
          <w:color w:val="auto"/>
          <w:sz w:val="21"/>
          <w:szCs w:val="21"/>
          <w:highlight w:val="none"/>
        </w:rPr>
      </w:pPr>
      <w:r>
        <w:rPr>
          <w:rFonts w:hint="eastAsia"/>
          <w:b/>
          <w:bCs/>
          <w:color w:val="auto"/>
          <w:sz w:val="21"/>
          <w:szCs w:val="21"/>
          <w:highlight w:val="none"/>
        </w:rPr>
        <w:t>4.建设内容技术要求：</w:t>
      </w:r>
    </w:p>
    <w:p>
      <w:pPr>
        <w:widowControl/>
        <w:tabs>
          <w:tab w:val="right" w:leader="dot" w:pos="8302"/>
        </w:tabs>
        <w:spacing w:line="288" w:lineRule="auto"/>
        <w:ind w:firstLine="420" w:firstLineChars="200"/>
        <w:jc w:val="left"/>
        <w:rPr>
          <w:color w:val="auto"/>
          <w:sz w:val="21"/>
          <w:szCs w:val="21"/>
          <w:highlight w:val="none"/>
        </w:rPr>
      </w:pPr>
      <w:r>
        <w:rPr>
          <w:rFonts w:hint="eastAsia"/>
          <w:color w:val="auto"/>
          <w:sz w:val="21"/>
          <w:szCs w:val="21"/>
          <w:highlight w:val="none"/>
        </w:rPr>
        <w:t>4.1 数据治理系统：</w:t>
      </w:r>
    </w:p>
    <w:p>
      <w:pPr>
        <w:spacing w:line="288" w:lineRule="auto"/>
        <w:ind w:firstLine="420" w:firstLineChars="200"/>
        <w:contextualSpacing/>
        <w:rPr>
          <w:color w:val="auto"/>
          <w:sz w:val="21"/>
          <w:szCs w:val="21"/>
          <w:highlight w:val="none"/>
          <w:lang w:bidi="ar"/>
        </w:rPr>
      </w:pPr>
      <w:r>
        <w:rPr>
          <w:rFonts w:hint="eastAsia"/>
          <w:color w:val="auto"/>
          <w:sz w:val="21"/>
          <w:szCs w:val="21"/>
          <w:highlight w:val="none"/>
          <w:lang w:bidi="ar"/>
        </w:rPr>
        <w:t>随着杭州电子科技大学数据收集手段的不断丰富及完善，越来越多的行业数据被积累下来，数据规模已经增长到传统软件无法承载的海量数据（百GB、TB、乃至PB）级别。</w:t>
      </w:r>
      <w:r>
        <w:rPr>
          <w:rFonts w:hint="eastAsia"/>
          <w:color w:val="auto"/>
          <w:sz w:val="21"/>
          <w:szCs w:val="21"/>
          <w:highlight w:val="none"/>
        </w:rPr>
        <w:t>通过全维度的数据采集、集中和治理，使数据表达规范，内容准确、维度完整，形成标准统一、分类清晰、质量可信的数据仓库和数据主题库。结合本次采集的教务、人事、科研、研究生管理等系统，生成结合以应用为导向的各类主题库，如教师画像库、科研库、人事库等。</w:t>
      </w:r>
      <w:r>
        <w:rPr>
          <w:rFonts w:hint="eastAsia"/>
          <w:color w:val="auto"/>
          <w:sz w:val="21"/>
          <w:szCs w:val="21"/>
          <w:highlight w:val="none"/>
          <w:lang w:bidi="ar"/>
        </w:rPr>
        <w:t>在分析海量数据场景下，由于单台服务器的处理能力有限，数据分析人员通常采用分布式计算模式，但分布式的计算模型对数据分析人员提出了较高的要求，且不易维护，使用分布式模型，数据分析人员不仅需要了解业务需求，同时还需要熟悉底层计算模型。</w:t>
      </w:r>
    </w:p>
    <w:p>
      <w:pPr>
        <w:spacing w:line="288" w:lineRule="auto"/>
        <w:ind w:firstLine="420" w:firstLineChars="200"/>
        <w:rPr>
          <w:color w:val="auto"/>
          <w:sz w:val="21"/>
          <w:szCs w:val="21"/>
          <w:highlight w:val="none"/>
          <w:lang w:eastAsia="zh-Hans"/>
        </w:rPr>
      </w:pPr>
      <w:r>
        <w:rPr>
          <w:rFonts w:hint="eastAsia"/>
          <w:color w:val="auto"/>
          <w:sz w:val="21"/>
          <w:szCs w:val="21"/>
          <w:highlight w:val="none"/>
          <w:lang w:bidi="ar"/>
        </w:rPr>
        <w:t>平台应采用分布式架构，且存储能力和计算能力可横向扩展，并提供资源调度管理、集群协助等服务能力。数据存储采用分布式文件系统，支持多种存储格式，具有高度的容错性，提供高可靠性和高性能，支持列式存储，具有高压缩比。支持与常见数据源如传统数据库、Hadoop、HDFS和文件进行数据导入导出，以及流式数据导入。基于统一的内存迭代计算架构，提供SQL引擎、Graph图计算、Spark、机器学习等多种数据处理接口和框架，具有高吞吐高性能的数据处理能力。提供SQL查询界面，内置丰富的函数库、ML算法库、编程接口，</w:t>
      </w:r>
      <w:r>
        <w:rPr>
          <w:rFonts w:hint="eastAsia"/>
          <w:color w:val="auto"/>
          <w:sz w:val="21"/>
          <w:szCs w:val="21"/>
          <w:highlight w:val="none"/>
          <w:lang w:eastAsia="zh-Hans"/>
        </w:rPr>
        <w:t>让学校数据开发人员可以关注数据处理业务逻辑本身。平台提供针对TB/PB级别数据的离线和实时处理能力，应用于日志分析、数据挖掘、业务应用智能等领域。</w:t>
      </w:r>
    </w:p>
    <w:p>
      <w:pPr>
        <w:spacing w:line="288" w:lineRule="auto"/>
        <w:ind w:firstLine="422" w:firstLineChars="200"/>
        <w:rPr>
          <w:b/>
          <w:bCs/>
          <w:color w:val="auto"/>
          <w:sz w:val="21"/>
          <w:szCs w:val="21"/>
          <w:highlight w:val="none"/>
          <w:lang w:eastAsia="zh-Hans"/>
        </w:rPr>
      </w:pPr>
      <w:r>
        <w:rPr>
          <w:rFonts w:hint="eastAsia"/>
          <w:b/>
          <w:bCs/>
          <w:color w:val="auto"/>
          <w:sz w:val="21"/>
          <w:szCs w:val="21"/>
          <w:highlight w:val="none"/>
        </w:rPr>
        <w:t>数据治理系统</w:t>
      </w:r>
      <w:r>
        <w:rPr>
          <w:rFonts w:hint="eastAsia"/>
          <w:b/>
          <w:bCs/>
          <w:color w:val="auto"/>
          <w:sz w:val="21"/>
          <w:szCs w:val="21"/>
          <w:highlight w:val="none"/>
          <w:lang w:eastAsia="zh-Hans"/>
        </w:rPr>
        <w:t>应提供以下功能：</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（1）</w:t>
      </w:r>
      <w:r>
        <w:rPr>
          <w:rFonts w:hint="eastAsia"/>
          <w:color w:val="auto"/>
          <w:sz w:val="21"/>
          <w:szCs w:val="21"/>
          <w:highlight w:val="none"/>
          <w:lang w:eastAsia="zh-Hans"/>
        </w:rPr>
        <w:t>具备多副本高可靠的分布式文件存储能力，具备结构化、半结构化、非结构化文件，具有高吞吐量和低延时的访问能力；</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（2）</w:t>
      </w:r>
      <w:r>
        <w:rPr>
          <w:rFonts w:hint="eastAsia"/>
          <w:color w:val="auto"/>
          <w:sz w:val="21"/>
          <w:szCs w:val="21"/>
          <w:highlight w:val="none"/>
          <w:lang w:eastAsia="zh-Hans"/>
        </w:rPr>
        <w:t>具备PB/TB的分布式离线数据仓库服务能力，支持结构化数据列式存储，通过分布式内存计算实现OLAP分析处理能力；</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（3）</w:t>
      </w:r>
      <w:r>
        <w:rPr>
          <w:rFonts w:hint="eastAsia"/>
          <w:color w:val="auto"/>
          <w:sz w:val="21"/>
          <w:szCs w:val="21"/>
          <w:highlight w:val="none"/>
          <w:lang w:eastAsia="zh-Hans"/>
        </w:rPr>
        <w:t>需要支持基于SQL的批数据处理模式，内置丰富的函数库，具备包括数学函数、字符串函数、日期函数和窗口函数等高级数据分析功能；</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（4）</w:t>
      </w:r>
      <w:r>
        <w:rPr>
          <w:rFonts w:hint="eastAsia"/>
          <w:color w:val="auto"/>
          <w:sz w:val="21"/>
          <w:szCs w:val="21"/>
          <w:highlight w:val="none"/>
          <w:lang w:eastAsia="zh-Hans"/>
        </w:rPr>
        <w:t>需要支持用户创建自定义函数，满足不同的计算需求；</w:t>
      </w:r>
    </w:p>
    <w:p>
      <w:pPr>
        <w:spacing w:line="288" w:lineRule="auto"/>
        <w:ind w:firstLine="420" w:firstLineChars="200"/>
        <w:rPr>
          <w:b/>
          <w:color w:val="auto"/>
          <w:sz w:val="21"/>
          <w:szCs w:val="21"/>
          <w:highlight w:val="none"/>
          <w:lang w:eastAsia="zh-Hans"/>
        </w:rPr>
      </w:pPr>
      <w:r>
        <w:rPr>
          <w:rFonts w:hint="eastAsia"/>
          <w:color w:val="auto"/>
          <w:sz w:val="21"/>
          <w:szCs w:val="21"/>
          <w:highlight w:val="none"/>
        </w:rPr>
        <w:t>（5）</w:t>
      </w:r>
      <w:r>
        <w:rPr>
          <w:rFonts w:hint="eastAsia"/>
          <w:color w:val="auto"/>
          <w:sz w:val="21"/>
          <w:szCs w:val="21"/>
          <w:highlight w:val="none"/>
          <w:lang w:eastAsia="zh-Hans"/>
        </w:rPr>
        <w:t>具备运维大盘功能，能够直观的展示运维平台当前的运行状况，包括但不限于集群服务器数量、集群磁盘使用率、集群内存使用率、集群CPU使用率、集群服务组件在各主机上的分布概况，同时提供集群服务状态趋势信息展示，包括集群CPU趋势，集群内存趋势，集群负载趋势等信息</w:t>
      </w:r>
      <w:r>
        <w:rPr>
          <w:rFonts w:hint="eastAsia"/>
          <w:b/>
          <w:color w:val="auto"/>
          <w:sz w:val="21"/>
          <w:szCs w:val="21"/>
          <w:highlight w:val="none"/>
          <w:lang w:eastAsia="zh-Hans"/>
        </w:rPr>
        <w:t>（提供证明材料）；</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（6）</w:t>
      </w:r>
      <w:r>
        <w:rPr>
          <w:rFonts w:hint="eastAsia"/>
          <w:color w:val="auto"/>
          <w:sz w:val="21"/>
          <w:szCs w:val="21"/>
          <w:highlight w:val="none"/>
          <w:lang w:eastAsia="zh-Hans"/>
        </w:rPr>
        <w:t>具备集群管理功能，能够监控集群中主机各状态信息，包括但不限于CPU使用率、磁盘使用率、内存使用率等；</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（7）</w:t>
      </w:r>
      <w:r>
        <w:rPr>
          <w:rFonts w:hint="eastAsia"/>
          <w:color w:val="auto"/>
          <w:sz w:val="21"/>
          <w:szCs w:val="21"/>
          <w:highlight w:val="none"/>
          <w:lang w:eastAsia="zh-Hans"/>
        </w:rPr>
        <w:t>具备对底层分布式文件系统、资源调度系统等服务监控功能；</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（8）</w:t>
      </w:r>
      <w:r>
        <w:rPr>
          <w:rFonts w:hint="eastAsia"/>
          <w:color w:val="auto"/>
          <w:sz w:val="21"/>
          <w:szCs w:val="21"/>
          <w:highlight w:val="none"/>
          <w:lang w:eastAsia="zh-Hans"/>
        </w:rPr>
        <w:t>具备服务管理功能，支持服务配置修改、服务启动关闭和服务日志查看操作；</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（9）</w:t>
      </w:r>
      <w:r>
        <w:rPr>
          <w:rFonts w:hint="eastAsia"/>
          <w:color w:val="auto"/>
          <w:sz w:val="21"/>
          <w:szCs w:val="21"/>
          <w:highlight w:val="none"/>
          <w:lang w:eastAsia="zh-Hans"/>
        </w:rPr>
        <w:t>支持冒烟测试，便于集群安装完成后的基本功能验证；</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（10）</w:t>
      </w:r>
      <w:r>
        <w:rPr>
          <w:rFonts w:hint="eastAsia"/>
          <w:color w:val="auto"/>
          <w:sz w:val="21"/>
          <w:szCs w:val="21"/>
          <w:highlight w:val="none"/>
          <w:lang w:eastAsia="zh-Hans"/>
        </w:rPr>
        <w:t>具备主机和服务告警功能，可通过邮件发送告警信息；</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（11）</w:t>
      </w:r>
      <w:r>
        <w:rPr>
          <w:rFonts w:hint="eastAsia"/>
          <w:color w:val="auto"/>
          <w:sz w:val="21"/>
          <w:szCs w:val="21"/>
          <w:highlight w:val="none"/>
          <w:lang w:eastAsia="zh-Hans"/>
        </w:rPr>
        <w:t>大数据计算平台采用全冗余架构，无单点故障，保障服务高可靠性；</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（12）</w:t>
      </w:r>
      <w:r>
        <w:rPr>
          <w:rFonts w:hint="eastAsia"/>
          <w:color w:val="auto"/>
          <w:sz w:val="21"/>
          <w:szCs w:val="21"/>
          <w:highlight w:val="none"/>
          <w:lang w:eastAsia="zh-Hans"/>
        </w:rPr>
        <w:t>大数据计算平台底层采用三副本数据存储，不同副本数据分布在不同的计算节点，保障数据高可靠性；</w:t>
      </w:r>
    </w:p>
    <w:p>
      <w:pPr>
        <w:spacing w:line="288" w:lineRule="auto"/>
        <w:ind w:firstLine="420" w:firstLineChars="200"/>
        <w:rPr>
          <w:b/>
          <w:color w:val="auto"/>
          <w:sz w:val="21"/>
          <w:szCs w:val="21"/>
          <w:highlight w:val="none"/>
          <w:lang w:eastAsia="zh-Hans"/>
        </w:rPr>
      </w:pPr>
      <w:r>
        <w:rPr>
          <w:rFonts w:hint="eastAsia"/>
          <w:color w:val="auto"/>
          <w:sz w:val="21"/>
          <w:szCs w:val="21"/>
          <w:highlight w:val="none"/>
        </w:rPr>
        <w:t>（13）</w:t>
      </w:r>
      <w:r>
        <w:rPr>
          <w:rFonts w:hint="eastAsia"/>
          <w:color w:val="auto"/>
          <w:sz w:val="21"/>
          <w:szCs w:val="21"/>
          <w:highlight w:val="none"/>
          <w:lang w:eastAsia="zh-Hans"/>
        </w:rPr>
        <w:t>为保证平台的持续、可靠、长效、高效运行，保障学校智慧校园的长远发展，必须具备快速扩容功能，支持计算能力和存储容量可同步线性扩展；具备支持独立扩容管控节点、大数据服务节点、计算服务节点，以有效提升集群整体稳定性和高性能</w:t>
      </w:r>
      <w:r>
        <w:rPr>
          <w:rFonts w:hint="eastAsia"/>
          <w:b/>
          <w:color w:val="auto"/>
          <w:sz w:val="21"/>
          <w:szCs w:val="21"/>
          <w:highlight w:val="none"/>
          <w:lang w:eastAsia="zh-Hans"/>
        </w:rPr>
        <w:t>（提供证明材料）；</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（14）</w:t>
      </w:r>
      <w:r>
        <w:rPr>
          <w:rFonts w:hint="eastAsia"/>
          <w:color w:val="auto"/>
          <w:sz w:val="21"/>
          <w:szCs w:val="21"/>
          <w:highlight w:val="none"/>
          <w:lang w:eastAsia="zh-Hans"/>
        </w:rPr>
        <w:t xml:space="preserve">能够支持数据交换的能力。可以通过数据连接管理或网关管理等方式，实现数据集成交换传输； </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（15）</w:t>
      </w:r>
      <w:r>
        <w:rPr>
          <w:rFonts w:hint="eastAsia" w:cs="Times New Roman"/>
          <w:color w:val="auto"/>
          <w:sz w:val="21"/>
          <w:szCs w:val="21"/>
          <w:highlight w:val="none"/>
        </w:rPr>
        <w:t>支持适配各种关系型数据接入，包括但不限于Oracle、MySQL、SQL Server、PostgreSQL、MongoDB、Sybase、Teradata和DM、GBase、GaussDB、kingbase</w:t>
      </w:r>
      <w:r>
        <w:rPr>
          <w:rFonts w:hint="eastAsia"/>
          <w:color w:val="auto"/>
          <w:sz w:val="21"/>
          <w:szCs w:val="21"/>
          <w:highlight w:val="none"/>
          <w:lang w:eastAsia="zh-Hans"/>
        </w:rPr>
        <w:t>；</w:t>
      </w:r>
    </w:p>
    <w:p>
      <w:pPr>
        <w:spacing w:line="288" w:lineRule="auto"/>
        <w:ind w:firstLine="420" w:firstLineChars="200"/>
        <w:rPr>
          <w:b/>
          <w:color w:val="auto"/>
          <w:sz w:val="21"/>
          <w:szCs w:val="21"/>
          <w:highlight w:val="none"/>
          <w:lang w:eastAsia="zh-Hans"/>
        </w:rPr>
      </w:pPr>
      <w:r>
        <w:rPr>
          <w:rFonts w:hint="eastAsia"/>
          <w:color w:val="auto"/>
          <w:sz w:val="21"/>
          <w:szCs w:val="21"/>
          <w:highlight w:val="none"/>
        </w:rPr>
        <w:t>（16）</w:t>
      </w:r>
      <w:r>
        <w:rPr>
          <w:rFonts w:hint="eastAsia"/>
          <w:color w:val="auto"/>
          <w:sz w:val="21"/>
          <w:szCs w:val="21"/>
          <w:highlight w:val="none"/>
          <w:lang w:eastAsia="zh-Hans"/>
        </w:rPr>
        <w:t>支持主流大数据平台对接，包括但不限于Hadoop、FusionInsight、MaxCompute等大数据平台；</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（17）</w:t>
      </w:r>
      <w:r>
        <w:rPr>
          <w:rFonts w:hint="eastAsia"/>
          <w:color w:val="auto"/>
          <w:sz w:val="21"/>
          <w:szCs w:val="21"/>
          <w:highlight w:val="none"/>
          <w:lang w:eastAsia="zh-Hans"/>
        </w:rPr>
        <w:t>能够支持流式数据接入，如kafka；</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（18）</w:t>
      </w:r>
      <w:r>
        <w:rPr>
          <w:rFonts w:hint="eastAsia" w:asciiTheme="minorEastAsia" w:hAnsiTheme="minorEastAsia" w:eastAsiaTheme="minorEastAsia"/>
          <w:color w:val="auto"/>
          <w:sz w:val="21"/>
          <w:szCs w:val="21"/>
          <w:highlight w:val="none"/>
        </w:rPr>
        <w:t>支持作业管理，能实现作业状态查询、启停操作，工作流告警策略配置，可通过邮件方式发送告警</w:t>
      </w:r>
      <w:r>
        <w:rPr>
          <w:rFonts w:hint="eastAsia"/>
          <w:color w:val="auto"/>
          <w:sz w:val="21"/>
          <w:szCs w:val="21"/>
          <w:highlight w:val="none"/>
          <w:lang w:eastAsia="zh-Hans"/>
        </w:rPr>
        <w:t>；</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（19）</w:t>
      </w:r>
      <w:r>
        <w:rPr>
          <w:rFonts w:hint="eastAsia"/>
          <w:color w:val="auto"/>
          <w:sz w:val="21"/>
          <w:szCs w:val="21"/>
          <w:highlight w:val="none"/>
          <w:lang w:eastAsia="zh-Hans"/>
        </w:rPr>
        <w:t>具备邮件告警、短信告警功能，支持自定义条件来发送邮件或短信告警；</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（20）</w:t>
      </w:r>
      <w:r>
        <w:rPr>
          <w:rFonts w:hint="eastAsia"/>
          <w:color w:val="auto"/>
          <w:sz w:val="21"/>
          <w:szCs w:val="21"/>
          <w:highlight w:val="none"/>
          <w:lang w:eastAsia="zh-Hans"/>
        </w:rPr>
        <w:t>支持用户管理、角色管理、白名单管理功能，支持自定义角色权限；</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（21）</w:t>
      </w:r>
      <w:r>
        <w:rPr>
          <w:rFonts w:hint="eastAsia"/>
          <w:bCs/>
          <w:color w:val="auto"/>
          <w:sz w:val="21"/>
          <w:szCs w:val="21"/>
          <w:highlight w:val="none"/>
        </w:rPr>
        <w:t>支持Web页面的拖拉拽式数据抽取管理，方便运维人员通过图、表的形式直观的了解数据抽取任务的情况，并进行任务的管理</w:t>
      </w:r>
      <w:r>
        <w:rPr>
          <w:rFonts w:hint="eastAsia"/>
          <w:color w:val="auto"/>
          <w:sz w:val="21"/>
          <w:szCs w:val="21"/>
          <w:highlight w:val="none"/>
          <w:lang w:eastAsia="zh-Hans"/>
        </w:rPr>
        <w:t>；</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（22）</w:t>
      </w:r>
      <w:r>
        <w:rPr>
          <w:rFonts w:hint="eastAsia"/>
          <w:color w:val="auto"/>
          <w:sz w:val="21"/>
          <w:szCs w:val="21"/>
          <w:highlight w:val="none"/>
          <w:lang w:eastAsia="zh-Hans"/>
        </w:rPr>
        <w:t>支持Web页面的拖拉拽式数据交换管理；</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（23）</w:t>
      </w:r>
      <w:r>
        <w:rPr>
          <w:rFonts w:hint="eastAsia"/>
          <w:color w:val="auto"/>
          <w:sz w:val="21"/>
          <w:szCs w:val="21"/>
          <w:highlight w:val="none"/>
          <w:lang w:eastAsia="zh-Hans"/>
        </w:rPr>
        <w:t>支持系统配置导入和导出功能；</w:t>
      </w:r>
    </w:p>
    <w:p>
      <w:pPr>
        <w:spacing w:line="288" w:lineRule="auto"/>
        <w:ind w:firstLine="420" w:firstLineChars="200"/>
        <w:rPr>
          <w:b/>
          <w:color w:val="auto"/>
          <w:sz w:val="21"/>
          <w:szCs w:val="21"/>
          <w:highlight w:val="none"/>
          <w:lang w:eastAsia="zh-Hans"/>
        </w:rPr>
      </w:pPr>
      <w:r>
        <w:rPr>
          <w:rFonts w:hint="eastAsia"/>
          <w:color w:val="auto"/>
          <w:sz w:val="21"/>
          <w:szCs w:val="21"/>
          <w:highlight w:val="none"/>
        </w:rPr>
        <w:t>（24）</w:t>
      </w:r>
      <w:r>
        <w:rPr>
          <w:rFonts w:hint="eastAsia"/>
          <w:color w:val="auto"/>
          <w:sz w:val="21"/>
          <w:szCs w:val="21"/>
          <w:highlight w:val="none"/>
          <w:lang w:eastAsia="zh-Hans"/>
        </w:rPr>
        <w:t>支持异构数据库在无目的表的情况下自动建表功能</w:t>
      </w:r>
      <w:r>
        <w:rPr>
          <w:rFonts w:hint="eastAsia"/>
          <w:b/>
          <w:color w:val="auto"/>
          <w:sz w:val="21"/>
          <w:szCs w:val="21"/>
          <w:highlight w:val="none"/>
          <w:lang w:eastAsia="zh-Hans"/>
        </w:rPr>
        <w:t>；</w:t>
      </w:r>
    </w:p>
    <w:p>
      <w:pPr>
        <w:spacing w:line="288" w:lineRule="auto"/>
        <w:ind w:firstLine="420" w:firstLineChars="200"/>
        <w:rPr>
          <w:color w:val="auto"/>
          <w:sz w:val="21"/>
          <w:szCs w:val="21"/>
          <w:highlight w:val="none"/>
        </w:rPr>
      </w:pPr>
      <w:r>
        <w:rPr>
          <w:rFonts w:hint="eastAsia"/>
          <w:color w:val="auto"/>
          <w:sz w:val="21"/>
          <w:szCs w:val="21"/>
          <w:highlight w:val="none"/>
        </w:rPr>
        <w:t>（25）</w:t>
      </w:r>
      <w:r>
        <w:rPr>
          <w:rFonts w:hint="eastAsia"/>
          <w:color w:val="auto"/>
          <w:sz w:val="21"/>
          <w:szCs w:val="21"/>
          <w:highlight w:val="none"/>
          <w:lang w:eastAsia="zh-Hans"/>
        </w:rPr>
        <w:t>结构化小数据（单行200字节），至少支持一种关系型数据库之间的传输速度不低于100MB/s</w:t>
      </w:r>
      <w:r>
        <w:rPr>
          <w:rFonts w:hint="eastAsia"/>
          <w:b/>
          <w:bCs/>
          <w:color w:val="auto"/>
          <w:sz w:val="21"/>
          <w:szCs w:val="21"/>
          <w:highlight w:val="none"/>
          <w:lang w:eastAsia="zh-Hans"/>
        </w:rPr>
        <w:t>（提供</w:t>
      </w:r>
      <w:r>
        <w:rPr>
          <w:rFonts w:hint="eastAsia"/>
          <w:b/>
          <w:bCs/>
          <w:color w:val="auto"/>
          <w:sz w:val="21"/>
          <w:szCs w:val="21"/>
          <w:highlight w:val="none"/>
        </w:rPr>
        <w:t>证明材料</w:t>
      </w:r>
      <w:r>
        <w:rPr>
          <w:rFonts w:hint="eastAsia"/>
          <w:b/>
          <w:bCs/>
          <w:color w:val="auto"/>
          <w:sz w:val="21"/>
          <w:szCs w:val="21"/>
          <w:highlight w:val="none"/>
          <w:lang w:eastAsia="zh-Hans"/>
        </w:rPr>
        <w:t>）</w:t>
      </w:r>
      <w:r>
        <w:rPr>
          <w:rFonts w:hint="eastAsia"/>
          <w:color w:val="auto"/>
          <w:sz w:val="21"/>
          <w:szCs w:val="21"/>
          <w:highlight w:val="none"/>
        </w:rPr>
        <w:t>；</w:t>
      </w:r>
    </w:p>
    <w:p>
      <w:pPr>
        <w:spacing w:line="288" w:lineRule="auto"/>
        <w:ind w:firstLine="420" w:firstLineChars="200"/>
        <w:rPr>
          <w:color w:val="auto"/>
          <w:sz w:val="21"/>
          <w:szCs w:val="21"/>
          <w:highlight w:val="none"/>
        </w:rPr>
      </w:pPr>
      <w:r>
        <w:rPr>
          <w:rFonts w:hint="eastAsia"/>
          <w:color w:val="auto"/>
          <w:sz w:val="21"/>
          <w:szCs w:val="21"/>
          <w:highlight w:val="none"/>
        </w:rPr>
        <w:t>（26）</w:t>
      </w:r>
      <w:r>
        <w:rPr>
          <w:rFonts w:hint="eastAsia"/>
          <w:color w:val="auto"/>
          <w:sz w:val="21"/>
          <w:szCs w:val="21"/>
          <w:highlight w:val="none"/>
          <w:lang w:eastAsia="zh-Hans"/>
        </w:rPr>
        <w:t>支持加密传输功能：支持国密算法（如AES、SM2、SM4等）数据加密交换功能，能够实现数据加解密；支持数据日期类型、 INT类型等非字符串类型字段的数据加解密；支持数据传输通道加密功能(SSL)；</w:t>
      </w:r>
    </w:p>
    <w:p>
      <w:pPr>
        <w:spacing w:line="288" w:lineRule="auto"/>
        <w:ind w:firstLine="420" w:firstLineChars="200"/>
        <w:rPr>
          <w:color w:val="auto"/>
          <w:sz w:val="21"/>
          <w:szCs w:val="21"/>
          <w:highlight w:val="none"/>
        </w:rPr>
      </w:pPr>
      <w:r>
        <w:rPr>
          <w:rFonts w:hint="eastAsia"/>
          <w:color w:val="auto"/>
          <w:sz w:val="21"/>
          <w:szCs w:val="21"/>
          <w:highlight w:val="none"/>
        </w:rPr>
        <w:t>（27）</w:t>
      </w:r>
      <w:r>
        <w:rPr>
          <w:rFonts w:hint="eastAsia"/>
          <w:color w:val="auto"/>
          <w:sz w:val="21"/>
          <w:szCs w:val="21"/>
          <w:highlight w:val="none"/>
          <w:lang w:eastAsia="zh-Hans"/>
        </w:rPr>
        <w:t>采用的软件产品需能兼容国产芯片，需提供与龙芯、众志、神威等任意一个国产芯片兼容性互认</w:t>
      </w:r>
      <w:r>
        <w:rPr>
          <w:rFonts w:hint="eastAsia"/>
          <w:b/>
          <w:bCs/>
          <w:color w:val="auto"/>
          <w:sz w:val="21"/>
          <w:szCs w:val="21"/>
          <w:highlight w:val="none"/>
          <w:lang w:eastAsia="zh-Hans"/>
        </w:rPr>
        <w:t>（</w:t>
      </w:r>
      <w:r>
        <w:rPr>
          <w:rFonts w:hint="eastAsia"/>
          <w:b/>
          <w:bCs/>
          <w:color w:val="auto"/>
          <w:sz w:val="21"/>
          <w:szCs w:val="21"/>
          <w:highlight w:val="none"/>
        </w:rPr>
        <w:t>提供证明材料</w:t>
      </w:r>
      <w:r>
        <w:rPr>
          <w:rFonts w:hint="eastAsia"/>
          <w:b/>
          <w:bCs/>
          <w:color w:val="auto"/>
          <w:sz w:val="21"/>
          <w:szCs w:val="21"/>
          <w:highlight w:val="none"/>
          <w:lang w:eastAsia="zh-Hans"/>
        </w:rPr>
        <w:t>）</w:t>
      </w:r>
      <w:r>
        <w:rPr>
          <w:rFonts w:hint="eastAsia"/>
          <w:color w:val="auto"/>
          <w:sz w:val="21"/>
          <w:szCs w:val="21"/>
          <w:highlight w:val="none"/>
        </w:rPr>
        <w:t>；</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（28）</w:t>
      </w:r>
      <w:r>
        <w:rPr>
          <w:rFonts w:hint="eastAsia"/>
          <w:color w:val="auto"/>
          <w:sz w:val="21"/>
          <w:szCs w:val="21"/>
          <w:highlight w:val="none"/>
          <w:lang w:eastAsia="zh-Hans"/>
        </w:rPr>
        <w:t>采用的软件产品需能兼容国产数据库，需提供与达梦、人大金仓、OceanBase等任意一个国产数据库兼容性互认</w:t>
      </w:r>
      <w:r>
        <w:rPr>
          <w:rFonts w:hint="eastAsia"/>
          <w:b/>
          <w:bCs/>
          <w:color w:val="auto"/>
          <w:sz w:val="21"/>
          <w:szCs w:val="21"/>
          <w:highlight w:val="none"/>
          <w:lang w:eastAsia="zh-Hans"/>
        </w:rPr>
        <w:t>（</w:t>
      </w:r>
      <w:r>
        <w:rPr>
          <w:rFonts w:hint="eastAsia"/>
          <w:b/>
          <w:bCs/>
          <w:color w:val="auto"/>
          <w:sz w:val="21"/>
          <w:szCs w:val="21"/>
          <w:highlight w:val="none"/>
        </w:rPr>
        <w:t>提供证明材料</w:t>
      </w:r>
      <w:r>
        <w:rPr>
          <w:rFonts w:hint="eastAsia"/>
          <w:b/>
          <w:bCs/>
          <w:color w:val="auto"/>
          <w:sz w:val="21"/>
          <w:szCs w:val="21"/>
          <w:highlight w:val="none"/>
          <w:lang w:eastAsia="zh-Hans"/>
        </w:rPr>
        <w:t>）</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（29）</w:t>
      </w:r>
      <w:r>
        <w:rPr>
          <w:rFonts w:hint="eastAsia"/>
          <w:color w:val="auto"/>
          <w:sz w:val="21"/>
          <w:szCs w:val="21"/>
          <w:highlight w:val="none"/>
          <w:lang w:eastAsia="zh-Hans"/>
        </w:rPr>
        <w:t>支持多租户（工作空间）管理功能，租户内的资源共享，租户间的资源隔离，租户内的成员可独立分配权限；</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（30）</w:t>
      </w:r>
      <w:r>
        <w:rPr>
          <w:rFonts w:hint="eastAsia"/>
          <w:color w:val="auto"/>
          <w:sz w:val="21"/>
          <w:szCs w:val="21"/>
          <w:highlight w:val="none"/>
          <w:lang w:eastAsia="zh-Hans"/>
        </w:rPr>
        <w:t>提供一站式集成开发环境，满足大数据环境下的开发、调度、运维等需求；支持开发、生产空间隔离，可以对空间中数据、资源、代码和配置进行隔离；</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（31）</w:t>
      </w:r>
      <w:r>
        <w:rPr>
          <w:rFonts w:hint="eastAsia"/>
          <w:color w:val="auto"/>
          <w:sz w:val="21"/>
          <w:szCs w:val="21"/>
          <w:highlight w:val="none"/>
          <w:lang w:val="en-US" w:eastAsia="zh-CN"/>
        </w:rPr>
        <w:t>支持</w:t>
      </w:r>
      <w:r>
        <w:rPr>
          <w:rFonts w:hint="eastAsia" w:asciiTheme="minorEastAsia" w:hAnsiTheme="minorEastAsia" w:eastAsiaTheme="minorEastAsia"/>
          <w:color w:val="auto"/>
          <w:sz w:val="21"/>
          <w:szCs w:val="21"/>
          <w:highlight w:val="none"/>
        </w:rPr>
        <w:t>数据工作流开发中支持代码版本管理、多人协同模式下的代码锁管理和冲突检测机制</w:t>
      </w:r>
      <w:r>
        <w:rPr>
          <w:rFonts w:hint="eastAsia"/>
          <w:color w:val="auto"/>
          <w:sz w:val="21"/>
          <w:szCs w:val="21"/>
          <w:highlight w:val="none"/>
          <w:lang w:eastAsia="zh-Hans"/>
        </w:rPr>
        <w:t>；</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（32）</w:t>
      </w:r>
      <w:r>
        <w:rPr>
          <w:rFonts w:hint="eastAsia"/>
          <w:color w:val="auto"/>
          <w:sz w:val="21"/>
          <w:szCs w:val="21"/>
          <w:highlight w:val="none"/>
          <w:lang w:eastAsia="zh-Hans"/>
        </w:rPr>
        <w:t>支持通过图形化的拖拉拽方式、零编码交互完成数据的转换、过滤以及工作流开发，便于自主管理作业的部署以及生产监控运维；</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（33）</w:t>
      </w:r>
      <w:r>
        <w:rPr>
          <w:rFonts w:hint="eastAsia"/>
          <w:color w:val="auto"/>
          <w:sz w:val="21"/>
          <w:szCs w:val="21"/>
          <w:highlight w:val="none"/>
          <w:lang w:eastAsia="zh-Hans"/>
        </w:rPr>
        <w:t>支持工作节点开发，包括但不限于集成类型节点、数据开发类型节点、算法开发类型节点、数据清洗类型节点；</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（34）</w:t>
      </w:r>
      <w:r>
        <w:rPr>
          <w:rFonts w:hint="eastAsia"/>
          <w:bCs/>
          <w:color w:val="auto"/>
          <w:sz w:val="21"/>
          <w:szCs w:val="21"/>
          <w:highlight w:val="none"/>
        </w:rPr>
        <w:t>支</w:t>
      </w:r>
      <w:r>
        <w:rPr>
          <w:rFonts w:hint="eastAsia" w:asciiTheme="minorEastAsia" w:hAnsiTheme="minorEastAsia" w:eastAsiaTheme="minorEastAsia"/>
          <w:color w:val="auto"/>
          <w:sz w:val="21"/>
          <w:szCs w:val="21"/>
          <w:highlight w:val="none"/>
        </w:rPr>
        <w:t>持工作流的导入导出操作，至少包括但不限于工作流、自定义函数、资源文件和模型等</w:t>
      </w:r>
      <w:r>
        <w:rPr>
          <w:rFonts w:hint="eastAsia"/>
          <w:color w:val="auto"/>
          <w:sz w:val="21"/>
          <w:szCs w:val="21"/>
          <w:highlight w:val="none"/>
          <w:lang w:eastAsia="zh-Hans"/>
        </w:rPr>
        <w:t>；</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（35）</w:t>
      </w:r>
      <w:r>
        <w:rPr>
          <w:rFonts w:hint="eastAsia"/>
          <w:color w:val="auto"/>
          <w:sz w:val="21"/>
          <w:szCs w:val="21"/>
          <w:highlight w:val="none"/>
          <w:lang w:eastAsia="zh-Hans"/>
        </w:rPr>
        <w:t>支持智能化依赖推荐，能够基于工作节点的输入输出表，自动推荐上下游依赖关系</w:t>
      </w:r>
      <w:r>
        <w:rPr>
          <w:rFonts w:hint="eastAsia"/>
          <w:b/>
          <w:bCs/>
          <w:color w:val="auto"/>
          <w:sz w:val="21"/>
          <w:szCs w:val="21"/>
          <w:highlight w:val="none"/>
        </w:rPr>
        <w:t>（提供证明材料）</w:t>
      </w:r>
      <w:r>
        <w:rPr>
          <w:rFonts w:hint="eastAsia"/>
          <w:color w:val="auto"/>
          <w:sz w:val="21"/>
          <w:szCs w:val="21"/>
          <w:highlight w:val="none"/>
          <w:lang w:eastAsia="zh-Hans"/>
        </w:rPr>
        <w:t>；</w:t>
      </w:r>
    </w:p>
    <w:p>
      <w:pPr>
        <w:spacing w:line="288" w:lineRule="auto"/>
        <w:ind w:firstLine="420" w:firstLineChars="200"/>
        <w:rPr>
          <w:color w:val="auto"/>
          <w:sz w:val="21"/>
          <w:szCs w:val="21"/>
          <w:highlight w:val="none"/>
        </w:rPr>
      </w:pPr>
      <w:r>
        <w:rPr>
          <w:rFonts w:hint="eastAsia"/>
          <w:color w:val="auto"/>
          <w:sz w:val="21"/>
          <w:szCs w:val="21"/>
          <w:highlight w:val="none"/>
        </w:rPr>
        <w:t>（36）</w:t>
      </w:r>
      <w:r>
        <w:rPr>
          <w:rFonts w:hint="eastAsia"/>
          <w:color w:val="auto"/>
          <w:sz w:val="21"/>
          <w:szCs w:val="21"/>
          <w:highlight w:val="none"/>
          <w:lang w:eastAsia="zh-Hans"/>
        </w:rPr>
        <w:t>支持用户角色权限控制，包括系统管理员、空间拥有者、空间管理员、开发人员和测试人员，不同的角色拥有不同的运维权限，用户只能查看到自己拥有权限的空间相关的运维信息；</w:t>
      </w:r>
    </w:p>
    <w:p>
      <w:pPr>
        <w:spacing w:line="288" w:lineRule="auto"/>
        <w:ind w:firstLine="420" w:firstLineChars="200"/>
        <w:rPr>
          <w:color w:val="auto"/>
          <w:sz w:val="21"/>
          <w:szCs w:val="21"/>
          <w:highlight w:val="none"/>
        </w:rPr>
      </w:pPr>
      <w:r>
        <w:rPr>
          <w:rFonts w:hint="eastAsia"/>
          <w:color w:val="auto"/>
          <w:sz w:val="21"/>
          <w:szCs w:val="21"/>
          <w:highlight w:val="none"/>
        </w:rPr>
        <w:t>（37）</w:t>
      </w:r>
      <w:r>
        <w:rPr>
          <w:rFonts w:hint="eastAsia"/>
          <w:color w:val="auto"/>
          <w:sz w:val="21"/>
          <w:szCs w:val="21"/>
          <w:highlight w:val="none"/>
          <w:lang w:eastAsia="zh-Hans"/>
        </w:rPr>
        <w:t>支持SQL工作节点加密</w:t>
      </w:r>
      <w:r>
        <w:rPr>
          <w:rFonts w:hint="eastAsia"/>
          <w:b/>
          <w:bCs/>
          <w:color w:val="auto"/>
          <w:sz w:val="21"/>
          <w:szCs w:val="21"/>
          <w:highlight w:val="none"/>
        </w:rPr>
        <w:t>（提供证明材料）</w:t>
      </w:r>
      <w:r>
        <w:rPr>
          <w:rFonts w:hint="eastAsia"/>
          <w:color w:val="auto"/>
          <w:sz w:val="21"/>
          <w:szCs w:val="21"/>
          <w:highlight w:val="none"/>
        </w:rPr>
        <w:t>；</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（38）</w:t>
      </w:r>
      <w:r>
        <w:rPr>
          <w:rFonts w:hint="eastAsia"/>
          <w:color w:val="auto"/>
          <w:sz w:val="21"/>
          <w:szCs w:val="21"/>
          <w:highlight w:val="none"/>
          <w:lang w:eastAsia="zh-Hans"/>
        </w:rPr>
        <w:t>采用多点部署方式，具备弹性扩容能力，能避免单点故障导致整个系统不可用，保证系统的高可靠性。</w:t>
      </w:r>
    </w:p>
    <w:p>
      <w:pPr>
        <w:widowControl/>
        <w:tabs>
          <w:tab w:val="right" w:leader="dot" w:pos="8302"/>
        </w:tabs>
        <w:spacing w:line="288" w:lineRule="auto"/>
        <w:ind w:firstLine="420" w:firstLineChars="200"/>
        <w:jc w:val="left"/>
        <w:rPr>
          <w:color w:val="auto"/>
          <w:sz w:val="21"/>
          <w:szCs w:val="21"/>
          <w:highlight w:val="none"/>
        </w:rPr>
      </w:pPr>
      <w:r>
        <w:rPr>
          <w:rFonts w:hint="eastAsia"/>
          <w:color w:val="auto"/>
          <w:sz w:val="21"/>
          <w:szCs w:val="21"/>
          <w:highlight w:val="none"/>
        </w:rPr>
        <w:t>4.2 配套数据服务：</w:t>
      </w:r>
    </w:p>
    <w:p>
      <w:pPr>
        <w:spacing w:line="288" w:lineRule="auto"/>
        <w:ind w:firstLine="420" w:firstLineChars="200"/>
        <w:rPr>
          <w:color w:val="auto"/>
          <w:sz w:val="21"/>
          <w:szCs w:val="21"/>
          <w:highlight w:val="none"/>
        </w:rPr>
      </w:pPr>
      <w:r>
        <w:rPr>
          <w:rFonts w:hint="eastAsia"/>
          <w:color w:val="auto"/>
          <w:sz w:val="21"/>
          <w:szCs w:val="21"/>
          <w:highlight w:val="none"/>
          <w:lang w:eastAsia="zh-Hans"/>
        </w:rPr>
        <w:t>基于数据治理系统的能力，对校园数据进行必要的实施服务</w:t>
      </w:r>
      <w:r>
        <w:rPr>
          <w:rFonts w:hint="eastAsia"/>
          <w:color w:val="auto"/>
          <w:sz w:val="21"/>
          <w:szCs w:val="21"/>
          <w:highlight w:val="none"/>
        </w:rPr>
        <w:t>,具体包括：</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（1）</w:t>
      </w:r>
      <w:r>
        <w:rPr>
          <w:rFonts w:hint="eastAsia"/>
          <w:color w:val="auto"/>
          <w:sz w:val="21"/>
          <w:szCs w:val="21"/>
          <w:highlight w:val="none"/>
          <w:lang w:eastAsia="zh-Hans"/>
        </w:rPr>
        <w:t>以人事、科研、教务、研究生院的系统数据为主要范围，对基础数据进行梳理，形成数据资源清单；</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（2）</w:t>
      </w:r>
      <w:r>
        <w:rPr>
          <w:rFonts w:hint="eastAsia"/>
          <w:color w:val="auto"/>
          <w:sz w:val="21"/>
          <w:szCs w:val="21"/>
          <w:highlight w:val="none"/>
          <w:lang w:eastAsia="zh-Hans"/>
        </w:rPr>
        <w:t>基于标准数据层，建设学校主题库与</w:t>
      </w:r>
      <w:r>
        <w:rPr>
          <w:rFonts w:hint="eastAsia"/>
          <w:color w:val="auto"/>
          <w:sz w:val="21"/>
          <w:szCs w:val="21"/>
          <w:highlight w:val="none"/>
        </w:rPr>
        <w:t>指标</w:t>
      </w:r>
      <w:r>
        <w:rPr>
          <w:rFonts w:hint="eastAsia"/>
          <w:color w:val="auto"/>
          <w:sz w:val="21"/>
          <w:szCs w:val="21"/>
          <w:highlight w:val="none"/>
          <w:lang w:eastAsia="zh-Hans"/>
        </w:rPr>
        <w:t>，至少包括教师主题库，实现数据汇聚，打破各部门“数据孤岛”；同时，基于主题库与</w:t>
      </w:r>
      <w:r>
        <w:rPr>
          <w:rFonts w:hint="eastAsia"/>
          <w:color w:val="auto"/>
          <w:sz w:val="21"/>
          <w:szCs w:val="21"/>
          <w:highlight w:val="none"/>
        </w:rPr>
        <w:t>指标</w:t>
      </w:r>
      <w:r>
        <w:rPr>
          <w:rFonts w:hint="eastAsia"/>
          <w:color w:val="auto"/>
          <w:sz w:val="21"/>
          <w:szCs w:val="21"/>
          <w:highlight w:val="none"/>
          <w:lang w:eastAsia="zh-Hans"/>
        </w:rPr>
        <w:t>的数据，能够支持教师数字空间（教师画像）的建设，全方位展示教师信息；</w:t>
      </w:r>
    </w:p>
    <w:p>
      <w:pPr>
        <w:spacing w:line="288" w:lineRule="auto"/>
        <w:ind w:firstLine="420" w:firstLineChars="200"/>
        <w:rPr>
          <w:color w:val="auto"/>
          <w:sz w:val="21"/>
          <w:szCs w:val="21"/>
          <w:highlight w:val="none"/>
          <w:lang w:eastAsia="zh-Hans"/>
        </w:rPr>
      </w:pPr>
      <w:r>
        <w:rPr>
          <w:rFonts w:hint="eastAsia"/>
          <w:color w:val="auto"/>
          <w:sz w:val="21"/>
          <w:szCs w:val="21"/>
          <w:highlight w:val="none"/>
        </w:rPr>
        <w:t>（3）</w:t>
      </w:r>
      <w:r>
        <w:rPr>
          <w:rFonts w:hint="eastAsia"/>
          <w:color w:val="auto"/>
          <w:sz w:val="21"/>
          <w:szCs w:val="21"/>
          <w:highlight w:val="none"/>
          <w:lang w:eastAsia="zh-Hans"/>
        </w:rPr>
        <w:t>对校园的数据资源进行统一化，规范化的梳理，实现校园内数据与业务资源的统一规划，对未来校园信息化建设的数据资源提供必要的数据接入技术规范。</w:t>
      </w:r>
    </w:p>
    <w:p>
      <w:pPr>
        <w:spacing w:line="288" w:lineRule="auto"/>
        <w:ind w:firstLine="420" w:firstLineChars="200"/>
        <w:rPr>
          <w:color w:val="auto"/>
          <w:sz w:val="21"/>
          <w:szCs w:val="21"/>
          <w:highlight w:val="none"/>
          <w:lang w:eastAsia="zh-Hans"/>
        </w:rPr>
      </w:pPr>
    </w:p>
    <w:p>
      <w:pPr>
        <w:widowControl/>
        <w:tabs>
          <w:tab w:val="right" w:leader="dot" w:pos="8302"/>
        </w:tabs>
        <w:spacing w:line="288" w:lineRule="auto"/>
        <w:ind w:firstLine="420" w:firstLineChars="200"/>
        <w:jc w:val="left"/>
        <w:rPr>
          <w:color w:val="auto"/>
          <w:sz w:val="21"/>
          <w:szCs w:val="21"/>
          <w:highlight w:val="none"/>
        </w:rPr>
      </w:pPr>
      <w:r>
        <w:rPr>
          <w:rFonts w:hint="eastAsia"/>
          <w:color w:val="auto"/>
          <w:sz w:val="21"/>
          <w:szCs w:val="21"/>
          <w:highlight w:val="none"/>
        </w:rPr>
        <w:t>4.3 校园数字应用系统：</w:t>
      </w:r>
    </w:p>
    <w:p>
      <w:pPr>
        <w:spacing w:line="288" w:lineRule="auto"/>
        <w:ind w:firstLine="420" w:firstLineChars="200"/>
        <w:rPr>
          <w:color w:val="auto"/>
          <w:sz w:val="21"/>
          <w:szCs w:val="21"/>
          <w:highlight w:val="none"/>
        </w:rPr>
      </w:pPr>
      <w:r>
        <w:rPr>
          <w:rFonts w:hint="eastAsia"/>
          <w:color w:val="auto"/>
          <w:sz w:val="21"/>
          <w:szCs w:val="21"/>
          <w:highlight w:val="none"/>
        </w:rPr>
        <w:t>（1）</w:t>
      </w:r>
      <w:r>
        <w:rPr>
          <w:rFonts w:hint="eastAsia"/>
          <w:color w:val="auto"/>
          <w:sz w:val="21"/>
          <w:szCs w:val="21"/>
          <w:highlight w:val="none"/>
          <w:lang w:eastAsia="zh-Hans"/>
        </w:rPr>
        <w:t>教师数字空间系统（教师画像）</w:t>
      </w:r>
      <w:r>
        <w:rPr>
          <w:rFonts w:hint="eastAsia"/>
          <w:color w:val="auto"/>
          <w:sz w:val="21"/>
          <w:szCs w:val="21"/>
          <w:highlight w:val="none"/>
        </w:rPr>
        <w:t>：</w:t>
      </w:r>
    </w:p>
    <w:p>
      <w:pPr>
        <w:spacing w:line="288" w:lineRule="auto"/>
        <w:ind w:firstLine="420" w:firstLineChars="200"/>
        <w:rPr>
          <w:color w:val="auto"/>
          <w:sz w:val="21"/>
          <w:szCs w:val="21"/>
          <w:highlight w:val="none"/>
          <w:lang w:eastAsia="zh-Hans"/>
        </w:rPr>
      </w:pPr>
      <w:r>
        <w:rPr>
          <w:rFonts w:hint="eastAsia"/>
          <w:color w:val="auto"/>
          <w:sz w:val="21"/>
          <w:szCs w:val="21"/>
          <w:highlight w:val="none"/>
          <w:lang w:eastAsia="zh-Hans"/>
        </w:rPr>
        <w:t>教师数字空间（教师画像）系统系统背后的各项指标能够快速适应学校各部门的业务需求变化，在不修改源代码的情况下，通过变更后台指标体系的业务逻辑，重新计算指标系数。</w:t>
      </w:r>
    </w:p>
    <w:tbl>
      <w:tblPr>
        <w:tblStyle w:val="11"/>
        <w:tblW w:w="9628" w:type="dxa"/>
        <w:tblInd w:w="0" w:type="dxa"/>
        <w:tblLayout w:type="fixed"/>
        <w:tblCellMar>
          <w:top w:w="0" w:type="dxa"/>
          <w:left w:w="108" w:type="dxa"/>
          <w:bottom w:w="0" w:type="dxa"/>
          <w:right w:w="108" w:type="dxa"/>
        </w:tblCellMar>
      </w:tblPr>
      <w:tblGrid>
        <w:gridCol w:w="867"/>
        <w:gridCol w:w="8761"/>
      </w:tblGrid>
      <w:tr>
        <w:tblPrEx>
          <w:tblLayout w:type="fixed"/>
          <w:tblCellMar>
            <w:top w:w="0" w:type="dxa"/>
            <w:left w:w="108" w:type="dxa"/>
            <w:bottom w:w="0" w:type="dxa"/>
            <w:right w:w="108" w:type="dxa"/>
          </w:tblCellMar>
        </w:tblPrEx>
        <w:trPr>
          <w:trHeight w:val="480" w:hRule="atLeast"/>
        </w:trPr>
        <w:tc>
          <w:tcPr>
            <w:tcW w:w="867" w:type="dxa"/>
            <w:tcBorders>
              <w:top w:val="single" w:color="595959" w:sz="4" w:space="0"/>
              <w:left w:val="single" w:color="595959" w:sz="4" w:space="0"/>
              <w:bottom w:val="single" w:color="595959" w:sz="4" w:space="0"/>
              <w:right w:val="single" w:color="595959" w:sz="4" w:space="0"/>
            </w:tcBorders>
            <w:shd w:val="clear" w:color="auto" w:fill="auto"/>
            <w:vAlign w:val="center"/>
          </w:tcPr>
          <w:p>
            <w:pPr>
              <w:widowControl/>
              <w:jc w:val="center"/>
              <w:rPr>
                <w:b/>
                <w:bCs/>
                <w:color w:val="auto"/>
                <w:sz w:val="21"/>
                <w:szCs w:val="21"/>
                <w:highlight w:val="none"/>
              </w:rPr>
            </w:pPr>
            <w:r>
              <w:rPr>
                <w:rFonts w:hint="eastAsia"/>
                <w:b/>
                <w:bCs/>
                <w:color w:val="auto"/>
                <w:sz w:val="21"/>
                <w:szCs w:val="21"/>
                <w:highlight w:val="none"/>
              </w:rPr>
              <w:t>分类</w:t>
            </w:r>
          </w:p>
        </w:tc>
        <w:tc>
          <w:tcPr>
            <w:tcW w:w="8761" w:type="dxa"/>
            <w:tcBorders>
              <w:top w:val="single" w:color="595959" w:sz="4" w:space="0"/>
              <w:left w:val="single" w:color="595959" w:sz="4" w:space="0"/>
              <w:bottom w:val="single" w:color="595959" w:sz="4" w:space="0"/>
              <w:right w:val="single" w:color="595959" w:sz="4" w:space="0"/>
            </w:tcBorders>
            <w:shd w:val="clear" w:color="auto" w:fill="auto"/>
            <w:vAlign w:val="center"/>
          </w:tcPr>
          <w:p>
            <w:pPr>
              <w:widowControl/>
              <w:jc w:val="center"/>
              <w:rPr>
                <w:b/>
                <w:bCs/>
                <w:color w:val="auto"/>
                <w:sz w:val="21"/>
                <w:szCs w:val="21"/>
                <w:highlight w:val="none"/>
              </w:rPr>
            </w:pPr>
            <w:r>
              <w:rPr>
                <w:rFonts w:hint="eastAsia"/>
                <w:b/>
                <w:bCs/>
                <w:color w:val="auto"/>
                <w:sz w:val="21"/>
                <w:szCs w:val="21"/>
                <w:highlight w:val="none"/>
              </w:rPr>
              <w:t>技术要求</w:t>
            </w:r>
          </w:p>
        </w:tc>
      </w:tr>
      <w:tr>
        <w:tblPrEx>
          <w:tblLayout w:type="fixed"/>
          <w:tblCellMar>
            <w:top w:w="0" w:type="dxa"/>
            <w:left w:w="108" w:type="dxa"/>
            <w:bottom w:w="0" w:type="dxa"/>
            <w:right w:w="108" w:type="dxa"/>
          </w:tblCellMar>
        </w:tblPrEx>
        <w:trPr>
          <w:trHeight w:val="600" w:hRule="atLeast"/>
        </w:trPr>
        <w:tc>
          <w:tcPr>
            <w:tcW w:w="867" w:type="dxa"/>
            <w:tcBorders>
              <w:top w:val="single" w:color="595959" w:sz="4" w:space="0"/>
              <w:left w:val="single" w:color="595959" w:sz="4" w:space="0"/>
              <w:bottom w:val="single" w:color="595959" w:sz="4" w:space="0"/>
              <w:right w:val="single" w:color="595959" w:sz="4" w:space="0"/>
            </w:tcBorders>
            <w:vAlign w:val="center"/>
          </w:tcPr>
          <w:p>
            <w:pPr>
              <w:widowControl/>
              <w:jc w:val="center"/>
              <w:rPr>
                <w:color w:val="auto"/>
                <w:sz w:val="21"/>
                <w:szCs w:val="21"/>
                <w:highlight w:val="none"/>
              </w:rPr>
            </w:pPr>
            <w:r>
              <w:rPr>
                <w:rFonts w:hint="eastAsia"/>
                <w:color w:val="auto"/>
                <w:sz w:val="21"/>
                <w:szCs w:val="21"/>
                <w:highlight w:val="none"/>
              </w:rPr>
              <w:t>数据查询系统</w:t>
            </w:r>
          </w:p>
        </w:tc>
        <w:tc>
          <w:tcPr>
            <w:tcW w:w="8761" w:type="dxa"/>
            <w:tcBorders>
              <w:top w:val="single" w:color="595959" w:sz="4" w:space="0"/>
              <w:left w:val="single" w:color="595959" w:sz="4" w:space="0"/>
              <w:bottom w:val="single" w:color="595959" w:sz="4" w:space="0"/>
              <w:right w:val="single" w:color="595959" w:sz="4" w:space="0"/>
            </w:tcBorders>
            <w:vAlign w:val="center"/>
          </w:tcPr>
          <w:p>
            <w:pPr>
              <w:widowControl/>
              <w:jc w:val="left"/>
              <w:rPr>
                <w:color w:val="auto"/>
                <w:sz w:val="21"/>
                <w:szCs w:val="21"/>
                <w:highlight w:val="none"/>
              </w:rPr>
            </w:pPr>
            <w:r>
              <w:rPr>
                <w:rFonts w:hint="eastAsia"/>
                <w:color w:val="auto"/>
                <w:sz w:val="21"/>
                <w:szCs w:val="21"/>
                <w:highlight w:val="none"/>
              </w:rPr>
              <w:t>1、支持教师群像分析首页展示，依托于学校数据中心，通过生成各位数据表格和图表，支持学校师生数据分析展示，包括基本信息、教学信息、科研信息、获奖信息、研究生管理信息等。保证数据信息的准确性和及时性，以统一的源头将数据展示给校领导、管理员等。</w:t>
            </w:r>
          </w:p>
          <w:p>
            <w:pPr>
              <w:widowControl/>
              <w:jc w:val="left"/>
              <w:rPr>
                <w:color w:val="auto"/>
                <w:sz w:val="21"/>
                <w:szCs w:val="21"/>
                <w:highlight w:val="none"/>
              </w:rPr>
            </w:pPr>
            <w:r>
              <w:rPr>
                <w:rFonts w:hint="eastAsia"/>
                <w:color w:val="auto"/>
                <w:sz w:val="21"/>
                <w:szCs w:val="21"/>
                <w:highlight w:val="none"/>
              </w:rPr>
              <w:t>2、支持管理员、领导按需查询如教师信息查询、部门信息查询等，列表页可通过配置模块配置生成。</w:t>
            </w:r>
          </w:p>
          <w:p>
            <w:pPr>
              <w:widowControl/>
              <w:jc w:val="left"/>
              <w:rPr>
                <w:color w:val="auto"/>
                <w:sz w:val="21"/>
                <w:szCs w:val="21"/>
                <w:highlight w:val="none"/>
              </w:rPr>
            </w:pPr>
            <w:r>
              <w:rPr>
                <w:rFonts w:hint="eastAsia"/>
                <w:color w:val="auto"/>
                <w:sz w:val="21"/>
                <w:szCs w:val="21"/>
                <w:highlight w:val="none"/>
              </w:rPr>
              <w:t>3、支持纠错历史查询功能。支持管理员查看全系统信息的纠错历史记录，可支持按申请人信息、纠错字段、申请状态进行筛选。支持个人查看个人信息的纠错历史记录，可按申请人信息、纠错字段、申请状态进行筛选</w:t>
            </w:r>
          </w:p>
          <w:p>
            <w:pPr>
              <w:widowControl/>
              <w:jc w:val="left"/>
              <w:rPr>
                <w:color w:val="auto"/>
                <w:sz w:val="21"/>
                <w:szCs w:val="21"/>
                <w:highlight w:val="none"/>
              </w:rPr>
            </w:pPr>
            <w:r>
              <w:rPr>
                <w:rFonts w:hint="eastAsia"/>
                <w:color w:val="auto"/>
                <w:sz w:val="21"/>
                <w:szCs w:val="21"/>
                <w:highlight w:val="none"/>
              </w:rPr>
              <w:t>4、支持根据用户权限提供列表页的Excel导出功能。</w:t>
            </w:r>
          </w:p>
        </w:tc>
      </w:tr>
      <w:tr>
        <w:tblPrEx>
          <w:tblLayout w:type="fixed"/>
          <w:tblCellMar>
            <w:top w:w="0" w:type="dxa"/>
            <w:left w:w="108" w:type="dxa"/>
            <w:bottom w:w="0" w:type="dxa"/>
            <w:right w:w="108" w:type="dxa"/>
          </w:tblCellMar>
        </w:tblPrEx>
        <w:trPr>
          <w:trHeight w:val="600" w:hRule="atLeast"/>
        </w:trPr>
        <w:tc>
          <w:tcPr>
            <w:tcW w:w="867" w:type="dxa"/>
            <w:tcBorders>
              <w:top w:val="single" w:color="595959" w:sz="4" w:space="0"/>
              <w:left w:val="single" w:color="595959" w:sz="4" w:space="0"/>
              <w:bottom w:val="single" w:color="595959" w:sz="4" w:space="0"/>
              <w:right w:val="single" w:color="595959" w:sz="4" w:space="0"/>
            </w:tcBorders>
            <w:vAlign w:val="center"/>
          </w:tcPr>
          <w:p>
            <w:pPr>
              <w:widowControl/>
              <w:jc w:val="center"/>
              <w:rPr>
                <w:color w:val="auto"/>
                <w:sz w:val="21"/>
                <w:szCs w:val="21"/>
                <w:highlight w:val="none"/>
              </w:rPr>
            </w:pPr>
            <w:r>
              <w:rPr>
                <w:rFonts w:hint="eastAsia"/>
                <w:color w:val="auto"/>
                <w:sz w:val="21"/>
                <w:szCs w:val="21"/>
                <w:highlight w:val="none"/>
              </w:rPr>
              <w:t>个人数据展示系统</w:t>
            </w:r>
          </w:p>
        </w:tc>
        <w:tc>
          <w:tcPr>
            <w:tcW w:w="8761" w:type="dxa"/>
            <w:tcBorders>
              <w:top w:val="single" w:color="595959" w:sz="4" w:space="0"/>
              <w:left w:val="single" w:color="595959" w:sz="4" w:space="0"/>
              <w:bottom w:val="single" w:color="595959" w:sz="4" w:space="0"/>
              <w:right w:val="single" w:color="595959" w:sz="4" w:space="0"/>
            </w:tcBorders>
            <w:vAlign w:val="center"/>
          </w:tcPr>
          <w:p>
            <w:pPr>
              <w:widowControl/>
              <w:jc w:val="left"/>
              <w:rPr>
                <w:color w:val="auto"/>
                <w:sz w:val="21"/>
                <w:szCs w:val="21"/>
                <w:highlight w:val="none"/>
              </w:rPr>
            </w:pPr>
            <w:r>
              <w:rPr>
                <w:rFonts w:hint="eastAsia"/>
                <w:color w:val="auto"/>
                <w:sz w:val="21"/>
                <w:szCs w:val="21"/>
                <w:highlight w:val="none"/>
              </w:rPr>
              <w:t>1、教师个人数据中心支持与信息门户网站实现单点登录。</w:t>
            </w:r>
          </w:p>
          <w:p>
            <w:pPr>
              <w:widowControl/>
              <w:jc w:val="left"/>
              <w:rPr>
                <w:color w:val="auto"/>
                <w:sz w:val="21"/>
                <w:szCs w:val="21"/>
                <w:highlight w:val="none"/>
              </w:rPr>
            </w:pPr>
            <w:r>
              <w:rPr>
                <w:rFonts w:hint="eastAsia"/>
                <w:color w:val="auto"/>
                <w:sz w:val="21"/>
                <w:szCs w:val="21"/>
                <w:highlight w:val="none"/>
              </w:rPr>
              <w:t>2、支持教师个人数据信息分析展示，可支持个人统计数据分析展示，包括教学工作量、桃李天下等，并支持按学年、学期进行筛选。</w:t>
            </w:r>
          </w:p>
          <w:p>
            <w:pPr>
              <w:widowControl/>
              <w:jc w:val="left"/>
              <w:rPr>
                <w:color w:val="auto"/>
                <w:sz w:val="21"/>
                <w:szCs w:val="21"/>
                <w:highlight w:val="none"/>
              </w:rPr>
            </w:pPr>
            <w:r>
              <w:rPr>
                <w:rFonts w:hint="eastAsia"/>
                <w:color w:val="auto"/>
                <w:sz w:val="21"/>
                <w:szCs w:val="21"/>
                <w:highlight w:val="none"/>
              </w:rPr>
              <w:t>3、支持分模块展示教师个人的基本信息、人事信息、教学信息、科研信息、政治面貌信息、活动信息等数据；教师基本信息包括基本信息、学历学位、工作经历、语言能力、联系信息等；教师人事信息包括职务信息、合同信息、校内调动信息、引进人才信息、职称评定、职称聘任、工资信息等；教师教学信息包括课程信息、教学班信息、本科生教学信息、研究生教学信息等；教师科研信息包括科研项目、论文著作、成果奖励等；教师政治面貌信息包括党员信息、党组织信息、党派职务信息、民族党派信息等。</w:t>
            </w:r>
          </w:p>
        </w:tc>
      </w:tr>
      <w:tr>
        <w:tblPrEx>
          <w:tblLayout w:type="fixed"/>
          <w:tblCellMar>
            <w:top w:w="0" w:type="dxa"/>
            <w:left w:w="108" w:type="dxa"/>
            <w:bottom w:w="0" w:type="dxa"/>
            <w:right w:w="108" w:type="dxa"/>
          </w:tblCellMar>
        </w:tblPrEx>
        <w:trPr>
          <w:trHeight w:val="600" w:hRule="atLeast"/>
        </w:trPr>
        <w:tc>
          <w:tcPr>
            <w:tcW w:w="867" w:type="dxa"/>
            <w:tcBorders>
              <w:top w:val="single" w:color="595959" w:sz="4" w:space="0"/>
              <w:left w:val="single" w:color="595959" w:sz="4" w:space="0"/>
              <w:bottom w:val="single" w:color="595959" w:sz="4" w:space="0"/>
              <w:right w:val="single" w:color="595959" w:sz="4" w:space="0"/>
            </w:tcBorders>
            <w:vAlign w:val="center"/>
          </w:tcPr>
          <w:p>
            <w:pPr>
              <w:widowControl/>
              <w:jc w:val="center"/>
              <w:rPr>
                <w:color w:val="auto"/>
                <w:sz w:val="21"/>
                <w:szCs w:val="21"/>
                <w:highlight w:val="none"/>
              </w:rPr>
            </w:pPr>
            <w:r>
              <w:rPr>
                <w:rFonts w:hint="eastAsia"/>
                <w:color w:val="auto"/>
                <w:sz w:val="21"/>
                <w:szCs w:val="21"/>
                <w:highlight w:val="none"/>
              </w:rPr>
              <w:t>个人数据维护系统</w:t>
            </w:r>
          </w:p>
        </w:tc>
        <w:tc>
          <w:tcPr>
            <w:tcW w:w="8761" w:type="dxa"/>
            <w:tcBorders>
              <w:top w:val="single" w:color="595959" w:sz="4" w:space="0"/>
              <w:left w:val="single" w:color="595959" w:sz="4" w:space="0"/>
              <w:bottom w:val="single" w:color="595959" w:sz="4" w:space="0"/>
              <w:right w:val="single" w:color="595959" w:sz="4" w:space="0"/>
            </w:tcBorders>
            <w:vAlign w:val="center"/>
          </w:tcPr>
          <w:p>
            <w:pPr>
              <w:widowControl/>
              <w:jc w:val="left"/>
              <w:rPr>
                <w:color w:val="auto"/>
                <w:sz w:val="21"/>
                <w:szCs w:val="21"/>
                <w:highlight w:val="none"/>
              </w:rPr>
            </w:pPr>
            <w:r>
              <w:rPr>
                <w:rFonts w:hint="eastAsia"/>
                <w:color w:val="auto"/>
                <w:sz w:val="21"/>
                <w:szCs w:val="21"/>
                <w:highlight w:val="none"/>
              </w:rPr>
              <w:t>1、支持个人信息纠错功能，针对个人基本信息、个人联系信息、个人家庭信息等数据提供增、删、改等数据纠错功能（需对接学校现有流程平台）。</w:t>
            </w:r>
          </w:p>
          <w:p>
            <w:pPr>
              <w:widowControl/>
              <w:jc w:val="left"/>
              <w:rPr>
                <w:color w:val="auto"/>
                <w:sz w:val="21"/>
                <w:szCs w:val="21"/>
                <w:highlight w:val="none"/>
              </w:rPr>
            </w:pPr>
            <w:r>
              <w:rPr>
                <w:rFonts w:hint="eastAsia"/>
                <w:color w:val="auto"/>
                <w:sz w:val="21"/>
                <w:szCs w:val="21"/>
                <w:highlight w:val="none"/>
              </w:rPr>
              <w:t>2、支持数据纠错历史查询，包括纠错字段、原始数据、正确数据、纠错时间、纠错次数等。</w:t>
            </w:r>
          </w:p>
        </w:tc>
      </w:tr>
      <w:tr>
        <w:tblPrEx>
          <w:tblLayout w:type="fixed"/>
          <w:tblCellMar>
            <w:top w:w="0" w:type="dxa"/>
            <w:left w:w="108" w:type="dxa"/>
            <w:bottom w:w="0" w:type="dxa"/>
            <w:right w:w="108" w:type="dxa"/>
          </w:tblCellMar>
        </w:tblPrEx>
        <w:trPr>
          <w:trHeight w:val="600" w:hRule="atLeast"/>
        </w:trPr>
        <w:tc>
          <w:tcPr>
            <w:tcW w:w="867" w:type="dxa"/>
            <w:tcBorders>
              <w:top w:val="single" w:color="595959" w:sz="4" w:space="0"/>
              <w:left w:val="single" w:color="595959" w:sz="4" w:space="0"/>
              <w:bottom w:val="single" w:color="595959" w:sz="4" w:space="0"/>
              <w:right w:val="single" w:color="595959" w:sz="4" w:space="0"/>
            </w:tcBorders>
            <w:vAlign w:val="center"/>
          </w:tcPr>
          <w:p>
            <w:pPr>
              <w:widowControl/>
              <w:jc w:val="center"/>
              <w:rPr>
                <w:color w:val="auto"/>
                <w:sz w:val="21"/>
                <w:szCs w:val="21"/>
                <w:highlight w:val="none"/>
              </w:rPr>
            </w:pPr>
            <w:r>
              <w:rPr>
                <w:rFonts w:hint="eastAsia"/>
                <w:color w:val="auto"/>
                <w:sz w:val="21"/>
                <w:szCs w:val="21"/>
                <w:highlight w:val="none"/>
              </w:rPr>
              <w:t>配置管理系统</w:t>
            </w:r>
          </w:p>
        </w:tc>
        <w:tc>
          <w:tcPr>
            <w:tcW w:w="8761" w:type="dxa"/>
            <w:tcBorders>
              <w:top w:val="single" w:color="595959" w:sz="4" w:space="0"/>
              <w:left w:val="single" w:color="595959" w:sz="4" w:space="0"/>
              <w:bottom w:val="single" w:color="595959" w:sz="4" w:space="0"/>
              <w:right w:val="single" w:color="595959" w:sz="4" w:space="0"/>
            </w:tcBorders>
            <w:vAlign w:val="center"/>
          </w:tcPr>
          <w:p>
            <w:pPr>
              <w:widowControl/>
              <w:jc w:val="left"/>
              <w:rPr>
                <w:color w:val="auto"/>
                <w:sz w:val="21"/>
                <w:szCs w:val="21"/>
                <w:highlight w:val="none"/>
              </w:rPr>
            </w:pPr>
            <w:r>
              <w:rPr>
                <w:rFonts w:hint="eastAsia"/>
                <w:color w:val="auto"/>
                <w:sz w:val="21"/>
                <w:szCs w:val="21"/>
                <w:highlight w:val="none"/>
              </w:rPr>
              <w:t>1、数据库所有表或视图数据可通过手动配置形式生成列表，列表的查询条件可灵活配置，可从数据来源表中选择任意一个或多个字段组成查询条件。</w:t>
            </w:r>
          </w:p>
          <w:p>
            <w:pPr>
              <w:widowControl/>
              <w:jc w:val="left"/>
              <w:rPr>
                <w:color w:val="auto"/>
                <w:sz w:val="21"/>
                <w:szCs w:val="21"/>
                <w:highlight w:val="none"/>
              </w:rPr>
            </w:pPr>
            <w:r>
              <w:rPr>
                <w:rFonts w:hint="eastAsia"/>
                <w:color w:val="auto"/>
                <w:sz w:val="21"/>
                <w:szCs w:val="21"/>
                <w:highlight w:val="none"/>
              </w:rPr>
              <w:t>2、数据库所有表或视图数据可通过手动配置形式生成详情页，详情页可单独通过菜单授权展示。</w:t>
            </w:r>
          </w:p>
          <w:p>
            <w:pPr>
              <w:widowControl/>
              <w:jc w:val="left"/>
              <w:rPr>
                <w:color w:val="auto"/>
                <w:sz w:val="21"/>
                <w:szCs w:val="21"/>
                <w:highlight w:val="none"/>
              </w:rPr>
            </w:pPr>
            <w:r>
              <w:rPr>
                <w:rFonts w:hint="eastAsia"/>
                <w:color w:val="auto"/>
                <w:sz w:val="21"/>
                <w:szCs w:val="21"/>
                <w:highlight w:val="none"/>
              </w:rPr>
              <w:t>3、系统包含用户管理、日志管理、权限管理等基础能力。</w:t>
            </w:r>
          </w:p>
        </w:tc>
      </w:tr>
    </w:tbl>
    <w:p>
      <w:pPr>
        <w:spacing w:line="288" w:lineRule="auto"/>
        <w:ind w:firstLine="420" w:firstLineChars="200"/>
        <w:rPr>
          <w:color w:val="auto"/>
          <w:sz w:val="21"/>
          <w:szCs w:val="21"/>
          <w:highlight w:val="none"/>
          <w:lang w:eastAsia="zh-Hans"/>
        </w:rPr>
      </w:pPr>
    </w:p>
    <w:p>
      <w:pPr>
        <w:spacing w:line="288" w:lineRule="auto"/>
        <w:ind w:firstLine="420" w:firstLineChars="200"/>
        <w:rPr>
          <w:color w:val="auto"/>
          <w:sz w:val="21"/>
          <w:szCs w:val="21"/>
          <w:highlight w:val="none"/>
        </w:rPr>
      </w:pPr>
      <w:r>
        <w:rPr>
          <w:rFonts w:hint="eastAsia"/>
          <w:color w:val="auto"/>
          <w:sz w:val="21"/>
          <w:szCs w:val="21"/>
          <w:highlight w:val="none"/>
        </w:rPr>
        <w:t>（2）</w:t>
      </w:r>
      <w:r>
        <w:rPr>
          <w:rFonts w:hint="eastAsia"/>
          <w:color w:val="auto"/>
          <w:sz w:val="21"/>
          <w:szCs w:val="21"/>
          <w:highlight w:val="none"/>
          <w:lang w:eastAsia="zh-Hans"/>
        </w:rPr>
        <w:t>数字校园门户网站</w:t>
      </w:r>
      <w:r>
        <w:rPr>
          <w:rFonts w:hint="eastAsia"/>
          <w:color w:val="auto"/>
          <w:sz w:val="21"/>
          <w:szCs w:val="21"/>
          <w:highlight w:val="none"/>
        </w:rPr>
        <w:t>：</w:t>
      </w:r>
    </w:p>
    <w:p>
      <w:pPr>
        <w:spacing w:line="288" w:lineRule="auto"/>
        <w:ind w:firstLine="420" w:firstLineChars="200"/>
        <w:rPr>
          <w:color w:val="auto"/>
          <w:sz w:val="21"/>
          <w:szCs w:val="21"/>
          <w:highlight w:val="none"/>
        </w:rPr>
      </w:pPr>
      <w:r>
        <w:rPr>
          <w:rFonts w:hint="eastAsia"/>
          <w:color w:val="auto"/>
          <w:sz w:val="21"/>
          <w:szCs w:val="21"/>
          <w:highlight w:val="none"/>
        </w:rPr>
        <w:t>平台支持和学校已有系统进行对接，如学校自身的用户中心，日志系统和告警通道。</w:t>
      </w:r>
    </w:p>
    <w:tbl>
      <w:tblPr>
        <w:tblStyle w:val="11"/>
        <w:tblW w:w="9628" w:type="dxa"/>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
      <w:tblGrid>
        <w:gridCol w:w="1489"/>
        <w:gridCol w:w="8139"/>
      </w:tblGrid>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PrEx>
        <w:trPr>
          <w:trHeight w:val="480" w:hRule="atLeast"/>
        </w:trPr>
        <w:tc>
          <w:tcPr>
            <w:tcW w:w="1489" w:type="dxa"/>
            <w:shd w:val="clear" w:color="auto" w:fill="auto"/>
            <w:vAlign w:val="center"/>
          </w:tcPr>
          <w:p>
            <w:pPr>
              <w:widowControl/>
              <w:jc w:val="center"/>
              <w:rPr>
                <w:b/>
                <w:bCs/>
                <w:color w:val="auto"/>
                <w:sz w:val="21"/>
                <w:szCs w:val="21"/>
                <w:highlight w:val="none"/>
              </w:rPr>
            </w:pPr>
            <w:r>
              <w:rPr>
                <w:rFonts w:hint="eastAsia"/>
                <w:b/>
                <w:bCs/>
                <w:color w:val="auto"/>
                <w:sz w:val="21"/>
                <w:szCs w:val="21"/>
                <w:highlight w:val="none"/>
              </w:rPr>
              <w:t>分类</w:t>
            </w:r>
          </w:p>
        </w:tc>
        <w:tc>
          <w:tcPr>
            <w:tcW w:w="8139" w:type="dxa"/>
            <w:shd w:val="clear" w:color="auto" w:fill="auto"/>
            <w:vAlign w:val="center"/>
          </w:tcPr>
          <w:p>
            <w:pPr>
              <w:widowControl/>
              <w:jc w:val="center"/>
              <w:rPr>
                <w:b/>
                <w:bCs/>
                <w:color w:val="auto"/>
                <w:sz w:val="21"/>
                <w:szCs w:val="21"/>
                <w:highlight w:val="none"/>
                <w:lang w:eastAsia="zh-Hans"/>
              </w:rPr>
            </w:pPr>
            <w:r>
              <w:rPr>
                <w:rFonts w:hint="eastAsia"/>
                <w:b/>
                <w:bCs/>
                <w:color w:val="auto"/>
                <w:sz w:val="21"/>
                <w:szCs w:val="21"/>
                <w:highlight w:val="none"/>
                <w:lang w:eastAsia="zh-Hans"/>
              </w:rPr>
              <w:t>功能要求</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955" w:hRule="atLeast"/>
        </w:trPr>
        <w:tc>
          <w:tcPr>
            <w:tcW w:w="1489" w:type="dxa"/>
            <w:vAlign w:val="center"/>
          </w:tcPr>
          <w:p>
            <w:pPr>
              <w:widowControl/>
              <w:jc w:val="center"/>
              <w:rPr>
                <w:color w:val="auto"/>
                <w:sz w:val="21"/>
                <w:szCs w:val="21"/>
                <w:highlight w:val="none"/>
              </w:rPr>
            </w:pPr>
            <w:r>
              <w:rPr>
                <w:rFonts w:hint="eastAsia"/>
                <w:color w:val="auto"/>
                <w:sz w:val="21"/>
                <w:szCs w:val="21"/>
                <w:highlight w:val="none"/>
              </w:rPr>
              <w:t>总体技术要求</w:t>
            </w:r>
          </w:p>
        </w:tc>
        <w:tc>
          <w:tcPr>
            <w:tcW w:w="8139" w:type="dxa"/>
            <w:vAlign w:val="center"/>
          </w:tcPr>
          <w:p>
            <w:pPr>
              <w:widowControl/>
              <w:jc w:val="left"/>
              <w:rPr>
                <w:color w:val="auto"/>
                <w:sz w:val="21"/>
                <w:szCs w:val="21"/>
                <w:highlight w:val="none"/>
              </w:rPr>
            </w:pPr>
            <w:r>
              <w:rPr>
                <w:rFonts w:hint="eastAsia"/>
                <w:color w:val="auto"/>
                <w:sz w:val="21"/>
                <w:szCs w:val="21"/>
                <w:highlight w:val="none"/>
              </w:rPr>
              <w:t>1、作为智慧校园的底座平台及访问入口，系统的稳定行决定了校园网内的信息资源和应用系统能否被访问。为保障系统稳定高效运行，系统须采用Docker容器云技术进行部署安装，并通过管理控制台实现系统的统一部署、编排、监控等运维管理，并提供可视化运维管理界面，方便运维人员操作。</w:t>
            </w:r>
          </w:p>
          <w:p>
            <w:pPr>
              <w:widowControl/>
              <w:jc w:val="left"/>
              <w:rPr>
                <w:color w:val="auto"/>
                <w:sz w:val="21"/>
                <w:szCs w:val="21"/>
                <w:highlight w:val="none"/>
              </w:rPr>
            </w:pPr>
            <w:r>
              <w:rPr>
                <w:rFonts w:hint="eastAsia"/>
                <w:color w:val="auto"/>
                <w:sz w:val="21"/>
                <w:szCs w:val="21"/>
                <w:highlight w:val="none"/>
              </w:rPr>
              <w:t>2、系统支持负载均衡，提供服务器集群部署模式。提供动态监测负载状况功能，自动对可用资源进行并发检测，调整和分配等功能</w:t>
            </w:r>
            <w:r>
              <w:rPr>
                <w:rFonts w:hint="eastAsia"/>
                <w:b/>
                <w:color w:val="auto"/>
                <w:sz w:val="21"/>
                <w:szCs w:val="21"/>
                <w:highlight w:val="none"/>
              </w:rPr>
              <w:t>（提供证明材料）</w:t>
            </w:r>
            <w:r>
              <w:rPr>
                <w:rFonts w:hint="eastAsia"/>
                <w:color w:val="auto"/>
                <w:sz w:val="21"/>
                <w:szCs w:val="21"/>
                <w:highlight w:val="none"/>
              </w:rPr>
              <w:t>。</w:t>
            </w:r>
          </w:p>
          <w:p>
            <w:pPr>
              <w:widowControl/>
              <w:jc w:val="left"/>
              <w:rPr>
                <w:color w:val="auto"/>
                <w:sz w:val="21"/>
                <w:szCs w:val="21"/>
                <w:highlight w:val="none"/>
                <w:lang w:eastAsia="zh-Hans"/>
              </w:rPr>
            </w:pPr>
            <w:r>
              <w:rPr>
                <w:rFonts w:hint="eastAsia"/>
                <w:color w:val="auto"/>
                <w:sz w:val="21"/>
                <w:szCs w:val="21"/>
                <w:highlight w:val="none"/>
              </w:rPr>
              <w:t>3、充分利用先进技术手段和现有建设基础，基于多层架构和组件技术进行构建，做到系统结构层次清晰，所有应用逻辑、流程、数据等都能够根据建设方要求的颗粒度进行封装。</w:t>
            </w:r>
          </w:p>
          <w:p>
            <w:pPr>
              <w:widowControl/>
              <w:jc w:val="left"/>
              <w:rPr>
                <w:color w:val="auto"/>
                <w:sz w:val="21"/>
                <w:szCs w:val="21"/>
                <w:highlight w:val="none"/>
              </w:rPr>
            </w:pPr>
            <w:r>
              <w:rPr>
                <w:rFonts w:hint="eastAsia"/>
                <w:color w:val="auto"/>
                <w:sz w:val="21"/>
                <w:szCs w:val="21"/>
                <w:highlight w:val="none"/>
              </w:rPr>
              <w:t>4、易操作、易维护，对于日常操作和配置性内容进行统一设计和界面化处理，非计算机专业人员经过简单培训即可使用系统功能，保证系统的高效、有序、可靠地发挥其功能；具备自检、故障诊断及故障弱化功能，在出现故障时，能得到及时、快速的维护。</w:t>
            </w:r>
          </w:p>
          <w:p>
            <w:pPr>
              <w:widowControl/>
              <w:jc w:val="left"/>
              <w:rPr>
                <w:color w:val="auto"/>
                <w:sz w:val="21"/>
                <w:szCs w:val="21"/>
                <w:highlight w:val="none"/>
              </w:rPr>
            </w:pPr>
            <w:r>
              <w:rPr>
                <w:rFonts w:hint="eastAsia"/>
                <w:color w:val="auto"/>
                <w:sz w:val="21"/>
                <w:szCs w:val="21"/>
                <w:highlight w:val="none"/>
              </w:rPr>
              <w:t>5．信息定义、采集策略、接口协议、传输协议等符合国家标准、行业标准和技术规范。支持构建信息标准模型，避免直接操作数据库等不规范操作。具有完善的监控能力，保证错误、不标准信息、操作的准确定位和及时提醒。</w:t>
            </w:r>
          </w:p>
          <w:p>
            <w:pPr>
              <w:widowControl/>
              <w:jc w:val="left"/>
              <w:rPr>
                <w:color w:val="auto"/>
                <w:sz w:val="21"/>
                <w:szCs w:val="21"/>
                <w:highlight w:val="none"/>
              </w:rPr>
            </w:pPr>
            <w:r>
              <w:rPr>
                <w:rFonts w:hint="eastAsia"/>
                <w:color w:val="auto"/>
                <w:sz w:val="21"/>
                <w:szCs w:val="21"/>
                <w:highlight w:val="none"/>
              </w:rPr>
              <w:t>6、能够对数据进行质量检测，获得数据库权限的前提下对业务系统数据进行质量监测，尽早发现业务违规数据，对整合数据的质量进行评估，推动业务源头数据质量提升，合理保留历史数据的完整过程，做到数据准确、规避冗余、节约资源。</w:t>
            </w:r>
          </w:p>
          <w:p>
            <w:pPr>
              <w:widowControl/>
              <w:jc w:val="left"/>
              <w:rPr>
                <w:color w:val="auto"/>
                <w:sz w:val="21"/>
                <w:szCs w:val="21"/>
                <w:highlight w:val="none"/>
              </w:rPr>
            </w:pPr>
            <w:r>
              <w:rPr>
                <w:rFonts w:hint="eastAsia"/>
                <w:color w:val="auto"/>
                <w:sz w:val="21"/>
                <w:szCs w:val="21"/>
                <w:highlight w:val="none"/>
              </w:rPr>
              <w:t>7、系统在高负载、甚至是运行环境出现故障的时候仍能提供稳定、持续的服务。至少支持20000以上用户同时在线，最大用户并发数不少于3000。</w:t>
            </w:r>
          </w:p>
          <w:p>
            <w:pPr>
              <w:widowControl/>
              <w:jc w:val="left"/>
              <w:rPr>
                <w:color w:val="auto"/>
                <w:sz w:val="21"/>
                <w:szCs w:val="21"/>
                <w:highlight w:val="none"/>
              </w:rPr>
            </w:pPr>
            <w:r>
              <w:rPr>
                <w:rFonts w:hint="eastAsia"/>
                <w:color w:val="auto"/>
                <w:sz w:val="21"/>
                <w:szCs w:val="21"/>
                <w:highlight w:val="none"/>
              </w:rPr>
              <w:t>8、系统须支持跨平台的部署，页面兼容性好，支持各大主流浏览器。提供的平台和系统均需要基于B/S架构，支持多种浏览器，包括但不限于IE8及以上、Firefox、Chrome、Safari等；平台均可运行于Linux、Unix、Windows等高安全性操作系统，采用标准的纯 HTML 的方式进行交互。</w:t>
            </w:r>
          </w:p>
          <w:p>
            <w:pPr>
              <w:widowControl/>
              <w:jc w:val="left"/>
              <w:rPr>
                <w:color w:val="auto"/>
                <w:sz w:val="21"/>
                <w:szCs w:val="21"/>
                <w:highlight w:val="none"/>
              </w:rPr>
            </w:pPr>
            <w:r>
              <w:rPr>
                <w:rFonts w:hint="eastAsia"/>
                <w:color w:val="auto"/>
                <w:sz w:val="21"/>
                <w:szCs w:val="21"/>
                <w:highlight w:val="none"/>
              </w:rPr>
              <w:t>9、平台应支持IPv4/Ipv6双协议栈、由SSL+HTTP协议构建的可进行加密传输、身份认证的https网络协议。</w:t>
            </w:r>
          </w:p>
          <w:p>
            <w:pPr>
              <w:widowControl/>
              <w:jc w:val="left"/>
              <w:rPr>
                <w:color w:val="auto"/>
                <w:sz w:val="21"/>
                <w:szCs w:val="21"/>
                <w:highlight w:val="none"/>
              </w:rPr>
            </w:pPr>
            <w:r>
              <w:rPr>
                <w:rFonts w:hint="eastAsia"/>
                <w:color w:val="auto"/>
                <w:sz w:val="21"/>
                <w:szCs w:val="21"/>
                <w:highlight w:val="none"/>
              </w:rPr>
              <w:t>10、系统须支持不限数量的应用接入，不限制流程数与用户数。拥有包容性的平台框架，各部门均能建设、管理部门专属门户。页面分级管理，不同部门管理各自的门户。考虑到高速发展的校园信息化建设，会不断有新的应用系统和信息资源加入到智慧校园中，融合门户须提供具有高扩展性的服务架构和访问接口，让各种资源可以方便的集成到门户系统中，迅速的为校园网的用户提供服务，更要支持部门二级门户，独立业务门户建设。</w:t>
            </w:r>
          </w:p>
          <w:p>
            <w:pPr>
              <w:widowControl/>
              <w:jc w:val="left"/>
              <w:rPr>
                <w:color w:val="auto"/>
                <w:sz w:val="21"/>
                <w:szCs w:val="21"/>
                <w:highlight w:val="none"/>
              </w:rPr>
            </w:pPr>
            <w:r>
              <w:rPr>
                <w:rFonts w:hint="eastAsia"/>
                <w:color w:val="auto"/>
                <w:sz w:val="21"/>
                <w:szCs w:val="21"/>
                <w:highlight w:val="none"/>
              </w:rPr>
              <w:t>11、门户微服务共享与微服务接口说明：系统相关重要服务能力如任务、资讯、日程等须为微服务架构，并提供相关的接口说明及Web管理界面，以供全校信息业务共享。</w:t>
            </w:r>
          </w:p>
          <w:p>
            <w:pPr>
              <w:widowControl/>
              <w:jc w:val="left"/>
              <w:rPr>
                <w:color w:val="auto"/>
                <w:sz w:val="21"/>
                <w:szCs w:val="21"/>
                <w:highlight w:val="none"/>
              </w:rPr>
            </w:pPr>
            <w:r>
              <w:rPr>
                <w:rFonts w:hint="eastAsia"/>
                <w:color w:val="auto"/>
                <w:sz w:val="21"/>
                <w:szCs w:val="21"/>
                <w:highlight w:val="none"/>
              </w:rPr>
              <w:t>12、系统采用HTML5响应式网页设计，兼容Android／iOS操作系统的主流移动浏览器；自动适应屏幕宽度，支持PC、PAD、手机等多种终端灵活接入，以备后期建设扩展用户终端访问方式。</w:t>
            </w:r>
          </w:p>
          <w:p>
            <w:pPr>
              <w:widowControl/>
              <w:jc w:val="left"/>
              <w:rPr>
                <w:color w:val="auto"/>
                <w:sz w:val="21"/>
                <w:szCs w:val="21"/>
                <w:highlight w:val="none"/>
              </w:rPr>
            </w:pPr>
            <w:r>
              <w:rPr>
                <w:rFonts w:hint="eastAsia"/>
                <w:color w:val="auto"/>
                <w:sz w:val="21"/>
                <w:szCs w:val="21"/>
                <w:highlight w:val="none"/>
              </w:rPr>
              <w:t>13、门户操作界面必须完全按照学校要求进行个性化设计，可以自定义皮肤主题，未经校方允许，不得出现公司任何标识；用户界面美观大方，直观高效；操作流程清晰简洁，易用度、灵活度高，给用户提供良好的操作体验；基于模块化、组件化的思想实现流程化界面、向导式操作和个性化风格，方便使用人员轻松掌握相应系统功能、快速完成相应管理工作。</w:t>
            </w:r>
          </w:p>
          <w:p>
            <w:pPr>
              <w:widowControl/>
              <w:jc w:val="left"/>
              <w:rPr>
                <w:color w:val="auto"/>
                <w:sz w:val="21"/>
                <w:szCs w:val="21"/>
                <w:highlight w:val="none"/>
              </w:rPr>
            </w:pPr>
            <w:r>
              <w:rPr>
                <w:rFonts w:hint="eastAsia"/>
                <w:color w:val="auto"/>
                <w:sz w:val="21"/>
                <w:szCs w:val="21"/>
                <w:highlight w:val="none"/>
              </w:rPr>
              <w:t>14、应用管理中心须提供集成的二次开发环境和接口标准，支持基于平台上架第三方的事项、流程及应用。</w:t>
            </w:r>
          </w:p>
          <w:p>
            <w:pPr>
              <w:widowControl/>
              <w:jc w:val="left"/>
              <w:rPr>
                <w:color w:val="auto"/>
                <w:sz w:val="21"/>
                <w:szCs w:val="21"/>
                <w:highlight w:val="none"/>
              </w:rPr>
            </w:pPr>
            <w:r>
              <w:rPr>
                <w:rFonts w:hint="eastAsia"/>
                <w:color w:val="auto"/>
                <w:sz w:val="21"/>
                <w:szCs w:val="21"/>
                <w:highlight w:val="none"/>
              </w:rPr>
              <w:t>15、各平台（系统）必须完全开放所有接口，交付接口文档给学校，并根据校方具体需求免费开放接口供学校在用或新建应用系统进行兼容、对接。</w:t>
            </w:r>
          </w:p>
          <w:p>
            <w:pPr>
              <w:widowControl/>
              <w:jc w:val="left"/>
              <w:rPr>
                <w:color w:val="auto"/>
                <w:sz w:val="21"/>
                <w:szCs w:val="21"/>
                <w:highlight w:val="none"/>
              </w:rPr>
            </w:pPr>
            <w:r>
              <w:rPr>
                <w:rFonts w:hint="eastAsia"/>
                <w:color w:val="auto"/>
                <w:sz w:val="21"/>
                <w:szCs w:val="21"/>
                <w:highlight w:val="none"/>
              </w:rPr>
              <w:t>16、校内资源与系统的安全性保障：本项目集成了校园网内所有的信息资源和应用系统，各系统要能够为用户提供安全的信息资源和业务数据的获取，保障信息传输的安全可靠、保障信息不被非法用户窃取、保障用户的合法身份不被盗用。</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955" w:hRule="atLeast"/>
        </w:trPr>
        <w:tc>
          <w:tcPr>
            <w:tcW w:w="1489" w:type="dxa"/>
            <w:vAlign w:val="center"/>
          </w:tcPr>
          <w:p>
            <w:pPr>
              <w:widowControl/>
              <w:jc w:val="center"/>
              <w:rPr>
                <w:color w:val="auto"/>
                <w:sz w:val="21"/>
                <w:szCs w:val="21"/>
                <w:highlight w:val="none"/>
              </w:rPr>
            </w:pPr>
            <w:r>
              <w:rPr>
                <w:rFonts w:hint="eastAsia"/>
                <w:color w:val="auto"/>
                <w:sz w:val="21"/>
                <w:szCs w:val="21"/>
                <w:highlight w:val="none"/>
              </w:rPr>
              <w:t>高可用融合门户构建及运行底座</w:t>
            </w:r>
          </w:p>
        </w:tc>
        <w:tc>
          <w:tcPr>
            <w:tcW w:w="8139" w:type="dxa"/>
            <w:vAlign w:val="center"/>
          </w:tcPr>
          <w:p>
            <w:pPr>
              <w:rPr>
                <w:color w:val="auto"/>
                <w:sz w:val="21"/>
                <w:szCs w:val="21"/>
                <w:highlight w:val="none"/>
              </w:rPr>
            </w:pPr>
            <w:r>
              <w:rPr>
                <w:rFonts w:hint="eastAsia"/>
                <w:color w:val="auto"/>
                <w:sz w:val="21"/>
                <w:szCs w:val="21"/>
                <w:highlight w:val="none"/>
              </w:rPr>
              <w:t>1、门户构建多端扩展能力：提供统一门户构建工具，工具需支持对PC端、微信端、移动端进布局进行在线调整，一体化管理无须多头维护。为用户扩展融合门户的私有化移动app、微信服务号门户、尊享welink门户、专属钉钉门户等提供平台基础</w:t>
            </w:r>
            <w:r>
              <w:rPr>
                <w:rFonts w:hint="eastAsia"/>
                <w:b/>
                <w:color w:val="auto"/>
                <w:sz w:val="21"/>
                <w:szCs w:val="21"/>
                <w:highlight w:val="none"/>
              </w:rPr>
              <w:t>（提供证明材料）</w:t>
            </w:r>
            <w:r>
              <w:rPr>
                <w:rFonts w:hint="eastAsia"/>
                <w:color w:val="auto"/>
                <w:sz w:val="21"/>
                <w:szCs w:val="21"/>
                <w:highlight w:val="none"/>
              </w:rPr>
              <w:t>。</w:t>
            </w:r>
          </w:p>
          <w:p>
            <w:pPr>
              <w:rPr>
                <w:color w:val="auto"/>
                <w:sz w:val="21"/>
                <w:szCs w:val="21"/>
                <w:highlight w:val="none"/>
              </w:rPr>
            </w:pPr>
            <w:r>
              <w:rPr>
                <w:rFonts w:hint="eastAsia"/>
                <w:color w:val="auto"/>
                <w:sz w:val="21"/>
                <w:szCs w:val="21"/>
                <w:highlight w:val="none"/>
              </w:rPr>
              <w:t>2、底座部署以及可视化运行：门户底层须采用高可用的Docker容器云技术进行部署安装，并通过管理控制台实现系统的统一部署、编排、监控等运维管理，并提供可视化运维管理界面，统一监控预警，方便运维人员操作。</w:t>
            </w:r>
          </w:p>
          <w:p>
            <w:pPr>
              <w:widowControl/>
              <w:jc w:val="left"/>
              <w:rPr>
                <w:color w:val="auto"/>
                <w:sz w:val="21"/>
                <w:szCs w:val="21"/>
                <w:highlight w:val="none"/>
              </w:rPr>
            </w:pPr>
            <w:r>
              <w:rPr>
                <w:rFonts w:hint="eastAsia"/>
                <w:color w:val="auto"/>
                <w:sz w:val="21"/>
                <w:szCs w:val="21"/>
                <w:highlight w:val="none"/>
              </w:rPr>
              <w:t>3、部件与组件管理：提供部件库管理组件，包括多元化的门户基础组件：导航、日程、待办等。平台定义部件二开标准，支持用户自定义部件功能，支持将所有的展示部件进行共享微件封装，通过模板化引擎和样式化引擎实现第三方调用的个性化展示。</w:t>
            </w:r>
          </w:p>
          <w:p>
            <w:pPr>
              <w:widowControl/>
              <w:jc w:val="left"/>
              <w:rPr>
                <w:color w:val="auto"/>
                <w:sz w:val="21"/>
                <w:szCs w:val="21"/>
                <w:highlight w:val="none"/>
              </w:rPr>
            </w:pPr>
            <w:r>
              <w:rPr>
                <w:rFonts w:hint="eastAsia"/>
                <w:color w:val="auto"/>
                <w:sz w:val="21"/>
                <w:szCs w:val="21"/>
                <w:highlight w:val="none"/>
              </w:rPr>
              <w:t>4、共享微件封装，支持将所有的展示部件进行共享微件封装，通过模板化引擎和样式化引擎实现第三方调用的个性化展示，避免重复开发，例如门户头尾部件、日程、任务、消息等。</w:t>
            </w:r>
          </w:p>
          <w:p>
            <w:pPr>
              <w:rPr>
                <w:color w:val="auto"/>
                <w:sz w:val="21"/>
                <w:szCs w:val="21"/>
                <w:highlight w:val="none"/>
              </w:rPr>
            </w:pPr>
            <w:r>
              <w:rPr>
                <w:rFonts w:hint="eastAsia"/>
                <w:color w:val="auto"/>
                <w:sz w:val="21"/>
                <w:szCs w:val="21"/>
                <w:highlight w:val="none"/>
              </w:rPr>
              <w:t>5、数据转换：门户部件需要具备标准化数据模块定义，提供通用的数据源转换服务，代理门户部件和数据源之间的转换。实现部件迁移使用，在不修改部件代码的前提下重新定义数据源并且发布</w:t>
            </w:r>
            <w:r>
              <w:rPr>
                <w:rFonts w:hint="eastAsia"/>
                <w:b/>
                <w:color w:val="auto"/>
                <w:sz w:val="21"/>
                <w:szCs w:val="21"/>
                <w:highlight w:val="none"/>
              </w:rPr>
              <w:t>（提供证明材料）</w:t>
            </w:r>
            <w:r>
              <w:rPr>
                <w:rFonts w:hint="eastAsia"/>
                <w:color w:val="auto"/>
                <w:sz w:val="21"/>
                <w:szCs w:val="21"/>
                <w:highlight w:val="none"/>
              </w:rPr>
              <w:t>。</w:t>
            </w:r>
          </w:p>
          <w:p>
            <w:pPr>
              <w:rPr>
                <w:color w:val="auto"/>
                <w:sz w:val="21"/>
                <w:szCs w:val="21"/>
                <w:highlight w:val="none"/>
              </w:rPr>
            </w:pPr>
            <w:r>
              <w:rPr>
                <w:rFonts w:hint="eastAsia"/>
                <w:color w:val="auto"/>
                <w:sz w:val="21"/>
                <w:szCs w:val="21"/>
                <w:highlight w:val="none"/>
              </w:rPr>
              <w:t>6、门户版本发布：门户支持多版本发布，支持沙盒发布，支持门户历史版本在线回滚。</w:t>
            </w:r>
          </w:p>
          <w:p>
            <w:pPr>
              <w:widowControl/>
              <w:jc w:val="left"/>
              <w:rPr>
                <w:color w:val="auto"/>
                <w:sz w:val="21"/>
                <w:szCs w:val="21"/>
                <w:highlight w:val="none"/>
              </w:rPr>
            </w:pPr>
            <w:r>
              <w:rPr>
                <w:rFonts w:hint="eastAsia"/>
                <w:color w:val="auto"/>
                <w:sz w:val="21"/>
                <w:szCs w:val="21"/>
                <w:highlight w:val="none"/>
              </w:rPr>
              <w:t>7、多级门户管理：支持系统管理员创建和管理多级门户站点功能，门户站点支持通过域名或者虚拟目录名进行访问。</w:t>
            </w:r>
          </w:p>
          <w:p>
            <w:pPr>
              <w:widowControl/>
              <w:jc w:val="left"/>
              <w:rPr>
                <w:color w:val="auto"/>
                <w:sz w:val="21"/>
                <w:szCs w:val="21"/>
                <w:highlight w:val="none"/>
              </w:rPr>
            </w:pPr>
            <w:r>
              <w:rPr>
                <w:rFonts w:hint="eastAsia"/>
                <w:color w:val="auto"/>
                <w:sz w:val="21"/>
                <w:szCs w:val="21"/>
                <w:highlight w:val="none"/>
              </w:rPr>
              <w:t>8、多主题管理功能：</w:t>
            </w:r>
          </w:p>
          <w:p>
            <w:pPr>
              <w:widowControl/>
              <w:jc w:val="left"/>
              <w:rPr>
                <w:color w:val="auto"/>
                <w:sz w:val="21"/>
                <w:szCs w:val="21"/>
                <w:highlight w:val="none"/>
              </w:rPr>
            </w:pPr>
            <w:r>
              <w:rPr>
                <w:rFonts w:hint="eastAsia"/>
                <w:color w:val="auto"/>
                <w:sz w:val="21"/>
                <w:szCs w:val="21"/>
                <w:highlight w:val="none"/>
              </w:rPr>
              <w:t>（1）门户支持多主题功能，每个主题包含了特定的展示样式；管理员可以设置每个模板使用的主题，在全局上改变门户、部件的展示样式。</w:t>
            </w:r>
          </w:p>
          <w:p>
            <w:pPr>
              <w:widowControl/>
              <w:jc w:val="left"/>
              <w:rPr>
                <w:color w:val="auto"/>
                <w:sz w:val="21"/>
                <w:szCs w:val="21"/>
                <w:highlight w:val="none"/>
              </w:rPr>
            </w:pPr>
            <w:r>
              <w:rPr>
                <w:rFonts w:hint="eastAsia"/>
                <w:color w:val="auto"/>
                <w:sz w:val="21"/>
                <w:szCs w:val="21"/>
                <w:highlight w:val="none"/>
              </w:rPr>
              <w:t>（2）支持部件在门户模板页面中集成展示，可配置部件的展示属性。</w:t>
            </w:r>
          </w:p>
          <w:p>
            <w:pPr>
              <w:widowControl/>
              <w:jc w:val="left"/>
              <w:rPr>
                <w:color w:val="auto"/>
                <w:sz w:val="21"/>
                <w:szCs w:val="21"/>
                <w:highlight w:val="none"/>
              </w:rPr>
            </w:pPr>
            <w:r>
              <w:rPr>
                <w:rFonts w:hint="eastAsia"/>
                <w:color w:val="auto"/>
                <w:sz w:val="21"/>
                <w:szCs w:val="21"/>
                <w:highlight w:val="none"/>
              </w:rPr>
              <w:t>9、模板管理：</w:t>
            </w:r>
          </w:p>
          <w:p>
            <w:pPr>
              <w:widowControl/>
              <w:jc w:val="left"/>
              <w:rPr>
                <w:color w:val="auto"/>
                <w:sz w:val="21"/>
                <w:szCs w:val="21"/>
                <w:highlight w:val="none"/>
              </w:rPr>
            </w:pPr>
            <w:r>
              <w:rPr>
                <w:rFonts w:hint="eastAsia"/>
                <w:color w:val="auto"/>
                <w:sz w:val="21"/>
                <w:szCs w:val="21"/>
                <w:highlight w:val="none"/>
              </w:rPr>
              <w:t>（1）提供模板方式展示PC页面，一个门户站点有一套模板，模板包含各栏目的PC页面；支持按角色定义界面展示模板，每个角色可定义一套模板，一套模板包含一个主页和多个栏目页。</w:t>
            </w:r>
          </w:p>
          <w:p>
            <w:pPr>
              <w:widowControl/>
              <w:jc w:val="left"/>
              <w:rPr>
                <w:color w:val="auto"/>
                <w:sz w:val="21"/>
                <w:szCs w:val="21"/>
                <w:highlight w:val="none"/>
              </w:rPr>
            </w:pPr>
            <w:r>
              <w:rPr>
                <w:rFonts w:hint="eastAsia"/>
                <w:color w:val="auto"/>
                <w:sz w:val="21"/>
                <w:szCs w:val="21"/>
                <w:highlight w:val="none"/>
              </w:rPr>
              <w:t>（2）管理员可以在主页和栏目页定制部件，包括部件的添加、移除、移动位置以及配置数据源等。</w:t>
            </w:r>
          </w:p>
          <w:p>
            <w:pPr>
              <w:widowControl/>
              <w:jc w:val="left"/>
              <w:rPr>
                <w:color w:val="auto"/>
                <w:sz w:val="21"/>
                <w:szCs w:val="21"/>
                <w:highlight w:val="none"/>
              </w:rPr>
            </w:pPr>
            <w:r>
              <w:rPr>
                <w:rFonts w:hint="eastAsia"/>
                <w:color w:val="auto"/>
                <w:sz w:val="21"/>
                <w:szCs w:val="21"/>
                <w:highlight w:val="none"/>
              </w:rPr>
              <w:t>（3）用户登录系统后根据用户所在角色进入到相应的模板主页。</w:t>
            </w:r>
          </w:p>
          <w:p>
            <w:pPr>
              <w:widowControl/>
              <w:jc w:val="left"/>
              <w:rPr>
                <w:color w:val="auto"/>
                <w:sz w:val="21"/>
                <w:szCs w:val="21"/>
                <w:highlight w:val="none"/>
              </w:rPr>
            </w:pPr>
            <w:r>
              <w:rPr>
                <w:rFonts w:hint="eastAsia"/>
                <w:color w:val="auto"/>
                <w:sz w:val="21"/>
                <w:szCs w:val="21"/>
                <w:highlight w:val="none"/>
              </w:rPr>
              <w:t>10、界面集成能力：为满足办事大厅未来功能的扩展，信息门户须提供界面集成能力，开放界面集成标准，允许第三方应用或办事服务注册窗口部件到服务大厅以供用户在个人中心选择使用。</w:t>
            </w:r>
          </w:p>
          <w:p>
            <w:pPr>
              <w:widowControl/>
              <w:jc w:val="left"/>
              <w:rPr>
                <w:color w:val="auto"/>
                <w:sz w:val="21"/>
                <w:szCs w:val="21"/>
                <w:highlight w:val="none"/>
              </w:rPr>
            </w:pPr>
            <w:r>
              <w:rPr>
                <w:rFonts w:hint="eastAsia"/>
                <w:color w:val="auto"/>
                <w:sz w:val="21"/>
                <w:szCs w:val="21"/>
                <w:highlight w:val="none"/>
              </w:rPr>
              <w:t>11．Widget集成能力：通过开发规范、样式规范和结构规范，让第三方应用在门户扁平化接入融合展示，实现师生服务只进一扇门的理念。</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955" w:hRule="atLeast"/>
        </w:trPr>
        <w:tc>
          <w:tcPr>
            <w:tcW w:w="1489" w:type="dxa"/>
            <w:vAlign w:val="center"/>
          </w:tcPr>
          <w:p>
            <w:pPr>
              <w:widowControl/>
              <w:jc w:val="center"/>
              <w:rPr>
                <w:color w:val="auto"/>
                <w:sz w:val="21"/>
                <w:szCs w:val="21"/>
                <w:highlight w:val="none"/>
              </w:rPr>
            </w:pPr>
            <w:r>
              <w:rPr>
                <w:rFonts w:hint="eastAsia"/>
                <w:color w:val="auto"/>
                <w:sz w:val="21"/>
                <w:szCs w:val="21"/>
                <w:highlight w:val="none"/>
              </w:rPr>
              <w:t>“云链”校级服务中台</w:t>
            </w:r>
          </w:p>
        </w:tc>
        <w:tc>
          <w:tcPr>
            <w:tcW w:w="8139" w:type="dxa"/>
            <w:vAlign w:val="center"/>
          </w:tcPr>
          <w:p>
            <w:pPr>
              <w:widowControl/>
              <w:jc w:val="left"/>
              <w:rPr>
                <w:color w:val="auto"/>
                <w:sz w:val="21"/>
                <w:szCs w:val="21"/>
                <w:highlight w:val="none"/>
              </w:rPr>
            </w:pPr>
            <w:r>
              <w:rPr>
                <w:rFonts w:hint="eastAsia"/>
                <w:color w:val="auto"/>
                <w:sz w:val="21"/>
                <w:szCs w:val="21"/>
                <w:highlight w:val="none"/>
              </w:rPr>
              <w:t>1、应用管理中心：应用管理中心为融合门户提供各类应用的统一在线快速管理，应用的统一发布管理，打通PC门户、移动门户,支持同时管理PC门户、移动门户中应用的注册、上架、下架、版本管理、访问统计与行为分析等基础功能。</w:t>
            </w:r>
          </w:p>
          <w:p>
            <w:pPr>
              <w:widowControl/>
              <w:jc w:val="left"/>
              <w:rPr>
                <w:color w:val="auto"/>
                <w:sz w:val="21"/>
                <w:szCs w:val="21"/>
                <w:highlight w:val="none"/>
              </w:rPr>
            </w:pPr>
            <w:r>
              <w:rPr>
                <w:rFonts w:hint="eastAsia"/>
                <w:color w:val="auto"/>
                <w:sz w:val="21"/>
                <w:szCs w:val="21"/>
                <w:highlight w:val="none"/>
              </w:rPr>
              <w:t>2、事务服务中心：</w:t>
            </w:r>
          </w:p>
          <w:p>
            <w:pPr>
              <w:widowControl/>
              <w:jc w:val="left"/>
              <w:rPr>
                <w:color w:val="auto"/>
                <w:sz w:val="21"/>
                <w:szCs w:val="21"/>
                <w:highlight w:val="none"/>
              </w:rPr>
            </w:pPr>
            <w:r>
              <w:rPr>
                <w:rFonts w:hint="eastAsia"/>
                <w:color w:val="auto"/>
                <w:sz w:val="21"/>
                <w:szCs w:val="21"/>
                <w:highlight w:val="none"/>
              </w:rPr>
              <w:t>（1）服务办理：向用户以图文形式介绍各事务的办理方法、政策、流程图等相关信息，并可下载相关文档；对于已开通在线办理并需要审批流程的服务，用户可以在系统内在线发起办理申请。</w:t>
            </w:r>
          </w:p>
          <w:p>
            <w:pPr>
              <w:widowControl/>
              <w:jc w:val="left"/>
              <w:rPr>
                <w:color w:val="auto"/>
                <w:sz w:val="21"/>
                <w:szCs w:val="21"/>
                <w:highlight w:val="none"/>
              </w:rPr>
            </w:pPr>
            <w:r>
              <w:rPr>
                <w:rFonts w:hint="eastAsia"/>
                <w:color w:val="auto"/>
                <w:sz w:val="21"/>
                <w:szCs w:val="21"/>
                <w:highlight w:val="none"/>
              </w:rPr>
              <w:t>（2）服务分类：支持分类管理，可按业务类型、功能类型和服务对象等进行分类；支持自定义分类，如按为生活、学习、教学和科研等进行分类；支持按服务对象进行服务，如分为教师、学生和访客等。</w:t>
            </w:r>
          </w:p>
          <w:p>
            <w:pPr>
              <w:widowControl/>
              <w:jc w:val="left"/>
              <w:rPr>
                <w:color w:val="auto"/>
                <w:sz w:val="21"/>
                <w:szCs w:val="21"/>
                <w:highlight w:val="none"/>
              </w:rPr>
            </w:pPr>
            <w:r>
              <w:rPr>
                <w:rFonts w:hint="eastAsia"/>
                <w:color w:val="auto"/>
                <w:sz w:val="21"/>
                <w:szCs w:val="21"/>
                <w:highlight w:val="none"/>
              </w:rPr>
              <w:t>（3）流程跟踪：支持用户跟踪事务办理的进度，以流程图的方式展示正在办理流程的当前的状态。支持查看已经办结事务的办理状态、当前处理人和上一步处理时间等信息。</w:t>
            </w:r>
          </w:p>
          <w:p>
            <w:pPr>
              <w:widowControl/>
              <w:jc w:val="left"/>
              <w:rPr>
                <w:color w:val="auto"/>
                <w:sz w:val="21"/>
                <w:szCs w:val="21"/>
                <w:highlight w:val="none"/>
              </w:rPr>
            </w:pPr>
            <w:r>
              <w:rPr>
                <w:rFonts w:hint="eastAsia"/>
                <w:color w:val="auto"/>
                <w:sz w:val="21"/>
                <w:szCs w:val="21"/>
                <w:highlight w:val="none"/>
              </w:rPr>
              <w:t>（4）待办任务：系统将根据流程的需要把当前需要用户办理／填写／审批的工作节点，以待办任务的方式列出。</w:t>
            </w:r>
          </w:p>
          <w:p>
            <w:pPr>
              <w:widowControl/>
              <w:jc w:val="left"/>
              <w:rPr>
                <w:color w:val="auto"/>
                <w:sz w:val="21"/>
                <w:szCs w:val="21"/>
                <w:highlight w:val="none"/>
              </w:rPr>
            </w:pPr>
            <w:r>
              <w:rPr>
                <w:rFonts w:hint="eastAsia"/>
                <w:color w:val="auto"/>
                <w:sz w:val="21"/>
                <w:szCs w:val="21"/>
                <w:highlight w:val="none"/>
              </w:rPr>
              <w:t>（5）已办任务：用户可以找到所有自己曾经办理过的流程及其具体内容。</w:t>
            </w:r>
          </w:p>
          <w:p>
            <w:pPr>
              <w:widowControl/>
              <w:jc w:val="left"/>
              <w:rPr>
                <w:color w:val="auto"/>
                <w:sz w:val="21"/>
                <w:szCs w:val="21"/>
                <w:highlight w:val="none"/>
              </w:rPr>
            </w:pPr>
            <w:r>
              <w:rPr>
                <w:rFonts w:hint="eastAsia"/>
                <w:color w:val="auto"/>
                <w:sz w:val="21"/>
                <w:szCs w:val="21"/>
                <w:highlight w:val="none"/>
              </w:rPr>
              <w:t>（6）服务评价：提供用户对服务进行打分和评价功能，后台管理员可以对评价内容进行审核与发布。</w:t>
            </w:r>
          </w:p>
          <w:p>
            <w:pPr>
              <w:widowControl/>
              <w:jc w:val="left"/>
              <w:rPr>
                <w:color w:val="auto"/>
                <w:sz w:val="21"/>
                <w:szCs w:val="21"/>
                <w:highlight w:val="none"/>
              </w:rPr>
            </w:pPr>
            <w:r>
              <w:rPr>
                <w:rFonts w:hint="eastAsia"/>
                <w:color w:val="auto"/>
                <w:sz w:val="21"/>
                <w:szCs w:val="21"/>
                <w:highlight w:val="none"/>
              </w:rPr>
              <w:t>（7）服务咨询：提供用户对服务咨询功能，管理员可以对咨询进行解答。提供离线留言功能。</w:t>
            </w:r>
          </w:p>
          <w:p>
            <w:pPr>
              <w:widowControl/>
              <w:jc w:val="left"/>
              <w:rPr>
                <w:color w:val="auto"/>
                <w:sz w:val="21"/>
                <w:szCs w:val="21"/>
                <w:highlight w:val="none"/>
              </w:rPr>
            </w:pPr>
            <w:r>
              <w:rPr>
                <w:rFonts w:hint="eastAsia"/>
                <w:color w:val="auto"/>
                <w:sz w:val="21"/>
                <w:szCs w:val="21"/>
                <w:highlight w:val="none"/>
              </w:rPr>
              <w:t>（8）服务统计：提供统计分析服务，支持按照访问次数、办结时长、每环节平均办理时间、满意度等维度进行统计分析，分析出最受欢迎的事务、评价最高的事务、办理最快的事务、效率最高事务等；统计周期可以是近一个月、半年或一年等。提供各种图表展示和数据大屏。</w:t>
            </w:r>
          </w:p>
          <w:p>
            <w:pPr>
              <w:widowControl/>
              <w:jc w:val="left"/>
              <w:rPr>
                <w:color w:val="auto"/>
                <w:sz w:val="21"/>
                <w:szCs w:val="21"/>
                <w:highlight w:val="none"/>
              </w:rPr>
            </w:pPr>
            <w:r>
              <w:rPr>
                <w:rFonts w:hint="eastAsia"/>
                <w:color w:val="auto"/>
                <w:sz w:val="21"/>
                <w:szCs w:val="21"/>
                <w:highlight w:val="none"/>
              </w:rPr>
              <w:t>（9）服务排序：实现按不同维度进行服务排序，如使用次数、评价高低、收藏次数、服务名称首字母等。</w:t>
            </w:r>
          </w:p>
          <w:p>
            <w:pPr>
              <w:widowControl/>
              <w:jc w:val="left"/>
              <w:rPr>
                <w:color w:val="auto"/>
                <w:sz w:val="21"/>
                <w:szCs w:val="21"/>
                <w:highlight w:val="none"/>
              </w:rPr>
            </w:pPr>
            <w:r>
              <w:rPr>
                <w:rFonts w:hint="eastAsia"/>
                <w:color w:val="auto"/>
                <w:sz w:val="21"/>
                <w:szCs w:val="21"/>
                <w:highlight w:val="none"/>
              </w:rPr>
              <w:t>（10）服务检索：提供多维度的服务分类，能按分类快速检索出符合条件的服务；提供对所有服务名称、简介等进行模糊查询功能，协助用户快速找到想要办理的服务。</w:t>
            </w:r>
          </w:p>
          <w:p>
            <w:pPr>
              <w:widowControl/>
              <w:jc w:val="left"/>
              <w:rPr>
                <w:color w:val="auto"/>
                <w:sz w:val="21"/>
                <w:szCs w:val="21"/>
                <w:highlight w:val="none"/>
              </w:rPr>
            </w:pPr>
            <w:r>
              <w:rPr>
                <w:rFonts w:hint="eastAsia"/>
                <w:color w:val="auto"/>
                <w:sz w:val="21"/>
                <w:szCs w:val="21"/>
                <w:highlight w:val="none"/>
              </w:rPr>
              <w:t>（11）热门与推荐服务：根据服务的办理申请热度，展示热门服务；根据登录者身份，为其推荐当前时期需要的服务。比如，毕业离校时为学生推荐离校办理服务；教师职称评定时期为教师推荐评职的相关服务。</w:t>
            </w:r>
          </w:p>
          <w:p>
            <w:pPr>
              <w:widowControl/>
              <w:jc w:val="left"/>
              <w:rPr>
                <w:color w:val="auto"/>
                <w:sz w:val="21"/>
                <w:szCs w:val="21"/>
                <w:highlight w:val="none"/>
              </w:rPr>
            </w:pPr>
            <w:r>
              <w:rPr>
                <w:rFonts w:hint="eastAsia"/>
                <w:color w:val="auto"/>
                <w:sz w:val="21"/>
                <w:szCs w:val="21"/>
                <w:highlight w:val="none"/>
              </w:rPr>
              <w:t>3、统一待办中心：</w:t>
            </w:r>
          </w:p>
          <w:p>
            <w:pPr>
              <w:widowControl/>
              <w:jc w:val="left"/>
              <w:rPr>
                <w:color w:val="auto"/>
                <w:sz w:val="21"/>
                <w:szCs w:val="21"/>
                <w:highlight w:val="none"/>
              </w:rPr>
            </w:pPr>
            <w:r>
              <w:rPr>
                <w:rFonts w:hint="eastAsia"/>
                <w:color w:val="auto"/>
                <w:sz w:val="21"/>
                <w:szCs w:val="21"/>
                <w:highlight w:val="none"/>
              </w:rPr>
              <w:t>（1）待办集成展示：提供待办消息中心的标准规范以及调用接口，由学校内业务系统对接；在待办展示模块提供待办、已办、申请、抄送等列表。</w:t>
            </w:r>
          </w:p>
          <w:p>
            <w:pPr>
              <w:widowControl/>
              <w:jc w:val="left"/>
              <w:rPr>
                <w:color w:val="auto"/>
                <w:sz w:val="21"/>
                <w:szCs w:val="21"/>
                <w:highlight w:val="none"/>
              </w:rPr>
            </w:pPr>
            <w:r>
              <w:rPr>
                <w:rFonts w:hint="eastAsia"/>
                <w:bCs/>
                <w:color w:val="auto"/>
                <w:sz w:val="21"/>
                <w:szCs w:val="21"/>
                <w:highlight w:val="none"/>
              </w:rPr>
              <w:t>（2）</w:t>
            </w:r>
            <w:r>
              <w:rPr>
                <w:rFonts w:hint="eastAsia"/>
                <w:color w:val="auto"/>
                <w:sz w:val="21"/>
                <w:szCs w:val="21"/>
                <w:highlight w:val="none"/>
              </w:rPr>
              <w:t>待办消息驱动：待办消息中心具备消息驱办和催办能力，给第三方提供api时，支持可设置消息提醒策略，超时未办理或根据循策略进行消息提醒。</w:t>
            </w:r>
          </w:p>
          <w:p>
            <w:pPr>
              <w:widowControl/>
              <w:jc w:val="left"/>
              <w:rPr>
                <w:color w:val="auto"/>
                <w:sz w:val="21"/>
                <w:szCs w:val="21"/>
                <w:highlight w:val="none"/>
              </w:rPr>
            </w:pPr>
            <w:r>
              <w:rPr>
                <w:rFonts w:hint="eastAsia"/>
                <w:color w:val="auto"/>
                <w:sz w:val="21"/>
                <w:szCs w:val="21"/>
                <w:highlight w:val="none"/>
              </w:rPr>
              <w:t>（3）待办管理控制中心：</w:t>
            </w:r>
          </w:p>
          <w:p>
            <w:pPr>
              <w:widowControl/>
              <w:jc w:val="left"/>
              <w:rPr>
                <w:color w:val="auto"/>
                <w:sz w:val="21"/>
                <w:szCs w:val="21"/>
                <w:highlight w:val="none"/>
              </w:rPr>
            </w:pPr>
            <w:r>
              <w:rPr>
                <w:rFonts w:hint="eastAsia"/>
                <w:color w:val="auto"/>
                <w:sz w:val="21"/>
                <w:szCs w:val="21"/>
                <w:highlight w:val="none"/>
              </w:rPr>
              <w:t>待办中心支持对所有用户的待办、已办、流程跟踪等进行统一管理，支持手动发送消息进行再次提醒，支持手动纠正数据。通过待办消息中心将待办共享给第三方待办模块时，支持通过消息队列或接口集成进行同步处理。</w:t>
            </w:r>
          </w:p>
          <w:p>
            <w:pPr>
              <w:widowControl/>
              <w:jc w:val="left"/>
              <w:rPr>
                <w:color w:val="auto"/>
                <w:sz w:val="21"/>
                <w:szCs w:val="21"/>
                <w:highlight w:val="none"/>
              </w:rPr>
            </w:pPr>
            <w:r>
              <w:rPr>
                <w:rFonts w:hint="eastAsia"/>
                <w:color w:val="auto"/>
                <w:sz w:val="21"/>
                <w:szCs w:val="21"/>
                <w:highlight w:val="none"/>
              </w:rPr>
              <w:t>（4）统一日程中心：</w:t>
            </w:r>
          </w:p>
          <w:p>
            <w:pPr>
              <w:widowControl/>
              <w:jc w:val="left"/>
              <w:rPr>
                <w:color w:val="auto"/>
                <w:sz w:val="21"/>
                <w:szCs w:val="21"/>
                <w:highlight w:val="none"/>
              </w:rPr>
            </w:pPr>
            <w:r>
              <w:rPr>
                <w:rFonts w:hint="eastAsia"/>
                <w:color w:val="auto"/>
                <w:sz w:val="21"/>
                <w:szCs w:val="21"/>
                <w:highlight w:val="none"/>
              </w:rPr>
              <w:t>系统以月历、周历和日历方式展示个人相关的行程安排，支持集成各业务系统行程安排，通过日程中心中进行展示，比如校历、校部会议安排、课程表、工作安排和活动等。</w:t>
            </w:r>
          </w:p>
          <w:p>
            <w:pPr>
              <w:widowControl/>
              <w:jc w:val="left"/>
              <w:rPr>
                <w:color w:val="auto"/>
                <w:sz w:val="21"/>
                <w:szCs w:val="21"/>
                <w:highlight w:val="none"/>
              </w:rPr>
            </w:pPr>
            <w:r>
              <w:rPr>
                <w:rFonts w:hint="eastAsia"/>
                <w:color w:val="auto"/>
                <w:sz w:val="21"/>
                <w:szCs w:val="21"/>
                <w:highlight w:val="none"/>
              </w:rPr>
              <w:t>（5）统一消息中心：</w:t>
            </w:r>
          </w:p>
          <w:p>
            <w:pPr>
              <w:widowControl/>
              <w:jc w:val="left"/>
              <w:rPr>
                <w:color w:val="auto"/>
                <w:sz w:val="21"/>
                <w:szCs w:val="21"/>
                <w:highlight w:val="none"/>
              </w:rPr>
            </w:pPr>
            <w:r>
              <w:rPr>
                <w:rFonts w:hint="eastAsia"/>
                <w:color w:val="auto"/>
                <w:sz w:val="21"/>
                <w:szCs w:val="21"/>
                <w:highlight w:val="none"/>
              </w:rPr>
              <w:t>多通道消息提醒：支持与消息服务对接，提供站内信、app、短信、微信和邮件的消息提醒功能；微信端、pc端、app端推送的消息支持待办办理链接的关联，实现消息驱办。自动提取微信模板消息：消息中心发送微信服务号模板消息时，为了让第三方业务系统与消息中心平滑对接，第三方业务系统只需要发送普通文本类型消息内容，由消息中心智能根据消息模板自动提取结构化数据，实现模板消息发送功能。</w:t>
            </w:r>
          </w:p>
          <w:p>
            <w:pPr>
              <w:widowControl/>
              <w:jc w:val="left"/>
              <w:rPr>
                <w:color w:val="auto"/>
                <w:sz w:val="21"/>
                <w:szCs w:val="21"/>
                <w:highlight w:val="none"/>
              </w:rPr>
            </w:pPr>
            <w:r>
              <w:rPr>
                <w:rFonts w:hint="eastAsia"/>
                <w:color w:val="auto"/>
                <w:sz w:val="21"/>
                <w:szCs w:val="21"/>
                <w:highlight w:val="none"/>
              </w:rPr>
              <w:t>（6）统一资讯中心：</w:t>
            </w:r>
          </w:p>
          <w:p>
            <w:pPr>
              <w:widowControl/>
              <w:jc w:val="left"/>
              <w:rPr>
                <w:color w:val="auto"/>
                <w:sz w:val="21"/>
                <w:szCs w:val="21"/>
                <w:highlight w:val="none"/>
              </w:rPr>
            </w:pPr>
            <w:r>
              <w:rPr>
                <w:rFonts w:hint="eastAsia"/>
                <w:color w:val="auto"/>
                <w:sz w:val="21"/>
                <w:szCs w:val="21"/>
                <w:highlight w:val="none"/>
              </w:rPr>
              <w:t>提供全量资讯中心，支持与学校资讯管理系统集成。支持聚合学校所有资讯信息，通过pc门户平台或移动端可查看校园所有站点及栏目信息。</w:t>
            </w:r>
          </w:p>
          <w:p>
            <w:pPr>
              <w:widowControl/>
              <w:jc w:val="left"/>
              <w:rPr>
                <w:color w:val="auto"/>
                <w:sz w:val="21"/>
                <w:szCs w:val="21"/>
                <w:highlight w:val="none"/>
              </w:rPr>
            </w:pPr>
            <w:r>
              <w:rPr>
                <w:rFonts w:hint="eastAsia"/>
                <w:color w:val="auto"/>
                <w:sz w:val="21"/>
                <w:szCs w:val="21"/>
                <w:highlight w:val="none"/>
              </w:rPr>
              <w:t>（7）统一检索中心：</w:t>
            </w:r>
          </w:p>
          <w:p>
            <w:pPr>
              <w:widowControl/>
              <w:jc w:val="left"/>
              <w:rPr>
                <w:color w:val="auto"/>
                <w:sz w:val="21"/>
                <w:szCs w:val="21"/>
                <w:highlight w:val="none"/>
              </w:rPr>
            </w:pPr>
            <w:r>
              <w:rPr>
                <w:rFonts w:hint="eastAsia"/>
                <w:color w:val="auto"/>
                <w:sz w:val="21"/>
                <w:szCs w:val="21"/>
                <w:highlight w:val="none"/>
              </w:rPr>
              <w:t>统一索引数据模型：提供统一的API接口，支持与第三方对接，为数字化校园所有的业务数据建立统一的数据索引，包括门户资讯、应用、服务指南、通讯录、部门黄页、部门主页等。</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327" w:hRule="atLeast"/>
        </w:trPr>
        <w:tc>
          <w:tcPr>
            <w:tcW w:w="1489" w:type="dxa"/>
            <w:vAlign w:val="center"/>
          </w:tcPr>
          <w:p>
            <w:pPr>
              <w:widowControl/>
              <w:jc w:val="center"/>
              <w:rPr>
                <w:color w:val="auto"/>
                <w:sz w:val="21"/>
                <w:szCs w:val="21"/>
                <w:highlight w:val="none"/>
              </w:rPr>
            </w:pPr>
            <w:r>
              <w:rPr>
                <w:rFonts w:hint="eastAsia"/>
                <w:color w:val="auto"/>
                <w:sz w:val="21"/>
                <w:szCs w:val="21"/>
                <w:highlight w:val="none"/>
              </w:rPr>
              <w:t>师生个性化融合服务门户</w:t>
            </w:r>
          </w:p>
        </w:tc>
        <w:tc>
          <w:tcPr>
            <w:tcW w:w="8139" w:type="dxa"/>
            <w:vAlign w:val="center"/>
          </w:tcPr>
          <w:p>
            <w:pPr>
              <w:widowControl/>
              <w:jc w:val="left"/>
              <w:rPr>
                <w:color w:val="auto"/>
                <w:sz w:val="21"/>
                <w:szCs w:val="21"/>
                <w:highlight w:val="none"/>
              </w:rPr>
            </w:pPr>
            <w:r>
              <w:rPr>
                <w:rFonts w:hint="eastAsia"/>
                <w:color w:val="auto"/>
                <w:sz w:val="21"/>
                <w:szCs w:val="21"/>
                <w:highlight w:val="none"/>
              </w:rPr>
              <w:t>1、访问方式：系统支持匿名访问模式，未登录时，为匿名访问，可以浏览和检索校内的事务及相关办理指南；登录后为实名访问，可以获取与自身有关的事务，并可以进行业务的办理</w:t>
            </w:r>
            <w:r>
              <w:rPr>
                <w:rFonts w:hint="eastAsia"/>
                <w:b/>
                <w:color w:val="auto"/>
                <w:sz w:val="21"/>
                <w:szCs w:val="21"/>
                <w:highlight w:val="none"/>
              </w:rPr>
              <w:t>。</w:t>
            </w:r>
          </w:p>
          <w:p>
            <w:pPr>
              <w:widowControl/>
              <w:jc w:val="left"/>
              <w:rPr>
                <w:color w:val="auto"/>
                <w:sz w:val="21"/>
                <w:szCs w:val="21"/>
                <w:highlight w:val="none"/>
              </w:rPr>
            </w:pPr>
            <w:r>
              <w:rPr>
                <w:rFonts w:hint="eastAsia"/>
                <w:color w:val="auto"/>
                <w:sz w:val="21"/>
                <w:szCs w:val="21"/>
                <w:highlight w:val="none"/>
              </w:rPr>
              <w:t>2、定制化个性界面：</w:t>
            </w:r>
          </w:p>
          <w:p>
            <w:pPr>
              <w:widowControl/>
              <w:jc w:val="left"/>
              <w:rPr>
                <w:color w:val="auto"/>
                <w:sz w:val="21"/>
                <w:szCs w:val="21"/>
                <w:highlight w:val="none"/>
              </w:rPr>
            </w:pPr>
            <w:r>
              <w:rPr>
                <w:rFonts w:hint="eastAsia"/>
                <w:color w:val="auto"/>
                <w:sz w:val="21"/>
                <w:szCs w:val="21"/>
                <w:highlight w:val="none"/>
              </w:rPr>
              <w:t>系统需提供定制化功能，用户界面支持根据学校需求、学校人文、校徽校训等学校特殊性进行个性化定制，设计界面具有良好的视觉效果，并能体现现代风格与学校特色，充体现学校形象。系统个性化界面功能，根据不同角色个性化的信息展示，包括领导、教师、学生及不同类别的学生等角色，展示与角色相关的信息。客户化UI：结合学校UED规范，标准化UI样式，让门户集成的办事服务、查约应用、资讯等与门户从样式上保持一致的用户体验。可实现支持一键换肤。。</w:t>
            </w:r>
          </w:p>
          <w:p>
            <w:pPr>
              <w:widowControl/>
              <w:jc w:val="left"/>
              <w:rPr>
                <w:color w:val="auto"/>
                <w:sz w:val="21"/>
                <w:szCs w:val="21"/>
                <w:highlight w:val="none"/>
              </w:rPr>
            </w:pPr>
            <w:r>
              <w:rPr>
                <w:rFonts w:hint="eastAsia"/>
                <w:color w:val="auto"/>
                <w:sz w:val="21"/>
                <w:szCs w:val="21"/>
                <w:highlight w:val="none"/>
              </w:rPr>
              <w:t>3、多屏融合技术：门户支持响应式布局，自动适配PC、移动、微信客户端访问。</w:t>
            </w:r>
          </w:p>
          <w:p>
            <w:pPr>
              <w:widowControl/>
              <w:jc w:val="left"/>
              <w:rPr>
                <w:color w:val="auto"/>
                <w:sz w:val="21"/>
                <w:szCs w:val="21"/>
                <w:highlight w:val="none"/>
              </w:rPr>
            </w:pPr>
            <w:r>
              <w:rPr>
                <w:rFonts w:hint="eastAsia"/>
                <w:color w:val="auto"/>
                <w:sz w:val="21"/>
                <w:szCs w:val="21"/>
                <w:highlight w:val="none"/>
              </w:rPr>
              <w:t>4、主题切换：门户支持多主题功能，每个主题包含了特定的展示样式，本次项目可多级门户：基于统一的中台服务和展示构建工具，根据业务和场景进行聚焦，本次可提供1-2个场景化服务聚焦子门户。支持1-2个主题。</w:t>
            </w:r>
          </w:p>
          <w:p>
            <w:pPr>
              <w:widowControl/>
              <w:jc w:val="left"/>
              <w:rPr>
                <w:color w:val="auto"/>
                <w:sz w:val="21"/>
                <w:szCs w:val="21"/>
                <w:highlight w:val="none"/>
              </w:rPr>
            </w:pPr>
            <w:r>
              <w:rPr>
                <w:rFonts w:hint="eastAsia"/>
                <w:color w:val="auto"/>
                <w:sz w:val="21"/>
                <w:szCs w:val="21"/>
                <w:highlight w:val="none"/>
              </w:rPr>
              <w:t>5、多级门户：基于统一的中台服务和展示构建工具，根据业务和场景进行聚焦，本次可提供1-2个场景化服务聚焦子门户。</w:t>
            </w:r>
          </w:p>
          <w:p>
            <w:pPr>
              <w:widowControl/>
              <w:jc w:val="left"/>
              <w:rPr>
                <w:color w:val="auto"/>
                <w:sz w:val="21"/>
                <w:szCs w:val="21"/>
                <w:highlight w:val="none"/>
              </w:rPr>
            </w:pPr>
            <w:r>
              <w:rPr>
                <w:rFonts w:hint="eastAsia"/>
                <w:color w:val="auto"/>
                <w:sz w:val="21"/>
                <w:szCs w:val="21"/>
                <w:highlight w:val="none"/>
              </w:rPr>
              <w:t>6、应用服务大厅：提供应用大厅服务，按服务类别、场景、部门，向用户提供查约办服务应用。支持按A-Z排序和应用检索；支持推荐高频应用。</w:t>
            </w:r>
          </w:p>
          <w:p>
            <w:pPr>
              <w:widowControl/>
              <w:jc w:val="left"/>
              <w:rPr>
                <w:color w:val="auto"/>
                <w:sz w:val="21"/>
                <w:szCs w:val="21"/>
                <w:highlight w:val="none"/>
              </w:rPr>
            </w:pPr>
            <w:r>
              <w:rPr>
                <w:rFonts w:hint="eastAsia"/>
                <w:color w:val="auto"/>
                <w:sz w:val="21"/>
                <w:szCs w:val="21"/>
                <w:highlight w:val="none"/>
              </w:rPr>
              <w:t>7、业务直通车：提供应用及业务直通车板块、对校内业务系统链接进行科学性的梳理排布、为师生提供了快捷访问业务入口，方便用户快速进入各业务系统，并支持管理员进行相关链接配置。</w:t>
            </w:r>
          </w:p>
          <w:p>
            <w:pPr>
              <w:widowControl/>
              <w:jc w:val="left"/>
              <w:rPr>
                <w:color w:val="auto"/>
                <w:sz w:val="21"/>
                <w:szCs w:val="21"/>
                <w:highlight w:val="none"/>
              </w:rPr>
            </w:pPr>
            <w:r>
              <w:rPr>
                <w:rFonts w:hint="eastAsia"/>
                <w:color w:val="auto"/>
                <w:sz w:val="21"/>
                <w:szCs w:val="21"/>
                <w:highlight w:val="none"/>
              </w:rPr>
              <w:t>8、个人自助服务：支持与第三方系统集成展示用户登录信息以及登录状态，支持师生自助修改个人基本信息、手机、邮箱和密码。</w:t>
            </w:r>
          </w:p>
          <w:p>
            <w:pPr>
              <w:widowControl/>
              <w:jc w:val="left"/>
              <w:rPr>
                <w:color w:val="auto"/>
                <w:sz w:val="21"/>
                <w:szCs w:val="21"/>
                <w:highlight w:val="none"/>
              </w:rPr>
            </w:pPr>
            <w:r>
              <w:rPr>
                <w:rFonts w:hint="eastAsia"/>
                <w:color w:val="auto"/>
                <w:sz w:val="21"/>
                <w:szCs w:val="21"/>
                <w:highlight w:val="none"/>
              </w:rPr>
              <w:t>9、场景化主题服务：支持将不同系统的服务根据所需业务进行快速重组，让师生能够聚焦办事，例如迎新服务、疫情填报等。服务主题支持时效性设置，定时开启或关闭。</w:t>
            </w:r>
          </w:p>
          <w:p>
            <w:pPr>
              <w:widowControl/>
              <w:jc w:val="left"/>
              <w:rPr>
                <w:color w:val="auto"/>
                <w:sz w:val="21"/>
                <w:szCs w:val="21"/>
                <w:highlight w:val="none"/>
              </w:rPr>
            </w:pPr>
            <w:r>
              <w:rPr>
                <w:rFonts w:hint="eastAsia"/>
                <w:color w:val="auto"/>
                <w:sz w:val="21"/>
                <w:szCs w:val="21"/>
                <w:highlight w:val="none"/>
              </w:rPr>
              <w:t>10、服务推荐：支持根据活动周期进行服务推荐设置，进行主动服务。支持管理员手动推荐。推荐内容：资讯与事务结合，形成服务推荐闭环。</w:t>
            </w:r>
          </w:p>
          <w:p>
            <w:pPr>
              <w:widowControl/>
              <w:jc w:val="left"/>
              <w:rPr>
                <w:color w:val="auto"/>
                <w:sz w:val="21"/>
                <w:szCs w:val="21"/>
                <w:highlight w:val="none"/>
              </w:rPr>
            </w:pPr>
            <w:r>
              <w:rPr>
                <w:rFonts w:hint="eastAsia"/>
                <w:color w:val="auto"/>
                <w:sz w:val="21"/>
                <w:szCs w:val="21"/>
                <w:highlight w:val="none"/>
              </w:rPr>
              <w:t>11、我的事务：根据待办中心提供我的事务应用，汇聚全业务系统的待办，展示我的待办、已办、流程跟踪及我的申请，支持pc和H5版本展示。事务驱办：待办新到或超时未办理可根据提醒策略进行消息提醒，实现事情找人。</w:t>
            </w:r>
          </w:p>
          <w:p>
            <w:pPr>
              <w:widowControl/>
              <w:jc w:val="left"/>
              <w:rPr>
                <w:color w:val="auto"/>
                <w:sz w:val="21"/>
                <w:szCs w:val="21"/>
                <w:highlight w:val="none"/>
              </w:rPr>
            </w:pPr>
            <w:r>
              <w:rPr>
                <w:rFonts w:hint="eastAsia"/>
                <w:color w:val="auto"/>
                <w:sz w:val="21"/>
                <w:szCs w:val="21"/>
                <w:highlight w:val="none"/>
              </w:rPr>
              <w:t>12、个人消息通知服务：支持对个人校内服务进行及时提醒，包括一卡通余额提醒、OA业务提醒、个人日程提醒等。系统须提供各种通道的消息提醒，支持用户消息通过短信、邮件、微信、APP等通道发送消息提醒。</w:t>
            </w:r>
          </w:p>
          <w:p>
            <w:pPr>
              <w:widowControl/>
              <w:jc w:val="left"/>
              <w:rPr>
                <w:color w:val="auto"/>
                <w:sz w:val="21"/>
                <w:szCs w:val="21"/>
                <w:highlight w:val="none"/>
              </w:rPr>
            </w:pPr>
            <w:r>
              <w:rPr>
                <w:rFonts w:hint="eastAsia"/>
                <w:color w:val="auto"/>
                <w:sz w:val="21"/>
                <w:szCs w:val="21"/>
                <w:highlight w:val="none"/>
              </w:rPr>
              <w:t>13、个人日程：支持用户订阅资讯，订阅后展示在用户个人日程中心。支持对接第三方来源的日程数据，例如教务系统课程表。支持查看日程详情，包括名称、时间、地点、和其他文字详情等。支持用户设置日程提醒，支持自行设置提醒时长。支持日历搜索。</w:t>
            </w:r>
          </w:p>
          <w:p>
            <w:pPr>
              <w:widowControl/>
              <w:jc w:val="left"/>
              <w:rPr>
                <w:color w:val="auto"/>
                <w:sz w:val="21"/>
                <w:szCs w:val="21"/>
                <w:highlight w:val="none"/>
              </w:rPr>
            </w:pPr>
            <w:r>
              <w:rPr>
                <w:rFonts w:hint="eastAsia"/>
                <w:color w:val="auto"/>
                <w:sz w:val="21"/>
                <w:szCs w:val="21"/>
                <w:highlight w:val="none"/>
              </w:rPr>
              <w:t>14、资讯展示：实现校园网站群资讯整合，师生、校内人员可以通过门户即可浏览网站群下各站点栏目的新闻、资讯、通知等。角色个性化推送：系统平台根据不同角色人员按照场景化推送相关栏目，实现通过门户浏览学校资讯新闻，如校内活动、大事件、新闻等。</w:t>
            </w:r>
          </w:p>
          <w:p>
            <w:pPr>
              <w:widowControl/>
              <w:jc w:val="left"/>
              <w:rPr>
                <w:color w:val="auto"/>
                <w:sz w:val="21"/>
                <w:szCs w:val="21"/>
                <w:highlight w:val="none"/>
              </w:rPr>
            </w:pPr>
            <w:r>
              <w:rPr>
                <w:rFonts w:hint="eastAsia"/>
                <w:color w:val="auto"/>
                <w:sz w:val="21"/>
                <w:szCs w:val="21"/>
                <w:highlight w:val="none"/>
              </w:rPr>
              <w:t>15、我的应用收藏：支持用户将个人已经办理的、未办理但是感兴趣或关心的事务添加到我的事务收藏中。</w:t>
            </w:r>
          </w:p>
          <w:p>
            <w:pPr>
              <w:widowControl/>
              <w:jc w:val="left"/>
              <w:rPr>
                <w:color w:val="auto"/>
                <w:sz w:val="21"/>
                <w:szCs w:val="21"/>
                <w:highlight w:val="none"/>
              </w:rPr>
            </w:pPr>
            <w:r>
              <w:rPr>
                <w:rFonts w:hint="eastAsia"/>
                <w:color w:val="auto"/>
                <w:sz w:val="21"/>
                <w:szCs w:val="21"/>
                <w:highlight w:val="none"/>
              </w:rPr>
              <w:t>16、提醒组件:对接第三方系统提醒并以组件的形式进行呈现，以视觉化的呈现手段对师生进行提醒，例如图书借阅数量、预期未还数量，一卡通余额，工资余额，资产待办数量等。</w:t>
            </w:r>
          </w:p>
          <w:p>
            <w:pPr>
              <w:widowControl/>
              <w:jc w:val="left"/>
              <w:rPr>
                <w:color w:val="auto"/>
                <w:sz w:val="21"/>
                <w:szCs w:val="21"/>
                <w:highlight w:val="none"/>
              </w:rPr>
            </w:pPr>
            <w:r>
              <w:rPr>
                <w:rFonts w:hint="eastAsia"/>
                <w:color w:val="auto"/>
                <w:sz w:val="21"/>
                <w:szCs w:val="21"/>
                <w:highlight w:val="none"/>
              </w:rPr>
              <w:t>17、邮件集成：支持展现当前用户未读邮件数量和未读邮件列表信息并且实现实现用户免二次登陆进入邮箱系统。展示未读邮件数量和未读邮件列表信息，以及查看邮件详情。</w:t>
            </w:r>
          </w:p>
          <w:p>
            <w:pPr>
              <w:widowControl/>
              <w:jc w:val="left"/>
              <w:rPr>
                <w:rFonts w:hint="eastAsia" w:eastAsia="宋体"/>
                <w:color w:val="auto"/>
                <w:sz w:val="21"/>
                <w:szCs w:val="21"/>
                <w:highlight w:val="none"/>
                <w:lang w:eastAsia="zh-CN"/>
              </w:rPr>
            </w:pPr>
            <w:r>
              <w:rPr>
                <w:rFonts w:hint="eastAsia"/>
                <w:color w:val="auto"/>
                <w:sz w:val="21"/>
                <w:szCs w:val="21"/>
                <w:highlight w:val="none"/>
              </w:rPr>
              <w:t>18．用户资讯订阅：用户可以通过各终端可查看校园所有站点及栏目信息。个人可根据实际需要在线订阅相关栏目信息，订阅行为支持及时同步至多终端生效</w:t>
            </w:r>
            <w:r>
              <w:rPr>
                <w:rFonts w:hint="eastAsia"/>
                <w:color w:val="auto"/>
                <w:sz w:val="21"/>
                <w:szCs w:val="21"/>
                <w:highlight w:val="none"/>
                <w:lang w:eastAsia="zh-CN"/>
              </w:rPr>
              <w:t>。</w:t>
            </w:r>
          </w:p>
        </w:tc>
      </w:tr>
    </w:tbl>
    <w:p>
      <w:pPr>
        <w:spacing w:line="288" w:lineRule="auto"/>
        <w:ind w:firstLine="420" w:firstLineChars="200"/>
        <w:rPr>
          <w:color w:val="auto"/>
          <w:sz w:val="21"/>
          <w:szCs w:val="21"/>
          <w:highlight w:val="none"/>
        </w:rPr>
      </w:pPr>
    </w:p>
    <w:p>
      <w:pPr>
        <w:spacing w:line="288" w:lineRule="auto"/>
        <w:ind w:firstLine="420" w:firstLineChars="200"/>
        <w:rPr>
          <w:color w:val="auto"/>
          <w:sz w:val="21"/>
          <w:szCs w:val="21"/>
          <w:highlight w:val="none"/>
        </w:rPr>
      </w:pPr>
      <w:r>
        <w:rPr>
          <w:rFonts w:hint="eastAsia"/>
          <w:color w:val="auto"/>
          <w:sz w:val="21"/>
          <w:szCs w:val="21"/>
          <w:highlight w:val="none"/>
        </w:rPr>
        <w:t>（3）</w:t>
      </w:r>
      <w:r>
        <w:rPr>
          <w:rFonts w:hint="eastAsia"/>
          <w:color w:val="auto"/>
          <w:sz w:val="21"/>
          <w:szCs w:val="21"/>
          <w:highlight w:val="none"/>
          <w:lang w:eastAsia="zh-Hans"/>
        </w:rPr>
        <w:t>研究生导学评价系统</w:t>
      </w:r>
      <w:r>
        <w:rPr>
          <w:rFonts w:hint="eastAsia"/>
          <w:color w:val="auto"/>
          <w:sz w:val="21"/>
          <w:szCs w:val="21"/>
          <w:highlight w:val="none"/>
        </w:rPr>
        <w:t>：</w:t>
      </w:r>
    </w:p>
    <w:tbl>
      <w:tblPr>
        <w:tblStyle w:val="11"/>
        <w:tblW w:w="9628" w:type="dxa"/>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
      <w:tblGrid>
        <w:gridCol w:w="848"/>
        <w:gridCol w:w="1657"/>
        <w:gridCol w:w="7123"/>
      </w:tblGrid>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480" w:hRule="atLeast"/>
        </w:trPr>
        <w:tc>
          <w:tcPr>
            <w:tcW w:w="848" w:type="dxa"/>
            <w:shd w:val="clear" w:color="auto" w:fill="auto"/>
            <w:vAlign w:val="center"/>
          </w:tcPr>
          <w:p>
            <w:pPr>
              <w:widowControl/>
              <w:jc w:val="center"/>
              <w:rPr>
                <w:b/>
                <w:bCs/>
                <w:color w:val="auto"/>
                <w:sz w:val="21"/>
                <w:szCs w:val="21"/>
                <w:highlight w:val="none"/>
              </w:rPr>
            </w:pPr>
            <w:r>
              <w:rPr>
                <w:rFonts w:hint="eastAsia"/>
                <w:b/>
                <w:bCs/>
                <w:color w:val="auto"/>
                <w:sz w:val="21"/>
                <w:szCs w:val="21"/>
                <w:highlight w:val="none"/>
              </w:rPr>
              <w:t>分类</w:t>
            </w:r>
          </w:p>
        </w:tc>
        <w:tc>
          <w:tcPr>
            <w:tcW w:w="1657" w:type="dxa"/>
            <w:shd w:val="clear" w:color="auto" w:fill="auto"/>
            <w:vAlign w:val="center"/>
          </w:tcPr>
          <w:p>
            <w:pPr>
              <w:widowControl/>
              <w:jc w:val="center"/>
              <w:rPr>
                <w:b/>
                <w:bCs/>
                <w:color w:val="auto"/>
                <w:sz w:val="21"/>
                <w:szCs w:val="21"/>
                <w:highlight w:val="none"/>
                <w:lang w:eastAsia="zh-Hans"/>
              </w:rPr>
            </w:pPr>
            <w:r>
              <w:rPr>
                <w:rFonts w:hint="eastAsia"/>
                <w:b/>
                <w:bCs/>
                <w:color w:val="auto"/>
                <w:sz w:val="21"/>
                <w:szCs w:val="21"/>
                <w:highlight w:val="none"/>
                <w:lang w:eastAsia="zh-Hans"/>
              </w:rPr>
              <w:t>功能项</w:t>
            </w:r>
          </w:p>
        </w:tc>
        <w:tc>
          <w:tcPr>
            <w:tcW w:w="7123" w:type="dxa"/>
            <w:shd w:val="clear" w:color="auto" w:fill="auto"/>
            <w:vAlign w:val="center"/>
          </w:tcPr>
          <w:p>
            <w:pPr>
              <w:widowControl/>
              <w:jc w:val="center"/>
              <w:rPr>
                <w:b/>
                <w:bCs/>
                <w:color w:val="auto"/>
                <w:sz w:val="21"/>
                <w:szCs w:val="21"/>
                <w:highlight w:val="none"/>
                <w:lang w:eastAsia="zh-Hans"/>
              </w:rPr>
            </w:pPr>
            <w:r>
              <w:rPr>
                <w:rFonts w:hint="eastAsia"/>
                <w:b/>
                <w:bCs/>
                <w:color w:val="auto"/>
                <w:sz w:val="21"/>
                <w:szCs w:val="21"/>
                <w:highlight w:val="none"/>
                <w:lang w:eastAsia="zh-Hans"/>
              </w:rPr>
              <w:t>功能要求</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1200" w:hRule="atLeast"/>
        </w:trPr>
        <w:tc>
          <w:tcPr>
            <w:tcW w:w="848"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数据管理</w:t>
            </w:r>
          </w:p>
        </w:tc>
        <w:tc>
          <w:tcPr>
            <w:tcW w:w="1657"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提供研究生系统的数据管理功能</w:t>
            </w:r>
          </w:p>
        </w:tc>
        <w:tc>
          <w:tcPr>
            <w:tcW w:w="7123" w:type="dxa"/>
            <w:vAlign w:val="center"/>
          </w:tcPr>
          <w:p>
            <w:pPr>
              <w:widowControl/>
              <w:jc w:val="left"/>
              <w:rPr>
                <w:color w:val="auto"/>
                <w:sz w:val="21"/>
                <w:szCs w:val="21"/>
                <w:highlight w:val="none"/>
                <w:lang w:eastAsia="zh-Hans"/>
              </w:rPr>
            </w:pPr>
            <w:r>
              <w:rPr>
                <w:rFonts w:hint="eastAsia"/>
                <w:color w:val="auto"/>
                <w:sz w:val="21"/>
                <w:szCs w:val="21"/>
                <w:highlight w:val="none"/>
              </w:rPr>
              <w:t>1、</w:t>
            </w:r>
            <w:r>
              <w:rPr>
                <w:rFonts w:hint="eastAsia"/>
                <w:color w:val="auto"/>
                <w:sz w:val="21"/>
                <w:szCs w:val="21"/>
                <w:highlight w:val="none"/>
                <w:lang w:eastAsia="zh-Hans"/>
              </w:rPr>
              <w:t>提供对研究生管理系统的数据的查询、核实、导入导出功能。</w:t>
            </w:r>
          </w:p>
          <w:p>
            <w:pPr>
              <w:rPr>
                <w:color w:val="auto"/>
                <w:sz w:val="21"/>
                <w:szCs w:val="21"/>
                <w:highlight w:val="none"/>
              </w:rPr>
            </w:pPr>
            <w:r>
              <w:rPr>
                <w:rFonts w:hint="eastAsia"/>
                <w:color w:val="auto"/>
                <w:sz w:val="21"/>
                <w:szCs w:val="21"/>
                <w:highlight w:val="none"/>
              </w:rPr>
              <w:t>2、支持数据的单条、批量删除和修改功能。</w:t>
            </w:r>
          </w:p>
          <w:p>
            <w:pPr>
              <w:rPr>
                <w:color w:val="auto"/>
                <w:sz w:val="21"/>
                <w:szCs w:val="21"/>
                <w:highlight w:val="none"/>
              </w:rPr>
            </w:pPr>
            <w:r>
              <w:rPr>
                <w:rFonts w:hint="eastAsia"/>
                <w:color w:val="auto"/>
                <w:sz w:val="21"/>
                <w:szCs w:val="21"/>
                <w:highlight w:val="none"/>
              </w:rPr>
              <w:t>3、支持数据列字段的查询功能</w:t>
            </w:r>
            <w:r>
              <w:rPr>
                <w:rFonts w:hint="eastAsia"/>
                <w:color w:val="auto"/>
                <w:sz w:val="21"/>
                <w:szCs w:val="21"/>
                <w:highlight w:val="none"/>
                <w:lang w:eastAsia="zh-Hans"/>
              </w:rPr>
              <w:t>。</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1200" w:hRule="atLeast"/>
        </w:trPr>
        <w:tc>
          <w:tcPr>
            <w:tcW w:w="848"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评价模型</w:t>
            </w:r>
          </w:p>
        </w:tc>
        <w:tc>
          <w:tcPr>
            <w:tcW w:w="1657" w:type="dxa"/>
            <w:vAlign w:val="center"/>
          </w:tcPr>
          <w:p>
            <w:pPr>
              <w:widowControl/>
              <w:jc w:val="center"/>
              <w:rPr>
                <w:color w:val="auto"/>
                <w:sz w:val="21"/>
                <w:szCs w:val="21"/>
                <w:highlight w:val="none"/>
              </w:rPr>
            </w:pPr>
            <w:r>
              <w:rPr>
                <w:rFonts w:hint="eastAsia"/>
                <w:color w:val="auto"/>
                <w:sz w:val="21"/>
                <w:szCs w:val="21"/>
                <w:highlight w:val="none"/>
              </w:rPr>
              <w:t>评价模型优化与自定义</w:t>
            </w:r>
          </w:p>
        </w:tc>
        <w:tc>
          <w:tcPr>
            <w:tcW w:w="7123" w:type="dxa"/>
            <w:vAlign w:val="center"/>
          </w:tcPr>
          <w:p>
            <w:pPr>
              <w:widowControl/>
              <w:jc w:val="left"/>
              <w:rPr>
                <w:color w:val="auto"/>
                <w:sz w:val="21"/>
                <w:szCs w:val="21"/>
                <w:highlight w:val="none"/>
                <w:lang w:eastAsia="zh-Hans"/>
              </w:rPr>
            </w:pPr>
            <w:r>
              <w:rPr>
                <w:rFonts w:hint="eastAsia"/>
                <w:color w:val="auto"/>
                <w:sz w:val="21"/>
                <w:szCs w:val="21"/>
                <w:highlight w:val="none"/>
              </w:rPr>
              <w:t>1、</w:t>
            </w:r>
            <w:r>
              <w:rPr>
                <w:rFonts w:hint="eastAsia"/>
                <w:color w:val="auto"/>
                <w:sz w:val="21"/>
                <w:szCs w:val="21"/>
                <w:highlight w:val="none"/>
                <w:lang w:eastAsia="zh-Hans"/>
              </w:rPr>
              <w:t>优化基于不同数据维度的评价模型，包括基于当年所有在读研究生成果的评价方式、基于当年所有毕业研究生在读期间取得成果的评价方式等。</w:t>
            </w:r>
          </w:p>
          <w:p>
            <w:pPr>
              <w:widowControl/>
              <w:jc w:val="left"/>
              <w:rPr>
                <w:color w:val="auto"/>
                <w:sz w:val="21"/>
                <w:szCs w:val="21"/>
                <w:highlight w:val="none"/>
              </w:rPr>
            </w:pPr>
            <w:r>
              <w:rPr>
                <w:rFonts w:hint="eastAsia"/>
                <w:color w:val="auto"/>
                <w:sz w:val="21"/>
                <w:szCs w:val="21"/>
                <w:highlight w:val="none"/>
              </w:rPr>
              <w:t>2、</w:t>
            </w:r>
            <w:r>
              <w:rPr>
                <w:rFonts w:hint="eastAsia"/>
                <w:color w:val="auto"/>
                <w:sz w:val="21"/>
                <w:szCs w:val="21"/>
                <w:highlight w:val="none"/>
                <w:lang w:eastAsia="zh-Hans"/>
              </w:rPr>
              <w:t>具备评价模型输入指标的增减、权重的的设置等功能</w:t>
            </w:r>
            <w:r>
              <w:rPr>
                <w:rFonts w:hint="eastAsia"/>
                <w:color w:val="auto"/>
                <w:sz w:val="21"/>
                <w:szCs w:val="21"/>
                <w:highlight w:val="none"/>
              </w:rPr>
              <w:t>。</w:t>
            </w:r>
          </w:p>
          <w:p>
            <w:pPr>
              <w:widowControl/>
              <w:jc w:val="left"/>
              <w:rPr>
                <w:color w:val="auto"/>
                <w:sz w:val="21"/>
                <w:szCs w:val="21"/>
                <w:highlight w:val="none"/>
              </w:rPr>
            </w:pPr>
            <w:r>
              <w:rPr>
                <w:rFonts w:hint="eastAsia"/>
                <w:color w:val="auto"/>
                <w:sz w:val="21"/>
                <w:szCs w:val="21"/>
                <w:highlight w:val="none"/>
              </w:rPr>
              <w:t>3、</w:t>
            </w:r>
            <w:r>
              <w:rPr>
                <w:rFonts w:hint="eastAsia"/>
                <w:color w:val="auto"/>
                <w:sz w:val="21"/>
                <w:szCs w:val="21"/>
                <w:highlight w:val="none"/>
                <w:lang w:eastAsia="zh-Hans"/>
              </w:rPr>
              <w:t>以导师指导的全校研究生为目标，按照各一级分类指标的分值占比和计分规则，具备导师个人和学院指导能力总体评价及各一级指标的分项评价能力</w:t>
            </w:r>
            <w:r>
              <w:rPr>
                <w:rFonts w:hint="eastAsia"/>
                <w:color w:val="auto"/>
                <w:sz w:val="21"/>
                <w:szCs w:val="21"/>
                <w:highlight w:val="none"/>
              </w:rPr>
              <w:t>。</w:t>
            </w:r>
          </w:p>
          <w:p>
            <w:pPr>
              <w:widowControl/>
              <w:jc w:val="left"/>
              <w:rPr>
                <w:color w:val="auto"/>
                <w:sz w:val="21"/>
                <w:szCs w:val="21"/>
                <w:highlight w:val="none"/>
                <w:lang w:eastAsia="zh-Hans"/>
              </w:rPr>
            </w:pPr>
            <w:r>
              <w:rPr>
                <w:rFonts w:hint="eastAsia"/>
                <w:color w:val="auto"/>
                <w:sz w:val="21"/>
                <w:szCs w:val="21"/>
                <w:highlight w:val="none"/>
                <w:lang w:eastAsia="zh-Hans"/>
              </w:rPr>
              <w:t>4</w:t>
            </w:r>
            <w:r>
              <w:rPr>
                <w:rFonts w:hint="eastAsia"/>
                <w:color w:val="auto"/>
                <w:sz w:val="21"/>
                <w:szCs w:val="21"/>
                <w:highlight w:val="none"/>
              </w:rPr>
              <w:t>、</w:t>
            </w:r>
            <w:r>
              <w:rPr>
                <w:rFonts w:hint="eastAsia"/>
                <w:color w:val="auto"/>
                <w:sz w:val="21"/>
                <w:szCs w:val="21"/>
                <w:highlight w:val="none"/>
                <w:lang w:eastAsia="zh-Hans"/>
              </w:rPr>
              <w:t>具备历年数据纵向分析功能，获得导师个人及学院指导能力的变化趋势。</w:t>
            </w:r>
          </w:p>
          <w:p>
            <w:pPr>
              <w:widowControl/>
              <w:jc w:val="left"/>
              <w:rPr>
                <w:color w:val="auto"/>
                <w:sz w:val="21"/>
                <w:szCs w:val="21"/>
                <w:highlight w:val="none"/>
              </w:rPr>
            </w:pPr>
            <w:r>
              <w:rPr>
                <w:rFonts w:hint="eastAsia"/>
                <w:color w:val="auto"/>
                <w:sz w:val="21"/>
                <w:szCs w:val="21"/>
                <w:highlight w:val="none"/>
                <w:lang w:eastAsia="zh-Hans"/>
              </w:rPr>
              <w:t>5</w:t>
            </w:r>
            <w:r>
              <w:rPr>
                <w:rFonts w:hint="eastAsia"/>
                <w:color w:val="auto"/>
                <w:sz w:val="21"/>
                <w:szCs w:val="21"/>
                <w:highlight w:val="none"/>
              </w:rPr>
              <w:t>、</w:t>
            </w:r>
            <w:r>
              <w:rPr>
                <w:rFonts w:hint="eastAsia"/>
                <w:color w:val="auto"/>
                <w:sz w:val="21"/>
                <w:szCs w:val="21"/>
                <w:highlight w:val="none"/>
                <w:lang w:eastAsia="zh-Hans"/>
              </w:rPr>
              <w:t>具备评价结果的查询及导出功能。</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812" w:hRule="atLeast"/>
        </w:trPr>
        <w:tc>
          <w:tcPr>
            <w:tcW w:w="848"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可视化大屏</w:t>
            </w:r>
          </w:p>
        </w:tc>
        <w:tc>
          <w:tcPr>
            <w:tcW w:w="1657"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提供数据可视化大屏页面</w:t>
            </w:r>
          </w:p>
        </w:tc>
        <w:tc>
          <w:tcPr>
            <w:tcW w:w="7123" w:type="dxa"/>
            <w:vAlign w:val="center"/>
          </w:tcPr>
          <w:p>
            <w:pPr>
              <w:widowControl/>
              <w:tabs>
                <w:tab w:val="left" w:pos="312"/>
              </w:tabs>
              <w:jc w:val="left"/>
              <w:rPr>
                <w:color w:val="auto"/>
                <w:sz w:val="21"/>
                <w:szCs w:val="21"/>
                <w:highlight w:val="none"/>
                <w:lang w:eastAsia="zh-Hans"/>
              </w:rPr>
            </w:pPr>
            <w:r>
              <w:rPr>
                <w:rFonts w:hint="eastAsia"/>
                <w:color w:val="auto"/>
                <w:sz w:val="21"/>
                <w:szCs w:val="21"/>
                <w:highlight w:val="none"/>
                <w:lang w:eastAsia="zh-Hans"/>
              </w:rPr>
              <w:t>提供数据可视化大屏页面，展示评价结果。</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1500" w:hRule="atLeast"/>
        </w:trPr>
        <w:tc>
          <w:tcPr>
            <w:tcW w:w="848"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导学评价</w:t>
            </w:r>
          </w:p>
        </w:tc>
        <w:tc>
          <w:tcPr>
            <w:tcW w:w="1657"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导学评价体系的建设</w:t>
            </w:r>
          </w:p>
        </w:tc>
        <w:tc>
          <w:tcPr>
            <w:tcW w:w="7123" w:type="dxa"/>
            <w:vAlign w:val="center"/>
          </w:tcPr>
          <w:p>
            <w:pPr>
              <w:widowControl/>
              <w:tabs>
                <w:tab w:val="left" w:pos="312"/>
              </w:tabs>
              <w:jc w:val="left"/>
              <w:rPr>
                <w:color w:val="auto"/>
                <w:sz w:val="21"/>
                <w:szCs w:val="21"/>
                <w:highlight w:val="none"/>
              </w:rPr>
            </w:pPr>
            <w:r>
              <w:rPr>
                <w:rFonts w:hint="eastAsia"/>
                <w:color w:val="auto"/>
                <w:sz w:val="21"/>
                <w:szCs w:val="21"/>
                <w:highlight w:val="none"/>
              </w:rPr>
              <w:t>1、以导师指导的全校研究生为目标，按照各一级分类指标的分值占比和计分规则，具备导师个人指导能力总体评价及各一级指标的分项评价能力，并按分值进行排序。</w:t>
            </w:r>
          </w:p>
          <w:p>
            <w:pPr>
              <w:widowControl/>
              <w:tabs>
                <w:tab w:val="left" w:pos="312"/>
              </w:tabs>
              <w:jc w:val="left"/>
              <w:rPr>
                <w:color w:val="auto"/>
                <w:sz w:val="21"/>
                <w:szCs w:val="21"/>
                <w:highlight w:val="none"/>
                <w:lang w:eastAsia="zh-Hans"/>
              </w:rPr>
            </w:pPr>
            <w:r>
              <w:rPr>
                <w:rFonts w:hint="eastAsia"/>
                <w:color w:val="auto"/>
                <w:sz w:val="21"/>
                <w:szCs w:val="21"/>
                <w:highlight w:val="none"/>
              </w:rPr>
              <w:t>2、以导师所在学院为目标，按照各一级分类指标的分值占比和计分规则，具备各学院的导师指导能力总体评价及各一级指标的分项评价能力，并按分值进行排序。</w:t>
            </w:r>
          </w:p>
          <w:p>
            <w:pPr>
              <w:widowControl/>
              <w:tabs>
                <w:tab w:val="left" w:pos="312"/>
              </w:tabs>
              <w:jc w:val="left"/>
              <w:rPr>
                <w:color w:val="auto"/>
                <w:sz w:val="21"/>
                <w:szCs w:val="21"/>
                <w:highlight w:val="none"/>
                <w:lang w:eastAsia="zh-Hans"/>
              </w:rPr>
            </w:pPr>
            <w:r>
              <w:rPr>
                <w:rFonts w:hint="eastAsia"/>
                <w:color w:val="auto"/>
                <w:sz w:val="21"/>
                <w:szCs w:val="21"/>
                <w:highlight w:val="none"/>
              </w:rPr>
              <w:t>具体历年数据纵向分析能力，得出导师个人及学院指导能力变化曲线图。</w:t>
            </w:r>
          </w:p>
          <w:p>
            <w:pPr>
              <w:widowControl/>
              <w:tabs>
                <w:tab w:val="left" w:pos="312"/>
              </w:tabs>
              <w:jc w:val="left"/>
              <w:rPr>
                <w:color w:val="auto"/>
                <w:sz w:val="21"/>
                <w:szCs w:val="21"/>
                <w:highlight w:val="none"/>
                <w:lang w:eastAsia="zh-Hans"/>
              </w:rPr>
            </w:pPr>
            <w:r>
              <w:rPr>
                <w:rFonts w:hint="eastAsia"/>
                <w:color w:val="auto"/>
                <w:sz w:val="21"/>
                <w:szCs w:val="21"/>
                <w:highlight w:val="none"/>
              </w:rPr>
              <w:t>4、根据实际情况，对各一级分类指标的分值占比和计分规则进行调整。</w:t>
            </w:r>
          </w:p>
        </w:tc>
      </w:tr>
    </w:tbl>
    <w:p>
      <w:pPr>
        <w:spacing w:line="288" w:lineRule="auto"/>
        <w:ind w:firstLine="420" w:firstLineChars="200"/>
        <w:rPr>
          <w:color w:val="auto"/>
          <w:sz w:val="21"/>
          <w:szCs w:val="21"/>
          <w:highlight w:val="none"/>
        </w:rPr>
      </w:pPr>
    </w:p>
    <w:p>
      <w:pPr>
        <w:spacing w:line="288" w:lineRule="auto"/>
        <w:ind w:firstLine="420" w:firstLineChars="200"/>
        <w:rPr>
          <w:color w:val="auto"/>
          <w:sz w:val="21"/>
          <w:szCs w:val="21"/>
          <w:highlight w:val="none"/>
        </w:rPr>
      </w:pPr>
      <w:r>
        <w:rPr>
          <w:rFonts w:hint="eastAsia"/>
          <w:color w:val="auto"/>
          <w:sz w:val="21"/>
          <w:szCs w:val="21"/>
          <w:highlight w:val="none"/>
        </w:rPr>
        <w:t>（4）</w:t>
      </w:r>
      <w:r>
        <w:rPr>
          <w:rFonts w:hint="eastAsia"/>
          <w:color w:val="auto"/>
          <w:sz w:val="21"/>
          <w:szCs w:val="21"/>
          <w:highlight w:val="none"/>
          <w:lang w:eastAsia="zh-Hans"/>
        </w:rPr>
        <w:t>科研安系统</w:t>
      </w:r>
      <w:r>
        <w:rPr>
          <w:rFonts w:hint="eastAsia"/>
          <w:color w:val="auto"/>
          <w:sz w:val="21"/>
          <w:szCs w:val="21"/>
          <w:highlight w:val="none"/>
        </w:rPr>
        <w:t>：</w:t>
      </w:r>
    </w:p>
    <w:tbl>
      <w:tblPr>
        <w:tblStyle w:val="11"/>
        <w:tblW w:w="9628" w:type="dxa"/>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
      <w:tblGrid>
        <w:gridCol w:w="983"/>
        <w:gridCol w:w="1231"/>
        <w:gridCol w:w="7414"/>
      </w:tblGrid>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480" w:hRule="atLeast"/>
        </w:trPr>
        <w:tc>
          <w:tcPr>
            <w:tcW w:w="983" w:type="dxa"/>
            <w:shd w:val="clear" w:color="auto" w:fill="auto"/>
            <w:vAlign w:val="center"/>
          </w:tcPr>
          <w:p>
            <w:pPr>
              <w:widowControl/>
              <w:jc w:val="center"/>
              <w:rPr>
                <w:b/>
                <w:bCs/>
                <w:color w:val="auto"/>
                <w:sz w:val="21"/>
                <w:szCs w:val="21"/>
                <w:highlight w:val="none"/>
              </w:rPr>
            </w:pPr>
            <w:r>
              <w:rPr>
                <w:rFonts w:hint="eastAsia"/>
                <w:b/>
                <w:bCs/>
                <w:color w:val="auto"/>
                <w:sz w:val="21"/>
                <w:szCs w:val="21"/>
                <w:highlight w:val="none"/>
              </w:rPr>
              <w:t>分类</w:t>
            </w:r>
          </w:p>
        </w:tc>
        <w:tc>
          <w:tcPr>
            <w:tcW w:w="1231" w:type="dxa"/>
            <w:shd w:val="clear" w:color="auto" w:fill="auto"/>
            <w:vAlign w:val="center"/>
          </w:tcPr>
          <w:p>
            <w:pPr>
              <w:widowControl/>
              <w:jc w:val="center"/>
              <w:rPr>
                <w:b/>
                <w:bCs/>
                <w:color w:val="auto"/>
                <w:sz w:val="21"/>
                <w:szCs w:val="21"/>
                <w:highlight w:val="none"/>
                <w:lang w:eastAsia="zh-Hans"/>
              </w:rPr>
            </w:pPr>
            <w:r>
              <w:rPr>
                <w:rFonts w:hint="eastAsia"/>
                <w:b/>
                <w:bCs/>
                <w:color w:val="auto"/>
                <w:sz w:val="21"/>
                <w:szCs w:val="21"/>
                <w:highlight w:val="none"/>
                <w:lang w:eastAsia="zh-Hans"/>
              </w:rPr>
              <w:t>功能项</w:t>
            </w:r>
          </w:p>
        </w:tc>
        <w:tc>
          <w:tcPr>
            <w:tcW w:w="7414" w:type="dxa"/>
            <w:shd w:val="clear" w:color="auto" w:fill="auto"/>
            <w:vAlign w:val="center"/>
          </w:tcPr>
          <w:p>
            <w:pPr>
              <w:widowControl/>
              <w:jc w:val="center"/>
              <w:rPr>
                <w:b/>
                <w:bCs/>
                <w:color w:val="auto"/>
                <w:sz w:val="21"/>
                <w:szCs w:val="21"/>
                <w:highlight w:val="none"/>
                <w:lang w:eastAsia="zh-Hans"/>
              </w:rPr>
            </w:pPr>
            <w:r>
              <w:rPr>
                <w:rFonts w:hint="eastAsia"/>
                <w:b/>
                <w:bCs/>
                <w:color w:val="auto"/>
                <w:sz w:val="21"/>
                <w:szCs w:val="21"/>
                <w:highlight w:val="none"/>
                <w:lang w:eastAsia="zh-Hans"/>
              </w:rPr>
              <w:t>功能要求</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1200" w:hRule="atLeast"/>
        </w:trPr>
        <w:tc>
          <w:tcPr>
            <w:tcW w:w="983"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标准数据库</w:t>
            </w:r>
          </w:p>
        </w:tc>
        <w:tc>
          <w:tcPr>
            <w:tcW w:w="1231"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建设标准数据库</w:t>
            </w:r>
          </w:p>
        </w:tc>
        <w:tc>
          <w:tcPr>
            <w:tcW w:w="7414" w:type="dxa"/>
            <w:vAlign w:val="center"/>
          </w:tcPr>
          <w:p>
            <w:pPr>
              <w:rPr>
                <w:color w:val="auto"/>
                <w:sz w:val="21"/>
                <w:szCs w:val="21"/>
                <w:highlight w:val="none"/>
              </w:rPr>
            </w:pPr>
            <w:r>
              <w:rPr>
                <w:rFonts w:hint="eastAsia"/>
                <w:color w:val="auto"/>
                <w:sz w:val="21"/>
                <w:szCs w:val="21"/>
                <w:highlight w:val="none"/>
                <w:lang w:eastAsia="zh-Hans"/>
              </w:rPr>
              <w:t>通过数据治理的方式建设科研安底层依赖的标准数据库，eg: 科研系统、财务系统、采购系统等。</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1500" w:hRule="atLeast"/>
        </w:trPr>
        <w:tc>
          <w:tcPr>
            <w:tcW w:w="983"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预警模型</w:t>
            </w:r>
          </w:p>
        </w:tc>
        <w:tc>
          <w:tcPr>
            <w:tcW w:w="1231"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预警模型优化</w:t>
            </w:r>
          </w:p>
        </w:tc>
        <w:tc>
          <w:tcPr>
            <w:tcW w:w="7414" w:type="dxa"/>
            <w:vAlign w:val="center"/>
          </w:tcPr>
          <w:p>
            <w:pPr>
              <w:widowControl/>
              <w:jc w:val="left"/>
              <w:rPr>
                <w:color w:val="auto"/>
                <w:sz w:val="21"/>
                <w:szCs w:val="21"/>
                <w:highlight w:val="none"/>
                <w:lang w:eastAsia="zh-Hans"/>
              </w:rPr>
            </w:pPr>
            <w:r>
              <w:rPr>
                <w:rFonts w:hint="eastAsia"/>
                <w:color w:val="auto"/>
                <w:sz w:val="21"/>
                <w:szCs w:val="21"/>
                <w:highlight w:val="none"/>
              </w:rPr>
              <w:t>1、</w:t>
            </w:r>
            <w:r>
              <w:rPr>
                <w:rFonts w:hint="eastAsia"/>
                <w:color w:val="auto"/>
                <w:sz w:val="21"/>
                <w:szCs w:val="21"/>
                <w:highlight w:val="none"/>
                <w:lang w:eastAsia="zh-Hans"/>
              </w:rPr>
              <w:t>优化1.0版本预警模型，增加、修改预警模型。</w:t>
            </w:r>
          </w:p>
          <w:p>
            <w:pPr>
              <w:rPr>
                <w:color w:val="auto"/>
                <w:sz w:val="21"/>
                <w:szCs w:val="21"/>
                <w:highlight w:val="none"/>
                <w:lang w:eastAsia="zh-Hans"/>
              </w:rPr>
            </w:pPr>
            <w:r>
              <w:rPr>
                <w:rFonts w:hint="eastAsia"/>
                <w:color w:val="auto"/>
                <w:sz w:val="21"/>
                <w:szCs w:val="21"/>
                <w:highlight w:val="none"/>
              </w:rPr>
              <w:t>2、</w:t>
            </w:r>
            <w:r>
              <w:rPr>
                <w:rFonts w:hint="eastAsia"/>
                <w:color w:val="auto"/>
                <w:sz w:val="21"/>
                <w:szCs w:val="21"/>
                <w:highlight w:val="none"/>
                <w:lang w:eastAsia="zh-Hans"/>
              </w:rPr>
              <w:t>提高精准度，以案建模。</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1500" w:hRule="atLeast"/>
        </w:trPr>
        <w:tc>
          <w:tcPr>
            <w:tcW w:w="983"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平台功能</w:t>
            </w:r>
          </w:p>
        </w:tc>
        <w:tc>
          <w:tcPr>
            <w:tcW w:w="1231"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平台功能完善</w:t>
            </w:r>
          </w:p>
        </w:tc>
        <w:tc>
          <w:tcPr>
            <w:tcW w:w="7414" w:type="dxa"/>
            <w:vAlign w:val="center"/>
          </w:tcPr>
          <w:p>
            <w:pPr>
              <w:widowControl/>
              <w:jc w:val="left"/>
              <w:rPr>
                <w:color w:val="auto"/>
                <w:sz w:val="21"/>
                <w:szCs w:val="21"/>
                <w:highlight w:val="none"/>
                <w:lang w:eastAsia="zh-Hans"/>
              </w:rPr>
            </w:pPr>
            <w:r>
              <w:rPr>
                <w:rFonts w:hint="eastAsia"/>
                <w:color w:val="auto"/>
                <w:sz w:val="21"/>
                <w:szCs w:val="21"/>
                <w:highlight w:val="none"/>
                <w:lang w:eastAsia="zh-Hans"/>
              </w:rPr>
              <w:t>1</w:t>
            </w:r>
            <w:r>
              <w:rPr>
                <w:rFonts w:hint="eastAsia"/>
                <w:color w:val="auto"/>
                <w:sz w:val="21"/>
                <w:szCs w:val="21"/>
                <w:highlight w:val="none"/>
              </w:rPr>
              <w:t>、</w:t>
            </w:r>
            <w:r>
              <w:rPr>
                <w:rFonts w:hint="eastAsia"/>
                <w:color w:val="auto"/>
                <w:sz w:val="21"/>
                <w:szCs w:val="21"/>
                <w:highlight w:val="none"/>
                <w:lang w:eastAsia="zh-Hans"/>
              </w:rPr>
              <w:t>数据的导出功能。按照上报信息要求自动实现按标准导出的功能，包括业务数据的导出、预警信息的导出、处置信息的导出。</w:t>
            </w:r>
          </w:p>
          <w:p>
            <w:pPr>
              <w:widowControl/>
              <w:jc w:val="left"/>
              <w:rPr>
                <w:color w:val="auto"/>
                <w:sz w:val="21"/>
                <w:szCs w:val="21"/>
                <w:highlight w:val="none"/>
                <w:lang w:eastAsia="zh-Hans"/>
              </w:rPr>
            </w:pPr>
            <w:r>
              <w:rPr>
                <w:rFonts w:hint="eastAsia"/>
                <w:color w:val="auto"/>
                <w:sz w:val="21"/>
                <w:szCs w:val="21"/>
                <w:highlight w:val="none"/>
                <w:lang w:eastAsia="zh-Hans"/>
              </w:rPr>
              <w:t>2</w:t>
            </w:r>
            <w:r>
              <w:rPr>
                <w:rFonts w:hint="eastAsia"/>
                <w:color w:val="auto"/>
                <w:sz w:val="21"/>
                <w:szCs w:val="21"/>
                <w:highlight w:val="none"/>
              </w:rPr>
              <w:t>、</w:t>
            </w:r>
            <w:r>
              <w:rPr>
                <w:rFonts w:hint="eastAsia"/>
                <w:color w:val="auto"/>
                <w:sz w:val="21"/>
                <w:szCs w:val="21"/>
                <w:highlight w:val="none"/>
                <w:lang w:eastAsia="zh-Hans"/>
              </w:rPr>
              <w:t>预警信息的处置的修订功能。</w:t>
            </w:r>
          </w:p>
          <w:p>
            <w:pPr>
              <w:widowControl/>
              <w:jc w:val="left"/>
              <w:rPr>
                <w:color w:val="auto"/>
                <w:sz w:val="21"/>
                <w:szCs w:val="21"/>
                <w:highlight w:val="none"/>
                <w:lang w:eastAsia="zh-Hans"/>
              </w:rPr>
            </w:pPr>
            <w:r>
              <w:rPr>
                <w:rFonts w:hint="eastAsia"/>
                <w:color w:val="auto"/>
                <w:sz w:val="21"/>
                <w:szCs w:val="21"/>
                <w:highlight w:val="none"/>
                <w:lang w:eastAsia="zh-Hans"/>
              </w:rPr>
              <w:t>3</w:t>
            </w:r>
            <w:r>
              <w:rPr>
                <w:rFonts w:hint="eastAsia"/>
                <w:color w:val="auto"/>
                <w:sz w:val="21"/>
                <w:szCs w:val="21"/>
                <w:highlight w:val="none"/>
              </w:rPr>
              <w:t>、</w:t>
            </w:r>
            <w:r>
              <w:rPr>
                <w:rFonts w:hint="eastAsia"/>
                <w:color w:val="auto"/>
                <w:sz w:val="21"/>
                <w:szCs w:val="21"/>
                <w:highlight w:val="none"/>
                <w:lang w:eastAsia="zh-Hans"/>
              </w:rPr>
              <w:t>预警信息、预警信息处置的历史数据查询及导出。</w:t>
            </w:r>
          </w:p>
          <w:p>
            <w:pPr>
              <w:widowControl/>
              <w:jc w:val="left"/>
              <w:rPr>
                <w:color w:val="auto"/>
                <w:sz w:val="21"/>
                <w:szCs w:val="21"/>
                <w:highlight w:val="none"/>
                <w:lang w:eastAsia="zh-Hans"/>
              </w:rPr>
            </w:pPr>
            <w:r>
              <w:rPr>
                <w:rFonts w:hint="eastAsia"/>
                <w:color w:val="auto"/>
                <w:sz w:val="21"/>
                <w:szCs w:val="21"/>
                <w:highlight w:val="none"/>
                <w:lang w:eastAsia="zh-Hans"/>
              </w:rPr>
              <w:t>4</w:t>
            </w:r>
            <w:r>
              <w:rPr>
                <w:rFonts w:hint="eastAsia"/>
                <w:color w:val="auto"/>
                <w:sz w:val="21"/>
                <w:szCs w:val="21"/>
                <w:highlight w:val="none"/>
              </w:rPr>
              <w:t>、</w:t>
            </w:r>
            <w:r>
              <w:rPr>
                <w:rFonts w:hint="eastAsia"/>
                <w:color w:val="auto"/>
                <w:sz w:val="21"/>
                <w:szCs w:val="21"/>
                <w:highlight w:val="none"/>
                <w:lang w:eastAsia="zh-Hans"/>
              </w:rPr>
              <w:t>项目基本情况的年度分类统计数的展示。</w:t>
            </w:r>
          </w:p>
        </w:tc>
      </w:tr>
    </w:tbl>
    <w:p>
      <w:pPr>
        <w:spacing w:line="288" w:lineRule="auto"/>
        <w:ind w:firstLine="420" w:firstLineChars="200"/>
        <w:rPr>
          <w:color w:val="auto"/>
          <w:sz w:val="21"/>
          <w:szCs w:val="21"/>
          <w:highlight w:val="none"/>
        </w:rPr>
      </w:pPr>
      <w:r>
        <w:rPr>
          <w:rFonts w:hint="eastAsia"/>
          <w:color w:val="auto"/>
          <w:sz w:val="21"/>
          <w:szCs w:val="21"/>
          <w:highlight w:val="none"/>
        </w:rPr>
        <w:t>（5）</w:t>
      </w:r>
      <w:r>
        <w:rPr>
          <w:rFonts w:hint="eastAsia"/>
          <w:color w:val="auto"/>
          <w:sz w:val="21"/>
          <w:szCs w:val="21"/>
          <w:highlight w:val="none"/>
          <w:lang w:eastAsia="zh-Hans"/>
        </w:rPr>
        <w:t>科研驾驶舱</w:t>
      </w:r>
      <w:r>
        <w:rPr>
          <w:rFonts w:hint="eastAsia"/>
          <w:color w:val="auto"/>
          <w:sz w:val="21"/>
          <w:szCs w:val="21"/>
          <w:highlight w:val="none"/>
        </w:rPr>
        <w:t>：</w:t>
      </w:r>
    </w:p>
    <w:tbl>
      <w:tblPr>
        <w:tblStyle w:val="11"/>
        <w:tblW w:w="9628" w:type="dxa"/>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
      <w:tblGrid>
        <w:gridCol w:w="1278"/>
        <w:gridCol w:w="2067"/>
        <w:gridCol w:w="6283"/>
      </w:tblGrid>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480" w:hRule="atLeast"/>
        </w:trPr>
        <w:tc>
          <w:tcPr>
            <w:tcW w:w="1278" w:type="dxa"/>
            <w:shd w:val="clear" w:color="auto" w:fill="auto"/>
            <w:vAlign w:val="center"/>
          </w:tcPr>
          <w:p>
            <w:pPr>
              <w:widowControl/>
              <w:jc w:val="center"/>
              <w:rPr>
                <w:b/>
                <w:bCs/>
                <w:color w:val="auto"/>
                <w:sz w:val="21"/>
                <w:szCs w:val="21"/>
                <w:highlight w:val="none"/>
              </w:rPr>
            </w:pPr>
            <w:r>
              <w:rPr>
                <w:rFonts w:hint="eastAsia"/>
                <w:b/>
                <w:bCs/>
                <w:color w:val="auto"/>
                <w:sz w:val="21"/>
                <w:szCs w:val="21"/>
                <w:highlight w:val="none"/>
              </w:rPr>
              <w:t>分类</w:t>
            </w:r>
          </w:p>
        </w:tc>
        <w:tc>
          <w:tcPr>
            <w:tcW w:w="2067" w:type="dxa"/>
            <w:shd w:val="clear" w:color="auto" w:fill="auto"/>
            <w:vAlign w:val="center"/>
          </w:tcPr>
          <w:p>
            <w:pPr>
              <w:widowControl/>
              <w:jc w:val="center"/>
              <w:rPr>
                <w:b/>
                <w:bCs/>
                <w:color w:val="auto"/>
                <w:sz w:val="21"/>
                <w:szCs w:val="21"/>
                <w:highlight w:val="none"/>
                <w:lang w:eastAsia="zh-Hans"/>
              </w:rPr>
            </w:pPr>
            <w:r>
              <w:rPr>
                <w:rFonts w:hint="eastAsia"/>
                <w:b/>
                <w:bCs/>
                <w:color w:val="auto"/>
                <w:sz w:val="21"/>
                <w:szCs w:val="21"/>
                <w:highlight w:val="none"/>
                <w:lang w:eastAsia="zh-Hans"/>
              </w:rPr>
              <w:t>功能项</w:t>
            </w:r>
          </w:p>
        </w:tc>
        <w:tc>
          <w:tcPr>
            <w:tcW w:w="6283" w:type="dxa"/>
            <w:shd w:val="clear" w:color="auto" w:fill="auto"/>
            <w:vAlign w:val="center"/>
          </w:tcPr>
          <w:p>
            <w:pPr>
              <w:widowControl/>
              <w:jc w:val="center"/>
              <w:rPr>
                <w:b/>
                <w:bCs/>
                <w:color w:val="auto"/>
                <w:sz w:val="21"/>
                <w:szCs w:val="21"/>
                <w:highlight w:val="none"/>
                <w:lang w:eastAsia="zh-Hans"/>
              </w:rPr>
            </w:pPr>
            <w:r>
              <w:rPr>
                <w:rFonts w:hint="eastAsia"/>
                <w:b/>
                <w:bCs/>
                <w:color w:val="auto"/>
                <w:sz w:val="21"/>
                <w:szCs w:val="21"/>
                <w:highlight w:val="none"/>
                <w:lang w:eastAsia="zh-Hans"/>
              </w:rPr>
              <w:t>功能要求</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1200" w:hRule="atLeast"/>
        </w:trPr>
        <w:tc>
          <w:tcPr>
            <w:tcW w:w="1278"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标准数据库</w:t>
            </w:r>
          </w:p>
        </w:tc>
        <w:tc>
          <w:tcPr>
            <w:tcW w:w="2067"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建设标准数据库</w:t>
            </w:r>
          </w:p>
        </w:tc>
        <w:tc>
          <w:tcPr>
            <w:tcW w:w="6283" w:type="dxa"/>
            <w:vAlign w:val="center"/>
          </w:tcPr>
          <w:p>
            <w:pPr>
              <w:rPr>
                <w:color w:val="auto"/>
                <w:sz w:val="21"/>
                <w:szCs w:val="21"/>
                <w:highlight w:val="none"/>
              </w:rPr>
            </w:pPr>
            <w:r>
              <w:rPr>
                <w:rFonts w:hint="eastAsia"/>
                <w:color w:val="auto"/>
                <w:sz w:val="21"/>
                <w:szCs w:val="21"/>
                <w:highlight w:val="none"/>
                <w:lang w:eastAsia="zh-Hans"/>
              </w:rPr>
              <w:t>通过数据治理的方式建设科研主题库。</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1500" w:hRule="atLeast"/>
        </w:trPr>
        <w:tc>
          <w:tcPr>
            <w:tcW w:w="1278"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科研指标体系</w:t>
            </w:r>
          </w:p>
        </w:tc>
        <w:tc>
          <w:tcPr>
            <w:tcW w:w="2067"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建设科研指标体系</w:t>
            </w:r>
          </w:p>
        </w:tc>
        <w:tc>
          <w:tcPr>
            <w:tcW w:w="6283" w:type="dxa"/>
            <w:vAlign w:val="center"/>
          </w:tcPr>
          <w:p>
            <w:pPr>
              <w:rPr>
                <w:color w:val="auto"/>
                <w:sz w:val="21"/>
                <w:szCs w:val="21"/>
                <w:highlight w:val="none"/>
                <w:lang w:eastAsia="zh-Hans"/>
              </w:rPr>
            </w:pPr>
            <w:r>
              <w:rPr>
                <w:rFonts w:hint="eastAsia"/>
                <w:color w:val="auto"/>
                <w:sz w:val="21"/>
                <w:szCs w:val="21"/>
                <w:highlight w:val="none"/>
              </w:rPr>
              <w:t>1、</w:t>
            </w:r>
            <w:r>
              <w:rPr>
                <w:rFonts w:hint="eastAsia"/>
                <w:color w:val="auto"/>
                <w:sz w:val="21"/>
                <w:szCs w:val="21"/>
                <w:highlight w:val="none"/>
                <w:lang w:eastAsia="zh-Hans"/>
              </w:rPr>
              <w:t>基于科研主题库，建设科研指标体系。</w:t>
            </w:r>
          </w:p>
          <w:p>
            <w:pPr>
              <w:rPr>
                <w:color w:val="auto"/>
                <w:sz w:val="21"/>
                <w:szCs w:val="21"/>
                <w:highlight w:val="none"/>
                <w:lang w:eastAsia="zh-Hans"/>
              </w:rPr>
            </w:pPr>
            <w:r>
              <w:rPr>
                <w:rFonts w:hint="eastAsia"/>
                <w:color w:val="auto"/>
                <w:sz w:val="21"/>
                <w:szCs w:val="21"/>
                <w:highlight w:val="none"/>
              </w:rPr>
              <w:t>2、</w:t>
            </w:r>
            <w:r>
              <w:rPr>
                <w:rFonts w:hint="eastAsia"/>
                <w:color w:val="auto"/>
                <w:sz w:val="21"/>
                <w:szCs w:val="21"/>
                <w:highlight w:val="none"/>
                <w:lang w:eastAsia="zh-Hans"/>
              </w:rPr>
              <w:t>协助确定科研指标项。</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1500" w:hRule="atLeast"/>
        </w:trPr>
        <w:tc>
          <w:tcPr>
            <w:tcW w:w="1278"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可视化大屏</w:t>
            </w:r>
          </w:p>
        </w:tc>
        <w:tc>
          <w:tcPr>
            <w:tcW w:w="2067"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提供数据可视化大屏页面</w:t>
            </w:r>
          </w:p>
        </w:tc>
        <w:tc>
          <w:tcPr>
            <w:tcW w:w="6283" w:type="dxa"/>
            <w:vAlign w:val="center"/>
          </w:tcPr>
          <w:p>
            <w:pPr>
              <w:widowControl/>
              <w:jc w:val="left"/>
              <w:rPr>
                <w:color w:val="auto"/>
                <w:sz w:val="21"/>
                <w:szCs w:val="21"/>
                <w:highlight w:val="none"/>
                <w:lang w:eastAsia="zh-Hans"/>
              </w:rPr>
            </w:pPr>
            <w:r>
              <w:rPr>
                <w:rFonts w:hint="eastAsia"/>
                <w:color w:val="auto"/>
                <w:sz w:val="21"/>
                <w:szCs w:val="21"/>
                <w:highlight w:val="none"/>
                <w:lang w:eastAsia="zh-Hans"/>
              </w:rPr>
              <w:t>提供数据可视化大屏页面将指标结果展示出来。展示模块为科研项目、科研成果、科研经费、科研指标、科研专著、科研奖励</w:t>
            </w:r>
          </w:p>
        </w:tc>
      </w:tr>
    </w:tbl>
    <w:p>
      <w:pPr>
        <w:spacing w:line="288" w:lineRule="auto"/>
        <w:ind w:firstLine="420" w:firstLineChars="200"/>
        <w:rPr>
          <w:color w:val="auto"/>
          <w:sz w:val="21"/>
          <w:szCs w:val="21"/>
          <w:highlight w:val="none"/>
        </w:rPr>
      </w:pPr>
    </w:p>
    <w:p>
      <w:pPr>
        <w:spacing w:line="288" w:lineRule="auto"/>
        <w:ind w:firstLine="420" w:firstLineChars="200"/>
        <w:rPr>
          <w:color w:val="auto"/>
          <w:sz w:val="21"/>
          <w:szCs w:val="21"/>
          <w:highlight w:val="none"/>
        </w:rPr>
      </w:pPr>
      <w:r>
        <w:rPr>
          <w:rFonts w:hint="eastAsia"/>
          <w:color w:val="auto"/>
          <w:sz w:val="21"/>
          <w:szCs w:val="21"/>
          <w:highlight w:val="none"/>
        </w:rPr>
        <w:t>（6）</w:t>
      </w:r>
      <w:r>
        <w:rPr>
          <w:rFonts w:hint="eastAsia"/>
          <w:color w:val="auto"/>
          <w:sz w:val="21"/>
          <w:szCs w:val="21"/>
          <w:highlight w:val="none"/>
          <w:lang w:eastAsia="zh-Hans"/>
        </w:rPr>
        <w:t>人事驾驶舱</w:t>
      </w:r>
      <w:r>
        <w:rPr>
          <w:rFonts w:hint="eastAsia"/>
          <w:color w:val="auto"/>
          <w:sz w:val="21"/>
          <w:szCs w:val="21"/>
          <w:highlight w:val="none"/>
        </w:rPr>
        <w:t>：</w:t>
      </w:r>
    </w:p>
    <w:tbl>
      <w:tblPr>
        <w:tblStyle w:val="11"/>
        <w:tblW w:w="9628" w:type="dxa"/>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
      <w:tblGrid>
        <w:gridCol w:w="945"/>
        <w:gridCol w:w="1402"/>
        <w:gridCol w:w="7281"/>
      </w:tblGrid>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480" w:hRule="atLeast"/>
        </w:trPr>
        <w:tc>
          <w:tcPr>
            <w:tcW w:w="945" w:type="dxa"/>
            <w:shd w:val="clear" w:color="auto" w:fill="auto"/>
            <w:vAlign w:val="center"/>
          </w:tcPr>
          <w:p>
            <w:pPr>
              <w:widowControl/>
              <w:jc w:val="center"/>
              <w:rPr>
                <w:b/>
                <w:bCs/>
                <w:color w:val="auto"/>
                <w:sz w:val="21"/>
                <w:szCs w:val="21"/>
                <w:highlight w:val="none"/>
              </w:rPr>
            </w:pPr>
            <w:r>
              <w:rPr>
                <w:rFonts w:hint="eastAsia"/>
                <w:b/>
                <w:bCs/>
                <w:color w:val="auto"/>
                <w:sz w:val="21"/>
                <w:szCs w:val="21"/>
                <w:highlight w:val="none"/>
              </w:rPr>
              <w:t>分类</w:t>
            </w:r>
          </w:p>
        </w:tc>
        <w:tc>
          <w:tcPr>
            <w:tcW w:w="1402" w:type="dxa"/>
            <w:shd w:val="clear" w:color="auto" w:fill="auto"/>
            <w:vAlign w:val="center"/>
          </w:tcPr>
          <w:p>
            <w:pPr>
              <w:widowControl/>
              <w:jc w:val="center"/>
              <w:rPr>
                <w:b/>
                <w:bCs/>
                <w:color w:val="auto"/>
                <w:sz w:val="21"/>
                <w:szCs w:val="21"/>
                <w:highlight w:val="none"/>
                <w:lang w:eastAsia="zh-Hans"/>
              </w:rPr>
            </w:pPr>
            <w:r>
              <w:rPr>
                <w:rFonts w:hint="eastAsia"/>
                <w:b/>
                <w:bCs/>
                <w:color w:val="auto"/>
                <w:sz w:val="21"/>
                <w:szCs w:val="21"/>
                <w:highlight w:val="none"/>
                <w:lang w:eastAsia="zh-Hans"/>
              </w:rPr>
              <w:t>功能项</w:t>
            </w:r>
          </w:p>
        </w:tc>
        <w:tc>
          <w:tcPr>
            <w:tcW w:w="7281" w:type="dxa"/>
            <w:shd w:val="clear" w:color="auto" w:fill="auto"/>
            <w:vAlign w:val="center"/>
          </w:tcPr>
          <w:p>
            <w:pPr>
              <w:widowControl/>
              <w:jc w:val="center"/>
              <w:rPr>
                <w:b/>
                <w:bCs/>
                <w:color w:val="auto"/>
                <w:sz w:val="21"/>
                <w:szCs w:val="21"/>
                <w:highlight w:val="none"/>
                <w:lang w:eastAsia="zh-Hans"/>
              </w:rPr>
            </w:pPr>
            <w:r>
              <w:rPr>
                <w:rFonts w:hint="eastAsia"/>
                <w:b/>
                <w:bCs/>
                <w:color w:val="auto"/>
                <w:sz w:val="21"/>
                <w:szCs w:val="21"/>
                <w:highlight w:val="none"/>
                <w:lang w:eastAsia="zh-Hans"/>
              </w:rPr>
              <w:t>功能要求</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1034" w:hRule="atLeast"/>
        </w:trPr>
        <w:tc>
          <w:tcPr>
            <w:tcW w:w="945"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标准数据库</w:t>
            </w:r>
          </w:p>
        </w:tc>
        <w:tc>
          <w:tcPr>
            <w:tcW w:w="1402"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建设标准数据库</w:t>
            </w:r>
          </w:p>
        </w:tc>
        <w:tc>
          <w:tcPr>
            <w:tcW w:w="7281" w:type="dxa"/>
            <w:vAlign w:val="center"/>
          </w:tcPr>
          <w:p>
            <w:pPr>
              <w:rPr>
                <w:color w:val="auto"/>
                <w:sz w:val="21"/>
                <w:szCs w:val="21"/>
                <w:highlight w:val="none"/>
              </w:rPr>
            </w:pPr>
            <w:r>
              <w:rPr>
                <w:rFonts w:hint="eastAsia"/>
                <w:color w:val="auto"/>
                <w:sz w:val="21"/>
                <w:szCs w:val="21"/>
                <w:highlight w:val="none"/>
                <w:lang w:eastAsia="zh-Hans"/>
              </w:rPr>
              <w:t>通过数据治理的方式建设人事主题库。</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1222" w:hRule="atLeast"/>
        </w:trPr>
        <w:tc>
          <w:tcPr>
            <w:tcW w:w="945"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人事指标体系</w:t>
            </w:r>
          </w:p>
        </w:tc>
        <w:tc>
          <w:tcPr>
            <w:tcW w:w="1402"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建设人事指标体系</w:t>
            </w:r>
          </w:p>
        </w:tc>
        <w:tc>
          <w:tcPr>
            <w:tcW w:w="7281" w:type="dxa"/>
            <w:vAlign w:val="center"/>
          </w:tcPr>
          <w:p>
            <w:pPr>
              <w:rPr>
                <w:color w:val="auto"/>
                <w:sz w:val="21"/>
                <w:szCs w:val="21"/>
                <w:highlight w:val="none"/>
                <w:lang w:eastAsia="zh-Hans"/>
              </w:rPr>
            </w:pPr>
            <w:r>
              <w:rPr>
                <w:rFonts w:hint="eastAsia"/>
                <w:color w:val="auto"/>
                <w:sz w:val="21"/>
                <w:szCs w:val="21"/>
                <w:highlight w:val="none"/>
              </w:rPr>
              <w:t>1、</w:t>
            </w:r>
            <w:r>
              <w:rPr>
                <w:rFonts w:hint="eastAsia"/>
                <w:color w:val="auto"/>
                <w:sz w:val="21"/>
                <w:szCs w:val="21"/>
                <w:highlight w:val="none"/>
                <w:lang w:eastAsia="zh-Hans"/>
              </w:rPr>
              <w:t>基于人事主题库，建设人事指标体系。</w:t>
            </w:r>
          </w:p>
          <w:p>
            <w:pPr>
              <w:rPr>
                <w:color w:val="auto"/>
                <w:sz w:val="21"/>
                <w:szCs w:val="21"/>
                <w:highlight w:val="none"/>
                <w:lang w:eastAsia="zh-Hans"/>
              </w:rPr>
            </w:pPr>
            <w:r>
              <w:rPr>
                <w:rFonts w:hint="eastAsia"/>
                <w:color w:val="auto"/>
                <w:sz w:val="21"/>
                <w:szCs w:val="21"/>
                <w:highlight w:val="none"/>
              </w:rPr>
              <w:t>2、</w:t>
            </w:r>
            <w:r>
              <w:rPr>
                <w:rFonts w:hint="eastAsia"/>
                <w:color w:val="auto"/>
                <w:sz w:val="21"/>
                <w:szCs w:val="21"/>
                <w:highlight w:val="none"/>
                <w:lang w:eastAsia="zh-Hans"/>
              </w:rPr>
              <w:t>协助确定人事指标项。</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1500" w:hRule="atLeast"/>
        </w:trPr>
        <w:tc>
          <w:tcPr>
            <w:tcW w:w="945"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可视化大屏</w:t>
            </w:r>
          </w:p>
        </w:tc>
        <w:tc>
          <w:tcPr>
            <w:tcW w:w="1402"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提供数据可视化大屏页面</w:t>
            </w:r>
          </w:p>
        </w:tc>
        <w:tc>
          <w:tcPr>
            <w:tcW w:w="7281" w:type="dxa"/>
            <w:vAlign w:val="center"/>
          </w:tcPr>
          <w:p>
            <w:pPr>
              <w:widowControl/>
              <w:jc w:val="left"/>
              <w:rPr>
                <w:color w:val="auto"/>
                <w:sz w:val="21"/>
                <w:szCs w:val="21"/>
                <w:highlight w:val="none"/>
              </w:rPr>
            </w:pPr>
            <w:r>
              <w:rPr>
                <w:rFonts w:hint="eastAsia"/>
                <w:color w:val="auto"/>
                <w:sz w:val="21"/>
                <w:szCs w:val="21"/>
                <w:highlight w:val="none"/>
                <w:lang w:eastAsia="zh-Hans"/>
              </w:rPr>
              <w:t>提供数据可视化大屏页面将指标结果展示出来。</w:t>
            </w:r>
            <w:r>
              <w:rPr>
                <w:rFonts w:hint="eastAsia"/>
                <w:color w:val="auto"/>
                <w:sz w:val="21"/>
                <w:szCs w:val="21"/>
                <w:highlight w:val="none"/>
              </w:rPr>
              <w:t>展示模块为教职工人数、教职工年龄、教职工学历分布、教职工职称分布、教职工职称变化、优秀教师推荐、人才引进。</w:t>
            </w:r>
          </w:p>
        </w:tc>
      </w:tr>
    </w:tbl>
    <w:p>
      <w:pPr>
        <w:spacing w:line="288" w:lineRule="auto"/>
        <w:ind w:firstLine="420" w:firstLineChars="200"/>
        <w:rPr>
          <w:color w:val="auto"/>
          <w:sz w:val="21"/>
          <w:szCs w:val="21"/>
          <w:highlight w:val="none"/>
        </w:rPr>
      </w:pPr>
    </w:p>
    <w:p>
      <w:pPr>
        <w:spacing w:line="288" w:lineRule="auto"/>
        <w:ind w:firstLine="420" w:firstLineChars="200"/>
        <w:rPr>
          <w:color w:val="auto"/>
          <w:sz w:val="21"/>
          <w:szCs w:val="21"/>
          <w:highlight w:val="none"/>
        </w:rPr>
      </w:pPr>
      <w:r>
        <w:rPr>
          <w:rFonts w:hint="eastAsia"/>
          <w:color w:val="auto"/>
          <w:sz w:val="21"/>
          <w:szCs w:val="21"/>
          <w:highlight w:val="none"/>
        </w:rPr>
        <w:t>（7）</w:t>
      </w:r>
      <w:r>
        <w:rPr>
          <w:rFonts w:hint="eastAsia"/>
          <w:color w:val="auto"/>
          <w:sz w:val="21"/>
          <w:szCs w:val="21"/>
          <w:highlight w:val="none"/>
          <w:lang w:eastAsia="zh-Hans"/>
        </w:rPr>
        <w:t>值班系统</w:t>
      </w:r>
      <w:r>
        <w:rPr>
          <w:rFonts w:hint="eastAsia"/>
          <w:color w:val="auto"/>
          <w:sz w:val="21"/>
          <w:szCs w:val="21"/>
          <w:highlight w:val="none"/>
        </w:rPr>
        <w:t>：</w:t>
      </w:r>
    </w:p>
    <w:tbl>
      <w:tblPr>
        <w:tblStyle w:val="11"/>
        <w:tblW w:w="9628" w:type="dxa"/>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
      <w:tblGrid>
        <w:gridCol w:w="1720"/>
        <w:gridCol w:w="2570"/>
        <w:gridCol w:w="5338"/>
      </w:tblGrid>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480" w:hRule="atLeast"/>
        </w:trPr>
        <w:tc>
          <w:tcPr>
            <w:tcW w:w="1720" w:type="dxa"/>
            <w:shd w:val="clear" w:color="auto" w:fill="auto"/>
            <w:vAlign w:val="center"/>
          </w:tcPr>
          <w:p>
            <w:pPr>
              <w:widowControl/>
              <w:jc w:val="center"/>
              <w:rPr>
                <w:b/>
                <w:bCs/>
                <w:color w:val="auto"/>
                <w:sz w:val="21"/>
                <w:szCs w:val="21"/>
                <w:highlight w:val="none"/>
              </w:rPr>
            </w:pPr>
            <w:r>
              <w:rPr>
                <w:rFonts w:hint="eastAsia"/>
                <w:b/>
                <w:bCs/>
                <w:color w:val="auto"/>
                <w:sz w:val="21"/>
                <w:szCs w:val="21"/>
                <w:highlight w:val="none"/>
              </w:rPr>
              <w:t>分类</w:t>
            </w:r>
          </w:p>
        </w:tc>
        <w:tc>
          <w:tcPr>
            <w:tcW w:w="2570" w:type="dxa"/>
            <w:shd w:val="clear" w:color="auto" w:fill="auto"/>
            <w:vAlign w:val="center"/>
          </w:tcPr>
          <w:p>
            <w:pPr>
              <w:widowControl/>
              <w:jc w:val="center"/>
              <w:rPr>
                <w:b/>
                <w:bCs/>
                <w:color w:val="auto"/>
                <w:sz w:val="21"/>
                <w:szCs w:val="21"/>
                <w:highlight w:val="none"/>
                <w:lang w:eastAsia="zh-Hans"/>
              </w:rPr>
            </w:pPr>
            <w:r>
              <w:rPr>
                <w:rFonts w:hint="eastAsia"/>
                <w:b/>
                <w:bCs/>
                <w:color w:val="auto"/>
                <w:sz w:val="21"/>
                <w:szCs w:val="21"/>
                <w:highlight w:val="none"/>
                <w:lang w:eastAsia="zh-Hans"/>
              </w:rPr>
              <w:t>功能项</w:t>
            </w:r>
          </w:p>
        </w:tc>
        <w:tc>
          <w:tcPr>
            <w:tcW w:w="5338" w:type="dxa"/>
            <w:shd w:val="clear" w:color="auto" w:fill="auto"/>
            <w:vAlign w:val="center"/>
          </w:tcPr>
          <w:p>
            <w:pPr>
              <w:widowControl/>
              <w:jc w:val="center"/>
              <w:rPr>
                <w:b/>
                <w:bCs/>
                <w:color w:val="auto"/>
                <w:sz w:val="21"/>
                <w:szCs w:val="21"/>
                <w:highlight w:val="none"/>
                <w:lang w:eastAsia="zh-Hans"/>
              </w:rPr>
            </w:pPr>
            <w:r>
              <w:rPr>
                <w:rFonts w:hint="eastAsia"/>
                <w:b/>
                <w:bCs/>
                <w:color w:val="auto"/>
                <w:sz w:val="21"/>
                <w:szCs w:val="21"/>
                <w:highlight w:val="none"/>
                <w:lang w:eastAsia="zh-Hans"/>
              </w:rPr>
              <w:t>功能要求</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714" w:hRule="atLeast"/>
        </w:trPr>
        <w:tc>
          <w:tcPr>
            <w:tcW w:w="1720"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自动值班管理</w:t>
            </w:r>
          </w:p>
        </w:tc>
        <w:tc>
          <w:tcPr>
            <w:tcW w:w="2570"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建设自动值班管理</w:t>
            </w:r>
          </w:p>
        </w:tc>
        <w:tc>
          <w:tcPr>
            <w:tcW w:w="5338" w:type="dxa"/>
            <w:vAlign w:val="center"/>
          </w:tcPr>
          <w:p>
            <w:pPr>
              <w:rPr>
                <w:color w:val="auto"/>
                <w:sz w:val="21"/>
                <w:szCs w:val="21"/>
                <w:highlight w:val="none"/>
              </w:rPr>
            </w:pPr>
            <w:r>
              <w:rPr>
                <w:rFonts w:hint="eastAsia"/>
                <w:color w:val="auto"/>
                <w:sz w:val="21"/>
                <w:szCs w:val="21"/>
                <w:highlight w:val="none"/>
                <w:lang w:eastAsia="zh-Hans"/>
              </w:rPr>
              <w:t>建设自动值班管理系统，辅助学校工作需要。</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699" w:hRule="atLeast"/>
        </w:trPr>
        <w:tc>
          <w:tcPr>
            <w:tcW w:w="1720"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排班换班</w:t>
            </w:r>
          </w:p>
        </w:tc>
        <w:tc>
          <w:tcPr>
            <w:tcW w:w="2570"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开发排班换班功能模块</w:t>
            </w:r>
          </w:p>
        </w:tc>
        <w:tc>
          <w:tcPr>
            <w:tcW w:w="5338" w:type="dxa"/>
            <w:vAlign w:val="center"/>
          </w:tcPr>
          <w:p>
            <w:pPr>
              <w:rPr>
                <w:color w:val="auto"/>
                <w:sz w:val="21"/>
                <w:szCs w:val="21"/>
                <w:highlight w:val="none"/>
                <w:lang w:eastAsia="zh-Hans"/>
              </w:rPr>
            </w:pPr>
            <w:r>
              <w:rPr>
                <w:rFonts w:hint="eastAsia"/>
                <w:color w:val="auto"/>
                <w:sz w:val="21"/>
                <w:szCs w:val="21"/>
                <w:highlight w:val="none"/>
              </w:rPr>
              <w:t>1、</w:t>
            </w:r>
            <w:r>
              <w:rPr>
                <w:rFonts w:hint="eastAsia"/>
                <w:color w:val="auto"/>
                <w:sz w:val="21"/>
                <w:szCs w:val="21"/>
                <w:highlight w:val="none"/>
                <w:lang w:eastAsia="zh-Hans"/>
              </w:rPr>
              <w:t>实现一键排班功能。</w:t>
            </w:r>
          </w:p>
          <w:p>
            <w:pPr>
              <w:rPr>
                <w:color w:val="auto"/>
                <w:sz w:val="21"/>
                <w:szCs w:val="21"/>
                <w:highlight w:val="none"/>
                <w:lang w:eastAsia="zh-Hans"/>
              </w:rPr>
            </w:pPr>
            <w:r>
              <w:rPr>
                <w:rFonts w:hint="eastAsia"/>
                <w:color w:val="auto"/>
                <w:sz w:val="21"/>
                <w:szCs w:val="21"/>
                <w:highlight w:val="none"/>
                <w:lang w:eastAsia="zh-Hans"/>
              </w:rPr>
              <w:t>2</w:t>
            </w:r>
            <w:r>
              <w:rPr>
                <w:rFonts w:hint="eastAsia"/>
                <w:color w:val="auto"/>
                <w:sz w:val="21"/>
                <w:szCs w:val="21"/>
                <w:highlight w:val="none"/>
              </w:rPr>
              <w:t>、</w:t>
            </w:r>
            <w:r>
              <w:rPr>
                <w:rFonts w:hint="eastAsia"/>
                <w:color w:val="auto"/>
                <w:sz w:val="21"/>
                <w:szCs w:val="21"/>
                <w:highlight w:val="none"/>
                <w:lang w:eastAsia="zh-Hans"/>
              </w:rPr>
              <w:t>实现自动换班调班功能。</w:t>
            </w:r>
          </w:p>
        </w:tc>
      </w:tr>
      <w:tr>
        <w:tblPrEx>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108" w:type="dxa"/>
            <w:bottom w:w="0" w:type="dxa"/>
            <w:right w:w="108" w:type="dxa"/>
          </w:tblCellMar>
        </w:tblPrEx>
        <w:trPr>
          <w:trHeight w:val="743" w:hRule="atLeast"/>
        </w:trPr>
        <w:tc>
          <w:tcPr>
            <w:tcW w:w="1720"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值班打卡</w:t>
            </w:r>
          </w:p>
        </w:tc>
        <w:tc>
          <w:tcPr>
            <w:tcW w:w="2570" w:type="dxa"/>
            <w:vAlign w:val="center"/>
          </w:tcPr>
          <w:p>
            <w:pPr>
              <w:widowControl/>
              <w:jc w:val="center"/>
              <w:rPr>
                <w:color w:val="auto"/>
                <w:sz w:val="21"/>
                <w:szCs w:val="21"/>
                <w:highlight w:val="none"/>
                <w:lang w:eastAsia="zh-Hans"/>
              </w:rPr>
            </w:pPr>
            <w:r>
              <w:rPr>
                <w:rFonts w:hint="eastAsia"/>
                <w:color w:val="auto"/>
                <w:sz w:val="21"/>
                <w:szCs w:val="21"/>
                <w:highlight w:val="none"/>
                <w:lang w:eastAsia="zh-Hans"/>
              </w:rPr>
              <w:t>开发值班打卡功能</w:t>
            </w:r>
          </w:p>
        </w:tc>
        <w:tc>
          <w:tcPr>
            <w:tcW w:w="5338" w:type="dxa"/>
            <w:vAlign w:val="center"/>
          </w:tcPr>
          <w:p>
            <w:pPr>
              <w:widowControl/>
              <w:jc w:val="left"/>
              <w:rPr>
                <w:color w:val="auto"/>
                <w:sz w:val="21"/>
                <w:szCs w:val="21"/>
                <w:highlight w:val="none"/>
                <w:lang w:eastAsia="zh-Hans"/>
              </w:rPr>
            </w:pPr>
            <w:r>
              <w:rPr>
                <w:rFonts w:hint="eastAsia"/>
                <w:color w:val="auto"/>
                <w:sz w:val="21"/>
                <w:szCs w:val="21"/>
                <w:highlight w:val="none"/>
                <w:lang w:eastAsia="zh-Hans"/>
              </w:rPr>
              <w:t>实现值班打卡，事件报备。</w:t>
            </w:r>
          </w:p>
        </w:tc>
      </w:tr>
    </w:tbl>
    <w:p>
      <w:pPr>
        <w:spacing w:line="288" w:lineRule="auto"/>
        <w:ind w:firstLine="404" w:firstLineChars="200"/>
        <w:rPr>
          <w:color w:val="auto"/>
          <w:spacing w:val="-4"/>
          <w:sz w:val="21"/>
          <w:szCs w:val="21"/>
          <w:highlight w:val="none"/>
          <w:lang w:eastAsia="zh-Hans"/>
        </w:rPr>
      </w:pPr>
    </w:p>
    <w:p>
      <w:pPr>
        <w:widowControl/>
        <w:tabs>
          <w:tab w:val="right" w:leader="dot" w:pos="8302"/>
        </w:tabs>
        <w:spacing w:line="288" w:lineRule="auto"/>
        <w:ind w:firstLine="420" w:firstLineChars="200"/>
        <w:jc w:val="left"/>
        <w:rPr>
          <w:color w:val="auto"/>
          <w:sz w:val="21"/>
          <w:szCs w:val="21"/>
          <w:highlight w:val="none"/>
        </w:rPr>
      </w:pPr>
      <w:r>
        <w:rPr>
          <w:rFonts w:hint="eastAsia"/>
          <w:color w:val="auto"/>
          <w:sz w:val="21"/>
          <w:szCs w:val="21"/>
          <w:highlight w:val="none"/>
        </w:rPr>
        <w:t>4.4 部署服务：</w:t>
      </w:r>
    </w:p>
    <w:p>
      <w:pPr>
        <w:spacing w:line="288" w:lineRule="auto"/>
        <w:ind w:firstLine="420" w:firstLineChars="200"/>
        <w:rPr>
          <w:color w:val="auto"/>
          <w:sz w:val="21"/>
          <w:szCs w:val="21"/>
          <w:highlight w:val="none"/>
          <w:lang w:eastAsia="zh-Hans"/>
        </w:rPr>
      </w:pPr>
      <w:r>
        <w:rPr>
          <w:rFonts w:hint="eastAsia"/>
          <w:color w:val="auto"/>
          <w:sz w:val="21"/>
          <w:szCs w:val="21"/>
          <w:highlight w:val="none"/>
          <w:lang w:eastAsia="zh-Hans"/>
        </w:rPr>
        <w:t>供应商需提供数据治理平台部署教师画像、驾驶舱等软件服务。服务涉及的硬件（数字化改革专用服务器2台）要求如下：</w:t>
      </w:r>
    </w:p>
    <w:p>
      <w:pPr>
        <w:widowControl/>
        <w:spacing w:line="288" w:lineRule="auto"/>
        <w:ind w:firstLine="420" w:firstLineChars="200"/>
        <w:jc w:val="left"/>
        <w:rPr>
          <w:color w:val="auto"/>
          <w:sz w:val="21"/>
          <w:szCs w:val="21"/>
          <w:highlight w:val="none"/>
          <w:lang w:eastAsia="zh-Hans"/>
        </w:rPr>
      </w:pPr>
      <w:r>
        <w:rPr>
          <w:rFonts w:hint="eastAsia"/>
          <w:color w:val="auto"/>
          <w:sz w:val="21"/>
          <w:szCs w:val="21"/>
          <w:highlight w:val="none"/>
          <w:lang w:eastAsia="zh-Hans"/>
        </w:rPr>
        <w:t>CPU</w:t>
      </w:r>
      <w:r>
        <w:rPr>
          <w:rFonts w:hint="eastAsia"/>
          <w:color w:val="auto"/>
          <w:sz w:val="21"/>
          <w:szCs w:val="21"/>
          <w:highlight w:val="none"/>
        </w:rPr>
        <w:t>：</w:t>
      </w:r>
      <w:r>
        <w:rPr>
          <w:rFonts w:hint="eastAsia"/>
          <w:color w:val="auto"/>
          <w:sz w:val="21"/>
          <w:szCs w:val="21"/>
          <w:highlight w:val="none"/>
          <w:lang w:eastAsia="zh-Hans"/>
        </w:rPr>
        <w:t>XEON 5318Y(2.1G ,24核）*2</w:t>
      </w:r>
      <w:r>
        <w:rPr>
          <w:color w:val="auto"/>
          <w:sz w:val="21"/>
          <w:szCs w:val="21"/>
          <w:highlight w:val="none"/>
          <w:lang w:eastAsia="zh-Hans"/>
        </w:rPr>
        <w:t>;</w:t>
      </w:r>
    </w:p>
    <w:p>
      <w:pPr>
        <w:widowControl/>
        <w:spacing w:line="288" w:lineRule="auto"/>
        <w:ind w:firstLine="420" w:firstLineChars="200"/>
        <w:jc w:val="left"/>
        <w:rPr>
          <w:color w:val="auto"/>
          <w:sz w:val="21"/>
          <w:szCs w:val="21"/>
          <w:highlight w:val="none"/>
          <w:lang w:eastAsia="zh-Hans"/>
        </w:rPr>
      </w:pPr>
      <w:r>
        <w:rPr>
          <w:rFonts w:hint="eastAsia"/>
          <w:color w:val="auto"/>
          <w:sz w:val="21"/>
          <w:szCs w:val="21"/>
          <w:highlight w:val="none"/>
          <w:lang w:eastAsia="zh-Hans"/>
        </w:rPr>
        <w:t>内存：512G DDR4 3200 32GB*16；</w:t>
      </w:r>
    </w:p>
    <w:p>
      <w:pPr>
        <w:widowControl/>
        <w:spacing w:line="288" w:lineRule="auto"/>
        <w:ind w:firstLine="420" w:firstLineChars="200"/>
        <w:jc w:val="left"/>
        <w:rPr>
          <w:color w:val="auto"/>
          <w:sz w:val="21"/>
          <w:szCs w:val="21"/>
          <w:highlight w:val="none"/>
          <w:lang w:eastAsia="zh-Hans"/>
        </w:rPr>
      </w:pPr>
      <w:r>
        <w:rPr>
          <w:rFonts w:hint="eastAsia"/>
          <w:color w:val="auto"/>
          <w:sz w:val="21"/>
          <w:szCs w:val="21"/>
          <w:highlight w:val="none"/>
          <w:lang w:eastAsia="zh-Hans"/>
        </w:rPr>
        <w:t>硬盘：1.2TB 2.5吋10K 12Gb SAS硬盘*4；</w:t>
      </w:r>
    </w:p>
    <w:p>
      <w:pPr>
        <w:widowControl/>
        <w:spacing w:line="288" w:lineRule="auto"/>
        <w:ind w:firstLine="420" w:firstLineChars="200"/>
        <w:jc w:val="left"/>
        <w:rPr>
          <w:color w:val="auto"/>
          <w:sz w:val="21"/>
          <w:szCs w:val="21"/>
          <w:highlight w:val="none"/>
          <w:lang w:eastAsia="zh-Hans"/>
        </w:rPr>
      </w:pPr>
      <w:r>
        <w:rPr>
          <w:rFonts w:hint="eastAsia"/>
          <w:color w:val="auto"/>
          <w:sz w:val="21"/>
          <w:szCs w:val="21"/>
          <w:highlight w:val="none"/>
          <w:lang w:eastAsia="zh-Hans"/>
        </w:rPr>
        <w:t>网卡：双口千兆RJ45网卡*2；</w:t>
      </w:r>
    </w:p>
    <w:p>
      <w:pPr>
        <w:widowControl/>
        <w:spacing w:line="288" w:lineRule="auto"/>
        <w:ind w:firstLine="420" w:firstLineChars="200"/>
        <w:jc w:val="left"/>
        <w:rPr>
          <w:color w:val="auto"/>
          <w:sz w:val="21"/>
          <w:szCs w:val="21"/>
          <w:highlight w:val="none"/>
          <w:lang w:eastAsia="zh-Hans"/>
        </w:rPr>
      </w:pPr>
      <w:r>
        <w:rPr>
          <w:rFonts w:hint="eastAsia"/>
          <w:color w:val="auto"/>
          <w:sz w:val="21"/>
          <w:szCs w:val="21"/>
          <w:highlight w:val="none"/>
          <w:lang w:eastAsia="zh-Hans"/>
        </w:rPr>
        <w:t>RAID卡：2GB SAS 12Gb 8口RAID卡；</w:t>
      </w:r>
    </w:p>
    <w:p>
      <w:pPr>
        <w:widowControl/>
        <w:spacing w:line="288" w:lineRule="auto"/>
        <w:ind w:firstLine="420" w:firstLineChars="200"/>
        <w:jc w:val="left"/>
        <w:rPr>
          <w:color w:val="auto"/>
          <w:sz w:val="21"/>
          <w:szCs w:val="21"/>
          <w:highlight w:val="none"/>
          <w:lang w:eastAsia="zh-Hans"/>
        </w:rPr>
      </w:pPr>
      <w:r>
        <w:rPr>
          <w:rFonts w:hint="eastAsia"/>
          <w:color w:val="auto"/>
          <w:sz w:val="21"/>
          <w:szCs w:val="21"/>
          <w:highlight w:val="none"/>
          <w:lang w:eastAsia="zh-Hans"/>
        </w:rPr>
        <w:t>HBA卡：16Gb 双口HBA卡*1；</w:t>
      </w:r>
    </w:p>
    <w:p>
      <w:pPr>
        <w:widowControl/>
        <w:spacing w:line="288" w:lineRule="auto"/>
        <w:ind w:firstLine="420" w:firstLineChars="200"/>
        <w:jc w:val="left"/>
        <w:rPr>
          <w:b/>
          <w:bCs/>
          <w:color w:val="auto"/>
          <w:sz w:val="21"/>
          <w:szCs w:val="21"/>
          <w:highlight w:val="none"/>
        </w:rPr>
      </w:pPr>
      <w:r>
        <w:rPr>
          <w:rFonts w:hint="eastAsia"/>
          <w:color w:val="auto"/>
          <w:sz w:val="21"/>
          <w:szCs w:val="21"/>
          <w:highlight w:val="none"/>
          <w:lang w:eastAsia="zh-Hans"/>
        </w:rPr>
        <w:t>电源模块：550W双模块冗余电源</w:t>
      </w:r>
      <w:r>
        <w:rPr>
          <w:rFonts w:hint="eastAsia"/>
          <w:color w:val="auto"/>
          <w:sz w:val="21"/>
          <w:szCs w:val="21"/>
          <w:highlight w:val="none"/>
        </w:rPr>
        <w:t>。</w:t>
      </w:r>
    </w:p>
    <w:p>
      <w:pPr>
        <w:adjustRightInd w:val="0"/>
        <w:snapToGrid w:val="0"/>
        <w:spacing w:line="288" w:lineRule="auto"/>
        <w:ind w:firstLine="422" w:firstLineChars="200"/>
        <w:rPr>
          <w:b/>
          <w:bCs/>
          <w:color w:val="auto"/>
          <w:sz w:val="21"/>
          <w:szCs w:val="21"/>
          <w:highlight w:val="none"/>
        </w:rPr>
      </w:pP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5.演示：</w:t>
      </w:r>
    </w:p>
    <w:p>
      <w:pPr>
        <w:adjustRightInd w:val="0"/>
        <w:snapToGrid w:val="0"/>
        <w:spacing w:line="288" w:lineRule="auto"/>
        <w:ind w:firstLine="422" w:firstLineChars="200"/>
        <w:rPr>
          <w:rFonts w:cs="Times New Roman"/>
          <w:b/>
          <w:bCs/>
          <w:color w:val="auto"/>
          <w:sz w:val="21"/>
          <w:szCs w:val="21"/>
          <w:highlight w:val="none"/>
        </w:rPr>
      </w:pPr>
      <w:r>
        <w:rPr>
          <w:rFonts w:hint="eastAsia" w:cs="Times New Roman"/>
          <w:b/>
          <w:bCs/>
          <w:color w:val="auto"/>
          <w:sz w:val="21"/>
          <w:szCs w:val="21"/>
          <w:highlight w:val="none"/>
        </w:rPr>
        <w:t>▲5.1 供应商演示内容需为真人操作软件或DEMO系统录制的视频进行，其余形式均视同未演示，响应无效。演示内容如下；</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（1）支持适配各种关系型数据接入，包括但不限于Oracle、MySQL、SQL Server、PostgreSQL、MongoDB、Sybase、Teradata和DM、GBase、GaussDB、kingbase。</w:t>
      </w:r>
    </w:p>
    <w:p>
      <w:pPr>
        <w:spacing w:line="288" w:lineRule="auto"/>
        <w:ind w:firstLine="420" w:firstLineChars="200"/>
        <w:rPr>
          <w:bCs/>
          <w:color w:val="auto"/>
          <w:sz w:val="21"/>
          <w:szCs w:val="21"/>
          <w:highlight w:val="none"/>
        </w:rPr>
      </w:pPr>
      <w:r>
        <w:rPr>
          <w:rFonts w:hint="eastAsia"/>
          <w:bCs/>
          <w:color w:val="auto"/>
          <w:sz w:val="21"/>
          <w:szCs w:val="21"/>
          <w:highlight w:val="none"/>
        </w:rPr>
        <w:t>（2）支持Web页面的拖拉拽式数据抽取管理，方便运维人员通过图、表的形式直观的了解数据抽取任务的情况，并进行任务的管理。</w:t>
      </w:r>
    </w:p>
    <w:p>
      <w:pPr>
        <w:spacing w:line="288" w:lineRule="auto"/>
        <w:ind w:firstLine="420" w:firstLineChars="200"/>
        <w:rPr>
          <w:bCs/>
          <w:color w:val="auto"/>
          <w:sz w:val="21"/>
          <w:szCs w:val="21"/>
          <w:highlight w:val="none"/>
        </w:rPr>
      </w:pPr>
      <w:r>
        <w:rPr>
          <w:rFonts w:hint="eastAsia"/>
          <w:bCs/>
          <w:color w:val="auto"/>
          <w:sz w:val="21"/>
          <w:szCs w:val="21"/>
          <w:highlight w:val="none"/>
        </w:rPr>
        <w:t>（3）支持作业管理，能实现作业状态查询、启停操作，工作流告警策略配置，可通过邮件方式发送告警。</w:t>
      </w:r>
    </w:p>
    <w:p>
      <w:pPr>
        <w:spacing w:line="288" w:lineRule="auto"/>
        <w:ind w:firstLine="420" w:firstLineChars="200"/>
        <w:rPr>
          <w:bCs/>
          <w:color w:val="auto"/>
          <w:sz w:val="21"/>
          <w:szCs w:val="21"/>
          <w:highlight w:val="none"/>
        </w:rPr>
      </w:pPr>
      <w:r>
        <w:rPr>
          <w:rFonts w:hint="eastAsia"/>
          <w:bCs/>
          <w:color w:val="auto"/>
          <w:sz w:val="21"/>
          <w:szCs w:val="21"/>
          <w:highlight w:val="none"/>
        </w:rPr>
        <w:t>（4）支持工作节点开发，包括但不限于集成类型节点、数据开发类型节点、算法开发类型节点、数据清洗类型节点。</w:t>
      </w:r>
    </w:p>
    <w:p>
      <w:pPr>
        <w:spacing w:line="288" w:lineRule="auto"/>
        <w:ind w:firstLine="420" w:firstLineChars="200"/>
        <w:rPr>
          <w:bCs/>
          <w:color w:val="auto"/>
          <w:sz w:val="21"/>
          <w:szCs w:val="21"/>
          <w:highlight w:val="none"/>
        </w:rPr>
      </w:pPr>
      <w:r>
        <w:rPr>
          <w:rFonts w:hint="eastAsia"/>
          <w:bCs/>
          <w:color w:val="auto"/>
          <w:sz w:val="21"/>
          <w:szCs w:val="21"/>
          <w:highlight w:val="none"/>
        </w:rPr>
        <w:t>（5）支持数据工作流开发中支持代码版本管理、多人协同模式下的代码锁管理和冲突检测机制。</w:t>
      </w:r>
    </w:p>
    <w:p>
      <w:pPr>
        <w:spacing w:line="288" w:lineRule="auto"/>
        <w:ind w:firstLine="420" w:firstLineChars="200"/>
        <w:rPr>
          <w:bCs/>
          <w:color w:val="auto"/>
          <w:sz w:val="21"/>
          <w:szCs w:val="21"/>
          <w:highlight w:val="none"/>
        </w:rPr>
      </w:pPr>
      <w:r>
        <w:rPr>
          <w:rFonts w:hint="eastAsia"/>
          <w:bCs/>
          <w:color w:val="auto"/>
          <w:sz w:val="21"/>
          <w:szCs w:val="21"/>
          <w:highlight w:val="none"/>
        </w:rPr>
        <w:t>（6）支</w:t>
      </w:r>
      <w:r>
        <w:rPr>
          <w:rFonts w:hint="eastAsia" w:asciiTheme="minorEastAsia" w:hAnsiTheme="minorEastAsia" w:eastAsiaTheme="minorEastAsia"/>
          <w:color w:val="auto"/>
          <w:sz w:val="21"/>
          <w:szCs w:val="21"/>
          <w:highlight w:val="none"/>
        </w:rPr>
        <w:t>持工作流的导入导出操作，至少包括但不限于工作流、自定义函数、资源文件和模型等</w:t>
      </w:r>
      <w:r>
        <w:rPr>
          <w:rFonts w:hint="eastAsia"/>
          <w:bCs/>
          <w:color w:val="auto"/>
          <w:sz w:val="21"/>
          <w:szCs w:val="21"/>
          <w:highlight w:val="none"/>
        </w:rPr>
        <w:t>。</w:t>
      </w:r>
    </w:p>
    <w:p>
      <w:pPr>
        <w:spacing w:line="288" w:lineRule="auto"/>
        <w:ind w:firstLine="420" w:firstLineChars="200"/>
        <w:rPr>
          <w:bCs/>
          <w:color w:val="auto"/>
          <w:sz w:val="21"/>
          <w:szCs w:val="21"/>
          <w:highlight w:val="none"/>
        </w:rPr>
      </w:pPr>
      <w:r>
        <w:rPr>
          <w:rFonts w:hint="eastAsia"/>
          <w:bCs/>
          <w:color w:val="auto"/>
          <w:sz w:val="21"/>
          <w:szCs w:val="21"/>
          <w:highlight w:val="none"/>
        </w:rPr>
        <w:t>（7）底座部署以及可视化运行：门户底层须采用高可用的Docker容器云技术进行部署安装，并通过管理控制台实现系统的统一部署、编排、监控等运维管理，并提供可视化运维管理界面，统一监控预警，方便运维人员操作。</w:t>
      </w:r>
    </w:p>
    <w:p>
      <w:pPr>
        <w:spacing w:line="288" w:lineRule="auto"/>
        <w:ind w:firstLine="420" w:firstLineChars="200"/>
        <w:rPr>
          <w:bCs/>
          <w:color w:val="auto"/>
          <w:sz w:val="21"/>
          <w:szCs w:val="21"/>
          <w:highlight w:val="none"/>
        </w:rPr>
      </w:pPr>
      <w:r>
        <w:rPr>
          <w:rFonts w:hint="eastAsia"/>
          <w:bCs/>
          <w:color w:val="auto"/>
          <w:sz w:val="21"/>
          <w:szCs w:val="21"/>
          <w:highlight w:val="none"/>
        </w:rPr>
        <w:t>（8）多主题管理功能：门户支持多主题功能，每个主题包含了特定的展示样式；管理员可以设置每个模板使用的主题，在全局上改变门户、部件的展示样式。</w:t>
      </w:r>
    </w:p>
    <w:p>
      <w:pPr>
        <w:spacing w:line="288" w:lineRule="auto"/>
        <w:ind w:firstLine="420" w:firstLineChars="200"/>
        <w:rPr>
          <w:bCs/>
          <w:color w:val="auto"/>
          <w:sz w:val="21"/>
          <w:szCs w:val="21"/>
          <w:highlight w:val="none"/>
        </w:rPr>
      </w:pPr>
      <w:r>
        <w:rPr>
          <w:rFonts w:hint="eastAsia"/>
          <w:bCs/>
          <w:color w:val="auto"/>
          <w:sz w:val="21"/>
          <w:szCs w:val="21"/>
          <w:highlight w:val="none"/>
        </w:rPr>
        <w:t>（9）定制化个性界面：系统需提供定制化功能，用户界面支持根据学校需求、学校人文、校徽校训等学校特殊性进行个性化定制，设计界面具有良好的视觉效果，并能体现现代风格与学校特色，充体现学校形象。系统个性化界面功能，根据不同角色个性化的信息展示，包括领导、教师、学生及不同类别的学生等角色，展示与角色相关的信息。客户化UI：结合学校UED规范，标准化UI样式，让门户集成的办事服务、查约应用、资讯等与门户从样式上保持一致的用户体验。可实现支持一键换肤。</w:t>
      </w:r>
    </w:p>
    <w:p>
      <w:pPr>
        <w:spacing w:line="288" w:lineRule="auto"/>
        <w:ind w:firstLine="420" w:firstLineChars="200"/>
        <w:rPr>
          <w:bCs/>
          <w:color w:val="auto"/>
          <w:sz w:val="21"/>
          <w:szCs w:val="21"/>
          <w:highlight w:val="none"/>
        </w:rPr>
      </w:pPr>
      <w:r>
        <w:rPr>
          <w:rFonts w:hint="eastAsia"/>
          <w:bCs/>
          <w:color w:val="auto"/>
          <w:sz w:val="21"/>
          <w:szCs w:val="21"/>
          <w:highlight w:val="none"/>
        </w:rPr>
        <w:t>（10）用户资讯订阅：用户可以通过各终端可查看校园所有站点及栏目信息。个人可根据实际需要在线订阅相关栏目信息，订阅行为支持及时同步至多终端生效。</w:t>
      </w:r>
    </w:p>
    <w:p>
      <w:pPr>
        <w:spacing w:line="288" w:lineRule="auto"/>
        <w:ind w:firstLine="422" w:firstLineChars="200"/>
        <w:rPr>
          <w:b/>
          <w:color w:val="auto"/>
          <w:sz w:val="21"/>
          <w:szCs w:val="21"/>
          <w:highlight w:val="none"/>
        </w:rPr>
      </w:pPr>
      <w:r>
        <w:rPr>
          <w:rFonts w:hint="eastAsia"/>
          <w:b/>
          <w:color w:val="auto"/>
          <w:sz w:val="21"/>
          <w:szCs w:val="21"/>
          <w:highlight w:val="none"/>
        </w:rPr>
        <w:t>5.2 演示U盘：</w:t>
      </w:r>
    </w:p>
    <w:p>
      <w:pPr>
        <w:spacing w:line="288" w:lineRule="auto"/>
        <w:ind w:firstLine="420" w:firstLineChars="200"/>
        <w:rPr>
          <w:bCs/>
          <w:color w:val="auto"/>
          <w:sz w:val="21"/>
          <w:szCs w:val="21"/>
          <w:highlight w:val="none"/>
        </w:rPr>
      </w:pPr>
      <w:r>
        <w:rPr>
          <w:rFonts w:hint="eastAsia"/>
          <w:bCs/>
          <w:color w:val="auto"/>
          <w:sz w:val="21"/>
          <w:szCs w:val="21"/>
          <w:highlight w:val="none"/>
        </w:rPr>
        <w:t>（1）根据“电子交易/不见面开评标”原则，供应商需将以上演示及讲解过程录制视频，演示时长不超过15分钟以.mp4格式存储于U盘。</w:t>
      </w:r>
    </w:p>
    <w:p>
      <w:pPr>
        <w:spacing w:line="288" w:lineRule="auto"/>
        <w:ind w:firstLine="420" w:firstLineChars="200"/>
        <w:rPr>
          <w:bCs/>
          <w:color w:val="auto"/>
          <w:sz w:val="21"/>
          <w:szCs w:val="21"/>
          <w:highlight w:val="none"/>
        </w:rPr>
      </w:pPr>
      <w:r>
        <w:rPr>
          <w:rFonts w:hint="eastAsia"/>
          <w:bCs/>
          <w:color w:val="auto"/>
          <w:sz w:val="21"/>
          <w:szCs w:val="21"/>
          <w:highlight w:val="none"/>
        </w:rPr>
        <w:t>（2）演示U盘可以EMS或顺丰邮寄形式在响应截止时间前递交，演示U盘应当密封包装并在包装上标注演示U盘、响应项目名称、响应供应商名称并加盖公章。</w:t>
      </w:r>
    </w:p>
    <w:p>
      <w:pPr>
        <w:adjustRightInd w:val="0"/>
        <w:snapToGrid w:val="0"/>
        <w:spacing w:line="288" w:lineRule="auto"/>
        <w:ind w:firstLine="404" w:firstLineChars="200"/>
        <w:rPr>
          <w:rFonts w:cs="Times New Roman"/>
          <w:bCs/>
          <w:color w:val="auto"/>
          <w:sz w:val="21"/>
          <w:szCs w:val="21"/>
          <w:highlight w:val="none"/>
        </w:rPr>
      </w:pPr>
      <w:r>
        <w:rPr>
          <w:rFonts w:hint="eastAsia"/>
          <w:bCs/>
          <w:color w:val="auto"/>
          <w:spacing w:val="-4"/>
          <w:sz w:val="21"/>
          <w:szCs w:val="21"/>
          <w:highlight w:val="none"/>
        </w:rPr>
        <w:t>（3）未按磋商文件要求提供演示U盘造成专家无法正常评审的风险由供应商自行承担。</w:t>
      </w:r>
    </w:p>
    <w:p>
      <w:pPr>
        <w:autoSpaceDE w:val="0"/>
        <w:autoSpaceDN w:val="0"/>
        <w:adjustRightInd w:val="0"/>
        <w:spacing w:line="288" w:lineRule="auto"/>
        <w:jc w:val="left"/>
        <w:rPr>
          <w:b/>
          <w:color w:val="auto"/>
          <w:kern w:val="0"/>
          <w:sz w:val="21"/>
          <w:szCs w:val="21"/>
          <w:highlight w:val="none"/>
        </w:rPr>
      </w:pPr>
    </w:p>
    <w:p>
      <w:pPr>
        <w:widowControl/>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本磋商文件适用于杭州电子科技大学校园数据治理及综合数字应用的磋商、评审、成交、验收、合同履约、付款等（法律、法规另有规定的，从其规定）。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.▲供应商授权代表必须为供应商本单位在职职工，并提供2021年12月（含）以后任意一月社保缴纳证明（授权代表为法定代表人可不提供）。</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37"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color w:val="auto"/>
                      <w:sz w:val="21"/>
                      <w:szCs w:val="21"/>
                      <w:highlight w:val="none"/>
                    </w:rPr>
                  </w:pPr>
                  <w:r>
                    <w:rPr>
                      <w:rFonts w:hint="eastAsia"/>
                      <w:b/>
                      <w:color w:val="auto"/>
                      <w:sz w:val="21"/>
                      <w:szCs w:val="21"/>
                      <w:highlight w:val="none"/>
                      <w:lang w:bidi="ar"/>
                    </w:rPr>
                    <w:t>成交金额（万元）</w:t>
                  </w:r>
                </w:p>
              </w:tc>
              <w:tc>
                <w:tcPr>
                  <w:tcW w:w="2338"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288" w:lineRule="auto"/>
                    <w:jc w:val="center"/>
                    <w:rPr>
                      <w:b/>
                      <w:color w:val="auto"/>
                      <w:sz w:val="21"/>
                      <w:szCs w:val="21"/>
                      <w:highlight w:val="none"/>
                    </w:rPr>
                  </w:pPr>
                  <w:r>
                    <w:rPr>
                      <w:rFonts w:hint="eastAsia"/>
                      <w:b/>
                      <w:color w:val="auto"/>
                      <w:sz w:val="21"/>
                      <w:szCs w:val="21"/>
                      <w:highlight w:val="none"/>
                      <w:lang w:bidi="ar"/>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lang w:bidi="ar"/>
                    </w:rPr>
                    <w:t>100以下</w:t>
                  </w:r>
                </w:p>
              </w:tc>
              <w:tc>
                <w:tcPr>
                  <w:tcW w:w="2338"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lang w:bidi="ar"/>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color w:val="auto"/>
                      <w:sz w:val="21"/>
                      <w:szCs w:val="21"/>
                      <w:highlight w:val="none"/>
                      <w:lang w:bidi="ar"/>
                    </w:rPr>
                  </w:pPr>
                  <w:r>
                    <w:rPr>
                      <w:rFonts w:hint="eastAsia"/>
                      <w:color w:val="auto"/>
                      <w:sz w:val="21"/>
                      <w:szCs w:val="21"/>
                      <w:highlight w:val="none"/>
                      <w:lang w:bidi="ar"/>
                    </w:rPr>
                    <w:t>100-500部分</w:t>
                  </w:r>
                </w:p>
              </w:tc>
              <w:tc>
                <w:tcPr>
                  <w:tcW w:w="2338"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288" w:lineRule="auto"/>
                    <w:jc w:val="center"/>
                    <w:rPr>
                      <w:color w:val="auto"/>
                      <w:sz w:val="21"/>
                      <w:szCs w:val="21"/>
                      <w:highlight w:val="none"/>
                      <w:lang w:bidi="ar"/>
                    </w:rPr>
                  </w:pPr>
                  <w:r>
                    <w:rPr>
                      <w:rFonts w:hint="eastAsia"/>
                      <w:color w:val="auto"/>
                      <w:sz w:val="21"/>
                      <w:szCs w:val="21"/>
                      <w:highlight w:val="none"/>
                      <w:lang w:bidi="ar"/>
                    </w:rPr>
                    <w:t>0.56</w:t>
                  </w:r>
                </w:p>
              </w:tc>
            </w:tr>
          </w:tbl>
          <w:p>
            <w:pPr>
              <w:adjustRightInd w:val="0"/>
              <w:snapToGrid w:val="0"/>
              <w:spacing w:line="288" w:lineRule="auto"/>
              <w:jc w:val="center"/>
              <w:rPr>
                <w:color w:val="auto"/>
                <w:sz w:val="21"/>
                <w:szCs w:val="21"/>
                <w:highlight w:val="none"/>
              </w:rPr>
            </w:pPr>
            <w:r>
              <w:rPr>
                <w:rFonts w:hint="eastAsia"/>
                <w:color w:val="auto"/>
                <w:sz w:val="21"/>
                <w:szCs w:val="21"/>
                <w:highlight w:val="none"/>
              </w:rPr>
              <w:t>代理服务费不足3000元的按3000元计。</w:t>
            </w:r>
            <w:bookmarkEnd w:id="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38"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8"/>
          </w:p>
          <w:p>
            <w:pPr>
              <w:adjustRightInd w:val="0"/>
              <w:snapToGrid w:val="0"/>
              <w:spacing w:line="288" w:lineRule="auto"/>
              <w:rPr>
                <w:color w:val="auto"/>
                <w:sz w:val="21"/>
                <w:szCs w:val="21"/>
                <w:highlight w:val="none"/>
              </w:rPr>
            </w:pPr>
            <w:r>
              <w:rPr>
                <w:rFonts w:hint="eastAsia"/>
                <w:bCs/>
                <w:color w:val="auto"/>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3）落实政府采购政策需满足的资格要求：</w:t>
            </w:r>
            <w:r>
              <w:rPr>
                <w:rFonts w:hint="eastAsia" w:cs="Times New Roman"/>
                <w:color w:val="auto"/>
                <w:sz w:val="21"/>
                <w:szCs w:val="21"/>
                <w:highlight w:val="none"/>
              </w:rPr>
              <w:t>无</w:t>
            </w:r>
          </w:p>
          <w:p>
            <w:pPr>
              <w:adjustRightInd w:val="0"/>
              <w:snapToGrid w:val="0"/>
              <w:spacing w:line="288" w:lineRule="auto"/>
              <w:rPr>
                <w:b/>
                <w:bCs/>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4）</w:t>
            </w:r>
            <w:r>
              <w:rPr>
                <w:rFonts w:hint="eastAsia" w:cs="Times New Roman"/>
                <w:color w:val="auto"/>
                <w:sz w:val="21"/>
                <w:szCs w:val="21"/>
                <w:highlight w:val="none"/>
              </w:rPr>
              <w:t>本项目的特定资格要求</w:t>
            </w:r>
            <w:r>
              <w:rPr>
                <w:rFonts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.本次磋商采用人民币报价；</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评审方法和评审标准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评审方法和评审标准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本磋商文件适用于杭州电子科技大学校园数据治理及综合数字应用的磋商、评审、成交、验收、合同履约、付款等（法律、法规另有规定的，从其规定）。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.▲供应商授权代表必须为供应商本单位在职职工，并提供2021年12月（含）以后任意一月社保缴纳证明（授权代表为法定代表人可不提供）。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color w:val="auto"/>
                <w:sz w:val="21"/>
                <w:szCs w:val="21"/>
                <w:highlight w:val="none"/>
              </w:rPr>
            </w:pPr>
            <w:r>
              <w:rPr>
                <w:rFonts w:hint="eastAsia"/>
                <w:b/>
                <w:color w:val="auto"/>
                <w:sz w:val="21"/>
                <w:szCs w:val="21"/>
                <w:highlight w:val="none"/>
                <w:lang w:bidi="ar"/>
              </w:rPr>
              <w:t>成交金额（万元）</w:t>
            </w:r>
          </w:p>
        </w:tc>
        <w:tc>
          <w:tcPr>
            <w:tcW w:w="2338"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288" w:lineRule="auto"/>
              <w:jc w:val="center"/>
              <w:rPr>
                <w:b/>
                <w:color w:val="auto"/>
                <w:sz w:val="21"/>
                <w:szCs w:val="21"/>
                <w:highlight w:val="none"/>
              </w:rPr>
            </w:pPr>
            <w:r>
              <w:rPr>
                <w:rFonts w:hint="eastAsia"/>
                <w:b/>
                <w:color w:val="auto"/>
                <w:sz w:val="21"/>
                <w:szCs w:val="21"/>
                <w:highlight w:val="none"/>
                <w:lang w:bidi="ar"/>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lang w:bidi="ar"/>
              </w:rPr>
              <w:t>100以下</w:t>
            </w:r>
          </w:p>
        </w:tc>
        <w:tc>
          <w:tcPr>
            <w:tcW w:w="2338"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lang w:bidi="ar"/>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color w:val="auto"/>
                <w:sz w:val="21"/>
                <w:szCs w:val="21"/>
                <w:highlight w:val="none"/>
                <w:lang w:bidi="ar"/>
              </w:rPr>
            </w:pPr>
            <w:r>
              <w:rPr>
                <w:rFonts w:hint="eastAsia"/>
                <w:color w:val="auto"/>
                <w:sz w:val="21"/>
                <w:szCs w:val="21"/>
                <w:highlight w:val="none"/>
                <w:lang w:bidi="ar"/>
              </w:rPr>
              <w:t>100-500部分</w:t>
            </w:r>
          </w:p>
        </w:tc>
        <w:tc>
          <w:tcPr>
            <w:tcW w:w="2338"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288" w:lineRule="auto"/>
              <w:jc w:val="center"/>
              <w:rPr>
                <w:color w:val="auto"/>
                <w:sz w:val="21"/>
                <w:szCs w:val="21"/>
                <w:highlight w:val="none"/>
                <w:lang w:bidi="ar"/>
              </w:rPr>
            </w:pPr>
            <w:r>
              <w:rPr>
                <w:rFonts w:hint="eastAsia"/>
                <w:color w:val="auto"/>
                <w:sz w:val="21"/>
                <w:szCs w:val="21"/>
                <w:highlight w:val="none"/>
                <w:lang w:bidi="ar"/>
              </w:rPr>
              <w:t>0.56</w:t>
            </w:r>
          </w:p>
        </w:tc>
      </w:tr>
    </w:tbl>
    <w:p>
      <w:pPr>
        <w:adjustRightInd w:val="0"/>
        <w:snapToGrid w:val="0"/>
        <w:spacing w:line="288" w:lineRule="auto"/>
        <w:ind w:firstLine="420" w:firstLineChars="200"/>
        <w:jc w:val="center"/>
        <w:rPr>
          <w:color w:val="auto"/>
          <w:sz w:val="21"/>
          <w:szCs w:val="21"/>
          <w:highlight w:val="none"/>
        </w:rPr>
      </w:pPr>
      <w:r>
        <w:rPr>
          <w:rFonts w:hint="eastAsia"/>
          <w:color w:val="auto"/>
          <w:sz w:val="21"/>
          <w:szCs w:val="21"/>
          <w:highlight w:val="none"/>
        </w:rPr>
        <w:t>代理服务费不足3000元的按3000元计。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9" w:name="_Hlk92273406"/>
      <w:bookmarkStart w:id="40"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9"/>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40"/>
    <w:p>
      <w:pPr>
        <w:adjustRightInd w:val="0"/>
        <w:snapToGrid w:val="0"/>
        <w:spacing w:line="288" w:lineRule="auto"/>
        <w:outlineLvl w:val="2"/>
        <w:rPr>
          <w:b/>
          <w:color w:val="auto"/>
          <w:spacing w:val="-6"/>
          <w:kern w:val="0"/>
          <w:sz w:val="21"/>
          <w:szCs w:val="21"/>
          <w:highlight w:val="none"/>
        </w:rPr>
      </w:pPr>
      <w:bookmarkStart w:id="41"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4</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rPr>
        <w:t>2</w:t>
      </w:r>
      <w:r>
        <w:rPr>
          <w:rFonts w:cs="Times New Roman"/>
          <w:color w:val="auto"/>
          <w:spacing w:val="-6"/>
          <w:sz w:val="21"/>
          <w:szCs w:val="21"/>
          <w:highlight w:val="none"/>
        </w:rPr>
        <w:t>0%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rPr>
        <w:t>6</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41"/>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2" w:name="_Hlk96329193"/>
      <w:r>
        <w:rPr>
          <w:rFonts w:hint="eastAsia"/>
          <w:color w:val="auto"/>
          <w:sz w:val="21"/>
          <w:szCs w:val="21"/>
          <w:highlight w:val="none"/>
        </w:rPr>
        <w:t>，供应商应写全称。</w:t>
      </w:r>
      <w:bookmarkEnd w:id="42"/>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3.响应文件不得涂改，若有修改错漏处，须由供应商加盖公章，或者由法定代表人或其授权的代表签名。响应文件因字迹潦草或表达不清所引起的后果由供应商负责。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▲d.响应截止时间前，供应商仅递交备份响应文件而未将电子加密响应文件成功上传至政府采购云平台的，响应无效。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5"/>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（3）法定代表人委托授权代表参加响应但未提供符合要求的授权代表社保缴纳证明的；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43"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3"/>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2"/>
        <w:tblW w:w="94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7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评审因素</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分值</w:t>
            </w:r>
          </w:p>
        </w:tc>
        <w:tc>
          <w:tcPr>
            <w:tcW w:w="7071"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498" w:type="dxa"/>
            <w:gridSpan w:val="3"/>
            <w:vAlign w:val="center"/>
          </w:tcPr>
          <w:p>
            <w:pPr>
              <w:adjustRightInd w:val="0"/>
              <w:snapToGrid w:val="0"/>
              <w:spacing w:line="288" w:lineRule="auto"/>
              <w:rPr>
                <w:color w:val="auto"/>
                <w:kern w:val="0"/>
                <w:sz w:val="21"/>
                <w:szCs w:val="21"/>
                <w:highlight w:val="none"/>
              </w:rPr>
            </w:pPr>
            <w:r>
              <w:rPr>
                <w:rFonts w:hint="eastAsia"/>
                <w:b/>
                <w:bCs/>
                <w:color w:val="auto"/>
                <w:kern w:val="0"/>
                <w:sz w:val="21"/>
                <w:szCs w:val="21"/>
                <w:highlight w:val="none"/>
              </w:rPr>
              <w:t>价格分（10）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最后磋商报价</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10</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价格分统一采用低价优先法计算，即满足磋商文件要求且最后报价最低的供应商的价格为磋商基准价，其价格分为满分。其他供应商的价格分统一按照下列公式计算：</w:t>
            </w:r>
          </w:p>
          <w:p>
            <w:pPr>
              <w:adjustRightInd w:val="0"/>
              <w:snapToGrid w:val="0"/>
              <w:spacing w:line="288" w:lineRule="auto"/>
              <w:rPr>
                <w:color w:val="auto"/>
                <w:kern w:val="0"/>
                <w:sz w:val="21"/>
                <w:szCs w:val="21"/>
                <w:highlight w:val="none"/>
              </w:rPr>
            </w:pPr>
            <w:r>
              <w:rPr>
                <w:rFonts w:hint="eastAsia"/>
                <w:color w:val="auto"/>
                <w:kern w:val="0"/>
                <w:sz w:val="21"/>
                <w:szCs w:val="21"/>
                <w:highlight w:val="none"/>
              </w:rPr>
              <w:t>磋商报价得分</w:t>
            </w:r>
            <w:r>
              <w:rPr>
                <w:color w:val="auto"/>
                <w:kern w:val="0"/>
                <w:sz w:val="21"/>
                <w:szCs w:val="21"/>
                <w:highlight w:val="none"/>
              </w:rPr>
              <w:t>=（磋商基准价/最后磋商报价）×</w:t>
            </w:r>
            <w:r>
              <w:rPr>
                <w:rFonts w:hint="eastAsia"/>
                <w:color w:val="auto"/>
                <w:kern w:val="0"/>
                <w:sz w:val="21"/>
                <w:szCs w:val="21"/>
                <w:highlight w:val="none"/>
              </w:rPr>
              <w:t>1</w:t>
            </w:r>
            <w:r>
              <w:rPr>
                <w:color w:val="auto"/>
                <w:kern w:val="0"/>
                <w:sz w:val="21"/>
                <w:szCs w:val="21"/>
                <w:highlight w:val="none"/>
              </w:rPr>
              <w:t>0</w:t>
            </w:r>
            <w:r>
              <w:rPr>
                <w:rFonts w:hint="eastAsia"/>
                <w:color w:val="auto"/>
                <w:kern w:val="0"/>
                <w:sz w:val="21"/>
                <w:szCs w:val="21"/>
                <w:highlight w:val="none"/>
              </w:rPr>
              <w:t>%</w:t>
            </w:r>
            <w:r>
              <w:rPr>
                <w:color w:val="auto"/>
                <w:kern w:val="0"/>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498" w:type="dxa"/>
            <w:gridSpan w:val="3"/>
            <w:vAlign w:val="center"/>
          </w:tcPr>
          <w:p>
            <w:pPr>
              <w:adjustRightInd w:val="0"/>
              <w:snapToGrid w:val="0"/>
              <w:spacing w:line="288" w:lineRule="auto"/>
              <w:rPr>
                <w:color w:val="auto"/>
                <w:kern w:val="0"/>
                <w:sz w:val="21"/>
                <w:szCs w:val="21"/>
                <w:highlight w:val="none"/>
              </w:rPr>
            </w:pPr>
            <w:r>
              <w:rPr>
                <w:rFonts w:hint="eastAsia"/>
                <w:b/>
                <w:bCs/>
                <w:color w:val="auto"/>
                <w:kern w:val="0"/>
                <w:sz w:val="21"/>
                <w:szCs w:val="21"/>
                <w:highlight w:val="none"/>
              </w:rPr>
              <w:t>商务分（1）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业绩</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1</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【客观分】</w:t>
            </w:r>
          </w:p>
          <w:p>
            <w:pPr>
              <w:adjustRightInd w:val="0"/>
              <w:snapToGrid w:val="0"/>
              <w:spacing w:line="288" w:lineRule="auto"/>
              <w:rPr>
                <w:color w:val="auto"/>
                <w:kern w:val="0"/>
                <w:sz w:val="21"/>
                <w:szCs w:val="21"/>
                <w:highlight w:val="none"/>
              </w:rPr>
            </w:pPr>
            <w:r>
              <w:rPr>
                <w:rFonts w:hint="eastAsia"/>
                <w:color w:val="auto"/>
                <w:kern w:val="0"/>
                <w:sz w:val="21"/>
                <w:szCs w:val="21"/>
                <w:highlight w:val="none"/>
              </w:rPr>
              <w:t>供应商自201</w:t>
            </w:r>
            <w:r>
              <w:rPr>
                <w:color w:val="auto"/>
                <w:kern w:val="0"/>
                <w:sz w:val="21"/>
                <w:szCs w:val="21"/>
                <w:highlight w:val="none"/>
              </w:rPr>
              <w:t>9</w:t>
            </w:r>
            <w:r>
              <w:rPr>
                <w:rFonts w:hint="eastAsia"/>
                <w:color w:val="auto"/>
                <w:kern w:val="0"/>
                <w:sz w:val="21"/>
                <w:szCs w:val="21"/>
                <w:highlight w:val="none"/>
              </w:rPr>
              <w:t>年1月1日以来（以合同签订时间为准）同类合同业绩（以提供的合同扫描件为准）：每提供1份合同业绩得0.5分，最高得1分。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498" w:type="dxa"/>
            <w:gridSpan w:val="3"/>
            <w:vAlign w:val="center"/>
          </w:tcPr>
          <w:p>
            <w:pPr>
              <w:adjustRightInd w:val="0"/>
              <w:snapToGrid w:val="0"/>
              <w:spacing w:line="288" w:lineRule="auto"/>
              <w:rPr>
                <w:color w:val="auto"/>
                <w:kern w:val="0"/>
                <w:sz w:val="21"/>
                <w:szCs w:val="21"/>
                <w:highlight w:val="none"/>
              </w:rPr>
            </w:pPr>
            <w:r>
              <w:rPr>
                <w:rFonts w:hint="eastAsia"/>
                <w:b/>
                <w:bCs/>
                <w:color w:val="auto"/>
                <w:kern w:val="0"/>
                <w:sz w:val="21"/>
                <w:szCs w:val="21"/>
                <w:highlight w:val="none"/>
              </w:rPr>
              <w:t>技术分（89）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响应程度</w:t>
            </w:r>
          </w:p>
        </w:tc>
        <w:tc>
          <w:tcPr>
            <w:tcW w:w="682" w:type="dxa"/>
            <w:vAlign w:val="center"/>
          </w:tcPr>
          <w:p>
            <w:pPr>
              <w:adjustRightInd w:val="0"/>
              <w:snapToGrid w:val="0"/>
              <w:spacing w:line="288" w:lineRule="auto"/>
              <w:jc w:val="center"/>
              <w:rPr>
                <w:b/>
                <w:bCs/>
                <w:color w:val="auto"/>
                <w:kern w:val="0"/>
                <w:sz w:val="21"/>
                <w:szCs w:val="21"/>
                <w:highlight w:val="none"/>
              </w:rPr>
            </w:pPr>
            <w:r>
              <w:rPr>
                <w:b/>
                <w:bCs/>
                <w:color w:val="auto"/>
                <w:kern w:val="0"/>
                <w:sz w:val="21"/>
                <w:szCs w:val="21"/>
                <w:highlight w:val="none"/>
              </w:rPr>
              <w:t>3</w:t>
            </w:r>
            <w:r>
              <w:rPr>
                <w:rFonts w:hint="eastAsia"/>
                <w:b/>
                <w:bCs/>
                <w:color w:val="auto"/>
                <w:kern w:val="0"/>
                <w:sz w:val="21"/>
                <w:szCs w:val="21"/>
                <w:highlight w:val="none"/>
              </w:rPr>
              <w:t>3</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【客观分】</w:t>
            </w:r>
          </w:p>
          <w:p>
            <w:pPr>
              <w:adjustRightInd w:val="0"/>
              <w:snapToGrid w:val="0"/>
              <w:spacing w:line="288" w:lineRule="auto"/>
              <w:rPr>
                <w:color w:val="auto"/>
                <w:kern w:val="0"/>
                <w:sz w:val="21"/>
                <w:szCs w:val="21"/>
                <w:highlight w:val="none"/>
              </w:rPr>
            </w:pPr>
            <w:r>
              <w:rPr>
                <w:rFonts w:hint="eastAsia"/>
                <w:color w:val="auto"/>
                <w:kern w:val="0"/>
                <w:sz w:val="21"/>
                <w:szCs w:val="21"/>
                <w:highlight w:val="none"/>
              </w:rPr>
              <w:t>不符合（负偏离）服务要求中标注“▲”条款（不可偏离）的响应文件无效，满足或明显优于磋商文件明确的全部服务要求的该项得满分；</w:t>
            </w:r>
          </w:p>
          <w:p>
            <w:pPr>
              <w:adjustRightInd w:val="0"/>
              <w:snapToGrid w:val="0"/>
              <w:spacing w:line="288" w:lineRule="auto"/>
              <w:rPr>
                <w:color w:val="auto"/>
                <w:kern w:val="0"/>
                <w:sz w:val="21"/>
                <w:szCs w:val="21"/>
                <w:highlight w:val="none"/>
              </w:rPr>
            </w:pPr>
            <w:r>
              <w:rPr>
                <w:rFonts w:hint="eastAsia"/>
                <w:color w:val="auto"/>
                <w:kern w:val="0"/>
                <w:sz w:val="21"/>
                <w:szCs w:val="21"/>
                <w:highlight w:val="none"/>
              </w:rPr>
              <w:t>响应条款低于服务要求（负偏离）的每项扣</w:t>
            </w:r>
            <w:r>
              <w:rPr>
                <w:color w:val="auto"/>
                <w:kern w:val="0"/>
                <w:sz w:val="21"/>
                <w:szCs w:val="21"/>
                <w:highlight w:val="none"/>
              </w:rPr>
              <w:t>3</w:t>
            </w:r>
            <w:r>
              <w:rPr>
                <w:rFonts w:hint="eastAsia"/>
                <w:color w:val="auto"/>
                <w:kern w:val="0"/>
                <w:sz w:val="21"/>
                <w:szCs w:val="21"/>
                <w:highlight w:val="none"/>
              </w:rPr>
              <w:t>分；</w:t>
            </w:r>
          </w:p>
          <w:p>
            <w:pPr>
              <w:adjustRightInd w:val="0"/>
              <w:snapToGrid w:val="0"/>
              <w:spacing w:line="288" w:lineRule="auto"/>
              <w:rPr>
                <w:color w:val="auto"/>
                <w:kern w:val="0"/>
                <w:sz w:val="21"/>
                <w:szCs w:val="21"/>
                <w:highlight w:val="none"/>
              </w:rPr>
            </w:pPr>
            <w:r>
              <w:rPr>
                <w:rFonts w:hint="eastAsia"/>
                <w:color w:val="auto"/>
                <w:kern w:val="0"/>
                <w:sz w:val="21"/>
                <w:szCs w:val="21"/>
                <w:highlight w:val="none"/>
              </w:rPr>
              <w:t>负偏离11项及以上的响应文件无效。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软件著作权</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2</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响应产品具有与本项目内容相关的软件著作权证书的，每有1份得1分，最高得2分（提供软件著作权证书扫描件，不提供不得分）。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项目需求理解</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3</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【主观分】</w:t>
            </w:r>
          </w:p>
          <w:p>
            <w:pPr>
              <w:adjustRightInd w:val="0"/>
              <w:snapToGrid w:val="0"/>
              <w:spacing w:line="288" w:lineRule="auto"/>
              <w:rPr>
                <w:color w:val="auto"/>
                <w:kern w:val="0"/>
                <w:sz w:val="21"/>
                <w:szCs w:val="21"/>
                <w:highlight w:val="none"/>
              </w:rPr>
            </w:pPr>
            <w:r>
              <w:rPr>
                <w:rFonts w:hint="eastAsia"/>
                <w:color w:val="auto"/>
                <w:kern w:val="0"/>
                <w:sz w:val="21"/>
                <w:szCs w:val="21"/>
                <w:highlight w:val="none"/>
              </w:rPr>
              <w:t>供应商对本项目的理解，对项目需求、数据治理业务现状、数据治理业务重点及难点问题、项目规划设计与需求的理解程度、维度。</w:t>
            </w:r>
            <w:bookmarkStart w:id="50" w:name="_GoBack"/>
            <w:bookmarkEnd w:id="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实施方案</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3</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【主观分】</w:t>
            </w:r>
          </w:p>
          <w:p>
            <w:pPr>
              <w:adjustRightInd w:val="0"/>
              <w:snapToGrid w:val="0"/>
              <w:spacing w:line="288" w:lineRule="auto"/>
              <w:rPr>
                <w:color w:val="auto"/>
                <w:kern w:val="0"/>
                <w:sz w:val="21"/>
                <w:szCs w:val="21"/>
                <w:highlight w:val="none"/>
              </w:rPr>
            </w:pPr>
            <w:r>
              <w:rPr>
                <w:rFonts w:hint="eastAsia"/>
                <w:color w:val="auto"/>
                <w:kern w:val="0"/>
                <w:sz w:val="21"/>
                <w:szCs w:val="21"/>
                <w:highlight w:val="none"/>
              </w:rPr>
              <w:t>供应商实施方案的完整性及合理规范性，包括组织与管理保障、文档管理、实施进度计划、质量控制、风险管理、测试方案、验收方案等。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标准规范理解及把握</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5</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【主观分】</w:t>
            </w:r>
          </w:p>
          <w:p>
            <w:pPr>
              <w:adjustRightInd w:val="0"/>
              <w:snapToGrid w:val="0"/>
              <w:spacing w:line="288" w:lineRule="auto"/>
              <w:rPr>
                <w:color w:val="auto"/>
                <w:kern w:val="0"/>
                <w:sz w:val="21"/>
                <w:szCs w:val="21"/>
                <w:highlight w:val="none"/>
              </w:rPr>
            </w:pPr>
            <w:r>
              <w:rPr>
                <w:rFonts w:hint="eastAsia"/>
                <w:color w:val="auto"/>
                <w:kern w:val="0"/>
                <w:sz w:val="21"/>
                <w:szCs w:val="21"/>
                <w:highlight w:val="none"/>
              </w:rPr>
              <w:t>供应商对与本项目相关的国家/地方/教育行业数据标准的理解和把握能力情况。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adjustRightInd w:val="0"/>
              <w:snapToGrid w:val="0"/>
              <w:spacing w:line="288" w:lineRule="auto"/>
              <w:jc w:val="center"/>
              <w:rPr>
                <w:b/>
                <w:bCs/>
                <w:color w:val="auto"/>
                <w:kern w:val="0"/>
                <w:sz w:val="21"/>
                <w:szCs w:val="21"/>
                <w:highlight w:val="none"/>
              </w:rPr>
            </w:pPr>
            <w:r>
              <w:rPr>
                <w:rFonts w:hint="eastAsia" w:cs="Times New Roman"/>
                <w:b/>
                <w:bCs/>
                <w:color w:val="auto"/>
                <w:kern w:val="0"/>
                <w:sz w:val="21"/>
                <w:szCs w:val="21"/>
                <w:highlight w:val="none"/>
              </w:rPr>
              <w:t>拟投入人员</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2</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【客观分】</w:t>
            </w:r>
          </w:p>
          <w:p>
            <w:pPr>
              <w:adjustRightInd w:val="0"/>
              <w:snapToGrid w:val="0"/>
              <w:spacing w:line="288" w:lineRule="auto"/>
              <w:rPr>
                <w:color w:val="auto"/>
                <w:kern w:val="0"/>
                <w:sz w:val="21"/>
                <w:szCs w:val="21"/>
                <w:highlight w:val="none"/>
              </w:rPr>
            </w:pPr>
            <w:r>
              <w:rPr>
                <w:color w:val="auto"/>
                <w:kern w:val="0"/>
                <w:sz w:val="21"/>
                <w:szCs w:val="21"/>
                <w:highlight w:val="none"/>
              </w:rPr>
              <w:t>供应商</w:t>
            </w:r>
            <w:r>
              <w:rPr>
                <w:rFonts w:hint="eastAsia"/>
                <w:color w:val="auto"/>
                <w:kern w:val="0"/>
                <w:sz w:val="21"/>
                <w:szCs w:val="21"/>
                <w:highlight w:val="none"/>
              </w:rPr>
              <w:t>拟投入本项目的项目经理</w:t>
            </w:r>
            <w:r>
              <w:rPr>
                <w:color w:val="auto"/>
                <w:kern w:val="0"/>
                <w:sz w:val="21"/>
                <w:szCs w:val="21"/>
                <w:highlight w:val="none"/>
              </w:rPr>
              <w:t>具有</w:t>
            </w:r>
            <w:r>
              <w:rPr>
                <w:rFonts w:hint="eastAsia"/>
                <w:color w:val="auto"/>
                <w:kern w:val="0"/>
                <w:sz w:val="21"/>
                <w:szCs w:val="21"/>
                <w:highlight w:val="none"/>
              </w:rPr>
              <w:t>人社部门颁发的</w:t>
            </w:r>
            <w:r>
              <w:rPr>
                <w:color w:val="auto"/>
                <w:kern w:val="0"/>
                <w:sz w:val="21"/>
                <w:szCs w:val="21"/>
                <w:highlight w:val="none"/>
              </w:rPr>
              <w:t>信息系统项目管理师、中级或以上工程师</w:t>
            </w:r>
            <w:r>
              <w:rPr>
                <w:rFonts w:hint="eastAsia"/>
                <w:color w:val="auto"/>
                <w:kern w:val="0"/>
                <w:sz w:val="21"/>
                <w:szCs w:val="21"/>
                <w:highlight w:val="none"/>
              </w:rPr>
              <w:t>证书（专业应与本项目相关）的，每有1份得1分，最高得2分（提供证书复印件、供应商本单位近6个月中任意一月为其缴纳社保的证明材料，不提供不得分）。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adjustRightInd w:val="0"/>
              <w:snapToGrid w:val="0"/>
              <w:spacing w:line="288" w:lineRule="auto"/>
              <w:jc w:val="center"/>
              <w:rPr>
                <w:b/>
                <w:bCs/>
                <w:color w:val="auto"/>
                <w:kern w:val="0"/>
                <w:sz w:val="21"/>
                <w:szCs w:val="21"/>
                <w:highlight w:val="none"/>
              </w:rPr>
            </w:pP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2</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【客观分】</w:t>
            </w:r>
          </w:p>
          <w:p>
            <w:pPr>
              <w:adjustRightInd w:val="0"/>
              <w:snapToGrid w:val="0"/>
              <w:spacing w:line="288" w:lineRule="auto"/>
              <w:rPr>
                <w:color w:val="auto"/>
                <w:kern w:val="0"/>
                <w:sz w:val="21"/>
                <w:szCs w:val="21"/>
                <w:highlight w:val="none"/>
              </w:rPr>
            </w:pPr>
            <w:r>
              <w:rPr>
                <w:color w:val="auto"/>
                <w:kern w:val="0"/>
                <w:sz w:val="21"/>
                <w:szCs w:val="21"/>
                <w:highlight w:val="none"/>
              </w:rPr>
              <w:t>供应商拟投入本项目的</w:t>
            </w:r>
            <w:r>
              <w:rPr>
                <w:rFonts w:hint="eastAsia"/>
                <w:color w:val="auto"/>
                <w:kern w:val="0"/>
                <w:sz w:val="21"/>
                <w:szCs w:val="21"/>
                <w:highlight w:val="none"/>
              </w:rPr>
              <w:t>技术负责人具有人社部门颁发的高级工程师证书的（专业应与本项目相关），得2分（提供证书复印件、供应商本单位近6个月中任意一月为其缴纳社保的证明材料，不提供不得分）。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adjustRightInd w:val="0"/>
              <w:snapToGrid w:val="0"/>
              <w:spacing w:line="288" w:lineRule="auto"/>
              <w:jc w:val="center"/>
              <w:rPr>
                <w:b/>
                <w:bCs/>
                <w:color w:val="auto"/>
                <w:kern w:val="0"/>
                <w:sz w:val="21"/>
                <w:szCs w:val="21"/>
                <w:highlight w:val="none"/>
              </w:rPr>
            </w:pP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3</w:t>
            </w:r>
          </w:p>
        </w:tc>
        <w:tc>
          <w:tcPr>
            <w:tcW w:w="7071" w:type="dxa"/>
            <w:vAlign w:val="center"/>
          </w:tcPr>
          <w:p>
            <w:pPr>
              <w:adjustRightInd w:val="0"/>
              <w:snapToGrid w:val="0"/>
              <w:spacing w:line="288" w:lineRule="auto"/>
              <w:rPr>
                <w:rFonts w:cs="Times New Roman"/>
                <w:color w:val="auto"/>
                <w:kern w:val="0"/>
                <w:sz w:val="21"/>
                <w:szCs w:val="21"/>
                <w:highlight w:val="none"/>
              </w:rPr>
            </w:pPr>
            <w:r>
              <w:rPr>
                <w:rFonts w:hint="eastAsia" w:cs="Times New Roman"/>
                <w:color w:val="auto"/>
                <w:kern w:val="0"/>
                <w:sz w:val="21"/>
                <w:szCs w:val="21"/>
                <w:highlight w:val="none"/>
              </w:rPr>
              <w:t>【主观分】</w:t>
            </w:r>
          </w:p>
          <w:p>
            <w:pPr>
              <w:adjustRightInd w:val="0"/>
              <w:snapToGrid w:val="0"/>
              <w:spacing w:line="288" w:lineRule="auto"/>
              <w:rPr>
                <w:rFonts w:cs="Times New Roman"/>
                <w:color w:val="auto"/>
                <w:kern w:val="0"/>
                <w:sz w:val="21"/>
                <w:szCs w:val="21"/>
                <w:highlight w:val="none"/>
              </w:rPr>
            </w:pPr>
            <w:r>
              <w:rPr>
                <w:rFonts w:hint="eastAsia" w:cs="Times New Roman"/>
                <w:color w:val="auto"/>
                <w:kern w:val="0"/>
                <w:sz w:val="21"/>
                <w:szCs w:val="21"/>
                <w:highlight w:val="none"/>
              </w:rPr>
              <w:t>除项目经理、技术负责人外，供应商拟投入的其他工作人员情况，包括资质、工作经验等。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培训</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3</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【主观分】</w:t>
            </w:r>
          </w:p>
          <w:p>
            <w:pPr>
              <w:adjustRightInd w:val="0"/>
              <w:snapToGrid w:val="0"/>
              <w:spacing w:line="288" w:lineRule="auto"/>
              <w:rPr>
                <w:color w:val="auto"/>
                <w:kern w:val="0"/>
                <w:sz w:val="21"/>
                <w:szCs w:val="21"/>
                <w:highlight w:val="none"/>
              </w:rPr>
            </w:pPr>
            <w:r>
              <w:rPr>
                <w:rFonts w:hint="eastAsia"/>
                <w:color w:val="auto"/>
                <w:kern w:val="0"/>
                <w:sz w:val="21"/>
                <w:szCs w:val="21"/>
                <w:highlight w:val="none"/>
              </w:rPr>
              <w:t>供应商培训方案的完整性及合理规范性，包括培训目标、培训方案设计、培训计划、培训课程清单、培训的管理与执行、培训质量控制、项目培训考核、培训讲师安排等。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售后服务</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3</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【主观分】</w:t>
            </w:r>
          </w:p>
          <w:p>
            <w:pPr>
              <w:adjustRightInd w:val="0"/>
              <w:snapToGrid w:val="0"/>
              <w:spacing w:line="288" w:lineRule="auto"/>
              <w:rPr>
                <w:color w:val="auto"/>
                <w:kern w:val="0"/>
                <w:sz w:val="21"/>
                <w:szCs w:val="21"/>
                <w:highlight w:val="none"/>
              </w:rPr>
            </w:pPr>
            <w:r>
              <w:rPr>
                <w:rFonts w:hint="eastAsia"/>
                <w:color w:val="auto"/>
                <w:kern w:val="0"/>
                <w:sz w:val="21"/>
                <w:szCs w:val="21"/>
                <w:highlight w:val="none"/>
              </w:rPr>
              <w:t>供应商售后服务方案的完整性及合理规范性，包括售后服务承诺、售后服务体系、售后服务方案、技术服务方案、售后服务与技术支持、运维服务流程规范、服务连续管理、服务质量管理等。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演示</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30</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【主观分】供应商针对“第二章 采购需求”中的演示要求进行演示，每项演示最高得3分。</w:t>
            </w:r>
          </w:p>
        </w:tc>
      </w:tr>
    </w:tbl>
    <w:p>
      <w:pPr>
        <w:adjustRightInd w:val="0"/>
        <w:snapToGrid w:val="0"/>
        <w:spacing w:line="288" w:lineRule="auto"/>
        <w:jc w:val="left"/>
        <w:rPr>
          <w:b/>
          <w:color w:val="auto"/>
          <w:sz w:val="21"/>
          <w:szCs w:val="21"/>
          <w:highlight w:val="none"/>
        </w:rPr>
      </w:pPr>
      <w:bookmarkStart w:id="44" w:name="_Hlk81817387"/>
      <w:r>
        <w:rPr>
          <w:rFonts w:hint="eastAsia"/>
          <w:b/>
          <w:color w:val="auto"/>
          <w:sz w:val="21"/>
          <w:szCs w:val="21"/>
          <w:highlight w:val="none"/>
        </w:rPr>
        <w:t>说明</w:t>
      </w:r>
      <w:r>
        <w:rPr>
          <w:b/>
          <w:color w:val="auto"/>
          <w:sz w:val="21"/>
          <w:szCs w:val="21"/>
          <w:highlight w:val="none"/>
        </w:rPr>
        <w:t>：</w:t>
      </w:r>
    </w:p>
    <w:p>
      <w:pPr>
        <w:adjustRightInd w:val="0"/>
        <w:snapToGrid w:val="0"/>
        <w:spacing w:line="288" w:lineRule="auto"/>
        <w:jc w:val="left"/>
        <w:rPr>
          <w:b/>
          <w:color w:val="auto"/>
          <w:sz w:val="21"/>
          <w:szCs w:val="21"/>
          <w:highlight w:val="none"/>
        </w:rPr>
      </w:pPr>
      <w:r>
        <w:rPr>
          <w:b/>
          <w:color w:val="auto"/>
          <w:sz w:val="21"/>
          <w:szCs w:val="21"/>
          <w:highlight w:val="none"/>
        </w:rPr>
        <w:t>1.</w:t>
      </w:r>
      <w:r>
        <w:rPr>
          <w:rFonts w:hint="eastAsia"/>
          <w:b/>
          <w:color w:val="auto"/>
          <w:sz w:val="21"/>
          <w:szCs w:val="21"/>
          <w:highlight w:val="none"/>
        </w:rPr>
        <w:t>根据《政府采购促进中小企业发展管理办法》（财库〔2020〕46号）、《关于进一步加大政府采购支持中小企业力度的通知》（财库〔2022〕19号）、《浙江省财政厅关于进一步加大政府采购支持中小企业力度 助力扎实稳住经济的通知》（浙财采监[2022]8号）的规定，对符合规定的小微企业报价给予2</w:t>
      </w:r>
      <w:r>
        <w:rPr>
          <w:b/>
          <w:color w:val="auto"/>
          <w:sz w:val="21"/>
          <w:szCs w:val="21"/>
          <w:highlight w:val="none"/>
        </w:rPr>
        <w:t>0</w:t>
      </w:r>
      <w:r>
        <w:rPr>
          <w:rFonts w:hint="eastAsia"/>
          <w:b/>
          <w:color w:val="auto"/>
          <w:sz w:val="21"/>
          <w:szCs w:val="21"/>
          <w:highlight w:val="none"/>
        </w:rPr>
        <w:t>%的扣除后计算价格得分。</w:t>
      </w:r>
    </w:p>
    <w:p>
      <w:pPr>
        <w:adjustRightInd w:val="0"/>
        <w:snapToGrid w:val="0"/>
        <w:spacing w:line="288" w:lineRule="auto"/>
        <w:ind w:firstLine="396" w:firstLineChars="200"/>
        <w:jc w:val="left"/>
        <w:rPr>
          <w:b/>
          <w:color w:val="auto"/>
          <w:sz w:val="21"/>
          <w:szCs w:val="21"/>
          <w:highlight w:val="none"/>
        </w:rPr>
      </w:pPr>
      <w:r>
        <w:rPr>
          <w:rFonts w:hint="eastAsia"/>
          <w:color w:val="auto"/>
          <w:spacing w:val="-6"/>
          <w:sz w:val="21"/>
          <w:szCs w:val="21"/>
          <w:highlight w:val="none"/>
          <w:u w:val="single"/>
        </w:rPr>
        <w:t>对于联合协议或者分包意向协议约定小微企业的合同份额占到合同总金额30%以上的，对联合体或者大中型企业的报价给予6%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color w:val="auto"/>
          <w:spacing w:val="-6"/>
          <w:sz w:val="21"/>
          <w:szCs w:val="21"/>
          <w:highlight w:val="none"/>
        </w:rPr>
      </w:pPr>
      <w:bookmarkStart w:id="45" w:name="_Hlk81817373"/>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w:t>
      </w:r>
      <w:r>
        <w:rPr>
          <w:rFonts w:hint="eastAsia"/>
          <w:color w:val="auto"/>
          <w:kern w:val="0"/>
          <w:sz w:val="21"/>
          <w:szCs w:val="21"/>
          <w:highlight w:val="none"/>
        </w:rPr>
        <w:t>、戒毒管理局（含新疆生产建设兵团）出具的属于监狱企业的证明文件的，在政府采购活动中，监狱企业视</w:t>
      </w:r>
      <w:r>
        <w:rPr>
          <w:rFonts w:hint="eastAsia"/>
          <w:color w:val="auto"/>
          <w:kern w:val="0"/>
          <w:sz w:val="21"/>
          <w:szCs w:val="21"/>
          <w:highlight w:val="none"/>
        </w:rPr>
        <w:t>同小型、微型企业，享受预留份额、评审中价格扣除等政府采购促进中小企业发展的政府采购政策。</w:t>
      </w:r>
    </w:p>
    <w:bookmarkEnd w:id="45"/>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olor w:val="auto"/>
          <w:sz w:val="21"/>
          <w:szCs w:val="21"/>
          <w:highlight w:val="none"/>
        </w:rPr>
        <w:t>符合条件的残疾人福利性单位在参加政府采购活动时，</w:t>
      </w:r>
      <w:r>
        <w:rPr>
          <w:rFonts w:hint="eastAsia"/>
          <w:color w:val="auto"/>
          <w:sz w:val="21"/>
          <w:szCs w:val="21"/>
          <w:highlight w:val="none"/>
        </w:rPr>
        <w:t>提供财库</w:t>
      </w:r>
      <w:r>
        <w:rPr>
          <w:color w:val="auto"/>
          <w:sz w:val="21"/>
          <w:szCs w:val="21"/>
          <w:highlight w:val="none"/>
        </w:rPr>
        <w:t>[2017]141号</w:t>
      </w:r>
      <w:r>
        <w:rPr>
          <w:rFonts w:hint="eastAsia"/>
          <w:color w:val="auto"/>
          <w:sz w:val="21"/>
          <w:szCs w:val="21"/>
          <w:highlight w:val="none"/>
        </w:rPr>
        <w:t>文件</w:t>
      </w:r>
      <w:r>
        <w:rPr>
          <w:rFonts w:hint="eastAsia"/>
          <w:color w:val="auto"/>
          <w:sz w:val="21"/>
          <w:szCs w:val="21"/>
          <w:highlight w:val="none"/>
        </w:rPr>
        <w:t>规定的《残疾人福利性单位声明函》的，在政府采购活</w:t>
      </w:r>
      <w:r>
        <w:rPr>
          <w:rFonts w:hint="eastAsia"/>
          <w:color w:val="auto"/>
          <w:sz w:val="21"/>
          <w:szCs w:val="21"/>
          <w:highlight w:val="none"/>
        </w:rPr>
        <w:t>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p>
      <w:pPr>
        <w:adjustRightInd w:val="0"/>
        <w:snapToGrid w:val="0"/>
        <w:spacing w:line="288" w:lineRule="auto"/>
        <w:rPr>
          <w:rFonts w:cs="Times New Roman"/>
          <w:b/>
          <w:bCs/>
          <w:color w:val="auto"/>
          <w:spacing w:val="-6"/>
          <w:sz w:val="21"/>
          <w:szCs w:val="21"/>
          <w:highlight w:val="none"/>
        </w:rPr>
      </w:pPr>
    </w:p>
    <w:bookmarkEnd w:id="44"/>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采购编号：QSZB-Z(F)-B22462(CS)</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确认书编号：[2022]72675号-001</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甲方（需方）：杭州电子科技大学</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乙方（供方）：</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采购代理机构：浙江求是招标代理有限公司</w:t>
      </w:r>
    </w:p>
    <w:p>
      <w:pPr>
        <w:adjustRightInd w:val="0"/>
        <w:snapToGrid w:val="0"/>
        <w:spacing w:line="288" w:lineRule="auto"/>
        <w:rPr>
          <w:rFonts w:cs="Times New Roman"/>
          <w:color w:val="auto"/>
          <w:spacing w:val="-6"/>
          <w:sz w:val="21"/>
          <w:szCs w:val="21"/>
          <w:highlight w:val="none"/>
        </w:rPr>
      </w:pPr>
      <w:r>
        <w:rPr>
          <w:rFonts w:hint="eastAsia" w:cs="Times New Roman"/>
          <w:b/>
          <w:bCs/>
          <w:color w:val="auto"/>
          <w:spacing w:val="-6"/>
          <w:sz w:val="21"/>
          <w:szCs w:val="21"/>
          <w:highlight w:val="none"/>
        </w:rPr>
        <w:t>签约时间、地点：2022年  月   日，杭州</w:t>
      </w:r>
    </w:p>
    <w:p>
      <w:pPr>
        <w:adjustRightInd w:val="0"/>
        <w:snapToGrid w:val="0"/>
        <w:spacing w:line="288" w:lineRule="auto"/>
        <w:ind w:firstLine="396" w:firstLineChars="200"/>
        <w:rPr>
          <w:color w:val="auto"/>
          <w:spacing w:val="-6"/>
          <w:sz w:val="21"/>
          <w:szCs w:val="21"/>
          <w:highlight w:val="none"/>
        </w:rPr>
      </w:pP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校园数据治理及综合数字应用  </w:t>
      </w:r>
      <w:r>
        <w:rPr>
          <w:rFonts w:hint="eastAsia"/>
          <w:color w:val="auto"/>
          <w:spacing w:val="-6"/>
          <w:sz w:val="21"/>
          <w:szCs w:val="21"/>
          <w:highlight w:val="none"/>
        </w:rPr>
        <w:t>项目竞争性磋商采购的结果，签署本合同。</w:t>
      </w:r>
    </w:p>
    <w:p>
      <w:pPr>
        <w:snapToGrid w:val="0"/>
        <w:spacing w:line="288" w:lineRule="auto"/>
        <w:rPr>
          <w:b/>
          <w:color w:val="auto"/>
          <w:spacing w:val="-6"/>
          <w:sz w:val="21"/>
          <w:szCs w:val="21"/>
          <w:highlight w:val="none"/>
        </w:rPr>
      </w:pPr>
      <w:r>
        <w:rPr>
          <w:rFonts w:hint="eastAsia"/>
          <w:b/>
          <w:color w:val="auto"/>
          <w:spacing w:val="-6"/>
          <w:sz w:val="21"/>
          <w:szCs w:val="21"/>
          <w:highlight w:val="none"/>
          <w:lang w:bidi="ar"/>
        </w:rPr>
        <w:t>第一条：服务内容</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根据采购需求（详见附件）</w:t>
      </w:r>
    </w:p>
    <w:p>
      <w:pPr>
        <w:snapToGrid w:val="0"/>
        <w:spacing w:line="288" w:lineRule="auto"/>
        <w:rPr>
          <w:b/>
          <w:color w:val="auto"/>
          <w:spacing w:val="-6"/>
          <w:sz w:val="21"/>
          <w:szCs w:val="21"/>
          <w:highlight w:val="none"/>
        </w:rPr>
      </w:pPr>
      <w:r>
        <w:rPr>
          <w:rFonts w:hint="eastAsia"/>
          <w:b/>
          <w:color w:val="auto"/>
          <w:spacing w:val="-6"/>
          <w:sz w:val="21"/>
          <w:szCs w:val="21"/>
          <w:highlight w:val="none"/>
          <w:lang w:bidi="ar"/>
        </w:rPr>
        <w:t>第二条：服务期限</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自合同签订之日起180日内交付。</w:t>
      </w:r>
    </w:p>
    <w:p>
      <w:pPr>
        <w:snapToGrid w:val="0"/>
        <w:spacing w:line="288" w:lineRule="auto"/>
        <w:ind w:left="339" w:hanging="340" w:hangingChars="171"/>
        <w:rPr>
          <w:b/>
          <w:color w:val="auto"/>
          <w:spacing w:val="-6"/>
          <w:sz w:val="21"/>
          <w:szCs w:val="21"/>
          <w:highlight w:val="none"/>
        </w:rPr>
      </w:pPr>
      <w:r>
        <w:rPr>
          <w:rFonts w:hint="eastAsia"/>
          <w:b/>
          <w:color w:val="auto"/>
          <w:spacing w:val="-6"/>
          <w:sz w:val="21"/>
          <w:szCs w:val="21"/>
          <w:highlight w:val="none"/>
          <w:lang w:bidi="ar"/>
        </w:rPr>
        <w:t>第三条：知识产权</w:t>
      </w:r>
    </w:p>
    <w:p>
      <w:pPr>
        <w:snapToGrid w:val="0"/>
        <w:spacing w:line="288" w:lineRule="auto"/>
        <w:ind w:firstLine="396" w:firstLineChars="200"/>
        <w:rPr>
          <w:color w:val="auto"/>
          <w:spacing w:val="-6"/>
          <w:sz w:val="21"/>
          <w:szCs w:val="21"/>
          <w:highlight w:val="none"/>
          <w:lang w:bidi="ar"/>
        </w:rPr>
      </w:pPr>
      <w:r>
        <w:rPr>
          <w:rFonts w:hint="eastAsia"/>
          <w:color w:val="auto"/>
          <w:spacing w:val="-6"/>
          <w:sz w:val="21"/>
          <w:szCs w:val="21"/>
          <w:highlight w:val="none"/>
          <w:lang w:bidi="ar"/>
        </w:rPr>
        <w:t>1、数据产权归甲方所有，乙方不得泄露甲方内部数据，也不得将甲方内部数据用于商业用途。</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2、乙方应保证所提供的服务或其任何一部分均不会侵犯任何第三方的知识产权。</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3、乙方应提供系统的技术文件，包括并不限于平台环境配置说明、数字字典、表结构说明、需求说明书、需求确认书、软件著作权扫描件、操作手册、维护手册、系统培训资料以及业务应用系统集成接口和（或）技术说明、验收报告等，以上文件应在项目验收时交付甲方。</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4、乙方保证甲方拥有系统的所有权利，包括系统的所有权、使用权和版权等，如因此和第三方发生争议，由乙方负责处置并承担相应责任。</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lang w:bidi="ar"/>
        </w:rPr>
        <w:t>第四条：服务费用及结算方式</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1、本项目合同总价为人民币     元整（</w:t>
      </w:r>
      <w:r>
        <w:rPr>
          <w:rFonts w:ascii="Arial" w:hAnsi="Arial" w:cs="Arial"/>
          <w:color w:val="auto"/>
          <w:spacing w:val="-6"/>
          <w:kern w:val="0"/>
          <w:sz w:val="21"/>
          <w:szCs w:val="21"/>
          <w:highlight w:val="none"/>
          <w:lang w:bidi="ar"/>
        </w:rPr>
        <w:t>¥</w:t>
      </w:r>
      <w:r>
        <w:rPr>
          <w:rFonts w:hint="eastAsia"/>
          <w:color w:val="auto"/>
          <w:spacing w:val="-6"/>
          <w:kern w:val="0"/>
          <w:sz w:val="21"/>
          <w:szCs w:val="21"/>
          <w:highlight w:val="none"/>
          <w:lang w:bidi="ar"/>
        </w:rPr>
        <w:t xml:space="preserve">    .00元），合同总价包含开发设计、供货、安装、调试、培训、维保等所有费用（含与第三方平台或系统对接的费用），即从合同签订到整个系统调试验收合格交付甲方使用，甲方不再另行支付其他费用。</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2、合同签订后一周内，乙方向甲方提交合同总价1%的履约保证金，履约保证金在合同履约期间无违约情形的，项目验收结束后，于一周内退还（不计息）；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转账信息如下：</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收款单位（户名）:杭州电子科技大学</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银行账号：1202026209008806216</w:t>
      </w:r>
    </w:p>
    <w:p>
      <w:pPr>
        <w:snapToGrid w:val="0"/>
        <w:spacing w:line="288" w:lineRule="auto"/>
        <w:ind w:firstLine="396" w:firstLineChars="200"/>
        <w:rPr>
          <w:color w:val="auto"/>
          <w:spacing w:val="-6"/>
          <w:kern w:val="0"/>
          <w:sz w:val="21"/>
          <w:szCs w:val="21"/>
          <w:highlight w:val="none"/>
          <w:lang w:bidi="ar"/>
        </w:rPr>
      </w:pPr>
      <w:r>
        <w:rPr>
          <w:rFonts w:hint="eastAsia"/>
          <w:color w:val="auto"/>
          <w:spacing w:val="-6"/>
          <w:kern w:val="0"/>
          <w:sz w:val="21"/>
          <w:szCs w:val="21"/>
          <w:highlight w:val="none"/>
          <w:lang w:bidi="ar"/>
        </w:rPr>
        <w:t>3、乙方为中小企业的，合同生效以及具备实施条件后7个工作日内，且乙方已向采购人提交银行、保险公司等金融机构出具的预付款保函的，甲方向乙方支付合同总价的40%；乙方完成软件开发、安装调试，达到项目约定的功能需求和技术参数，并通过甲方验收后，甲方在收到发票后7个工作日内，向乙方支付合同总价的60%。</w:t>
      </w:r>
    </w:p>
    <w:p>
      <w:pPr>
        <w:snapToGrid w:val="0"/>
        <w:spacing w:line="288" w:lineRule="auto"/>
        <w:ind w:firstLine="396" w:firstLineChars="200"/>
        <w:rPr>
          <w:color w:val="auto"/>
          <w:spacing w:val="-6"/>
          <w:kern w:val="0"/>
          <w:sz w:val="21"/>
          <w:szCs w:val="21"/>
          <w:highlight w:val="none"/>
          <w:lang w:bidi="ar"/>
        </w:rPr>
      </w:pPr>
      <w:r>
        <w:rPr>
          <w:rFonts w:hint="eastAsia"/>
          <w:color w:val="auto"/>
          <w:spacing w:val="-6"/>
          <w:kern w:val="0"/>
          <w:sz w:val="21"/>
          <w:szCs w:val="21"/>
          <w:highlight w:val="none"/>
          <w:lang w:bidi="ar"/>
        </w:rPr>
        <w:t>4、乙方为大型企业的，合同生效以及具备实施条件后7个工作日内，且乙方已向甲方提交银行、保险公司等金融机构出具的预付款保函的，甲方向乙方支付合同总价的30%；乙方完成软件开发、安装调试，达到项目约定的功能需求和技术参数，并通过甲方验收后，甲方在收到发票后7个工作日内，向乙方支付合同总价的70%。</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5、在签订合同时，乙方明确表示无需预付款或者主动要求降低预付款比例的，可降低预付款比例（预付款保函同步调整）。</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注：乙方需提供增值税专用发票，开票信息如下：</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抬头：杭州电子科技大学</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税号：12330000470009026T</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地址：杭州市下沙高教园区杭州电子科技大学</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电话：0571-86915020</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银行账号：1202026209008806216</w:t>
      </w:r>
    </w:p>
    <w:p>
      <w:pPr>
        <w:snapToGrid w:val="0"/>
        <w:spacing w:line="288" w:lineRule="auto"/>
        <w:ind w:right="-588" w:rightChars="-245"/>
        <w:rPr>
          <w:b/>
          <w:color w:val="auto"/>
          <w:spacing w:val="-6"/>
          <w:sz w:val="21"/>
          <w:szCs w:val="21"/>
          <w:highlight w:val="none"/>
        </w:rPr>
      </w:pPr>
      <w:r>
        <w:rPr>
          <w:rFonts w:hint="eastAsia"/>
          <w:b/>
          <w:color w:val="auto"/>
          <w:spacing w:val="-6"/>
          <w:sz w:val="21"/>
          <w:szCs w:val="21"/>
          <w:highlight w:val="none"/>
          <w:lang w:bidi="ar"/>
        </w:rPr>
        <w:t>第五条：保密义务</w:t>
      </w:r>
    </w:p>
    <w:p>
      <w:pPr>
        <w:snapToGrid w:val="0"/>
        <w:spacing w:line="288" w:lineRule="auto"/>
        <w:ind w:firstLine="420"/>
        <w:rPr>
          <w:color w:val="auto"/>
          <w:spacing w:val="-6"/>
          <w:sz w:val="21"/>
          <w:szCs w:val="21"/>
          <w:highlight w:val="none"/>
        </w:rPr>
      </w:pPr>
      <w:r>
        <w:rPr>
          <w:rFonts w:hint="eastAsia"/>
          <w:color w:val="auto"/>
          <w:spacing w:val="-6"/>
          <w:sz w:val="21"/>
          <w:szCs w:val="21"/>
          <w:highlight w:val="none"/>
          <w:lang w:bidi="ar"/>
        </w:rPr>
        <w:t>1、对于服务过程中所涉及的全部信息，包括但不限于技术参数、设计方案、技术秘密等，乙方应严格保密，不得向任何第三方披露。</w:t>
      </w:r>
    </w:p>
    <w:p>
      <w:pPr>
        <w:snapToGrid w:val="0"/>
        <w:spacing w:line="288" w:lineRule="auto"/>
        <w:ind w:firstLine="420"/>
        <w:rPr>
          <w:color w:val="auto"/>
          <w:spacing w:val="-6"/>
          <w:sz w:val="21"/>
          <w:szCs w:val="21"/>
          <w:highlight w:val="none"/>
        </w:rPr>
      </w:pPr>
      <w:r>
        <w:rPr>
          <w:rFonts w:hint="eastAsia"/>
          <w:color w:val="auto"/>
          <w:spacing w:val="-6"/>
          <w:sz w:val="21"/>
          <w:szCs w:val="21"/>
          <w:highlight w:val="none"/>
          <w:lang w:bidi="ar"/>
        </w:rPr>
        <w:t>2、关于本条所涉之保密义务，其期限不受本合同之期限限制，乙方应长期遵守，直至该等保密信息成为公开信息为止。</w:t>
      </w:r>
    </w:p>
    <w:p>
      <w:pPr>
        <w:snapToGrid w:val="0"/>
        <w:spacing w:line="288" w:lineRule="auto"/>
        <w:rPr>
          <w:b/>
          <w:color w:val="auto"/>
          <w:spacing w:val="-6"/>
          <w:sz w:val="21"/>
          <w:szCs w:val="21"/>
          <w:highlight w:val="none"/>
        </w:rPr>
      </w:pPr>
      <w:r>
        <w:rPr>
          <w:rFonts w:hint="eastAsia"/>
          <w:b/>
          <w:color w:val="auto"/>
          <w:spacing w:val="-6"/>
          <w:sz w:val="21"/>
          <w:szCs w:val="21"/>
          <w:highlight w:val="none"/>
          <w:lang w:bidi="ar"/>
        </w:rPr>
        <w:t>第六条：不可抗力事件处理</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1、在合同有效期内，任何一方因不可抗力事件导致不能履行合同，则合同履行期可延长，其延长期与不可抗力影响期相同。</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2、不可抗力事件发生后，应立即通知对方，并寄送有关权威机构出具的证明。</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3、不可抗力事件延续120天以上，双方应通过友好协商，确定是否继续履行合同。</w:t>
      </w:r>
    </w:p>
    <w:p>
      <w:pPr>
        <w:snapToGrid w:val="0"/>
        <w:spacing w:line="288" w:lineRule="auto"/>
        <w:rPr>
          <w:b/>
          <w:color w:val="auto"/>
          <w:spacing w:val="-6"/>
          <w:sz w:val="21"/>
          <w:szCs w:val="21"/>
          <w:highlight w:val="none"/>
        </w:rPr>
      </w:pPr>
      <w:r>
        <w:rPr>
          <w:rFonts w:hint="eastAsia"/>
          <w:b/>
          <w:color w:val="auto"/>
          <w:spacing w:val="-6"/>
          <w:sz w:val="21"/>
          <w:szCs w:val="21"/>
          <w:highlight w:val="none"/>
          <w:lang w:bidi="ar"/>
        </w:rPr>
        <w:t>第七条：违约责任</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在本合同履行过程中，双方因违约或造成对方经济、社会效益等损失的应当赔偿。</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1、甲方无正当理由拒绝接收服务，到期拒付服务费的，甲方向乙方偿付应付费用的百分之五作为违约金。甲方逾期付款的，则每日按逾期金额的万分之五向乙方偿付违约金。</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2、乙方提供的服务不符合本项目相关文件和本合同规定的，甲方有权拒收，并且乙方须向甲方支付本合同总服务费的百分之五作为违约金，并承担其他法律责任。</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3、乙方未能按照本合同约定时间提供服务或完成约定的项目服务内容的，从逾期之日起每日按本合同总服务费万分之五的数额向甲方支付违约金；逾期三十日以上的，甲方有权终止合同，由此造成的甲方经济损失由乙方承担，并追究乙方其他法律责任。</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4、未经甲方同意，乙方不得擅自将本合同服务转包第三方承担。如擅自转包，则乙方应支付给甲方本合同总服务费百分之五的违约金。乙方还需承担其他相应法律责任。</w:t>
      </w:r>
    </w:p>
    <w:p>
      <w:pPr>
        <w:snapToGrid w:val="0"/>
        <w:spacing w:line="288" w:lineRule="auto"/>
        <w:ind w:firstLine="396" w:firstLineChars="200"/>
        <w:rPr>
          <w:b/>
          <w:color w:val="auto"/>
          <w:spacing w:val="-6"/>
          <w:sz w:val="21"/>
          <w:szCs w:val="21"/>
          <w:highlight w:val="none"/>
        </w:rPr>
      </w:pPr>
      <w:r>
        <w:rPr>
          <w:rFonts w:hint="eastAsia"/>
          <w:color w:val="auto"/>
          <w:spacing w:val="-6"/>
          <w:sz w:val="21"/>
          <w:szCs w:val="21"/>
          <w:highlight w:val="none"/>
          <w:lang w:bidi="ar"/>
        </w:rPr>
        <w:t>5、其他违约责任按《中华人民共和国民法典》处理。</w:t>
      </w:r>
    </w:p>
    <w:p>
      <w:pPr>
        <w:snapToGrid w:val="0"/>
        <w:spacing w:line="288" w:lineRule="auto"/>
        <w:ind w:right="-588" w:rightChars="-245"/>
        <w:rPr>
          <w:b/>
          <w:color w:val="auto"/>
          <w:spacing w:val="-6"/>
          <w:sz w:val="21"/>
          <w:szCs w:val="21"/>
          <w:highlight w:val="none"/>
        </w:rPr>
      </w:pPr>
      <w:r>
        <w:rPr>
          <w:rFonts w:hint="eastAsia"/>
          <w:b/>
          <w:color w:val="auto"/>
          <w:spacing w:val="-6"/>
          <w:sz w:val="21"/>
          <w:szCs w:val="21"/>
          <w:highlight w:val="none"/>
          <w:lang w:bidi="ar"/>
        </w:rPr>
        <w:t>第八条：争议解决</w:t>
      </w:r>
    </w:p>
    <w:p>
      <w:pPr>
        <w:snapToGrid w:val="0"/>
        <w:spacing w:line="288" w:lineRule="auto"/>
        <w:ind w:right="26" w:rightChars="11" w:firstLine="396" w:firstLineChars="200"/>
        <w:rPr>
          <w:color w:val="auto"/>
          <w:spacing w:val="-6"/>
          <w:sz w:val="21"/>
          <w:szCs w:val="21"/>
          <w:highlight w:val="none"/>
        </w:rPr>
      </w:pPr>
      <w:r>
        <w:rPr>
          <w:rFonts w:hint="eastAsia"/>
          <w:color w:val="auto"/>
          <w:spacing w:val="-6"/>
          <w:sz w:val="21"/>
          <w:szCs w:val="21"/>
          <w:highlight w:val="none"/>
          <w:lang w:bidi="ar"/>
        </w:rPr>
        <w:t>本合同未尽事宜由三方协商解决，如协商不成，三方同意将本合同引起的争议提交杭州仲裁委员会仲裁解决，仲裁为终局。</w:t>
      </w:r>
    </w:p>
    <w:p>
      <w:pPr>
        <w:snapToGrid w:val="0"/>
        <w:spacing w:line="288" w:lineRule="auto"/>
        <w:ind w:right="-588" w:rightChars="-245"/>
        <w:rPr>
          <w:b/>
          <w:color w:val="auto"/>
          <w:spacing w:val="-6"/>
          <w:sz w:val="21"/>
          <w:szCs w:val="21"/>
          <w:highlight w:val="none"/>
        </w:rPr>
      </w:pPr>
      <w:r>
        <w:rPr>
          <w:rFonts w:hint="eastAsia"/>
          <w:b/>
          <w:color w:val="auto"/>
          <w:spacing w:val="-6"/>
          <w:sz w:val="21"/>
          <w:szCs w:val="21"/>
          <w:highlight w:val="none"/>
          <w:lang w:bidi="ar"/>
        </w:rPr>
        <w:t>第九条：合同生效</w:t>
      </w:r>
    </w:p>
    <w:p>
      <w:pPr>
        <w:numPr>
          <w:ilvl w:val="0"/>
          <w:numId w:val="1"/>
        </w:num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合同经三方法定代表人或授权代表签字并加盖单位公章后生效。</w:t>
      </w:r>
    </w:p>
    <w:p>
      <w:pPr>
        <w:numPr>
          <w:ilvl w:val="0"/>
          <w:numId w:val="1"/>
        </w:num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合同执行中涉及采购资金和采购内容修改或补充的，须经财政部门审批，并签书面补充协议报政府采购监督管理部门备案，方可作为主合同不可分割的一部分。</w:t>
      </w:r>
    </w:p>
    <w:p>
      <w:pPr>
        <w:numPr>
          <w:ilvl w:val="0"/>
          <w:numId w:val="1"/>
        </w:num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本合同未尽事宜，遵照《中华人民共和国民法典》有关条文执行。</w:t>
      </w:r>
    </w:p>
    <w:p>
      <w:pPr>
        <w:numPr>
          <w:ilvl w:val="0"/>
          <w:numId w:val="1"/>
        </w:num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本合同一式五份，乙方、采购代理机构各执壹份，甲方执叁份。</w:t>
      </w:r>
    </w:p>
    <w:tbl>
      <w:tblPr>
        <w:tblStyle w:val="11"/>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8280"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74"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46"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46"/>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47"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w:t>
      </w:r>
      <w:r>
        <w:rPr>
          <w:rFonts w:hint="eastAsia"/>
          <w:b/>
          <w:bCs/>
          <w:color w:val="auto"/>
          <w:sz w:val="21"/>
          <w:szCs w:val="21"/>
          <w:highlight w:val="none"/>
        </w:rPr>
        <w:t>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398" w:firstLineChars="200"/>
        <w:rPr>
          <w:b/>
          <w:bCs/>
          <w:color w:val="auto"/>
          <w:sz w:val="21"/>
          <w:szCs w:val="21"/>
          <w:highlight w:val="none"/>
        </w:rPr>
      </w:pPr>
      <w:r>
        <w:rPr>
          <w:rFonts w:hint="eastAsia"/>
          <w:b/>
          <w:color w:val="auto"/>
          <w:spacing w:val="-6"/>
          <w:sz w:val="21"/>
          <w:szCs w:val="21"/>
          <w:highlight w:val="none"/>
        </w:rPr>
        <w:t>▲联合体响应的，联合体各方均应提供资格文件（</w:t>
      </w:r>
      <w:r>
        <w:rPr>
          <w:b/>
          <w:color w:val="auto"/>
          <w:spacing w:val="-6"/>
          <w:sz w:val="21"/>
          <w:szCs w:val="21"/>
          <w:highlight w:val="none"/>
        </w:rPr>
        <w:t>1）、（2）</w:t>
      </w:r>
      <w:r>
        <w:rPr>
          <w:rFonts w:hint="eastAsia"/>
          <w:b/>
          <w:color w:val="auto"/>
          <w:spacing w:val="-6"/>
          <w:sz w:val="21"/>
          <w:szCs w:val="21"/>
          <w:highlight w:val="none"/>
        </w:rPr>
        <w:t>材料</w:t>
      </w:r>
      <w:r>
        <w:rPr>
          <w:b/>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47"/>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（2）中小企业声明函（若属于中小企业）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（3）属于监狱企业的证明文件（若属于监狱企业）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（4）残疾人福利性单位声明函（若属于残疾人福利性单位）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）2021年12月（含）以后任意一月供应商授权代表社保缴纳证明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rFonts w:cs="Times New Roman"/>
          <w:color w:val="auto"/>
          <w:spacing w:val="-6"/>
          <w:sz w:val="21"/>
          <w:szCs w:val="21"/>
          <w:highlight w:val="none"/>
        </w:rPr>
      </w:pPr>
      <w:bookmarkStart w:id="48" w:name="_Hlk71884196"/>
      <w:r>
        <w:rPr>
          <w:rFonts w:hint="eastAsia"/>
          <w:color w:val="auto"/>
          <w:sz w:val="21"/>
          <w:szCs w:val="21"/>
          <w:highlight w:val="none"/>
        </w:rPr>
        <w:t>（5</w:t>
      </w:r>
      <w:r>
        <w:rPr>
          <w:color w:val="auto"/>
          <w:sz w:val="21"/>
          <w:szCs w:val="21"/>
          <w:highlight w:val="none"/>
        </w:rPr>
        <w:t>）</w:t>
      </w:r>
      <w:r>
        <w:rPr>
          <w:rFonts w:hint="eastAsia"/>
          <w:color w:val="auto"/>
          <w:sz w:val="21"/>
          <w:szCs w:val="21"/>
          <w:highlight w:val="none"/>
        </w:rPr>
        <w:t>服务</w:t>
      </w:r>
      <w:r>
        <w:rPr>
          <w:color w:val="auto"/>
          <w:sz w:val="21"/>
          <w:szCs w:val="21"/>
          <w:highlight w:val="none"/>
        </w:rPr>
        <w:t>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8"/>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9" w:name="_Hlk94097338"/>
      <w:r>
        <w:rPr>
          <w:rFonts w:hint="eastAsia"/>
          <w:b/>
          <w:bCs/>
          <w:color w:val="auto"/>
          <w:sz w:val="21"/>
          <w:szCs w:val="21"/>
          <w:highlight w:val="none"/>
        </w:rPr>
        <w:t>资格审查要求的资格证明材料(均需加盖公章)</w:t>
      </w:r>
    </w:p>
    <w:bookmarkEnd w:id="49"/>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r>
        <w:rPr>
          <w:rFonts w:hint="eastAsia"/>
          <w:b/>
          <w:color w:val="auto"/>
          <w:spacing w:val="-6"/>
          <w:sz w:val="21"/>
          <w:szCs w:val="21"/>
          <w:highlight w:val="none"/>
        </w:rPr>
        <w:t>无</w:t>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项目名称：校园数据治理及综合数字应用</w:t>
      </w:r>
    </w:p>
    <w:p>
      <w:pPr>
        <w:adjustRightInd w:val="0"/>
        <w:snapToGrid w:val="0"/>
        <w:spacing w:line="288" w:lineRule="auto"/>
        <w:rPr>
          <w:color w:val="auto"/>
          <w:sz w:val="21"/>
          <w:szCs w:val="21"/>
          <w:highlight w:val="none"/>
        </w:rPr>
      </w:pPr>
      <w:r>
        <w:rPr>
          <w:rFonts w:hint="eastAsia"/>
          <w:color w:val="auto"/>
          <w:sz w:val="21"/>
          <w:szCs w:val="21"/>
          <w:highlight w:val="none"/>
        </w:rPr>
        <w:t>项目编号：QSZB-Z(F)-B22462(CS)</w:t>
      </w:r>
    </w:p>
    <w:tbl>
      <w:tblPr>
        <w:tblStyle w:val="11"/>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color w:val="auto"/>
                <w:sz w:val="21"/>
                <w:szCs w:val="21"/>
                <w:highlight w:val="none"/>
              </w:rPr>
            </w:pPr>
            <w:r>
              <w:rPr>
                <w:rFonts w:hint="eastAsia" w:cs="Times New Roman"/>
                <w:b/>
                <w:color w:val="auto"/>
                <w:spacing w:val="-6"/>
                <w:sz w:val="21"/>
                <w:szCs w:val="21"/>
                <w:highlight w:val="none"/>
              </w:rPr>
              <w:t>说明：采购人将以合同形式有偿取得货物或服务，不接受供应商给予的赠品、回扣或者与采购无关的其他商品、服务。</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总价（人民币元）</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小写：_________________________</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大写：_________________________</w:t>
            </w:r>
          </w:p>
          <w:p>
            <w:pPr>
              <w:adjustRightInd w:val="0"/>
              <w:snapToGrid w:val="0"/>
              <w:spacing w:line="288" w:lineRule="auto"/>
              <w:rPr>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rPr>
        <w:t>（2）</w:t>
      </w:r>
      <w:r>
        <w:rPr>
          <w:b/>
          <w:bCs/>
          <w:color w:val="auto"/>
          <w:sz w:val="21"/>
          <w:szCs w:val="21"/>
          <w:highlight w:val="none"/>
        </w:rPr>
        <w:t>中小企业声明函（服务）</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i/>
          <w:color w:val="auto"/>
          <w:sz w:val="21"/>
          <w:szCs w:val="21"/>
          <w:highlight w:val="none"/>
          <w:u w:val="single"/>
        </w:rPr>
        <w:t>（单位名称）</w:t>
      </w:r>
      <w:r>
        <w:rPr>
          <w:color w:val="auto"/>
          <w:sz w:val="21"/>
          <w:szCs w:val="21"/>
          <w:highlight w:val="none"/>
        </w:rPr>
        <w:t>的</w:t>
      </w:r>
      <w:r>
        <w:rPr>
          <w:i/>
          <w:color w:val="auto"/>
          <w:sz w:val="21"/>
          <w:szCs w:val="21"/>
          <w:highlight w:val="none"/>
          <w:u w:val="single"/>
        </w:rPr>
        <w:t>（项目名称）</w:t>
      </w:r>
      <w:r>
        <w:rPr>
          <w:color w:val="auto"/>
          <w:sz w:val="21"/>
          <w:szCs w:val="21"/>
          <w:highlight w:val="none"/>
        </w:rPr>
        <w:t>采购活动，服务全部由符合政策要求的中小企业承接。相关企业（含联合体中的中小企业、签订分包意向协议的中小企业）的具体情况如下：</w:t>
      </w:r>
    </w:p>
    <w:p>
      <w:pPr>
        <w:adjustRightInd w:val="0"/>
        <w:snapToGrid w:val="0"/>
        <w:spacing w:line="288" w:lineRule="auto"/>
        <w:ind w:firstLine="495" w:firstLineChars="236"/>
        <w:rPr>
          <w:i/>
          <w:color w:val="auto"/>
          <w:sz w:val="21"/>
          <w:szCs w:val="21"/>
          <w:highlight w:val="none"/>
          <w:u w:val="single"/>
        </w:rPr>
      </w:pPr>
      <w:r>
        <w:rPr>
          <w:rFonts w:hint="eastAsia"/>
          <w:i/>
          <w:color w:val="auto"/>
          <w:sz w:val="21"/>
          <w:szCs w:val="21"/>
          <w:highlight w:val="none"/>
          <w:u w:val="single"/>
        </w:rPr>
        <w:t>1</w:t>
      </w:r>
      <w:r>
        <w:rPr>
          <w:i/>
          <w:color w:val="auto"/>
          <w:sz w:val="21"/>
          <w:szCs w:val="21"/>
          <w:highlight w:val="none"/>
          <w:u w:val="single"/>
        </w:rPr>
        <w:t>.（标的名称），属于（采购文件中明确的所属行业）；</w:t>
      </w:r>
      <w:r>
        <w:rPr>
          <w:color w:val="auto"/>
          <w:sz w:val="21"/>
          <w:szCs w:val="21"/>
          <w:highlight w:val="none"/>
        </w:rPr>
        <w:t>承接企业为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rFonts w:hint="eastAsia"/>
          <w:i/>
          <w:color w:val="auto"/>
          <w:sz w:val="21"/>
          <w:szCs w:val="21"/>
          <w:highlight w:val="none"/>
          <w:u w:val="single"/>
        </w:rPr>
        <w:t>2</w:t>
      </w:r>
      <w:r>
        <w:rPr>
          <w:i/>
          <w:color w:val="auto"/>
          <w:sz w:val="21"/>
          <w:szCs w:val="21"/>
          <w:highlight w:val="none"/>
          <w:u w:val="single"/>
        </w:rPr>
        <w:t>.（标的名称）</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w:t>
      </w:r>
      <w:r>
        <w:rPr>
          <w:color w:val="auto"/>
          <w:sz w:val="21"/>
          <w:szCs w:val="21"/>
          <w:highlight w:val="none"/>
        </w:rPr>
        <w:t>；承接企业为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中小企业声明函》填写不全的，视为未提供《中小企业声明函》（从业人员、营业收入、资产总额在中小企业划型标准规定中不涉及的除外），或未按照《中小企业声明函》要求填写的，不享受中小企业扶持政策。</w:t>
      </w:r>
      <w:r>
        <w:rPr>
          <w:color w:val="auto"/>
          <w:sz w:val="21"/>
          <w:szCs w:val="21"/>
          <w:highlight w:val="non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（3）属于监狱企业的证明文件（若属于监狱企业）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（4）残疾人福利性单位声明函（若属于残疾人福利性单位）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，且本单位参加______（采购人）单位的______（项目名称）项目采购活动提供提供服务。</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rPr>
        <w:t>杭州电子科技大学校园数据治理及综合数字应用</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：QSZB-Z(F)-B22462(CS)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adjustRightInd w:val="0"/>
              <w:snapToGrid w:val="0"/>
              <w:spacing w:line="288" w:lineRule="auto"/>
              <w:rPr>
                <w:rFonts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）法定代表人授权委托书</w:t>
      </w:r>
    </w:p>
    <w:p>
      <w:pPr>
        <w:adjustRightInd w:val="0"/>
        <w:snapToGrid w:val="0"/>
        <w:spacing w:line="288" w:lineRule="auto"/>
        <w:rPr>
          <w:color w:val="auto"/>
          <w:sz w:val="21"/>
          <w:szCs w:val="21"/>
          <w:highlight w:val="none"/>
        </w:rPr>
      </w:pPr>
      <w:r>
        <w:rPr>
          <w:rFonts w:hint="eastAsia"/>
          <w:color w:val="auto"/>
          <w:sz w:val="21"/>
          <w:szCs w:val="21"/>
          <w:highlight w:val="none"/>
        </w:rPr>
        <w:t>致：杭州电子科技大学、浙江求是招标代理有限公司</w:t>
      </w:r>
    </w:p>
    <w:p>
      <w:pPr>
        <w:adjustRightInd w:val="0"/>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我</w:t>
      </w:r>
      <w:r>
        <w:rPr>
          <w:rFonts w:cs="Times New Roman"/>
          <w:color w:val="auto"/>
          <w:spacing w:val="-6"/>
          <w:sz w:val="21"/>
          <w:szCs w:val="21"/>
          <w:highlight w:val="none"/>
        </w:rPr>
        <w:t>________________</w:t>
      </w:r>
      <w:r>
        <w:rPr>
          <w:rFonts w:hint="eastAsia" w:cs="Times New Roman"/>
          <w:color w:val="auto"/>
          <w:spacing w:val="-6"/>
          <w:sz w:val="21"/>
          <w:szCs w:val="21"/>
          <w:highlight w:val="none"/>
        </w:rPr>
        <w:t>（</w:t>
      </w:r>
      <w:r>
        <w:rPr>
          <w:rFonts w:cs="Times New Roman"/>
          <w:bCs/>
          <w:color w:val="auto"/>
          <w:spacing w:val="-6"/>
          <w:sz w:val="21"/>
          <w:szCs w:val="21"/>
          <w:highlight w:val="none"/>
        </w:rPr>
        <w:t>姓名</w:t>
      </w:r>
      <w:r>
        <w:rPr>
          <w:rFonts w:hint="eastAsia" w:cs="Times New Roman"/>
          <w:bCs/>
          <w:color w:val="auto"/>
          <w:spacing w:val="-6"/>
          <w:sz w:val="21"/>
          <w:szCs w:val="21"/>
          <w:highlight w:val="none"/>
        </w:rPr>
        <w:t>）</w:t>
      </w:r>
      <w:r>
        <w:rPr>
          <w:rFonts w:cs="Times New Roman"/>
          <w:bCs/>
          <w:color w:val="auto"/>
          <w:spacing w:val="-6"/>
          <w:sz w:val="21"/>
          <w:szCs w:val="21"/>
          <w:highlight w:val="none"/>
        </w:rPr>
        <w:t>系</w:t>
      </w:r>
      <w:r>
        <w:rPr>
          <w:rFonts w:hint="eastAsia" w:cs="Times New Roman"/>
          <w:bCs/>
          <w:color w:val="auto"/>
          <w:spacing w:val="-6"/>
          <w:sz w:val="21"/>
          <w:szCs w:val="21"/>
          <w:highlight w:val="none"/>
        </w:rPr>
        <w:t>_________________________（供应商名称）</w:t>
      </w:r>
      <w:r>
        <w:rPr>
          <w:rFonts w:cs="Times New Roman"/>
          <w:bCs/>
          <w:color w:val="auto"/>
          <w:spacing w:val="-6"/>
          <w:sz w:val="21"/>
          <w:szCs w:val="21"/>
          <w:highlight w:val="none"/>
        </w:rPr>
        <w:t>的法定代表人，身份证</w:t>
      </w:r>
      <w:r>
        <w:rPr>
          <w:rFonts w:hint="eastAsia" w:cs="Times New Roman"/>
          <w:bCs/>
          <w:color w:val="auto"/>
          <w:spacing w:val="-6"/>
          <w:sz w:val="21"/>
          <w:szCs w:val="21"/>
          <w:highlight w:val="none"/>
        </w:rPr>
        <w:t>号码：_________________________________。</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现授权委托本单位在职职工：</w:t>
      </w:r>
      <w:r>
        <w:rPr>
          <w:rFonts w:cs="Times New Roman"/>
          <w:color w:val="auto"/>
          <w:spacing w:val="-6"/>
          <w:sz w:val="21"/>
          <w:szCs w:val="21"/>
          <w:highlight w:val="none"/>
        </w:rPr>
        <w:t>_________</w:t>
      </w:r>
      <w:r>
        <w:rPr>
          <w:rFonts w:hint="eastAsia" w:cs="Times New Roman"/>
          <w:color w:val="auto"/>
          <w:spacing w:val="-6"/>
          <w:sz w:val="21"/>
          <w:szCs w:val="21"/>
          <w:highlight w:val="none"/>
        </w:rPr>
        <w:t>（姓名），身份证号码：</w:t>
      </w:r>
      <w:r>
        <w:rPr>
          <w:rFonts w:cs="Times New Roman"/>
          <w:color w:val="auto"/>
          <w:spacing w:val="-6"/>
          <w:sz w:val="21"/>
          <w:szCs w:val="21"/>
          <w:highlight w:val="none"/>
        </w:rPr>
        <w:t>_______________</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rPr>
        <w:t>杭州电子科技大学校园数据治理及综合数字应用标项</w:t>
      </w:r>
      <w:r>
        <w:rPr>
          <w:rFonts w:hint="eastAsia" w:cs="Times New Roman"/>
          <w:bCs/>
          <w:color w:val="auto"/>
          <w:spacing w:val="-6"/>
          <w:sz w:val="21"/>
          <w:szCs w:val="21"/>
          <w:highlight w:val="none"/>
          <w:u w:val="single"/>
        </w:rPr>
        <w:t xml:space="preserve">  </w:t>
      </w:r>
      <w:r>
        <w:rPr>
          <w:rFonts w:cs="Times New Roman"/>
          <w:bCs/>
          <w:color w:val="auto"/>
          <w:spacing w:val="-6"/>
          <w:sz w:val="21"/>
          <w:szCs w:val="21"/>
          <w:highlight w:val="none"/>
          <w:u w:val="single"/>
        </w:rPr>
        <w:t xml:space="preserve"> </w:t>
      </w:r>
      <w:r>
        <w:rPr>
          <w:rFonts w:hint="eastAsia" w:cs="Times New Roman"/>
          <w:bCs/>
          <w:color w:val="auto"/>
          <w:spacing w:val="-6"/>
          <w:sz w:val="21"/>
          <w:szCs w:val="21"/>
          <w:highlight w:val="none"/>
          <w:u w:val="single"/>
        </w:rPr>
        <w:t xml:space="preserve"> </w:t>
      </w:r>
      <w:r>
        <w:rPr>
          <w:rFonts w:hint="eastAsia" w:cs="Times New Roman"/>
          <w:color w:val="auto"/>
          <w:spacing w:val="-6"/>
          <w:sz w:val="21"/>
          <w:szCs w:val="21"/>
          <w:highlight w:val="none"/>
        </w:rPr>
        <w:t>的磋商活动，并代表我方全权办理针对上述项目的</w:t>
      </w:r>
      <w:r>
        <w:rPr>
          <w:rFonts w:hint="eastAsia"/>
          <w:color w:val="auto"/>
          <w:sz w:val="21"/>
          <w:szCs w:val="21"/>
          <w:highlight w:val="none"/>
        </w:rPr>
        <w:t>磋商文件开启、磋商、评审、签约等具体事务和签署相关文件。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我方对被授权人的签名负全部责任。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被授权人无转委托权，特此委托。</w:t>
      </w:r>
    </w:p>
    <w:p>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▲供应商授权代表必须为供应商本单位在职职工，并提供2021</w:t>
      </w:r>
      <w:r>
        <w:rPr>
          <w:color w:val="auto"/>
          <w:sz w:val="21"/>
          <w:szCs w:val="21"/>
          <w:highlight w:val="none"/>
          <w:u w:val="single"/>
        </w:rPr>
        <w:t>年12月（含）以后任意一月社保缴纳证明</w:t>
      </w:r>
      <w:r>
        <w:rPr>
          <w:rFonts w:hint="eastAsia"/>
          <w:color w:val="auto"/>
          <w:sz w:val="21"/>
          <w:szCs w:val="21"/>
          <w:highlight w:val="none"/>
          <w:u w:val="single"/>
        </w:rPr>
        <w:t>。</w:t>
      </w:r>
    </w:p>
    <w:p>
      <w:pPr>
        <w:adjustRightInd w:val="0"/>
        <w:snapToGrid w:val="0"/>
        <w:spacing w:line="288" w:lineRule="auto"/>
        <w:rPr>
          <w:b/>
          <w:bCs/>
          <w:color w:val="auto"/>
          <w:sz w:val="21"/>
          <w:szCs w:val="21"/>
          <w:highlight w:val="none"/>
        </w:rPr>
      </w:pPr>
    </w:p>
    <w:p>
      <w:pPr>
        <w:adjustRightInd w:val="0"/>
        <w:snapToGrid w:val="0"/>
        <w:spacing w:line="288" w:lineRule="auto"/>
        <w:rPr>
          <w:color w:val="auto"/>
          <w:sz w:val="21"/>
          <w:szCs w:val="21"/>
          <w:highlight w:val="none"/>
        </w:rPr>
      </w:pPr>
      <w:r>
        <w:rPr>
          <w:rFonts w:hint="eastAsia"/>
          <w:b/>
          <w:bCs/>
          <w:color w:val="auto"/>
          <w:sz w:val="21"/>
          <w:szCs w:val="21"/>
          <w:highlight w:val="none"/>
        </w:rPr>
        <w:t>法定代表人（签名或盖章）：</w:t>
      </w: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628" w:type="dxa"/>
          </w:tcPr>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法定代表人身份证明：</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授权代表身份证明：</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）2021年12月（含）以后任意一月的供应商授权代表社保缴纳证明</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（授权代表为法定代表人可不提供）</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26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w:t>
            </w:r>
          </w:p>
        </w:tc>
        <w:tc>
          <w:tcPr>
            <w:tcW w:w="12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项目名称</w:t>
            </w:r>
          </w:p>
        </w:tc>
        <w:tc>
          <w:tcPr>
            <w:tcW w:w="143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25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合同金额</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（万元）</w:t>
            </w:r>
          </w:p>
        </w:tc>
        <w:tc>
          <w:tcPr>
            <w:tcW w:w="89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附件页码</w:t>
            </w:r>
          </w:p>
        </w:tc>
        <w:tc>
          <w:tcPr>
            <w:tcW w:w="99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采购人联系人</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项目名称：校园数据治理及综合数字应用</w:t>
      </w:r>
    </w:p>
    <w:p>
      <w:pPr>
        <w:adjustRightInd w:val="0"/>
        <w:snapToGrid w:val="0"/>
        <w:spacing w:line="288" w:lineRule="auto"/>
        <w:rPr>
          <w:color w:val="auto"/>
          <w:sz w:val="21"/>
          <w:szCs w:val="21"/>
          <w:highlight w:val="none"/>
        </w:rPr>
      </w:pPr>
      <w:r>
        <w:rPr>
          <w:rFonts w:hint="eastAsia"/>
          <w:color w:val="auto"/>
          <w:sz w:val="21"/>
          <w:szCs w:val="21"/>
          <w:highlight w:val="none"/>
        </w:rPr>
        <w:t>项目编号：QSZB-Z(F)-B22462(CS)</w:t>
      </w:r>
    </w:p>
    <w:tbl>
      <w:tblPr>
        <w:tblStyle w:val="1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lang w:bidi="ar"/>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lang w:bidi="ar"/>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lang w:bidi="ar"/>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（5）服务方案</w:t>
      </w:r>
    </w:p>
    <w:p>
      <w:pPr>
        <w:adjustRightInd w:val="0"/>
        <w:snapToGrid w:val="0"/>
        <w:spacing w:line="288" w:lineRule="auto"/>
        <w:outlineLvl w:val="2"/>
        <w:rPr>
          <w:b/>
          <w:bCs/>
          <w:color w:val="auto"/>
          <w:spacing w:val="-6"/>
          <w:sz w:val="21"/>
          <w:szCs w:val="21"/>
          <w:highlight w:val="none"/>
        </w:rPr>
      </w:pPr>
      <w:r>
        <w:rPr>
          <w:rFonts w:hint="eastAsia"/>
          <w:b/>
          <w:bCs/>
          <w:color w:val="auto"/>
          <w:sz w:val="21"/>
          <w:szCs w:val="21"/>
          <w:highlight w:val="none"/>
        </w:rPr>
        <w:t>（6）供应商需要说明的其他文件和材料</w:t>
      </w:r>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w:t>
      </w:r>
      <w:r>
        <w:rPr>
          <w:rFonts w:hint="eastAsia" w:cs="仿宋_GB2312"/>
          <w:b/>
          <w:color w:val="auto"/>
          <w:kern w:val="0"/>
          <w:sz w:val="21"/>
          <w:szCs w:val="21"/>
          <w:highlight w:val="none"/>
        </w:rPr>
        <w:t>服务</w:t>
      </w:r>
      <w:r>
        <w:rPr>
          <w:rFonts w:hint="eastAsia" w:cs="仿宋_GB2312"/>
          <w:b/>
          <w:color w:val="auto"/>
          <w:kern w:val="0"/>
          <w:sz w:val="21"/>
          <w:szCs w:val="21"/>
          <w:highlight w:val="none"/>
          <w:lang w:val="zh-CN"/>
        </w:rPr>
        <w:t>全部由小微企业</w:t>
      </w:r>
      <w:r>
        <w:rPr>
          <w:rFonts w:hint="eastAsia" w:cs="仿宋_GB2312"/>
          <w:b/>
          <w:color w:val="auto"/>
          <w:kern w:val="0"/>
          <w:sz w:val="21"/>
          <w:szCs w:val="21"/>
          <w:highlight w:val="none"/>
        </w:rPr>
        <w:t>提供</w:t>
      </w:r>
      <w:r>
        <w:rPr>
          <w:rFonts w:hint="eastAsia" w:cs="仿宋_GB2312"/>
          <w:b/>
          <w:color w:val="auto"/>
          <w:kern w:val="0"/>
          <w:sz w:val="21"/>
          <w:szCs w:val="21"/>
          <w:highlight w:val="none"/>
          <w:lang w:val="zh-CN"/>
        </w:rPr>
        <w:t>，且其合同份额占到合同总金额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，对联合体报价给予</w:t>
      </w:r>
      <w:r>
        <w:rPr>
          <w:rFonts w:hint="eastAsia" w:cs="仿宋_GB2312"/>
          <w:b/>
          <w:color w:val="auto"/>
          <w:kern w:val="0"/>
          <w:sz w:val="21"/>
          <w:szCs w:val="21"/>
          <w:highlight w:val="none"/>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w:t>
      </w:r>
      <w:r>
        <w:rPr>
          <w:rFonts w:hint="eastAsia" w:cs="仿宋_GB2312"/>
          <w:b/>
          <w:color w:val="auto"/>
          <w:kern w:val="0"/>
          <w:sz w:val="21"/>
          <w:szCs w:val="21"/>
          <w:highlight w:val="none"/>
        </w:rPr>
        <w:t>服务</w:t>
      </w:r>
      <w:r>
        <w:rPr>
          <w:rFonts w:hint="eastAsia" w:cs="仿宋_GB2312"/>
          <w:b/>
          <w:color w:val="auto"/>
          <w:kern w:val="0"/>
          <w:sz w:val="21"/>
          <w:szCs w:val="21"/>
          <w:highlight w:val="none"/>
          <w:lang w:val="zh-CN"/>
        </w:rPr>
        <w:t>全部由小微企业</w:t>
      </w:r>
      <w:r>
        <w:rPr>
          <w:rFonts w:hint="eastAsia" w:cs="仿宋_GB2312"/>
          <w:b/>
          <w:color w:val="auto"/>
          <w:kern w:val="0"/>
          <w:sz w:val="21"/>
          <w:szCs w:val="21"/>
          <w:highlight w:val="none"/>
        </w:rPr>
        <w:t>提供</w:t>
      </w:r>
      <w:r>
        <w:rPr>
          <w:rFonts w:hint="eastAsia" w:cs="仿宋_GB2312"/>
          <w:b/>
          <w:color w:val="auto"/>
          <w:kern w:val="0"/>
          <w:sz w:val="21"/>
          <w:szCs w:val="21"/>
          <w:highlight w:val="none"/>
          <w:lang w:val="zh-CN"/>
        </w:rPr>
        <w:t>，且其合同份额占到合同总金额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的，对大中型企业的报价给予</w:t>
      </w:r>
      <w:r>
        <w:rPr>
          <w:rFonts w:hint="eastAsia" w:cs="仿宋_GB2312"/>
          <w:b/>
          <w:color w:val="auto"/>
          <w:kern w:val="0"/>
          <w:sz w:val="21"/>
          <w:szCs w:val="21"/>
          <w:highlight w:val="none"/>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4" w:firstLineChars="201"/>
        <w:rPr>
          <w:rFonts w:cs="仿宋_GB2312"/>
          <w:b/>
          <w:color w:val="auto"/>
          <w:kern w:val="0"/>
          <w:sz w:val="21"/>
          <w:szCs w:val="21"/>
          <w:highlight w:val="none"/>
          <w:lang w:val="zh-CN"/>
        </w:rPr>
      </w:pP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urier New">
    <w:panose1 w:val="02070309020205020404"/>
    <w:charset w:val="00"/>
    <w:family w:val="auto"/>
    <w:pitch w:val="default"/>
    <w:sig w:usb0="E0002E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 w:name="Helvetica">
    <w:altName w:val="Arial"/>
    <w:panose1 w:val="00000000000000000000"/>
    <w:charset w:val="00"/>
    <w:family w:val="auto"/>
    <w:pitch w:val="default"/>
    <w:sig w:usb0="00000000" w:usb1="00000000" w:usb2="00000000" w:usb3="00000000" w:csb0="0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12</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1F6ACE"/>
    <w:multiLevelType w:val="multilevel"/>
    <w:tmpl w:val="E51F6AC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E5OTM2ZDU1NThlNWNkZjIyZWVhZDE1MDIwZjNlYzA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71F0A"/>
    <w:rsid w:val="000767D0"/>
    <w:rsid w:val="00081FB8"/>
    <w:rsid w:val="00083A4C"/>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67137"/>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3AC2"/>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07A8"/>
    <w:rsid w:val="006D3BAA"/>
    <w:rsid w:val="006D7283"/>
    <w:rsid w:val="006E5749"/>
    <w:rsid w:val="006F277C"/>
    <w:rsid w:val="006F46B6"/>
    <w:rsid w:val="0070138B"/>
    <w:rsid w:val="00705EF5"/>
    <w:rsid w:val="00707602"/>
    <w:rsid w:val="00707B60"/>
    <w:rsid w:val="00711714"/>
    <w:rsid w:val="00712984"/>
    <w:rsid w:val="0071599A"/>
    <w:rsid w:val="007325CF"/>
    <w:rsid w:val="00732CDB"/>
    <w:rsid w:val="0073538E"/>
    <w:rsid w:val="00742B0C"/>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0ECA"/>
    <w:rsid w:val="007B160C"/>
    <w:rsid w:val="007C2F9C"/>
    <w:rsid w:val="007C537A"/>
    <w:rsid w:val="007D1444"/>
    <w:rsid w:val="007D2661"/>
    <w:rsid w:val="007E240F"/>
    <w:rsid w:val="007E681D"/>
    <w:rsid w:val="007F2E8B"/>
    <w:rsid w:val="00800ABA"/>
    <w:rsid w:val="00800FCE"/>
    <w:rsid w:val="00810FA6"/>
    <w:rsid w:val="008133A4"/>
    <w:rsid w:val="00814C63"/>
    <w:rsid w:val="008316E0"/>
    <w:rsid w:val="00840283"/>
    <w:rsid w:val="00840FE7"/>
    <w:rsid w:val="00841ADD"/>
    <w:rsid w:val="00843675"/>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1EBA"/>
    <w:rsid w:val="00A03AD8"/>
    <w:rsid w:val="00A07A45"/>
    <w:rsid w:val="00A142D1"/>
    <w:rsid w:val="00A14D67"/>
    <w:rsid w:val="00A22CF0"/>
    <w:rsid w:val="00A2408D"/>
    <w:rsid w:val="00A249C0"/>
    <w:rsid w:val="00A278E5"/>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C4FDD"/>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1782F"/>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2B03C85"/>
    <w:rsid w:val="037B50A2"/>
    <w:rsid w:val="03E00C4C"/>
    <w:rsid w:val="04047316"/>
    <w:rsid w:val="04107868"/>
    <w:rsid w:val="042639C4"/>
    <w:rsid w:val="05186D7A"/>
    <w:rsid w:val="05530297"/>
    <w:rsid w:val="05921E89"/>
    <w:rsid w:val="059B7960"/>
    <w:rsid w:val="06073472"/>
    <w:rsid w:val="06155FB9"/>
    <w:rsid w:val="062C0EFB"/>
    <w:rsid w:val="063A4A7C"/>
    <w:rsid w:val="063A4B2E"/>
    <w:rsid w:val="063F01A6"/>
    <w:rsid w:val="063F4856"/>
    <w:rsid w:val="065D4FEB"/>
    <w:rsid w:val="06806222"/>
    <w:rsid w:val="07002843"/>
    <w:rsid w:val="070D5CB2"/>
    <w:rsid w:val="07274707"/>
    <w:rsid w:val="07292075"/>
    <w:rsid w:val="07402809"/>
    <w:rsid w:val="074513B1"/>
    <w:rsid w:val="07530F64"/>
    <w:rsid w:val="07D67872"/>
    <w:rsid w:val="07D91574"/>
    <w:rsid w:val="07DD2110"/>
    <w:rsid w:val="08407E9B"/>
    <w:rsid w:val="08924D63"/>
    <w:rsid w:val="08A66635"/>
    <w:rsid w:val="08D10BEF"/>
    <w:rsid w:val="094474E0"/>
    <w:rsid w:val="0949141E"/>
    <w:rsid w:val="095639A6"/>
    <w:rsid w:val="095A626C"/>
    <w:rsid w:val="09D842F7"/>
    <w:rsid w:val="0A3907F3"/>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EB964B"/>
    <w:rsid w:val="2BFF5D0E"/>
    <w:rsid w:val="2C45590B"/>
    <w:rsid w:val="2C665C52"/>
    <w:rsid w:val="2C7F3A5D"/>
    <w:rsid w:val="2CDC7E42"/>
    <w:rsid w:val="2CF652E7"/>
    <w:rsid w:val="2D1153A4"/>
    <w:rsid w:val="2D614DC2"/>
    <w:rsid w:val="2DA22BE2"/>
    <w:rsid w:val="2E2758AF"/>
    <w:rsid w:val="2E3F744B"/>
    <w:rsid w:val="2E7942E2"/>
    <w:rsid w:val="2EBF5216"/>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778F7C"/>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2B67A1"/>
    <w:rsid w:val="36553987"/>
    <w:rsid w:val="36E466D7"/>
    <w:rsid w:val="371840E5"/>
    <w:rsid w:val="37551903"/>
    <w:rsid w:val="377BCB39"/>
    <w:rsid w:val="37A25A49"/>
    <w:rsid w:val="37BD498C"/>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F183797"/>
    <w:rsid w:val="3F491508"/>
    <w:rsid w:val="3F5D7FCB"/>
    <w:rsid w:val="3F5E6491"/>
    <w:rsid w:val="3F9900FB"/>
    <w:rsid w:val="3F9B2115"/>
    <w:rsid w:val="3FE70284"/>
    <w:rsid w:val="3FEA6AA5"/>
    <w:rsid w:val="40522DD7"/>
    <w:rsid w:val="4094290E"/>
    <w:rsid w:val="40D1408C"/>
    <w:rsid w:val="410715B3"/>
    <w:rsid w:val="41124712"/>
    <w:rsid w:val="41224FB8"/>
    <w:rsid w:val="414D2866"/>
    <w:rsid w:val="417F7AFD"/>
    <w:rsid w:val="41B31BED"/>
    <w:rsid w:val="41BE677C"/>
    <w:rsid w:val="41F55CA8"/>
    <w:rsid w:val="42276C78"/>
    <w:rsid w:val="428C51B1"/>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6084EAB"/>
    <w:rsid w:val="462D32F3"/>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9B24EA"/>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E78BB"/>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6B1115"/>
    <w:rsid w:val="4F7B269C"/>
    <w:rsid w:val="4FD39E2F"/>
    <w:rsid w:val="4FDA0DAB"/>
    <w:rsid w:val="4FEC3BFA"/>
    <w:rsid w:val="4FFEAA9C"/>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795327"/>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ED42D3"/>
    <w:rsid w:val="56F13E4B"/>
    <w:rsid w:val="57063CE5"/>
    <w:rsid w:val="57193C7A"/>
    <w:rsid w:val="57575FE6"/>
    <w:rsid w:val="581731F5"/>
    <w:rsid w:val="5818649C"/>
    <w:rsid w:val="5875284A"/>
    <w:rsid w:val="587C6933"/>
    <w:rsid w:val="588351A0"/>
    <w:rsid w:val="58B24F2D"/>
    <w:rsid w:val="58B6757E"/>
    <w:rsid w:val="59427DB3"/>
    <w:rsid w:val="597E6AEA"/>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DFADF68"/>
    <w:rsid w:val="5E0FE23D"/>
    <w:rsid w:val="5E2454A6"/>
    <w:rsid w:val="5E424FF2"/>
    <w:rsid w:val="5E463BD8"/>
    <w:rsid w:val="5E4F4E0A"/>
    <w:rsid w:val="5E58304E"/>
    <w:rsid w:val="5E8C73C5"/>
    <w:rsid w:val="5EF26512"/>
    <w:rsid w:val="5F333DDF"/>
    <w:rsid w:val="5F653280"/>
    <w:rsid w:val="5F89D84F"/>
    <w:rsid w:val="60122100"/>
    <w:rsid w:val="60BF4EDB"/>
    <w:rsid w:val="61667655"/>
    <w:rsid w:val="618A71D9"/>
    <w:rsid w:val="61F5057D"/>
    <w:rsid w:val="620D493E"/>
    <w:rsid w:val="620E31A7"/>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311E47"/>
    <w:rsid w:val="6563017D"/>
    <w:rsid w:val="657C2CB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BF58A07"/>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9399A"/>
    <w:rsid w:val="6FEB7F4E"/>
    <w:rsid w:val="6FF3ED22"/>
    <w:rsid w:val="6FF72D16"/>
    <w:rsid w:val="701B7A5A"/>
    <w:rsid w:val="70710D73"/>
    <w:rsid w:val="7075449C"/>
    <w:rsid w:val="7093328D"/>
    <w:rsid w:val="70B94757"/>
    <w:rsid w:val="70C208BF"/>
    <w:rsid w:val="70CF457E"/>
    <w:rsid w:val="71493E4B"/>
    <w:rsid w:val="722A7E86"/>
    <w:rsid w:val="723356D8"/>
    <w:rsid w:val="723B1117"/>
    <w:rsid w:val="724F76A0"/>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426719"/>
    <w:rsid w:val="775341E3"/>
    <w:rsid w:val="775B20A7"/>
    <w:rsid w:val="7789074F"/>
    <w:rsid w:val="77AB5374"/>
    <w:rsid w:val="77B72B1A"/>
    <w:rsid w:val="77BB00C0"/>
    <w:rsid w:val="77DE0CE2"/>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9F9FEF7"/>
    <w:rsid w:val="7A331A23"/>
    <w:rsid w:val="7A4E22EF"/>
    <w:rsid w:val="7A962995"/>
    <w:rsid w:val="7AD91DD2"/>
    <w:rsid w:val="7ADD7AFB"/>
    <w:rsid w:val="7ADF56A9"/>
    <w:rsid w:val="7AFF8501"/>
    <w:rsid w:val="7B3967A5"/>
    <w:rsid w:val="7B3F2806"/>
    <w:rsid w:val="7B8D1DF0"/>
    <w:rsid w:val="7B930120"/>
    <w:rsid w:val="7C750E75"/>
    <w:rsid w:val="7CA41621"/>
    <w:rsid w:val="7CA51CE8"/>
    <w:rsid w:val="7CD64B89"/>
    <w:rsid w:val="7CFD1F85"/>
    <w:rsid w:val="7D1136F7"/>
    <w:rsid w:val="7D851B58"/>
    <w:rsid w:val="7DCD0FCE"/>
    <w:rsid w:val="7DD9EBCB"/>
    <w:rsid w:val="7E2010C6"/>
    <w:rsid w:val="7E4F352C"/>
    <w:rsid w:val="7E8C467E"/>
    <w:rsid w:val="7EC54DBD"/>
    <w:rsid w:val="7EC93871"/>
    <w:rsid w:val="7F097EC6"/>
    <w:rsid w:val="7F2C2FB4"/>
    <w:rsid w:val="7F4935EE"/>
    <w:rsid w:val="7F551A8E"/>
    <w:rsid w:val="7F67411D"/>
    <w:rsid w:val="7F6F60AC"/>
    <w:rsid w:val="7FBE237B"/>
    <w:rsid w:val="7FF6D180"/>
    <w:rsid w:val="7FFBD77D"/>
    <w:rsid w:val="7FFBF577"/>
    <w:rsid w:val="7FFF3FFE"/>
    <w:rsid w:val="9BFF7F9B"/>
    <w:rsid w:val="9ED7F163"/>
    <w:rsid w:val="9F56DE2A"/>
    <w:rsid w:val="ADF73BAC"/>
    <w:rsid w:val="B0D67983"/>
    <w:rsid w:val="B9DFA49E"/>
    <w:rsid w:val="BB7E974A"/>
    <w:rsid w:val="BE9E3E33"/>
    <w:rsid w:val="BF9CDD0D"/>
    <w:rsid w:val="CEF583DE"/>
    <w:rsid w:val="CFFFF971"/>
    <w:rsid w:val="DB5DD366"/>
    <w:rsid w:val="DD5DB282"/>
    <w:rsid w:val="DFBFB1AF"/>
    <w:rsid w:val="DFEB7EB9"/>
    <w:rsid w:val="DFEBB685"/>
    <w:rsid w:val="DFF3090E"/>
    <w:rsid w:val="E5CF7D7A"/>
    <w:rsid w:val="E6EABE13"/>
    <w:rsid w:val="E8FE7002"/>
    <w:rsid w:val="EEBD783C"/>
    <w:rsid w:val="EF764FDA"/>
    <w:rsid w:val="EFEB886D"/>
    <w:rsid w:val="EFFCF20F"/>
    <w:rsid w:val="F37AD70C"/>
    <w:rsid w:val="F77B80E7"/>
    <w:rsid w:val="F7BD0EA9"/>
    <w:rsid w:val="FA89F768"/>
    <w:rsid w:val="FB3DEB86"/>
    <w:rsid w:val="FCE5D065"/>
    <w:rsid w:val="FFDFE7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uiPriority w:val="1"/>
  </w:style>
  <w:style w:type="table" w:default="1" w:styleId="11">
    <w:name w:val="Normal Table"/>
    <w:semiHidden/>
    <w:unhideWhenUsed/>
    <w:uiPriority w:val="99"/>
    <w:tblPr>
      <w:tblLayout w:type="fixed"/>
      <w:tblCellMar>
        <w:top w:w="0" w:type="dxa"/>
        <w:left w:w="108" w:type="dxa"/>
        <w:bottom w:w="0" w:type="dxa"/>
        <w:right w:w="108" w:type="dxa"/>
      </w:tblCellMar>
    </w:tblPr>
  </w:style>
  <w:style w:type="paragraph" w:styleId="2">
    <w:name w:val="Body Text First Indent 2"/>
    <w:unhideWhenUsed/>
    <w:qFormat/>
    <w:uiPriority w:val="99"/>
    <w:pPr>
      <w:widowControl w:val="0"/>
      <w:spacing w:line="200" w:lineRule="atLeast"/>
      <w:ind w:firstLine="420"/>
      <w:jc w:val="both"/>
    </w:pPr>
    <w:rPr>
      <w:rFonts w:ascii="宋体" w:hAnsi="Courier New" w:eastAsia="宋体" w:cs="Times New Roman"/>
      <w:spacing w:val="-4"/>
      <w:sz w:val="18"/>
      <w:lang w:val="en-US" w:eastAsia="zh-CN" w:bidi="ar-SA"/>
    </w:rPr>
  </w:style>
  <w:style w:type="paragraph" w:styleId="3">
    <w:name w:val="annotation text"/>
    <w:basedOn w:val="1"/>
    <w:link w:val="17"/>
    <w:unhideWhenUsed/>
    <w:qFormat/>
    <w:uiPriority w:val="99"/>
    <w:pPr>
      <w:jc w:val="left"/>
    </w:pPr>
    <w:rPr>
      <w:rFonts w:ascii="Times New Roman" w:hAnsi="Times New Roman" w:cs="Times New Roman"/>
      <w:sz w:val="28"/>
    </w:rPr>
  </w:style>
  <w:style w:type="paragraph" w:styleId="4">
    <w:name w:val="Body Text Indent"/>
    <w:basedOn w:val="1"/>
    <w:link w:val="18"/>
    <w:qFormat/>
    <w:uiPriority w:val="0"/>
    <w:pPr>
      <w:spacing w:line="200" w:lineRule="atLeast"/>
      <w:ind w:firstLine="301"/>
    </w:pPr>
    <w:rPr>
      <w:rFonts w:hAnsi="Courier New" w:cs="Times New Roman"/>
      <w:spacing w:val="-4"/>
      <w:sz w:val="18"/>
      <w:szCs w:val="20"/>
    </w:rPr>
  </w:style>
  <w:style w:type="paragraph" w:styleId="5">
    <w:name w:val="Plain Text"/>
    <w:basedOn w:val="1"/>
    <w:link w:val="25"/>
    <w:qFormat/>
    <w:uiPriority w:val="99"/>
    <w:pPr>
      <w:spacing w:before="156" w:beforeLines="50" w:after="156" w:afterLines="50" w:line="400" w:lineRule="atLeast"/>
    </w:pPr>
    <w:rPr>
      <w:rFonts w:hAnsi="Courier New" w:eastAsiaTheme="minorEastAsia" w:cstheme="minorBidi"/>
    </w:rPr>
  </w:style>
  <w:style w:type="paragraph" w:styleId="6">
    <w:name w:val="Balloon Text"/>
    <w:basedOn w:val="1"/>
    <w:link w:val="16"/>
    <w:qFormat/>
    <w:uiPriority w:val="0"/>
    <w:rPr>
      <w:sz w:val="18"/>
      <w:szCs w:val="18"/>
    </w:rPr>
  </w:style>
  <w:style w:type="paragraph" w:styleId="7">
    <w:name w:val="footer"/>
    <w:basedOn w:val="1"/>
    <w:link w:val="23"/>
    <w:qFormat/>
    <w:uiPriority w:val="99"/>
    <w:pPr>
      <w:tabs>
        <w:tab w:val="center" w:pos="4153"/>
        <w:tab w:val="right" w:pos="8306"/>
      </w:tabs>
      <w:snapToGrid w:val="0"/>
      <w:jc w:val="left"/>
    </w:pPr>
    <w:rPr>
      <w:sz w:val="18"/>
    </w:rPr>
  </w:style>
  <w:style w:type="paragraph" w:styleId="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3"/>
    <w:next w:val="3"/>
    <w:link w:val="26"/>
    <w:semiHidden/>
    <w:unhideWhenUsed/>
    <w:qFormat/>
    <w:uiPriority w:val="0"/>
    <w:rPr>
      <w:rFonts w:ascii="宋体" w:hAnsi="宋体" w:cs="宋体"/>
      <w:b/>
      <w:bCs/>
      <w:sz w:val="24"/>
    </w:rPr>
  </w:style>
  <w:style w:type="table" w:styleId="12">
    <w:name w:val="Table Grid"/>
    <w:basedOn w:val="1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批注框文本字符"/>
    <w:basedOn w:val="13"/>
    <w:link w:val="6"/>
    <w:qFormat/>
    <w:uiPriority w:val="0"/>
    <w:rPr>
      <w:rFonts w:ascii="宋体" w:hAnsi="宋体" w:cs="宋体"/>
      <w:kern w:val="2"/>
      <w:sz w:val="18"/>
      <w:szCs w:val="18"/>
    </w:rPr>
  </w:style>
  <w:style w:type="character" w:customStyle="1" w:styleId="17">
    <w:name w:val="批注文字字符"/>
    <w:basedOn w:val="13"/>
    <w:link w:val="3"/>
    <w:qFormat/>
    <w:uiPriority w:val="99"/>
    <w:rPr>
      <w:kern w:val="2"/>
      <w:sz w:val="28"/>
      <w:szCs w:val="24"/>
    </w:rPr>
  </w:style>
  <w:style w:type="character" w:customStyle="1" w:styleId="18">
    <w:name w:val="正文文本缩进字符"/>
    <w:link w:val="4"/>
    <w:qFormat/>
    <w:uiPriority w:val="0"/>
    <w:rPr>
      <w:rFonts w:ascii="宋体" w:hAnsi="Courier New"/>
      <w:spacing w:val="-4"/>
      <w:kern w:val="2"/>
      <w:sz w:val="18"/>
    </w:rPr>
  </w:style>
  <w:style w:type="character" w:customStyle="1" w:styleId="19">
    <w:name w:val="正文文本缩进 字符"/>
    <w:basedOn w:val="13"/>
    <w:qFormat/>
    <w:uiPriority w:val="0"/>
    <w:rPr>
      <w:rFonts w:ascii="宋体" w:hAnsi="宋体" w:cs="宋体"/>
      <w:kern w:val="2"/>
      <w:sz w:val="24"/>
      <w:szCs w:val="24"/>
    </w:rPr>
  </w:style>
  <w:style w:type="character" w:customStyle="1" w:styleId="20">
    <w:name w:val="正文文本缩进 字符2"/>
    <w:qFormat/>
    <w:uiPriority w:val="0"/>
    <w:rPr>
      <w:rFonts w:ascii="宋体" w:hAnsi="Courier New"/>
      <w:spacing w:val="-4"/>
      <w:kern w:val="2"/>
      <w:sz w:val="18"/>
    </w:rPr>
  </w:style>
  <w:style w:type="character" w:customStyle="1" w:styleId="21">
    <w:name w:val="未处理的提及1"/>
    <w:basedOn w:val="13"/>
    <w:semiHidden/>
    <w:unhideWhenUsed/>
    <w:qFormat/>
    <w:uiPriority w:val="99"/>
    <w:rPr>
      <w:color w:val="605E5C"/>
      <w:shd w:val="clear" w:color="auto" w:fill="E1DFDD"/>
    </w:rPr>
  </w:style>
  <w:style w:type="paragraph" w:styleId="22">
    <w:name w:val="List Paragraph"/>
    <w:basedOn w:val="1"/>
    <w:qFormat/>
    <w:uiPriority w:val="99"/>
    <w:pPr>
      <w:ind w:firstLine="420" w:firstLineChars="200"/>
    </w:pPr>
  </w:style>
  <w:style w:type="character" w:customStyle="1" w:styleId="23">
    <w:name w:val="页脚字符"/>
    <w:basedOn w:val="13"/>
    <w:link w:val="7"/>
    <w:qFormat/>
    <w:uiPriority w:val="99"/>
    <w:rPr>
      <w:rFonts w:ascii="宋体" w:hAnsi="宋体" w:cs="宋体"/>
      <w:kern w:val="2"/>
      <w:sz w:val="18"/>
      <w:szCs w:val="24"/>
    </w:rPr>
  </w:style>
  <w:style w:type="character" w:customStyle="1" w:styleId="24">
    <w:name w:val="纯文本 字符"/>
    <w:basedOn w:val="13"/>
    <w:qFormat/>
    <w:uiPriority w:val="0"/>
    <w:rPr>
      <w:rFonts w:hAnsi="Courier New" w:cs="Courier New" w:asciiTheme="minorEastAsia" w:eastAsiaTheme="minorEastAsia"/>
      <w:kern w:val="2"/>
      <w:sz w:val="24"/>
      <w:szCs w:val="24"/>
    </w:rPr>
  </w:style>
  <w:style w:type="character" w:customStyle="1" w:styleId="25">
    <w:name w:val="纯文本字符"/>
    <w:link w:val="5"/>
    <w:qFormat/>
    <w:uiPriority w:val="99"/>
    <w:rPr>
      <w:rFonts w:ascii="宋体" w:hAnsi="Courier New" w:eastAsiaTheme="minorEastAsia" w:cstheme="minorBidi"/>
      <w:kern w:val="2"/>
      <w:sz w:val="24"/>
      <w:szCs w:val="24"/>
    </w:rPr>
  </w:style>
  <w:style w:type="character" w:customStyle="1" w:styleId="26">
    <w:name w:val="批注主题字符"/>
    <w:basedOn w:val="17"/>
    <w:link w:val="10"/>
    <w:semiHidden/>
    <w:qFormat/>
    <w:uiPriority w:val="0"/>
    <w:rPr>
      <w:rFonts w:ascii="宋体" w:hAnsi="宋体" w:cs="宋体"/>
      <w:b/>
      <w:bCs/>
      <w:kern w:val="2"/>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6407</Words>
  <Characters>36523</Characters>
  <Lines>304</Lines>
  <Paragraphs>85</Paragraphs>
  <TotalTime>44</TotalTime>
  <ScaleCrop>false</ScaleCrop>
  <LinksUpToDate>false</LinksUpToDate>
  <CharactersWithSpaces>42845</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2022-10-31T12:22:00Z</dcterms:created>
  <dc:creator>Administrator</dc:creator>
  <cp:lastModifiedBy>浙江求是招标代理有限公司</cp:lastModifiedBy>
  <cp:lastPrinted>2020-04-01T13:56:00Z</cp:lastPrinted>
  <dcterms:modified xsi:type="dcterms:W3CDTF">2022-11-03T02:21:28Z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