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继教院专技人员继续教育网络学习平台课程资源服务采购</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继教院专技人员继续教育网络学习平台课程资源服务采购</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QSZBB250164ZFGK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[2025]47521号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pgBorders>
            <w:top w:val="none" w:sz="0" w:space="0"/>
            <w:left w:val="none" w:sz="0" w:space="0"/>
            <w:bottom w:val="none" w:sz="0" w:space="0"/>
            <w:right w:val="none" w:sz="0" w:space="0"/>
          </w:pgBorders>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继教院专技人员继续教育网络学习平台课程资源服务采购</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2025年9月17日9:00:00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28359079"/>
      <w:bookmarkStart w:id="1" w:name="_Toc35393790"/>
      <w:bookmarkStart w:id="2" w:name="_Toc35393621"/>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QSZBB250164ZFGK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继教院专技人员继续教育网络学习平台课程资源服务采购</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2400000元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.最高限价：2400000元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自合同签订之日起30日内完成网络学习平台及课程资源上线，网络学习平台及课程资源服务使用期限为上线之日起三年。</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3522"/>
        <w:gridCol w:w="828"/>
        <w:gridCol w:w="830"/>
        <w:gridCol w:w="3655"/>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10" w:type="pct"/>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29" w:type="pct"/>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430" w:type="pct"/>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431" w:type="pct"/>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1898" w:type="pct"/>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10" w:type="pct"/>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1829" w:type="pct"/>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继教院专技人员继续教育网络学习平台课程资源服务采购</w:t>
            </w:r>
          </w:p>
        </w:tc>
        <w:tc>
          <w:tcPr>
            <w:tcW w:w="430" w:type="pct"/>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431" w:type="pct"/>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项</w:t>
            </w:r>
          </w:p>
        </w:tc>
        <w:tc>
          <w:tcPr>
            <w:tcW w:w="1898" w:type="pct"/>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80"/>
      <w:bookmarkStart w:id="6" w:name="_Toc35393791"/>
      <w:bookmarkStart w:id="7" w:name="_Toc28359003"/>
      <w:bookmarkStart w:id="8" w:name="_Toc35393622"/>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2.落实政府采购政策需满足的资格要求：本项目专门面向中小企业采购，需按要求提交《中小企业声明函》</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服务全部由中小企业承接，即提供服务的人员为中小企业依照《中华人民共和国劳动合同法》订立劳动合同的从业人员）</w:t>
      </w:r>
      <w:r>
        <w:rPr>
          <w:rFonts w:hint="eastAsia" w:ascii="宋体" w:hAnsi="宋体" w:eastAsia="宋体" w:cs="Times New Roman"/>
          <w:color w:val="auto"/>
          <w:szCs w:val="21"/>
          <w:highlight w:val="none"/>
          <w:lang w:eastAsia="zh-CN"/>
        </w:rPr>
        <w:t>。监狱企业、残疾人福利性单位视同小型、微型企业；</w:t>
      </w:r>
    </w:p>
    <w:p w14:paraId="662586C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3.本项目的特定资格要求：无</w:t>
      </w:r>
      <w:r>
        <w:rPr>
          <w:rFonts w:hint="eastAsia" w:ascii="宋体" w:hAnsi="宋体" w:eastAsia="宋体" w:cs="Times New Roman"/>
          <w:color w:val="auto"/>
          <w:szCs w:val="21"/>
          <w:highlight w:val="none"/>
          <w:lang w:eastAsia="zh-CN"/>
        </w:rPr>
        <w:t>。</w:t>
      </w:r>
    </w:p>
    <w:p w14:paraId="45E95296">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27</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2025年9月17日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2025年9月17日9:00:00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2025年9月17日9:00:00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84"/>
      <w:bookmarkStart w:id="20" w:name="_Toc35393625"/>
      <w:bookmarkStart w:id="21" w:name="_Toc35393794"/>
      <w:bookmarkStart w:id="22" w:name="_Toc28359007"/>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796"/>
      <w:bookmarkStart w:id="30" w:name="_Toc28359008"/>
      <w:bookmarkStart w:id="31" w:name="_Toc35393627"/>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1ABC07AB">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73105B">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4E232DA9">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1A3A597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75D0D605">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郑老师</w:t>
      </w:r>
    </w:p>
    <w:p w14:paraId="054BAA87">
      <w:pPr>
        <w:adjustRightInd w:val="0"/>
        <w:snapToGrid w:val="0"/>
        <w:spacing w:line="288" w:lineRule="auto"/>
        <w:ind w:firstLine="424" w:firstLineChars="202"/>
        <w:rPr>
          <w:rFonts w:hint="default" w:ascii="宋体" w:hAnsi="宋体" w:cs="Times New Roman" w:eastAsiaTheme="minorEastAsia"/>
          <w:color w:val="auto"/>
          <w:szCs w:val="21"/>
          <w:highlight w:val="none"/>
          <w:lang w:val="en-US"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val="en-US" w:eastAsia="zh-CN"/>
        </w:rPr>
        <w:t>13575453542</w:t>
      </w:r>
    </w:p>
    <w:p w14:paraId="2A7F5ADB">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r>
        <w:rPr>
          <w:rFonts w:hint="eastAsia" w:ascii="宋体" w:hAnsi="宋体" w:eastAsia="宋体" w:cs="Times New Roman"/>
          <w:bCs/>
          <w:color w:val="auto"/>
          <w:spacing w:val="-6"/>
          <w:szCs w:val="21"/>
          <w:highlight w:val="none"/>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31067E27">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联系人：匡老师</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监督投诉电话：0571-87807798</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w:t>
            </w:r>
            <w:r>
              <w:rPr>
                <w:rFonts w:hint="eastAsia" w:ascii="宋体" w:hAnsi="宋体" w:eastAsia="宋体" w:cs="宋体"/>
                <w:color w:val="auto"/>
                <w:szCs w:val="21"/>
                <w:highlight w:val="none"/>
                <w:lang w:val="en-US" w:eastAsia="zh-CN"/>
              </w:rPr>
              <w:t>资格</w:t>
            </w:r>
            <w:r>
              <w:rPr>
                <w:rFonts w:hint="eastAsia" w:ascii="宋体" w:hAnsi="宋体" w:eastAsia="宋体" w:cs="宋体"/>
                <w:color w:val="auto"/>
                <w:szCs w:val="21"/>
                <w:highlight w:val="none"/>
              </w:rPr>
              <w:t>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w:t>
            </w:r>
            <w:r>
              <w:rPr>
                <w:rFonts w:hint="default" w:ascii="宋体" w:hAnsi="宋体" w:eastAsia="宋体" w:cs="Times New Roman"/>
                <w:b/>
                <w:bCs/>
                <w:color w:val="auto"/>
                <w:szCs w:val="21"/>
                <w:highlight w:val="none"/>
              </w:rPr>
              <w:t>服务</w:t>
            </w:r>
          </w:p>
          <w:p w14:paraId="3B56365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采购标的对应的中小企业划分标准所属行业：</w:t>
            </w:r>
            <w:r>
              <w:rPr>
                <w:rFonts w:hint="eastAsia" w:ascii="宋体" w:hAnsi="宋体" w:eastAsia="宋体" w:cs="Times New Roman"/>
                <w:b/>
                <w:bCs/>
                <w:color w:val="auto"/>
                <w:szCs w:val="21"/>
                <w:highlight w:val="none"/>
                <w:lang w:val="en-US" w:eastAsia="zh-CN"/>
              </w:rPr>
              <w:t>软件和信息技术服务业</w:t>
            </w:r>
          </w:p>
          <w:p w14:paraId="2EAB4A2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提供材料详见招标文件第六章“资格文件”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652B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963BDE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11971AB5">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08BAEA0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154E758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0A168DC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35ECCE6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301F2848">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7F75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2A573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0D0EAD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合同生效以及具备实施条件后7个工作日内，且供应商已向采购人提交银行、保险公司等金融机构出具的预付款保函的，采购人向供应商支付合同总价的20%；项目履约完成，经采购人验收合格后，收到发票后7个工作日内，采购人按实结清分成费用。</w:t>
            </w:r>
          </w:p>
          <w:p w14:paraId="034D1CC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2.签订合同时中标人明确表示无需预付款的，可以采用以下付款方式：</w:t>
            </w:r>
          </w:p>
          <w:p w14:paraId="29B8E62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①一次性付款：服务结束，采购人验收合格并收到发票后10个工作日内，采购人向供应商支付全部合同价款。</w:t>
            </w:r>
          </w:p>
          <w:p w14:paraId="5D38B03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②分期付款：业务收入的确认周期为每季度结算一次，每年1月、4月、7月、10月双方进行上一周期分成费用核算。其中1月10日前的费用核算为上一年度10月1日至12月31日期间的分成费用；4月10日前的费用核算为本年度1月1日至3月31日期间的分成费用；7月10日前的费用核算为本年度4月1日至6月30日期间的分成费用；10月10日前的费用核算为本年度7月1日至9月30日期间的分成费用。双方核算确认后，供应商应向采购人出具相应金额的增值税专用发票，采购人在收到发票后10个工作日内向中标人支付当期分成费用总额的100%。</w:t>
            </w:r>
          </w:p>
          <w:p w14:paraId="23FBE67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注：付款前，中标人须交纳合同约定的履约保证金（如有）并提供采购人财务处开具的履约保证金收据，中标人向采购人开具等额有效的合格增值税专用发票。采购人开票信息如下：</w:t>
            </w:r>
          </w:p>
          <w:p w14:paraId="2B9ECDF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单位名称：杭州电子科技大学。税号：12330000470009026T</w:t>
            </w:r>
          </w:p>
          <w:p w14:paraId="743CECF1">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开户银行：工行杭州高新支行。账号：1202026209008806216</w:t>
            </w:r>
          </w:p>
        </w:tc>
      </w:tr>
      <w:bookmarkEnd w:id="35"/>
    </w:tbl>
    <w:p w14:paraId="0554BEF9">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满足继教院专技人员继续教育网络学习平台课程资源服务采购的具体需求。</w:t>
      </w:r>
    </w:p>
    <w:p w14:paraId="127DEDFB">
      <w:pPr>
        <w:adjustRightInd w:val="0"/>
        <w:snapToGrid w:val="0"/>
        <w:spacing w:line="288" w:lineRule="auto"/>
        <w:rPr>
          <w:rFonts w:hint="eastAsia"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w:t>
      </w:r>
      <w:r>
        <w:rPr>
          <w:rFonts w:hint="eastAsia" w:ascii="宋体" w:hAnsi="宋体" w:eastAsia="宋体" w:cs="Times New Roman"/>
          <w:b/>
          <w:bCs/>
          <w:color w:val="auto"/>
          <w:spacing w:val="-4"/>
          <w:szCs w:val="21"/>
          <w:highlight w:val="none"/>
          <w:lang w:val="en-US" w:eastAsia="zh-CN"/>
        </w:rPr>
        <w:t>服务</w:t>
      </w:r>
      <w:r>
        <w:rPr>
          <w:rFonts w:hint="eastAsia" w:ascii="宋体" w:hAnsi="宋体" w:eastAsia="宋体" w:cs="Times New Roman"/>
          <w:b/>
          <w:bCs/>
          <w:color w:val="auto"/>
          <w:spacing w:val="-4"/>
          <w:szCs w:val="21"/>
          <w:highlight w:val="none"/>
        </w:rPr>
        <w:t>要求：</w:t>
      </w:r>
    </w:p>
    <w:p w14:paraId="22CC8A9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1"/>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 </w:t>
      </w:r>
      <w:r>
        <w:rPr>
          <w:rFonts w:hint="eastAsia" w:ascii="宋体" w:hAnsi="宋体" w:eastAsia="宋体" w:cs="宋体"/>
          <w:b w:val="0"/>
          <w:bCs w:val="0"/>
          <w:color w:val="auto"/>
          <w:sz w:val="21"/>
          <w:szCs w:val="21"/>
          <w:highlight w:val="none"/>
        </w:rPr>
        <w:t>学习平台要求</w:t>
      </w:r>
      <w:r>
        <w:rPr>
          <w:rFonts w:hint="eastAsia" w:ascii="宋体" w:hAnsi="宋体" w:eastAsia="宋体" w:cs="宋体"/>
          <w:b w:val="0"/>
          <w:bCs w:val="0"/>
          <w:color w:val="auto"/>
          <w:sz w:val="21"/>
          <w:szCs w:val="21"/>
          <w:highlight w:val="none"/>
          <w:lang w:eastAsia="zh-CN"/>
        </w:rPr>
        <w:t>：</w:t>
      </w:r>
    </w:p>
    <w:p w14:paraId="659DE4D7">
      <w:pPr>
        <w:keepLines w:val="0"/>
        <w:pageBreakBefore w:val="0"/>
        <w:kinsoku/>
        <w:overflowPunct/>
        <w:topLinePunct w:val="0"/>
        <w:autoSpaceDE/>
        <w:autoSpaceDN/>
        <w:bidi w:val="0"/>
        <w:adjustRightInd/>
        <w:snapToGrid/>
        <w:spacing w:line="288" w:lineRule="auto"/>
        <w:ind w:firstLine="420" w:firstLineChars="20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供</w:t>
      </w:r>
      <w:r>
        <w:rPr>
          <w:rFonts w:hint="eastAsia" w:ascii="宋体" w:hAnsi="宋体" w:eastAsia="宋体" w:cs="宋体"/>
          <w:b w:val="0"/>
          <w:bCs w:val="0"/>
          <w:color w:val="auto"/>
          <w:sz w:val="21"/>
          <w:szCs w:val="21"/>
          <w:highlight w:val="none"/>
        </w:rPr>
        <w:t>应商应提供专业技术人员继续教育网络学习平台</w:t>
      </w:r>
      <w:r>
        <w:rPr>
          <w:rFonts w:hint="eastAsia" w:ascii="宋体" w:hAnsi="宋体" w:eastAsia="宋体" w:cs="宋体"/>
          <w:b w:val="0"/>
          <w:bCs w:val="0"/>
          <w:color w:val="auto"/>
          <w:sz w:val="21"/>
          <w:szCs w:val="21"/>
          <w:highlight w:val="none"/>
          <w:lang w:val="en-US" w:eastAsia="zh-CN"/>
        </w:rPr>
        <w:t>建设</w:t>
      </w:r>
      <w:r>
        <w:rPr>
          <w:rFonts w:hint="eastAsia" w:ascii="宋体" w:hAnsi="宋体" w:eastAsia="宋体" w:cs="宋体"/>
          <w:b w:val="0"/>
          <w:bCs w:val="0"/>
          <w:color w:val="auto"/>
          <w:sz w:val="21"/>
          <w:szCs w:val="21"/>
          <w:highlight w:val="none"/>
        </w:rPr>
        <w:t>方案，方案</w:t>
      </w:r>
      <w:r>
        <w:rPr>
          <w:rFonts w:hint="eastAsia" w:ascii="宋体" w:hAnsi="宋体" w:eastAsia="宋体" w:cs="宋体"/>
          <w:b w:val="0"/>
          <w:bCs w:val="0"/>
          <w:color w:val="auto"/>
          <w:sz w:val="21"/>
          <w:szCs w:val="21"/>
          <w:highlight w:val="none"/>
          <w:lang w:val="en-US" w:eastAsia="zh-CN"/>
        </w:rPr>
        <w:t>设计需包含</w:t>
      </w:r>
      <w:r>
        <w:rPr>
          <w:rFonts w:hint="eastAsia" w:ascii="宋体" w:hAnsi="宋体" w:eastAsia="宋体" w:cs="宋体"/>
          <w:b w:val="0"/>
          <w:bCs w:val="0"/>
          <w:color w:val="auto"/>
          <w:sz w:val="21"/>
          <w:szCs w:val="21"/>
          <w:highlight w:val="none"/>
        </w:rPr>
        <w:t>平台设计原则</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平台功能</w:t>
      </w:r>
      <w:r>
        <w:rPr>
          <w:rFonts w:hint="eastAsia" w:ascii="宋体" w:hAnsi="宋体" w:eastAsia="宋体" w:cs="宋体"/>
          <w:b w:val="0"/>
          <w:bCs w:val="0"/>
          <w:color w:val="auto"/>
          <w:sz w:val="21"/>
          <w:szCs w:val="21"/>
          <w:highlight w:val="none"/>
          <w:lang w:val="en-US" w:eastAsia="zh-CN"/>
        </w:rPr>
        <w:t>设计、平台性能及运维能力设计</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建设</w:t>
      </w:r>
      <w:r>
        <w:rPr>
          <w:rFonts w:hint="eastAsia" w:ascii="宋体" w:hAnsi="宋体" w:eastAsia="宋体" w:cs="宋体"/>
          <w:b w:val="0"/>
          <w:bCs w:val="0"/>
          <w:color w:val="auto"/>
          <w:sz w:val="21"/>
          <w:szCs w:val="21"/>
          <w:highlight w:val="none"/>
        </w:rPr>
        <w:t>方案</w:t>
      </w:r>
      <w:r>
        <w:rPr>
          <w:rFonts w:hint="eastAsia" w:ascii="宋体" w:hAnsi="宋体" w:eastAsia="宋体" w:cs="宋体"/>
          <w:b w:val="0"/>
          <w:bCs w:val="0"/>
          <w:color w:val="auto"/>
          <w:sz w:val="21"/>
          <w:szCs w:val="21"/>
          <w:highlight w:val="none"/>
          <w:lang w:val="en-US" w:eastAsia="zh-CN"/>
        </w:rPr>
        <w:t>应考虑功能</w:t>
      </w:r>
      <w:r>
        <w:rPr>
          <w:rFonts w:hint="eastAsia" w:ascii="宋体" w:hAnsi="宋体" w:eastAsia="宋体" w:cs="宋体"/>
          <w:b w:val="0"/>
          <w:bCs w:val="0"/>
          <w:color w:val="auto"/>
          <w:sz w:val="21"/>
          <w:szCs w:val="21"/>
          <w:highlight w:val="none"/>
        </w:rPr>
        <w:t>完整、逻辑清晰、设计科学、</w:t>
      </w:r>
      <w:r>
        <w:rPr>
          <w:rFonts w:hint="eastAsia" w:ascii="宋体" w:hAnsi="宋体" w:eastAsia="宋体" w:cs="宋体"/>
          <w:b w:val="0"/>
          <w:bCs w:val="0"/>
          <w:color w:val="auto"/>
          <w:sz w:val="21"/>
          <w:szCs w:val="21"/>
          <w:highlight w:val="none"/>
          <w:lang w:val="en-US" w:eastAsia="zh-CN"/>
        </w:rPr>
        <w:t>行业</w:t>
      </w:r>
      <w:r>
        <w:rPr>
          <w:rFonts w:hint="eastAsia" w:ascii="宋体" w:hAnsi="宋体" w:eastAsia="宋体" w:cs="宋体"/>
          <w:b w:val="0"/>
          <w:bCs w:val="0"/>
          <w:color w:val="auto"/>
          <w:sz w:val="21"/>
          <w:szCs w:val="21"/>
          <w:highlight w:val="none"/>
        </w:rPr>
        <w:t>规范以及</w:t>
      </w:r>
      <w:r>
        <w:rPr>
          <w:rFonts w:hint="eastAsia" w:ascii="宋体" w:hAnsi="宋体" w:eastAsia="宋体" w:cs="宋体"/>
          <w:b w:val="0"/>
          <w:bCs w:val="0"/>
          <w:color w:val="auto"/>
          <w:sz w:val="21"/>
          <w:szCs w:val="21"/>
          <w:highlight w:val="none"/>
          <w:lang w:val="en-US" w:eastAsia="zh-CN"/>
        </w:rPr>
        <w:t>实用</w:t>
      </w:r>
      <w:r>
        <w:rPr>
          <w:rFonts w:hint="eastAsia" w:ascii="宋体" w:hAnsi="宋体" w:eastAsia="宋体" w:cs="宋体"/>
          <w:b w:val="0"/>
          <w:bCs w:val="0"/>
          <w:color w:val="auto"/>
          <w:sz w:val="21"/>
          <w:szCs w:val="21"/>
          <w:highlight w:val="none"/>
        </w:rPr>
        <w:t>性等</w:t>
      </w:r>
      <w:r>
        <w:rPr>
          <w:rFonts w:hint="eastAsia" w:ascii="宋体" w:hAnsi="宋体" w:eastAsia="宋体" w:cs="宋体"/>
          <w:b w:val="0"/>
          <w:bCs w:val="0"/>
          <w:color w:val="auto"/>
          <w:sz w:val="21"/>
          <w:szCs w:val="21"/>
          <w:highlight w:val="none"/>
          <w:lang w:eastAsia="zh-CN"/>
        </w:rPr>
        <w:t>。</w:t>
      </w:r>
    </w:p>
    <w:p w14:paraId="23F9FC3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3.1.1 平台</w:t>
      </w:r>
      <w:r>
        <w:rPr>
          <w:rFonts w:hint="eastAsia" w:ascii="宋体" w:hAnsi="宋体" w:eastAsia="宋体" w:cs="宋体"/>
          <w:b w:val="0"/>
          <w:bCs w:val="0"/>
          <w:color w:val="auto"/>
          <w:sz w:val="21"/>
          <w:szCs w:val="21"/>
          <w:highlight w:val="none"/>
        </w:rPr>
        <w:t>设计原则</w:t>
      </w:r>
      <w:r>
        <w:rPr>
          <w:rFonts w:hint="eastAsia" w:ascii="宋体" w:hAnsi="宋体" w:eastAsia="宋体" w:cs="宋体"/>
          <w:b w:val="0"/>
          <w:bCs w:val="0"/>
          <w:color w:val="auto"/>
          <w:sz w:val="21"/>
          <w:szCs w:val="21"/>
          <w:highlight w:val="none"/>
          <w:lang w:eastAsia="zh-CN"/>
        </w:rPr>
        <w:t>：</w:t>
      </w:r>
    </w:p>
    <w:p w14:paraId="663FCA6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实用性和先进性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设计不仅满足实用性，而且具有先进性，使整个系统在一段时期内保持技术上先进，并具有良好的扩展潜力，以适应未来业务的发展和技术升级的需要。</w:t>
      </w:r>
    </w:p>
    <w:p w14:paraId="175CCB1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全面性和完整性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要实现学习、管理及其他辅助功能的全方位支持。</w:t>
      </w:r>
      <w:r>
        <w:rPr>
          <w:rFonts w:hint="eastAsia" w:ascii="宋体" w:hAnsi="宋体" w:eastAsia="宋体" w:cs="宋体"/>
          <w:color w:val="auto"/>
          <w:sz w:val="21"/>
          <w:szCs w:val="21"/>
          <w:highlight w:val="none"/>
          <w:lang w:eastAsia="zh-CN"/>
        </w:rPr>
        <w:t>学员</w:t>
      </w:r>
      <w:r>
        <w:rPr>
          <w:rFonts w:hint="eastAsia" w:ascii="宋体" w:hAnsi="宋体" w:eastAsia="宋体" w:cs="宋体"/>
          <w:color w:val="auto"/>
          <w:sz w:val="21"/>
          <w:szCs w:val="21"/>
          <w:highlight w:val="none"/>
        </w:rPr>
        <w:t>从注册到打印结业证书，所有的业务都要通过系统来完成，各业务功能要具备合理、清晰的操作流程，同时还要合理设计业务功能之间的逻辑关系；在处理核心数据时，不仅要保证数据的准确性和安全性，还要保证执行效率，同时支持不同业务的数据查询和数据分析等功能；合理设计数据库和数据结构，对数据的管理要保证安全读取、安全存储与安全备份，各类数据在传递时要采取加密措施，确保系统在遇到意外情况后，能够保证数据的完整性。</w:t>
      </w:r>
    </w:p>
    <w:p w14:paraId="4D8AD7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稳定性和安全性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通过多种安全技术和防护手段，保证</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自身的安全性和可靠性。要求关键设备采用冗余设计，能够避免单点故障导致整体或重要功能的崩溃，保证</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7*24小时平稳运行；在采用硬件备份、冗余、负载均衡等可靠性技术的基础上，同时需使用相关的软件技术，确保提供较强的管理机制和控制手段，以提高整个</w:t>
      </w:r>
      <w:r>
        <w:rPr>
          <w:rFonts w:hint="eastAsia" w:ascii="宋体" w:hAnsi="宋体" w:eastAsia="宋体" w:cs="宋体"/>
          <w:color w:val="auto"/>
          <w:sz w:val="21"/>
          <w:szCs w:val="21"/>
          <w:highlight w:val="none"/>
          <w:lang w:val="en-US" w:eastAsia="zh-CN"/>
        </w:rPr>
        <w:t>平台的</w:t>
      </w:r>
      <w:r>
        <w:rPr>
          <w:rFonts w:hint="eastAsia" w:ascii="宋体" w:hAnsi="宋体" w:eastAsia="宋体" w:cs="宋体"/>
          <w:color w:val="auto"/>
          <w:sz w:val="21"/>
          <w:szCs w:val="21"/>
          <w:highlight w:val="none"/>
        </w:rPr>
        <w:t>稳定性和数据安全性。</w:t>
      </w:r>
    </w:p>
    <w:p w14:paraId="7525563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灵活性和扩展性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需充分考虑灵活性和扩展性。搭建要求既满足继续教育业务需要，也能充分地为将来可预见和不可预见的性能扩充留有余地，可以根据业务发展的需要进行灵活、快速的调整，实现信息应用的快速部署，而且新功能、新业务的扩展在不影响系统运行的情况下实现，在后期扩展后，仍能保证</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的稳定性和执行效率。</w:t>
      </w:r>
    </w:p>
    <w:p w14:paraId="0378115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易管理和易操作性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提供全面、统一的</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管理，发生问题时，应在最短的时间内响应并处理解决。通过运行监控系统等管理工具，便于管理人员对</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进行管理和维护。UI设计和用户操作体验要求界面简洁、大方，层次清晰，按钮、文本输入、文件上传下载等控件和元素设计简单、易操作。</w:t>
      </w:r>
    </w:p>
    <w:p w14:paraId="37526BB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支持多</w:t>
      </w:r>
      <w:r>
        <w:rPr>
          <w:rFonts w:hint="eastAsia" w:ascii="宋体" w:hAnsi="宋体" w:eastAsia="宋体" w:cs="宋体"/>
          <w:color w:val="auto"/>
          <w:sz w:val="21"/>
          <w:szCs w:val="21"/>
          <w:highlight w:val="none"/>
          <w:lang w:val="en-US" w:eastAsia="zh-CN"/>
        </w:rPr>
        <w:t>端学习：平台应支持学员通过电脑及</w:t>
      </w:r>
      <w:r>
        <w:rPr>
          <w:rFonts w:hint="eastAsia" w:ascii="宋体" w:hAnsi="宋体" w:eastAsia="宋体" w:cs="宋体"/>
          <w:color w:val="auto"/>
          <w:sz w:val="21"/>
          <w:szCs w:val="21"/>
          <w:highlight w:val="none"/>
        </w:rPr>
        <w:t>手机、平板等移动</w:t>
      </w:r>
      <w:r>
        <w:rPr>
          <w:rFonts w:hint="eastAsia" w:ascii="宋体" w:hAnsi="宋体" w:eastAsia="宋体" w:cs="宋体"/>
          <w:color w:val="auto"/>
          <w:sz w:val="21"/>
          <w:szCs w:val="21"/>
          <w:highlight w:val="none"/>
          <w:lang w:val="en-US" w:eastAsia="zh-CN"/>
        </w:rPr>
        <w:t>端进行自主选择</w:t>
      </w:r>
      <w:r>
        <w:rPr>
          <w:rFonts w:hint="eastAsia" w:ascii="宋体" w:hAnsi="宋体" w:eastAsia="宋体" w:cs="宋体"/>
          <w:color w:val="auto"/>
          <w:sz w:val="21"/>
          <w:szCs w:val="21"/>
          <w:highlight w:val="none"/>
        </w:rPr>
        <w:t>学习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同时应具备防止多终端同时在线学习的功能</w:t>
      </w:r>
      <w:r>
        <w:rPr>
          <w:rFonts w:hint="eastAsia" w:ascii="宋体" w:hAnsi="宋体" w:eastAsia="宋体" w:cs="宋体"/>
          <w:color w:val="auto"/>
          <w:sz w:val="21"/>
          <w:szCs w:val="21"/>
          <w:highlight w:val="none"/>
        </w:rPr>
        <w:t>。</w:t>
      </w:r>
    </w:p>
    <w:p w14:paraId="183539F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1.2</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平台功能及技术要求</w:t>
      </w:r>
      <w:r>
        <w:rPr>
          <w:rFonts w:hint="eastAsia" w:ascii="宋体" w:hAnsi="宋体" w:eastAsia="宋体" w:cs="宋体"/>
          <w:b w:val="0"/>
          <w:bCs w:val="0"/>
          <w:color w:val="auto"/>
          <w:sz w:val="21"/>
          <w:szCs w:val="21"/>
          <w:highlight w:val="none"/>
          <w:lang w:eastAsia="zh-CN"/>
        </w:rPr>
        <w:t>：</w:t>
      </w:r>
    </w:p>
    <w:p w14:paraId="5140A7D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平台是满足开展专业技术人员继续教育培训业务的综合软件</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，主要包括学员在线注册、缴费、学习、考试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教学管理等功能，同时支持PC、微信</w:t>
      </w:r>
      <w:r>
        <w:rPr>
          <w:rFonts w:hint="eastAsia" w:ascii="宋体" w:hAnsi="宋体" w:eastAsia="宋体" w:cs="宋体"/>
          <w:color w:val="auto"/>
          <w:sz w:val="21"/>
          <w:szCs w:val="21"/>
          <w:highlight w:val="none"/>
          <w:lang w:val="en-US" w:eastAsia="zh-CN"/>
        </w:rPr>
        <w:t>公众号</w:t>
      </w:r>
      <w:r>
        <w:rPr>
          <w:rFonts w:hint="eastAsia" w:ascii="宋体" w:hAnsi="宋体" w:eastAsia="宋体" w:cs="宋体"/>
          <w:color w:val="auto"/>
          <w:sz w:val="21"/>
          <w:szCs w:val="21"/>
          <w:highlight w:val="none"/>
        </w:rPr>
        <w:t>使用。</w:t>
      </w:r>
    </w:p>
    <w:p w14:paraId="78092B4C">
      <w:pPr>
        <w:keepLines w:val="0"/>
        <w:pageBreakBefore w:val="0"/>
        <w:widowControl w:val="0"/>
        <w:kinsoku/>
        <w:overflowPunct/>
        <w:topLinePunct w:val="0"/>
        <w:autoSpaceDE/>
        <w:autoSpaceDN/>
        <w:bidi w:val="0"/>
        <w:adjustRightInd/>
        <w:snapToGrid/>
        <w:spacing w:after="0"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（1）平台门户：</w:t>
      </w:r>
    </w:p>
    <w:p w14:paraId="7D5E8C05">
      <w:pPr>
        <w:keepLines w:val="0"/>
        <w:pageBreakBefore w:val="0"/>
        <w:widowControl w:val="0"/>
        <w:kinsoku/>
        <w:overflowPunct/>
        <w:topLinePunct w:val="0"/>
        <w:autoSpaceDE/>
        <w:autoSpaceDN/>
        <w:bidi w:val="0"/>
        <w:adjustRightInd/>
        <w:snapToGrid/>
        <w:spacing w:after="0"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至少包含首页、课程展示、用户注册登录、政策资讯、帮助中心等模块功能，具体要求如下：</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6"/>
        <w:gridCol w:w="8170"/>
      </w:tblGrid>
      <w:tr w14:paraId="6C5B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56" w:type="pct"/>
            <w:tcBorders>
              <w:tl2br w:val="nil"/>
              <w:tr2bl w:val="nil"/>
            </w:tcBorders>
            <w:shd w:val="clear" w:color="auto" w:fill="auto"/>
            <w:noWrap w:val="0"/>
            <w:vAlign w:val="center"/>
          </w:tcPr>
          <w:p w14:paraId="3A7760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模块名称</w:t>
            </w:r>
          </w:p>
        </w:tc>
        <w:tc>
          <w:tcPr>
            <w:tcW w:w="4243" w:type="pct"/>
            <w:tcBorders>
              <w:tl2br w:val="nil"/>
              <w:tr2bl w:val="nil"/>
            </w:tcBorders>
            <w:shd w:val="clear" w:color="auto" w:fill="auto"/>
            <w:noWrap w:val="0"/>
            <w:vAlign w:val="center"/>
          </w:tcPr>
          <w:p w14:paraId="75A46D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平台功能及技术要求</w:t>
            </w:r>
          </w:p>
        </w:tc>
      </w:tr>
      <w:tr w14:paraId="002F4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tcBorders>
              <w:tl2br w:val="nil"/>
              <w:tr2bl w:val="nil"/>
            </w:tcBorders>
            <w:noWrap w:val="0"/>
            <w:vAlign w:val="center"/>
          </w:tcPr>
          <w:p w14:paraId="71F449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首页</w:t>
            </w:r>
          </w:p>
        </w:tc>
        <w:tc>
          <w:tcPr>
            <w:tcW w:w="4243" w:type="pct"/>
            <w:tcBorders>
              <w:tl2br w:val="nil"/>
              <w:tr2bl w:val="nil"/>
            </w:tcBorders>
            <w:noWrap w:val="0"/>
            <w:vAlign w:val="center"/>
          </w:tcPr>
          <w:p w14:paraId="256DFD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热门课程展示等内容。</w:t>
            </w:r>
          </w:p>
        </w:tc>
      </w:tr>
      <w:tr w14:paraId="6E49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6" w:type="pct"/>
            <w:tcBorders>
              <w:tl2br w:val="nil"/>
              <w:tr2bl w:val="nil"/>
            </w:tcBorders>
            <w:noWrap w:val="0"/>
            <w:vAlign w:val="center"/>
          </w:tcPr>
          <w:p w14:paraId="168914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课程展示</w:t>
            </w:r>
          </w:p>
        </w:tc>
        <w:tc>
          <w:tcPr>
            <w:tcW w:w="4243" w:type="pct"/>
            <w:tcBorders>
              <w:tl2br w:val="nil"/>
              <w:tr2bl w:val="nil"/>
            </w:tcBorders>
            <w:noWrap w:val="0"/>
            <w:vAlign w:val="center"/>
          </w:tcPr>
          <w:p w14:paraId="511D1D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展示专业人员继续教育分类下课程内容，同时支持课程试看及购买等。</w:t>
            </w:r>
          </w:p>
        </w:tc>
      </w:tr>
      <w:tr w14:paraId="4D50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6" w:type="pct"/>
            <w:tcBorders>
              <w:tl2br w:val="nil"/>
              <w:tr2bl w:val="nil"/>
            </w:tcBorders>
            <w:noWrap w:val="0"/>
            <w:vAlign w:val="center"/>
          </w:tcPr>
          <w:p w14:paraId="7CC4CD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注册登录</w:t>
            </w:r>
          </w:p>
        </w:tc>
        <w:tc>
          <w:tcPr>
            <w:tcW w:w="4243" w:type="pct"/>
            <w:tcBorders>
              <w:tl2br w:val="nil"/>
              <w:tr2bl w:val="nil"/>
            </w:tcBorders>
            <w:noWrap w:val="0"/>
            <w:vAlign w:val="center"/>
          </w:tcPr>
          <w:p w14:paraId="61B067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支持用户注册及登录功能。</w:t>
            </w:r>
          </w:p>
        </w:tc>
      </w:tr>
      <w:tr w14:paraId="09A8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756" w:type="pct"/>
            <w:tcBorders>
              <w:tl2br w:val="nil"/>
              <w:tr2bl w:val="nil"/>
            </w:tcBorders>
            <w:noWrap w:val="0"/>
            <w:vAlign w:val="center"/>
          </w:tcPr>
          <w:p w14:paraId="32678B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政策资讯</w:t>
            </w:r>
          </w:p>
        </w:tc>
        <w:tc>
          <w:tcPr>
            <w:tcW w:w="4243" w:type="pct"/>
            <w:tcBorders>
              <w:tl2br w:val="nil"/>
              <w:tr2bl w:val="nil"/>
            </w:tcBorders>
            <w:noWrap w:val="0"/>
            <w:vAlign w:val="center"/>
          </w:tcPr>
          <w:p w14:paraId="5B4221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支持政策信息、公告通知发布等。</w:t>
            </w:r>
          </w:p>
        </w:tc>
      </w:tr>
      <w:tr w14:paraId="4FB0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6" w:type="pct"/>
            <w:tcBorders>
              <w:tl2br w:val="nil"/>
              <w:tr2bl w:val="nil"/>
            </w:tcBorders>
            <w:noWrap w:val="0"/>
            <w:vAlign w:val="center"/>
          </w:tcPr>
          <w:p w14:paraId="695008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帮助中心</w:t>
            </w:r>
          </w:p>
        </w:tc>
        <w:tc>
          <w:tcPr>
            <w:tcW w:w="4243" w:type="pct"/>
            <w:tcBorders>
              <w:tl2br w:val="nil"/>
              <w:tr2bl w:val="nil"/>
            </w:tcBorders>
            <w:noWrap w:val="0"/>
            <w:vAlign w:val="center"/>
          </w:tcPr>
          <w:p w14:paraId="709CA5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支持查看平台操作手册、常见问题、客服联系方式等。</w:t>
            </w:r>
          </w:p>
        </w:tc>
      </w:tr>
    </w:tbl>
    <w:p w14:paraId="78F2291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监管端：</w:t>
      </w:r>
    </w:p>
    <w:p w14:paraId="4522F09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至少包含门户管理、</w:t>
      </w:r>
      <w:r>
        <w:rPr>
          <w:rFonts w:hint="eastAsia" w:ascii="宋体" w:hAnsi="宋体" w:eastAsia="宋体" w:cs="宋体"/>
          <w:color w:val="auto"/>
          <w:sz w:val="21"/>
          <w:szCs w:val="21"/>
          <w:highlight w:val="none"/>
        </w:rPr>
        <w:t>用户管理、</w:t>
      </w:r>
      <w:r>
        <w:rPr>
          <w:rFonts w:hint="eastAsia" w:ascii="宋体" w:hAnsi="宋体" w:eastAsia="宋体" w:cs="宋体"/>
          <w:color w:val="auto"/>
          <w:sz w:val="21"/>
          <w:szCs w:val="21"/>
          <w:highlight w:val="none"/>
          <w:lang w:val="en-US" w:eastAsia="zh-CN"/>
        </w:rPr>
        <w:t>学习管理、课程管理、系统管理等功能，具体要求如下：</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8328"/>
      </w:tblGrid>
      <w:tr w14:paraId="3634A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blHeader/>
          <w:jc w:val="center"/>
        </w:trPr>
        <w:tc>
          <w:tcPr>
            <w:tcW w:w="674" w:type="pct"/>
            <w:tcBorders>
              <w:tl2br w:val="nil"/>
              <w:tr2bl w:val="nil"/>
            </w:tcBorders>
            <w:shd w:val="clear" w:color="auto" w:fill="auto"/>
            <w:noWrap w:val="0"/>
            <w:vAlign w:val="center"/>
          </w:tcPr>
          <w:p w14:paraId="204542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模块名称</w:t>
            </w:r>
          </w:p>
        </w:tc>
        <w:tc>
          <w:tcPr>
            <w:tcW w:w="4325" w:type="pct"/>
            <w:tcBorders>
              <w:tl2br w:val="nil"/>
              <w:tr2bl w:val="nil"/>
            </w:tcBorders>
            <w:shd w:val="clear" w:color="auto" w:fill="auto"/>
            <w:noWrap w:val="0"/>
            <w:vAlign w:val="center"/>
          </w:tcPr>
          <w:p w14:paraId="079F41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平台功能及技术要求</w:t>
            </w:r>
          </w:p>
        </w:tc>
      </w:tr>
      <w:tr w14:paraId="1EBFD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4" w:type="pct"/>
            <w:tcBorders>
              <w:tl2br w:val="nil"/>
              <w:tr2bl w:val="nil"/>
            </w:tcBorders>
            <w:noWrap w:val="0"/>
            <w:vAlign w:val="center"/>
          </w:tcPr>
          <w:p w14:paraId="7D1959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门户管理</w:t>
            </w:r>
          </w:p>
        </w:tc>
        <w:tc>
          <w:tcPr>
            <w:tcW w:w="4325" w:type="pct"/>
            <w:tcBorders>
              <w:tl2br w:val="nil"/>
              <w:tr2bl w:val="nil"/>
            </w:tcBorders>
            <w:noWrap w:val="0"/>
            <w:vAlign w:val="center"/>
          </w:tcPr>
          <w:p w14:paraId="53D2CB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包含政策管理、FAQ分类管理、FAQ管理、推荐位管理；政策管理平台政策新闻发布；FAQ分类管理包含支持新建FAQ分类、面向用户类型；支持按照名称、用户类型进行筛选；FAQ管理包含支持新建、查询FAQ内容，支持按照标题、用户类型、是否常见问题进行筛选；推荐位管理包含创建平台推荐位信息。</w:t>
            </w:r>
          </w:p>
        </w:tc>
      </w:tr>
      <w:tr w14:paraId="6DDC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674" w:type="pct"/>
            <w:tcBorders>
              <w:tl2br w:val="nil"/>
              <w:tr2bl w:val="nil"/>
            </w:tcBorders>
            <w:noWrap w:val="0"/>
            <w:vAlign w:val="center"/>
          </w:tcPr>
          <w:p w14:paraId="02EF28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用户管理</w:t>
            </w:r>
          </w:p>
        </w:tc>
        <w:tc>
          <w:tcPr>
            <w:tcW w:w="4325" w:type="pct"/>
            <w:tcBorders>
              <w:tl2br w:val="nil"/>
              <w:tr2bl w:val="nil"/>
            </w:tcBorders>
            <w:shd w:val="clear" w:color="auto" w:fill="auto"/>
            <w:noWrap w:val="0"/>
            <w:vAlign w:val="center"/>
          </w:tcPr>
          <w:p w14:paraId="558D75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学员管理：查看平台注册学员信息，支持按条件搜索学员、查看学员信息。</w:t>
            </w:r>
          </w:p>
        </w:tc>
      </w:tr>
      <w:tr w14:paraId="79C1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74" w:type="pct"/>
            <w:vMerge w:val="restart"/>
            <w:tcBorders>
              <w:tl2br w:val="nil"/>
              <w:tr2bl w:val="nil"/>
            </w:tcBorders>
            <w:noWrap w:val="0"/>
            <w:vAlign w:val="center"/>
          </w:tcPr>
          <w:p w14:paraId="0D5D6C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学习管理</w:t>
            </w:r>
          </w:p>
        </w:tc>
        <w:tc>
          <w:tcPr>
            <w:tcW w:w="4325" w:type="pct"/>
            <w:tcBorders>
              <w:tl2br w:val="nil"/>
              <w:tr2bl w:val="nil"/>
            </w:tcBorders>
            <w:noWrap w:val="0"/>
            <w:vAlign w:val="center"/>
          </w:tcPr>
          <w:p w14:paraId="458570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支持按照条件筛选学员信息，查询结果可导出。</w:t>
            </w:r>
          </w:p>
        </w:tc>
      </w:tr>
      <w:tr w14:paraId="3DB6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74" w:type="pct"/>
            <w:vMerge w:val="continue"/>
            <w:tcBorders>
              <w:tl2br w:val="nil"/>
              <w:tr2bl w:val="nil"/>
            </w:tcBorders>
            <w:noWrap w:val="0"/>
            <w:vAlign w:val="center"/>
          </w:tcPr>
          <w:p w14:paraId="78E204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rPr>
                <w:rFonts w:hint="eastAsia" w:ascii="宋体" w:hAnsi="宋体" w:eastAsia="宋体" w:cs="宋体"/>
                <w:color w:val="auto"/>
                <w:sz w:val="21"/>
                <w:szCs w:val="21"/>
                <w:highlight w:val="none"/>
                <w:lang w:val="en-US" w:eastAsia="zh-CN"/>
              </w:rPr>
            </w:pPr>
          </w:p>
        </w:tc>
        <w:tc>
          <w:tcPr>
            <w:tcW w:w="4325" w:type="pct"/>
            <w:tcBorders>
              <w:tl2br w:val="nil"/>
              <w:tr2bl w:val="nil"/>
            </w:tcBorders>
            <w:noWrap w:val="0"/>
            <w:vAlign w:val="center"/>
          </w:tcPr>
          <w:p w14:paraId="0C7E38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支持按照条件筛选学员学习数据：学员学习年份、课程名称、开始/结束学习时间、学员姓名、手机号、身份证号、完成状态；查询结果可以进行查看。</w:t>
            </w:r>
          </w:p>
        </w:tc>
      </w:tr>
      <w:tr w14:paraId="4A39C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4" w:type="pct"/>
            <w:vMerge w:val="continue"/>
            <w:tcBorders>
              <w:tl2br w:val="nil"/>
              <w:tr2bl w:val="nil"/>
            </w:tcBorders>
            <w:noWrap w:val="0"/>
            <w:vAlign w:val="center"/>
          </w:tcPr>
          <w:p w14:paraId="690118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rPr>
                <w:rFonts w:hint="eastAsia" w:ascii="宋体" w:hAnsi="宋体" w:eastAsia="宋体" w:cs="宋体"/>
                <w:color w:val="auto"/>
                <w:sz w:val="21"/>
                <w:szCs w:val="21"/>
                <w:highlight w:val="none"/>
                <w:lang w:val="en-US" w:eastAsia="zh-CN"/>
              </w:rPr>
            </w:pPr>
          </w:p>
        </w:tc>
        <w:tc>
          <w:tcPr>
            <w:tcW w:w="4325" w:type="pct"/>
            <w:tcBorders>
              <w:tl2br w:val="nil"/>
              <w:tr2bl w:val="nil"/>
            </w:tcBorders>
            <w:noWrap w:val="0"/>
            <w:vAlign w:val="center"/>
          </w:tcPr>
          <w:p w14:paraId="7294D2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学员学习数据导出内容包括：姓名、手机号、身份证号、课程名称、课程金额、学习开始时间、学习结束时间、课程完成进度、学时数。</w:t>
            </w:r>
          </w:p>
        </w:tc>
      </w:tr>
      <w:tr w14:paraId="460B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74" w:type="pct"/>
            <w:tcBorders>
              <w:tl2br w:val="nil"/>
              <w:tr2bl w:val="nil"/>
            </w:tcBorders>
            <w:noWrap w:val="0"/>
            <w:vAlign w:val="center"/>
          </w:tcPr>
          <w:p w14:paraId="4582DD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u w:val="none"/>
                <w:lang w:val="en-US" w:eastAsia="zh-CN" w:bidi="ar"/>
              </w:rPr>
              <w:t>课程管理</w:t>
            </w:r>
          </w:p>
        </w:tc>
        <w:tc>
          <w:tcPr>
            <w:tcW w:w="4325" w:type="pct"/>
            <w:tcBorders>
              <w:tl2br w:val="nil"/>
              <w:tr2bl w:val="nil"/>
            </w:tcBorders>
            <w:noWrap w:val="0"/>
            <w:vAlign w:val="center"/>
          </w:tcPr>
          <w:p w14:paraId="6D9BBA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u w:val="none"/>
                <w:lang w:bidi="ar"/>
              </w:rPr>
              <w:t>支持按条件搜索课程、查看课程信息、审核课程、导出审核记录</w:t>
            </w:r>
            <w:r>
              <w:rPr>
                <w:rFonts w:hint="eastAsia" w:ascii="宋体" w:hAnsi="宋体" w:eastAsia="宋体" w:cs="宋体"/>
                <w:color w:val="auto"/>
                <w:kern w:val="0"/>
                <w:sz w:val="21"/>
                <w:szCs w:val="21"/>
                <w:highlight w:val="none"/>
                <w:u w:val="none"/>
                <w:lang w:val="en-US" w:eastAsia="zh-CN" w:bidi="ar"/>
              </w:rPr>
              <w:t>等功能。</w:t>
            </w:r>
          </w:p>
        </w:tc>
      </w:tr>
      <w:tr w14:paraId="258B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674" w:type="pct"/>
            <w:tcBorders>
              <w:tl2br w:val="nil"/>
              <w:tr2bl w:val="nil"/>
            </w:tcBorders>
            <w:noWrap w:val="0"/>
            <w:vAlign w:val="center"/>
          </w:tcPr>
          <w:p w14:paraId="62B4DA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系统管理</w:t>
            </w:r>
          </w:p>
        </w:tc>
        <w:tc>
          <w:tcPr>
            <w:tcW w:w="4325" w:type="pct"/>
            <w:tcBorders>
              <w:tl2br w:val="nil"/>
              <w:tr2bl w:val="nil"/>
            </w:tcBorders>
            <w:shd w:val="clear" w:color="auto" w:fill="auto"/>
            <w:noWrap w:val="0"/>
            <w:vAlign w:val="center"/>
          </w:tcPr>
          <w:p w14:paraId="7F4522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支持平台账号管理、角色管理、权限设置等功能。</w:t>
            </w:r>
          </w:p>
        </w:tc>
      </w:tr>
    </w:tbl>
    <w:p w14:paraId="7594DE4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学员端：</w:t>
      </w:r>
    </w:p>
    <w:p w14:paraId="238221E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至少包含个人中心、我的课程、我的笔记、我的问答、我的学时、登录记录、个人信息、课程试看、支付、开票、考核以及账号设置等功能，具体要求如下：</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6"/>
        <w:gridCol w:w="8002"/>
      </w:tblGrid>
      <w:tr w14:paraId="6905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blHeader/>
          <w:jc w:val="center"/>
        </w:trPr>
        <w:tc>
          <w:tcPr>
            <w:tcW w:w="840" w:type="pct"/>
            <w:tcBorders>
              <w:tl2br w:val="nil"/>
              <w:tr2bl w:val="nil"/>
            </w:tcBorders>
            <w:shd w:val="clear" w:color="auto" w:fill="auto"/>
            <w:noWrap w:val="0"/>
            <w:vAlign w:val="center"/>
          </w:tcPr>
          <w:p w14:paraId="1D57C5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模块名称</w:t>
            </w:r>
          </w:p>
        </w:tc>
        <w:tc>
          <w:tcPr>
            <w:tcW w:w="4159" w:type="pct"/>
            <w:tcBorders>
              <w:tl2br w:val="nil"/>
              <w:tr2bl w:val="nil"/>
            </w:tcBorders>
            <w:shd w:val="clear" w:color="auto" w:fill="auto"/>
            <w:noWrap w:val="0"/>
            <w:vAlign w:val="center"/>
          </w:tcPr>
          <w:p w14:paraId="1D73F1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平台功能及技术要求</w:t>
            </w:r>
          </w:p>
        </w:tc>
      </w:tr>
      <w:tr w14:paraId="61DC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7FDB6F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个人中心</w:t>
            </w:r>
          </w:p>
        </w:tc>
        <w:tc>
          <w:tcPr>
            <w:tcW w:w="4159" w:type="pct"/>
            <w:tcBorders>
              <w:tl2br w:val="nil"/>
              <w:tr2bl w:val="nil"/>
            </w:tcBorders>
            <w:noWrap w:val="0"/>
            <w:vAlign w:val="center"/>
          </w:tcPr>
          <w:p w14:paraId="4F22C2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支持查看待办事项，查看已获学时等信息。</w:t>
            </w:r>
          </w:p>
        </w:tc>
      </w:tr>
      <w:tr w14:paraId="3DDD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7DC97E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我的课程</w:t>
            </w:r>
          </w:p>
        </w:tc>
        <w:tc>
          <w:tcPr>
            <w:tcW w:w="4159" w:type="pct"/>
            <w:tcBorders>
              <w:tl2br w:val="nil"/>
              <w:tr2bl w:val="nil"/>
            </w:tcBorders>
            <w:noWrap w:val="0"/>
            <w:vAlign w:val="center"/>
          </w:tcPr>
          <w:p w14:paraId="738A58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支持查看已购买课程，查看课程的学习进度等信息。</w:t>
            </w:r>
          </w:p>
        </w:tc>
      </w:tr>
      <w:tr w14:paraId="2B9E2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4F6CCF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我的笔记</w:t>
            </w:r>
          </w:p>
        </w:tc>
        <w:tc>
          <w:tcPr>
            <w:tcW w:w="4159" w:type="pct"/>
            <w:tcBorders>
              <w:tl2br w:val="nil"/>
              <w:tr2bl w:val="nil"/>
            </w:tcBorders>
            <w:shd w:val="clear" w:color="auto" w:fill="auto"/>
            <w:noWrap w:val="0"/>
            <w:vAlign w:val="center"/>
          </w:tcPr>
          <w:p w14:paraId="3227A3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支持查看已创建的笔记内容、查看已收藏的笔记内容。</w:t>
            </w:r>
          </w:p>
        </w:tc>
      </w:tr>
      <w:tr w14:paraId="1C5AB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72E64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我的问答</w:t>
            </w:r>
          </w:p>
        </w:tc>
        <w:tc>
          <w:tcPr>
            <w:tcW w:w="4159" w:type="pct"/>
            <w:tcBorders>
              <w:tl2br w:val="nil"/>
              <w:tr2bl w:val="nil"/>
            </w:tcBorders>
            <w:shd w:val="clear" w:color="auto" w:fill="auto"/>
            <w:noWrap w:val="0"/>
            <w:vAlign w:val="center"/>
          </w:tcPr>
          <w:p w14:paraId="5B7B51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支持查看已创建的提问内容、查看回答内容。</w:t>
            </w:r>
          </w:p>
        </w:tc>
      </w:tr>
      <w:tr w14:paraId="19AC8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40" w:type="pct"/>
            <w:tcBorders>
              <w:tl2br w:val="nil"/>
              <w:tr2bl w:val="nil"/>
            </w:tcBorders>
            <w:noWrap w:val="0"/>
            <w:vAlign w:val="center"/>
          </w:tcPr>
          <w:p w14:paraId="12F0E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我的学时</w:t>
            </w:r>
          </w:p>
        </w:tc>
        <w:tc>
          <w:tcPr>
            <w:tcW w:w="4159" w:type="pct"/>
            <w:tcBorders>
              <w:tl2br w:val="nil"/>
              <w:tr2bl w:val="nil"/>
            </w:tcBorders>
            <w:noWrap w:val="0"/>
            <w:vAlign w:val="center"/>
          </w:tcPr>
          <w:p w14:paraId="40CAFB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支持按照学员学习年度进行筛选，支持展示学时情况包括已完成总学时、专业课程学时、行业公需学时、一般公需学时，支持展示并导出学时明细。</w:t>
            </w:r>
          </w:p>
        </w:tc>
      </w:tr>
      <w:tr w14:paraId="0A2D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45A7ED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登录记录</w:t>
            </w:r>
          </w:p>
        </w:tc>
        <w:tc>
          <w:tcPr>
            <w:tcW w:w="4159" w:type="pct"/>
            <w:tcBorders>
              <w:tl2br w:val="nil"/>
              <w:tr2bl w:val="nil"/>
            </w:tcBorders>
            <w:noWrap w:val="0"/>
            <w:vAlign w:val="center"/>
          </w:tcPr>
          <w:p w14:paraId="5AABAA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显示最近登录记录，登录方式、登录IP、终端、登陆时间等</w:t>
            </w:r>
          </w:p>
        </w:tc>
      </w:tr>
      <w:tr w14:paraId="6CC75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2527CB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个人信息</w:t>
            </w:r>
          </w:p>
        </w:tc>
        <w:tc>
          <w:tcPr>
            <w:tcW w:w="4159" w:type="pct"/>
            <w:tcBorders>
              <w:tl2br w:val="nil"/>
              <w:tr2bl w:val="nil"/>
            </w:tcBorders>
            <w:noWrap w:val="0"/>
            <w:vAlign w:val="center"/>
          </w:tcPr>
          <w:p w14:paraId="0565F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手机号码绑定、实名认证、登陆密码、邮箱绑定等。</w:t>
            </w:r>
          </w:p>
        </w:tc>
      </w:tr>
      <w:tr w14:paraId="4457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840" w:type="pct"/>
            <w:tcBorders>
              <w:tl2br w:val="nil"/>
              <w:tr2bl w:val="nil"/>
            </w:tcBorders>
            <w:noWrap w:val="0"/>
            <w:vAlign w:val="center"/>
          </w:tcPr>
          <w:p w14:paraId="210F7F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试看功能</w:t>
            </w:r>
          </w:p>
        </w:tc>
        <w:tc>
          <w:tcPr>
            <w:tcW w:w="4159" w:type="pct"/>
            <w:tcBorders>
              <w:tl2br w:val="nil"/>
              <w:tr2bl w:val="nil"/>
            </w:tcBorders>
            <w:noWrap w:val="0"/>
            <w:vAlign w:val="center"/>
          </w:tcPr>
          <w:p w14:paraId="5FB9C1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学习平台在看课过程中，具有试听5分钟功能、断点续学功能和防作弊功能，防作弊功能包括但不限于防止拖拽进度条、防止多终端播放、人脸识别、人脸抓拍、在课程的播放过程中随机考核。</w:t>
            </w:r>
          </w:p>
        </w:tc>
      </w:tr>
      <w:tr w14:paraId="362B9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733E17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支付功能</w:t>
            </w:r>
          </w:p>
        </w:tc>
        <w:tc>
          <w:tcPr>
            <w:tcW w:w="4159" w:type="pct"/>
            <w:tcBorders>
              <w:tl2br w:val="nil"/>
              <w:tr2bl w:val="nil"/>
            </w:tcBorders>
            <w:noWrap w:val="0"/>
            <w:vAlign w:val="center"/>
          </w:tcPr>
          <w:p w14:paraId="5D973D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支持学员个人在线支付，银行卡、支付宝、微信等可支付。</w:t>
            </w:r>
          </w:p>
        </w:tc>
      </w:tr>
      <w:tr w14:paraId="32F6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7F74C1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开票功能</w:t>
            </w:r>
          </w:p>
        </w:tc>
        <w:tc>
          <w:tcPr>
            <w:tcW w:w="4159" w:type="pct"/>
            <w:tcBorders>
              <w:tl2br w:val="nil"/>
              <w:tr2bl w:val="nil"/>
            </w:tcBorders>
            <w:noWrap w:val="0"/>
            <w:vAlign w:val="center"/>
          </w:tcPr>
          <w:p w14:paraId="157EDC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具有在线开具电子发票功能，学员和单位都可在线自助开具发票。</w:t>
            </w:r>
          </w:p>
        </w:tc>
      </w:tr>
      <w:tr w14:paraId="1CFE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11DC39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学习考核</w:t>
            </w:r>
          </w:p>
        </w:tc>
        <w:tc>
          <w:tcPr>
            <w:tcW w:w="4159" w:type="pct"/>
            <w:tcBorders>
              <w:tl2br w:val="nil"/>
              <w:tr2bl w:val="nil"/>
            </w:tcBorders>
            <w:noWrap w:val="0"/>
            <w:vAlign w:val="center"/>
          </w:tcPr>
          <w:p w14:paraId="5F29EE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可通过各个端口完成学习考核，考试功能。</w:t>
            </w:r>
          </w:p>
        </w:tc>
      </w:tr>
      <w:tr w14:paraId="5F9E5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242CA7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账号设置</w:t>
            </w:r>
          </w:p>
        </w:tc>
        <w:tc>
          <w:tcPr>
            <w:tcW w:w="4159" w:type="pct"/>
            <w:tcBorders>
              <w:tl2br w:val="nil"/>
              <w:tr2bl w:val="nil"/>
            </w:tcBorders>
            <w:shd w:val="clear" w:color="auto" w:fill="auto"/>
            <w:noWrap w:val="0"/>
            <w:vAlign w:val="center"/>
          </w:tcPr>
          <w:p w14:paraId="36DE83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支持修改账号密码、实名认证、手机号绑定等。</w:t>
            </w:r>
          </w:p>
        </w:tc>
      </w:tr>
      <w:tr w14:paraId="5D2E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840" w:type="pct"/>
            <w:tcBorders>
              <w:tl2br w:val="nil"/>
              <w:tr2bl w:val="nil"/>
            </w:tcBorders>
            <w:noWrap w:val="0"/>
            <w:vAlign w:val="center"/>
          </w:tcPr>
          <w:p w14:paraId="1FE64F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多浏览器访问</w:t>
            </w:r>
          </w:p>
        </w:tc>
        <w:tc>
          <w:tcPr>
            <w:tcW w:w="4159" w:type="pct"/>
            <w:tcBorders>
              <w:tl2br w:val="nil"/>
              <w:tr2bl w:val="nil"/>
            </w:tcBorders>
            <w:shd w:val="clear" w:color="auto" w:fill="auto"/>
            <w:noWrap w:val="0"/>
            <w:vAlign w:val="center"/>
          </w:tcPr>
          <w:p w14:paraId="48AB27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学习平台能通过下列的浏览器访问观看，包括Edge、Chrome、safari、firefox等。</w:t>
            </w:r>
          </w:p>
        </w:tc>
      </w:tr>
    </w:tbl>
    <w:p w14:paraId="40C4CB40">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3.1.3 平台性能及运维能力：</w:t>
      </w:r>
    </w:p>
    <w:p w14:paraId="48E1E27E">
      <w:pPr>
        <w:keepLines w:val="0"/>
        <w:pageBreakBefore w:val="0"/>
        <w:kinsoku/>
        <w:overflowPunct/>
        <w:topLinePunct w:val="0"/>
        <w:autoSpaceDE/>
        <w:autoSpaceDN/>
        <w:bidi w:val="0"/>
        <w:adjustRightInd/>
        <w:snapToGrid/>
        <w:spacing w:line="288"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至少包含网站稳定性维护能力、“云端＋PC端＋移动端”多端一体化运行能力、运维监控能力、</w:t>
      </w:r>
      <w:r>
        <w:rPr>
          <w:rFonts w:hint="eastAsia" w:ascii="宋体" w:hAnsi="宋体" w:eastAsia="宋体" w:cs="宋体"/>
          <w:color w:val="auto"/>
          <w:sz w:val="21"/>
          <w:szCs w:val="21"/>
          <w:highlight w:val="none"/>
        </w:rPr>
        <w:t>系统可靠性及响应能力</w:t>
      </w:r>
      <w:r>
        <w:rPr>
          <w:rFonts w:hint="eastAsia" w:ascii="宋体" w:hAnsi="宋体" w:eastAsia="宋体" w:cs="宋体"/>
          <w:color w:val="auto"/>
          <w:sz w:val="21"/>
          <w:szCs w:val="21"/>
          <w:highlight w:val="none"/>
          <w:lang w:val="en-US" w:eastAsia="zh-CN"/>
        </w:rPr>
        <w:t>等，具体要求如下：</w:t>
      </w:r>
    </w:p>
    <w:tbl>
      <w:tblPr>
        <w:tblStyle w:val="2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976"/>
        <w:gridCol w:w="7642"/>
      </w:tblGrid>
      <w:tr w14:paraId="400E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tblHeader/>
          <w:jc w:val="center"/>
        </w:trPr>
        <w:tc>
          <w:tcPr>
            <w:tcW w:w="1027" w:type="pct"/>
            <w:tcBorders>
              <w:tl2br w:val="nil"/>
              <w:tr2bl w:val="nil"/>
            </w:tcBorders>
            <w:shd w:val="clear" w:color="auto" w:fill="auto"/>
            <w:vAlign w:val="center"/>
          </w:tcPr>
          <w:p w14:paraId="35BDB4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3972" w:type="pct"/>
            <w:tcBorders>
              <w:tl2br w:val="nil"/>
              <w:tr2bl w:val="nil"/>
            </w:tcBorders>
            <w:shd w:val="clear" w:color="auto" w:fill="auto"/>
            <w:vAlign w:val="center"/>
          </w:tcPr>
          <w:p w14:paraId="0B229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技术要求</w:t>
            </w:r>
          </w:p>
        </w:tc>
      </w:tr>
      <w:tr w14:paraId="347F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3" w:hRule="atLeast"/>
          <w:tblHeader/>
          <w:jc w:val="center"/>
        </w:trPr>
        <w:tc>
          <w:tcPr>
            <w:tcW w:w="1027" w:type="pct"/>
            <w:tcBorders>
              <w:tl2br w:val="nil"/>
              <w:tr2bl w:val="nil"/>
            </w:tcBorders>
            <w:shd w:val="clear" w:color="auto" w:fill="auto"/>
            <w:vAlign w:val="center"/>
          </w:tcPr>
          <w:p w14:paraId="150657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网站稳定性维护能力</w:t>
            </w:r>
          </w:p>
        </w:tc>
        <w:tc>
          <w:tcPr>
            <w:tcW w:w="3972" w:type="pct"/>
            <w:tcBorders>
              <w:tl2br w:val="nil"/>
              <w:tr2bl w:val="nil"/>
            </w:tcBorders>
            <w:shd w:val="clear" w:color="auto" w:fill="auto"/>
            <w:vAlign w:val="center"/>
          </w:tcPr>
          <w:p w14:paraId="11A3DF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1.网站带宽达到2G以上；</w:t>
            </w:r>
          </w:p>
          <w:p w14:paraId="3AB1E7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2.网站承载日均访问量500万以上人次，5万人并发访问；</w:t>
            </w:r>
          </w:p>
          <w:p w14:paraId="096E80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3.具备容纳50万人以上同时稳定流畅在线视频学习和在线考试。</w:t>
            </w:r>
          </w:p>
        </w:tc>
      </w:tr>
      <w:tr w14:paraId="24F6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2" w:hRule="atLeast"/>
          <w:tblHeader/>
          <w:jc w:val="center"/>
        </w:trPr>
        <w:tc>
          <w:tcPr>
            <w:tcW w:w="1027" w:type="pct"/>
            <w:tcBorders>
              <w:tl2br w:val="nil"/>
              <w:tr2bl w:val="nil"/>
            </w:tcBorders>
            <w:shd w:val="clear" w:color="auto" w:fill="auto"/>
            <w:vAlign w:val="center"/>
          </w:tcPr>
          <w:p w14:paraId="6755E9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“云端＋PC端＋移动端”多端一体化运行能力</w:t>
            </w:r>
          </w:p>
        </w:tc>
        <w:tc>
          <w:tcPr>
            <w:tcW w:w="3972" w:type="pct"/>
            <w:tcBorders>
              <w:tl2br w:val="nil"/>
              <w:tr2bl w:val="nil"/>
            </w:tcBorders>
            <w:shd w:val="clear" w:color="auto" w:fill="auto"/>
            <w:vAlign w:val="center"/>
          </w:tcPr>
          <w:p w14:paraId="23F826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习平台由云端、PC端和移动端三部分组成。云端为资源存储、分发；PC端为开放式学习门户网站和后台培训管理系统；移动端为微信小程序或公众号学习，通过移动端支持缴费、在线看课、学习考核、考试答题等。多端口实时对接、数据同源、同步。</w:t>
            </w:r>
          </w:p>
        </w:tc>
      </w:tr>
      <w:tr w14:paraId="3D3DF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73" w:hRule="atLeast"/>
          <w:tblHeader/>
          <w:jc w:val="center"/>
        </w:trPr>
        <w:tc>
          <w:tcPr>
            <w:tcW w:w="1027" w:type="pct"/>
            <w:tcBorders>
              <w:tl2br w:val="nil"/>
              <w:tr2bl w:val="nil"/>
            </w:tcBorders>
            <w:shd w:val="clear" w:color="auto" w:fill="auto"/>
            <w:vAlign w:val="center"/>
          </w:tcPr>
          <w:p w14:paraId="1E50EB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运维监控能力</w:t>
            </w:r>
          </w:p>
        </w:tc>
        <w:tc>
          <w:tcPr>
            <w:tcW w:w="3972" w:type="pct"/>
            <w:tcBorders>
              <w:tl2br w:val="nil"/>
              <w:tr2bl w:val="nil"/>
            </w:tcBorders>
            <w:shd w:val="clear" w:color="auto" w:fill="auto"/>
            <w:vAlign w:val="center"/>
          </w:tcPr>
          <w:p w14:paraId="0D81AE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1.对应用层关键页面进行健康状态确认；</w:t>
            </w:r>
          </w:p>
          <w:p w14:paraId="4549DE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2.对基础架构各个中间件进行健康状态确认；</w:t>
            </w:r>
          </w:p>
          <w:p w14:paraId="2780F9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3.对全服务器关键配置和路由表及防火墙策略一致性确认；</w:t>
            </w:r>
          </w:p>
          <w:p w14:paraId="1A4062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4.对全服务器CPU负载；</w:t>
            </w:r>
          </w:p>
          <w:p w14:paraId="11C584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5.磁盘IO；</w:t>
            </w:r>
          </w:p>
          <w:p w14:paraId="6A792D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6.网络连接数状态确认；</w:t>
            </w:r>
          </w:p>
          <w:p w14:paraId="4488A1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7.对平台总流量和峰值带宽确认；</w:t>
            </w:r>
          </w:p>
          <w:p w14:paraId="360312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8.支持7*24小时接收平台关键页面监控状态报警短信，5分钟内对报警进行处理。</w:t>
            </w:r>
          </w:p>
        </w:tc>
      </w:tr>
      <w:tr w14:paraId="1447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9" w:hRule="atLeast"/>
          <w:tblHeader/>
          <w:jc w:val="center"/>
        </w:trPr>
        <w:tc>
          <w:tcPr>
            <w:tcW w:w="1027" w:type="pct"/>
            <w:tcBorders>
              <w:tl2br w:val="nil"/>
              <w:tr2bl w:val="nil"/>
            </w:tcBorders>
            <w:shd w:val="clear" w:color="auto" w:fill="auto"/>
            <w:vAlign w:val="center"/>
          </w:tcPr>
          <w:p w14:paraId="31B28E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系统可靠性及响应能力</w:t>
            </w:r>
          </w:p>
        </w:tc>
        <w:tc>
          <w:tcPr>
            <w:tcW w:w="3972" w:type="pct"/>
            <w:tcBorders>
              <w:tl2br w:val="nil"/>
              <w:tr2bl w:val="nil"/>
            </w:tcBorders>
            <w:shd w:val="clear" w:color="auto" w:fill="auto"/>
            <w:vAlign w:val="center"/>
          </w:tcPr>
          <w:p w14:paraId="435BAC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1.网络学习平台系统保证7×24小时不间断的高可靠性运行；</w:t>
            </w:r>
          </w:p>
          <w:p w14:paraId="480C0C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2.高峰负载时的平均响应时间不超过5秒；</w:t>
            </w:r>
          </w:p>
          <w:p w14:paraId="28BBE0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3.日常运行时的平均响应时间不超过2秒；</w:t>
            </w:r>
          </w:p>
          <w:p w14:paraId="1A9132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4.数据量满足至少5年的存储使用需要。</w:t>
            </w:r>
          </w:p>
        </w:tc>
      </w:tr>
      <w:tr w14:paraId="5FE7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3" w:hRule="atLeast"/>
          <w:tblHeader/>
          <w:jc w:val="center"/>
        </w:trPr>
        <w:tc>
          <w:tcPr>
            <w:tcW w:w="1027" w:type="pct"/>
            <w:tcBorders>
              <w:tl2br w:val="nil"/>
              <w:tr2bl w:val="nil"/>
            </w:tcBorders>
            <w:shd w:val="clear" w:color="auto" w:fill="auto"/>
            <w:vAlign w:val="center"/>
          </w:tcPr>
          <w:p w14:paraId="3BDF42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AI助学功能</w:t>
            </w:r>
          </w:p>
        </w:tc>
        <w:tc>
          <w:tcPr>
            <w:tcW w:w="3972" w:type="pct"/>
            <w:tcBorders>
              <w:tl2br w:val="nil"/>
              <w:tr2bl w:val="nil"/>
            </w:tcBorders>
            <w:shd w:val="clear" w:color="auto" w:fill="auto"/>
            <w:vAlign w:val="center"/>
          </w:tcPr>
          <w:p w14:paraId="5722CE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学习平台具有相应的AI功能，方便学员提前预习、课堂练习、课后复习，方便阅读及总结，提升学习效率，快速掌握知识要点。</w:t>
            </w:r>
          </w:p>
        </w:tc>
      </w:tr>
    </w:tbl>
    <w:p w14:paraId="75E22661">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 教学资源要求：</w:t>
      </w:r>
    </w:p>
    <w:p w14:paraId="2A4B8A6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3.2</w:t>
      </w: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 xml:space="preserve"> 课程</w:t>
      </w:r>
      <w:r>
        <w:rPr>
          <w:rFonts w:hint="eastAsia" w:ascii="宋体" w:hAnsi="宋体" w:eastAsia="宋体" w:cs="宋体"/>
          <w:b w:val="0"/>
          <w:bCs w:val="0"/>
          <w:color w:val="auto"/>
          <w:sz w:val="21"/>
          <w:szCs w:val="21"/>
          <w:highlight w:val="none"/>
        </w:rPr>
        <w:t>资源要求</w:t>
      </w:r>
      <w:r>
        <w:rPr>
          <w:rFonts w:hint="eastAsia" w:ascii="宋体" w:hAnsi="宋体" w:eastAsia="宋体" w:cs="宋体"/>
          <w:b w:val="0"/>
          <w:bCs w:val="0"/>
          <w:color w:val="auto"/>
          <w:sz w:val="21"/>
          <w:szCs w:val="21"/>
          <w:highlight w:val="none"/>
          <w:lang w:eastAsia="zh-CN"/>
        </w:rPr>
        <w:t>：</w:t>
      </w:r>
    </w:p>
    <w:p w14:paraId="0B05095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（1）课程</w:t>
      </w:r>
      <w:r>
        <w:rPr>
          <w:rFonts w:hint="eastAsia" w:ascii="宋体" w:hAnsi="宋体" w:eastAsia="宋体" w:cs="宋体"/>
          <w:color w:val="auto"/>
          <w:sz w:val="21"/>
          <w:szCs w:val="21"/>
          <w:highlight w:val="none"/>
        </w:rPr>
        <w:t>资源符合《专业技术人员继续教育规定》（人社部令第 25 号）和《浙江省专业技术人员继续教育规定》的相关要求。</w:t>
      </w:r>
    </w:p>
    <w:p w14:paraId="7D0B976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（2）一般</w:t>
      </w:r>
      <w:r>
        <w:rPr>
          <w:rFonts w:hint="eastAsia" w:ascii="宋体" w:hAnsi="宋体" w:eastAsia="宋体" w:cs="宋体"/>
          <w:color w:val="auto"/>
          <w:sz w:val="21"/>
          <w:szCs w:val="21"/>
          <w:highlight w:val="none"/>
        </w:rPr>
        <w:t>公需课</w:t>
      </w:r>
      <w:r>
        <w:rPr>
          <w:rFonts w:hint="eastAsia" w:ascii="宋体" w:hAnsi="宋体" w:eastAsia="宋体" w:cs="宋体"/>
          <w:color w:val="auto"/>
          <w:sz w:val="21"/>
          <w:szCs w:val="21"/>
          <w:highlight w:val="none"/>
          <w:lang w:val="en-US" w:eastAsia="zh-CN"/>
        </w:rPr>
        <w:t>目</w:t>
      </w:r>
      <w:r>
        <w:rPr>
          <w:rFonts w:hint="eastAsia" w:ascii="宋体" w:hAnsi="宋体" w:eastAsia="宋体" w:cs="宋体"/>
          <w:color w:val="auto"/>
          <w:sz w:val="21"/>
          <w:szCs w:val="21"/>
          <w:highlight w:val="none"/>
        </w:rPr>
        <w:t>必须满足</w:t>
      </w:r>
      <w:r>
        <w:rPr>
          <w:rFonts w:hint="eastAsia" w:ascii="宋体" w:hAnsi="宋体" w:eastAsia="宋体" w:cs="宋体"/>
          <w:color w:val="auto"/>
          <w:sz w:val="21"/>
          <w:szCs w:val="21"/>
          <w:highlight w:val="none"/>
          <w:lang w:val="en-US" w:eastAsia="zh-CN"/>
        </w:rPr>
        <w:t>浙江</w:t>
      </w:r>
      <w:r>
        <w:rPr>
          <w:rFonts w:hint="eastAsia" w:ascii="宋体" w:hAnsi="宋体" w:eastAsia="宋体" w:cs="宋体"/>
          <w:color w:val="auto"/>
          <w:sz w:val="21"/>
          <w:szCs w:val="21"/>
          <w:highlight w:val="none"/>
        </w:rPr>
        <w:t>省人力资源和社会保障厅的相关要求，包括专业技术人员应当普遍掌握的法律法规、理论政策、职业道德、技术信息等基本知识。主要围绕中国式现代化建设、服务高质量发展乡村振兴等国家重大战略。推动数字技术、数据安全、网络安全等；思想政治引领、职业道德、团队合作建设等主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课程总学时不低于</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学时。根据培训需求及时补充和更新课程，每年更新率</w:t>
      </w:r>
      <w:r>
        <w:rPr>
          <w:rFonts w:hint="eastAsia" w:ascii="宋体" w:hAnsi="宋体" w:eastAsia="宋体" w:cs="宋体"/>
          <w:color w:val="auto"/>
          <w:sz w:val="21"/>
          <w:szCs w:val="21"/>
          <w:highlight w:val="none"/>
          <w:lang w:val="en-US" w:eastAsia="zh-CN"/>
        </w:rPr>
        <w:t>不低于100</w:t>
      </w:r>
      <w:r>
        <w:rPr>
          <w:rFonts w:hint="eastAsia" w:ascii="宋体" w:hAnsi="宋体" w:eastAsia="宋体" w:cs="宋体"/>
          <w:color w:val="auto"/>
          <w:sz w:val="21"/>
          <w:szCs w:val="21"/>
          <w:highlight w:val="none"/>
        </w:rPr>
        <w:t>%。</w:t>
      </w:r>
    </w:p>
    <w:p w14:paraId="1AC5C84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（3）行业公需</w:t>
      </w:r>
      <w:r>
        <w:rPr>
          <w:rFonts w:hint="eastAsia" w:ascii="宋体" w:hAnsi="宋体" w:eastAsia="宋体" w:cs="宋体"/>
          <w:color w:val="auto"/>
          <w:sz w:val="21"/>
          <w:szCs w:val="21"/>
          <w:highlight w:val="none"/>
        </w:rPr>
        <w:t>科目包括专业技术人员从事专业工作应当掌握的新理论、新知识、新技术、新方法等知识。至少包括以下课程类别：经济</w:t>
      </w:r>
      <w:r>
        <w:rPr>
          <w:rFonts w:hint="eastAsia" w:ascii="宋体" w:hAnsi="宋体" w:eastAsia="宋体" w:cs="宋体"/>
          <w:color w:val="auto"/>
          <w:sz w:val="21"/>
          <w:szCs w:val="21"/>
          <w:highlight w:val="none"/>
          <w:lang w:val="en-US" w:eastAsia="zh-CN"/>
        </w:rPr>
        <w:t>系列</w:t>
      </w:r>
      <w:r>
        <w:rPr>
          <w:rFonts w:hint="eastAsia" w:ascii="宋体" w:hAnsi="宋体" w:eastAsia="宋体" w:cs="宋体"/>
          <w:color w:val="auto"/>
          <w:sz w:val="21"/>
          <w:szCs w:val="21"/>
          <w:highlight w:val="none"/>
        </w:rPr>
        <w:t>、机电制造、信息技术、能源工程、材料工程、轻纺工程、石化工程‌‌、交通工程、生态环境、自然科学、建设工程、农业、食品、医药、工艺美术等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每类课程总学时不低于</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学时。根据培训需求及时补充和更新课程，每年更新率不低于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w:t>
      </w:r>
    </w:p>
    <w:p w14:paraId="558C376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专业科目包括专业技术人员从事专业工作应当掌握的新理论、新知识、新技术、新方法等专业知识。至少包括以下课程类别：经济系列、机电制造、信息技术、能源工程、材料工程、轻纺工程、石化工程‌‌、交通工程、生态环境、自然科学、建设工程、农业、食品、医药、工艺美术等。每类课程总学时不低于60学时。根据培训需求及时补充和更新课程，每年更新率不低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w:t>
      </w:r>
    </w:p>
    <w:p w14:paraId="1FE911E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教学资源包含但不限于音视频资源和文本资源，考核资源包含但不限于选择题和判断题等。</w:t>
      </w:r>
    </w:p>
    <w:p w14:paraId="1BCE034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为避免知识产权纠纷，供应商须具有</w:t>
      </w:r>
      <w:r>
        <w:rPr>
          <w:rFonts w:hint="eastAsia" w:ascii="宋体" w:hAnsi="宋体" w:eastAsia="宋体" w:cs="宋体"/>
          <w:color w:val="auto"/>
          <w:sz w:val="21"/>
          <w:szCs w:val="21"/>
          <w:highlight w:val="none"/>
          <w:lang w:eastAsia="zh-CN"/>
        </w:rPr>
        <w:t>网络学习平台</w:t>
      </w:r>
      <w:r>
        <w:rPr>
          <w:rFonts w:hint="eastAsia" w:ascii="宋体" w:hAnsi="宋体" w:eastAsia="宋体" w:cs="宋体"/>
          <w:color w:val="auto"/>
          <w:sz w:val="21"/>
          <w:szCs w:val="21"/>
          <w:highlight w:val="none"/>
        </w:rPr>
        <w:t>课件的使用权或版权，因课件使用权或版权引起的法律纠纷由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承担全部责任。</w:t>
      </w:r>
    </w:p>
    <w:p w14:paraId="7589A7D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课程视频画面色彩的选取符合视觉要求，画面亮度、灰度适宜，色彩还原性好；视频播放时无偏移、无跳帧、失帧现象，画面镜头稳定；音频音量适中，音质清晰，无明显噪音、杂音。</w:t>
      </w:r>
    </w:p>
    <w:p w14:paraId="7AF760E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课程视频播放时，视频的配音、配乐应与视频画面保持同步，无明显的超前或滞后现象。页面显示的内容、知识点及所采用的音视频与授课教师讲述一致，音视频播放过程中不出现黑屏。</w:t>
      </w:r>
    </w:p>
    <w:p w14:paraId="0347DC4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）视频课件清晰度：视频课件的分辨率为高清/720P以上。</w:t>
      </w:r>
    </w:p>
    <w:p w14:paraId="0F838D5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3.2</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 师资</w:t>
      </w:r>
      <w:r>
        <w:rPr>
          <w:rFonts w:hint="eastAsia" w:ascii="宋体" w:hAnsi="宋体" w:eastAsia="宋体" w:cs="宋体"/>
          <w:b w:val="0"/>
          <w:bCs w:val="0"/>
          <w:color w:val="auto"/>
          <w:sz w:val="21"/>
          <w:szCs w:val="21"/>
          <w:highlight w:val="none"/>
        </w:rPr>
        <w:t>要求</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供</w:t>
      </w:r>
      <w:r>
        <w:rPr>
          <w:rFonts w:hint="eastAsia" w:ascii="宋体" w:hAnsi="宋体" w:eastAsia="宋体" w:cs="宋体"/>
          <w:b w:val="0"/>
          <w:bCs w:val="0"/>
          <w:color w:val="auto"/>
          <w:sz w:val="21"/>
          <w:szCs w:val="21"/>
          <w:highlight w:val="none"/>
        </w:rPr>
        <w:t>应商应</w:t>
      </w:r>
      <w:r>
        <w:rPr>
          <w:rFonts w:hint="eastAsia" w:ascii="宋体" w:hAnsi="宋体" w:eastAsia="宋体" w:cs="宋体"/>
          <w:b w:val="0"/>
          <w:bCs w:val="0"/>
          <w:color w:val="auto"/>
          <w:sz w:val="21"/>
          <w:szCs w:val="21"/>
          <w:highlight w:val="none"/>
          <w:lang w:val="en-US" w:eastAsia="zh-CN"/>
        </w:rPr>
        <w:t>具备专业的讲师团队，以满足视频</w:t>
      </w:r>
      <w:r>
        <w:rPr>
          <w:rFonts w:hint="eastAsia" w:ascii="宋体" w:hAnsi="宋体" w:eastAsia="宋体" w:cs="宋体"/>
          <w:b w:val="0"/>
          <w:bCs w:val="0"/>
          <w:color w:val="auto"/>
          <w:sz w:val="21"/>
          <w:szCs w:val="21"/>
          <w:highlight w:val="none"/>
        </w:rPr>
        <w:t>课程</w:t>
      </w:r>
      <w:r>
        <w:rPr>
          <w:rFonts w:hint="eastAsia" w:ascii="宋体" w:hAnsi="宋体" w:eastAsia="宋体" w:cs="宋体"/>
          <w:b w:val="0"/>
          <w:bCs w:val="0"/>
          <w:color w:val="auto"/>
          <w:sz w:val="21"/>
          <w:szCs w:val="21"/>
          <w:highlight w:val="none"/>
          <w:lang w:val="en-US" w:eastAsia="zh-CN"/>
        </w:rPr>
        <w:t>开发和录制</w:t>
      </w:r>
      <w:r>
        <w:rPr>
          <w:rFonts w:hint="eastAsia" w:ascii="宋体" w:hAnsi="宋体" w:eastAsia="宋体" w:cs="宋体"/>
          <w:b w:val="0"/>
          <w:bCs w:val="0"/>
          <w:color w:val="auto"/>
          <w:sz w:val="21"/>
          <w:szCs w:val="21"/>
          <w:highlight w:val="none"/>
          <w:lang w:eastAsia="zh-CN"/>
        </w:rPr>
        <w:t>。</w:t>
      </w:r>
    </w:p>
    <w:p w14:paraId="4A042B04">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3.3 其他要求：</w:t>
      </w:r>
    </w:p>
    <w:p w14:paraId="30255BF7">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3.3.1方案内容：供</w:t>
      </w:r>
      <w:r>
        <w:rPr>
          <w:rFonts w:hint="eastAsia" w:ascii="宋体" w:hAnsi="宋体" w:eastAsia="宋体" w:cs="宋体"/>
          <w:b w:val="0"/>
          <w:bCs w:val="0"/>
          <w:color w:val="auto"/>
          <w:sz w:val="21"/>
          <w:szCs w:val="21"/>
          <w:highlight w:val="none"/>
        </w:rPr>
        <w:t>应商应提供本项目服务方案，方案内容包含但不限于：项目进度、风险管理、质量管理、平台推广、应急管理、客户服务等。服务方案</w:t>
      </w:r>
      <w:r>
        <w:rPr>
          <w:rFonts w:hint="eastAsia" w:ascii="宋体" w:hAnsi="宋体" w:eastAsia="宋体" w:cs="宋体"/>
          <w:b w:val="0"/>
          <w:bCs w:val="0"/>
          <w:color w:val="auto"/>
          <w:sz w:val="21"/>
          <w:szCs w:val="21"/>
          <w:highlight w:val="none"/>
          <w:lang w:val="en-US" w:eastAsia="zh-CN"/>
        </w:rPr>
        <w:t>应考虑</w:t>
      </w:r>
      <w:r>
        <w:rPr>
          <w:rFonts w:hint="eastAsia" w:ascii="宋体" w:hAnsi="宋体" w:eastAsia="宋体" w:cs="宋体"/>
          <w:b w:val="0"/>
          <w:bCs w:val="0"/>
          <w:color w:val="auto"/>
          <w:sz w:val="21"/>
          <w:szCs w:val="21"/>
          <w:highlight w:val="none"/>
        </w:rPr>
        <w:t>内容完整、逻辑清晰、设计科学、行文规范以及落地可行性等</w:t>
      </w:r>
      <w:r>
        <w:rPr>
          <w:rFonts w:hint="eastAsia" w:ascii="宋体" w:hAnsi="宋体" w:eastAsia="宋体" w:cs="宋体"/>
          <w:b w:val="0"/>
          <w:bCs w:val="0"/>
          <w:color w:val="auto"/>
          <w:sz w:val="21"/>
          <w:szCs w:val="21"/>
          <w:highlight w:val="none"/>
          <w:lang w:eastAsia="zh-CN"/>
        </w:rPr>
        <w:t>。</w:t>
      </w:r>
    </w:p>
    <w:p w14:paraId="5C796B7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3.3.2</w:t>
      </w:r>
      <w:r>
        <w:rPr>
          <w:rFonts w:hint="eastAsia" w:ascii="宋体" w:hAnsi="宋体" w:eastAsia="宋体" w:cs="宋体"/>
          <w:b w:val="0"/>
          <w:bCs w:val="0"/>
          <w:color w:val="auto"/>
          <w:sz w:val="21"/>
          <w:szCs w:val="21"/>
          <w:highlight w:val="none"/>
        </w:rPr>
        <w:t>质量保证</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合作期内，承诺提供免费质量保证服务。包括但不限于针对系统平台版本更新，针对事件问题的处理和bug修复。</w:t>
      </w:r>
    </w:p>
    <w:p w14:paraId="72DD662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3.3.3 </w:t>
      </w:r>
      <w:r>
        <w:rPr>
          <w:rFonts w:hint="eastAsia" w:ascii="宋体" w:hAnsi="宋体" w:eastAsia="宋体" w:cs="宋体"/>
          <w:b w:val="0"/>
          <w:bCs w:val="0"/>
          <w:color w:val="auto"/>
          <w:sz w:val="21"/>
          <w:szCs w:val="21"/>
          <w:highlight w:val="none"/>
        </w:rPr>
        <w:t>售后服务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配备专门的维护团队。7*24小时</w:t>
      </w:r>
      <w:r>
        <w:rPr>
          <w:rFonts w:hint="eastAsia" w:ascii="宋体" w:hAnsi="宋体" w:eastAsia="宋体" w:cs="宋体"/>
          <w:b w:val="0"/>
          <w:bCs w:val="0"/>
          <w:color w:val="auto"/>
          <w:sz w:val="21"/>
          <w:szCs w:val="21"/>
          <w:highlight w:val="none"/>
          <w:lang w:val="en-US" w:eastAsia="zh-CN"/>
        </w:rPr>
        <w:t>智能客服</w:t>
      </w:r>
      <w:r>
        <w:rPr>
          <w:rFonts w:hint="eastAsia" w:ascii="宋体" w:hAnsi="宋体" w:eastAsia="宋体" w:cs="宋体"/>
          <w:b w:val="0"/>
          <w:bCs w:val="0"/>
          <w:color w:val="auto"/>
          <w:sz w:val="21"/>
          <w:szCs w:val="21"/>
          <w:highlight w:val="none"/>
        </w:rPr>
        <w:t>，具备快速处理突发故障的响应能力，可提供每7*24小时疑难应答能力的技术支持服务，包括电话、邮件及其它方式的技术支持；7*24小时监控全部服务器硬件指标、网络负载运行状况、应用服务运行进程。</w:t>
      </w:r>
    </w:p>
    <w:p w14:paraId="742FE2C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3.3.4 </w:t>
      </w:r>
      <w:r>
        <w:rPr>
          <w:rFonts w:hint="eastAsia" w:ascii="宋体" w:hAnsi="宋体" w:eastAsia="宋体" w:cs="宋体"/>
          <w:b w:val="0"/>
          <w:bCs w:val="0"/>
          <w:color w:val="auto"/>
          <w:sz w:val="21"/>
          <w:szCs w:val="21"/>
          <w:highlight w:val="none"/>
        </w:rPr>
        <w:t>培训服务</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免费提供系统平台的</w:t>
      </w:r>
      <w:r>
        <w:rPr>
          <w:rFonts w:hint="eastAsia" w:ascii="宋体" w:hAnsi="宋体" w:eastAsia="宋体" w:cs="宋体"/>
          <w:b w:val="0"/>
          <w:bCs w:val="0"/>
          <w:color w:val="auto"/>
          <w:sz w:val="21"/>
          <w:szCs w:val="21"/>
          <w:highlight w:val="none"/>
          <w:lang w:val="en-US" w:eastAsia="zh-CN"/>
        </w:rPr>
        <w:t>使用</w:t>
      </w:r>
      <w:r>
        <w:rPr>
          <w:rFonts w:hint="eastAsia" w:ascii="宋体" w:hAnsi="宋体" w:eastAsia="宋体" w:cs="宋体"/>
          <w:b w:val="0"/>
          <w:bCs w:val="0"/>
          <w:color w:val="auto"/>
          <w:sz w:val="21"/>
          <w:szCs w:val="21"/>
          <w:highlight w:val="none"/>
        </w:rPr>
        <w:t>培训</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包括但不限于</w:t>
      </w:r>
      <w:r>
        <w:rPr>
          <w:rFonts w:hint="eastAsia" w:ascii="宋体" w:hAnsi="宋体" w:eastAsia="宋体" w:cs="宋体"/>
          <w:b w:val="0"/>
          <w:bCs w:val="0"/>
          <w:color w:val="auto"/>
          <w:sz w:val="21"/>
          <w:szCs w:val="21"/>
          <w:highlight w:val="none"/>
        </w:rPr>
        <w:t>提供一次现场培训、一次远程培训。</w:t>
      </w:r>
    </w:p>
    <w:p w14:paraId="02CBC0C4">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3.3.5 项目团队：应</w:t>
      </w:r>
      <w:r>
        <w:rPr>
          <w:rFonts w:hint="eastAsia" w:ascii="宋体" w:hAnsi="宋体" w:eastAsia="宋体" w:cs="宋体"/>
          <w:b w:val="0"/>
          <w:bCs w:val="0"/>
          <w:color w:val="auto"/>
          <w:sz w:val="21"/>
          <w:szCs w:val="21"/>
          <w:highlight w:val="none"/>
        </w:rPr>
        <w:t>配置专门的</w:t>
      </w:r>
      <w:r>
        <w:rPr>
          <w:rFonts w:hint="eastAsia" w:ascii="宋体" w:hAnsi="宋体" w:eastAsia="宋体" w:cs="宋体"/>
          <w:b w:val="0"/>
          <w:bCs w:val="0"/>
          <w:color w:val="auto"/>
          <w:sz w:val="21"/>
          <w:szCs w:val="21"/>
          <w:highlight w:val="none"/>
          <w:lang w:val="en-US" w:eastAsia="zh-CN"/>
        </w:rPr>
        <w:t>项目</w:t>
      </w:r>
      <w:r>
        <w:rPr>
          <w:rFonts w:hint="eastAsia" w:ascii="宋体" w:hAnsi="宋体" w:eastAsia="宋体" w:cs="宋体"/>
          <w:b w:val="0"/>
          <w:bCs w:val="0"/>
          <w:color w:val="auto"/>
          <w:sz w:val="21"/>
          <w:szCs w:val="21"/>
          <w:highlight w:val="none"/>
        </w:rPr>
        <w:t>团队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包含项目管理、技术支持等。</w:t>
      </w:r>
    </w:p>
    <w:p w14:paraId="0BD6B9B5">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3.3.6 研发投入：</w:t>
      </w:r>
      <w:r>
        <w:rPr>
          <w:rFonts w:hint="eastAsia" w:ascii="宋体" w:hAnsi="宋体" w:eastAsia="宋体" w:cs="宋体"/>
          <w:b w:val="0"/>
          <w:bCs w:val="0"/>
          <w:color w:val="auto"/>
          <w:sz w:val="21"/>
          <w:szCs w:val="21"/>
          <w:highlight w:val="none"/>
        </w:rPr>
        <w:t>供应商应</w:t>
      </w:r>
      <w:r>
        <w:rPr>
          <w:rFonts w:hint="eastAsia" w:ascii="宋体" w:hAnsi="宋体" w:eastAsia="宋体" w:cs="宋体"/>
          <w:b w:val="0"/>
          <w:bCs w:val="0"/>
          <w:color w:val="auto"/>
          <w:sz w:val="21"/>
          <w:szCs w:val="21"/>
          <w:highlight w:val="none"/>
          <w:lang w:val="en-US" w:eastAsia="zh-CN"/>
        </w:rPr>
        <w:t>具备稳定</w:t>
      </w:r>
      <w:r>
        <w:rPr>
          <w:rFonts w:hint="eastAsia" w:ascii="宋体" w:hAnsi="宋体" w:eastAsia="宋体" w:cs="宋体"/>
          <w:b w:val="0"/>
          <w:bCs w:val="0"/>
          <w:color w:val="auto"/>
          <w:sz w:val="21"/>
          <w:szCs w:val="21"/>
          <w:highlight w:val="none"/>
        </w:rPr>
        <w:t>课程研发与学习平台建设运维</w:t>
      </w:r>
      <w:r>
        <w:rPr>
          <w:rFonts w:hint="eastAsia" w:ascii="宋体" w:hAnsi="宋体" w:eastAsia="宋体" w:cs="宋体"/>
          <w:b w:val="0"/>
          <w:bCs w:val="0"/>
          <w:color w:val="auto"/>
          <w:sz w:val="21"/>
          <w:szCs w:val="21"/>
          <w:highlight w:val="none"/>
          <w:lang w:val="en-US" w:eastAsia="zh-CN"/>
        </w:rPr>
        <w:t>研发资金投入。</w:t>
      </w:r>
    </w:p>
    <w:p w14:paraId="1EBD5EF3">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outlineLvl w:val="2"/>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sz w:val="21"/>
          <w:szCs w:val="21"/>
          <w:highlight w:val="none"/>
          <w:lang w:val="en-US" w:eastAsia="zh-CN"/>
        </w:rPr>
        <w:t xml:space="preserve">▲3.3.7 </w:t>
      </w:r>
      <w:r>
        <w:rPr>
          <w:rFonts w:hint="eastAsia" w:ascii="宋体" w:hAnsi="宋体" w:eastAsia="宋体" w:cs="宋体"/>
          <w:b w:val="0"/>
          <w:bCs w:val="0"/>
          <w:color w:val="auto"/>
          <w:sz w:val="21"/>
          <w:szCs w:val="21"/>
          <w:highlight w:val="none"/>
        </w:rPr>
        <w:t>报价方式</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本项目</w:t>
      </w:r>
      <w:r>
        <w:rPr>
          <w:rFonts w:hint="eastAsia" w:ascii="宋体" w:hAnsi="宋体" w:eastAsia="宋体" w:cs="宋体"/>
          <w:b w:val="0"/>
          <w:bCs w:val="0"/>
          <w:color w:val="auto"/>
          <w:sz w:val="21"/>
          <w:szCs w:val="21"/>
          <w:highlight w:val="none"/>
        </w:rPr>
        <w:t>对外收费标准每年按照人社部、</w:t>
      </w:r>
      <w:r>
        <w:rPr>
          <w:rFonts w:hint="eastAsia" w:ascii="宋体" w:hAnsi="宋体" w:eastAsia="宋体" w:cs="宋体"/>
          <w:b w:val="0"/>
          <w:bCs w:val="0"/>
          <w:color w:val="auto"/>
          <w:sz w:val="21"/>
          <w:szCs w:val="21"/>
          <w:highlight w:val="none"/>
          <w:lang w:eastAsia="zh-CN"/>
        </w:rPr>
        <w:t>浙江省</w:t>
      </w:r>
      <w:r>
        <w:rPr>
          <w:rFonts w:hint="eastAsia" w:ascii="宋体" w:hAnsi="宋体" w:eastAsia="宋体" w:cs="宋体"/>
          <w:b w:val="0"/>
          <w:bCs w:val="0"/>
          <w:color w:val="auto"/>
          <w:sz w:val="21"/>
          <w:szCs w:val="21"/>
          <w:highlight w:val="none"/>
        </w:rPr>
        <w:t>人社厅对继续教育基地开展专业技术人员继续教育项目的市场收费价格等情况由采购人确定，</w:t>
      </w:r>
      <w:r>
        <w:rPr>
          <w:rFonts w:hint="eastAsia" w:ascii="宋体" w:hAnsi="宋体" w:eastAsia="宋体" w:cs="宋体"/>
          <w:b w:val="0"/>
          <w:bCs w:val="0"/>
          <w:color w:val="auto"/>
          <w:kern w:val="2"/>
          <w:sz w:val="21"/>
          <w:szCs w:val="21"/>
          <w:highlight w:val="none"/>
        </w:rPr>
        <w:t>供应商按照项目</w:t>
      </w:r>
      <w:r>
        <w:rPr>
          <w:rFonts w:hint="eastAsia" w:ascii="宋体" w:hAnsi="宋体" w:eastAsia="宋体" w:cs="宋体"/>
          <w:b w:val="0"/>
          <w:bCs w:val="0"/>
          <w:color w:val="auto"/>
          <w:kern w:val="2"/>
          <w:sz w:val="21"/>
          <w:szCs w:val="21"/>
          <w:highlight w:val="none"/>
          <w:lang w:val="en-US" w:eastAsia="zh-CN"/>
        </w:rPr>
        <w:t>税后</w:t>
      </w:r>
      <w:r>
        <w:rPr>
          <w:rFonts w:hint="eastAsia" w:ascii="宋体" w:hAnsi="宋体" w:eastAsia="宋体" w:cs="宋体"/>
          <w:b w:val="0"/>
          <w:bCs w:val="0"/>
          <w:color w:val="auto"/>
          <w:kern w:val="2"/>
          <w:sz w:val="21"/>
          <w:szCs w:val="21"/>
          <w:highlight w:val="none"/>
        </w:rPr>
        <w:t>总收入分成比例的形式进行报价，供应商所占运营</w:t>
      </w:r>
      <w:r>
        <w:rPr>
          <w:rFonts w:hint="eastAsia" w:ascii="宋体" w:hAnsi="宋体" w:eastAsia="宋体" w:cs="宋体"/>
          <w:b w:val="0"/>
          <w:bCs w:val="0"/>
          <w:color w:val="auto"/>
          <w:kern w:val="2"/>
          <w:sz w:val="21"/>
          <w:szCs w:val="21"/>
          <w:highlight w:val="none"/>
          <w:lang w:val="en-US" w:eastAsia="zh-CN"/>
        </w:rPr>
        <w:t>及平台开发维护分成</w:t>
      </w:r>
      <w:r>
        <w:rPr>
          <w:rFonts w:hint="eastAsia" w:ascii="宋体" w:hAnsi="宋体" w:eastAsia="宋体" w:cs="宋体"/>
          <w:b w:val="0"/>
          <w:bCs w:val="0"/>
          <w:color w:val="auto"/>
          <w:kern w:val="2"/>
          <w:sz w:val="21"/>
          <w:szCs w:val="21"/>
          <w:highlight w:val="none"/>
        </w:rPr>
        <w:t>比例最高限价为</w:t>
      </w:r>
      <w:r>
        <w:rPr>
          <w:rFonts w:hint="eastAsia" w:ascii="宋体" w:hAnsi="宋体" w:eastAsia="宋体" w:cs="宋体"/>
          <w:b w:val="0"/>
          <w:bCs w:val="0"/>
          <w:color w:val="auto"/>
          <w:kern w:val="2"/>
          <w:sz w:val="21"/>
          <w:szCs w:val="21"/>
          <w:highlight w:val="none"/>
          <w:lang w:val="en-US" w:eastAsia="zh-CN"/>
        </w:rPr>
        <w:t>60</w:t>
      </w:r>
      <w:r>
        <w:rPr>
          <w:rFonts w:hint="eastAsia" w:ascii="宋体" w:hAnsi="宋体" w:eastAsia="宋体" w:cs="宋体"/>
          <w:b w:val="0"/>
          <w:bCs w:val="0"/>
          <w:color w:val="auto"/>
          <w:kern w:val="2"/>
          <w:sz w:val="21"/>
          <w:szCs w:val="21"/>
          <w:highlight w:val="none"/>
        </w:rPr>
        <w:t>%</w:t>
      </w:r>
      <w:r>
        <w:rPr>
          <w:rFonts w:hint="eastAsia" w:ascii="宋体" w:hAnsi="宋体" w:eastAsia="宋体" w:cs="宋体"/>
          <w:b w:val="0"/>
          <w:bCs w:val="0"/>
          <w:color w:val="auto"/>
          <w:kern w:val="2"/>
          <w:sz w:val="21"/>
          <w:szCs w:val="21"/>
          <w:highlight w:val="none"/>
          <w:lang w:eastAsia="zh-CN"/>
        </w:rPr>
        <w:t>，课程分成比例最高限价为</w:t>
      </w:r>
      <w:r>
        <w:rPr>
          <w:rFonts w:hint="eastAsia" w:ascii="宋体" w:hAnsi="宋体" w:eastAsia="宋体" w:cs="宋体"/>
          <w:b w:val="0"/>
          <w:bCs w:val="0"/>
          <w:color w:val="auto"/>
          <w:kern w:val="2"/>
          <w:sz w:val="21"/>
          <w:szCs w:val="21"/>
          <w:highlight w:val="none"/>
          <w:lang w:val="en-US" w:eastAsia="zh-CN"/>
        </w:rPr>
        <w:t>2</w:t>
      </w:r>
      <w:r>
        <w:rPr>
          <w:rFonts w:hint="eastAsia" w:ascii="宋体" w:hAnsi="宋体" w:eastAsia="宋体" w:cs="宋体"/>
          <w:b w:val="0"/>
          <w:bCs w:val="0"/>
          <w:color w:val="auto"/>
          <w:kern w:val="2"/>
          <w:sz w:val="21"/>
          <w:szCs w:val="21"/>
          <w:highlight w:val="none"/>
          <w:lang w:eastAsia="zh-CN"/>
        </w:rPr>
        <w:t>0%</w:t>
      </w:r>
      <w:r>
        <w:rPr>
          <w:rFonts w:hint="eastAsia" w:ascii="宋体" w:hAnsi="宋体" w:eastAsia="宋体" w:cs="宋体"/>
          <w:b w:val="0"/>
          <w:bCs w:val="0"/>
          <w:color w:val="auto"/>
          <w:kern w:val="2"/>
          <w:sz w:val="21"/>
          <w:szCs w:val="21"/>
          <w:highlight w:val="none"/>
        </w:rPr>
        <w:t>。</w:t>
      </w:r>
    </w:p>
    <w:p w14:paraId="0C76C6B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3.3.8 </w:t>
      </w:r>
      <w:r>
        <w:rPr>
          <w:rFonts w:hint="eastAsia" w:ascii="宋体" w:hAnsi="宋体" w:eastAsia="宋体" w:cs="宋体"/>
          <w:b w:val="0"/>
          <w:bCs w:val="0"/>
          <w:color w:val="auto"/>
          <w:sz w:val="21"/>
          <w:szCs w:val="21"/>
          <w:highlight w:val="none"/>
        </w:rPr>
        <w:t>交</w:t>
      </w:r>
      <w:r>
        <w:rPr>
          <w:rFonts w:hint="eastAsia" w:ascii="宋体" w:hAnsi="宋体" w:eastAsia="宋体" w:cs="宋体"/>
          <w:b w:val="0"/>
          <w:bCs w:val="0"/>
          <w:color w:val="auto"/>
          <w:sz w:val="21"/>
          <w:szCs w:val="21"/>
          <w:highlight w:val="none"/>
          <w:lang w:val="en-US" w:eastAsia="zh-CN"/>
        </w:rPr>
        <w:t>付</w:t>
      </w:r>
      <w:r>
        <w:rPr>
          <w:rFonts w:hint="eastAsia" w:ascii="宋体" w:hAnsi="宋体" w:eastAsia="宋体" w:cs="宋体"/>
          <w:b w:val="0"/>
          <w:bCs w:val="0"/>
          <w:color w:val="auto"/>
          <w:sz w:val="21"/>
          <w:szCs w:val="21"/>
          <w:highlight w:val="none"/>
        </w:rPr>
        <w:t>地点</w:t>
      </w:r>
      <w:r>
        <w:rPr>
          <w:rFonts w:hint="eastAsia" w:ascii="宋体" w:hAnsi="宋体" w:eastAsia="宋体" w:cs="宋体"/>
          <w:b w:val="0"/>
          <w:bCs w:val="0"/>
          <w:color w:val="auto"/>
          <w:sz w:val="21"/>
          <w:szCs w:val="21"/>
          <w:highlight w:val="none"/>
          <w:lang w:eastAsia="zh-CN"/>
        </w:rPr>
        <w:t>：杭州电子科技大学</w:t>
      </w:r>
      <w:r>
        <w:rPr>
          <w:rFonts w:hint="eastAsia" w:ascii="宋体" w:hAnsi="宋体" w:eastAsia="宋体" w:cs="宋体"/>
          <w:b w:val="0"/>
          <w:bCs w:val="0"/>
          <w:color w:val="auto"/>
          <w:sz w:val="21"/>
          <w:szCs w:val="21"/>
          <w:highlight w:val="none"/>
        </w:rPr>
        <w:t>指定地点</w:t>
      </w:r>
      <w:r>
        <w:rPr>
          <w:rFonts w:hint="eastAsia" w:ascii="宋体" w:hAnsi="宋体" w:eastAsia="宋体" w:cs="宋体"/>
          <w:b w:val="0"/>
          <w:bCs w:val="0"/>
          <w:color w:val="auto"/>
          <w:sz w:val="21"/>
          <w:szCs w:val="21"/>
          <w:highlight w:val="none"/>
          <w:lang w:eastAsia="zh-CN"/>
        </w:rPr>
        <w:t>。</w:t>
      </w:r>
    </w:p>
    <w:p w14:paraId="0E5BB1C6">
      <w:pPr>
        <w:widowControl/>
        <w:adjustRightInd w:val="0"/>
        <w:snapToGrid w:val="0"/>
        <w:spacing w:line="288" w:lineRule="auto"/>
        <w:ind w:firstLine="420" w:firstLineChars="200"/>
        <w:jc w:val="lef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3.3.9 合同履约期限：自合同签订之日起30日内完成网络学习平台及课程资源上线，网络学习平台及课程资源服务使用期限为上线之日起三年。</w:t>
      </w:r>
    </w:p>
    <w:p w14:paraId="239C2103">
      <w:pPr>
        <w:autoSpaceDE w:val="0"/>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4.演示：</w:t>
      </w:r>
    </w:p>
    <w:p w14:paraId="72FEE290">
      <w:pPr>
        <w:autoSpaceDE w:val="0"/>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▲4.1 供应商演示内容需为真人操作真实软件录制的视频进行，未提供任何演示或以PPT、截图等方式演示的投标无效。</w:t>
      </w:r>
    </w:p>
    <w:p w14:paraId="0C233368">
      <w:pPr>
        <w:autoSpaceDE w:val="0"/>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4.2 演示内容如下：</w:t>
      </w:r>
    </w:p>
    <w:p w14:paraId="486D36C8">
      <w:pPr>
        <w:adjustRightInd w:val="0"/>
        <w:snapToGrid w:val="0"/>
        <w:spacing w:line="288"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试看功能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学习平台在看课过程中，具有试听5分钟功能、断点续学功能和防作弊功能，防作弊功能包括但不限于防止拖拽进度条、防止多终端播放、人脸识别、人脸抓拍、在课程的播放过程中随机考核。</w:t>
      </w:r>
    </w:p>
    <w:p w14:paraId="351871BA">
      <w:pPr>
        <w:adjustRightInd w:val="0"/>
        <w:snapToGrid w:val="0"/>
        <w:spacing w:line="288"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多浏览器访问</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学习平台能通过下列的浏览器访问观看，包括Edge、Chrome、safari、firefox等。</w:t>
      </w:r>
    </w:p>
    <w:p w14:paraId="4D12F463">
      <w:pPr>
        <w:adjustRightInd w:val="0"/>
        <w:snapToGrid w:val="0"/>
        <w:spacing w:line="288"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学习管理：</w:t>
      </w:r>
      <w:r>
        <w:rPr>
          <w:rFonts w:hint="eastAsia" w:ascii="宋体" w:hAnsi="宋体" w:eastAsia="宋体" w:cs="宋体"/>
          <w:color w:val="auto"/>
          <w:highlight w:val="none"/>
        </w:rPr>
        <w:t>学员学习数据导出内容包括：姓名、手机号、身份证号、课程名称、课程金额、学习开始时间、学习结束时间、课程完成进度、学时数。</w:t>
      </w:r>
    </w:p>
    <w:p w14:paraId="0B09AABC">
      <w:pPr>
        <w:adjustRightInd w:val="0"/>
        <w:snapToGrid w:val="0"/>
        <w:spacing w:line="288"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移动端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通过移动端支持缴费、在线看课、学习考核、考试答题等。</w:t>
      </w:r>
    </w:p>
    <w:p w14:paraId="57D0AC49">
      <w:pPr>
        <w:adjustRightInd w:val="0"/>
        <w:snapToGrid w:val="0"/>
        <w:spacing w:line="288"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视频课件清晰度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视频课件的分辨率</w:t>
      </w:r>
      <w:r>
        <w:rPr>
          <w:rFonts w:hint="eastAsia" w:ascii="宋体" w:hAnsi="宋体" w:eastAsia="宋体" w:cs="宋体"/>
          <w:color w:val="auto"/>
          <w:highlight w:val="none"/>
          <w:lang w:val="en-US" w:eastAsia="zh-CN"/>
        </w:rPr>
        <w:t>为</w:t>
      </w:r>
      <w:r>
        <w:rPr>
          <w:rFonts w:hint="eastAsia" w:ascii="宋体" w:hAnsi="宋体" w:eastAsia="宋体" w:cs="宋体"/>
          <w:color w:val="auto"/>
          <w:highlight w:val="none"/>
        </w:rPr>
        <w:t>高清/720P以上。</w:t>
      </w:r>
    </w:p>
    <w:p w14:paraId="0E8E1433">
      <w:pPr>
        <w:adjustRightInd w:val="0"/>
        <w:snapToGrid w:val="0"/>
        <w:spacing w:line="288"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AI助学功能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学习平台具有相应的AI功能，方便学员提前预习、课堂练习、课后复习，方便阅读及总结，提升学习效率，快速掌握知识要点。</w:t>
      </w:r>
    </w:p>
    <w:p w14:paraId="7A0565D7">
      <w:pPr>
        <w:adjustRightInd w:val="0"/>
        <w:snapToGrid w:val="0"/>
        <w:spacing w:line="288"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4.3 演示U盘：</w:t>
      </w:r>
    </w:p>
    <w:p w14:paraId="367735F9">
      <w:pPr>
        <w:adjustRightInd w:val="0"/>
        <w:snapToGrid w:val="0"/>
        <w:spacing w:line="288"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（1）根据“电子交易/不见面开评标”原则，供应商需将以上演示及讲解过程录制视频，演示时长不超过10分钟以.mp4格式存储于U盘。</w:t>
      </w:r>
    </w:p>
    <w:p w14:paraId="2FD8BEA3">
      <w:pPr>
        <w:adjustRightInd w:val="0"/>
        <w:snapToGrid w:val="0"/>
        <w:spacing w:line="288"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（2）演示U盘可以EMS或顺丰邮寄形式在响应截止时间前递交，演示U盘应当密封包装并在包装上标注演示U盘、响应项目名称、投标人名称并加盖公章。</w:t>
      </w:r>
    </w:p>
    <w:p w14:paraId="2A83C00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宋体"/>
          <w:color w:val="auto"/>
          <w:highlight w:val="none"/>
        </w:rPr>
        <w:t>（3）未按招标文件要求提供演示U盘造成专家无法正常评审的风险由供应商自行承担。</w:t>
      </w: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杭州电子科技大学继教院专技人员继续教育网络学习平台课程资源服务采购</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2025年1月（含）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14:paraId="1073C95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638174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lang w:val="en-US" w:eastAsia="zh-CN"/>
              </w:rPr>
              <w:t>服务内容整体不可分割</w:t>
            </w:r>
            <w:r>
              <w:rPr>
                <w:rFonts w:hint="default" w:ascii="宋体" w:hAnsi="宋体" w:eastAsia="宋体"/>
                <w:color w:val="auto"/>
                <w:szCs w:val="21"/>
                <w:highlight w:val="none"/>
                <w:u w:val="single"/>
              </w:rPr>
              <w:t>。</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1FAE93B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p>
          <w:p w14:paraId="218C20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14:paraId="055AEC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14:paraId="0C9414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联合协议（如有）</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eastAsia="zh-CN"/>
              </w:rPr>
              <w:t>以百分比报价</w:t>
            </w:r>
            <w:r>
              <w:rPr>
                <w:rFonts w:hint="eastAsia" w:ascii="宋体" w:hAnsi="宋体" w:eastAsia="宋体"/>
                <w:color w:val="auto"/>
                <w:szCs w:val="21"/>
                <w:highlight w:val="none"/>
              </w:rPr>
              <w:t>；</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杭州电子科技大学继教院专技人员继续教育网络学习平台课程资源服务采购</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391D76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A852E0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14:paraId="1F3557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14:paraId="7627C9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3373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14:paraId="298DC70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14:paraId="31551B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262BA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14:paraId="1DED9CD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0.56</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794166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rPr>
        <w:t>服务内容整体不可分割</w:t>
      </w:r>
      <w:r>
        <w:rPr>
          <w:rFonts w:ascii="宋体" w:hAnsi="宋体" w:eastAsia="宋体"/>
          <w:color w:val="auto"/>
          <w:szCs w:val="21"/>
          <w:highlight w:val="none"/>
          <w:u w:val="single"/>
        </w:rPr>
        <w:t>。</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在服务采购项目中，服务由中小企业承接，即提供服务的人员为中小企业依照《中华人民共和国劳动合同法》订立劳动合同的从业人员。</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1.3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1.4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1.5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1.6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39C9C4FB">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▲1.7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eastAsia="zh-CN"/>
        </w:rPr>
        <w:t>以百分比报价</w:t>
      </w:r>
      <w:r>
        <w:rPr>
          <w:rFonts w:hint="eastAsia" w:ascii="宋体" w:hAnsi="宋体" w:eastAsia="宋体"/>
          <w:color w:val="auto"/>
          <w:szCs w:val="21"/>
          <w:highlight w:val="none"/>
        </w:rPr>
        <w:t>；</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w:t>
      </w:r>
      <w:r>
        <w:rPr>
          <w:rFonts w:hint="eastAsia" w:ascii="宋体" w:hAnsi="宋体" w:eastAsia="宋体" w:cs="Times New Roman"/>
          <w:color w:val="auto"/>
          <w:spacing w:val="-6"/>
          <w:szCs w:val="21"/>
          <w:highlight w:val="none"/>
          <w:lang w:val="en-US" w:eastAsia="zh-CN"/>
        </w:rPr>
        <w:t>服务</w:t>
      </w:r>
      <w:r>
        <w:rPr>
          <w:rFonts w:ascii="宋体" w:hAnsi="宋体" w:eastAsia="宋体" w:cs="Times New Roman"/>
          <w:color w:val="auto"/>
          <w:spacing w:val="-6"/>
          <w:szCs w:val="21"/>
          <w:highlight w:val="none"/>
        </w:rPr>
        <w:t>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eastAsia="宋体" w:cs="宋体"/>
          <w:color w:val="auto"/>
          <w:kern w:val="0"/>
          <w:sz w:val="21"/>
          <w:szCs w:val="21"/>
          <w:highlight w:val="none"/>
        </w:rPr>
      </w:pPr>
      <w:r>
        <w:rPr>
          <w:rFonts w:hint="eastAsia" w:ascii="宋体" w:hAnsi="宋体" w:cs="仿宋"/>
          <w:color w:val="auto"/>
          <w:kern w:val="0"/>
          <w:sz w:val="21"/>
          <w:szCs w:val="21"/>
          <w:highlight w:val="none"/>
        </w:rPr>
        <w:t>同时出现两种以上不一致的</w:t>
      </w:r>
      <w:r>
        <w:rPr>
          <w:rFonts w:hint="eastAsia" w:ascii="宋体" w:hAnsi="宋体" w:eastAsia="宋体" w:cs="宋体"/>
          <w:color w:val="auto"/>
          <w:kern w:val="0"/>
          <w:sz w:val="21"/>
          <w:szCs w:val="21"/>
          <w:highlight w:val="none"/>
        </w:rPr>
        <w:t>，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DFF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9F932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评审因素</w:t>
            </w:r>
          </w:p>
        </w:tc>
        <w:tc>
          <w:tcPr>
            <w:tcW w:w="654" w:type="dxa"/>
            <w:vAlign w:val="center"/>
          </w:tcPr>
          <w:p w14:paraId="2FF1DCE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分值</w:t>
            </w:r>
          </w:p>
        </w:tc>
        <w:tc>
          <w:tcPr>
            <w:tcW w:w="7072" w:type="dxa"/>
            <w:vAlign w:val="center"/>
          </w:tcPr>
          <w:p w14:paraId="4335C0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评分标准</w:t>
            </w:r>
          </w:p>
        </w:tc>
      </w:tr>
      <w:tr w14:paraId="6540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2242552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价格</w:t>
            </w:r>
            <w:r>
              <w:rPr>
                <w:rFonts w:hint="eastAsia" w:ascii="宋体" w:hAnsi="宋体" w:eastAsia="宋体" w:cs="Times New Roman"/>
                <w:b/>
                <w:bCs/>
                <w:color w:val="auto"/>
                <w:sz w:val="21"/>
                <w:szCs w:val="21"/>
                <w:highlight w:val="none"/>
              </w:rPr>
              <w:t>分（1</w:t>
            </w:r>
            <w:r>
              <w:rPr>
                <w:rFonts w:hint="default" w:ascii="宋体" w:hAnsi="宋体" w:eastAsia="宋体" w:cs="Times New Roman"/>
                <w:b/>
                <w:bCs/>
                <w:color w:val="auto"/>
                <w:sz w:val="21"/>
                <w:szCs w:val="21"/>
                <w:highlight w:val="none"/>
              </w:rPr>
              <w:t>0</w:t>
            </w:r>
            <w:r>
              <w:rPr>
                <w:rFonts w:hint="eastAsia" w:ascii="宋体" w:hAnsi="宋体" w:eastAsia="宋体" w:cs="Times New Roman"/>
                <w:b/>
                <w:bCs/>
                <w:color w:val="auto"/>
                <w:sz w:val="21"/>
                <w:szCs w:val="21"/>
                <w:highlight w:val="none"/>
              </w:rPr>
              <w:t>）</w:t>
            </w:r>
          </w:p>
        </w:tc>
      </w:tr>
      <w:tr w14:paraId="004C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26C9DDE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5BE5A24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181F2E4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w:t>
            </w:r>
            <w:r>
              <w:rPr>
                <w:rFonts w:hint="eastAsia" w:ascii="宋体" w:hAnsi="宋体" w:eastAsia="宋体" w:cs="宋体"/>
                <w:color w:val="auto"/>
                <w:sz w:val="21"/>
                <w:szCs w:val="21"/>
                <w:highlight w:val="none"/>
                <w:lang w:val="en-US" w:eastAsia="zh-CN"/>
              </w:rPr>
              <w:t>运营及平台开发维护分成比例</w:t>
            </w:r>
            <w:r>
              <w:rPr>
                <w:rFonts w:hint="eastAsia" w:ascii="宋体" w:hAnsi="宋体" w:eastAsia="宋体" w:cs="宋体"/>
                <w:color w:val="auto"/>
                <w:sz w:val="21"/>
                <w:szCs w:val="21"/>
                <w:highlight w:val="none"/>
              </w:rPr>
              <w:t>投标报价为评标基准价，其他投标人的价格分按照下列公式计算：</w:t>
            </w:r>
          </w:p>
          <w:p w14:paraId="3606D0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%×100</w:t>
            </w:r>
          </w:p>
        </w:tc>
      </w:tr>
      <w:tr w14:paraId="7B75D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3D9D96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E048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4374DB0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w:t>
            </w:r>
            <w:r>
              <w:rPr>
                <w:rFonts w:hint="eastAsia" w:ascii="宋体" w:hAnsi="宋体" w:eastAsia="宋体" w:cs="宋体"/>
                <w:color w:val="auto"/>
                <w:sz w:val="21"/>
                <w:szCs w:val="21"/>
                <w:highlight w:val="none"/>
                <w:lang w:val="en-US" w:eastAsia="zh-CN"/>
              </w:rPr>
              <w:t>课程</w:t>
            </w:r>
            <w:r>
              <w:rPr>
                <w:rFonts w:hint="eastAsia" w:ascii="宋体" w:hAnsi="宋体" w:eastAsia="宋体" w:cs="宋体"/>
                <w:color w:val="auto"/>
                <w:sz w:val="21"/>
                <w:szCs w:val="21"/>
                <w:highlight w:val="none"/>
              </w:rPr>
              <w:t>分成比例投标报价为评标基准价，其他投标人的价格分按照下列公式计算：</w:t>
            </w:r>
          </w:p>
          <w:p w14:paraId="207D97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价格分=（评标基准价/投标报价）×5%×100</w:t>
            </w:r>
          </w:p>
        </w:tc>
      </w:tr>
      <w:tr w14:paraId="6C247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12C8FC5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商务分</w:t>
            </w:r>
            <w:r>
              <w:rPr>
                <w:rFonts w:hint="eastAsia" w:ascii="宋体" w:hAnsi="宋体" w:eastAsia="宋体" w:cs="Times New Roman"/>
                <w:b/>
                <w:bCs/>
                <w:color w:val="auto"/>
                <w:sz w:val="21"/>
                <w:szCs w:val="21"/>
                <w:highlight w:val="none"/>
              </w:rPr>
              <w:t>（</w:t>
            </w:r>
            <w:r>
              <w:rPr>
                <w:rFonts w:hint="eastAsia" w:ascii="宋体" w:hAnsi="宋体" w:eastAsia="宋体" w:cs="Times New Roman"/>
                <w:b/>
                <w:bCs/>
                <w:color w:val="auto"/>
                <w:sz w:val="21"/>
                <w:szCs w:val="21"/>
                <w:highlight w:val="none"/>
                <w:lang w:val="en-US" w:eastAsia="zh-CN"/>
              </w:rPr>
              <w:t>5</w:t>
            </w:r>
            <w:r>
              <w:rPr>
                <w:rFonts w:hint="eastAsia" w:ascii="宋体" w:hAnsi="宋体" w:eastAsia="宋体" w:cs="Times New Roman"/>
                <w:b/>
                <w:bCs/>
                <w:color w:val="auto"/>
                <w:sz w:val="21"/>
                <w:szCs w:val="21"/>
                <w:highlight w:val="none"/>
              </w:rPr>
              <w:t>）</w:t>
            </w:r>
          </w:p>
        </w:tc>
      </w:tr>
      <w:tr w14:paraId="5EC8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BC4BB7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14:paraId="7F2F09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072" w:type="dxa"/>
            <w:vAlign w:val="center"/>
          </w:tcPr>
          <w:p w14:paraId="270865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14:paraId="253278D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年1月1日以来（以合同签订时间为准）同类合同业绩（以提供的合同扫描件为准）：每提供1份合同业绩得0.5分，最高得1分。</w:t>
            </w:r>
          </w:p>
        </w:tc>
      </w:tr>
      <w:tr w14:paraId="522A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29BA114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投标人信誉</w:t>
            </w:r>
          </w:p>
        </w:tc>
        <w:tc>
          <w:tcPr>
            <w:tcW w:w="654" w:type="dxa"/>
            <w:vAlign w:val="center"/>
          </w:tcPr>
          <w:p w14:paraId="447C6E2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7072" w:type="dxa"/>
            <w:vAlign w:val="center"/>
          </w:tcPr>
          <w:p w14:paraId="2323109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【客观分】投标人具有有效的信息安全管理体系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信息技术服务管理体系认证证书的，每有1份得1分，最高得2分(提供证书扫描件、国家认证认可监督管理委员会官网(http://www.cnca.gov.cn/)查询截图，不提供不得分)。</w:t>
            </w:r>
          </w:p>
        </w:tc>
      </w:tr>
      <w:tr w14:paraId="1E2B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DEA8B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等保测评</w:t>
            </w:r>
          </w:p>
        </w:tc>
        <w:tc>
          <w:tcPr>
            <w:tcW w:w="654" w:type="dxa"/>
            <w:vAlign w:val="center"/>
          </w:tcPr>
          <w:p w14:paraId="017DC52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7072" w:type="dxa"/>
            <w:vAlign w:val="center"/>
          </w:tcPr>
          <w:p w14:paraId="1B018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【客观分】投标人</w:t>
            </w:r>
            <w:r>
              <w:rPr>
                <w:rFonts w:hint="eastAsia" w:ascii="宋体" w:hAnsi="宋体" w:eastAsia="宋体" w:cs="宋体"/>
                <w:color w:val="auto"/>
                <w:sz w:val="21"/>
                <w:szCs w:val="21"/>
                <w:highlight w:val="none"/>
                <w:lang w:val="en-US" w:eastAsia="zh-CN"/>
              </w:rPr>
              <w:t>提供的</w:t>
            </w:r>
            <w:r>
              <w:rPr>
                <w:rFonts w:hint="eastAsia" w:ascii="宋体" w:hAnsi="宋体" w:eastAsia="宋体" w:cs="宋体"/>
                <w:color w:val="auto"/>
                <w:sz w:val="21"/>
                <w:szCs w:val="21"/>
                <w:highlight w:val="none"/>
              </w:rPr>
              <w:t>网络学习平台具有三级</w:t>
            </w:r>
            <w:r>
              <w:rPr>
                <w:rFonts w:hint="eastAsia" w:ascii="宋体" w:hAnsi="宋体" w:eastAsia="宋体" w:cs="宋体"/>
                <w:color w:val="auto"/>
                <w:sz w:val="21"/>
                <w:szCs w:val="21"/>
                <w:highlight w:val="none"/>
                <w:lang w:val="en-US" w:eastAsia="zh-CN"/>
              </w:rPr>
              <w:t>及以上</w:t>
            </w:r>
            <w:r>
              <w:rPr>
                <w:rFonts w:hint="eastAsia" w:ascii="宋体" w:hAnsi="宋体" w:eastAsia="宋体" w:cs="宋体"/>
                <w:color w:val="auto"/>
                <w:sz w:val="21"/>
                <w:szCs w:val="21"/>
                <w:highlight w:val="none"/>
              </w:rPr>
              <w:t>等保备案证明和网络安全等级保护等级测评报告的，得</w:t>
            </w:r>
            <w:r>
              <w:rPr>
                <w:rFonts w:hint="eastAsia" w:ascii="宋体" w:hAnsi="宋体" w:eastAsia="宋体" w:cs="宋体"/>
                <w:color w:val="auto"/>
                <w:sz w:val="21"/>
                <w:szCs w:val="21"/>
                <w:highlight w:val="none"/>
                <w:lang w:val="en-US" w:eastAsia="zh-CN"/>
              </w:rPr>
              <w:t>2</w:t>
            </w:r>
            <w:bookmarkStart w:id="58" w:name="_GoBack"/>
            <w:bookmarkEnd w:id="58"/>
            <w:r>
              <w:rPr>
                <w:rFonts w:hint="eastAsia" w:ascii="宋体" w:hAnsi="宋体" w:eastAsia="宋体" w:cs="宋体"/>
                <w:color w:val="auto"/>
                <w:sz w:val="21"/>
                <w:szCs w:val="21"/>
                <w:highlight w:val="none"/>
              </w:rPr>
              <w:t>分（提供证书</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，不提供不得分）。</w:t>
            </w:r>
          </w:p>
        </w:tc>
      </w:tr>
      <w:tr w14:paraId="4ADF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36050D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技术</w:t>
            </w:r>
            <w:r>
              <w:rPr>
                <w:rFonts w:hint="default" w:ascii="宋体" w:hAnsi="宋体" w:eastAsia="宋体" w:cs="Times New Roman"/>
                <w:b/>
                <w:bCs/>
                <w:color w:val="auto"/>
                <w:sz w:val="21"/>
                <w:szCs w:val="21"/>
                <w:highlight w:val="none"/>
              </w:rPr>
              <w:t>分</w:t>
            </w:r>
            <w:r>
              <w:rPr>
                <w:rFonts w:hint="eastAsia" w:ascii="宋体" w:hAnsi="宋体" w:eastAsia="宋体" w:cs="Times New Roman"/>
                <w:b/>
                <w:bCs/>
                <w:color w:val="auto"/>
                <w:sz w:val="21"/>
                <w:szCs w:val="21"/>
                <w:highlight w:val="none"/>
              </w:rPr>
              <w:t>（8</w:t>
            </w:r>
            <w:r>
              <w:rPr>
                <w:rFonts w:hint="eastAsia" w:ascii="宋体" w:hAnsi="宋体" w:eastAsia="宋体" w:cs="Times New Roman"/>
                <w:b/>
                <w:bCs/>
                <w:color w:val="auto"/>
                <w:sz w:val="21"/>
                <w:szCs w:val="21"/>
                <w:highlight w:val="none"/>
                <w:lang w:val="en-US" w:eastAsia="zh-CN"/>
              </w:rPr>
              <w:t>5</w:t>
            </w:r>
            <w:r>
              <w:rPr>
                <w:rFonts w:hint="eastAsia" w:ascii="宋体" w:hAnsi="宋体" w:eastAsia="宋体" w:cs="Times New Roman"/>
                <w:b/>
                <w:bCs/>
                <w:color w:val="auto"/>
                <w:sz w:val="21"/>
                <w:szCs w:val="21"/>
                <w:highlight w:val="none"/>
              </w:rPr>
              <w:t>）</w:t>
            </w:r>
          </w:p>
        </w:tc>
      </w:tr>
      <w:tr w14:paraId="4C10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27487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响应程度</w:t>
            </w:r>
          </w:p>
        </w:tc>
        <w:tc>
          <w:tcPr>
            <w:tcW w:w="654" w:type="dxa"/>
            <w:vAlign w:val="center"/>
          </w:tcPr>
          <w:p w14:paraId="67DD57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18</w:t>
            </w:r>
          </w:p>
        </w:tc>
        <w:tc>
          <w:tcPr>
            <w:tcW w:w="7072" w:type="dxa"/>
            <w:vAlign w:val="center"/>
          </w:tcPr>
          <w:p w14:paraId="7C67A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14:paraId="682BD8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不符合（负偏离）技术要求中标注“▲”条款（不可偏离）的投标无效；</w:t>
            </w:r>
          </w:p>
          <w:p w14:paraId="3FAB495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满足招标文件明确的全部服务要求的</w:t>
            </w:r>
            <w:r>
              <w:rPr>
                <w:rFonts w:hint="eastAsia" w:ascii="宋体" w:hAnsi="宋体" w:eastAsia="宋体" w:cs="Times New Roman"/>
                <w:color w:val="auto"/>
                <w:sz w:val="21"/>
                <w:szCs w:val="21"/>
                <w:highlight w:val="none"/>
              </w:rPr>
              <w:t>该项得满分</w:t>
            </w:r>
            <w:r>
              <w:rPr>
                <w:rFonts w:hint="eastAsia" w:ascii="宋体" w:hAnsi="宋体" w:eastAsia="宋体" w:cs="宋体"/>
                <w:color w:val="auto"/>
                <w:sz w:val="21"/>
                <w:szCs w:val="21"/>
                <w:highlight w:val="none"/>
              </w:rPr>
              <w:t>；</w:t>
            </w:r>
          </w:p>
          <w:p w14:paraId="67E0AD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投标条款低于服务要求（负偏离）的每项扣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1B8A66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6</w:t>
            </w:r>
            <w:r>
              <w:rPr>
                <w:rFonts w:hint="default" w:ascii="宋体" w:hAnsi="宋体" w:eastAsia="宋体" w:cs="宋体"/>
                <w:color w:val="auto"/>
                <w:sz w:val="21"/>
                <w:szCs w:val="21"/>
                <w:highlight w:val="none"/>
              </w:rPr>
              <w:t>项及以上的，视为采购人不能接受的附加条件。</w:t>
            </w:r>
          </w:p>
        </w:tc>
      </w:tr>
      <w:tr w14:paraId="440C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29FD13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软件著作权</w:t>
            </w:r>
          </w:p>
        </w:tc>
        <w:tc>
          <w:tcPr>
            <w:tcW w:w="654" w:type="dxa"/>
            <w:vAlign w:val="center"/>
          </w:tcPr>
          <w:p w14:paraId="304D8C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7072" w:type="dxa"/>
            <w:vAlign w:val="center"/>
          </w:tcPr>
          <w:p w14:paraId="590B50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【客观分】</w:t>
            </w:r>
            <w:r>
              <w:rPr>
                <w:rFonts w:hint="eastAsia" w:ascii="宋体" w:hAnsi="宋体" w:eastAsia="宋体" w:cs="宋体"/>
                <w:color w:val="auto"/>
                <w:sz w:val="21"/>
                <w:szCs w:val="21"/>
                <w:highlight w:val="none"/>
                <w:lang w:val="en-US" w:eastAsia="zh-CN"/>
              </w:rPr>
              <w:t>投标人具有与本项目内容相关的软件著作权证书的，每提供1份得0.5分，最高得2分（提供证书扫描件，不提供不得分）。</w:t>
            </w:r>
          </w:p>
        </w:tc>
      </w:tr>
      <w:tr w14:paraId="685A1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41CAA21C">
            <w:pPr>
              <w:keepNext w:val="0"/>
              <w:keepLines w:val="0"/>
              <w:suppressLineNumbers w:val="0"/>
              <w:spacing w:before="0" w:beforeAutospacing="0" w:after="0" w:afterAutospacing="0"/>
              <w:ind w:left="0" w:right="0"/>
              <w:jc w:val="center"/>
              <w:rPr>
                <w:rFonts w:hint="default" w:ascii="宋体" w:hAnsi="宋体" w:eastAsia="宋体" w:cs="宋体"/>
                <w:b/>
                <w:bCs/>
                <w:color w:val="auto"/>
                <w:kern w:val="0"/>
                <w:sz w:val="21"/>
                <w:szCs w:val="21"/>
                <w:highlight w:val="none"/>
              </w:rPr>
            </w:pPr>
            <w:r>
              <w:rPr>
                <w:rFonts w:hint="default" w:ascii="宋体" w:hAnsi="宋体" w:eastAsia="宋体" w:cs="宋体"/>
                <w:b/>
                <w:bCs/>
                <w:color w:val="auto"/>
                <w:kern w:val="0"/>
                <w:sz w:val="21"/>
                <w:szCs w:val="21"/>
                <w:highlight w:val="none"/>
              </w:rPr>
              <w:t>建设方案</w:t>
            </w:r>
          </w:p>
        </w:tc>
        <w:tc>
          <w:tcPr>
            <w:tcW w:w="654" w:type="dxa"/>
            <w:tcBorders>
              <w:top w:val="single" w:color="auto" w:sz="4" w:space="0"/>
              <w:left w:val="single" w:color="auto" w:sz="4" w:space="0"/>
              <w:bottom w:val="single" w:color="auto" w:sz="4" w:space="0"/>
              <w:right w:val="single" w:color="auto" w:sz="4" w:space="0"/>
            </w:tcBorders>
            <w:vAlign w:val="center"/>
          </w:tcPr>
          <w:p w14:paraId="1906455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7A7A5">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主观分】投标人应提供本项目平台建设方案，方案内容包含但不限于：平台设计原则、平台功能、平台性能、运维能力等。根据平台建设方案内容是否完整、逻辑是否清晰、设计是否科学、行文是否规范以及落地可行性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评分范围：5,4,3,2,1,0</w:t>
            </w:r>
            <w:r>
              <w:rPr>
                <w:rFonts w:hint="eastAsia" w:ascii="宋体" w:hAnsi="宋体" w:eastAsia="宋体" w:cs="宋体"/>
                <w:color w:val="auto"/>
                <w:sz w:val="21"/>
                <w:szCs w:val="21"/>
                <w:highlight w:val="none"/>
                <w:lang w:eastAsia="zh-CN"/>
              </w:rPr>
              <w:t>）。</w:t>
            </w:r>
          </w:p>
        </w:tc>
      </w:tr>
      <w:tr w14:paraId="6EFB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14:paraId="1CB7DB7A">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服务方案</w:t>
            </w:r>
          </w:p>
        </w:tc>
        <w:tc>
          <w:tcPr>
            <w:tcW w:w="654" w:type="dxa"/>
            <w:tcBorders>
              <w:top w:val="single" w:color="auto" w:sz="4" w:space="0"/>
              <w:left w:val="single" w:color="auto" w:sz="4" w:space="0"/>
              <w:bottom w:val="single" w:color="auto" w:sz="4" w:space="0"/>
              <w:right w:val="single" w:color="auto" w:sz="4" w:space="0"/>
            </w:tcBorders>
            <w:vAlign w:val="center"/>
          </w:tcPr>
          <w:p w14:paraId="77BC1A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197EBE35">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主观分】投标人应提供本项目服务方案，方案内容包含但不限于：项目进度、风险管理、质量管理、平台推广、应急管理、客户服务等。根据服务方案内容是否完整、逻辑是否清晰、设计是否科学、行文是否规范以及落地可行性等（评分范围：5,4,3,2,1,0）。</w:t>
            </w:r>
          </w:p>
        </w:tc>
      </w:tr>
      <w:tr w14:paraId="7761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left w:val="single" w:color="auto" w:sz="4" w:space="0"/>
              <w:right w:val="single" w:color="auto" w:sz="4" w:space="0"/>
            </w:tcBorders>
            <w:vAlign w:val="center"/>
          </w:tcPr>
          <w:p w14:paraId="733ABF02">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技术开发方案</w:t>
            </w:r>
          </w:p>
        </w:tc>
        <w:tc>
          <w:tcPr>
            <w:tcW w:w="654" w:type="dxa"/>
            <w:tcBorders>
              <w:top w:val="single" w:color="auto" w:sz="4" w:space="0"/>
              <w:left w:val="single" w:color="auto" w:sz="4" w:space="0"/>
              <w:bottom w:val="single" w:color="auto" w:sz="4" w:space="0"/>
              <w:right w:val="single" w:color="auto" w:sz="4" w:space="0"/>
            </w:tcBorders>
            <w:vAlign w:val="center"/>
          </w:tcPr>
          <w:p w14:paraId="5893AA9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14:paraId="232CC93F">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rPr>
              <w:t>【主观分】</w:t>
            </w:r>
            <w:r>
              <w:rPr>
                <w:rFonts w:hint="eastAsia" w:ascii="宋体" w:hAnsi="宋体" w:eastAsia="宋体" w:cs="宋体"/>
                <w:color w:val="auto"/>
                <w:sz w:val="21"/>
                <w:szCs w:val="21"/>
                <w:highlight w:val="none"/>
                <w:lang w:val="en-US" w:eastAsia="zh-CN"/>
              </w:rPr>
              <w:t>投标人针对</w:t>
            </w:r>
            <w:r>
              <w:rPr>
                <w:rFonts w:hint="default" w:ascii="宋体" w:hAnsi="宋体" w:eastAsia="宋体" w:cs="宋体"/>
                <w:color w:val="auto"/>
                <w:sz w:val="21"/>
                <w:szCs w:val="21"/>
                <w:highlight w:val="none"/>
              </w:rPr>
              <w:t>平台门户</w:t>
            </w:r>
            <w:r>
              <w:rPr>
                <w:rFonts w:hint="eastAsia" w:ascii="宋体" w:hAnsi="宋体" w:eastAsia="宋体" w:cs="宋体"/>
                <w:color w:val="auto"/>
                <w:sz w:val="21"/>
                <w:szCs w:val="21"/>
                <w:highlight w:val="none"/>
                <w:lang w:val="en-US" w:eastAsia="zh-CN"/>
              </w:rPr>
              <w:t>提供的针对性技术开发方案的可行性、科学性（评分范围：3,2,1,0）。</w:t>
            </w:r>
          </w:p>
        </w:tc>
      </w:tr>
      <w:tr w14:paraId="5507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7FA5A06B">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14EA2C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14:paraId="1B6CCC7E">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【主观分】投标人针对监管端提供的针对性技术开发方案的可行性、科学性（评分范围：3,2,1,0）。</w:t>
            </w:r>
          </w:p>
        </w:tc>
      </w:tr>
      <w:tr w14:paraId="069D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shd w:val="clear" w:color="auto" w:fill="auto"/>
            <w:vAlign w:val="center"/>
          </w:tcPr>
          <w:p w14:paraId="723C0E62">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75B13A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5CC2713A">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【主观分】投标人针对学员端提供的针对性技术开发方案的可行性、科学性（评分范围：3,2,1,0）。</w:t>
            </w:r>
          </w:p>
        </w:tc>
      </w:tr>
      <w:tr w14:paraId="2B66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left w:val="single" w:color="auto" w:sz="4" w:space="0"/>
              <w:right w:val="single" w:color="auto" w:sz="4" w:space="0"/>
            </w:tcBorders>
            <w:shd w:val="clear" w:color="auto" w:fill="auto"/>
            <w:vAlign w:val="center"/>
          </w:tcPr>
          <w:p w14:paraId="040659C6">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平台性能及运维能力</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2DA4018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4BEFD958">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【主观分】投标人网站稳定性维护能力</w:t>
            </w:r>
            <w:r>
              <w:rPr>
                <w:rFonts w:hint="eastAsia" w:ascii="宋体" w:hAnsi="宋体" w:eastAsia="宋体" w:cs="宋体"/>
                <w:color w:val="auto"/>
                <w:sz w:val="21"/>
                <w:szCs w:val="21"/>
                <w:highlight w:val="none"/>
                <w:lang w:val="en-US" w:eastAsia="zh-CN"/>
              </w:rPr>
              <w:t>情况，包括网站带宽、网站承载、容纳50万人以上同时稳定流畅在线视频学习和在线考试的保障能力情况（评分范围：3,2,1,0）。</w:t>
            </w:r>
          </w:p>
        </w:tc>
      </w:tr>
      <w:tr w14:paraId="50B3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shd w:val="clear" w:color="auto" w:fill="auto"/>
            <w:vAlign w:val="center"/>
          </w:tcPr>
          <w:p w14:paraId="5D36CC10">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32558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BDC6BD9">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【主观分】投标人“云端＋PC端＋移动端”多端一体化运行能力</w:t>
            </w:r>
            <w:r>
              <w:rPr>
                <w:rFonts w:hint="eastAsia" w:ascii="宋体" w:hAnsi="宋体" w:eastAsia="宋体" w:cs="宋体"/>
                <w:color w:val="auto"/>
                <w:sz w:val="21"/>
                <w:szCs w:val="21"/>
                <w:highlight w:val="none"/>
                <w:lang w:val="en-US" w:eastAsia="zh-CN"/>
              </w:rPr>
              <w:t>情况，包括运行保障方案等（评分范围：3,2,1,0）。</w:t>
            </w:r>
          </w:p>
        </w:tc>
      </w:tr>
      <w:tr w14:paraId="0880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shd w:val="clear" w:color="auto" w:fill="auto"/>
            <w:vAlign w:val="center"/>
          </w:tcPr>
          <w:p w14:paraId="306EC80D">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5A30F8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6F2F3E26">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【主观分】投标人运维监控能力情况，包括运维监控保障方案等（评分范围：3,2,1,0）。</w:t>
            </w:r>
          </w:p>
        </w:tc>
      </w:tr>
      <w:tr w14:paraId="590B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shd w:val="clear" w:color="auto" w:fill="auto"/>
            <w:vAlign w:val="center"/>
          </w:tcPr>
          <w:p w14:paraId="7B7284D6">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4935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155DB418">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【主观分】投标人系统可靠性及响应能力情况，包括不间断运行</w:t>
            </w:r>
            <w:r>
              <w:rPr>
                <w:rFonts w:hint="eastAsia" w:ascii="宋体" w:hAnsi="宋体" w:eastAsia="宋体" w:cs="宋体"/>
                <w:color w:val="auto"/>
                <w:sz w:val="21"/>
                <w:szCs w:val="21"/>
                <w:highlight w:val="none"/>
                <w:lang w:eastAsia="zh-CN"/>
              </w:rPr>
              <w:t>、高峰负载时的平均响应时间、日常运行时的平均响应时间、数据量</w:t>
            </w:r>
            <w:r>
              <w:rPr>
                <w:rFonts w:hint="eastAsia" w:ascii="宋体" w:hAnsi="宋体" w:eastAsia="宋体" w:cs="宋体"/>
                <w:color w:val="auto"/>
                <w:sz w:val="21"/>
                <w:szCs w:val="21"/>
                <w:highlight w:val="none"/>
              </w:rPr>
              <w:t>保障方案等（评分范围：3,2,1,0）。</w:t>
            </w:r>
          </w:p>
        </w:tc>
      </w:tr>
      <w:tr w14:paraId="50267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left w:val="single" w:color="auto" w:sz="4" w:space="0"/>
              <w:right w:val="single" w:color="auto" w:sz="4" w:space="0"/>
            </w:tcBorders>
            <w:shd w:val="clear" w:color="auto" w:fill="auto"/>
            <w:vAlign w:val="center"/>
          </w:tcPr>
          <w:p w14:paraId="7F5C2FD1">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课程及师资实力</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84CD68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D12C300">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【主观分】平台授课教师中副高级及以上职称（或相当于副高职称）的人数情况（提供职称证明材料，不提供不得分）（评分范围：5,4,3,2,1,0）。</w:t>
            </w:r>
          </w:p>
        </w:tc>
      </w:tr>
      <w:tr w14:paraId="7BD7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shd w:val="clear" w:color="auto" w:fill="auto"/>
            <w:vAlign w:val="center"/>
          </w:tcPr>
          <w:p w14:paraId="507241B2">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lang w:val="en-US" w:eastAsia="zh-CN"/>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973A7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D23912D">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【主观分】专业科目覆盖</w:t>
            </w:r>
            <w:r>
              <w:rPr>
                <w:rFonts w:hint="eastAsia" w:ascii="宋体" w:hAnsi="宋体" w:eastAsia="宋体" w:cs="宋体"/>
                <w:color w:val="auto"/>
                <w:sz w:val="21"/>
                <w:szCs w:val="21"/>
                <w:highlight w:val="none"/>
                <w:lang w:val="en-US" w:eastAsia="zh-CN"/>
              </w:rPr>
              <w:t>类目、</w:t>
            </w:r>
            <w:r>
              <w:rPr>
                <w:rFonts w:hint="default" w:ascii="宋体" w:hAnsi="宋体" w:eastAsia="宋体" w:cs="宋体"/>
                <w:color w:val="auto"/>
                <w:sz w:val="21"/>
                <w:szCs w:val="21"/>
                <w:highlight w:val="none"/>
                <w:lang w:val="en-US" w:eastAsia="zh-CN"/>
              </w:rPr>
              <w:t>每个专业科目课时数</w:t>
            </w:r>
            <w:r>
              <w:rPr>
                <w:rFonts w:hint="eastAsia" w:ascii="宋体" w:hAnsi="宋体" w:eastAsia="宋体" w:cs="宋体"/>
                <w:color w:val="auto"/>
                <w:sz w:val="21"/>
                <w:szCs w:val="21"/>
                <w:highlight w:val="none"/>
                <w:lang w:val="en-US" w:eastAsia="zh-CN"/>
              </w:rPr>
              <w:t>情况（评分范围：5,4,3,2,1,0）。</w:t>
            </w:r>
          </w:p>
        </w:tc>
      </w:tr>
      <w:tr w14:paraId="26E11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shd w:val="clear" w:color="auto" w:fill="auto"/>
            <w:vAlign w:val="center"/>
          </w:tcPr>
          <w:p w14:paraId="114019E0">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lang w:val="en-US" w:eastAsia="zh-CN"/>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51B72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4756B3B7">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【主观分】课程质量</w:t>
            </w:r>
            <w:r>
              <w:rPr>
                <w:rFonts w:hint="eastAsia" w:ascii="宋体" w:hAnsi="宋体" w:eastAsia="宋体" w:cs="宋体"/>
                <w:color w:val="auto"/>
                <w:sz w:val="21"/>
                <w:szCs w:val="21"/>
                <w:highlight w:val="none"/>
                <w:lang w:val="en-US" w:eastAsia="zh-CN"/>
              </w:rPr>
              <w:t>情况，包括是否</w:t>
            </w:r>
            <w:r>
              <w:rPr>
                <w:rFonts w:hint="default" w:ascii="宋体" w:hAnsi="宋体" w:eastAsia="宋体" w:cs="宋体"/>
                <w:color w:val="auto"/>
                <w:sz w:val="21"/>
                <w:szCs w:val="21"/>
                <w:highlight w:val="none"/>
                <w:lang w:val="en-US" w:eastAsia="zh-CN"/>
              </w:rPr>
              <w:t>建立课程三级内审制度，有专家和技术手段对课程意识形态领域、专业性进行把关审核，无意识形态领域及专业方面问题；主讲教师应有良好精神风貌，举止大方得体，言语清晰、语速适中，具备一定的亲和力（评分范围：5,4,3,2,1,0）。</w:t>
            </w:r>
          </w:p>
        </w:tc>
      </w:tr>
      <w:tr w14:paraId="722E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shd w:val="clear" w:color="auto" w:fill="auto"/>
            <w:vAlign w:val="center"/>
          </w:tcPr>
          <w:p w14:paraId="7676F029">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拟投入人员</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2BDD2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1099D4C3">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【主观分】投标人针对本项目拟投入的人员情况，包括同类项目经验、人员履历等（</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2025年1月（含）以后任意一月投标人本单位为其缴纳社保的证明材料，不提供不得分）（评分范围：5,4,3,2,1,0）。</w:t>
            </w:r>
          </w:p>
        </w:tc>
      </w:tr>
      <w:tr w14:paraId="5F72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shd w:val="clear" w:color="auto" w:fill="auto"/>
            <w:vAlign w:val="center"/>
          </w:tcPr>
          <w:p w14:paraId="59583518">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632900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442D6167">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客观分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拟投入人员具备人社部门颁发的</w:t>
            </w:r>
            <w:r>
              <w:rPr>
                <w:rFonts w:hint="eastAsia" w:ascii="宋体" w:hAnsi="宋体" w:eastAsia="宋体" w:cs="宋体"/>
                <w:color w:val="auto"/>
                <w:sz w:val="21"/>
                <w:szCs w:val="21"/>
                <w:highlight w:val="none"/>
              </w:rPr>
              <w:t>软件设计师或软件评测师证书的，每</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1人得1分，最高</w:t>
            </w:r>
            <w:r>
              <w:rPr>
                <w:rFonts w:hint="eastAsia" w:ascii="宋体" w:hAnsi="宋体" w:eastAsia="宋体" w:cs="宋体"/>
                <w:color w:val="auto"/>
                <w:sz w:val="21"/>
                <w:szCs w:val="21"/>
                <w:highlight w:val="none"/>
                <w:lang w:val="en-US" w:eastAsia="zh-CN"/>
              </w:rPr>
              <w:t>得</w:t>
            </w:r>
            <w:r>
              <w:rPr>
                <w:rFonts w:hint="eastAsia" w:ascii="宋体" w:hAnsi="宋体" w:eastAsia="宋体" w:cs="宋体"/>
                <w:color w:val="auto"/>
                <w:sz w:val="21"/>
                <w:szCs w:val="21"/>
                <w:highlight w:val="none"/>
              </w:rPr>
              <w:t>3分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提供证书扫描件、2025年1月（含）以后任意一月投标人本单位为其缴纳社保的证明材料，不提供不得分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14:paraId="3B6E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510F4F5A">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演示</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726847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2EA1D447">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投标人根据第二章 采购需求“4.演示”的要求提供演示，根据演示内容和演示要求的契合程度（每项演示评分范围：2,1,0.5,0）。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r>
        <w:rPr>
          <w:rFonts w:hint="eastAsia" w:ascii="宋体" w:hAnsi="宋体" w:eastAsia="宋体" w:cs="Times New Roman"/>
          <w:b/>
          <w:color w:val="auto"/>
          <w:szCs w:val="21"/>
          <w:highlight w:val="none"/>
        </w:rPr>
        <w:t>本项目专门面向中小企业采购，不再执行价格评审优惠的扶持政策。</w:t>
      </w:r>
    </w:p>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723498DD">
      <w:pPr>
        <w:spacing w:line="288" w:lineRule="auto"/>
        <w:ind w:firstLine="562" w:firstLineChars="200"/>
        <w:jc w:val="center"/>
        <w:rPr>
          <w:rFonts w:ascii="宋体" w:hAnsi="宋体" w:eastAsia="宋体" w:cs="宋体"/>
          <w:color w:val="auto"/>
          <w:kern w:val="0"/>
          <w:sz w:val="21"/>
          <w:szCs w:val="20"/>
          <w:highlight w:val="none"/>
        </w:rPr>
      </w:pPr>
      <w:r>
        <w:rPr>
          <w:rFonts w:hint="eastAsia" w:ascii="宋体" w:hAnsi="宋体" w:eastAsia="宋体" w:cs="宋体"/>
          <w:b/>
          <w:bCs/>
          <w:color w:val="auto"/>
          <w:kern w:val="0"/>
          <w:sz w:val="28"/>
          <w:szCs w:val="28"/>
          <w:highlight w:val="none"/>
        </w:rPr>
        <w:t>杭州电子科技大学采购合同（服务类）</w:t>
      </w:r>
    </w:p>
    <w:p w14:paraId="36AED580">
      <w:pPr>
        <w:spacing w:line="288" w:lineRule="auto"/>
        <w:ind w:firstLine="420" w:firstLineChars="200"/>
        <w:jc w:val="right"/>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合同编号_________________</w:t>
      </w:r>
    </w:p>
    <w:p w14:paraId="2B1FCEB1">
      <w:pPr>
        <w:spacing w:line="288" w:lineRule="auto"/>
        <w:ind w:firstLine="396" w:firstLineChars="200"/>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确认书号：</w:t>
      </w:r>
      <w:r>
        <w:rPr>
          <w:rFonts w:hint="eastAsia" w:ascii="宋体" w:hAnsi="宋体" w:eastAsia="宋体" w:cs="宋体"/>
          <w:color w:val="auto"/>
          <w:spacing w:val="-6"/>
          <w:kern w:val="0"/>
          <w:sz w:val="21"/>
          <w:szCs w:val="21"/>
          <w:highlight w:val="none"/>
          <w:lang w:eastAsia="zh-CN"/>
        </w:rPr>
        <w:t>[2025]47521号</w:t>
      </w:r>
    </w:p>
    <w:p w14:paraId="7B2A1588">
      <w:pPr>
        <w:spacing w:line="288" w:lineRule="auto"/>
        <w:ind w:firstLine="396" w:firstLineChars="200"/>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项目编号：</w:t>
      </w:r>
      <w:r>
        <w:rPr>
          <w:rFonts w:hint="eastAsia" w:ascii="宋体" w:hAnsi="宋体" w:eastAsia="宋体" w:cs="宋体"/>
          <w:color w:val="auto"/>
          <w:spacing w:val="-6"/>
          <w:kern w:val="0"/>
          <w:sz w:val="21"/>
          <w:szCs w:val="21"/>
          <w:highlight w:val="none"/>
          <w:lang w:eastAsia="zh-CN"/>
        </w:rPr>
        <w:t>QSZBB250164ZFGK</w:t>
      </w:r>
    </w:p>
    <w:p w14:paraId="6974E151">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甲方（采购人）：杭州电子科技大学</w:t>
      </w:r>
    </w:p>
    <w:p w14:paraId="6C2E5E6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乙方（供应商）：</w:t>
      </w:r>
    </w:p>
    <w:p w14:paraId="2C86801B">
      <w:pPr>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0"/>
          <w:highlight w:val="none"/>
        </w:rPr>
        <w:t>浙江求是招标代理有限公司</w:t>
      </w:r>
    </w:p>
    <w:p w14:paraId="54E70C81">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为了保护甲乙双方合法权益，根据项目</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eastAsia="zh-CN"/>
        </w:rPr>
        <w:t>继教院专技人员继续教育网络学习平台课程资源服务采购</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（项目编号</w:t>
      </w:r>
      <w:r>
        <w:rPr>
          <w:rFonts w:hint="eastAsia" w:ascii="宋体" w:hAnsi="宋体" w:eastAsia="宋体" w:cs="宋体"/>
          <w:color w:val="auto"/>
          <w:kern w:val="0"/>
          <w:sz w:val="21"/>
          <w:szCs w:val="20"/>
          <w:highlight w:val="none"/>
          <w:u w:val="single"/>
          <w:lang w:eastAsia="zh-CN"/>
        </w:rPr>
        <w:t>QSZBB250164ZFGK</w:t>
      </w:r>
      <w:r>
        <w:rPr>
          <w:rFonts w:hint="eastAsia" w:ascii="宋体" w:hAnsi="宋体" w:eastAsia="宋体" w:cs="宋体"/>
          <w:color w:val="auto"/>
          <w:kern w:val="0"/>
          <w:sz w:val="21"/>
          <w:szCs w:val="20"/>
          <w:highlight w:val="none"/>
        </w:rPr>
        <w:t>）</w:t>
      </w:r>
      <w:r>
        <w:rPr>
          <w:rFonts w:hint="eastAsia" w:ascii="宋体" w:hAnsi="宋体" w:eastAsia="宋体" w:cs="宋体"/>
          <w:color w:val="auto"/>
          <w:kern w:val="0"/>
          <w:sz w:val="21"/>
          <w:szCs w:val="20"/>
          <w:highlight w:val="none"/>
          <w:u w:val="single"/>
          <w:lang w:val="en-US" w:eastAsia="zh-CN"/>
        </w:rPr>
        <w:t>公开招标</w:t>
      </w:r>
      <w:r>
        <w:rPr>
          <w:rFonts w:hint="eastAsia" w:ascii="宋体" w:hAnsi="宋体" w:eastAsia="宋体" w:cs="宋体"/>
          <w:color w:val="auto"/>
          <w:kern w:val="0"/>
          <w:sz w:val="21"/>
          <w:szCs w:val="20"/>
          <w:highlight w:val="none"/>
        </w:rPr>
        <w:t>的中标（成交）结果，签署本合同，以资共同遵守。</w:t>
      </w:r>
    </w:p>
    <w:p w14:paraId="545900CB">
      <w:pPr>
        <w:numPr>
          <w:ilvl w:val="0"/>
          <w:numId w:val="0"/>
        </w:num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采购服务内容及合同价格</w:t>
      </w:r>
    </w:p>
    <w:p w14:paraId="32D6C5CA">
      <w:pPr>
        <w:numPr>
          <w:ilvl w:val="0"/>
          <w:numId w:val="0"/>
        </w:num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1.采购服务内容及合同价格：</w:t>
      </w:r>
    </w:p>
    <w:tbl>
      <w:tblPr>
        <w:tblStyle w:val="23"/>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66D8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1CCDA367">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序号</w:t>
            </w:r>
          </w:p>
        </w:tc>
        <w:tc>
          <w:tcPr>
            <w:tcW w:w="1179" w:type="dxa"/>
            <w:vAlign w:val="center"/>
          </w:tcPr>
          <w:p w14:paraId="538A7A14">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名称</w:t>
            </w:r>
          </w:p>
        </w:tc>
        <w:tc>
          <w:tcPr>
            <w:tcW w:w="3289" w:type="dxa"/>
            <w:vAlign w:val="center"/>
          </w:tcPr>
          <w:p w14:paraId="44223F4F">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主要内容</w:t>
            </w:r>
          </w:p>
        </w:tc>
        <w:tc>
          <w:tcPr>
            <w:tcW w:w="2021" w:type="dxa"/>
            <w:vAlign w:val="center"/>
          </w:tcPr>
          <w:p w14:paraId="30577E92">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服务期限</w:t>
            </w:r>
          </w:p>
        </w:tc>
        <w:tc>
          <w:tcPr>
            <w:tcW w:w="1715" w:type="dxa"/>
            <w:vAlign w:val="center"/>
          </w:tcPr>
          <w:p w14:paraId="4EA86AA2">
            <w:pPr>
              <w:keepNext w:val="0"/>
              <w:keepLines w:val="0"/>
              <w:suppressLineNumbers w:val="0"/>
              <w:spacing w:before="0" w:beforeAutospacing="0" w:after="0" w:afterAutospacing="0" w:line="288" w:lineRule="auto"/>
              <w:ind w:left="0" w:right="0"/>
              <w:rPr>
                <w:rFonts w:hint="eastAsia" w:ascii="宋体" w:hAnsi="宋体" w:eastAsia="宋体" w:cs="宋体"/>
                <w:color w:val="auto"/>
                <w:kern w:val="0"/>
                <w:sz w:val="21"/>
                <w:szCs w:val="20"/>
                <w:highlight w:val="none"/>
                <w:lang w:eastAsia="zh-CN"/>
              </w:rPr>
            </w:pPr>
            <w:r>
              <w:rPr>
                <w:rFonts w:hint="eastAsia" w:ascii="宋体" w:hAnsi="宋体" w:eastAsia="宋体" w:cs="宋体"/>
                <w:color w:val="auto"/>
                <w:kern w:val="0"/>
                <w:sz w:val="21"/>
                <w:szCs w:val="20"/>
                <w:highlight w:val="none"/>
                <w:lang w:eastAsia="zh-CN"/>
              </w:rPr>
              <w:t>分成费用</w:t>
            </w:r>
          </w:p>
        </w:tc>
      </w:tr>
      <w:tr w14:paraId="29C3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566EC7D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p>
        </w:tc>
        <w:tc>
          <w:tcPr>
            <w:tcW w:w="1179" w:type="dxa"/>
            <w:vAlign w:val="center"/>
          </w:tcPr>
          <w:p w14:paraId="44BA7A34">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3289" w:type="dxa"/>
            <w:vAlign w:val="center"/>
          </w:tcPr>
          <w:p w14:paraId="0418F3FB">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2021" w:type="dxa"/>
            <w:vAlign w:val="center"/>
          </w:tcPr>
          <w:p w14:paraId="3C487D36">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1715" w:type="dxa"/>
            <w:vAlign w:val="center"/>
          </w:tcPr>
          <w:p w14:paraId="31E6B349">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r>
      <w:tr w14:paraId="0B4ED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ED27351">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1179" w:type="dxa"/>
            <w:vAlign w:val="center"/>
          </w:tcPr>
          <w:p w14:paraId="4B6B46DB">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3289" w:type="dxa"/>
            <w:vAlign w:val="center"/>
          </w:tcPr>
          <w:p w14:paraId="319139B2">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2021" w:type="dxa"/>
            <w:vAlign w:val="center"/>
          </w:tcPr>
          <w:p w14:paraId="2C3B6AE9">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1715" w:type="dxa"/>
            <w:vAlign w:val="center"/>
          </w:tcPr>
          <w:p w14:paraId="79993334">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r>
      <w:tr w14:paraId="4EC0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14:paraId="59E05CA7">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合同总价（元，人民币）：小写￥              ，大写：</w:t>
            </w:r>
          </w:p>
        </w:tc>
      </w:tr>
    </w:tbl>
    <w:p w14:paraId="0F3D7E23">
      <w:pPr>
        <w:spacing w:line="288" w:lineRule="auto"/>
        <w:ind w:firstLine="420" w:firstLineChars="200"/>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注：以上合同总价包含乙方完成本项目所必需的人员、设备、材料等一切费用，包括但不限于劳务费、差旅费、设备使用费、材料费、折旧费、运输费、其他技术服务费、培训费、保修保换费、保险费、税费等。</w:t>
      </w:r>
    </w:p>
    <w:p w14:paraId="5C072778">
      <w:pPr>
        <w:spacing w:line="288" w:lineRule="auto"/>
        <w:ind w:firstLine="420" w:firstLineChars="200"/>
        <w:rPr>
          <w:rFonts w:hint="default" w:ascii="宋体" w:hAnsi="宋体" w:eastAsia="宋体" w:cs="宋体"/>
          <w:b/>
          <w:bCs/>
          <w:color w:val="auto"/>
          <w:kern w:val="0"/>
          <w:sz w:val="21"/>
          <w:szCs w:val="20"/>
          <w:highlight w:val="none"/>
          <w:lang w:val="en-US" w:eastAsia="zh-CN"/>
        </w:rPr>
      </w:pPr>
      <w:r>
        <w:rPr>
          <w:rFonts w:hint="eastAsia" w:ascii="宋体" w:hAnsi="宋体" w:eastAsia="宋体" w:cs="宋体"/>
          <w:color w:val="auto"/>
          <w:kern w:val="0"/>
          <w:sz w:val="21"/>
          <w:szCs w:val="20"/>
          <w:highlight w:val="none"/>
          <w:lang w:val="en-US" w:eastAsia="zh-CN"/>
        </w:rPr>
        <w:t>2.本项目运营及平台开发维护分成比例为     %，课程分成比例为       %，最终结算费用根据上述分成比例按实结算。</w:t>
      </w:r>
    </w:p>
    <w:p w14:paraId="327039C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二、服务内容与要求</w:t>
      </w:r>
    </w:p>
    <w:p w14:paraId="086CD31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学习平台要求</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rPr>
        <w:t>应提供专业技术人员继续教育网络学习平台</w:t>
      </w:r>
      <w:r>
        <w:rPr>
          <w:rFonts w:hint="eastAsia" w:ascii="宋体" w:hAnsi="宋体" w:eastAsia="宋体" w:cs="宋体"/>
          <w:b w:val="0"/>
          <w:bCs w:val="0"/>
          <w:color w:val="auto"/>
          <w:sz w:val="21"/>
          <w:szCs w:val="21"/>
          <w:highlight w:val="none"/>
          <w:lang w:val="en-US" w:eastAsia="zh-CN"/>
        </w:rPr>
        <w:t>建设</w:t>
      </w:r>
      <w:r>
        <w:rPr>
          <w:rFonts w:hint="eastAsia" w:ascii="宋体" w:hAnsi="宋体" w:eastAsia="宋体" w:cs="宋体"/>
          <w:b w:val="0"/>
          <w:bCs w:val="0"/>
          <w:color w:val="auto"/>
          <w:sz w:val="21"/>
          <w:szCs w:val="21"/>
          <w:highlight w:val="none"/>
        </w:rPr>
        <w:t>方案，方案</w:t>
      </w:r>
      <w:r>
        <w:rPr>
          <w:rFonts w:hint="eastAsia" w:ascii="宋体" w:hAnsi="宋体" w:eastAsia="宋体" w:cs="宋体"/>
          <w:b w:val="0"/>
          <w:bCs w:val="0"/>
          <w:color w:val="auto"/>
          <w:sz w:val="21"/>
          <w:szCs w:val="21"/>
          <w:highlight w:val="none"/>
          <w:lang w:val="en-US" w:eastAsia="zh-CN"/>
        </w:rPr>
        <w:t>设计需包含</w:t>
      </w:r>
      <w:r>
        <w:rPr>
          <w:rFonts w:hint="eastAsia" w:ascii="宋体" w:hAnsi="宋体" w:eastAsia="宋体" w:cs="宋体"/>
          <w:b w:val="0"/>
          <w:bCs w:val="0"/>
          <w:color w:val="auto"/>
          <w:sz w:val="21"/>
          <w:szCs w:val="21"/>
          <w:highlight w:val="none"/>
        </w:rPr>
        <w:t>平台设计原则</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平台功能</w:t>
      </w:r>
      <w:r>
        <w:rPr>
          <w:rFonts w:hint="eastAsia" w:ascii="宋体" w:hAnsi="宋体" w:eastAsia="宋体" w:cs="宋体"/>
          <w:b w:val="0"/>
          <w:bCs w:val="0"/>
          <w:color w:val="auto"/>
          <w:sz w:val="21"/>
          <w:szCs w:val="21"/>
          <w:highlight w:val="none"/>
          <w:lang w:val="en-US" w:eastAsia="zh-CN"/>
        </w:rPr>
        <w:t>设计、平台性能及运维能力设计</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建设</w:t>
      </w:r>
      <w:r>
        <w:rPr>
          <w:rFonts w:hint="eastAsia" w:ascii="宋体" w:hAnsi="宋体" w:eastAsia="宋体" w:cs="宋体"/>
          <w:b w:val="0"/>
          <w:bCs w:val="0"/>
          <w:color w:val="auto"/>
          <w:sz w:val="21"/>
          <w:szCs w:val="21"/>
          <w:highlight w:val="none"/>
        </w:rPr>
        <w:t>方案</w:t>
      </w:r>
      <w:r>
        <w:rPr>
          <w:rFonts w:hint="eastAsia" w:ascii="宋体" w:hAnsi="宋体" w:eastAsia="宋体" w:cs="宋体"/>
          <w:b w:val="0"/>
          <w:bCs w:val="0"/>
          <w:color w:val="auto"/>
          <w:sz w:val="21"/>
          <w:szCs w:val="21"/>
          <w:highlight w:val="none"/>
          <w:lang w:val="en-US" w:eastAsia="zh-CN"/>
        </w:rPr>
        <w:t>应考虑功能</w:t>
      </w:r>
      <w:r>
        <w:rPr>
          <w:rFonts w:hint="eastAsia" w:ascii="宋体" w:hAnsi="宋体" w:eastAsia="宋体" w:cs="宋体"/>
          <w:b w:val="0"/>
          <w:bCs w:val="0"/>
          <w:color w:val="auto"/>
          <w:sz w:val="21"/>
          <w:szCs w:val="21"/>
          <w:highlight w:val="none"/>
        </w:rPr>
        <w:t>完整、逻辑清晰、设计科学、</w:t>
      </w:r>
      <w:r>
        <w:rPr>
          <w:rFonts w:hint="eastAsia" w:ascii="宋体" w:hAnsi="宋体" w:eastAsia="宋体" w:cs="宋体"/>
          <w:b w:val="0"/>
          <w:bCs w:val="0"/>
          <w:color w:val="auto"/>
          <w:sz w:val="21"/>
          <w:szCs w:val="21"/>
          <w:highlight w:val="none"/>
          <w:lang w:val="en-US" w:eastAsia="zh-CN"/>
        </w:rPr>
        <w:t>行业</w:t>
      </w:r>
      <w:r>
        <w:rPr>
          <w:rFonts w:hint="eastAsia" w:ascii="宋体" w:hAnsi="宋体" w:eastAsia="宋体" w:cs="宋体"/>
          <w:b w:val="0"/>
          <w:bCs w:val="0"/>
          <w:color w:val="auto"/>
          <w:sz w:val="21"/>
          <w:szCs w:val="21"/>
          <w:highlight w:val="none"/>
        </w:rPr>
        <w:t>规范以及</w:t>
      </w:r>
      <w:r>
        <w:rPr>
          <w:rFonts w:hint="eastAsia" w:ascii="宋体" w:hAnsi="宋体" w:eastAsia="宋体" w:cs="宋体"/>
          <w:b w:val="0"/>
          <w:bCs w:val="0"/>
          <w:color w:val="auto"/>
          <w:sz w:val="21"/>
          <w:szCs w:val="21"/>
          <w:highlight w:val="none"/>
          <w:lang w:val="en-US" w:eastAsia="zh-CN"/>
        </w:rPr>
        <w:t>实用</w:t>
      </w:r>
      <w:r>
        <w:rPr>
          <w:rFonts w:hint="eastAsia" w:ascii="宋体" w:hAnsi="宋体" w:eastAsia="宋体" w:cs="宋体"/>
          <w:b w:val="0"/>
          <w:bCs w:val="0"/>
          <w:color w:val="auto"/>
          <w:sz w:val="21"/>
          <w:szCs w:val="21"/>
          <w:highlight w:val="none"/>
        </w:rPr>
        <w:t>性等</w:t>
      </w:r>
      <w:r>
        <w:rPr>
          <w:rFonts w:hint="eastAsia" w:ascii="宋体" w:hAnsi="宋体" w:eastAsia="宋体" w:cs="宋体"/>
          <w:b w:val="0"/>
          <w:bCs w:val="0"/>
          <w:color w:val="auto"/>
          <w:sz w:val="21"/>
          <w:szCs w:val="21"/>
          <w:highlight w:val="none"/>
          <w:lang w:eastAsia="zh-CN"/>
        </w:rPr>
        <w:t>。</w:t>
      </w:r>
    </w:p>
    <w:p w14:paraId="427F4D6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1.1 平台</w:t>
      </w:r>
      <w:r>
        <w:rPr>
          <w:rFonts w:hint="eastAsia" w:ascii="宋体" w:hAnsi="宋体" w:eastAsia="宋体" w:cs="宋体"/>
          <w:b w:val="0"/>
          <w:bCs w:val="0"/>
          <w:color w:val="auto"/>
          <w:sz w:val="21"/>
          <w:szCs w:val="21"/>
          <w:highlight w:val="none"/>
        </w:rPr>
        <w:t>设计原则</w:t>
      </w:r>
      <w:r>
        <w:rPr>
          <w:rFonts w:hint="eastAsia" w:ascii="宋体" w:hAnsi="宋体" w:eastAsia="宋体" w:cs="宋体"/>
          <w:b w:val="0"/>
          <w:bCs w:val="0"/>
          <w:color w:val="auto"/>
          <w:sz w:val="21"/>
          <w:szCs w:val="21"/>
          <w:highlight w:val="none"/>
          <w:lang w:eastAsia="zh-CN"/>
        </w:rPr>
        <w:t>：</w:t>
      </w:r>
    </w:p>
    <w:p w14:paraId="50F03F1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实用性和先进性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设计不仅满足实用性，而且具有先进性，使整个系统在一段时期内保持技术上先进，并具有良好的扩展潜力，以适应未来业务的发展和技术升级的需要。</w:t>
      </w:r>
    </w:p>
    <w:p w14:paraId="6ECDBBF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全面性和完整性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要实现学习、管理及其他辅助功能的全方位支持。</w:t>
      </w:r>
      <w:r>
        <w:rPr>
          <w:rFonts w:hint="eastAsia" w:ascii="宋体" w:hAnsi="宋体" w:eastAsia="宋体" w:cs="宋体"/>
          <w:color w:val="auto"/>
          <w:sz w:val="21"/>
          <w:szCs w:val="21"/>
          <w:highlight w:val="none"/>
          <w:lang w:eastAsia="zh-CN"/>
        </w:rPr>
        <w:t>学员</w:t>
      </w:r>
      <w:r>
        <w:rPr>
          <w:rFonts w:hint="eastAsia" w:ascii="宋体" w:hAnsi="宋体" w:eastAsia="宋体" w:cs="宋体"/>
          <w:color w:val="auto"/>
          <w:sz w:val="21"/>
          <w:szCs w:val="21"/>
          <w:highlight w:val="none"/>
        </w:rPr>
        <w:t>从注册到打印结业证书，所有的业务都要通过系统来完成，各业务功能要具备合理、清晰的操作流程，同时还要合理设计业务功能之间的逻辑关系；在处理核心数据时，不仅要保证数据的准确性和安全性，还要保证执行效率，同时支持不同业务的数据查询和数据分析等功能；合理设计数据库和数据结构，对数据的管理要保证安全读取、安全存储与安全备份，各类数据在传递时要采取加密措施，确保系统在遇到意外情况后，能够保证数据的完整性。</w:t>
      </w:r>
    </w:p>
    <w:p w14:paraId="46C8A35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稳定性和安全性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通过多种安全技术和防护手段，保证</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自身的安全性和可靠性。要求关键设备采用冗余设计，能够避免单点故障导致整体或重要功能的崩溃，保证</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7*24小时平稳运行；在采用硬件备份、冗余、负载均衡等可靠性技术的基础上，同时需使用相关的软件技术，确保提供较强的管理机制和控制手段，以提高整个</w:t>
      </w:r>
      <w:r>
        <w:rPr>
          <w:rFonts w:hint="eastAsia" w:ascii="宋体" w:hAnsi="宋体" w:eastAsia="宋体" w:cs="宋体"/>
          <w:color w:val="auto"/>
          <w:sz w:val="21"/>
          <w:szCs w:val="21"/>
          <w:highlight w:val="none"/>
          <w:lang w:val="en-US" w:eastAsia="zh-CN"/>
        </w:rPr>
        <w:t>平台的</w:t>
      </w:r>
      <w:r>
        <w:rPr>
          <w:rFonts w:hint="eastAsia" w:ascii="宋体" w:hAnsi="宋体" w:eastAsia="宋体" w:cs="宋体"/>
          <w:color w:val="auto"/>
          <w:sz w:val="21"/>
          <w:szCs w:val="21"/>
          <w:highlight w:val="none"/>
        </w:rPr>
        <w:t>稳定性和数据安全性。</w:t>
      </w:r>
    </w:p>
    <w:p w14:paraId="7A7C8B8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灵活性和扩展性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需充分考虑灵活性和扩展性。搭建要求既满足继续教育业务需要，也能充分地为将来可预见和不可预见的性能扩充留有余地，可以根据业务发展的需要进行灵活、快速的调整，实现信息应用的快速部署，而且新功能、新业务的扩展在不影响系统运行的情况下实现，在后期扩展后，仍能保证</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的稳定性和执行效率。</w:t>
      </w:r>
    </w:p>
    <w:p w14:paraId="5924E6D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易管理和易操作性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提供全面、统一的</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管理，发生问题时，应在最短的时间内响应并处理解决。通过运行监控系统等管理工具，便于管理人员对</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进行管理和维护。UI设计和用户操作体验要求界面简洁、大方，层次清晰，按钮、文本输入、文件上传下载等控件和元素设计简单、易操作。</w:t>
      </w:r>
    </w:p>
    <w:p w14:paraId="65092C5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支持多</w:t>
      </w:r>
      <w:r>
        <w:rPr>
          <w:rFonts w:hint="eastAsia" w:ascii="宋体" w:hAnsi="宋体" w:eastAsia="宋体" w:cs="宋体"/>
          <w:color w:val="auto"/>
          <w:sz w:val="21"/>
          <w:szCs w:val="21"/>
          <w:highlight w:val="none"/>
          <w:lang w:val="en-US" w:eastAsia="zh-CN"/>
        </w:rPr>
        <w:t>端学习：平台应支持学员通过电脑及</w:t>
      </w:r>
      <w:r>
        <w:rPr>
          <w:rFonts w:hint="eastAsia" w:ascii="宋体" w:hAnsi="宋体" w:eastAsia="宋体" w:cs="宋体"/>
          <w:color w:val="auto"/>
          <w:sz w:val="21"/>
          <w:szCs w:val="21"/>
          <w:highlight w:val="none"/>
        </w:rPr>
        <w:t>手机、平板等移动</w:t>
      </w:r>
      <w:r>
        <w:rPr>
          <w:rFonts w:hint="eastAsia" w:ascii="宋体" w:hAnsi="宋体" w:eastAsia="宋体" w:cs="宋体"/>
          <w:color w:val="auto"/>
          <w:sz w:val="21"/>
          <w:szCs w:val="21"/>
          <w:highlight w:val="none"/>
          <w:lang w:val="en-US" w:eastAsia="zh-CN"/>
        </w:rPr>
        <w:t>端进行自主选择</w:t>
      </w:r>
      <w:r>
        <w:rPr>
          <w:rFonts w:hint="eastAsia" w:ascii="宋体" w:hAnsi="宋体" w:eastAsia="宋体" w:cs="宋体"/>
          <w:color w:val="auto"/>
          <w:sz w:val="21"/>
          <w:szCs w:val="21"/>
          <w:highlight w:val="none"/>
        </w:rPr>
        <w:t>学习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同时应具备防止多终端同时在线学习的功能</w:t>
      </w:r>
      <w:r>
        <w:rPr>
          <w:rFonts w:hint="eastAsia" w:ascii="宋体" w:hAnsi="宋体" w:eastAsia="宋体" w:cs="宋体"/>
          <w:color w:val="auto"/>
          <w:sz w:val="21"/>
          <w:szCs w:val="21"/>
          <w:highlight w:val="none"/>
        </w:rPr>
        <w:t>。</w:t>
      </w:r>
    </w:p>
    <w:p w14:paraId="7C51C12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1.2</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平台功能及技术要求</w:t>
      </w:r>
      <w:r>
        <w:rPr>
          <w:rFonts w:hint="eastAsia" w:ascii="宋体" w:hAnsi="宋体" w:eastAsia="宋体" w:cs="宋体"/>
          <w:b w:val="0"/>
          <w:bCs w:val="0"/>
          <w:color w:val="auto"/>
          <w:sz w:val="21"/>
          <w:szCs w:val="21"/>
          <w:highlight w:val="none"/>
          <w:lang w:eastAsia="zh-CN"/>
        </w:rPr>
        <w:t>：</w:t>
      </w:r>
    </w:p>
    <w:p w14:paraId="7309D11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平台是满足开展专业技术人员继续教育培训业务的综合软件</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，主要包括学员在线注册、缴费、学习、考试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教学管理等功能，同时支持PC、微信</w:t>
      </w:r>
      <w:r>
        <w:rPr>
          <w:rFonts w:hint="eastAsia" w:ascii="宋体" w:hAnsi="宋体" w:eastAsia="宋体" w:cs="宋体"/>
          <w:color w:val="auto"/>
          <w:sz w:val="21"/>
          <w:szCs w:val="21"/>
          <w:highlight w:val="none"/>
          <w:lang w:val="en-US" w:eastAsia="zh-CN"/>
        </w:rPr>
        <w:t>公众号</w:t>
      </w:r>
      <w:r>
        <w:rPr>
          <w:rFonts w:hint="eastAsia" w:ascii="宋体" w:hAnsi="宋体" w:eastAsia="宋体" w:cs="宋体"/>
          <w:color w:val="auto"/>
          <w:sz w:val="21"/>
          <w:szCs w:val="21"/>
          <w:highlight w:val="none"/>
        </w:rPr>
        <w:t>使用。</w:t>
      </w:r>
    </w:p>
    <w:p w14:paraId="44527478">
      <w:pPr>
        <w:keepLines w:val="0"/>
        <w:pageBreakBefore w:val="0"/>
        <w:widowControl w:val="0"/>
        <w:kinsoku/>
        <w:overflowPunct/>
        <w:topLinePunct w:val="0"/>
        <w:autoSpaceDE/>
        <w:autoSpaceDN/>
        <w:bidi w:val="0"/>
        <w:adjustRightInd/>
        <w:snapToGrid/>
        <w:spacing w:after="0"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（1）平台门户：</w:t>
      </w:r>
    </w:p>
    <w:p w14:paraId="308ACBE5">
      <w:pPr>
        <w:keepLines w:val="0"/>
        <w:pageBreakBefore w:val="0"/>
        <w:widowControl w:val="0"/>
        <w:kinsoku/>
        <w:overflowPunct/>
        <w:topLinePunct w:val="0"/>
        <w:autoSpaceDE/>
        <w:autoSpaceDN/>
        <w:bidi w:val="0"/>
        <w:adjustRightInd/>
        <w:snapToGrid/>
        <w:spacing w:after="0"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至少包含首页、课程展示、用户注册登录、政策资讯、帮助中心等模块功能，具体要求如下：</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6"/>
        <w:gridCol w:w="8170"/>
      </w:tblGrid>
      <w:tr w14:paraId="14933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56" w:type="pct"/>
            <w:tcBorders>
              <w:tl2br w:val="nil"/>
              <w:tr2bl w:val="nil"/>
            </w:tcBorders>
            <w:shd w:val="clear" w:color="auto" w:fill="auto"/>
            <w:noWrap w:val="0"/>
            <w:vAlign w:val="center"/>
          </w:tcPr>
          <w:p w14:paraId="79348C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模块名称</w:t>
            </w:r>
          </w:p>
        </w:tc>
        <w:tc>
          <w:tcPr>
            <w:tcW w:w="4243" w:type="pct"/>
            <w:tcBorders>
              <w:tl2br w:val="nil"/>
              <w:tr2bl w:val="nil"/>
            </w:tcBorders>
            <w:shd w:val="clear" w:color="auto" w:fill="auto"/>
            <w:noWrap w:val="0"/>
            <w:vAlign w:val="center"/>
          </w:tcPr>
          <w:p w14:paraId="691AD9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平台功能及技术要求</w:t>
            </w:r>
          </w:p>
        </w:tc>
      </w:tr>
      <w:tr w14:paraId="071F0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tcBorders>
              <w:tl2br w:val="nil"/>
              <w:tr2bl w:val="nil"/>
            </w:tcBorders>
            <w:noWrap w:val="0"/>
            <w:vAlign w:val="center"/>
          </w:tcPr>
          <w:p w14:paraId="1CEA2F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首页</w:t>
            </w:r>
          </w:p>
        </w:tc>
        <w:tc>
          <w:tcPr>
            <w:tcW w:w="4243" w:type="pct"/>
            <w:tcBorders>
              <w:tl2br w:val="nil"/>
              <w:tr2bl w:val="nil"/>
            </w:tcBorders>
            <w:noWrap w:val="0"/>
            <w:vAlign w:val="center"/>
          </w:tcPr>
          <w:p w14:paraId="222196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热门课程展示等内容。</w:t>
            </w:r>
          </w:p>
        </w:tc>
      </w:tr>
      <w:tr w14:paraId="3D512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6" w:type="pct"/>
            <w:tcBorders>
              <w:tl2br w:val="nil"/>
              <w:tr2bl w:val="nil"/>
            </w:tcBorders>
            <w:noWrap w:val="0"/>
            <w:vAlign w:val="center"/>
          </w:tcPr>
          <w:p w14:paraId="2CB460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课程展示</w:t>
            </w:r>
          </w:p>
        </w:tc>
        <w:tc>
          <w:tcPr>
            <w:tcW w:w="4243" w:type="pct"/>
            <w:tcBorders>
              <w:tl2br w:val="nil"/>
              <w:tr2bl w:val="nil"/>
            </w:tcBorders>
            <w:noWrap w:val="0"/>
            <w:vAlign w:val="center"/>
          </w:tcPr>
          <w:p w14:paraId="67AA1D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展示专业人员继续教育分类下课程内容，同时支持课程试看及购买等。</w:t>
            </w:r>
          </w:p>
        </w:tc>
      </w:tr>
      <w:tr w14:paraId="3DE4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6" w:type="pct"/>
            <w:tcBorders>
              <w:tl2br w:val="nil"/>
              <w:tr2bl w:val="nil"/>
            </w:tcBorders>
            <w:noWrap w:val="0"/>
            <w:vAlign w:val="center"/>
          </w:tcPr>
          <w:p w14:paraId="268B45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注册登录</w:t>
            </w:r>
          </w:p>
        </w:tc>
        <w:tc>
          <w:tcPr>
            <w:tcW w:w="4243" w:type="pct"/>
            <w:tcBorders>
              <w:tl2br w:val="nil"/>
              <w:tr2bl w:val="nil"/>
            </w:tcBorders>
            <w:noWrap w:val="0"/>
            <w:vAlign w:val="center"/>
          </w:tcPr>
          <w:p w14:paraId="2E59E5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支持用户注册及登录功能。</w:t>
            </w:r>
          </w:p>
        </w:tc>
      </w:tr>
      <w:tr w14:paraId="1226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756" w:type="pct"/>
            <w:tcBorders>
              <w:tl2br w:val="nil"/>
              <w:tr2bl w:val="nil"/>
            </w:tcBorders>
            <w:noWrap w:val="0"/>
            <w:vAlign w:val="center"/>
          </w:tcPr>
          <w:p w14:paraId="3B9279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政策资讯</w:t>
            </w:r>
          </w:p>
        </w:tc>
        <w:tc>
          <w:tcPr>
            <w:tcW w:w="4243" w:type="pct"/>
            <w:tcBorders>
              <w:tl2br w:val="nil"/>
              <w:tr2bl w:val="nil"/>
            </w:tcBorders>
            <w:noWrap w:val="0"/>
            <w:vAlign w:val="center"/>
          </w:tcPr>
          <w:p w14:paraId="3D18B5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支持政策信息、公告通知发布等。</w:t>
            </w:r>
          </w:p>
        </w:tc>
      </w:tr>
      <w:tr w14:paraId="78A0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56" w:type="pct"/>
            <w:tcBorders>
              <w:tl2br w:val="nil"/>
              <w:tr2bl w:val="nil"/>
            </w:tcBorders>
            <w:noWrap w:val="0"/>
            <w:vAlign w:val="center"/>
          </w:tcPr>
          <w:p w14:paraId="6937D7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帮助中心</w:t>
            </w:r>
          </w:p>
        </w:tc>
        <w:tc>
          <w:tcPr>
            <w:tcW w:w="4243" w:type="pct"/>
            <w:tcBorders>
              <w:tl2br w:val="nil"/>
              <w:tr2bl w:val="nil"/>
            </w:tcBorders>
            <w:noWrap w:val="0"/>
            <w:vAlign w:val="center"/>
          </w:tcPr>
          <w:p w14:paraId="372F75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支持查看平台操作手册、常见问题、客服联系方式等。</w:t>
            </w:r>
          </w:p>
        </w:tc>
      </w:tr>
    </w:tbl>
    <w:p w14:paraId="3F61DB2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监管端：</w:t>
      </w:r>
    </w:p>
    <w:p w14:paraId="7E35F21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至少包含门户管理、</w:t>
      </w:r>
      <w:r>
        <w:rPr>
          <w:rFonts w:hint="eastAsia" w:ascii="宋体" w:hAnsi="宋体" w:eastAsia="宋体" w:cs="宋体"/>
          <w:color w:val="auto"/>
          <w:sz w:val="21"/>
          <w:szCs w:val="21"/>
          <w:highlight w:val="none"/>
        </w:rPr>
        <w:t>用户管理、</w:t>
      </w:r>
      <w:r>
        <w:rPr>
          <w:rFonts w:hint="eastAsia" w:ascii="宋体" w:hAnsi="宋体" w:eastAsia="宋体" w:cs="宋体"/>
          <w:color w:val="auto"/>
          <w:sz w:val="21"/>
          <w:szCs w:val="21"/>
          <w:highlight w:val="none"/>
          <w:lang w:val="en-US" w:eastAsia="zh-CN"/>
        </w:rPr>
        <w:t>学习管理、课程管理、系统管理等功能，具体要求如下：</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8328"/>
      </w:tblGrid>
      <w:tr w14:paraId="63F97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blHeader/>
          <w:jc w:val="center"/>
        </w:trPr>
        <w:tc>
          <w:tcPr>
            <w:tcW w:w="674" w:type="pct"/>
            <w:tcBorders>
              <w:tl2br w:val="nil"/>
              <w:tr2bl w:val="nil"/>
            </w:tcBorders>
            <w:shd w:val="clear" w:color="auto" w:fill="auto"/>
            <w:noWrap w:val="0"/>
            <w:vAlign w:val="center"/>
          </w:tcPr>
          <w:p w14:paraId="7366B1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模块名称</w:t>
            </w:r>
          </w:p>
        </w:tc>
        <w:tc>
          <w:tcPr>
            <w:tcW w:w="4325" w:type="pct"/>
            <w:tcBorders>
              <w:tl2br w:val="nil"/>
              <w:tr2bl w:val="nil"/>
            </w:tcBorders>
            <w:shd w:val="clear" w:color="auto" w:fill="auto"/>
            <w:noWrap w:val="0"/>
            <w:vAlign w:val="center"/>
          </w:tcPr>
          <w:p w14:paraId="616A19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平台功能及技术要求</w:t>
            </w:r>
          </w:p>
        </w:tc>
      </w:tr>
      <w:tr w14:paraId="761B1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4" w:type="pct"/>
            <w:tcBorders>
              <w:tl2br w:val="nil"/>
              <w:tr2bl w:val="nil"/>
            </w:tcBorders>
            <w:noWrap w:val="0"/>
            <w:vAlign w:val="center"/>
          </w:tcPr>
          <w:p w14:paraId="6F6D2B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门户管理</w:t>
            </w:r>
          </w:p>
        </w:tc>
        <w:tc>
          <w:tcPr>
            <w:tcW w:w="4325" w:type="pct"/>
            <w:tcBorders>
              <w:tl2br w:val="nil"/>
              <w:tr2bl w:val="nil"/>
            </w:tcBorders>
            <w:noWrap w:val="0"/>
            <w:vAlign w:val="center"/>
          </w:tcPr>
          <w:p w14:paraId="549982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包含政策管理、FAQ分类管理、FAQ管理、推荐位管理；政策管理平台政策新闻发布；FAQ分类管理包含支持新建FAQ分类、面向用户类型；支持按照名称、用户类型进行筛选；FAQ管理包含支持新建、查询FAQ内容，支持按照标题、用户类型、是否常见问题进行筛选；推荐位管理包含创建平台推荐位信息。</w:t>
            </w:r>
          </w:p>
        </w:tc>
      </w:tr>
      <w:tr w14:paraId="3F355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674" w:type="pct"/>
            <w:tcBorders>
              <w:tl2br w:val="nil"/>
              <w:tr2bl w:val="nil"/>
            </w:tcBorders>
            <w:noWrap w:val="0"/>
            <w:vAlign w:val="center"/>
          </w:tcPr>
          <w:p w14:paraId="0DE7C2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用户管理</w:t>
            </w:r>
          </w:p>
        </w:tc>
        <w:tc>
          <w:tcPr>
            <w:tcW w:w="4325" w:type="pct"/>
            <w:tcBorders>
              <w:tl2br w:val="nil"/>
              <w:tr2bl w:val="nil"/>
            </w:tcBorders>
            <w:shd w:val="clear" w:color="auto" w:fill="auto"/>
            <w:noWrap w:val="0"/>
            <w:vAlign w:val="center"/>
          </w:tcPr>
          <w:p w14:paraId="1E369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学员管理：查看平台注册学员信息，支持按条件搜索学员、查看学员信息。</w:t>
            </w:r>
          </w:p>
        </w:tc>
      </w:tr>
      <w:tr w14:paraId="29728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74" w:type="pct"/>
            <w:vMerge w:val="restart"/>
            <w:tcBorders>
              <w:tl2br w:val="nil"/>
              <w:tr2bl w:val="nil"/>
            </w:tcBorders>
            <w:noWrap w:val="0"/>
            <w:vAlign w:val="center"/>
          </w:tcPr>
          <w:p w14:paraId="23B981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学习管理</w:t>
            </w:r>
          </w:p>
        </w:tc>
        <w:tc>
          <w:tcPr>
            <w:tcW w:w="4325" w:type="pct"/>
            <w:tcBorders>
              <w:tl2br w:val="nil"/>
              <w:tr2bl w:val="nil"/>
            </w:tcBorders>
            <w:noWrap w:val="0"/>
            <w:vAlign w:val="center"/>
          </w:tcPr>
          <w:p w14:paraId="0968A2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支持按照条件筛选学员信息，查询结果可导出。</w:t>
            </w:r>
          </w:p>
        </w:tc>
      </w:tr>
      <w:tr w14:paraId="00E55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74" w:type="pct"/>
            <w:vMerge w:val="continue"/>
            <w:tcBorders>
              <w:tl2br w:val="nil"/>
              <w:tr2bl w:val="nil"/>
            </w:tcBorders>
            <w:noWrap w:val="0"/>
            <w:vAlign w:val="center"/>
          </w:tcPr>
          <w:p w14:paraId="0C022B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rPr>
                <w:rFonts w:hint="eastAsia" w:ascii="宋体" w:hAnsi="宋体" w:eastAsia="宋体" w:cs="宋体"/>
                <w:color w:val="auto"/>
                <w:sz w:val="21"/>
                <w:szCs w:val="21"/>
                <w:highlight w:val="none"/>
                <w:lang w:val="en-US" w:eastAsia="zh-CN"/>
              </w:rPr>
            </w:pPr>
          </w:p>
        </w:tc>
        <w:tc>
          <w:tcPr>
            <w:tcW w:w="4325" w:type="pct"/>
            <w:tcBorders>
              <w:tl2br w:val="nil"/>
              <w:tr2bl w:val="nil"/>
            </w:tcBorders>
            <w:noWrap w:val="0"/>
            <w:vAlign w:val="center"/>
          </w:tcPr>
          <w:p w14:paraId="45F206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支持按照条件筛选学员学习数据：学员学习年份、课程名称、开始/结束学习时间、学员姓名、手机号、身份证号、完成状态；查询结果可以进行查看。</w:t>
            </w:r>
          </w:p>
        </w:tc>
      </w:tr>
      <w:tr w14:paraId="647F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4" w:type="pct"/>
            <w:vMerge w:val="continue"/>
            <w:tcBorders>
              <w:tl2br w:val="nil"/>
              <w:tr2bl w:val="nil"/>
            </w:tcBorders>
            <w:noWrap w:val="0"/>
            <w:vAlign w:val="center"/>
          </w:tcPr>
          <w:p w14:paraId="5A1EF3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rPr>
                <w:rFonts w:hint="eastAsia" w:ascii="宋体" w:hAnsi="宋体" w:eastAsia="宋体" w:cs="宋体"/>
                <w:color w:val="auto"/>
                <w:sz w:val="21"/>
                <w:szCs w:val="21"/>
                <w:highlight w:val="none"/>
                <w:lang w:val="en-US" w:eastAsia="zh-CN"/>
              </w:rPr>
            </w:pPr>
          </w:p>
        </w:tc>
        <w:tc>
          <w:tcPr>
            <w:tcW w:w="4325" w:type="pct"/>
            <w:tcBorders>
              <w:tl2br w:val="nil"/>
              <w:tr2bl w:val="nil"/>
            </w:tcBorders>
            <w:noWrap w:val="0"/>
            <w:vAlign w:val="center"/>
          </w:tcPr>
          <w:p w14:paraId="1B05B9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学员学习数据导出内容包括：姓名、手机号、身份证号、课程名称、课程金额、学习开始时间、学习结束时间、课程完成进度、学时数。</w:t>
            </w:r>
          </w:p>
        </w:tc>
      </w:tr>
      <w:tr w14:paraId="662E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74" w:type="pct"/>
            <w:tcBorders>
              <w:tl2br w:val="nil"/>
              <w:tr2bl w:val="nil"/>
            </w:tcBorders>
            <w:noWrap w:val="0"/>
            <w:vAlign w:val="center"/>
          </w:tcPr>
          <w:p w14:paraId="55B28C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u w:val="none"/>
                <w:lang w:val="en-US" w:eastAsia="zh-CN" w:bidi="ar"/>
              </w:rPr>
              <w:t>课程管理</w:t>
            </w:r>
          </w:p>
        </w:tc>
        <w:tc>
          <w:tcPr>
            <w:tcW w:w="4325" w:type="pct"/>
            <w:tcBorders>
              <w:tl2br w:val="nil"/>
              <w:tr2bl w:val="nil"/>
            </w:tcBorders>
            <w:noWrap w:val="0"/>
            <w:vAlign w:val="center"/>
          </w:tcPr>
          <w:p w14:paraId="6788B6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u w:val="none"/>
                <w:lang w:bidi="ar"/>
              </w:rPr>
              <w:t>支持按条件搜索课程、查看课程信息、审核课程、导出审核记录</w:t>
            </w:r>
            <w:r>
              <w:rPr>
                <w:rFonts w:hint="eastAsia" w:ascii="宋体" w:hAnsi="宋体" w:eastAsia="宋体" w:cs="宋体"/>
                <w:color w:val="auto"/>
                <w:kern w:val="0"/>
                <w:sz w:val="21"/>
                <w:szCs w:val="21"/>
                <w:highlight w:val="none"/>
                <w:u w:val="none"/>
                <w:lang w:val="en-US" w:eastAsia="zh-CN" w:bidi="ar"/>
              </w:rPr>
              <w:t>等功能。</w:t>
            </w:r>
          </w:p>
        </w:tc>
      </w:tr>
      <w:tr w14:paraId="2267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674" w:type="pct"/>
            <w:tcBorders>
              <w:tl2br w:val="nil"/>
              <w:tr2bl w:val="nil"/>
            </w:tcBorders>
            <w:noWrap w:val="0"/>
            <w:vAlign w:val="center"/>
          </w:tcPr>
          <w:p w14:paraId="75C01F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系统管理</w:t>
            </w:r>
          </w:p>
        </w:tc>
        <w:tc>
          <w:tcPr>
            <w:tcW w:w="4325" w:type="pct"/>
            <w:tcBorders>
              <w:tl2br w:val="nil"/>
              <w:tr2bl w:val="nil"/>
            </w:tcBorders>
            <w:shd w:val="clear" w:color="auto" w:fill="auto"/>
            <w:noWrap w:val="0"/>
            <w:vAlign w:val="center"/>
          </w:tcPr>
          <w:p w14:paraId="392A79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支持平台账号管理、角色管理、权限设置等功能。</w:t>
            </w:r>
          </w:p>
        </w:tc>
      </w:tr>
    </w:tbl>
    <w:p w14:paraId="6D3E388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学员端：</w:t>
      </w:r>
    </w:p>
    <w:p w14:paraId="601BD0C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至少包含个人中心、我的课程、我的笔记、我的问答、我的学时、登录记录、个人信息、课程试看、支付、开票、考核以及账号设置等功能，具体要求如下：</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6"/>
        <w:gridCol w:w="8002"/>
      </w:tblGrid>
      <w:tr w14:paraId="02DE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blHeader/>
          <w:jc w:val="center"/>
        </w:trPr>
        <w:tc>
          <w:tcPr>
            <w:tcW w:w="840" w:type="pct"/>
            <w:tcBorders>
              <w:tl2br w:val="nil"/>
              <w:tr2bl w:val="nil"/>
            </w:tcBorders>
            <w:shd w:val="clear" w:color="auto" w:fill="auto"/>
            <w:noWrap w:val="0"/>
            <w:vAlign w:val="center"/>
          </w:tcPr>
          <w:p w14:paraId="55824A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模块名称</w:t>
            </w:r>
          </w:p>
        </w:tc>
        <w:tc>
          <w:tcPr>
            <w:tcW w:w="4159" w:type="pct"/>
            <w:tcBorders>
              <w:tl2br w:val="nil"/>
              <w:tr2bl w:val="nil"/>
            </w:tcBorders>
            <w:shd w:val="clear" w:color="auto" w:fill="auto"/>
            <w:noWrap w:val="0"/>
            <w:vAlign w:val="center"/>
          </w:tcPr>
          <w:p w14:paraId="2DECB5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平台功能及技术要求</w:t>
            </w:r>
          </w:p>
        </w:tc>
      </w:tr>
      <w:tr w14:paraId="51ACA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73F429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个人中心</w:t>
            </w:r>
          </w:p>
        </w:tc>
        <w:tc>
          <w:tcPr>
            <w:tcW w:w="4159" w:type="pct"/>
            <w:tcBorders>
              <w:tl2br w:val="nil"/>
              <w:tr2bl w:val="nil"/>
            </w:tcBorders>
            <w:noWrap w:val="0"/>
            <w:vAlign w:val="center"/>
          </w:tcPr>
          <w:p w14:paraId="50121D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支持查看待办事项，查看已获学时等信息。</w:t>
            </w:r>
          </w:p>
        </w:tc>
      </w:tr>
      <w:tr w14:paraId="1C9F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4F39C9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我的课程</w:t>
            </w:r>
          </w:p>
        </w:tc>
        <w:tc>
          <w:tcPr>
            <w:tcW w:w="4159" w:type="pct"/>
            <w:tcBorders>
              <w:tl2br w:val="nil"/>
              <w:tr2bl w:val="nil"/>
            </w:tcBorders>
            <w:noWrap w:val="0"/>
            <w:vAlign w:val="center"/>
          </w:tcPr>
          <w:p w14:paraId="3D2B54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支持查看已购买课程，查看课程的学习进度等信息。</w:t>
            </w:r>
          </w:p>
        </w:tc>
      </w:tr>
      <w:tr w14:paraId="044F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19FB07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我的笔记</w:t>
            </w:r>
          </w:p>
        </w:tc>
        <w:tc>
          <w:tcPr>
            <w:tcW w:w="4159" w:type="pct"/>
            <w:tcBorders>
              <w:tl2br w:val="nil"/>
              <w:tr2bl w:val="nil"/>
            </w:tcBorders>
            <w:shd w:val="clear" w:color="auto" w:fill="auto"/>
            <w:noWrap w:val="0"/>
            <w:vAlign w:val="center"/>
          </w:tcPr>
          <w:p w14:paraId="48411C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支持查看已创建的笔记内容、查看已收藏的笔记内容。</w:t>
            </w:r>
          </w:p>
        </w:tc>
      </w:tr>
      <w:tr w14:paraId="2D2D2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1DC1A6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我的问答</w:t>
            </w:r>
          </w:p>
        </w:tc>
        <w:tc>
          <w:tcPr>
            <w:tcW w:w="4159" w:type="pct"/>
            <w:tcBorders>
              <w:tl2br w:val="nil"/>
              <w:tr2bl w:val="nil"/>
            </w:tcBorders>
            <w:shd w:val="clear" w:color="auto" w:fill="auto"/>
            <w:noWrap w:val="0"/>
            <w:vAlign w:val="center"/>
          </w:tcPr>
          <w:p w14:paraId="57D145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支持查看已创建的提问内容、查看回答内容。</w:t>
            </w:r>
          </w:p>
        </w:tc>
      </w:tr>
      <w:tr w14:paraId="05795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40" w:type="pct"/>
            <w:tcBorders>
              <w:tl2br w:val="nil"/>
              <w:tr2bl w:val="nil"/>
            </w:tcBorders>
            <w:noWrap w:val="0"/>
            <w:vAlign w:val="center"/>
          </w:tcPr>
          <w:p w14:paraId="41C109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我的学时</w:t>
            </w:r>
          </w:p>
        </w:tc>
        <w:tc>
          <w:tcPr>
            <w:tcW w:w="4159" w:type="pct"/>
            <w:tcBorders>
              <w:tl2br w:val="nil"/>
              <w:tr2bl w:val="nil"/>
            </w:tcBorders>
            <w:noWrap w:val="0"/>
            <w:vAlign w:val="center"/>
          </w:tcPr>
          <w:p w14:paraId="6A387E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支持按照学员学习年度进行筛选，支持展示学时情况包括已完成总学时、专业课程学时、行业公需学时、一般公需学时，支持展示并导出学时明细。</w:t>
            </w:r>
          </w:p>
        </w:tc>
      </w:tr>
      <w:tr w14:paraId="506A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3317ED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登录记录</w:t>
            </w:r>
          </w:p>
        </w:tc>
        <w:tc>
          <w:tcPr>
            <w:tcW w:w="4159" w:type="pct"/>
            <w:tcBorders>
              <w:tl2br w:val="nil"/>
              <w:tr2bl w:val="nil"/>
            </w:tcBorders>
            <w:noWrap w:val="0"/>
            <w:vAlign w:val="center"/>
          </w:tcPr>
          <w:p w14:paraId="608354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显示最近登录记录，登录方式、登录IP、终端、登陆时间等</w:t>
            </w:r>
          </w:p>
        </w:tc>
      </w:tr>
      <w:tr w14:paraId="0243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31FD0C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个人信息</w:t>
            </w:r>
          </w:p>
        </w:tc>
        <w:tc>
          <w:tcPr>
            <w:tcW w:w="4159" w:type="pct"/>
            <w:tcBorders>
              <w:tl2br w:val="nil"/>
              <w:tr2bl w:val="nil"/>
            </w:tcBorders>
            <w:noWrap w:val="0"/>
            <w:vAlign w:val="center"/>
          </w:tcPr>
          <w:p w14:paraId="4D6B1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手机号码绑定、实名认证、登陆密码、邮箱绑定等。</w:t>
            </w:r>
          </w:p>
        </w:tc>
      </w:tr>
      <w:tr w14:paraId="0E35E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840" w:type="pct"/>
            <w:tcBorders>
              <w:tl2br w:val="nil"/>
              <w:tr2bl w:val="nil"/>
            </w:tcBorders>
            <w:noWrap w:val="0"/>
            <w:vAlign w:val="center"/>
          </w:tcPr>
          <w:p w14:paraId="47B363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试看功能</w:t>
            </w:r>
          </w:p>
        </w:tc>
        <w:tc>
          <w:tcPr>
            <w:tcW w:w="4159" w:type="pct"/>
            <w:tcBorders>
              <w:tl2br w:val="nil"/>
              <w:tr2bl w:val="nil"/>
            </w:tcBorders>
            <w:noWrap w:val="0"/>
            <w:vAlign w:val="center"/>
          </w:tcPr>
          <w:p w14:paraId="14D1A4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学习平台在看课过程中，具有试听5分钟功能、断点续学功能和防作弊功能，防作弊功能包括但不限于防止拖拽进度条、防止多终端播放、人脸识别、人脸抓拍、在课程的播放过程中随机考核。</w:t>
            </w:r>
          </w:p>
        </w:tc>
      </w:tr>
      <w:tr w14:paraId="3E51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2B0CE4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支付功能</w:t>
            </w:r>
          </w:p>
        </w:tc>
        <w:tc>
          <w:tcPr>
            <w:tcW w:w="4159" w:type="pct"/>
            <w:tcBorders>
              <w:tl2br w:val="nil"/>
              <w:tr2bl w:val="nil"/>
            </w:tcBorders>
            <w:noWrap w:val="0"/>
            <w:vAlign w:val="center"/>
          </w:tcPr>
          <w:p w14:paraId="236EAC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支持学员个人在线支付，银行卡、支付宝、微信等可支付。</w:t>
            </w:r>
          </w:p>
        </w:tc>
      </w:tr>
      <w:tr w14:paraId="0A802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53DBEA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开票功能</w:t>
            </w:r>
          </w:p>
        </w:tc>
        <w:tc>
          <w:tcPr>
            <w:tcW w:w="4159" w:type="pct"/>
            <w:tcBorders>
              <w:tl2br w:val="nil"/>
              <w:tr2bl w:val="nil"/>
            </w:tcBorders>
            <w:noWrap w:val="0"/>
            <w:vAlign w:val="center"/>
          </w:tcPr>
          <w:p w14:paraId="009C4A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具有在线开具电子发票功能，学员和单位都可在线自助开具发票。</w:t>
            </w:r>
          </w:p>
        </w:tc>
      </w:tr>
      <w:tr w14:paraId="61FD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2336CE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val="0"/>
                <w:bCs w:val="0"/>
                <w:color w:val="auto"/>
                <w:kern w:val="2"/>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学习考核</w:t>
            </w:r>
          </w:p>
        </w:tc>
        <w:tc>
          <w:tcPr>
            <w:tcW w:w="4159" w:type="pct"/>
            <w:tcBorders>
              <w:tl2br w:val="nil"/>
              <w:tr2bl w:val="nil"/>
            </w:tcBorders>
            <w:noWrap w:val="0"/>
            <w:vAlign w:val="center"/>
          </w:tcPr>
          <w:p w14:paraId="76318F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可通过各个端口完成学习考核，考试功能。</w:t>
            </w:r>
          </w:p>
        </w:tc>
      </w:tr>
      <w:tr w14:paraId="6A0F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40" w:type="pct"/>
            <w:tcBorders>
              <w:tl2br w:val="nil"/>
              <w:tr2bl w:val="nil"/>
            </w:tcBorders>
            <w:noWrap w:val="0"/>
            <w:vAlign w:val="center"/>
          </w:tcPr>
          <w:p w14:paraId="0C10A9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账号设置</w:t>
            </w:r>
          </w:p>
        </w:tc>
        <w:tc>
          <w:tcPr>
            <w:tcW w:w="4159" w:type="pct"/>
            <w:tcBorders>
              <w:tl2br w:val="nil"/>
              <w:tr2bl w:val="nil"/>
            </w:tcBorders>
            <w:shd w:val="clear" w:color="auto" w:fill="auto"/>
            <w:noWrap w:val="0"/>
            <w:vAlign w:val="center"/>
          </w:tcPr>
          <w:p w14:paraId="6392A5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支持修改账号密码、实名认证、手机号绑定等。</w:t>
            </w:r>
          </w:p>
        </w:tc>
      </w:tr>
      <w:tr w14:paraId="7919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840" w:type="pct"/>
            <w:tcBorders>
              <w:tl2br w:val="nil"/>
              <w:tr2bl w:val="nil"/>
            </w:tcBorders>
            <w:noWrap w:val="0"/>
            <w:vAlign w:val="center"/>
          </w:tcPr>
          <w:p w14:paraId="626463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多浏览器访问</w:t>
            </w:r>
          </w:p>
        </w:tc>
        <w:tc>
          <w:tcPr>
            <w:tcW w:w="4159" w:type="pct"/>
            <w:tcBorders>
              <w:tl2br w:val="nil"/>
              <w:tr2bl w:val="nil"/>
            </w:tcBorders>
            <w:shd w:val="clear" w:color="auto" w:fill="auto"/>
            <w:noWrap w:val="0"/>
            <w:vAlign w:val="center"/>
          </w:tcPr>
          <w:p w14:paraId="10C70A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学习平台能通过下列的浏览器访问观看，包括Edge、Chrome、safari、firefox等。</w:t>
            </w:r>
          </w:p>
        </w:tc>
      </w:tr>
    </w:tbl>
    <w:p w14:paraId="66FA7D83">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1.3 平台性能及运维能力：</w:t>
      </w:r>
    </w:p>
    <w:p w14:paraId="7350FC11">
      <w:pPr>
        <w:keepLines w:val="0"/>
        <w:pageBreakBefore w:val="0"/>
        <w:kinsoku/>
        <w:overflowPunct/>
        <w:topLinePunct w:val="0"/>
        <w:autoSpaceDE/>
        <w:autoSpaceDN/>
        <w:bidi w:val="0"/>
        <w:adjustRightInd/>
        <w:snapToGrid/>
        <w:spacing w:line="288"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至少包含网站稳定性维护能力、“云端＋PC端＋移动端”多端一体化运行能力、运维监控能力、</w:t>
      </w:r>
      <w:r>
        <w:rPr>
          <w:rFonts w:hint="eastAsia" w:ascii="宋体" w:hAnsi="宋体" w:eastAsia="宋体" w:cs="宋体"/>
          <w:color w:val="auto"/>
          <w:sz w:val="21"/>
          <w:szCs w:val="21"/>
          <w:highlight w:val="none"/>
        </w:rPr>
        <w:t>系统可靠性及响应能力</w:t>
      </w:r>
      <w:r>
        <w:rPr>
          <w:rFonts w:hint="eastAsia" w:ascii="宋体" w:hAnsi="宋体" w:eastAsia="宋体" w:cs="宋体"/>
          <w:color w:val="auto"/>
          <w:sz w:val="21"/>
          <w:szCs w:val="21"/>
          <w:highlight w:val="none"/>
          <w:lang w:val="en-US" w:eastAsia="zh-CN"/>
        </w:rPr>
        <w:t>等，具体要求如下：</w:t>
      </w:r>
    </w:p>
    <w:tbl>
      <w:tblPr>
        <w:tblStyle w:val="2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976"/>
        <w:gridCol w:w="7642"/>
      </w:tblGrid>
      <w:tr w14:paraId="71C5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 w:hRule="atLeast"/>
          <w:tblHeader/>
          <w:jc w:val="center"/>
        </w:trPr>
        <w:tc>
          <w:tcPr>
            <w:tcW w:w="1027" w:type="pct"/>
            <w:tcBorders>
              <w:tl2br w:val="nil"/>
              <w:tr2bl w:val="nil"/>
            </w:tcBorders>
            <w:shd w:val="clear" w:color="auto" w:fill="auto"/>
            <w:vAlign w:val="center"/>
          </w:tcPr>
          <w:p w14:paraId="24D09B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3972" w:type="pct"/>
            <w:tcBorders>
              <w:tl2br w:val="nil"/>
              <w:tr2bl w:val="nil"/>
            </w:tcBorders>
            <w:shd w:val="clear" w:color="auto" w:fill="auto"/>
            <w:vAlign w:val="center"/>
          </w:tcPr>
          <w:p w14:paraId="7C2552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技术要求</w:t>
            </w:r>
          </w:p>
        </w:tc>
      </w:tr>
      <w:tr w14:paraId="669FC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blHeader/>
          <w:jc w:val="center"/>
        </w:trPr>
        <w:tc>
          <w:tcPr>
            <w:tcW w:w="1027" w:type="pct"/>
            <w:tcBorders>
              <w:tl2br w:val="nil"/>
              <w:tr2bl w:val="nil"/>
            </w:tcBorders>
            <w:shd w:val="clear" w:color="auto" w:fill="auto"/>
            <w:vAlign w:val="center"/>
          </w:tcPr>
          <w:p w14:paraId="76C605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网站稳定性维护能力</w:t>
            </w:r>
          </w:p>
        </w:tc>
        <w:tc>
          <w:tcPr>
            <w:tcW w:w="3972" w:type="pct"/>
            <w:tcBorders>
              <w:tl2br w:val="nil"/>
              <w:tr2bl w:val="nil"/>
            </w:tcBorders>
            <w:shd w:val="clear" w:color="auto" w:fill="auto"/>
            <w:vAlign w:val="center"/>
          </w:tcPr>
          <w:p w14:paraId="625672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1.网站带宽达到2G以上；</w:t>
            </w:r>
          </w:p>
          <w:p w14:paraId="70FB27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2.网站承载日均访问量500万以上人次，5万人并发访问；</w:t>
            </w:r>
          </w:p>
          <w:p w14:paraId="22DD11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3.具备容纳50万人以上同时稳定流畅在线视频学习和在线考试。</w:t>
            </w:r>
          </w:p>
        </w:tc>
      </w:tr>
      <w:tr w14:paraId="7252B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2" w:hRule="atLeast"/>
          <w:tblHeader/>
          <w:jc w:val="center"/>
        </w:trPr>
        <w:tc>
          <w:tcPr>
            <w:tcW w:w="1027" w:type="pct"/>
            <w:tcBorders>
              <w:tl2br w:val="nil"/>
              <w:tr2bl w:val="nil"/>
            </w:tcBorders>
            <w:shd w:val="clear" w:color="auto" w:fill="auto"/>
            <w:vAlign w:val="center"/>
          </w:tcPr>
          <w:p w14:paraId="457601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“云端＋PC端＋移动端”多端一体化运行能力</w:t>
            </w:r>
          </w:p>
        </w:tc>
        <w:tc>
          <w:tcPr>
            <w:tcW w:w="3972" w:type="pct"/>
            <w:tcBorders>
              <w:tl2br w:val="nil"/>
              <w:tr2bl w:val="nil"/>
            </w:tcBorders>
            <w:shd w:val="clear" w:color="auto" w:fill="auto"/>
            <w:vAlign w:val="center"/>
          </w:tcPr>
          <w:p w14:paraId="082971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习平台由云端、PC端和移动端三部分组成。云端为资源存储、分发；PC端为开放式学习门户网站和后台培训管理系统；移动端为微信小程序或公众号学习，通过移动端支持缴费、在线看课、学习考核、考试答题等。多端口实时对接、数据同源、同步。</w:t>
            </w:r>
          </w:p>
        </w:tc>
      </w:tr>
      <w:tr w14:paraId="379F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tblHeader/>
          <w:jc w:val="center"/>
        </w:trPr>
        <w:tc>
          <w:tcPr>
            <w:tcW w:w="1027" w:type="pct"/>
            <w:tcBorders>
              <w:tl2br w:val="nil"/>
              <w:tr2bl w:val="nil"/>
            </w:tcBorders>
            <w:shd w:val="clear" w:color="auto" w:fill="auto"/>
            <w:vAlign w:val="center"/>
          </w:tcPr>
          <w:p w14:paraId="42DB07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运维监控能力</w:t>
            </w:r>
          </w:p>
        </w:tc>
        <w:tc>
          <w:tcPr>
            <w:tcW w:w="3972" w:type="pct"/>
            <w:tcBorders>
              <w:tl2br w:val="nil"/>
              <w:tr2bl w:val="nil"/>
            </w:tcBorders>
            <w:shd w:val="clear" w:color="auto" w:fill="auto"/>
            <w:vAlign w:val="center"/>
          </w:tcPr>
          <w:p w14:paraId="0F385A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1.对应用层关键页面进行健康状态确认；</w:t>
            </w:r>
          </w:p>
          <w:p w14:paraId="1BFC31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2.对基础架构各个中间件进行健康状态确认；</w:t>
            </w:r>
          </w:p>
          <w:p w14:paraId="1C537C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3.对全服务器关键配置和路由表及防火墙策略一致性确认；</w:t>
            </w:r>
          </w:p>
          <w:p w14:paraId="2BE64D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4.对全服务器CPU负载；</w:t>
            </w:r>
          </w:p>
          <w:p w14:paraId="472F98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5.磁盘IO；</w:t>
            </w:r>
          </w:p>
          <w:p w14:paraId="65A1EF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6.网络连接数状态确认；</w:t>
            </w:r>
          </w:p>
          <w:p w14:paraId="24F7D2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7.对平台总流量和峰值带宽确认；</w:t>
            </w:r>
          </w:p>
          <w:p w14:paraId="55F191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8.支持7*24小时接收平台关键页面监控状态报警短信，5分钟内对报警进行处理。</w:t>
            </w:r>
          </w:p>
        </w:tc>
      </w:tr>
      <w:tr w14:paraId="2ECA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9" w:hRule="atLeast"/>
          <w:tblHeader/>
          <w:jc w:val="center"/>
        </w:trPr>
        <w:tc>
          <w:tcPr>
            <w:tcW w:w="1027" w:type="pct"/>
            <w:tcBorders>
              <w:tl2br w:val="nil"/>
              <w:tr2bl w:val="nil"/>
            </w:tcBorders>
            <w:shd w:val="clear" w:color="auto" w:fill="auto"/>
            <w:vAlign w:val="center"/>
          </w:tcPr>
          <w:p w14:paraId="68080B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系统可靠性及响应能力</w:t>
            </w:r>
          </w:p>
        </w:tc>
        <w:tc>
          <w:tcPr>
            <w:tcW w:w="3972" w:type="pct"/>
            <w:tcBorders>
              <w:tl2br w:val="nil"/>
              <w:tr2bl w:val="nil"/>
            </w:tcBorders>
            <w:shd w:val="clear" w:color="auto" w:fill="auto"/>
            <w:vAlign w:val="center"/>
          </w:tcPr>
          <w:p w14:paraId="09B258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1.网络学习平台系统保证7×24小时不间断的高可靠性运行；</w:t>
            </w:r>
          </w:p>
          <w:p w14:paraId="4CC187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2.高峰负载时的平均响应时间不超过5秒；</w:t>
            </w:r>
          </w:p>
          <w:p w14:paraId="0DD45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3.日常运行时的平均响应时间不超过2秒；</w:t>
            </w:r>
          </w:p>
          <w:p w14:paraId="753CCD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4.数据量满足至少5年的存储使用需要。</w:t>
            </w:r>
          </w:p>
        </w:tc>
      </w:tr>
      <w:tr w14:paraId="2156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3" w:hRule="atLeast"/>
          <w:tblHeader/>
          <w:jc w:val="center"/>
        </w:trPr>
        <w:tc>
          <w:tcPr>
            <w:tcW w:w="1027" w:type="pct"/>
            <w:tcBorders>
              <w:tl2br w:val="nil"/>
              <w:tr2bl w:val="nil"/>
            </w:tcBorders>
            <w:shd w:val="clear" w:color="auto" w:fill="auto"/>
            <w:vAlign w:val="center"/>
          </w:tcPr>
          <w:p w14:paraId="2056FD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AI助学功能</w:t>
            </w:r>
          </w:p>
        </w:tc>
        <w:tc>
          <w:tcPr>
            <w:tcW w:w="3972" w:type="pct"/>
            <w:tcBorders>
              <w:tl2br w:val="nil"/>
              <w:tr2bl w:val="nil"/>
            </w:tcBorders>
            <w:shd w:val="clear" w:color="auto" w:fill="auto"/>
            <w:vAlign w:val="center"/>
          </w:tcPr>
          <w:p w14:paraId="3803B2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学习平台具有相应的AI功能，方便学员提前预习、课堂练习、课后复习，方便阅读及总结，提升学习效率，快速掌握知识要点。</w:t>
            </w:r>
          </w:p>
        </w:tc>
      </w:tr>
    </w:tbl>
    <w:p w14:paraId="3DFC18E0">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2.教学资源要求：</w:t>
      </w:r>
    </w:p>
    <w:p w14:paraId="03824E9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 xml:space="preserve"> 课程</w:t>
      </w:r>
      <w:r>
        <w:rPr>
          <w:rFonts w:hint="eastAsia" w:ascii="宋体" w:hAnsi="宋体" w:eastAsia="宋体" w:cs="宋体"/>
          <w:b w:val="0"/>
          <w:bCs w:val="0"/>
          <w:color w:val="auto"/>
          <w:sz w:val="21"/>
          <w:szCs w:val="21"/>
          <w:highlight w:val="none"/>
        </w:rPr>
        <w:t>资源要求</w:t>
      </w:r>
      <w:r>
        <w:rPr>
          <w:rFonts w:hint="eastAsia" w:ascii="宋体" w:hAnsi="宋体" w:eastAsia="宋体" w:cs="宋体"/>
          <w:b w:val="0"/>
          <w:bCs w:val="0"/>
          <w:color w:val="auto"/>
          <w:sz w:val="21"/>
          <w:szCs w:val="21"/>
          <w:highlight w:val="none"/>
          <w:lang w:eastAsia="zh-CN"/>
        </w:rPr>
        <w:t>：</w:t>
      </w:r>
    </w:p>
    <w:p w14:paraId="2F7F3EE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（1）课程</w:t>
      </w:r>
      <w:r>
        <w:rPr>
          <w:rFonts w:hint="eastAsia" w:ascii="宋体" w:hAnsi="宋体" w:eastAsia="宋体" w:cs="宋体"/>
          <w:color w:val="auto"/>
          <w:sz w:val="21"/>
          <w:szCs w:val="21"/>
          <w:highlight w:val="none"/>
        </w:rPr>
        <w:t>资源符合《专业技术人员继续教育规定》（人社部令第 25 号）和《浙江省专业技术人员继续教育规定》的相关要求。</w:t>
      </w:r>
    </w:p>
    <w:p w14:paraId="1B317C1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（2）一般</w:t>
      </w:r>
      <w:r>
        <w:rPr>
          <w:rFonts w:hint="eastAsia" w:ascii="宋体" w:hAnsi="宋体" w:eastAsia="宋体" w:cs="宋体"/>
          <w:color w:val="auto"/>
          <w:sz w:val="21"/>
          <w:szCs w:val="21"/>
          <w:highlight w:val="none"/>
        </w:rPr>
        <w:t>公需课</w:t>
      </w:r>
      <w:r>
        <w:rPr>
          <w:rFonts w:hint="eastAsia" w:ascii="宋体" w:hAnsi="宋体" w:eastAsia="宋体" w:cs="宋体"/>
          <w:color w:val="auto"/>
          <w:sz w:val="21"/>
          <w:szCs w:val="21"/>
          <w:highlight w:val="none"/>
          <w:lang w:val="en-US" w:eastAsia="zh-CN"/>
        </w:rPr>
        <w:t>目</w:t>
      </w:r>
      <w:r>
        <w:rPr>
          <w:rFonts w:hint="eastAsia" w:ascii="宋体" w:hAnsi="宋体" w:eastAsia="宋体" w:cs="宋体"/>
          <w:color w:val="auto"/>
          <w:sz w:val="21"/>
          <w:szCs w:val="21"/>
          <w:highlight w:val="none"/>
        </w:rPr>
        <w:t>必须满足</w:t>
      </w:r>
      <w:r>
        <w:rPr>
          <w:rFonts w:hint="eastAsia" w:ascii="宋体" w:hAnsi="宋体" w:eastAsia="宋体" w:cs="宋体"/>
          <w:color w:val="auto"/>
          <w:sz w:val="21"/>
          <w:szCs w:val="21"/>
          <w:highlight w:val="none"/>
          <w:lang w:val="en-US" w:eastAsia="zh-CN"/>
        </w:rPr>
        <w:t>浙江</w:t>
      </w:r>
      <w:r>
        <w:rPr>
          <w:rFonts w:hint="eastAsia" w:ascii="宋体" w:hAnsi="宋体" w:eastAsia="宋体" w:cs="宋体"/>
          <w:color w:val="auto"/>
          <w:sz w:val="21"/>
          <w:szCs w:val="21"/>
          <w:highlight w:val="none"/>
        </w:rPr>
        <w:t>省人力资源和社会保障厅的相关要求，包括专业技术人员应当普遍掌握的法律法规、理论政策、职业道德、技术信息等基本知识。主要围绕中国式现代化建设、服务高质量发展乡村振兴等国家重大战略。推动数字技术、数据安全、网络安全等；思想政治引领、职业道德、团队合作建设等主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课程总学时不低于</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学时。根据培训需求及时补充和更新课程，每年更新率</w:t>
      </w:r>
      <w:r>
        <w:rPr>
          <w:rFonts w:hint="eastAsia" w:ascii="宋体" w:hAnsi="宋体" w:eastAsia="宋体" w:cs="宋体"/>
          <w:color w:val="auto"/>
          <w:sz w:val="21"/>
          <w:szCs w:val="21"/>
          <w:highlight w:val="none"/>
          <w:lang w:val="en-US" w:eastAsia="zh-CN"/>
        </w:rPr>
        <w:t>不低于100</w:t>
      </w:r>
      <w:r>
        <w:rPr>
          <w:rFonts w:hint="eastAsia" w:ascii="宋体" w:hAnsi="宋体" w:eastAsia="宋体" w:cs="宋体"/>
          <w:color w:val="auto"/>
          <w:sz w:val="21"/>
          <w:szCs w:val="21"/>
          <w:highlight w:val="none"/>
        </w:rPr>
        <w:t>%。</w:t>
      </w:r>
    </w:p>
    <w:p w14:paraId="5DDAD3E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（3）行业公需</w:t>
      </w:r>
      <w:r>
        <w:rPr>
          <w:rFonts w:hint="eastAsia" w:ascii="宋体" w:hAnsi="宋体" w:eastAsia="宋体" w:cs="宋体"/>
          <w:color w:val="auto"/>
          <w:sz w:val="21"/>
          <w:szCs w:val="21"/>
          <w:highlight w:val="none"/>
        </w:rPr>
        <w:t>科目包括专业技术人员从事专业工作应当掌握的新理论、新知识、新技术、新方法等知识。至少包括以下课程类别：经济</w:t>
      </w:r>
      <w:r>
        <w:rPr>
          <w:rFonts w:hint="eastAsia" w:ascii="宋体" w:hAnsi="宋体" w:eastAsia="宋体" w:cs="宋体"/>
          <w:color w:val="auto"/>
          <w:sz w:val="21"/>
          <w:szCs w:val="21"/>
          <w:highlight w:val="none"/>
          <w:lang w:val="en-US" w:eastAsia="zh-CN"/>
        </w:rPr>
        <w:t>系列</w:t>
      </w:r>
      <w:r>
        <w:rPr>
          <w:rFonts w:hint="eastAsia" w:ascii="宋体" w:hAnsi="宋体" w:eastAsia="宋体" w:cs="宋体"/>
          <w:color w:val="auto"/>
          <w:sz w:val="21"/>
          <w:szCs w:val="21"/>
          <w:highlight w:val="none"/>
        </w:rPr>
        <w:t>、机电制造、信息技术、能源工程、材料工程、轻纺工程、石化工程‌‌、交通工程、生态环境、自然科学、建设工程、农业、食品、医药、工艺美术等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每类课程总学时不低于</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学时。根据培训需求及时补充和更新课程，每年更新率不低于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w:t>
      </w:r>
    </w:p>
    <w:p w14:paraId="51F8923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专业科目包括专业技术人员从事专业工作应当掌握的新理论、新知识、新技术、新方法等专业知识。至少包括以下课程类别：经济系列、机电制造、信息技术、能源工程、材料工程、轻纺工程、石化工程‌‌、交通工程、生态环境、自然科学、建设工程、农业、食品、医药、工艺美术等。每类课程总学时不低于60学时。根据培训需求及时补充和更新课程，每年更新率不低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w:t>
      </w:r>
    </w:p>
    <w:p w14:paraId="7DD4807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教学资源包含但不限于音视频资源和文本资源，考核资源包含但不限于选择题和判断题等。</w:t>
      </w:r>
    </w:p>
    <w:p w14:paraId="5E674A4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为避免知识产权纠纷，供应商须具有</w:t>
      </w:r>
      <w:r>
        <w:rPr>
          <w:rFonts w:hint="eastAsia" w:ascii="宋体" w:hAnsi="宋体" w:eastAsia="宋体" w:cs="宋体"/>
          <w:color w:val="auto"/>
          <w:sz w:val="21"/>
          <w:szCs w:val="21"/>
          <w:highlight w:val="none"/>
          <w:lang w:eastAsia="zh-CN"/>
        </w:rPr>
        <w:t>网络学习平台</w:t>
      </w:r>
      <w:r>
        <w:rPr>
          <w:rFonts w:hint="eastAsia" w:ascii="宋体" w:hAnsi="宋体" w:eastAsia="宋体" w:cs="宋体"/>
          <w:color w:val="auto"/>
          <w:sz w:val="21"/>
          <w:szCs w:val="21"/>
          <w:highlight w:val="none"/>
        </w:rPr>
        <w:t>课件的使用权或版权，因课件使用权或版权引起的法律纠纷由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承担全部责任。</w:t>
      </w:r>
    </w:p>
    <w:p w14:paraId="566A8F6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课程视频画面色彩的选取符合视觉要求，画面亮度、灰度适宜，色彩还原性好；视频播放时无偏移、无跳帧、失帧现象，画面镜头稳定；音频音量适中，音质清晰，无明显噪音、杂音。</w:t>
      </w:r>
    </w:p>
    <w:p w14:paraId="5711D33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课程视频播放时，视频的配音、配乐应与视频画面保持同步，无明显的超前或滞后现象。页面显示的内容、知识点及所采用的音视频与授课教师讲述一致，音视频播放过程中不出现黑屏。</w:t>
      </w:r>
    </w:p>
    <w:p w14:paraId="4D63CE1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）视频课件清晰度：视频课件的分辨率为高清/720P以上。</w:t>
      </w:r>
    </w:p>
    <w:p w14:paraId="0483758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 师资</w:t>
      </w:r>
      <w:r>
        <w:rPr>
          <w:rFonts w:hint="eastAsia" w:ascii="宋体" w:hAnsi="宋体" w:eastAsia="宋体" w:cs="宋体"/>
          <w:b w:val="0"/>
          <w:bCs w:val="0"/>
          <w:color w:val="auto"/>
          <w:sz w:val="21"/>
          <w:szCs w:val="21"/>
          <w:highlight w:val="none"/>
        </w:rPr>
        <w:t>要求</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供</w:t>
      </w:r>
      <w:r>
        <w:rPr>
          <w:rFonts w:hint="eastAsia" w:ascii="宋体" w:hAnsi="宋体" w:eastAsia="宋体" w:cs="宋体"/>
          <w:b w:val="0"/>
          <w:bCs w:val="0"/>
          <w:color w:val="auto"/>
          <w:sz w:val="21"/>
          <w:szCs w:val="21"/>
          <w:highlight w:val="none"/>
        </w:rPr>
        <w:t>应商应</w:t>
      </w:r>
      <w:r>
        <w:rPr>
          <w:rFonts w:hint="eastAsia" w:ascii="宋体" w:hAnsi="宋体" w:eastAsia="宋体" w:cs="宋体"/>
          <w:b w:val="0"/>
          <w:bCs w:val="0"/>
          <w:color w:val="auto"/>
          <w:sz w:val="21"/>
          <w:szCs w:val="21"/>
          <w:highlight w:val="none"/>
          <w:lang w:val="en-US" w:eastAsia="zh-CN"/>
        </w:rPr>
        <w:t>具备专业的讲师团队，以满足视频</w:t>
      </w:r>
      <w:r>
        <w:rPr>
          <w:rFonts w:hint="eastAsia" w:ascii="宋体" w:hAnsi="宋体" w:eastAsia="宋体" w:cs="宋体"/>
          <w:b w:val="0"/>
          <w:bCs w:val="0"/>
          <w:color w:val="auto"/>
          <w:sz w:val="21"/>
          <w:szCs w:val="21"/>
          <w:highlight w:val="none"/>
        </w:rPr>
        <w:t>课程</w:t>
      </w:r>
      <w:r>
        <w:rPr>
          <w:rFonts w:hint="eastAsia" w:ascii="宋体" w:hAnsi="宋体" w:eastAsia="宋体" w:cs="宋体"/>
          <w:b w:val="0"/>
          <w:bCs w:val="0"/>
          <w:color w:val="auto"/>
          <w:sz w:val="21"/>
          <w:szCs w:val="21"/>
          <w:highlight w:val="none"/>
          <w:lang w:val="en-US" w:eastAsia="zh-CN"/>
        </w:rPr>
        <w:t>开发和录制</w:t>
      </w:r>
      <w:r>
        <w:rPr>
          <w:rFonts w:hint="eastAsia" w:ascii="宋体" w:hAnsi="宋体" w:eastAsia="宋体" w:cs="宋体"/>
          <w:b w:val="0"/>
          <w:bCs w:val="0"/>
          <w:color w:val="auto"/>
          <w:sz w:val="21"/>
          <w:szCs w:val="21"/>
          <w:highlight w:val="none"/>
          <w:lang w:eastAsia="zh-CN"/>
        </w:rPr>
        <w:t>。</w:t>
      </w:r>
    </w:p>
    <w:p w14:paraId="58A3D3F0">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3.其他要求：</w:t>
      </w:r>
    </w:p>
    <w:p w14:paraId="49E2CFED">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3.1方案内容：供</w:t>
      </w:r>
      <w:r>
        <w:rPr>
          <w:rFonts w:hint="eastAsia" w:ascii="宋体" w:hAnsi="宋体" w:eastAsia="宋体" w:cs="宋体"/>
          <w:b w:val="0"/>
          <w:bCs w:val="0"/>
          <w:color w:val="auto"/>
          <w:sz w:val="21"/>
          <w:szCs w:val="21"/>
          <w:highlight w:val="none"/>
        </w:rPr>
        <w:t>应商应提供本项目服务方案，方案内容包含但不限于：项目进度、风险管理、质量管理、平台推广、应急管理、客户服务等。服务方案</w:t>
      </w:r>
      <w:r>
        <w:rPr>
          <w:rFonts w:hint="eastAsia" w:ascii="宋体" w:hAnsi="宋体" w:eastAsia="宋体" w:cs="宋体"/>
          <w:b w:val="0"/>
          <w:bCs w:val="0"/>
          <w:color w:val="auto"/>
          <w:sz w:val="21"/>
          <w:szCs w:val="21"/>
          <w:highlight w:val="none"/>
          <w:lang w:val="en-US" w:eastAsia="zh-CN"/>
        </w:rPr>
        <w:t>应考虑</w:t>
      </w:r>
      <w:r>
        <w:rPr>
          <w:rFonts w:hint="eastAsia" w:ascii="宋体" w:hAnsi="宋体" w:eastAsia="宋体" w:cs="宋体"/>
          <w:b w:val="0"/>
          <w:bCs w:val="0"/>
          <w:color w:val="auto"/>
          <w:sz w:val="21"/>
          <w:szCs w:val="21"/>
          <w:highlight w:val="none"/>
        </w:rPr>
        <w:t>内容完整、逻辑清晰、设计科学、行文规范以及落地可行性等</w:t>
      </w:r>
      <w:r>
        <w:rPr>
          <w:rFonts w:hint="eastAsia" w:ascii="宋体" w:hAnsi="宋体" w:eastAsia="宋体" w:cs="宋体"/>
          <w:b w:val="0"/>
          <w:bCs w:val="0"/>
          <w:color w:val="auto"/>
          <w:sz w:val="21"/>
          <w:szCs w:val="21"/>
          <w:highlight w:val="none"/>
          <w:lang w:eastAsia="zh-CN"/>
        </w:rPr>
        <w:t>。</w:t>
      </w:r>
    </w:p>
    <w:p w14:paraId="3D5F2C1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3.2</w:t>
      </w:r>
      <w:r>
        <w:rPr>
          <w:rFonts w:hint="eastAsia" w:ascii="宋体" w:hAnsi="宋体" w:eastAsia="宋体" w:cs="宋体"/>
          <w:b w:val="0"/>
          <w:bCs w:val="0"/>
          <w:color w:val="auto"/>
          <w:sz w:val="21"/>
          <w:szCs w:val="21"/>
          <w:highlight w:val="none"/>
        </w:rPr>
        <w:t>质量保证</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合作期内，承诺提供免费质量保证服务。包括但不限于针对系统平台版本更新，针对事件问题的处理和bug修复。</w:t>
      </w:r>
    </w:p>
    <w:p w14:paraId="59AD575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3.3 </w:t>
      </w:r>
      <w:r>
        <w:rPr>
          <w:rFonts w:hint="eastAsia" w:ascii="宋体" w:hAnsi="宋体" w:eastAsia="宋体" w:cs="宋体"/>
          <w:b w:val="0"/>
          <w:bCs w:val="0"/>
          <w:color w:val="auto"/>
          <w:sz w:val="21"/>
          <w:szCs w:val="21"/>
          <w:highlight w:val="none"/>
        </w:rPr>
        <w:t>售后服务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配备专门的维护团队。7*24小时</w:t>
      </w:r>
      <w:r>
        <w:rPr>
          <w:rFonts w:hint="eastAsia" w:ascii="宋体" w:hAnsi="宋体" w:eastAsia="宋体" w:cs="宋体"/>
          <w:b w:val="0"/>
          <w:bCs w:val="0"/>
          <w:color w:val="auto"/>
          <w:sz w:val="21"/>
          <w:szCs w:val="21"/>
          <w:highlight w:val="none"/>
          <w:lang w:val="en-US" w:eastAsia="zh-CN"/>
        </w:rPr>
        <w:t>智能客服</w:t>
      </w:r>
      <w:r>
        <w:rPr>
          <w:rFonts w:hint="eastAsia" w:ascii="宋体" w:hAnsi="宋体" w:eastAsia="宋体" w:cs="宋体"/>
          <w:b w:val="0"/>
          <w:bCs w:val="0"/>
          <w:color w:val="auto"/>
          <w:sz w:val="21"/>
          <w:szCs w:val="21"/>
          <w:highlight w:val="none"/>
        </w:rPr>
        <w:t>，具备快速处理突发故障的响应能力，可提供每7*24小时疑难应答能力的技术支持服务，包括电话、邮件及其它方式的技术支持；7*24小时监控全部服务器硬件指标、网络负载运行状况、应用服务运行进程。</w:t>
      </w:r>
    </w:p>
    <w:p w14:paraId="718A7A3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outlineLvl w:val="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3.4 </w:t>
      </w:r>
      <w:r>
        <w:rPr>
          <w:rFonts w:hint="eastAsia" w:ascii="宋体" w:hAnsi="宋体" w:eastAsia="宋体" w:cs="宋体"/>
          <w:b w:val="0"/>
          <w:bCs w:val="0"/>
          <w:color w:val="auto"/>
          <w:sz w:val="21"/>
          <w:szCs w:val="21"/>
          <w:highlight w:val="none"/>
        </w:rPr>
        <w:t>培训服务</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免费提供系统平台的</w:t>
      </w:r>
      <w:r>
        <w:rPr>
          <w:rFonts w:hint="eastAsia" w:ascii="宋体" w:hAnsi="宋体" w:eastAsia="宋体" w:cs="宋体"/>
          <w:b w:val="0"/>
          <w:bCs w:val="0"/>
          <w:color w:val="auto"/>
          <w:sz w:val="21"/>
          <w:szCs w:val="21"/>
          <w:highlight w:val="none"/>
          <w:lang w:val="en-US" w:eastAsia="zh-CN"/>
        </w:rPr>
        <w:t>使用</w:t>
      </w:r>
      <w:r>
        <w:rPr>
          <w:rFonts w:hint="eastAsia" w:ascii="宋体" w:hAnsi="宋体" w:eastAsia="宋体" w:cs="宋体"/>
          <w:b w:val="0"/>
          <w:bCs w:val="0"/>
          <w:color w:val="auto"/>
          <w:sz w:val="21"/>
          <w:szCs w:val="21"/>
          <w:highlight w:val="none"/>
        </w:rPr>
        <w:t>培训</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包括但不限于</w:t>
      </w:r>
      <w:r>
        <w:rPr>
          <w:rFonts w:hint="eastAsia" w:ascii="宋体" w:hAnsi="宋体" w:eastAsia="宋体" w:cs="宋体"/>
          <w:b w:val="0"/>
          <w:bCs w:val="0"/>
          <w:color w:val="auto"/>
          <w:sz w:val="21"/>
          <w:szCs w:val="21"/>
          <w:highlight w:val="none"/>
        </w:rPr>
        <w:t>提供一次现场培训、一次远程培训。</w:t>
      </w:r>
    </w:p>
    <w:p w14:paraId="1F6F0737">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3.5 项目团队：应</w:t>
      </w:r>
      <w:r>
        <w:rPr>
          <w:rFonts w:hint="eastAsia" w:ascii="宋体" w:hAnsi="宋体" w:eastAsia="宋体" w:cs="宋体"/>
          <w:b w:val="0"/>
          <w:bCs w:val="0"/>
          <w:color w:val="auto"/>
          <w:sz w:val="21"/>
          <w:szCs w:val="21"/>
          <w:highlight w:val="none"/>
        </w:rPr>
        <w:t>配置专门的</w:t>
      </w:r>
      <w:r>
        <w:rPr>
          <w:rFonts w:hint="eastAsia" w:ascii="宋体" w:hAnsi="宋体" w:eastAsia="宋体" w:cs="宋体"/>
          <w:b w:val="0"/>
          <w:bCs w:val="0"/>
          <w:color w:val="auto"/>
          <w:sz w:val="21"/>
          <w:szCs w:val="21"/>
          <w:highlight w:val="none"/>
          <w:lang w:val="en-US" w:eastAsia="zh-CN"/>
        </w:rPr>
        <w:t>项目</w:t>
      </w:r>
      <w:r>
        <w:rPr>
          <w:rFonts w:hint="eastAsia" w:ascii="宋体" w:hAnsi="宋体" w:eastAsia="宋体" w:cs="宋体"/>
          <w:b w:val="0"/>
          <w:bCs w:val="0"/>
          <w:color w:val="auto"/>
          <w:sz w:val="21"/>
          <w:szCs w:val="21"/>
          <w:highlight w:val="none"/>
        </w:rPr>
        <w:t>团队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包含项目管理、技术支持等。</w:t>
      </w:r>
    </w:p>
    <w:p w14:paraId="2ED5E3E4">
      <w:pPr>
        <w:keepLines w:val="0"/>
        <w:pageBreakBefore w:val="0"/>
        <w:kinsoku/>
        <w:overflowPunct/>
        <w:topLinePunct w:val="0"/>
        <w:autoSpaceDE/>
        <w:autoSpaceDN/>
        <w:bidi w:val="0"/>
        <w:adjustRightInd/>
        <w:snapToGrid/>
        <w:spacing w:line="288" w:lineRule="auto"/>
        <w:ind w:firstLine="420" w:firstLineChars="200"/>
        <w:outlineLvl w:val="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3.6 研发投入：</w:t>
      </w:r>
      <w:r>
        <w:rPr>
          <w:rFonts w:hint="eastAsia" w:ascii="宋体" w:hAnsi="宋体" w:eastAsia="宋体" w:cs="宋体"/>
          <w:b w:val="0"/>
          <w:bCs w:val="0"/>
          <w:color w:val="auto"/>
          <w:sz w:val="21"/>
          <w:szCs w:val="21"/>
          <w:highlight w:val="none"/>
        </w:rPr>
        <w:t>供应商应</w:t>
      </w:r>
      <w:r>
        <w:rPr>
          <w:rFonts w:hint="eastAsia" w:ascii="宋体" w:hAnsi="宋体" w:eastAsia="宋体" w:cs="宋体"/>
          <w:b w:val="0"/>
          <w:bCs w:val="0"/>
          <w:color w:val="auto"/>
          <w:sz w:val="21"/>
          <w:szCs w:val="21"/>
          <w:highlight w:val="none"/>
          <w:lang w:val="en-US" w:eastAsia="zh-CN"/>
        </w:rPr>
        <w:t>具备稳定</w:t>
      </w:r>
      <w:r>
        <w:rPr>
          <w:rFonts w:hint="eastAsia" w:ascii="宋体" w:hAnsi="宋体" w:eastAsia="宋体" w:cs="宋体"/>
          <w:b w:val="0"/>
          <w:bCs w:val="0"/>
          <w:color w:val="auto"/>
          <w:sz w:val="21"/>
          <w:szCs w:val="21"/>
          <w:highlight w:val="none"/>
        </w:rPr>
        <w:t>课程研发与学习平台建设运维</w:t>
      </w:r>
      <w:r>
        <w:rPr>
          <w:rFonts w:hint="eastAsia" w:ascii="宋体" w:hAnsi="宋体" w:eastAsia="宋体" w:cs="宋体"/>
          <w:b w:val="0"/>
          <w:bCs w:val="0"/>
          <w:color w:val="auto"/>
          <w:sz w:val="21"/>
          <w:szCs w:val="21"/>
          <w:highlight w:val="none"/>
          <w:lang w:val="en-US" w:eastAsia="zh-CN"/>
        </w:rPr>
        <w:t>研发资金投入。</w:t>
      </w:r>
    </w:p>
    <w:p w14:paraId="726D8631">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三、服务时间与地点</w:t>
      </w:r>
    </w:p>
    <w:p w14:paraId="3C9F40A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sz w:val="21"/>
          <w:szCs w:val="24"/>
          <w:highlight w:val="none"/>
        </w:rPr>
        <w:t>1</w:t>
      </w:r>
      <w:r>
        <w:rPr>
          <w:rFonts w:hint="eastAsia" w:ascii="宋体" w:hAnsi="宋体" w:eastAsia="宋体" w:cs="宋体"/>
          <w:color w:val="auto"/>
          <w:spacing w:val="-6"/>
          <w:sz w:val="21"/>
          <w:szCs w:val="24"/>
          <w:highlight w:val="none"/>
        </w:rPr>
        <w:t>.</w:t>
      </w:r>
      <w:r>
        <w:rPr>
          <w:rFonts w:hint="eastAsia" w:ascii="宋体" w:hAnsi="宋体" w:eastAsia="宋体" w:cs="宋体"/>
          <w:color w:val="auto"/>
          <w:sz w:val="21"/>
          <w:szCs w:val="24"/>
          <w:highlight w:val="none"/>
        </w:rPr>
        <w:t>服务时间：</w:t>
      </w:r>
      <w:r>
        <w:rPr>
          <w:rFonts w:hint="eastAsia" w:ascii="宋体" w:hAnsi="宋体" w:eastAsia="宋体" w:cs="宋体"/>
          <w:b w:val="0"/>
          <w:bCs w:val="0"/>
          <w:color w:val="auto"/>
          <w:sz w:val="21"/>
          <w:szCs w:val="21"/>
          <w:highlight w:val="none"/>
          <w:lang w:val="en-US" w:eastAsia="zh-CN"/>
        </w:rPr>
        <w:t>自合同签订之日起30日内完成网络学习平台及课程资源上线，网络学习平台及课程资源服务使用期限为上线之日起三年。</w:t>
      </w:r>
    </w:p>
    <w:p w14:paraId="431FB2A6">
      <w:pPr>
        <w:autoSpaceDE w:val="0"/>
        <w:autoSpaceDN w:val="0"/>
        <w:adjustRightIn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2.服务地点：</w:t>
      </w:r>
      <w:r>
        <w:rPr>
          <w:rFonts w:hint="eastAsia" w:ascii="宋体" w:hAnsi="宋体" w:eastAsia="宋体" w:cs="宋体"/>
          <w:b w:val="0"/>
          <w:bCs w:val="0"/>
          <w:color w:val="auto"/>
          <w:sz w:val="21"/>
          <w:szCs w:val="21"/>
          <w:highlight w:val="none"/>
          <w:lang w:eastAsia="zh-CN"/>
        </w:rPr>
        <w:t>杭州电子科技大学</w:t>
      </w:r>
      <w:r>
        <w:rPr>
          <w:rFonts w:hint="eastAsia" w:ascii="宋体" w:hAnsi="宋体" w:eastAsia="宋体" w:cs="宋体"/>
          <w:b w:val="0"/>
          <w:bCs w:val="0"/>
          <w:color w:val="auto"/>
          <w:sz w:val="21"/>
          <w:szCs w:val="21"/>
          <w:highlight w:val="none"/>
        </w:rPr>
        <w:t>指定地点</w:t>
      </w:r>
      <w:r>
        <w:rPr>
          <w:rFonts w:hint="eastAsia" w:ascii="宋体" w:hAnsi="宋体" w:eastAsia="宋体" w:cs="宋体"/>
          <w:color w:val="auto"/>
          <w:sz w:val="21"/>
          <w:szCs w:val="21"/>
          <w:highlight w:val="none"/>
        </w:rPr>
        <w:t>。</w:t>
      </w:r>
    </w:p>
    <w:p w14:paraId="76413B6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3.联系人及电话：</w:t>
      </w:r>
      <w:bookmarkStart w:id="53" w:name="_Hlk155181628"/>
      <w:r>
        <w:rPr>
          <w:rFonts w:hint="eastAsia" w:ascii="宋体" w:hAnsi="宋体" w:eastAsia="宋体" w:cs="宋体"/>
          <w:color w:val="auto"/>
          <w:kern w:val="0"/>
          <w:sz w:val="21"/>
          <w:szCs w:val="20"/>
          <w:highlight w:val="none"/>
        </w:rPr>
        <w:t>甲方 姓名_________联系电话</w:t>
      </w:r>
      <w:r>
        <w:rPr>
          <w:rFonts w:hint="eastAsia" w:ascii="宋体" w:hAnsi="宋体" w:eastAsia="宋体" w:cs="宋体"/>
          <w:color w:val="auto"/>
          <w:kern w:val="0"/>
          <w:sz w:val="21"/>
          <w:szCs w:val="20"/>
          <w:highlight w:val="none"/>
          <w:u w:val="single"/>
        </w:rPr>
        <w:t xml:space="preserve">（办公电话及手机号） </w:t>
      </w:r>
      <w:r>
        <w:rPr>
          <w:rFonts w:hint="eastAsia" w:ascii="宋体" w:hAnsi="宋体" w:eastAsia="宋体" w:cs="宋体"/>
          <w:color w:val="auto"/>
          <w:kern w:val="0"/>
          <w:sz w:val="21"/>
          <w:szCs w:val="20"/>
          <w:highlight w:val="none"/>
        </w:rPr>
        <w:t>；乙方 姓名 __________联系电话</w:t>
      </w:r>
      <w:r>
        <w:rPr>
          <w:rFonts w:hint="eastAsia" w:ascii="宋体" w:hAnsi="宋体" w:eastAsia="宋体" w:cs="宋体"/>
          <w:color w:val="auto"/>
          <w:kern w:val="0"/>
          <w:sz w:val="21"/>
          <w:szCs w:val="20"/>
          <w:highlight w:val="none"/>
          <w:u w:val="single"/>
        </w:rPr>
        <w:t>（办公电话及手机号）</w:t>
      </w:r>
      <w:r>
        <w:rPr>
          <w:rFonts w:hint="eastAsia" w:ascii="宋体" w:hAnsi="宋体" w:eastAsia="宋体" w:cs="宋体"/>
          <w:color w:val="auto"/>
          <w:kern w:val="0"/>
          <w:sz w:val="21"/>
          <w:szCs w:val="20"/>
          <w:highlight w:val="none"/>
        </w:rPr>
        <w:t xml:space="preserve"> </w:t>
      </w:r>
      <w:bookmarkEnd w:id="53"/>
      <w:r>
        <w:rPr>
          <w:rFonts w:hint="eastAsia" w:ascii="宋体" w:hAnsi="宋体" w:eastAsia="宋体" w:cs="宋体"/>
          <w:color w:val="auto"/>
          <w:kern w:val="0"/>
          <w:sz w:val="21"/>
          <w:szCs w:val="20"/>
          <w:highlight w:val="none"/>
        </w:rPr>
        <w:t>。</w:t>
      </w:r>
    </w:p>
    <w:p w14:paraId="25AE6FD1">
      <w:pPr>
        <w:autoSpaceDE w:val="0"/>
        <w:autoSpaceDN w:val="0"/>
        <w:adjustRightIn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四、履约保证金与付款方式</w:t>
      </w:r>
    </w:p>
    <w:p w14:paraId="2730F7B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 履约保证金（如无则删除本条款）</w:t>
      </w:r>
      <w:r>
        <w:rPr>
          <w:rFonts w:hint="eastAsia" w:ascii="宋体" w:hAnsi="宋体" w:eastAsia="宋体" w:cs="宋体"/>
          <w:b/>
          <w:bCs/>
          <w:color w:val="auto"/>
          <w:kern w:val="0"/>
          <w:sz w:val="21"/>
          <w:szCs w:val="20"/>
          <w:highlight w:val="none"/>
        </w:rPr>
        <w:t>：</w:t>
      </w:r>
      <w:r>
        <w:rPr>
          <w:rFonts w:hint="eastAsia" w:ascii="宋体" w:hAnsi="宋体" w:eastAsia="宋体" w:cs="宋体"/>
          <w:color w:val="auto"/>
          <w:kern w:val="0"/>
          <w:sz w:val="21"/>
          <w:szCs w:val="20"/>
          <w:highlight w:val="none"/>
        </w:rPr>
        <w:t>合同总金额的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14:paraId="6612726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 付款方式（根据项目要求、采购文件、采购结果，按以下方式选择填写）：</w:t>
      </w:r>
    </w:p>
    <w:p w14:paraId="197422D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w:t>
      </w:r>
      <w:r>
        <w:rPr>
          <w:rFonts w:hint="eastAsia" w:ascii="宋体" w:hAnsi="宋体" w:eastAsia="宋体" w:cs="宋体"/>
          <w:color w:val="auto"/>
          <w:spacing w:val="-6"/>
          <w:kern w:val="0"/>
          <w:sz w:val="21"/>
          <w:szCs w:val="20"/>
          <w:highlight w:val="none"/>
        </w:rPr>
        <w:t>1</w:t>
      </w:r>
      <w:r>
        <w:rPr>
          <w:rFonts w:hint="eastAsia" w:ascii="宋体" w:hAnsi="宋体" w:eastAsia="宋体" w:cs="宋体"/>
          <w:color w:val="auto"/>
          <w:kern w:val="0"/>
          <w:sz w:val="21"/>
          <w:szCs w:val="20"/>
          <w:highlight w:val="none"/>
        </w:rPr>
        <w:t>）预付款方式：</w:t>
      </w:r>
    </w:p>
    <w:p w14:paraId="64C19A8B">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①合同生效以及具备实施条件后7个工作日内，且乙方已向甲方提交银行、保险公司等金融机构出具的预付款保函的，甲方向乙方支付合同总价的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%；项目申报材料通过验收的7个工作日内，</w:t>
      </w:r>
      <w:r>
        <w:rPr>
          <w:rFonts w:hint="eastAsia" w:ascii="宋体" w:hAnsi="宋体" w:eastAsia="宋体" w:cs="宋体"/>
          <w:color w:val="auto"/>
          <w:kern w:val="0"/>
          <w:sz w:val="21"/>
          <w:szCs w:val="20"/>
          <w:highlight w:val="none"/>
          <w:lang w:val="en-US" w:eastAsia="zh-CN"/>
        </w:rPr>
        <w:t>甲方</w:t>
      </w:r>
      <w:r>
        <w:rPr>
          <w:rFonts w:hint="eastAsia" w:ascii="宋体" w:hAnsi="宋体" w:eastAsia="宋体" w:cs="宋体"/>
          <w:color w:val="auto"/>
          <w:kern w:val="0"/>
          <w:sz w:val="21"/>
          <w:szCs w:val="20"/>
          <w:highlight w:val="none"/>
        </w:rPr>
        <w:t>向</w:t>
      </w:r>
      <w:r>
        <w:rPr>
          <w:rFonts w:hint="eastAsia" w:ascii="宋体" w:hAnsi="宋体" w:eastAsia="宋体" w:cs="宋体"/>
          <w:color w:val="auto"/>
          <w:kern w:val="0"/>
          <w:sz w:val="21"/>
          <w:szCs w:val="20"/>
          <w:highlight w:val="none"/>
          <w:lang w:val="en-US" w:eastAsia="zh-CN"/>
        </w:rPr>
        <w:t>乙方</w:t>
      </w:r>
      <w:r>
        <w:rPr>
          <w:rFonts w:hint="eastAsia" w:ascii="宋体" w:hAnsi="宋体" w:eastAsia="宋体" w:cs="宋体"/>
          <w:color w:val="auto"/>
          <w:kern w:val="0"/>
          <w:sz w:val="21"/>
          <w:szCs w:val="20"/>
          <w:highlight w:val="none"/>
        </w:rPr>
        <w:t xml:space="preserve">支付合同总价的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%；项目履约完成，经</w:t>
      </w:r>
      <w:r>
        <w:rPr>
          <w:rFonts w:hint="eastAsia" w:ascii="宋体" w:hAnsi="宋体" w:eastAsia="宋体" w:cs="宋体"/>
          <w:color w:val="auto"/>
          <w:kern w:val="0"/>
          <w:sz w:val="21"/>
          <w:szCs w:val="20"/>
          <w:highlight w:val="none"/>
          <w:lang w:val="en-US" w:eastAsia="zh-CN"/>
        </w:rPr>
        <w:t>甲方</w:t>
      </w:r>
      <w:r>
        <w:rPr>
          <w:rFonts w:hint="eastAsia" w:ascii="宋体" w:hAnsi="宋体" w:eastAsia="宋体" w:cs="宋体"/>
          <w:color w:val="auto"/>
          <w:kern w:val="0"/>
          <w:sz w:val="21"/>
          <w:szCs w:val="20"/>
          <w:highlight w:val="none"/>
        </w:rPr>
        <w:t>验收合格后，收到发票后7个工作日内，甲方</w:t>
      </w:r>
      <w:r>
        <w:rPr>
          <w:rFonts w:hint="eastAsia" w:ascii="宋体" w:hAnsi="宋体" w:eastAsia="宋体" w:cs="宋体"/>
          <w:color w:val="auto"/>
          <w:kern w:val="0"/>
          <w:sz w:val="21"/>
          <w:szCs w:val="20"/>
          <w:highlight w:val="none"/>
          <w:lang w:eastAsia="zh-CN"/>
        </w:rPr>
        <w:t>按实结清分成费用</w:t>
      </w:r>
      <w:r>
        <w:rPr>
          <w:rFonts w:hint="eastAsia" w:ascii="宋体" w:hAnsi="宋体" w:eastAsia="宋体" w:cs="宋体"/>
          <w:color w:val="auto"/>
          <w:kern w:val="0"/>
          <w:sz w:val="21"/>
          <w:szCs w:val="20"/>
          <w:highlight w:val="none"/>
        </w:rPr>
        <w:t>。</w:t>
      </w:r>
    </w:p>
    <w:p w14:paraId="4C94265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②在签订合同时，乙方明确表示主动要求降低预付款比例的，可降低预付款比例（预付款保函同步调整）。</w:t>
      </w:r>
    </w:p>
    <w:p w14:paraId="7E265A5B">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（2）签订合同时乙方明确表示无需预付款或乙方为大型企业的，可以采用以下付款方式：</w:t>
      </w:r>
    </w:p>
    <w:p w14:paraId="3C33857C">
      <w:pPr>
        <w:spacing w:line="288" w:lineRule="auto"/>
        <w:ind w:firstLine="420" w:firstLineChars="200"/>
        <w:rPr>
          <w:rFonts w:hint="eastAsia" w:ascii="宋体" w:hAnsi="宋体" w:eastAsia="宋体" w:cs="宋体"/>
          <w:b w:val="0"/>
          <w:bCs/>
          <w:color w:val="auto"/>
          <w:kern w:val="0"/>
          <w:sz w:val="21"/>
          <w:szCs w:val="20"/>
          <w:highlight w:val="none"/>
        </w:rPr>
      </w:pPr>
      <w:r>
        <w:rPr>
          <w:rFonts w:hint="eastAsia" w:ascii="宋体" w:hAnsi="宋体" w:eastAsia="宋体" w:cs="宋体"/>
          <w:b w:val="0"/>
          <w:bCs/>
          <w:color w:val="auto"/>
          <w:kern w:val="0"/>
          <w:sz w:val="21"/>
          <w:szCs w:val="20"/>
          <w:highlight w:val="none"/>
        </w:rPr>
        <w:t>①一次性付款：服务结束，</w:t>
      </w:r>
      <w:r>
        <w:rPr>
          <w:rFonts w:hint="eastAsia" w:ascii="宋体" w:hAnsi="宋体" w:eastAsia="宋体" w:cs="宋体"/>
          <w:b w:val="0"/>
          <w:bCs/>
          <w:color w:val="auto"/>
          <w:kern w:val="0"/>
          <w:sz w:val="21"/>
          <w:szCs w:val="20"/>
          <w:highlight w:val="none"/>
          <w:lang w:val="en-US" w:eastAsia="zh-CN"/>
        </w:rPr>
        <w:t>甲方</w:t>
      </w:r>
      <w:r>
        <w:rPr>
          <w:rFonts w:hint="eastAsia" w:ascii="宋体" w:hAnsi="宋体" w:eastAsia="宋体" w:cs="宋体"/>
          <w:b w:val="0"/>
          <w:bCs/>
          <w:color w:val="auto"/>
          <w:kern w:val="0"/>
          <w:sz w:val="21"/>
          <w:szCs w:val="20"/>
          <w:highlight w:val="none"/>
        </w:rPr>
        <w:t>验收合格并收到发票后10个工作日内，采购人向供应商支付全部合同价款。</w:t>
      </w:r>
    </w:p>
    <w:p w14:paraId="4C63FD70">
      <w:pPr>
        <w:spacing w:line="288" w:lineRule="auto"/>
        <w:ind w:firstLine="420" w:firstLineChars="200"/>
        <w:rPr>
          <w:rFonts w:ascii="宋体" w:hAnsi="宋体" w:eastAsia="宋体" w:cs="宋体"/>
          <w:b w:val="0"/>
          <w:bCs/>
          <w:color w:val="auto"/>
          <w:kern w:val="0"/>
          <w:sz w:val="21"/>
          <w:szCs w:val="20"/>
          <w:highlight w:val="none"/>
        </w:rPr>
      </w:pPr>
      <w:r>
        <w:rPr>
          <w:rFonts w:hint="eastAsia" w:ascii="宋体" w:hAnsi="宋体" w:eastAsia="宋体" w:cs="宋体"/>
          <w:b w:val="0"/>
          <w:bCs/>
          <w:color w:val="auto"/>
          <w:kern w:val="0"/>
          <w:sz w:val="21"/>
          <w:szCs w:val="20"/>
          <w:highlight w:val="none"/>
        </w:rPr>
        <w:t>②分期付款：业务收入的确认周期为每季度结算一次，每年1月、4月、7月、10月双方进行上一周期</w:t>
      </w:r>
      <w:r>
        <w:rPr>
          <w:rFonts w:hint="eastAsia" w:ascii="宋体" w:hAnsi="宋体" w:eastAsia="宋体" w:cs="宋体"/>
          <w:b w:val="0"/>
          <w:bCs/>
          <w:color w:val="auto"/>
          <w:kern w:val="0"/>
          <w:sz w:val="21"/>
          <w:szCs w:val="20"/>
          <w:highlight w:val="none"/>
          <w:lang w:eastAsia="zh-CN"/>
        </w:rPr>
        <w:t>分成费用</w:t>
      </w:r>
      <w:r>
        <w:rPr>
          <w:rFonts w:hint="eastAsia" w:ascii="宋体" w:hAnsi="宋体" w:eastAsia="宋体" w:cs="宋体"/>
          <w:b w:val="0"/>
          <w:bCs/>
          <w:color w:val="auto"/>
          <w:kern w:val="0"/>
          <w:sz w:val="21"/>
          <w:szCs w:val="20"/>
          <w:highlight w:val="none"/>
        </w:rPr>
        <w:t>核算。其中1月10日前的费用核算为上一年度10月1日至12月31日期间的分成费用；4月10日前的费用核算为本年度1月1日至3月31日期间的分成费用；7月10日前的费用核算为本年度4月1日至6月30日期间的分成费用；10月10日前的费用核算为本年度7月1日至9月30日期间的分成费用。双方核算确认后，</w:t>
      </w:r>
      <w:r>
        <w:rPr>
          <w:rFonts w:hint="eastAsia" w:ascii="宋体" w:hAnsi="宋体" w:eastAsia="宋体" w:cs="宋体"/>
          <w:b w:val="0"/>
          <w:bCs/>
          <w:color w:val="auto"/>
          <w:kern w:val="0"/>
          <w:sz w:val="21"/>
          <w:szCs w:val="20"/>
          <w:highlight w:val="none"/>
          <w:lang w:val="en-US" w:eastAsia="zh-CN"/>
        </w:rPr>
        <w:t>乙方</w:t>
      </w:r>
      <w:r>
        <w:rPr>
          <w:rFonts w:hint="eastAsia" w:ascii="宋体" w:hAnsi="宋体" w:eastAsia="宋体" w:cs="宋体"/>
          <w:b w:val="0"/>
          <w:bCs/>
          <w:color w:val="auto"/>
          <w:kern w:val="0"/>
          <w:sz w:val="21"/>
          <w:szCs w:val="20"/>
          <w:highlight w:val="none"/>
        </w:rPr>
        <w:t>应向</w:t>
      </w:r>
      <w:r>
        <w:rPr>
          <w:rFonts w:hint="eastAsia" w:ascii="宋体" w:hAnsi="宋体" w:eastAsia="宋体" w:cs="宋体"/>
          <w:b w:val="0"/>
          <w:bCs/>
          <w:color w:val="auto"/>
          <w:kern w:val="0"/>
          <w:sz w:val="21"/>
          <w:szCs w:val="20"/>
          <w:highlight w:val="none"/>
          <w:lang w:val="en-US" w:eastAsia="zh-CN"/>
        </w:rPr>
        <w:t>甲方</w:t>
      </w:r>
      <w:r>
        <w:rPr>
          <w:rFonts w:hint="eastAsia" w:ascii="宋体" w:hAnsi="宋体" w:eastAsia="宋体" w:cs="宋体"/>
          <w:b w:val="0"/>
          <w:bCs/>
          <w:color w:val="auto"/>
          <w:kern w:val="0"/>
          <w:sz w:val="21"/>
          <w:szCs w:val="20"/>
          <w:highlight w:val="none"/>
        </w:rPr>
        <w:t>出具相应金额的增值税专用发票，</w:t>
      </w:r>
      <w:r>
        <w:rPr>
          <w:rFonts w:hint="eastAsia" w:ascii="宋体" w:hAnsi="宋体" w:eastAsia="宋体" w:cs="宋体"/>
          <w:b w:val="0"/>
          <w:bCs/>
          <w:color w:val="auto"/>
          <w:kern w:val="0"/>
          <w:sz w:val="21"/>
          <w:szCs w:val="20"/>
          <w:highlight w:val="none"/>
          <w:lang w:val="en-US" w:eastAsia="zh-CN"/>
        </w:rPr>
        <w:t>甲方</w:t>
      </w:r>
      <w:r>
        <w:rPr>
          <w:rFonts w:hint="eastAsia" w:ascii="宋体" w:hAnsi="宋体" w:eastAsia="宋体" w:cs="宋体"/>
          <w:b w:val="0"/>
          <w:bCs/>
          <w:color w:val="auto"/>
          <w:kern w:val="0"/>
          <w:sz w:val="21"/>
          <w:szCs w:val="20"/>
          <w:highlight w:val="none"/>
        </w:rPr>
        <w:t>在收到发票后10个工作日内向</w:t>
      </w:r>
      <w:r>
        <w:rPr>
          <w:rFonts w:hint="eastAsia" w:ascii="宋体" w:hAnsi="宋体" w:eastAsia="宋体" w:cs="宋体"/>
          <w:b w:val="0"/>
          <w:bCs/>
          <w:color w:val="auto"/>
          <w:kern w:val="0"/>
          <w:sz w:val="21"/>
          <w:szCs w:val="20"/>
          <w:highlight w:val="none"/>
          <w:lang w:val="en-US" w:eastAsia="zh-CN"/>
        </w:rPr>
        <w:t>乙方</w:t>
      </w:r>
      <w:r>
        <w:rPr>
          <w:rFonts w:hint="eastAsia" w:ascii="宋体" w:hAnsi="宋体" w:eastAsia="宋体" w:cs="宋体"/>
          <w:b w:val="0"/>
          <w:bCs/>
          <w:color w:val="auto"/>
          <w:kern w:val="0"/>
          <w:sz w:val="21"/>
          <w:szCs w:val="20"/>
          <w:highlight w:val="none"/>
        </w:rPr>
        <w:t>支付当期</w:t>
      </w:r>
      <w:r>
        <w:rPr>
          <w:rFonts w:hint="eastAsia" w:ascii="宋体" w:hAnsi="宋体" w:eastAsia="宋体" w:cs="宋体"/>
          <w:b w:val="0"/>
          <w:bCs/>
          <w:color w:val="auto"/>
          <w:kern w:val="0"/>
          <w:sz w:val="21"/>
          <w:szCs w:val="20"/>
          <w:highlight w:val="none"/>
          <w:lang w:eastAsia="zh-CN"/>
        </w:rPr>
        <w:t>分成费用</w:t>
      </w:r>
      <w:r>
        <w:rPr>
          <w:rFonts w:hint="eastAsia" w:ascii="宋体" w:hAnsi="宋体" w:eastAsia="宋体" w:cs="宋体"/>
          <w:b w:val="0"/>
          <w:bCs/>
          <w:color w:val="auto"/>
          <w:kern w:val="0"/>
          <w:sz w:val="21"/>
          <w:szCs w:val="20"/>
          <w:highlight w:val="none"/>
        </w:rPr>
        <w:t>总额的100%。</w:t>
      </w:r>
    </w:p>
    <w:p w14:paraId="36CAB95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（3）付款前，乙方须交纳合同约定的履约保证金（如有）并提供甲方财务处开具的履约保证金收据，乙方向甲方开具等额有效的合格增值税发票。</w:t>
      </w:r>
    </w:p>
    <w:p w14:paraId="13C45A9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开票信息如下：</w:t>
      </w:r>
    </w:p>
    <w:p w14:paraId="4EED3F7E">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单位名称：杭州电子科技大学。税号：12330000470009026T</w:t>
      </w:r>
    </w:p>
    <w:p w14:paraId="4390165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开户银行：工行杭州高新支行。账号：1202026209008806216</w:t>
      </w:r>
    </w:p>
    <w:p w14:paraId="2F8164F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五、双方权利与义务：</w:t>
      </w:r>
    </w:p>
    <w:p w14:paraId="20A06C7F">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（按采购文件及采购结果填写，如有）</w:t>
      </w:r>
    </w:p>
    <w:p w14:paraId="3C081DD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六、知识产权要求</w:t>
      </w:r>
    </w:p>
    <w:p w14:paraId="54E1004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E61377A">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66E7713A">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七、转包或分包</w:t>
      </w:r>
    </w:p>
    <w:p w14:paraId="621C1422">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本合同范围的货物，应由乙方直接供应，不得转让他人供应。</w:t>
      </w:r>
    </w:p>
    <w:p w14:paraId="3ADF2359">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除非得到甲方的书面同意，乙方不得将本合同范围的货物分包给他人供应。</w:t>
      </w:r>
    </w:p>
    <w:p w14:paraId="35FC3A12">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如有转让或未经甲方同意的分包行为，甲方有权解除合同，没收履约保证金并追究乙方的违约责任。</w:t>
      </w:r>
    </w:p>
    <w:p w14:paraId="06CAA591">
      <w:pPr>
        <w:spacing w:line="288" w:lineRule="auto"/>
        <w:ind w:firstLine="420" w:firstLineChars="200"/>
        <w:rPr>
          <w:rFonts w:ascii="宋体" w:hAnsi="宋体" w:eastAsia="宋体" w:cs="宋体"/>
          <w:color w:val="auto"/>
          <w:kern w:val="0"/>
          <w:sz w:val="21"/>
          <w:szCs w:val="20"/>
          <w:highlight w:val="none"/>
        </w:rPr>
      </w:pPr>
      <w:bookmarkStart w:id="54" w:name="_Hlk155173514"/>
      <w:r>
        <w:rPr>
          <w:rFonts w:hint="eastAsia" w:ascii="宋体" w:hAnsi="宋体" w:eastAsia="宋体" w:cs="宋体"/>
          <w:color w:val="auto"/>
          <w:kern w:val="0"/>
          <w:sz w:val="21"/>
          <w:szCs w:val="20"/>
          <w:highlight w:val="none"/>
        </w:rPr>
        <w:t>八、</w:t>
      </w:r>
      <w:bookmarkEnd w:id="54"/>
      <w:r>
        <w:rPr>
          <w:rFonts w:hint="eastAsia" w:ascii="宋体" w:hAnsi="宋体" w:eastAsia="宋体" w:cs="宋体"/>
          <w:color w:val="auto"/>
          <w:kern w:val="0"/>
          <w:sz w:val="21"/>
          <w:szCs w:val="20"/>
          <w:highlight w:val="none"/>
        </w:rPr>
        <w:t>验收</w:t>
      </w:r>
    </w:p>
    <w:p w14:paraId="4172445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1.验收前乙方应对所提供服务作出全面检查及对验收文件进行整理，并列出清单，作为甲方验收和使用的技术条件依据，检验的结果应交甲方。</w:t>
      </w:r>
    </w:p>
    <w:p w14:paraId="68854DF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2.如甲方需要，验收时乙方应在现场，验收完毕后作出验收结果报告。 </w:t>
      </w:r>
    </w:p>
    <w:p w14:paraId="5C036FD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rPr>
        <w:t xml:space="preserve">    </w:t>
      </w:r>
      <w:r>
        <w:rPr>
          <w:rFonts w:hint="eastAsia" w:ascii="宋体" w:hAnsi="宋体" w:eastAsia="宋体" w:cs="宋体"/>
          <w:color w:val="auto"/>
          <w:kern w:val="0"/>
          <w:sz w:val="21"/>
          <w:szCs w:val="20"/>
          <w:highlight w:val="none"/>
        </w:rPr>
        <w:t>个工作日内开始验收。</w:t>
      </w:r>
    </w:p>
    <w:p w14:paraId="2CF5E455">
      <w:pPr>
        <w:spacing w:line="288" w:lineRule="auto"/>
        <w:ind w:firstLine="420" w:firstLineChars="200"/>
        <w:rPr>
          <w:rFonts w:ascii="宋体" w:hAnsi="宋体" w:eastAsia="宋体" w:cs="宋体"/>
          <w:strike/>
          <w:color w:val="auto"/>
          <w:kern w:val="0"/>
          <w:sz w:val="21"/>
          <w:szCs w:val="20"/>
          <w:highlight w:val="none"/>
        </w:rPr>
      </w:pPr>
      <w:r>
        <w:rPr>
          <w:rFonts w:hint="eastAsia" w:ascii="宋体" w:hAnsi="宋体" w:eastAsia="宋体" w:cs="宋体"/>
          <w:color w:val="auto"/>
          <w:kern w:val="0"/>
          <w:sz w:val="21"/>
          <w:szCs w:val="20"/>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253C37A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九、质量保证与售后服务</w:t>
      </w:r>
    </w:p>
    <w:p w14:paraId="5140EF6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3021A0F3">
      <w:pPr>
        <w:spacing w:line="288" w:lineRule="auto"/>
        <w:ind w:firstLine="420" w:firstLineChars="200"/>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63A2940D">
      <w:pPr>
        <w:spacing w:line="288" w:lineRule="auto"/>
        <w:ind w:firstLine="420" w:firstLineChars="200"/>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3.质量保证期内，乙方对本项目所含货物类产品免费提供维护、维修或更换，包括设备维修所需的零配件及不能解决的故障需要返回生产厂家维修时所发生的一切费用。</w:t>
      </w:r>
    </w:p>
    <w:p w14:paraId="102806F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十、保密条款</w:t>
      </w:r>
    </w:p>
    <w:p w14:paraId="4052696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1A3898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十一、违约责任</w:t>
      </w:r>
    </w:p>
    <w:p w14:paraId="4552F9DB">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甲方逾期支付款项的，每逾期一日，应按逾期付款总额</w:t>
      </w:r>
      <w:r>
        <w:rPr>
          <w:rFonts w:hint="eastAsia" w:ascii="宋体" w:hAnsi="宋体" w:eastAsia="宋体" w:cs="宋体"/>
          <w:color w:val="auto"/>
          <w:kern w:val="0"/>
          <w:sz w:val="21"/>
          <w:szCs w:val="20"/>
          <w:highlight w:val="none"/>
          <w:u w:val="single"/>
        </w:rPr>
        <w:t>千分之一</w:t>
      </w:r>
      <w:r>
        <w:rPr>
          <w:rFonts w:hint="eastAsia" w:ascii="宋体" w:hAnsi="宋体" w:eastAsia="宋体" w:cs="宋体"/>
          <w:color w:val="auto"/>
          <w:kern w:val="0"/>
          <w:sz w:val="21"/>
          <w:szCs w:val="20"/>
          <w:highlight w:val="none"/>
        </w:rPr>
        <w:t>向乙方支付违约金。</w:t>
      </w:r>
    </w:p>
    <w:p w14:paraId="6437AC12">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乙方逾期履行合同的，每逾期一日，应按合同总价</w:t>
      </w:r>
      <w:r>
        <w:rPr>
          <w:rFonts w:hint="eastAsia" w:ascii="宋体" w:hAnsi="宋体" w:eastAsia="宋体" w:cs="宋体"/>
          <w:color w:val="auto"/>
          <w:kern w:val="0"/>
          <w:sz w:val="21"/>
          <w:szCs w:val="20"/>
          <w:highlight w:val="none"/>
          <w:u w:val="single"/>
        </w:rPr>
        <w:t>千分之一</w:t>
      </w:r>
      <w:r>
        <w:rPr>
          <w:rFonts w:hint="eastAsia" w:ascii="宋体" w:hAnsi="宋体" w:eastAsia="宋体" w:cs="宋体"/>
          <w:color w:val="auto"/>
          <w:kern w:val="0"/>
          <w:sz w:val="21"/>
          <w:szCs w:val="20"/>
          <w:highlight w:val="none"/>
        </w:rPr>
        <w:t>向甲方支付违约金。累计逾期超过约定日期</w:t>
      </w:r>
      <w:r>
        <w:rPr>
          <w:rFonts w:hint="eastAsia" w:ascii="宋体" w:hAnsi="宋体" w:eastAsia="宋体" w:cs="宋体"/>
          <w:color w:val="auto"/>
          <w:kern w:val="0"/>
          <w:sz w:val="21"/>
          <w:szCs w:val="20"/>
          <w:highlight w:val="none"/>
          <w:u w:val="single"/>
        </w:rPr>
        <w:t xml:space="preserve"> 10 </w:t>
      </w:r>
      <w:r>
        <w:rPr>
          <w:rFonts w:hint="eastAsia" w:ascii="宋体" w:hAnsi="宋体" w:eastAsia="宋体" w:cs="宋体"/>
          <w:color w:val="auto"/>
          <w:kern w:val="0"/>
          <w:sz w:val="21"/>
          <w:szCs w:val="20"/>
          <w:highlight w:val="none"/>
        </w:rPr>
        <w:t>个工作日的，甲方有权解除本合同，乙方应向</w:t>
      </w:r>
      <w:r>
        <w:rPr>
          <w:rFonts w:hint="eastAsia" w:ascii="宋体" w:hAnsi="宋体" w:eastAsia="宋体" w:cs="宋体"/>
          <w:color w:val="auto"/>
          <w:spacing w:val="-6"/>
          <w:kern w:val="0"/>
          <w:sz w:val="21"/>
          <w:szCs w:val="20"/>
          <w:highlight w:val="none"/>
        </w:rPr>
        <w:t>甲方返还全部已支付价款，并按合同总价的</w:t>
      </w:r>
      <w:r>
        <w:rPr>
          <w:rFonts w:hint="eastAsia" w:ascii="宋体" w:hAnsi="宋体" w:eastAsia="宋体" w:cs="宋体"/>
          <w:color w:val="auto"/>
          <w:kern w:val="0"/>
          <w:sz w:val="21"/>
          <w:szCs w:val="20"/>
          <w:highlight w:val="none"/>
          <w:u w:val="single"/>
        </w:rPr>
        <w:t>5 %</w:t>
      </w:r>
      <w:r>
        <w:rPr>
          <w:rFonts w:hint="eastAsia" w:ascii="宋体" w:hAnsi="宋体" w:eastAsia="宋体" w:cs="宋体"/>
          <w:color w:val="auto"/>
          <w:spacing w:val="-6"/>
          <w:kern w:val="0"/>
          <w:sz w:val="21"/>
          <w:szCs w:val="20"/>
          <w:highlight w:val="none"/>
        </w:rPr>
        <w:t>向甲方支付违约金，</w:t>
      </w:r>
      <w:r>
        <w:rPr>
          <w:rFonts w:hint="eastAsia" w:ascii="宋体" w:hAnsi="宋体" w:eastAsia="宋体" w:cs="宋体"/>
          <w:color w:val="auto"/>
          <w:kern w:val="0"/>
          <w:sz w:val="21"/>
          <w:szCs w:val="20"/>
          <w:highlight w:val="none"/>
        </w:rPr>
        <w:t>违约金不足以弥补甲方损失的，乙方还应向</w:t>
      </w:r>
      <w:r>
        <w:rPr>
          <w:rFonts w:hint="eastAsia" w:ascii="宋体" w:hAnsi="宋体" w:eastAsia="宋体" w:cs="宋体"/>
          <w:color w:val="auto"/>
          <w:spacing w:val="-6"/>
          <w:kern w:val="0"/>
          <w:sz w:val="21"/>
          <w:szCs w:val="20"/>
          <w:highlight w:val="none"/>
        </w:rPr>
        <w:t>甲方赔偿遭受的全部损失。</w:t>
      </w:r>
      <w:r>
        <w:rPr>
          <w:rFonts w:hint="eastAsia" w:ascii="宋体" w:hAnsi="宋体" w:eastAsia="宋体" w:cs="宋体"/>
          <w:color w:val="auto"/>
          <w:kern w:val="0"/>
          <w:sz w:val="21"/>
          <w:szCs w:val="20"/>
          <w:highlight w:val="none"/>
        </w:rPr>
        <w:t xml:space="preserve"> </w:t>
      </w:r>
    </w:p>
    <w:p w14:paraId="53D27B4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rPr>
        <w:t>5 %</w:t>
      </w:r>
      <w:r>
        <w:rPr>
          <w:rFonts w:hint="eastAsia" w:ascii="宋体" w:hAnsi="宋体" w:eastAsia="宋体" w:cs="宋体"/>
          <w:color w:val="auto"/>
          <w:kern w:val="0"/>
          <w:sz w:val="21"/>
          <w:szCs w:val="20"/>
          <w:highlight w:val="none"/>
        </w:rPr>
        <w:t>向甲方支付违约金，违约金不足以弥补甲方损失的，乙方还应向甲方赔偿遭受的全部损失。</w:t>
      </w:r>
    </w:p>
    <w:p w14:paraId="25DABB7A">
      <w:pPr>
        <w:spacing w:line="288" w:lineRule="auto"/>
        <w:ind w:firstLine="420" w:firstLineChars="200"/>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4.</w:t>
      </w:r>
      <w:r>
        <w:rPr>
          <w:rFonts w:hint="eastAsia" w:ascii="宋体" w:hAnsi="宋体" w:eastAsia="宋体" w:cs="宋体"/>
          <w:color w:val="auto"/>
          <w:spacing w:val="-6"/>
          <w:kern w:val="0"/>
          <w:sz w:val="21"/>
          <w:szCs w:val="20"/>
          <w:highlight w:val="none"/>
        </w:rPr>
        <w:t>服务期内乙方未在约定时间内作出服务响应的，</w:t>
      </w:r>
      <w:r>
        <w:rPr>
          <w:rFonts w:hint="eastAsia" w:ascii="宋体" w:hAnsi="宋体" w:eastAsia="宋体" w:cs="宋体"/>
          <w:color w:val="auto"/>
          <w:kern w:val="0"/>
          <w:sz w:val="21"/>
          <w:szCs w:val="20"/>
          <w:highlight w:val="none"/>
        </w:rPr>
        <w:t>每发生一次应向甲方支付</w:t>
      </w:r>
      <w:r>
        <w:rPr>
          <w:rFonts w:hint="eastAsia" w:ascii="宋体" w:hAnsi="宋体" w:eastAsia="宋体" w:cs="宋体"/>
          <w:color w:val="auto"/>
          <w:kern w:val="0"/>
          <w:sz w:val="21"/>
          <w:szCs w:val="20"/>
          <w:highlight w:val="none"/>
          <w:u w:val="single"/>
        </w:rPr>
        <w:t>1000</w:t>
      </w:r>
      <w:r>
        <w:rPr>
          <w:rFonts w:hint="eastAsia" w:ascii="宋体" w:hAnsi="宋体" w:eastAsia="宋体" w:cs="宋体"/>
          <w:color w:val="auto"/>
          <w:kern w:val="0"/>
          <w:sz w:val="21"/>
          <w:szCs w:val="20"/>
          <w:highlight w:val="none"/>
        </w:rPr>
        <w:t>元的违约金，</w:t>
      </w:r>
      <w:r>
        <w:rPr>
          <w:rFonts w:hint="eastAsia" w:ascii="宋体" w:hAnsi="宋体" w:eastAsia="宋体" w:cs="宋体"/>
          <w:color w:val="auto"/>
          <w:spacing w:val="-6"/>
          <w:kern w:val="0"/>
          <w:sz w:val="21"/>
          <w:szCs w:val="20"/>
          <w:highlight w:val="none"/>
        </w:rPr>
        <w:t>甲方有权委托第三方提供服务，</w:t>
      </w:r>
      <w:r>
        <w:rPr>
          <w:rFonts w:hint="eastAsia" w:ascii="宋体" w:hAnsi="宋体" w:eastAsia="宋体" w:cs="宋体"/>
          <w:color w:val="auto"/>
          <w:kern w:val="0"/>
          <w:sz w:val="21"/>
          <w:szCs w:val="20"/>
          <w:highlight w:val="none"/>
        </w:rPr>
        <w:t>所产生的费用由乙方承担。</w:t>
      </w:r>
    </w:p>
    <w:p w14:paraId="19B88B9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2BE75EA">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十二、不可抗力</w:t>
      </w:r>
    </w:p>
    <w:p w14:paraId="3ACE49D3">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在合同有效期内，任何一方因不可抗力事件导致不能履行合同，则合同履行期可延长，其延长期与不可抗力影响期相同。</w:t>
      </w:r>
    </w:p>
    <w:p w14:paraId="73EEA2CE">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本条所述的“不可抗力”系指双方不可预见、不可避免、不可克服的事件。</w:t>
      </w:r>
    </w:p>
    <w:p w14:paraId="24D75FE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不可抗力事件发生后，受不可抗力事件影响的一方应在事件发生后3日内立即通知对方，并寄送有关权威机构出具的证明。同时应立即尽一切合理努力采取措施，消除影响，减少损失。</w:t>
      </w:r>
    </w:p>
    <w:p w14:paraId="3DF5379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4.不可抗力事件延续30天以上，双方应通过友好协商，确定是否继续履行合同。</w:t>
      </w:r>
    </w:p>
    <w:p w14:paraId="3F70F5F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十三、法律适用与争议解决</w:t>
      </w:r>
    </w:p>
    <w:p w14:paraId="6CC95D0E">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本合同的订立、解释、履行及争议解决，均适用中华人民共和国法律。</w:t>
      </w:r>
    </w:p>
    <w:p w14:paraId="0E4DD919">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本合同履行过程中发生争议的，甲乙双方应友好协商；协商不成的，任何一方可向甲方所在地人民法院起诉。</w:t>
      </w:r>
    </w:p>
    <w:p w14:paraId="29E9214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十四、合同生效及其他</w:t>
      </w:r>
    </w:p>
    <w:p w14:paraId="7E2D441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本合同经甲、乙双方代表签字并加盖单位公章或合同专用章后生效，甲方的单位公章盖采购中心合同专用章（其它部门公章无效）。</w:t>
      </w:r>
    </w:p>
    <w:p w14:paraId="46227B9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bookmarkStart w:id="55" w:name="_Hlk154756484"/>
      <w:r>
        <w:rPr>
          <w:rFonts w:hint="eastAsia" w:ascii="宋体" w:hAnsi="宋体" w:eastAsia="宋体" w:cs="宋体"/>
          <w:color w:val="auto"/>
          <w:kern w:val="0"/>
          <w:sz w:val="21"/>
          <w:szCs w:val="20"/>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55"/>
    <w:p w14:paraId="080498D6">
      <w:pPr>
        <w:spacing w:line="288" w:lineRule="auto"/>
        <w:ind w:firstLine="396" w:firstLineChars="200"/>
        <w:rPr>
          <w:rFonts w:ascii="宋体" w:hAnsi="宋体" w:eastAsia="宋体" w:cs="宋体"/>
          <w:color w:val="auto"/>
          <w:kern w:val="0"/>
          <w:sz w:val="21"/>
          <w:szCs w:val="20"/>
          <w:highlight w:val="none"/>
          <w:lang w:val="zh-CN"/>
        </w:rPr>
      </w:pPr>
      <w:bookmarkStart w:id="56" w:name="_Hlk154756502"/>
      <w:r>
        <w:rPr>
          <w:rFonts w:hint="eastAsia" w:ascii="宋体" w:hAnsi="宋体" w:eastAsia="宋体" w:cs="宋体"/>
          <w:color w:val="auto"/>
          <w:spacing w:val="-6"/>
          <w:kern w:val="0"/>
          <w:sz w:val="21"/>
          <w:szCs w:val="20"/>
          <w:highlight w:val="none"/>
        </w:rPr>
        <w:t>3.</w:t>
      </w:r>
      <w:bookmarkEnd w:id="56"/>
      <w:r>
        <w:rPr>
          <w:rFonts w:hint="eastAsia" w:ascii="宋体" w:hAnsi="宋体" w:eastAsia="宋体" w:cs="宋体"/>
          <w:color w:val="auto"/>
          <w:kern w:val="0"/>
          <w:sz w:val="21"/>
          <w:szCs w:val="20"/>
          <w:highlight w:val="none"/>
        </w:rPr>
        <w:t>本次采购过程中形成的招标（非招标）</w:t>
      </w:r>
      <w:r>
        <w:rPr>
          <w:rFonts w:hint="eastAsia" w:ascii="宋体" w:hAnsi="宋体" w:eastAsia="宋体" w:cs="宋体"/>
          <w:color w:val="auto"/>
          <w:kern w:val="0"/>
          <w:sz w:val="21"/>
          <w:szCs w:val="20"/>
          <w:highlight w:val="none"/>
          <w:lang w:val="zh-CN"/>
        </w:rPr>
        <w:t>文件</w:t>
      </w:r>
      <w:r>
        <w:rPr>
          <w:rFonts w:hint="eastAsia" w:ascii="宋体" w:hAnsi="宋体" w:eastAsia="宋体" w:cs="宋体"/>
          <w:color w:val="auto"/>
          <w:kern w:val="0"/>
          <w:sz w:val="21"/>
          <w:szCs w:val="20"/>
          <w:highlight w:val="none"/>
        </w:rPr>
        <w:t>、投标（响应）文件、澄清承诺、补充协议、附件等</w:t>
      </w:r>
      <w:r>
        <w:rPr>
          <w:rFonts w:hint="eastAsia" w:ascii="宋体" w:hAnsi="宋体" w:eastAsia="宋体" w:cs="宋体"/>
          <w:color w:val="auto"/>
          <w:kern w:val="0"/>
          <w:sz w:val="21"/>
          <w:szCs w:val="20"/>
          <w:highlight w:val="none"/>
          <w:lang w:val="zh-CN"/>
        </w:rPr>
        <w:t>为本合同的组成部分，并构成一个整体，需综合解释、相互补充。如果</w:t>
      </w:r>
      <w:r>
        <w:rPr>
          <w:rFonts w:hint="eastAsia" w:ascii="宋体" w:hAnsi="宋体" w:eastAsia="宋体" w:cs="宋体"/>
          <w:color w:val="auto"/>
          <w:kern w:val="0"/>
          <w:sz w:val="21"/>
          <w:szCs w:val="20"/>
          <w:highlight w:val="none"/>
        </w:rPr>
        <w:t>上述</w:t>
      </w:r>
      <w:r>
        <w:rPr>
          <w:rFonts w:hint="eastAsia" w:ascii="宋体" w:hAnsi="宋体" w:eastAsia="宋体" w:cs="宋体"/>
          <w:color w:val="auto"/>
          <w:kern w:val="0"/>
          <w:sz w:val="21"/>
          <w:szCs w:val="20"/>
          <w:highlight w:val="none"/>
          <w:lang w:val="zh-CN"/>
        </w:rPr>
        <w:t>文件内容出现不一致的情形，那么在保证按照采购文件确定的事项的前提下，组成本合同的多个文件的优先适用顺序如下：</w:t>
      </w:r>
    </w:p>
    <w:p w14:paraId="5696C577">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lang w:val="zh-CN"/>
        </w:rPr>
        <w:t>（1）本合同及其补充合同、变更协议；</w:t>
      </w:r>
    </w:p>
    <w:p w14:paraId="7DA5AB81">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（2）中标（成交）</w:t>
      </w:r>
      <w:r>
        <w:rPr>
          <w:rFonts w:hint="eastAsia" w:ascii="宋体" w:hAnsi="宋体" w:eastAsia="宋体" w:cs="宋体"/>
          <w:color w:val="auto"/>
          <w:kern w:val="0"/>
          <w:sz w:val="21"/>
          <w:szCs w:val="20"/>
          <w:highlight w:val="none"/>
          <w:lang w:val="zh-CN"/>
        </w:rPr>
        <w:t>通知书；</w:t>
      </w:r>
    </w:p>
    <w:p w14:paraId="5E3FAC66">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（3）投标（</w:t>
      </w:r>
      <w:r>
        <w:rPr>
          <w:rFonts w:hint="eastAsia" w:ascii="宋体" w:hAnsi="宋体" w:eastAsia="宋体" w:cs="宋体"/>
          <w:color w:val="auto"/>
          <w:kern w:val="0"/>
          <w:sz w:val="21"/>
          <w:szCs w:val="20"/>
          <w:highlight w:val="none"/>
          <w:lang w:val="zh-CN"/>
        </w:rPr>
        <w:t>响应）文件（含澄清或者说明文件）；</w:t>
      </w:r>
    </w:p>
    <w:p w14:paraId="49B45D3B">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（4）招标（非招标）</w:t>
      </w:r>
      <w:r>
        <w:rPr>
          <w:rFonts w:hint="eastAsia" w:ascii="宋体" w:hAnsi="宋体" w:eastAsia="宋体" w:cs="宋体"/>
          <w:color w:val="auto"/>
          <w:kern w:val="0"/>
          <w:sz w:val="21"/>
          <w:szCs w:val="20"/>
          <w:highlight w:val="none"/>
          <w:lang w:val="zh-CN"/>
        </w:rPr>
        <w:t>文件（含澄清或者修改文件）；</w:t>
      </w:r>
    </w:p>
    <w:p w14:paraId="5434D622">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w:t>
      </w:r>
      <w:r>
        <w:rPr>
          <w:rFonts w:hint="eastAsia" w:ascii="宋体" w:hAnsi="宋体" w:eastAsia="宋体" w:cs="宋体"/>
          <w:color w:val="auto"/>
          <w:kern w:val="0"/>
          <w:sz w:val="21"/>
          <w:szCs w:val="20"/>
          <w:highlight w:val="none"/>
          <w:lang w:val="zh-CN"/>
        </w:rPr>
        <w:t>其他相关采购文件。</w:t>
      </w:r>
    </w:p>
    <w:p w14:paraId="5DB127E5">
      <w:pPr>
        <w:spacing w:line="288" w:lineRule="auto"/>
        <w:ind w:firstLine="420" w:firstLineChars="200"/>
        <w:rPr>
          <w:rFonts w:ascii="宋体" w:hAnsi="宋体" w:eastAsia="宋体" w:cs="宋体"/>
          <w:color w:val="auto"/>
          <w:kern w:val="0"/>
          <w:sz w:val="21"/>
          <w:szCs w:val="20"/>
          <w:highlight w:val="none"/>
        </w:rPr>
      </w:pPr>
      <w:bookmarkStart w:id="57" w:name="_Hlk154756515"/>
      <w:r>
        <w:rPr>
          <w:rFonts w:hint="eastAsia" w:ascii="宋体" w:hAnsi="宋体" w:eastAsia="宋体" w:cs="宋体"/>
          <w:color w:val="auto"/>
          <w:kern w:val="0"/>
          <w:sz w:val="21"/>
          <w:szCs w:val="20"/>
          <w:highlight w:val="none"/>
        </w:rPr>
        <w:t>4.本合同未尽事宜，遵照《中华人民共和国民法典》有关条文执行。</w:t>
      </w:r>
    </w:p>
    <w:p w14:paraId="6C70F5DB">
      <w:pPr>
        <w:spacing w:line="288" w:lineRule="auto"/>
        <w:ind w:firstLine="396" w:firstLineChars="200"/>
        <w:rPr>
          <w:rFonts w:ascii="宋体" w:hAnsi="宋体" w:eastAsia="宋体" w:cs="宋体"/>
          <w:color w:val="auto"/>
          <w:kern w:val="0"/>
          <w:sz w:val="21"/>
          <w:szCs w:val="20"/>
          <w:highlight w:val="none"/>
        </w:rPr>
      </w:pPr>
      <w:r>
        <w:rPr>
          <w:rFonts w:hint="eastAsia" w:ascii="宋体" w:hAnsi="宋体" w:eastAsia="宋体" w:cs="宋体"/>
          <w:color w:val="auto"/>
          <w:spacing w:val="-6"/>
          <w:kern w:val="0"/>
          <w:sz w:val="21"/>
          <w:szCs w:val="20"/>
          <w:highlight w:val="none"/>
        </w:rPr>
        <w:t>5.</w:t>
      </w:r>
      <w:r>
        <w:rPr>
          <w:rFonts w:hint="eastAsia" w:ascii="宋体" w:hAnsi="宋体" w:eastAsia="宋体" w:cs="宋体"/>
          <w:color w:val="auto"/>
          <w:kern w:val="0"/>
          <w:sz w:val="21"/>
          <w:szCs w:val="20"/>
          <w:highlight w:val="none"/>
        </w:rPr>
        <w:t>本合同一式肆份，甲方执叁份，乙方执一份，具有同等法律效力。</w:t>
      </w:r>
      <w:bookmarkEnd w:id="57"/>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4A4DE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4E6FC45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14:paraId="72A02154">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5089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341D3CCE">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76BB113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4891E2E0">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57B30F45">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62D7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12F2616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2BB1515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r>
              <w:rPr>
                <w:rFonts w:hint="eastAsia" w:ascii="宋体" w:hAnsi="宋体" w:eastAsia="宋体" w:cs="宋体"/>
                <w:color w:val="auto"/>
                <w:spacing w:val="-6"/>
                <w:kern w:val="0"/>
                <w:sz w:val="21"/>
                <w:szCs w:val="21"/>
                <w:highlight w:val="none"/>
              </w:rPr>
              <w:tab/>
            </w:r>
            <w:r>
              <w:rPr>
                <w:rFonts w:hint="eastAsia" w:ascii="宋体" w:hAnsi="宋体" w:eastAsia="宋体" w:cs="宋体"/>
                <w:color w:val="auto"/>
                <w:spacing w:val="-6"/>
                <w:kern w:val="0"/>
                <w:sz w:val="21"/>
                <w:szCs w:val="21"/>
                <w:highlight w:val="none"/>
              </w:rPr>
              <w:tab/>
            </w:r>
          </w:p>
        </w:tc>
      </w:tr>
      <w:tr w14:paraId="7DEB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DB8E8A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54AD1B3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rPr>
              <w:tab/>
            </w:r>
          </w:p>
        </w:tc>
      </w:tr>
      <w:tr w14:paraId="2612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F58C4C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320DEAA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r>
              <w:rPr>
                <w:rFonts w:hint="eastAsia" w:ascii="宋体" w:hAnsi="宋体" w:eastAsia="宋体" w:cs="宋体"/>
                <w:color w:val="auto"/>
                <w:spacing w:val="-6"/>
                <w:kern w:val="0"/>
                <w:sz w:val="21"/>
                <w:szCs w:val="21"/>
                <w:highlight w:val="none"/>
              </w:rPr>
              <w:tab/>
            </w:r>
          </w:p>
        </w:tc>
      </w:tr>
      <w:tr w14:paraId="4142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A4F693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167C92BD">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32AF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1079440">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0747725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3D29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00AB15A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63E08FAA">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5E4F35EC">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73533A2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522ED77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2A6152C7">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p>
    <w:p w14:paraId="77ABBC3F">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lang w:val="en-US" w:eastAsia="zh-CN"/>
        </w:rPr>
        <w:t>1</w:t>
      </w:r>
      <w:r>
        <w:rPr>
          <w:rFonts w:hint="eastAsia" w:ascii="宋体" w:hAnsi="宋体" w:eastAsia="宋体" w:cs="宋体"/>
          <w:bCs/>
          <w:color w:val="auto"/>
          <w:spacing w:val="-6"/>
          <w:szCs w:val="21"/>
          <w:highlight w:val="none"/>
        </w:rPr>
        <w:t>）中小企业声明函（若属于中小企业）</w:t>
      </w:r>
    </w:p>
    <w:p w14:paraId="620D1CE3">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lang w:val="en-US" w:eastAsia="zh-CN"/>
        </w:rPr>
        <w:t>2</w:t>
      </w:r>
      <w:r>
        <w:rPr>
          <w:rFonts w:hint="eastAsia" w:ascii="宋体" w:hAnsi="宋体" w:eastAsia="宋体" w:cs="宋体"/>
          <w:bCs/>
          <w:color w:val="auto"/>
          <w:spacing w:val="-6"/>
          <w:szCs w:val="21"/>
          <w:highlight w:val="none"/>
        </w:rPr>
        <w:t>）属于监狱企业的证明文件（若属于监狱企业）</w:t>
      </w:r>
    </w:p>
    <w:p w14:paraId="37A99886">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lang w:val="en-US" w:eastAsia="zh-CN"/>
        </w:rPr>
        <w:t>3</w:t>
      </w:r>
      <w:r>
        <w:rPr>
          <w:rFonts w:hint="eastAsia" w:ascii="宋体" w:hAnsi="宋体" w:eastAsia="宋体" w:cs="宋体"/>
          <w:bCs/>
          <w:color w:val="auto"/>
          <w:spacing w:val="-6"/>
          <w:szCs w:val="21"/>
          <w:highlight w:val="none"/>
        </w:rPr>
        <w:t>）残疾人福利性单位声明函（若属于残疾人福利性单位）</w:t>
      </w:r>
    </w:p>
    <w:p w14:paraId="673F71B7">
      <w:pPr>
        <w:adjustRightInd w:val="0"/>
        <w:snapToGrid w:val="0"/>
        <w:spacing w:line="288" w:lineRule="auto"/>
        <w:ind w:firstLine="396" w:firstLineChars="200"/>
        <w:jc w:val="left"/>
        <w:rPr>
          <w:rFonts w:hint="default" w:ascii="宋体" w:hAnsi="宋体" w:eastAsia="宋体" w:cs="宋体"/>
          <w:bCs/>
          <w:color w:val="auto"/>
          <w:spacing w:val="-6"/>
          <w:szCs w:val="21"/>
          <w:highlight w:val="none"/>
          <w:lang w:val="en-US" w:eastAsia="zh-CN"/>
        </w:rPr>
      </w:pPr>
      <w:r>
        <w:rPr>
          <w:rFonts w:hint="eastAsia" w:ascii="宋体" w:hAnsi="宋体" w:eastAsia="宋体" w:cs="宋体"/>
          <w:bCs/>
          <w:color w:val="auto"/>
          <w:spacing w:val="-6"/>
          <w:szCs w:val="21"/>
          <w:highlight w:val="none"/>
          <w:lang w:val="en-US" w:eastAsia="zh-CN"/>
        </w:rPr>
        <w:t>4）联合协议（如有）</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10F97E2A">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服务</w:t>
      </w:r>
      <w:r>
        <w:rPr>
          <w:rFonts w:hint="eastAsia" w:ascii="宋体" w:hAnsi="宋体" w:eastAsia="宋体" w:cs="宋体"/>
          <w:color w:val="auto"/>
          <w:spacing w:val="-6"/>
          <w:szCs w:val="21"/>
          <w:highlight w:val="none"/>
        </w:rPr>
        <w:t>方案</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6</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32276167">
      <w:pPr>
        <w:adjustRightInd w:val="0"/>
        <w:snapToGrid w:val="0"/>
        <w:spacing w:line="288" w:lineRule="auto"/>
        <w:jc w:val="both"/>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14:paraId="2AA3E2D1">
      <w:pPr>
        <w:adjustRightInd w:val="0"/>
        <w:snapToGrid w:val="0"/>
        <w:spacing w:line="288" w:lineRule="auto"/>
        <w:jc w:val="center"/>
        <w:outlineLvl w:val="2"/>
        <w:rPr>
          <w:rFonts w:hint="eastAsia" w:ascii="宋体" w:hAnsi="宋体" w:eastAsia="宋体" w:cs="宋体"/>
          <w:b/>
          <w:color w:val="auto"/>
          <w:spacing w:val="-6"/>
          <w:szCs w:val="21"/>
          <w:highlight w:val="none"/>
          <w:lang w:val="en-US" w:eastAsia="zh-CN"/>
        </w:rPr>
      </w:pPr>
    </w:p>
    <w:p w14:paraId="3E436771">
      <w:pPr>
        <w:adjustRightInd w:val="0"/>
        <w:snapToGrid w:val="0"/>
        <w:spacing w:line="288" w:lineRule="auto"/>
        <w:jc w:val="center"/>
        <w:outlineLvl w:val="2"/>
        <w:rPr>
          <w:rFonts w:ascii="宋体" w:hAnsi="宋体" w:eastAsia="宋体" w:cs="宋体"/>
          <w:b/>
          <w:i w:val="0"/>
          <w:iCs w:val="0"/>
          <w:color w:val="auto"/>
          <w:spacing w:val="-6"/>
          <w:szCs w:val="21"/>
          <w:highlight w:val="none"/>
        </w:rPr>
      </w:pPr>
      <w:r>
        <w:rPr>
          <w:rFonts w:hint="eastAsia" w:ascii="宋体" w:hAnsi="宋体" w:eastAsia="宋体" w:cs="宋体"/>
          <w:b/>
          <w:i w:val="0"/>
          <w:iCs w:val="0"/>
          <w:color w:val="auto"/>
          <w:spacing w:val="-6"/>
          <w:szCs w:val="21"/>
          <w:highlight w:val="none"/>
          <w:lang w:val="en-US" w:eastAsia="zh-CN"/>
        </w:rPr>
        <w:t>1</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中小企业声明函（服务）</w:t>
      </w:r>
      <w:r>
        <w:rPr>
          <w:rFonts w:hint="eastAsia" w:ascii="宋体" w:hAnsi="宋体" w:eastAsia="宋体" w:cs="宋体"/>
          <w:b/>
          <w:i w:val="0"/>
          <w:iCs w:val="0"/>
          <w:color w:val="auto"/>
          <w:spacing w:val="-6"/>
          <w:szCs w:val="21"/>
          <w:highlight w:val="none"/>
        </w:rPr>
        <w:t>（若属于中小企业）</w:t>
      </w:r>
    </w:p>
    <w:p w14:paraId="4AD63D23">
      <w:pPr>
        <w:adjustRightInd w:val="0"/>
        <w:snapToGrid w:val="0"/>
        <w:spacing w:line="288" w:lineRule="auto"/>
        <w:ind w:firstLine="498" w:firstLineChars="236"/>
        <w:rPr>
          <w:rFonts w:ascii="宋体" w:hAnsi="宋体" w:eastAsia="宋体" w:cs="Times New Roman"/>
          <w:b/>
          <w:i w:val="0"/>
          <w:iCs w:val="0"/>
          <w:color w:val="auto"/>
          <w:szCs w:val="21"/>
          <w:highlight w:val="none"/>
        </w:rPr>
      </w:pPr>
    </w:p>
    <w:p w14:paraId="1323A6F8">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eastAsia="zh-CN"/>
        </w:rPr>
        <w:t>继教院专技人员继续教育网络学习平台课程资源服务采购</w:t>
      </w:r>
      <w:r>
        <w:rPr>
          <w:rFonts w:ascii="宋体" w:hAnsi="宋体" w:eastAsia="宋体" w:cs="Times New Roman"/>
          <w:i w:val="0"/>
          <w:iCs w:val="0"/>
          <w:color w:val="auto"/>
          <w:szCs w:val="21"/>
          <w:highlight w:val="none"/>
        </w:rPr>
        <w:t>采购活动，服务全部由符合政策要求的中小企业承接。相关企业（含联合体中的中小企业、签订分包意向协议的中小企业）的具体情况如下：</w:t>
      </w:r>
    </w:p>
    <w:p w14:paraId="52EB85C0">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rPr>
        <w:t>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lang w:eastAsia="zh-CN"/>
        </w:rPr>
        <w:t>继教院专技人员继续教育网络学习平台课程资源服务采购</w:t>
      </w:r>
      <w:r>
        <w:rPr>
          <w:rFonts w:ascii="宋体" w:hAnsi="宋体" w:eastAsia="宋体" w:cs="Times New Roman"/>
          <w:i w:val="0"/>
          <w:iCs w:val="0"/>
          <w:color w:val="auto"/>
          <w:szCs w:val="21"/>
          <w:highlight w:val="none"/>
          <w:u w:val="single"/>
        </w:rPr>
        <w:t>，属于</w:t>
      </w:r>
      <w:r>
        <w:rPr>
          <w:rFonts w:hint="eastAsia" w:ascii="宋体" w:hAnsi="宋体" w:eastAsia="宋体" w:cs="Times New Roman"/>
          <w:i w:val="0"/>
          <w:iCs w:val="0"/>
          <w:color w:val="auto"/>
          <w:szCs w:val="21"/>
          <w:highlight w:val="none"/>
          <w:u w:val="single"/>
          <w:lang w:val="en-US" w:eastAsia="zh-CN"/>
        </w:rPr>
        <w:t>软件和信息技术服务业</w:t>
      </w:r>
      <w:r>
        <w:rPr>
          <w:rFonts w:ascii="宋体" w:hAnsi="宋体" w:eastAsia="宋体" w:cs="Times New Roman"/>
          <w:i w:val="0"/>
          <w:iCs w:val="0"/>
          <w:color w:val="auto"/>
          <w:szCs w:val="21"/>
          <w:highlight w:val="none"/>
          <w:u w:val="single"/>
        </w:rPr>
        <w:t>；</w:t>
      </w:r>
      <w:r>
        <w:rPr>
          <w:rFonts w:ascii="宋体" w:hAnsi="宋体" w:eastAsia="宋体" w:cs="Times New Roman"/>
          <w:i w:val="0"/>
          <w:iCs w:val="0"/>
          <w:color w:val="auto"/>
          <w:szCs w:val="21"/>
          <w:highlight w:val="none"/>
        </w:rPr>
        <w:t>承接企业为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14:paraId="69980C61">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14:paraId="6B5640F1">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14:paraId="60D48807">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14:paraId="7A77874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6BC8370E">
      <w:pPr>
        <w:adjustRightInd w:val="0"/>
        <w:snapToGrid w:val="0"/>
        <w:spacing w:line="288" w:lineRule="auto"/>
        <w:ind w:firstLine="495" w:firstLineChars="236"/>
        <w:rPr>
          <w:rFonts w:ascii="宋体" w:hAnsi="宋体" w:eastAsia="宋体" w:cs="Times New Roman"/>
          <w:color w:val="auto"/>
          <w:szCs w:val="21"/>
          <w:highlight w:val="none"/>
        </w:rPr>
      </w:pPr>
    </w:p>
    <w:p w14:paraId="36566C5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6CD0536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3C39F1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58D7AC44">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承建（承接）企业</w:t>
      </w:r>
      <w:r>
        <w:rPr>
          <w:rFonts w:hint="eastAsia" w:ascii="宋体" w:hAnsi="宋体" w:eastAsia="宋体" w:cs="宋体"/>
          <w:i w:val="0"/>
          <w:iCs w:val="0"/>
          <w:color w:val="auto"/>
          <w:sz w:val="21"/>
          <w:szCs w:val="21"/>
          <w:highlight w:val="none"/>
          <w:lang w:eastAsia="zh-CN"/>
        </w:rPr>
        <w:t>，工程由中小企业承建，即工程施工单位为中小企业（服务由中小企业承接，即提供服务的人员为中小企业依照《中华人民共和国劳动合同法》订立劳动合同的从业人员）</w:t>
      </w:r>
      <w:r>
        <w:rPr>
          <w:rFonts w:hint="eastAsia" w:ascii="宋体" w:hAnsi="宋体" w:eastAsia="宋体" w:cs="宋体"/>
          <w:i w:val="0"/>
          <w:iCs w:val="0"/>
          <w:color w:val="auto"/>
          <w:sz w:val="21"/>
          <w:szCs w:val="21"/>
          <w:highlight w:val="none"/>
          <w:lang w:val="en-US" w:eastAsia="zh-CN"/>
        </w:rPr>
        <w:t>；</w:t>
      </w:r>
    </w:p>
    <w:p w14:paraId="59DE7FE5">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4CC389E8">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6410714F">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2F6C5995">
      <w:pPr>
        <w:adjustRightInd w:val="0"/>
        <w:snapToGrid w:val="0"/>
        <w:spacing w:line="288" w:lineRule="auto"/>
        <w:jc w:val="center"/>
        <w:outlineLvl w:val="2"/>
        <w:rPr>
          <w:rFonts w:ascii="宋体" w:hAnsi="宋体" w:eastAsia="宋体" w:cs="宋体"/>
          <w:color w:val="auto"/>
          <w:kern w:val="0"/>
          <w:szCs w:val="21"/>
          <w:highlight w:val="none"/>
        </w:rPr>
      </w:pPr>
      <w:r>
        <w:rPr>
          <w:rFonts w:ascii="宋体" w:hAnsi="宋体" w:eastAsia="宋体" w:cs="Times New Roman"/>
          <w:b/>
          <w:bCs/>
          <w:color w:val="auto"/>
          <w:szCs w:val="21"/>
          <w:highlight w:val="none"/>
        </w:rPr>
        <w:br w:type="page"/>
      </w:r>
      <w:r>
        <w:rPr>
          <w:rFonts w:hint="eastAsia" w:ascii="宋体" w:hAnsi="宋体" w:eastAsia="宋体" w:cs="宋体"/>
          <w:b/>
          <w:color w:val="auto"/>
          <w:spacing w:val="-6"/>
          <w:szCs w:val="21"/>
          <w:highlight w:val="none"/>
          <w:lang w:val="en-US" w:eastAsia="zh-CN"/>
        </w:rPr>
        <w:t>2</w:t>
      </w:r>
      <w:r>
        <w:rPr>
          <w:rFonts w:hint="eastAsia" w:ascii="宋体" w:hAnsi="宋体" w:eastAsia="宋体" w:cs="宋体"/>
          <w:b/>
          <w:color w:val="auto"/>
          <w:spacing w:val="-6"/>
          <w:szCs w:val="21"/>
          <w:highlight w:val="none"/>
        </w:rPr>
        <w:t>）属于监狱企业的证明文件（若属于监狱企业）</w:t>
      </w:r>
    </w:p>
    <w:p w14:paraId="27285BD2">
      <w:pPr>
        <w:adjustRightInd w:val="0"/>
        <w:snapToGrid w:val="0"/>
        <w:spacing w:line="288" w:lineRule="auto"/>
        <w:rPr>
          <w:rFonts w:ascii="宋体" w:hAnsi="宋体" w:eastAsia="宋体" w:cs="宋体"/>
          <w:color w:val="auto"/>
          <w:kern w:val="0"/>
          <w:szCs w:val="21"/>
          <w:highlight w:val="none"/>
        </w:rPr>
      </w:pPr>
    </w:p>
    <w:p w14:paraId="52CBCAD8">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1B8E0FCA">
      <w:pPr>
        <w:adjustRightInd w:val="0"/>
        <w:snapToGrid w:val="0"/>
        <w:spacing w:line="288" w:lineRule="auto"/>
        <w:rPr>
          <w:rFonts w:ascii="宋体" w:hAnsi="宋体" w:eastAsia="宋体"/>
          <w:color w:val="auto"/>
          <w:szCs w:val="21"/>
          <w:highlight w:val="none"/>
        </w:rPr>
      </w:pPr>
    </w:p>
    <w:p w14:paraId="76406EC0">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484FAD05">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20444BA">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591EC4B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3E26BA6D">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lang w:val="en-US" w:eastAsia="zh-CN"/>
        </w:rPr>
        <w:t>3</w:t>
      </w:r>
      <w:r>
        <w:rPr>
          <w:rFonts w:hint="eastAsia" w:ascii="宋体" w:hAnsi="宋体" w:eastAsia="宋体" w:cs="宋体"/>
          <w:b/>
          <w:color w:val="auto"/>
          <w:spacing w:val="-6"/>
          <w:szCs w:val="21"/>
          <w:highlight w:val="none"/>
        </w:rPr>
        <w:t>）残疾人福利性单位声明函（若属于残疾人福利性单位）</w:t>
      </w:r>
    </w:p>
    <w:p w14:paraId="519502FC">
      <w:pPr>
        <w:adjustRightInd w:val="0"/>
        <w:snapToGrid w:val="0"/>
        <w:spacing w:line="288" w:lineRule="auto"/>
        <w:rPr>
          <w:rFonts w:ascii="宋体" w:hAnsi="宋体" w:eastAsia="宋体" w:cs="Times New Roman"/>
          <w:b/>
          <w:color w:val="auto"/>
          <w:spacing w:val="6"/>
          <w:szCs w:val="21"/>
          <w:highlight w:val="none"/>
        </w:rPr>
      </w:pPr>
    </w:p>
    <w:p w14:paraId="2AE3CA01">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，且本单位参加______（采购人）单位的______（项目名称）项目采购活动提供本单位服务。</w:t>
      </w:r>
    </w:p>
    <w:p w14:paraId="31A34653">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33C6A100">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41C1A203">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589FFDC4">
      <w:pPr>
        <w:adjustRightInd w:val="0"/>
        <w:snapToGrid w:val="0"/>
        <w:spacing w:line="288" w:lineRule="auto"/>
        <w:rPr>
          <w:rFonts w:ascii="宋体" w:hAnsi="宋体" w:eastAsia="宋体"/>
          <w:color w:val="auto"/>
          <w:szCs w:val="21"/>
          <w:highlight w:val="none"/>
        </w:rPr>
      </w:pPr>
    </w:p>
    <w:p w14:paraId="51E6136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6B3436F0">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1724C5D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317E4F0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6315696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54C0737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79880327">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36C5D7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2D0306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59AB73DB">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3FD2E9E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472589BA">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AD74AAF">
      <w:pPr>
        <w:adjustRightInd w:val="0"/>
        <w:snapToGrid w:val="0"/>
        <w:spacing w:line="288" w:lineRule="auto"/>
        <w:jc w:val="left"/>
        <w:outlineLvl w:val="2"/>
        <w:rPr>
          <w:rFonts w:hint="eastAsia" w:ascii="宋体" w:hAnsi="宋体" w:eastAsia="宋体" w:cs="宋体"/>
          <w:b/>
          <w:color w:val="auto"/>
          <w:spacing w:val="-6"/>
          <w:szCs w:val="21"/>
          <w:highlight w:val="none"/>
          <w:lang w:val="en-US" w:eastAsia="zh-CN"/>
        </w:rPr>
      </w:pPr>
      <w:r>
        <w:rPr>
          <w:rFonts w:hint="eastAsia" w:ascii="宋体" w:hAnsi="宋体" w:eastAsia="宋体" w:cs="宋体"/>
          <w:b/>
          <w:color w:val="auto"/>
          <w:spacing w:val="-6"/>
          <w:szCs w:val="21"/>
          <w:highlight w:val="none"/>
          <w:lang w:val="en-US" w:eastAsia="zh-CN"/>
        </w:rPr>
        <w:t>4）联合协议</w:t>
      </w:r>
    </w:p>
    <w:p w14:paraId="3EEE9B2E">
      <w:pPr>
        <w:rPr>
          <w:rFonts w:hint="eastAsia" w:ascii="宋体" w:hAnsi="宋体" w:eastAsia="宋体" w:cs="宋体"/>
          <w:b/>
          <w:color w:val="auto"/>
          <w:spacing w:val="-6"/>
          <w:szCs w:val="21"/>
          <w:highlight w:val="none"/>
          <w:lang w:val="en-US" w:eastAsia="zh-CN"/>
        </w:rPr>
      </w:pPr>
      <w:r>
        <w:rPr>
          <w:rFonts w:hint="eastAsia" w:ascii="宋体" w:hAnsi="宋体" w:eastAsia="宋体" w:cs="宋体"/>
          <w:b/>
          <w:color w:val="auto"/>
          <w:spacing w:val="-6"/>
          <w:szCs w:val="21"/>
          <w:highlight w:val="none"/>
          <w:lang w:val="en-US" w:eastAsia="zh-CN"/>
        </w:rPr>
        <w:br w:type="page"/>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杭州电子科技大学继教院专技人员继续教育网络学习平台课程资源服务采购</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QSZBB250164ZFGK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杭州电子科技大学继教院专技人员继续教育网络学习平台课程资源服务采购</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QSZBB250164ZFGK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2025年1月（含）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2025年1月（含）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继教院专技人员继续教育网络学习平台课程资源服务采购</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QSZBB250164ZFGK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3AB450C2">
      <w:pPr>
        <w:adjustRightInd w:val="0"/>
        <w:snapToGrid w:val="0"/>
        <w:spacing w:line="288" w:lineRule="auto"/>
        <w:jc w:val="left"/>
        <w:outlineLvl w:val="2"/>
        <w:rPr>
          <w:rFonts w:hint="eastAsia" w:ascii="宋体" w:hAnsi="宋体" w:eastAsia="宋体" w:cs="宋体"/>
          <w:b/>
          <w:color w:val="auto"/>
          <w:spacing w:val="-6"/>
          <w:szCs w:val="21"/>
          <w:highlight w:val="none"/>
          <w:lang w:val="en-US" w:eastAsia="zh-CN"/>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服务</w:t>
      </w:r>
      <w:r>
        <w:rPr>
          <w:rFonts w:hint="eastAsia" w:ascii="宋体" w:hAnsi="宋体" w:eastAsia="宋体" w:cs="宋体"/>
          <w:b/>
          <w:color w:val="auto"/>
          <w:spacing w:val="-6"/>
          <w:szCs w:val="21"/>
          <w:highlight w:val="none"/>
        </w:rPr>
        <w:t>方</w:t>
      </w:r>
      <w:r>
        <w:rPr>
          <w:rFonts w:hint="eastAsia" w:ascii="宋体" w:hAnsi="宋体" w:eastAsia="宋体" w:cs="宋体"/>
          <w:b/>
          <w:color w:val="auto"/>
          <w:spacing w:val="-6"/>
          <w:szCs w:val="21"/>
          <w:highlight w:val="none"/>
          <w:lang w:val="en-US" w:eastAsia="zh-CN"/>
        </w:rPr>
        <w:t>案</w:t>
      </w:r>
    </w:p>
    <w:p w14:paraId="619B5759">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6</w:t>
      </w:r>
      <w:r>
        <w:rPr>
          <w:rFonts w:hint="eastAsia" w:ascii="宋体" w:hAnsi="宋体" w:eastAsia="宋体" w:cs="宋体"/>
          <w:b/>
          <w:color w:val="auto"/>
          <w:spacing w:val="-6"/>
          <w:szCs w:val="21"/>
          <w:highlight w:val="none"/>
        </w:rPr>
        <w:t>）投标人需要说明的其他文件和材料。</w:t>
      </w: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继教院专技人员继续教育网络学习平台课程资源服务采购</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QSZBB250164ZFGK</w:t>
      </w:r>
    </w:p>
    <w:tbl>
      <w:tblPr>
        <w:tblStyle w:val="2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814"/>
        <w:gridCol w:w="4814"/>
      </w:tblGrid>
      <w:tr w14:paraId="67DA86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00" w:type="pct"/>
            <w:tcBorders>
              <w:top w:val="single" w:color="auto" w:sz="4" w:space="0"/>
              <w:left w:val="single" w:color="auto" w:sz="4" w:space="0"/>
              <w:bottom w:val="single" w:color="auto" w:sz="4" w:space="0"/>
              <w:right w:val="single" w:color="auto" w:sz="4" w:space="0"/>
            </w:tcBorders>
            <w:shd w:val="clear" w:color="auto" w:fill="auto"/>
            <w:vAlign w:val="center"/>
          </w:tcPr>
          <w:p w14:paraId="74BF924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内容</w:t>
            </w:r>
          </w:p>
        </w:tc>
        <w:tc>
          <w:tcPr>
            <w:tcW w:w="2500" w:type="pct"/>
            <w:tcBorders>
              <w:top w:val="single" w:color="auto" w:sz="4" w:space="0"/>
              <w:left w:val="single" w:color="auto" w:sz="4" w:space="0"/>
              <w:bottom w:val="single" w:color="auto" w:sz="4" w:space="0"/>
              <w:right w:val="single" w:color="auto" w:sz="4" w:space="0"/>
            </w:tcBorders>
            <w:shd w:val="clear" w:color="auto" w:fill="auto"/>
            <w:vAlign w:val="center"/>
          </w:tcPr>
          <w:p w14:paraId="3AD8247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w:t>
            </w:r>
            <w:r>
              <w:rPr>
                <w:rFonts w:hint="eastAsia" w:ascii="宋体" w:hAnsi="宋体" w:eastAsia="宋体" w:cs="宋体"/>
                <w:b/>
                <w:bCs/>
                <w:color w:val="auto"/>
                <w:szCs w:val="21"/>
                <w:highlight w:val="none"/>
                <w:lang w:val="en-US" w:eastAsia="zh-CN"/>
              </w:rPr>
              <w:t>报</w:t>
            </w:r>
            <w:r>
              <w:rPr>
                <w:rFonts w:hint="eastAsia" w:ascii="宋体" w:hAnsi="宋体" w:eastAsia="宋体" w:cs="宋体"/>
                <w:b/>
                <w:bCs/>
                <w:color w:val="auto"/>
                <w:szCs w:val="21"/>
                <w:highlight w:val="none"/>
              </w:rPr>
              <w:t>价（</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w:t>
            </w:r>
          </w:p>
        </w:tc>
      </w:tr>
      <w:tr w14:paraId="5A5652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500" w:type="pct"/>
            <w:tcBorders>
              <w:top w:val="single" w:color="auto" w:sz="4" w:space="0"/>
              <w:left w:val="single" w:color="auto" w:sz="4" w:space="0"/>
              <w:bottom w:val="single" w:color="auto" w:sz="4" w:space="0"/>
              <w:right w:val="single" w:color="auto" w:sz="4" w:space="0"/>
            </w:tcBorders>
            <w:vAlign w:val="center"/>
          </w:tcPr>
          <w:p w14:paraId="76081A6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运营及平台开发维护分成比例</w:t>
            </w:r>
          </w:p>
        </w:tc>
        <w:tc>
          <w:tcPr>
            <w:tcW w:w="2500" w:type="pct"/>
            <w:tcBorders>
              <w:top w:val="single" w:color="auto" w:sz="4" w:space="0"/>
              <w:left w:val="single" w:color="auto" w:sz="4" w:space="0"/>
              <w:bottom w:val="single" w:color="auto" w:sz="4" w:space="0"/>
              <w:right w:val="single" w:color="auto" w:sz="4" w:space="0"/>
            </w:tcBorders>
            <w:vAlign w:val="center"/>
          </w:tcPr>
          <w:p w14:paraId="719ECED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lang w:val="en-US" w:eastAsia="zh-CN" w:bidi="ar"/>
              </w:rPr>
            </w:pPr>
          </w:p>
          <w:p w14:paraId="1E6C11A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小写：_________________________</w:t>
            </w:r>
          </w:p>
          <w:p w14:paraId="52554B40">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 xml:space="preserve"> </w:t>
            </w:r>
          </w:p>
          <w:p w14:paraId="53B5A69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大写：_________________________</w:t>
            </w:r>
          </w:p>
          <w:p w14:paraId="2C65CFC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52D4A9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500" w:type="pct"/>
            <w:tcBorders>
              <w:top w:val="single" w:color="auto" w:sz="4" w:space="0"/>
              <w:left w:val="single" w:color="auto" w:sz="4" w:space="0"/>
              <w:bottom w:val="single" w:color="auto" w:sz="4" w:space="0"/>
              <w:right w:val="single" w:color="auto" w:sz="4" w:space="0"/>
            </w:tcBorders>
            <w:vAlign w:val="center"/>
          </w:tcPr>
          <w:p w14:paraId="4E8BDA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课程分成比例</w:t>
            </w:r>
          </w:p>
        </w:tc>
        <w:tc>
          <w:tcPr>
            <w:tcW w:w="2500" w:type="pct"/>
            <w:tcBorders>
              <w:top w:val="single" w:color="auto" w:sz="4" w:space="0"/>
              <w:left w:val="single" w:color="auto" w:sz="4" w:space="0"/>
              <w:bottom w:val="single" w:color="auto" w:sz="4" w:space="0"/>
              <w:right w:val="single" w:color="auto" w:sz="4" w:space="0"/>
            </w:tcBorders>
            <w:vAlign w:val="center"/>
          </w:tcPr>
          <w:p w14:paraId="296EF81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p>
          <w:p w14:paraId="1773BD6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小写：_________________________</w:t>
            </w:r>
          </w:p>
          <w:p w14:paraId="6FC9FE5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 xml:space="preserve"> </w:t>
            </w:r>
          </w:p>
          <w:p w14:paraId="67F95B7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大写：_________________________</w:t>
            </w:r>
          </w:p>
          <w:p w14:paraId="7E1C185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61AE633E">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Cs w:val="21"/>
                <w:highlight w:val="none"/>
                <w:vertAlign w:val="baseline"/>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提供的服务全部由小微企业承接，其合同份额占到合同总金额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w:t>
      </w:r>
      <w:r>
        <w:rPr>
          <w:rFonts w:hint="eastAsia" w:ascii="宋体" w:hAnsi="宋体" w:eastAsia="宋体" w:cs="仿宋_GB2312"/>
          <w:color w:val="auto"/>
          <w:kern w:val="0"/>
          <w:szCs w:val="21"/>
          <w:highlight w:val="none"/>
          <w:u w:val="single"/>
          <w:lang w:val="en-US" w:eastAsia="zh-CN"/>
        </w:rPr>
        <w:t>服务</w:t>
      </w:r>
      <w:r>
        <w:rPr>
          <w:rFonts w:hint="eastAsia" w:ascii="宋体" w:hAnsi="宋体" w:eastAsia="宋体" w:cs="仿宋_GB2312"/>
          <w:color w:val="auto"/>
          <w:kern w:val="0"/>
          <w:szCs w:val="21"/>
          <w:highlight w:val="none"/>
          <w:u w:val="single"/>
        </w:rPr>
        <w:t>全部由小微企业</w:t>
      </w:r>
      <w:r>
        <w:rPr>
          <w:rFonts w:hint="eastAsia" w:ascii="宋体" w:hAnsi="宋体" w:eastAsia="宋体" w:cs="仿宋_GB2312"/>
          <w:color w:val="auto"/>
          <w:kern w:val="0"/>
          <w:szCs w:val="21"/>
          <w:highlight w:val="none"/>
          <w:u w:val="single"/>
          <w:lang w:val="en-US" w:eastAsia="zh-CN"/>
        </w:rPr>
        <w:t>承接</w:t>
      </w:r>
      <w:r>
        <w:rPr>
          <w:rFonts w:hint="eastAsia" w:ascii="宋体" w:hAnsi="宋体" w:eastAsia="宋体" w:cs="仿宋_GB2312"/>
          <w:color w:val="auto"/>
          <w:kern w:val="0"/>
          <w:szCs w:val="21"/>
          <w:highlight w:val="none"/>
          <w:u w:val="single"/>
        </w:rPr>
        <w:t>，</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5D34727"/>
    <w:rsid w:val="05D9297D"/>
    <w:rsid w:val="07021C78"/>
    <w:rsid w:val="07650D44"/>
    <w:rsid w:val="07DB5C37"/>
    <w:rsid w:val="08931933"/>
    <w:rsid w:val="0A8F0E99"/>
    <w:rsid w:val="0B4A1776"/>
    <w:rsid w:val="0BD50265"/>
    <w:rsid w:val="0BEC010D"/>
    <w:rsid w:val="0C786503"/>
    <w:rsid w:val="0D1A04C9"/>
    <w:rsid w:val="0DA43FD6"/>
    <w:rsid w:val="0DCB77B4"/>
    <w:rsid w:val="0F457F29"/>
    <w:rsid w:val="0FF539C8"/>
    <w:rsid w:val="10757130"/>
    <w:rsid w:val="112B34AD"/>
    <w:rsid w:val="11FF5827"/>
    <w:rsid w:val="18090C43"/>
    <w:rsid w:val="18FB5F15"/>
    <w:rsid w:val="1B321622"/>
    <w:rsid w:val="1E452027"/>
    <w:rsid w:val="1EEB1A56"/>
    <w:rsid w:val="1EF66D2B"/>
    <w:rsid w:val="1F1D6EE0"/>
    <w:rsid w:val="1F9C38D3"/>
    <w:rsid w:val="20767551"/>
    <w:rsid w:val="209C15EA"/>
    <w:rsid w:val="212705BE"/>
    <w:rsid w:val="21AC2FA2"/>
    <w:rsid w:val="21DB64E2"/>
    <w:rsid w:val="221C4C30"/>
    <w:rsid w:val="227574E6"/>
    <w:rsid w:val="22A70B6C"/>
    <w:rsid w:val="22AD65CC"/>
    <w:rsid w:val="23C14303"/>
    <w:rsid w:val="23FF4622"/>
    <w:rsid w:val="25A217AC"/>
    <w:rsid w:val="27432BC1"/>
    <w:rsid w:val="27F0275A"/>
    <w:rsid w:val="28580092"/>
    <w:rsid w:val="28BC23D4"/>
    <w:rsid w:val="2AA10ED5"/>
    <w:rsid w:val="2ADA0518"/>
    <w:rsid w:val="2C921974"/>
    <w:rsid w:val="2DBE14C9"/>
    <w:rsid w:val="2E2B31E3"/>
    <w:rsid w:val="2ED77388"/>
    <w:rsid w:val="2F380CDF"/>
    <w:rsid w:val="2F6A64D8"/>
    <w:rsid w:val="30616EA9"/>
    <w:rsid w:val="31A44D82"/>
    <w:rsid w:val="32BE120D"/>
    <w:rsid w:val="330C0EF9"/>
    <w:rsid w:val="33506DE6"/>
    <w:rsid w:val="34004E73"/>
    <w:rsid w:val="34861636"/>
    <w:rsid w:val="35194EAC"/>
    <w:rsid w:val="35A54CED"/>
    <w:rsid w:val="37534CA7"/>
    <w:rsid w:val="37D824F1"/>
    <w:rsid w:val="37D85DAB"/>
    <w:rsid w:val="38EB4FAF"/>
    <w:rsid w:val="39B918B5"/>
    <w:rsid w:val="3B0C4DFA"/>
    <w:rsid w:val="3C4D26C6"/>
    <w:rsid w:val="3C607484"/>
    <w:rsid w:val="3D044EFC"/>
    <w:rsid w:val="3DB45CCB"/>
    <w:rsid w:val="3E6946AD"/>
    <w:rsid w:val="3EB60CB3"/>
    <w:rsid w:val="3EC366FF"/>
    <w:rsid w:val="3EC436F9"/>
    <w:rsid w:val="3F327B58"/>
    <w:rsid w:val="3F740895"/>
    <w:rsid w:val="3FB93DC6"/>
    <w:rsid w:val="402A691C"/>
    <w:rsid w:val="422E66F3"/>
    <w:rsid w:val="425E023C"/>
    <w:rsid w:val="4275164D"/>
    <w:rsid w:val="430A3262"/>
    <w:rsid w:val="43496876"/>
    <w:rsid w:val="43DF2AD7"/>
    <w:rsid w:val="44265D88"/>
    <w:rsid w:val="46A824B9"/>
    <w:rsid w:val="46BB170B"/>
    <w:rsid w:val="47510906"/>
    <w:rsid w:val="48EF4C49"/>
    <w:rsid w:val="495D70F7"/>
    <w:rsid w:val="497349FC"/>
    <w:rsid w:val="498C1364"/>
    <w:rsid w:val="4B7D5F80"/>
    <w:rsid w:val="4BF40741"/>
    <w:rsid w:val="4C5E019B"/>
    <w:rsid w:val="4CF33078"/>
    <w:rsid w:val="4D030151"/>
    <w:rsid w:val="4E7B3CEF"/>
    <w:rsid w:val="4F64249F"/>
    <w:rsid w:val="4F6E1200"/>
    <w:rsid w:val="4FEE189E"/>
    <w:rsid w:val="500B7C38"/>
    <w:rsid w:val="52FC5FC0"/>
    <w:rsid w:val="5345653C"/>
    <w:rsid w:val="53F038EA"/>
    <w:rsid w:val="549F2962"/>
    <w:rsid w:val="54D5323A"/>
    <w:rsid w:val="54E01333"/>
    <w:rsid w:val="55533C99"/>
    <w:rsid w:val="57F12063"/>
    <w:rsid w:val="59BA69E3"/>
    <w:rsid w:val="5A661DF4"/>
    <w:rsid w:val="5ACF017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2B22EA"/>
    <w:rsid w:val="644F1ACD"/>
    <w:rsid w:val="64751744"/>
    <w:rsid w:val="67060D39"/>
    <w:rsid w:val="67FF1998"/>
    <w:rsid w:val="680D1D99"/>
    <w:rsid w:val="69431270"/>
    <w:rsid w:val="6A7F4F75"/>
    <w:rsid w:val="6ACA16F9"/>
    <w:rsid w:val="6B16774A"/>
    <w:rsid w:val="6BCE2BD2"/>
    <w:rsid w:val="6C467142"/>
    <w:rsid w:val="6CB03B45"/>
    <w:rsid w:val="6DF950D2"/>
    <w:rsid w:val="6E5D4690"/>
    <w:rsid w:val="6EA80CDD"/>
    <w:rsid w:val="6ECE2681"/>
    <w:rsid w:val="6ED12033"/>
    <w:rsid w:val="70885F2D"/>
    <w:rsid w:val="71816706"/>
    <w:rsid w:val="72340F9C"/>
    <w:rsid w:val="729D0432"/>
    <w:rsid w:val="763243C9"/>
    <w:rsid w:val="774152C9"/>
    <w:rsid w:val="780B3511"/>
    <w:rsid w:val="78D07C81"/>
    <w:rsid w:val="793070F8"/>
    <w:rsid w:val="79D825C1"/>
    <w:rsid w:val="7AED65E1"/>
    <w:rsid w:val="7B5D131E"/>
    <w:rsid w:val="7BBA1FEC"/>
    <w:rsid w:val="7D950234"/>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54</Pages>
  <Words>5841</Words>
  <Characters>6437</Characters>
  <Lines>1</Lines>
  <Paragraphs>1</Paragraphs>
  <TotalTime>6</TotalTime>
  <ScaleCrop>false</ScaleCrop>
  <LinksUpToDate>false</LinksUpToDate>
  <CharactersWithSpaces>6470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2025-08-27T01:55:47Z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75BCD7143A314B3A88C1B515A8C75275_13</vt:lpwstr>
  </property>
  <property fmtid="{D5CDD505-2E9C-101B-9397-08002B2CF9AE}" pid="4" name="KSOTemplateDocerSaveRecord">
    <vt:lpwstr>eyJoZGlkIjoiNDA1NjJhY2YzNGY0NzY5M2ZmM2Y0ZjcwMmY2ODQ2YTYiLCJ1c2VySWQiOiIxNjEzNTQ4OTc4In0=</vt:lpwstr>
  </property>
</Properties>
</file>