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auto"/>
        <w:ind w:firstLine="0" w:firstLineChars="0"/>
        <w:jc w:val="center"/>
        <w:rPr>
          <w:rFonts w:cs="宋体"/>
          <w:b/>
          <w:bCs/>
          <w:color w:val="auto"/>
          <w:sz w:val="48"/>
          <w:szCs w:val="48"/>
          <w:highlight w:val="none"/>
        </w:rPr>
      </w:pPr>
      <w:r>
        <w:rPr>
          <w:rFonts w:hint="eastAsia" w:cs="宋体"/>
          <w:b/>
          <w:bCs/>
          <w:color w:val="auto"/>
          <w:sz w:val="48"/>
          <w:szCs w:val="48"/>
          <w:highlight w:val="none"/>
        </w:rPr>
        <w:t xml:space="preserve"> </w:t>
      </w:r>
    </w:p>
    <w:p>
      <w:pPr>
        <w:spacing w:line="600" w:lineRule="auto"/>
        <w:ind w:firstLine="0" w:firstLineChars="0"/>
        <w:jc w:val="center"/>
        <w:rPr>
          <w:rFonts w:cs="宋体"/>
          <w:b/>
          <w:bCs/>
          <w:color w:val="auto"/>
          <w:sz w:val="48"/>
          <w:szCs w:val="48"/>
          <w:highlight w:val="none"/>
        </w:rPr>
      </w:pPr>
      <w:r>
        <w:rPr>
          <w:rFonts w:hint="eastAsia" w:cs="宋体"/>
          <w:b/>
          <w:bCs/>
          <w:color w:val="auto"/>
          <w:sz w:val="48"/>
          <w:szCs w:val="48"/>
          <w:highlight w:val="none"/>
        </w:rPr>
        <w:t>杭州电子科技大学</w:t>
      </w:r>
    </w:p>
    <w:p>
      <w:pPr>
        <w:spacing w:line="600" w:lineRule="auto"/>
        <w:ind w:firstLine="964"/>
        <w:jc w:val="center"/>
        <w:rPr>
          <w:rFonts w:cs="宋体"/>
          <w:b/>
          <w:bCs/>
          <w:color w:val="auto"/>
          <w:sz w:val="48"/>
          <w:szCs w:val="48"/>
          <w:highlight w:val="none"/>
        </w:rPr>
      </w:pPr>
    </w:p>
    <w:p>
      <w:pPr>
        <w:snapToGrid w:val="0"/>
        <w:ind w:firstLine="0" w:firstLineChars="0"/>
        <w:rPr>
          <w:rFonts w:cs="宋体"/>
          <w:b/>
          <w:color w:val="auto"/>
          <w:sz w:val="72"/>
          <w:szCs w:val="72"/>
          <w:highlight w:val="none"/>
        </w:rPr>
      </w:pPr>
    </w:p>
    <w:p>
      <w:pPr>
        <w:pStyle w:val="48"/>
        <w:rPr>
          <w:rFonts w:ascii="宋体" w:hAnsi="宋体" w:eastAsia="宋体" w:cs="宋体"/>
          <w:color w:val="auto"/>
          <w:highlight w:val="none"/>
        </w:rPr>
      </w:pPr>
      <w:r>
        <w:rPr>
          <w:rFonts w:hint="eastAsia" w:ascii="宋体" w:hAnsi="宋体" w:eastAsia="宋体" w:cs="宋体"/>
          <w:color w:val="auto"/>
          <w:highlight w:val="none"/>
        </w:rPr>
        <w:t xml:space="preserve"> </w:t>
      </w:r>
    </w:p>
    <w:p>
      <w:pPr>
        <w:snapToGrid w:val="0"/>
        <w:ind w:firstLine="0" w:firstLineChars="0"/>
        <w:jc w:val="center"/>
        <w:rPr>
          <w:rFonts w:cs="宋体"/>
          <w:b/>
          <w:color w:val="auto"/>
          <w:sz w:val="72"/>
          <w:szCs w:val="72"/>
          <w:highlight w:val="none"/>
        </w:rPr>
      </w:pPr>
      <w:r>
        <w:rPr>
          <w:rFonts w:hint="eastAsia" w:cs="宋体"/>
          <w:b/>
          <w:color w:val="auto"/>
          <w:sz w:val="72"/>
          <w:szCs w:val="72"/>
          <w:highlight w:val="none"/>
        </w:rPr>
        <w:t>公开招标文件</w:t>
      </w:r>
    </w:p>
    <w:p>
      <w:pPr>
        <w:snapToGrid w:val="0"/>
        <w:ind w:firstLine="0" w:firstLineChars="0"/>
        <w:rPr>
          <w:rFonts w:cs="宋体"/>
          <w:b/>
          <w:color w:val="auto"/>
          <w:sz w:val="40"/>
          <w:szCs w:val="28"/>
          <w:highlight w:val="none"/>
        </w:rPr>
      </w:pPr>
    </w:p>
    <w:p>
      <w:pPr>
        <w:pStyle w:val="38"/>
        <w:ind w:firstLine="402"/>
        <w:rPr>
          <w:rFonts w:ascii="宋体" w:eastAsia="宋体" w:cs="宋体"/>
          <w:b/>
          <w:color w:val="auto"/>
          <w:sz w:val="40"/>
          <w:szCs w:val="28"/>
          <w:highlight w:val="none"/>
        </w:rPr>
      </w:pPr>
    </w:p>
    <w:p>
      <w:pPr>
        <w:pStyle w:val="38"/>
        <w:ind w:firstLine="402"/>
        <w:rPr>
          <w:rFonts w:ascii="宋体" w:eastAsia="宋体" w:cs="宋体"/>
          <w:b/>
          <w:color w:val="auto"/>
          <w:sz w:val="40"/>
          <w:szCs w:val="28"/>
          <w:highlight w:val="none"/>
        </w:rPr>
      </w:pPr>
    </w:p>
    <w:p>
      <w:pPr>
        <w:pStyle w:val="14"/>
        <w:rPr>
          <w:rFonts w:ascii="宋体" w:eastAsia="宋体" w:cs="宋体"/>
          <w:color w:val="auto"/>
          <w:highlight w:val="none"/>
        </w:rPr>
      </w:pPr>
    </w:p>
    <w:p>
      <w:pPr>
        <w:snapToGrid w:val="0"/>
        <w:ind w:firstLine="0" w:firstLineChars="0"/>
        <w:rPr>
          <w:rFonts w:cs="宋体"/>
          <w:b/>
          <w:color w:val="auto"/>
          <w:sz w:val="40"/>
          <w:szCs w:val="28"/>
          <w:highlight w:val="none"/>
        </w:rPr>
      </w:pPr>
    </w:p>
    <w:p>
      <w:pPr>
        <w:snapToGrid w:val="0"/>
        <w:ind w:firstLine="643"/>
        <w:rPr>
          <w:rFonts w:hint="eastAsia" w:eastAsia="宋体" w:cs="宋体"/>
          <w:b/>
          <w:bCs/>
          <w:color w:val="auto"/>
          <w:sz w:val="32"/>
          <w:szCs w:val="32"/>
          <w:highlight w:val="none"/>
          <w:lang w:eastAsia="zh-CN"/>
        </w:rPr>
      </w:pPr>
      <w:r>
        <w:rPr>
          <w:rFonts w:hint="eastAsia" w:cs="宋体"/>
          <w:b/>
          <w:bCs/>
          <w:color w:val="auto"/>
          <w:sz w:val="32"/>
          <w:szCs w:val="32"/>
          <w:highlight w:val="none"/>
        </w:rPr>
        <w:t>项目名称：</w:t>
      </w:r>
      <w:r>
        <w:rPr>
          <w:rFonts w:hint="eastAsia" w:cs="宋体"/>
          <w:b/>
          <w:bCs/>
          <w:color w:val="auto"/>
          <w:sz w:val="32"/>
          <w:szCs w:val="32"/>
          <w:highlight w:val="none"/>
          <w:lang w:eastAsia="zh-CN"/>
        </w:rPr>
        <w:t>研究生学位论文网络评审服务</w:t>
      </w:r>
    </w:p>
    <w:p>
      <w:pPr>
        <w:snapToGrid w:val="0"/>
        <w:ind w:firstLine="643"/>
        <w:rPr>
          <w:rFonts w:hint="eastAsia" w:eastAsia="宋体" w:cs="宋体"/>
          <w:b/>
          <w:bCs/>
          <w:color w:val="auto"/>
          <w:sz w:val="32"/>
          <w:szCs w:val="32"/>
          <w:highlight w:val="none"/>
          <w:lang w:eastAsia="zh-CN"/>
        </w:rPr>
      </w:pPr>
      <w:r>
        <w:rPr>
          <w:rFonts w:hint="eastAsia" w:cs="宋体"/>
          <w:b/>
          <w:bCs/>
          <w:color w:val="auto"/>
          <w:sz w:val="32"/>
          <w:szCs w:val="32"/>
          <w:highlight w:val="none"/>
        </w:rPr>
        <w:t>确认书号：</w:t>
      </w:r>
      <w:r>
        <w:rPr>
          <w:rFonts w:hint="eastAsia" w:cs="宋体"/>
          <w:b/>
          <w:bCs/>
          <w:color w:val="auto"/>
          <w:sz w:val="32"/>
          <w:szCs w:val="32"/>
          <w:highlight w:val="none"/>
          <w:lang w:eastAsia="zh-CN"/>
        </w:rPr>
        <w:t>[2021]86301号、[2021]86302号、临[2021]79113号</w:t>
      </w:r>
    </w:p>
    <w:p>
      <w:pPr>
        <w:snapToGrid w:val="0"/>
        <w:ind w:firstLine="643"/>
        <w:rPr>
          <w:rFonts w:hint="eastAsia" w:eastAsia="宋体" w:cs="宋体"/>
          <w:b/>
          <w:bCs/>
          <w:color w:val="auto"/>
          <w:sz w:val="32"/>
          <w:szCs w:val="32"/>
          <w:highlight w:val="none"/>
          <w:lang w:eastAsia="zh-CN"/>
        </w:rPr>
      </w:pPr>
      <w:r>
        <w:rPr>
          <w:rFonts w:hint="eastAsia" w:cs="宋体"/>
          <w:b/>
          <w:bCs/>
          <w:color w:val="auto"/>
          <w:sz w:val="32"/>
          <w:szCs w:val="32"/>
          <w:highlight w:val="none"/>
        </w:rPr>
        <w:t>招标编号：</w:t>
      </w:r>
      <w:r>
        <w:rPr>
          <w:rFonts w:hint="eastAsia" w:cs="宋体"/>
          <w:b/>
          <w:bCs/>
          <w:color w:val="auto"/>
          <w:sz w:val="32"/>
          <w:szCs w:val="32"/>
          <w:highlight w:val="none"/>
          <w:lang w:eastAsia="zh-CN"/>
        </w:rPr>
        <w:t>ZJWSBJ-HD-202122G</w:t>
      </w:r>
    </w:p>
    <w:p>
      <w:pPr>
        <w:snapToGrid w:val="0"/>
        <w:ind w:firstLine="643"/>
        <w:rPr>
          <w:rFonts w:cs="宋体"/>
          <w:b/>
          <w:bCs/>
          <w:color w:val="auto"/>
          <w:sz w:val="32"/>
          <w:szCs w:val="32"/>
          <w:highlight w:val="none"/>
        </w:rPr>
      </w:pPr>
      <w:r>
        <w:rPr>
          <w:rFonts w:hint="eastAsia" w:cs="宋体"/>
          <w:b/>
          <w:bCs/>
          <w:color w:val="auto"/>
          <w:sz w:val="32"/>
          <w:szCs w:val="32"/>
          <w:highlight w:val="none"/>
        </w:rPr>
        <w:t>招 标 人：杭州电子科技大学</w:t>
      </w:r>
    </w:p>
    <w:p>
      <w:pPr>
        <w:snapToGrid w:val="0"/>
        <w:ind w:firstLine="643"/>
        <w:rPr>
          <w:rFonts w:hint="eastAsia" w:eastAsia="宋体" w:cs="宋体"/>
          <w:b/>
          <w:bCs/>
          <w:color w:val="auto"/>
          <w:sz w:val="32"/>
          <w:szCs w:val="32"/>
          <w:highlight w:val="none"/>
          <w:lang w:eastAsia="zh-CN"/>
        </w:rPr>
      </w:pPr>
      <w:r>
        <w:rPr>
          <w:rFonts w:hint="eastAsia" w:cs="宋体"/>
          <w:b/>
          <w:bCs/>
          <w:color w:val="auto"/>
          <w:sz w:val="32"/>
          <w:szCs w:val="32"/>
          <w:highlight w:val="none"/>
        </w:rPr>
        <w:t>代理机构：</w:t>
      </w:r>
      <w:r>
        <w:rPr>
          <w:rFonts w:hint="eastAsia" w:cs="宋体"/>
          <w:b/>
          <w:bCs/>
          <w:color w:val="auto"/>
          <w:sz w:val="32"/>
          <w:szCs w:val="32"/>
          <w:highlight w:val="none"/>
          <w:lang w:eastAsia="zh-CN"/>
        </w:rPr>
        <w:t>浙江五石中正工程咨询有限公司</w:t>
      </w:r>
    </w:p>
    <w:p>
      <w:pPr>
        <w:snapToGrid w:val="0"/>
        <w:ind w:firstLine="643"/>
        <w:rPr>
          <w:rFonts w:hint="eastAsia" w:eastAsia="宋体" w:cs="宋体"/>
          <w:b/>
          <w:bCs/>
          <w:color w:val="auto"/>
          <w:sz w:val="32"/>
          <w:szCs w:val="32"/>
          <w:highlight w:val="none"/>
          <w:lang w:eastAsia="zh-CN"/>
        </w:rPr>
      </w:pPr>
      <w:r>
        <w:rPr>
          <w:rFonts w:hint="eastAsia" w:cs="宋体"/>
          <w:b/>
          <w:bCs/>
          <w:color w:val="auto"/>
          <w:sz w:val="32"/>
          <w:szCs w:val="32"/>
          <w:highlight w:val="none"/>
        </w:rPr>
        <w:t>时    间：</w:t>
      </w:r>
      <w:r>
        <w:rPr>
          <w:rFonts w:hint="eastAsia" w:cs="宋体"/>
          <w:b/>
          <w:bCs/>
          <w:color w:val="auto"/>
          <w:sz w:val="32"/>
          <w:szCs w:val="32"/>
          <w:highlight w:val="none"/>
          <w:lang w:eastAsia="zh-CN"/>
        </w:rPr>
        <w:t>二〇二一十一月</w:t>
      </w:r>
    </w:p>
    <w:p>
      <w:pPr>
        <w:pStyle w:val="48"/>
        <w:rPr>
          <w:rFonts w:ascii="宋体" w:hAnsi="宋体" w:eastAsia="宋体" w:cs="宋体"/>
          <w:color w:val="auto"/>
          <w:highlight w:val="none"/>
        </w:rPr>
      </w:pPr>
    </w:p>
    <w:p>
      <w:pPr>
        <w:snapToGrid w:val="0"/>
        <w:ind w:firstLine="643"/>
        <w:rPr>
          <w:rFonts w:cs="宋体"/>
          <w:b/>
          <w:bCs/>
          <w:color w:val="auto"/>
          <w:sz w:val="32"/>
          <w:szCs w:val="32"/>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40" w:right="1080" w:bottom="1440" w:left="1080" w:header="851" w:footer="992" w:gutter="0"/>
          <w:pgNumType w:start="1"/>
          <w:cols w:space="720" w:num="1"/>
          <w:docGrid w:type="lines" w:linePitch="312" w:charSpace="0"/>
        </w:sectPr>
      </w:pPr>
    </w:p>
    <w:p>
      <w:pPr>
        <w:pStyle w:val="31"/>
        <w:tabs>
          <w:tab w:val="right" w:leader="dot" w:pos="8306"/>
          <w:tab w:val="clear" w:pos="8296"/>
        </w:tabs>
        <w:ind w:left="480"/>
        <w:jc w:val="center"/>
        <w:rPr>
          <w:rFonts w:cs="宋体"/>
          <w:b/>
          <w:bCs/>
          <w:color w:val="auto"/>
          <w:sz w:val="36"/>
          <w:szCs w:val="36"/>
          <w:highlight w:val="none"/>
          <w:lang w:val="zh-CN"/>
        </w:rPr>
      </w:pPr>
      <w:bookmarkStart w:id="0" w:name="_Toc32639"/>
      <w:r>
        <w:rPr>
          <w:rFonts w:hint="eastAsia" w:cs="宋体"/>
          <w:b/>
          <w:bCs/>
          <w:color w:val="auto"/>
          <w:sz w:val="36"/>
          <w:szCs w:val="36"/>
          <w:highlight w:val="none"/>
          <w:lang w:val="zh-CN"/>
        </w:rPr>
        <w:t>目</w:t>
      </w:r>
      <w:r>
        <w:rPr>
          <w:rFonts w:hint="eastAsia" w:cs="宋体"/>
          <w:b/>
          <w:bCs/>
          <w:color w:val="auto"/>
          <w:sz w:val="36"/>
          <w:szCs w:val="36"/>
          <w:highlight w:val="none"/>
        </w:rPr>
        <w:t xml:space="preserve">  </w:t>
      </w:r>
      <w:r>
        <w:rPr>
          <w:rFonts w:hint="eastAsia" w:cs="宋体"/>
          <w:b/>
          <w:bCs/>
          <w:color w:val="auto"/>
          <w:sz w:val="36"/>
          <w:szCs w:val="36"/>
          <w:highlight w:val="none"/>
          <w:lang w:val="zh-CN"/>
        </w:rPr>
        <w:t>录</w:t>
      </w:r>
      <w:bookmarkEnd w:id="0"/>
    </w:p>
    <w:p>
      <w:pPr>
        <w:ind w:firstLine="480"/>
        <w:rPr>
          <w:rFonts w:cs="宋体"/>
          <w:color w:val="auto"/>
          <w:highlight w:val="none"/>
        </w:rPr>
      </w:pPr>
      <w:r>
        <w:rPr>
          <w:rFonts w:hint="eastAsia" w:cs="宋体"/>
          <w:color w:val="auto"/>
          <w:highlight w:val="none"/>
        </w:rPr>
        <w:fldChar w:fldCharType="begin"/>
      </w:r>
      <w:r>
        <w:rPr>
          <w:rFonts w:hint="eastAsia" w:cs="宋体"/>
          <w:color w:val="auto"/>
          <w:highlight w:val="none"/>
        </w:rPr>
        <w:instrText xml:space="preserve"> TOC \o "1-2" \h \z \u </w:instrText>
      </w:r>
      <w:r>
        <w:rPr>
          <w:rFonts w:hint="eastAsia" w:cs="宋体"/>
          <w:color w:val="auto"/>
          <w:highlight w:val="none"/>
        </w:rPr>
        <w:fldChar w:fldCharType="separate"/>
      </w:r>
    </w:p>
    <w:p>
      <w:pPr>
        <w:pStyle w:val="26"/>
        <w:tabs>
          <w:tab w:val="right" w:leader="dot" w:pos="9746"/>
          <w:tab w:val="clear" w:pos="8296"/>
        </w:tabs>
        <w:rPr>
          <w:color w:val="auto"/>
          <w:highlight w:val="none"/>
        </w:rPr>
      </w:pPr>
      <w:r>
        <w:rPr>
          <w:color w:val="auto"/>
          <w:highlight w:val="none"/>
        </w:rPr>
        <w:fldChar w:fldCharType="begin"/>
      </w:r>
      <w:r>
        <w:rPr>
          <w:color w:val="auto"/>
          <w:highlight w:val="none"/>
        </w:rPr>
        <w:instrText xml:space="preserve"> HYPERLINK \l "_Toc19596" </w:instrText>
      </w:r>
      <w:r>
        <w:rPr>
          <w:color w:val="auto"/>
          <w:highlight w:val="none"/>
        </w:rPr>
        <w:fldChar w:fldCharType="separate"/>
      </w:r>
      <w:r>
        <w:rPr>
          <w:rFonts w:hint="eastAsia" w:cs="宋体"/>
          <w:color w:val="auto"/>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_Toc19596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26"/>
        <w:tabs>
          <w:tab w:val="right" w:leader="dot" w:pos="9746"/>
          <w:tab w:val="clear" w:pos="8296"/>
        </w:tabs>
        <w:rPr>
          <w:color w:val="auto"/>
          <w:highlight w:val="none"/>
        </w:rPr>
      </w:pPr>
      <w:r>
        <w:rPr>
          <w:color w:val="auto"/>
          <w:highlight w:val="none"/>
        </w:rPr>
        <w:fldChar w:fldCharType="begin"/>
      </w:r>
      <w:r>
        <w:rPr>
          <w:color w:val="auto"/>
          <w:highlight w:val="none"/>
        </w:rPr>
        <w:instrText xml:space="preserve"> HYPERLINK \l "_Toc6146" </w:instrText>
      </w:r>
      <w:r>
        <w:rPr>
          <w:color w:val="auto"/>
          <w:highlight w:val="none"/>
        </w:rPr>
        <w:fldChar w:fldCharType="separate"/>
      </w:r>
      <w:r>
        <w:rPr>
          <w:rFonts w:hint="eastAsia" w:cs="宋体"/>
          <w:color w:val="auto"/>
          <w:highlight w:val="none"/>
        </w:rPr>
        <w:t>第二章 项目需求说明</w:t>
      </w:r>
      <w:r>
        <w:rPr>
          <w:color w:val="auto"/>
          <w:highlight w:val="none"/>
        </w:rPr>
        <w:tab/>
      </w:r>
      <w:r>
        <w:rPr>
          <w:color w:val="auto"/>
          <w:highlight w:val="none"/>
        </w:rPr>
        <w:fldChar w:fldCharType="begin"/>
      </w:r>
      <w:r>
        <w:rPr>
          <w:color w:val="auto"/>
          <w:highlight w:val="none"/>
        </w:rPr>
        <w:instrText xml:space="preserve"> PAGEREF _Toc6146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pPr>
        <w:pStyle w:val="26"/>
        <w:tabs>
          <w:tab w:val="right" w:leader="dot" w:pos="9746"/>
          <w:tab w:val="clear" w:pos="8296"/>
        </w:tabs>
        <w:rPr>
          <w:color w:val="auto"/>
          <w:highlight w:val="none"/>
        </w:rPr>
      </w:pPr>
      <w:r>
        <w:rPr>
          <w:color w:val="auto"/>
          <w:highlight w:val="none"/>
        </w:rPr>
        <w:fldChar w:fldCharType="begin"/>
      </w:r>
      <w:r>
        <w:rPr>
          <w:color w:val="auto"/>
          <w:highlight w:val="none"/>
        </w:rPr>
        <w:instrText xml:space="preserve"> HYPERLINK \l "_Toc5760" </w:instrText>
      </w:r>
      <w:r>
        <w:rPr>
          <w:color w:val="auto"/>
          <w:highlight w:val="none"/>
        </w:rPr>
        <w:fldChar w:fldCharType="separate"/>
      </w:r>
      <w:r>
        <w:rPr>
          <w:rFonts w:hint="eastAsia" w:cs="宋体"/>
          <w:color w:val="auto"/>
          <w:szCs w:val="36"/>
          <w:highlight w:val="none"/>
        </w:rPr>
        <w:t>第三章 投标人须知</w:t>
      </w:r>
      <w:r>
        <w:rPr>
          <w:color w:val="auto"/>
          <w:highlight w:val="none"/>
        </w:rPr>
        <w:tab/>
      </w:r>
      <w:r>
        <w:rPr>
          <w:color w:val="auto"/>
          <w:highlight w:val="none"/>
        </w:rPr>
        <w:fldChar w:fldCharType="begin"/>
      </w:r>
      <w:r>
        <w:rPr>
          <w:color w:val="auto"/>
          <w:highlight w:val="none"/>
        </w:rPr>
        <w:instrText xml:space="preserve"> PAGEREF _Toc5760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pPr>
        <w:pStyle w:val="31"/>
        <w:tabs>
          <w:tab w:val="right" w:leader="dot" w:pos="9746"/>
          <w:tab w:val="clear" w:pos="8296"/>
        </w:tabs>
        <w:ind w:left="480"/>
        <w:rPr>
          <w:color w:val="auto"/>
          <w:highlight w:val="none"/>
        </w:rPr>
      </w:pPr>
      <w:r>
        <w:rPr>
          <w:color w:val="auto"/>
          <w:highlight w:val="none"/>
        </w:rPr>
        <w:fldChar w:fldCharType="begin"/>
      </w:r>
      <w:r>
        <w:rPr>
          <w:color w:val="auto"/>
          <w:highlight w:val="none"/>
        </w:rPr>
        <w:instrText xml:space="preserve"> HYPERLINK \l "_Toc8778" </w:instrText>
      </w:r>
      <w:r>
        <w:rPr>
          <w:color w:val="auto"/>
          <w:highlight w:val="none"/>
        </w:rPr>
        <w:fldChar w:fldCharType="separate"/>
      </w:r>
      <w:r>
        <w:rPr>
          <w:rFonts w:hint="eastAsia" w:cs="宋体"/>
          <w:color w:val="auto"/>
          <w:highlight w:val="none"/>
        </w:rPr>
        <w:t>前 附 表</w:t>
      </w:r>
      <w:r>
        <w:rPr>
          <w:color w:val="auto"/>
          <w:highlight w:val="none"/>
        </w:rPr>
        <w:tab/>
      </w:r>
      <w:r>
        <w:rPr>
          <w:color w:val="auto"/>
          <w:highlight w:val="none"/>
        </w:rPr>
        <w:fldChar w:fldCharType="begin"/>
      </w:r>
      <w:r>
        <w:rPr>
          <w:color w:val="auto"/>
          <w:highlight w:val="none"/>
        </w:rPr>
        <w:instrText xml:space="preserve"> PAGEREF _Toc8778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pPr>
        <w:pStyle w:val="31"/>
        <w:tabs>
          <w:tab w:val="right" w:leader="dot" w:pos="9746"/>
          <w:tab w:val="clear" w:pos="8296"/>
        </w:tabs>
        <w:ind w:left="480"/>
        <w:rPr>
          <w:color w:val="auto"/>
          <w:highlight w:val="none"/>
        </w:rPr>
      </w:pPr>
      <w:r>
        <w:rPr>
          <w:color w:val="auto"/>
          <w:highlight w:val="none"/>
        </w:rPr>
        <w:fldChar w:fldCharType="begin"/>
      </w:r>
      <w:r>
        <w:rPr>
          <w:color w:val="auto"/>
          <w:highlight w:val="none"/>
        </w:rPr>
        <w:instrText xml:space="preserve"> HYPERLINK \l "_Toc14541" </w:instrText>
      </w:r>
      <w:r>
        <w:rPr>
          <w:color w:val="auto"/>
          <w:highlight w:val="none"/>
        </w:rPr>
        <w:fldChar w:fldCharType="separate"/>
      </w:r>
      <w:r>
        <w:rPr>
          <w:rFonts w:hint="eastAsia" w:cs="宋体"/>
          <w:color w:val="auto"/>
          <w:highlight w:val="none"/>
        </w:rPr>
        <w:t>第一节 总 则</w:t>
      </w:r>
      <w:r>
        <w:rPr>
          <w:color w:val="auto"/>
          <w:highlight w:val="none"/>
        </w:rPr>
        <w:tab/>
      </w:r>
      <w:r>
        <w:rPr>
          <w:color w:val="auto"/>
          <w:highlight w:val="none"/>
        </w:rPr>
        <w:fldChar w:fldCharType="begin"/>
      </w:r>
      <w:r>
        <w:rPr>
          <w:color w:val="auto"/>
          <w:highlight w:val="none"/>
        </w:rPr>
        <w:instrText xml:space="preserve"> PAGEREF _Toc14541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pPr>
        <w:pStyle w:val="31"/>
        <w:tabs>
          <w:tab w:val="right" w:leader="dot" w:pos="9746"/>
          <w:tab w:val="clear" w:pos="8296"/>
        </w:tabs>
        <w:ind w:left="480"/>
        <w:rPr>
          <w:color w:val="auto"/>
          <w:highlight w:val="none"/>
        </w:rPr>
      </w:pPr>
      <w:r>
        <w:rPr>
          <w:color w:val="auto"/>
          <w:highlight w:val="none"/>
        </w:rPr>
        <w:fldChar w:fldCharType="begin"/>
      </w:r>
      <w:r>
        <w:rPr>
          <w:color w:val="auto"/>
          <w:highlight w:val="none"/>
        </w:rPr>
        <w:instrText xml:space="preserve"> HYPERLINK \l "_Toc27084" </w:instrText>
      </w:r>
      <w:r>
        <w:rPr>
          <w:color w:val="auto"/>
          <w:highlight w:val="none"/>
        </w:rPr>
        <w:fldChar w:fldCharType="separate"/>
      </w:r>
      <w:r>
        <w:rPr>
          <w:rFonts w:hint="eastAsia"/>
          <w:color w:val="auto"/>
          <w:highlight w:val="none"/>
        </w:rPr>
        <w:t>第二节 招标文件的构成、澄清、修改</w:t>
      </w:r>
      <w:r>
        <w:rPr>
          <w:color w:val="auto"/>
          <w:highlight w:val="none"/>
        </w:rPr>
        <w:tab/>
      </w:r>
      <w:r>
        <w:rPr>
          <w:color w:val="auto"/>
          <w:highlight w:val="none"/>
        </w:rPr>
        <w:fldChar w:fldCharType="begin"/>
      </w:r>
      <w:r>
        <w:rPr>
          <w:color w:val="auto"/>
          <w:highlight w:val="none"/>
        </w:rPr>
        <w:instrText xml:space="preserve"> PAGEREF _Toc27084 \h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pPr>
        <w:pStyle w:val="31"/>
        <w:tabs>
          <w:tab w:val="right" w:leader="dot" w:pos="9746"/>
          <w:tab w:val="clear" w:pos="8296"/>
        </w:tabs>
        <w:ind w:left="480"/>
        <w:rPr>
          <w:color w:val="auto"/>
          <w:highlight w:val="none"/>
        </w:rPr>
      </w:pPr>
      <w:r>
        <w:rPr>
          <w:color w:val="auto"/>
          <w:highlight w:val="none"/>
        </w:rPr>
        <w:fldChar w:fldCharType="begin"/>
      </w:r>
      <w:r>
        <w:rPr>
          <w:color w:val="auto"/>
          <w:highlight w:val="none"/>
        </w:rPr>
        <w:instrText xml:space="preserve"> HYPERLINK \l "_Toc21160" </w:instrText>
      </w:r>
      <w:r>
        <w:rPr>
          <w:color w:val="auto"/>
          <w:highlight w:val="none"/>
        </w:rPr>
        <w:fldChar w:fldCharType="separate"/>
      </w:r>
      <w:r>
        <w:rPr>
          <w:rFonts w:hint="eastAsia"/>
          <w:color w:val="auto"/>
          <w:highlight w:val="none"/>
        </w:rPr>
        <w:t>第三节 投标文件</w:t>
      </w:r>
      <w:r>
        <w:rPr>
          <w:color w:val="auto"/>
          <w:highlight w:val="none"/>
        </w:rPr>
        <w:tab/>
      </w:r>
      <w:r>
        <w:rPr>
          <w:color w:val="auto"/>
          <w:highlight w:val="none"/>
        </w:rPr>
        <w:fldChar w:fldCharType="begin"/>
      </w:r>
      <w:r>
        <w:rPr>
          <w:color w:val="auto"/>
          <w:highlight w:val="none"/>
        </w:rPr>
        <w:instrText xml:space="preserve"> PAGEREF _Toc21160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pPr>
        <w:pStyle w:val="31"/>
        <w:tabs>
          <w:tab w:val="right" w:leader="dot" w:pos="9746"/>
          <w:tab w:val="clear" w:pos="8296"/>
        </w:tabs>
        <w:ind w:left="480"/>
        <w:rPr>
          <w:color w:val="auto"/>
          <w:highlight w:val="none"/>
        </w:rPr>
      </w:pPr>
      <w:r>
        <w:rPr>
          <w:color w:val="auto"/>
          <w:highlight w:val="none"/>
        </w:rPr>
        <w:fldChar w:fldCharType="begin"/>
      </w:r>
      <w:r>
        <w:rPr>
          <w:color w:val="auto"/>
          <w:highlight w:val="none"/>
        </w:rPr>
        <w:instrText xml:space="preserve"> HYPERLINK \l "_Toc22584" </w:instrText>
      </w:r>
      <w:r>
        <w:rPr>
          <w:color w:val="auto"/>
          <w:highlight w:val="none"/>
        </w:rPr>
        <w:fldChar w:fldCharType="separate"/>
      </w:r>
      <w:r>
        <w:rPr>
          <w:rFonts w:hint="eastAsia"/>
          <w:color w:val="auto"/>
          <w:highlight w:val="none"/>
        </w:rPr>
        <w:t>第四节 投标文件的递交</w:t>
      </w:r>
      <w:r>
        <w:rPr>
          <w:color w:val="auto"/>
          <w:highlight w:val="none"/>
        </w:rPr>
        <w:tab/>
      </w:r>
      <w:r>
        <w:rPr>
          <w:color w:val="auto"/>
          <w:highlight w:val="none"/>
        </w:rPr>
        <w:fldChar w:fldCharType="begin"/>
      </w:r>
      <w:r>
        <w:rPr>
          <w:color w:val="auto"/>
          <w:highlight w:val="none"/>
        </w:rPr>
        <w:instrText xml:space="preserve"> PAGEREF _Toc22584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pPr>
        <w:pStyle w:val="31"/>
        <w:tabs>
          <w:tab w:val="right" w:leader="dot" w:pos="9746"/>
          <w:tab w:val="clear" w:pos="8296"/>
        </w:tabs>
        <w:ind w:left="480"/>
        <w:rPr>
          <w:color w:val="auto"/>
          <w:highlight w:val="none"/>
        </w:rPr>
      </w:pPr>
      <w:r>
        <w:rPr>
          <w:color w:val="auto"/>
          <w:highlight w:val="none"/>
        </w:rPr>
        <w:fldChar w:fldCharType="begin"/>
      </w:r>
      <w:r>
        <w:rPr>
          <w:color w:val="auto"/>
          <w:highlight w:val="none"/>
        </w:rPr>
        <w:instrText xml:space="preserve"> HYPERLINK \l "_Toc11276" </w:instrText>
      </w:r>
      <w:r>
        <w:rPr>
          <w:color w:val="auto"/>
          <w:highlight w:val="none"/>
        </w:rPr>
        <w:fldChar w:fldCharType="separate"/>
      </w:r>
      <w:r>
        <w:rPr>
          <w:rFonts w:hint="eastAsia"/>
          <w:color w:val="auto"/>
          <w:highlight w:val="none"/>
        </w:rPr>
        <w:t>第五节 开标</w:t>
      </w:r>
      <w:r>
        <w:rPr>
          <w:color w:val="auto"/>
          <w:highlight w:val="none"/>
        </w:rPr>
        <w:tab/>
      </w:r>
      <w:r>
        <w:rPr>
          <w:color w:val="auto"/>
          <w:highlight w:val="none"/>
        </w:rPr>
        <w:fldChar w:fldCharType="begin"/>
      </w:r>
      <w:r>
        <w:rPr>
          <w:color w:val="auto"/>
          <w:highlight w:val="none"/>
        </w:rPr>
        <w:instrText xml:space="preserve"> PAGEREF _Toc11276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pPr>
        <w:pStyle w:val="31"/>
        <w:tabs>
          <w:tab w:val="right" w:leader="dot" w:pos="9746"/>
          <w:tab w:val="clear" w:pos="8296"/>
        </w:tabs>
        <w:ind w:left="480"/>
        <w:rPr>
          <w:color w:val="auto"/>
          <w:highlight w:val="none"/>
        </w:rPr>
      </w:pPr>
      <w:r>
        <w:rPr>
          <w:color w:val="auto"/>
          <w:highlight w:val="none"/>
        </w:rPr>
        <w:fldChar w:fldCharType="begin"/>
      </w:r>
      <w:r>
        <w:rPr>
          <w:color w:val="auto"/>
          <w:highlight w:val="none"/>
        </w:rPr>
        <w:instrText xml:space="preserve"> HYPERLINK \l "_Toc21559" </w:instrText>
      </w:r>
      <w:r>
        <w:rPr>
          <w:color w:val="auto"/>
          <w:highlight w:val="none"/>
        </w:rPr>
        <w:fldChar w:fldCharType="separate"/>
      </w:r>
      <w:r>
        <w:rPr>
          <w:rFonts w:hint="eastAsia"/>
          <w:color w:val="auto"/>
          <w:highlight w:val="none"/>
        </w:rPr>
        <w:t>第六节 评标</w:t>
      </w:r>
      <w:r>
        <w:rPr>
          <w:color w:val="auto"/>
          <w:highlight w:val="none"/>
        </w:rPr>
        <w:tab/>
      </w:r>
      <w:r>
        <w:rPr>
          <w:color w:val="auto"/>
          <w:highlight w:val="none"/>
        </w:rPr>
        <w:fldChar w:fldCharType="begin"/>
      </w:r>
      <w:r>
        <w:rPr>
          <w:color w:val="auto"/>
          <w:highlight w:val="none"/>
        </w:rPr>
        <w:instrText xml:space="preserve"> PAGEREF _Toc21559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pPr>
        <w:pStyle w:val="31"/>
        <w:tabs>
          <w:tab w:val="right" w:leader="dot" w:pos="9746"/>
          <w:tab w:val="clear" w:pos="8296"/>
        </w:tabs>
        <w:ind w:left="480"/>
        <w:rPr>
          <w:color w:val="auto"/>
          <w:highlight w:val="none"/>
        </w:rPr>
      </w:pPr>
      <w:r>
        <w:rPr>
          <w:color w:val="auto"/>
          <w:highlight w:val="none"/>
        </w:rPr>
        <w:fldChar w:fldCharType="begin"/>
      </w:r>
      <w:r>
        <w:rPr>
          <w:color w:val="auto"/>
          <w:highlight w:val="none"/>
        </w:rPr>
        <w:instrText xml:space="preserve"> HYPERLINK \l "_Toc15663" </w:instrText>
      </w:r>
      <w:r>
        <w:rPr>
          <w:color w:val="auto"/>
          <w:highlight w:val="none"/>
        </w:rPr>
        <w:fldChar w:fldCharType="separate"/>
      </w:r>
      <w:r>
        <w:rPr>
          <w:rFonts w:hint="eastAsia" w:cs="宋体"/>
          <w:color w:val="auto"/>
          <w:highlight w:val="none"/>
        </w:rPr>
        <w:t>第七节 授予合同</w:t>
      </w:r>
      <w:r>
        <w:rPr>
          <w:color w:val="auto"/>
          <w:highlight w:val="none"/>
        </w:rPr>
        <w:tab/>
      </w:r>
      <w:r>
        <w:rPr>
          <w:color w:val="auto"/>
          <w:highlight w:val="none"/>
        </w:rPr>
        <w:fldChar w:fldCharType="begin"/>
      </w:r>
      <w:r>
        <w:rPr>
          <w:color w:val="auto"/>
          <w:highlight w:val="none"/>
        </w:rPr>
        <w:instrText xml:space="preserve"> PAGEREF _Toc15663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pPr>
        <w:pStyle w:val="31"/>
        <w:tabs>
          <w:tab w:val="right" w:leader="dot" w:pos="9746"/>
          <w:tab w:val="clear" w:pos="8296"/>
        </w:tabs>
        <w:ind w:left="480"/>
        <w:rPr>
          <w:color w:val="auto"/>
          <w:highlight w:val="none"/>
        </w:rPr>
      </w:pPr>
      <w:r>
        <w:rPr>
          <w:color w:val="auto"/>
          <w:highlight w:val="none"/>
        </w:rPr>
        <w:fldChar w:fldCharType="begin"/>
      </w:r>
      <w:r>
        <w:rPr>
          <w:color w:val="auto"/>
          <w:highlight w:val="none"/>
        </w:rPr>
        <w:instrText xml:space="preserve"> HYPERLINK \l "_Toc14481" </w:instrText>
      </w:r>
      <w:r>
        <w:rPr>
          <w:color w:val="auto"/>
          <w:highlight w:val="none"/>
        </w:rPr>
        <w:fldChar w:fldCharType="separate"/>
      </w:r>
      <w:r>
        <w:rPr>
          <w:rFonts w:hint="eastAsia"/>
          <w:color w:val="auto"/>
          <w:highlight w:val="none"/>
        </w:rPr>
        <w:t>第八节 例外处理</w:t>
      </w:r>
      <w:r>
        <w:rPr>
          <w:color w:val="auto"/>
          <w:highlight w:val="none"/>
        </w:rPr>
        <w:tab/>
      </w:r>
      <w:r>
        <w:rPr>
          <w:color w:val="auto"/>
          <w:highlight w:val="none"/>
        </w:rPr>
        <w:fldChar w:fldCharType="begin"/>
      </w:r>
      <w:r>
        <w:rPr>
          <w:color w:val="auto"/>
          <w:highlight w:val="none"/>
        </w:rPr>
        <w:instrText xml:space="preserve"> PAGEREF _Toc14481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pPr>
        <w:pStyle w:val="26"/>
        <w:tabs>
          <w:tab w:val="right" w:leader="dot" w:pos="9746"/>
          <w:tab w:val="clear" w:pos="8296"/>
        </w:tabs>
        <w:rPr>
          <w:color w:val="auto"/>
          <w:highlight w:val="none"/>
        </w:rPr>
      </w:pPr>
      <w:r>
        <w:rPr>
          <w:color w:val="auto"/>
          <w:highlight w:val="none"/>
        </w:rPr>
        <w:fldChar w:fldCharType="begin"/>
      </w:r>
      <w:r>
        <w:rPr>
          <w:color w:val="auto"/>
          <w:highlight w:val="none"/>
        </w:rPr>
        <w:instrText xml:space="preserve"> HYPERLINK \l "_Toc21368" </w:instrText>
      </w:r>
      <w:r>
        <w:rPr>
          <w:color w:val="auto"/>
          <w:highlight w:val="none"/>
        </w:rPr>
        <w:fldChar w:fldCharType="separate"/>
      </w:r>
      <w:r>
        <w:rPr>
          <w:rFonts w:hint="eastAsia"/>
          <w:color w:val="auto"/>
          <w:highlight w:val="none"/>
        </w:rPr>
        <w:t>第四章 评标办法及评分标准</w:t>
      </w:r>
      <w:r>
        <w:rPr>
          <w:color w:val="auto"/>
          <w:highlight w:val="none"/>
        </w:rPr>
        <w:tab/>
      </w:r>
      <w:r>
        <w:rPr>
          <w:color w:val="auto"/>
          <w:highlight w:val="none"/>
        </w:rPr>
        <w:fldChar w:fldCharType="begin"/>
      </w:r>
      <w:r>
        <w:rPr>
          <w:color w:val="auto"/>
          <w:highlight w:val="none"/>
        </w:rPr>
        <w:instrText xml:space="preserve"> PAGEREF _Toc21368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pPr>
        <w:pStyle w:val="31"/>
        <w:tabs>
          <w:tab w:val="right" w:leader="dot" w:pos="9746"/>
          <w:tab w:val="clear" w:pos="8296"/>
        </w:tabs>
        <w:ind w:left="480"/>
        <w:rPr>
          <w:color w:val="auto"/>
          <w:highlight w:val="none"/>
        </w:rPr>
      </w:pPr>
      <w:r>
        <w:rPr>
          <w:color w:val="auto"/>
          <w:highlight w:val="none"/>
        </w:rPr>
        <w:fldChar w:fldCharType="begin"/>
      </w:r>
      <w:r>
        <w:rPr>
          <w:color w:val="auto"/>
          <w:highlight w:val="none"/>
        </w:rPr>
        <w:instrText xml:space="preserve"> HYPERLINK \l "_Toc3017" </w:instrText>
      </w:r>
      <w:r>
        <w:rPr>
          <w:color w:val="auto"/>
          <w:highlight w:val="none"/>
        </w:rPr>
        <w:fldChar w:fldCharType="separate"/>
      </w:r>
      <w:r>
        <w:rPr>
          <w:rFonts w:hint="eastAsia"/>
          <w:color w:val="auto"/>
          <w:highlight w:val="none"/>
        </w:rPr>
        <w:t>一、评分总则</w:t>
      </w:r>
      <w:r>
        <w:rPr>
          <w:color w:val="auto"/>
          <w:highlight w:val="none"/>
        </w:rPr>
        <w:tab/>
      </w:r>
      <w:r>
        <w:rPr>
          <w:color w:val="auto"/>
          <w:highlight w:val="none"/>
        </w:rPr>
        <w:fldChar w:fldCharType="begin"/>
      </w:r>
      <w:r>
        <w:rPr>
          <w:color w:val="auto"/>
          <w:highlight w:val="none"/>
        </w:rPr>
        <w:instrText xml:space="preserve"> PAGEREF _Toc3017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pPr>
        <w:pStyle w:val="31"/>
        <w:tabs>
          <w:tab w:val="right" w:leader="dot" w:pos="9746"/>
          <w:tab w:val="clear" w:pos="8296"/>
        </w:tabs>
        <w:ind w:left="480"/>
        <w:rPr>
          <w:color w:val="auto"/>
          <w:highlight w:val="none"/>
        </w:rPr>
      </w:pPr>
      <w:r>
        <w:rPr>
          <w:color w:val="auto"/>
          <w:highlight w:val="none"/>
        </w:rPr>
        <w:fldChar w:fldCharType="begin"/>
      </w:r>
      <w:r>
        <w:rPr>
          <w:color w:val="auto"/>
          <w:highlight w:val="none"/>
        </w:rPr>
        <w:instrText xml:space="preserve"> HYPERLINK \l "_Toc30520" </w:instrText>
      </w:r>
      <w:r>
        <w:rPr>
          <w:color w:val="auto"/>
          <w:highlight w:val="none"/>
        </w:rPr>
        <w:fldChar w:fldCharType="separate"/>
      </w:r>
      <w:r>
        <w:rPr>
          <w:rFonts w:hint="eastAsia" w:cs="宋体"/>
          <w:color w:val="auto"/>
          <w:highlight w:val="none"/>
        </w:rPr>
        <w:t>二、评分内容及标准</w:t>
      </w:r>
      <w:r>
        <w:rPr>
          <w:color w:val="auto"/>
          <w:highlight w:val="none"/>
        </w:rPr>
        <w:tab/>
      </w:r>
      <w:r>
        <w:rPr>
          <w:color w:val="auto"/>
          <w:highlight w:val="none"/>
        </w:rPr>
        <w:fldChar w:fldCharType="begin"/>
      </w:r>
      <w:r>
        <w:rPr>
          <w:color w:val="auto"/>
          <w:highlight w:val="none"/>
        </w:rPr>
        <w:instrText xml:space="preserve"> PAGEREF _Toc30520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pPr>
        <w:pStyle w:val="26"/>
        <w:tabs>
          <w:tab w:val="right" w:leader="dot" w:pos="9746"/>
          <w:tab w:val="clear" w:pos="8296"/>
        </w:tabs>
        <w:rPr>
          <w:color w:val="auto"/>
          <w:highlight w:val="none"/>
        </w:rPr>
      </w:pPr>
      <w:r>
        <w:rPr>
          <w:color w:val="auto"/>
          <w:highlight w:val="none"/>
        </w:rPr>
        <w:fldChar w:fldCharType="begin"/>
      </w:r>
      <w:r>
        <w:rPr>
          <w:color w:val="auto"/>
          <w:highlight w:val="none"/>
        </w:rPr>
        <w:instrText xml:space="preserve"> HYPERLINK \l "_Toc10616" </w:instrText>
      </w:r>
      <w:r>
        <w:rPr>
          <w:color w:val="auto"/>
          <w:highlight w:val="none"/>
        </w:rPr>
        <w:fldChar w:fldCharType="separate"/>
      </w:r>
      <w:r>
        <w:rPr>
          <w:rFonts w:hint="eastAsia"/>
          <w:color w:val="auto"/>
          <w:highlight w:val="none"/>
        </w:rPr>
        <w:t>第五章 合同格式</w:t>
      </w:r>
      <w:r>
        <w:rPr>
          <w:color w:val="auto"/>
          <w:highlight w:val="none"/>
        </w:rPr>
        <w:tab/>
      </w:r>
      <w:r>
        <w:rPr>
          <w:color w:val="auto"/>
          <w:highlight w:val="none"/>
        </w:rPr>
        <w:fldChar w:fldCharType="begin"/>
      </w:r>
      <w:r>
        <w:rPr>
          <w:color w:val="auto"/>
          <w:highlight w:val="none"/>
        </w:rPr>
        <w:instrText xml:space="preserve"> PAGEREF _Toc10616 \h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pPr>
        <w:pStyle w:val="26"/>
        <w:tabs>
          <w:tab w:val="right" w:leader="dot" w:pos="9746"/>
          <w:tab w:val="clear" w:pos="8296"/>
        </w:tabs>
        <w:rPr>
          <w:color w:val="auto"/>
          <w:highlight w:val="none"/>
        </w:rPr>
      </w:pPr>
      <w:r>
        <w:rPr>
          <w:color w:val="auto"/>
          <w:highlight w:val="none"/>
        </w:rPr>
        <w:fldChar w:fldCharType="begin"/>
      </w:r>
      <w:r>
        <w:rPr>
          <w:color w:val="auto"/>
          <w:highlight w:val="none"/>
        </w:rPr>
        <w:instrText xml:space="preserve"> HYPERLINK \l "_Toc24575" </w:instrText>
      </w:r>
      <w:r>
        <w:rPr>
          <w:color w:val="auto"/>
          <w:highlight w:val="none"/>
        </w:rPr>
        <w:fldChar w:fldCharType="separate"/>
      </w:r>
      <w:r>
        <w:rPr>
          <w:rFonts w:hint="eastAsia"/>
          <w:color w:val="auto"/>
          <w:highlight w:val="none"/>
        </w:rPr>
        <w:t>第六章 投标文件格式</w:t>
      </w:r>
      <w:r>
        <w:rPr>
          <w:color w:val="auto"/>
          <w:highlight w:val="none"/>
        </w:rPr>
        <w:tab/>
      </w:r>
      <w:r>
        <w:rPr>
          <w:color w:val="auto"/>
          <w:highlight w:val="none"/>
        </w:rPr>
        <w:fldChar w:fldCharType="begin"/>
      </w:r>
      <w:r>
        <w:rPr>
          <w:color w:val="auto"/>
          <w:highlight w:val="none"/>
        </w:rPr>
        <w:instrText xml:space="preserve"> PAGEREF _Toc24575 \h </w:instrText>
      </w:r>
      <w:r>
        <w:rPr>
          <w:color w:val="auto"/>
          <w:highlight w:val="none"/>
        </w:rPr>
        <w:fldChar w:fldCharType="separate"/>
      </w:r>
      <w:r>
        <w:rPr>
          <w:color w:val="auto"/>
          <w:highlight w:val="none"/>
        </w:rPr>
        <w:t>31</w:t>
      </w:r>
      <w:r>
        <w:rPr>
          <w:color w:val="auto"/>
          <w:highlight w:val="none"/>
        </w:rPr>
        <w:fldChar w:fldCharType="end"/>
      </w:r>
      <w:r>
        <w:rPr>
          <w:color w:val="auto"/>
          <w:highlight w:val="none"/>
        </w:rPr>
        <w:fldChar w:fldCharType="end"/>
      </w:r>
    </w:p>
    <w:p>
      <w:pPr>
        <w:pStyle w:val="31"/>
        <w:tabs>
          <w:tab w:val="right" w:leader="dot" w:pos="8306"/>
          <w:tab w:val="clear" w:pos="8296"/>
        </w:tabs>
        <w:ind w:left="480"/>
        <w:jc w:val="center"/>
        <w:rPr>
          <w:rFonts w:cs="宋体"/>
          <w:color w:val="auto"/>
          <w:highlight w:val="none"/>
        </w:rPr>
      </w:pPr>
      <w:r>
        <w:rPr>
          <w:rFonts w:hint="eastAsia" w:cs="宋体"/>
          <w:color w:val="auto"/>
          <w:highlight w:val="none"/>
        </w:rPr>
        <w:fldChar w:fldCharType="end"/>
      </w:r>
    </w:p>
    <w:p>
      <w:pPr>
        <w:ind w:firstLine="480"/>
        <w:rPr>
          <w:color w:val="auto"/>
          <w:highlight w:val="none"/>
        </w:rPr>
        <w:sectPr>
          <w:footerReference r:id="rId12" w:type="default"/>
          <w:headerReference r:id="rId11" w:type="even"/>
          <w:footerReference r:id="rId13" w:type="even"/>
          <w:pgSz w:w="11906" w:h="16838"/>
          <w:pgMar w:top="1440" w:right="1080" w:bottom="1440" w:left="1080" w:header="851" w:footer="992" w:gutter="0"/>
          <w:cols w:space="720" w:num="1"/>
          <w:docGrid w:type="lines" w:linePitch="312" w:charSpace="0"/>
        </w:sectPr>
      </w:pPr>
    </w:p>
    <w:p>
      <w:pPr>
        <w:pStyle w:val="3"/>
        <w:rPr>
          <w:rFonts w:cs="宋体"/>
          <w:color w:val="auto"/>
          <w:highlight w:val="none"/>
        </w:rPr>
      </w:pPr>
      <w:bookmarkStart w:id="1" w:name="_Toc24232"/>
      <w:bookmarkStart w:id="2" w:name="_Toc19596"/>
      <w:bookmarkStart w:id="3" w:name="_Toc12653"/>
      <w:bookmarkStart w:id="4" w:name="_Toc452457411"/>
      <w:r>
        <w:rPr>
          <w:rFonts w:hint="eastAsia" w:cs="宋体"/>
          <w:color w:val="auto"/>
          <w:highlight w:val="none"/>
        </w:rPr>
        <w:t>第一章 招标公告</w:t>
      </w:r>
      <w:bookmarkEnd w:id="1"/>
      <w:bookmarkEnd w:id="2"/>
      <w:bookmarkEnd w:id="3"/>
    </w:p>
    <w:p>
      <w:pPr>
        <w:ind w:firstLine="480"/>
        <w:rPr>
          <w:rFonts w:cs="宋体"/>
          <w:color w:val="auto"/>
          <w:highlight w:val="none"/>
        </w:rPr>
      </w:pPr>
    </w:p>
    <w:p>
      <w:pPr>
        <w:pBdr>
          <w:top w:val="single" w:color="auto" w:sz="4" w:space="1"/>
          <w:left w:val="single" w:color="auto" w:sz="4" w:space="4"/>
          <w:bottom w:val="single" w:color="auto" w:sz="4" w:space="1"/>
          <w:right w:val="single" w:color="auto" w:sz="4" w:space="4"/>
        </w:pBdr>
        <w:ind w:firstLine="480"/>
        <w:rPr>
          <w:rFonts w:cs="宋体"/>
          <w:color w:val="auto"/>
          <w:highlight w:val="none"/>
        </w:rPr>
      </w:pPr>
      <w:r>
        <w:rPr>
          <w:rFonts w:hint="eastAsia" w:cs="宋体"/>
          <w:color w:val="auto"/>
          <w:highlight w:val="none"/>
        </w:rPr>
        <w:t>项目概况</w:t>
      </w:r>
    </w:p>
    <w:p>
      <w:pPr>
        <w:pBdr>
          <w:top w:val="single" w:color="auto" w:sz="4" w:space="1"/>
          <w:left w:val="single" w:color="auto" w:sz="4" w:space="4"/>
          <w:bottom w:val="single" w:color="auto" w:sz="4" w:space="1"/>
          <w:right w:val="single" w:color="auto" w:sz="4" w:space="4"/>
        </w:pBdr>
        <w:ind w:firstLine="480"/>
        <w:rPr>
          <w:rFonts w:cs="宋体"/>
          <w:color w:val="auto"/>
          <w:highlight w:val="none"/>
        </w:rPr>
      </w:pPr>
      <w:r>
        <w:rPr>
          <w:rFonts w:hint="eastAsia" w:cs="宋体"/>
          <w:color w:val="auto"/>
          <w:highlight w:val="none"/>
          <w:u w:val="single"/>
        </w:rPr>
        <w:t xml:space="preserve"> </w:t>
      </w:r>
      <w:r>
        <w:rPr>
          <w:rFonts w:hint="eastAsia" w:cs="宋体"/>
          <w:color w:val="auto"/>
          <w:highlight w:val="none"/>
          <w:u w:val="single"/>
          <w:lang w:eastAsia="zh-CN"/>
        </w:rPr>
        <w:t>研究生学位论文网络评审服务</w:t>
      </w:r>
      <w:r>
        <w:rPr>
          <w:rFonts w:hint="eastAsia" w:cs="宋体"/>
          <w:color w:val="auto"/>
          <w:highlight w:val="none"/>
          <w:u w:val="single"/>
        </w:rPr>
        <w:t xml:space="preserve"> </w:t>
      </w:r>
      <w:r>
        <w:rPr>
          <w:rFonts w:hint="eastAsia" w:cs="宋体"/>
          <w:color w:val="auto"/>
          <w:highlight w:val="none"/>
        </w:rPr>
        <w:t xml:space="preserve"> 招标项目的潜在投标人应在政府采购云平台（https://login.zcygov.cn）获取招标文件，并于</w:t>
      </w:r>
      <w:r>
        <w:rPr>
          <w:rFonts w:hint="eastAsia" w:cs="宋体"/>
          <w:color w:val="auto"/>
          <w:highlight w:val="none"/>
          <w:u w:val="single"/>
          <w:lang w:eastAsia="zh-CN"/>
        </w:rPr>
        <w:t>2021年12月15日</w:t>
      </w:r>
      <w:r>
        <w:rPr>
          <w:rFonts w:hint="eastAsia" w:cs="宋体"/>
          <w:bCs/>
          <w:color w:val="auto"/>
          <w:highlight w:val="none"/>
          <w:u w:val="single"/>
          <w:lang w:val="en-US" w:eastAsia="zh-CN"/>
        </w:rPr>
        <w:t>14</w:t>
      </w:r>
      <w:r>
        <w:rPr>
          <w:rFonts w:hint="eastAsia" w:cs="宋体"/>
          <w:bCs/>
          <w:color w:val="auto"/>
          <w:highlight w:val="none"/>
          <w:u w:val="single"/>
        </w:rPr>
        <w:t>点</w:t>
      </w:r>
      <w:r>
        <w:rPr>
          <w:rFonts w:hint="eastAsia" w:cs="宋体"/>
          <w:bCs/>
          <w:color w:val="auto"/>
          <w:highlight w:val="none"/>
          <w:u w:val="single"/>
          <w:lang w:val="en-US" w:eastAsia="zh-CN"/>
        </w:rPr>
        <w:t>0</w:t>
      </w:r>
      <w:r>
        <w:rPr>
          <w:rFonts w:hint="eastAsia" w:cs="宋体"/>
          <w:bCs/>
          <w:color w:val="auto"/>
          <w:highlight w:val="none"/>
          <w:u w:val="single"/>
        </w:rPr>
        <w:t>0分（</w:t>
      </w:r>
      <w:r>
        <w:rPr>
          <w:rFonts w:hint="eastAsia" w:cs="宋体"/>
          <w:bCs/>
          <w:color w:val="auto"/>
          <w:highlight w:val="none"/>
        </w:rPr>
        <w:t>北京时间）前递交投标文件</w:t>
      </w:r>
      <w:r>
        <w:rPr>
          <w:rFonts w:hint="eastAsia" w:cs="宋体"/>
          <w:color w:val="auto"/>
          <w:highlight w:val="none"/>
        </w:rPr>
        <w:t>。</w:t>
      </w:r>
    </w:p>
    <w:p>
      <w:pPr>
        <w:ind w:firstLine="480"/>
        <w:rPr>
          <w:rFonts w:cs="宋体"/>
          <w:color w:val="auto"/>
          <w:highlight w:val="none"/>
        </w:rPr>
      </w:pPr>
    </w:p>
    <w:p>
      <w:pPr>
        <w:pStyle w:val="4"/>
        <w:rPr>
          <w:rFonts w:cs="宋体"/>
          <w:bCs w:val="0"/>
          <w:color w:val="auto"/>
          <w:sz w:val="24"/>
          <w:szCs w:val="24"/>
          <w:highlight w:val="none"/>
        </w:rPr>
      </w:pPr>
      <w:bookmarkStart w:id="5" w:name="_Toc28359002"/>
      <w:bookmarkStart w:id="6" w:name="_Toc26568"/>
      <w:bookmarkStart w:id="7" w:name="_Toc35393790"/>
      <w:bookmarkStart w:id="8" w:name="_Toc28359079"/>
      <w:bookmarkStart w:id="9" w:name="_Toc13603"/>
      <w:bookmarkStart w:id="10" w:name="_Toc35393621"/>
      <w:bookmarkStart w:id="11" w:name="_Toc24736"/>
      <w:bookmarkStart w:id="12" w:name="_Toc23477"/>
      <w:bookmarkStart w:id="13" w:name="_Hlk24379207"/>
      <w:r>
        <w:rPr>
          <w:rFonts w:hint="eastAsia" w:cs="宋体"/>
          <w:bCs w:val="0"/>
          <w:color w:val="auto"/>
          <w:sz w:val="24"/>
          <w:szCs w:val="24"/>
          <w:highlight w:val="none"/>
        </w:rPr>
        <w:t>一、项目基本情况</w:t>
      </w:r>
      <w:bookmarkEnd w:id="5"/>
      <w:bookmarkEnd w:id="6"/>
      <w:bookmarkEnd w:id="7"/>
      <w:bookmarkEnd w:id="8"/>
      <w:bookmarkEnd w:id="9"/>
      <w:bookmarkEnd w:id="10"/>
      <w:bookmarkEnd w:id="11"/>
      <w:bookmarkEnd w:id="12"/>
    </w:p>
    <w:p>
      <w:pPr>
        <w:ind w:firstLine="480"/>
        <w:rPr>
          <w:rFonts w:hint="eastAsia" w:eastAsia="宋体" w:cs="宋体"/>
          <w:color w:val="auto"/>
          <w:highlight w:val="none"/>
          <w:lang w:eastAsia="zh-CN"/>
        </w:rPr>
      </w:pPr>
      <w:r>
        <w:rPr>
          <w:rFonts w:hint="eastAsia" w:cs="宋体"/>
          <w:color w:val="auto"/>
          <w:highlight w:val="none"/>
        </w:rPr>
        <w:t>项目编号：</w:t>
      </w:r>
      <w:r>
        <w:rPr>
          <w:rFonts w:hint="eastAsia" w:cs="宋体"/>
          <w:color w:val="auto"/>
          <w:highlight w:val="none"/>
          <w:lang w:eastAsia="zh-CN"/>
        </w:rPr>
        <w:t>ZJWSBJ-HD-202122G</w:t>
      </w:r>
    </w:p>
    <w:p>
      <w:pPr>
        <w:ind w:firstLine="480"/>
        <w:rPr>
          <w:rFonts w:hint="eastAsia" w:eastAsia="宋体" w:cs="宋体"/>
          <w:color w:val="auto"/>
          <w:highlight w:val="none"/>
          <w:lang w:eastAsia="zh-CN"/>
        </w:rPr>
      </w:pPr>
      <w:r>
        <w:rPr>
          <w:rFonts w:hint="eastAsia" w:cs="宋体"/>
          <w:color w:val="auto"/>
          <w:highlight w:val="none"/>
        </w:rPr>
        <w:t>项目名称：</w:t>
      </w:r>
      <w:r>
        <w:rPr>
          <w:rFonts w:hint="eastAsia" w:cs="宋体"/>
          <w:color w:val="auto"/>
          <w:highlight w:val="none"/>
          <w:lang w:eastAsia="zh-CN"/>
        </w:rPr>
        <w:t>研究生学位论文网络评审服务</w:t>
      </w:r>
    </w:p>
    <w:bookmarkEnd w:id="13"/>
    <w:p>
      <w:pPr>
        <w:ind w:firstLine="480"/>
        <w:rPr>
          <w:rFonts w:hint="eastAsia" w:eastAsia="宋体" w:cs="宋体"/>
          <w:color w:val="auto"/>
          <w:highlight w:val="none"/>
          <w:lang w:eastAsia="zh-CN"/>
        </w:rPr>
      </w:pPr>
      <w:r>
        <w:rPr>
          <w:rFonts w:hint="eastAsia" w:cs="宋体"/>
          <w:color w:val="auto"/>
          <w:highlight w:val="none"/>
        </w:rPr>
        <w:t>预算金额（元）：</w:t>
      </w:r>
      <w:r>
        <w:rPr>
          <w:rFonts w:hint="eastAsia" w:cs="宋体"/>
          <w:color w:val="auto"/>
          <w:highlight w:val="none"/>
          <w:lang w:eastAsia="zh-CN"/>
        </w:rPr>
        <w:t>2000535</w:t>
      </w:r>
      <w:r>
        <w:rPr>
          <w:rFonts w:hint="eastAsia" w:cs="宋体"/>
          <w:color w:val="auto"/>
          <w:highlight w:val="none"/>
          <w:lang w:val="en-US" w:eastAsia="zh-CN"/>
        </w:rPr>
        <w:t>.</w:t>
      </w:r>
      <w:r>
        <w:rPr>
          <w:rFonts w:hint="eastAsia" w:cs="宋体"/>
          <w:color w:val="auto"/>
          <w:highlight w:val="none"/>
          <w:lang w:eastAsia="zh-CN"/>
        </w:rPr>
        <w:t>27</w:t>
      </w:r>
    </w:p>
    <w:p>
      <w:pPr>
        <w:ind w:firstLine="480"/>
        <w:rPr>
          <w:rFonts w:hint="eastAsia" w:eastAsia="宋体" w:cs="宋体"/>
          <w:color w:val="auto"/>
          <w:highlight w:val="none"/>
          <w:lang w:eastAsia="zh-CN"/>
        </w:rPr>
      </w:pPr>
      <w:r>
        <w:rPr>
          <w:rFonts w:hint="eastAsia" w:cs="宋体"/>
          <w:color w:val="auto"/>
          <w:highlight w:val="none"/>
        </w:rPr>
        <w:t>最高限价（元）：</w:t>
      </w:r>
      <w:r>
        <w:rPr>
          <w:rFonts w:hint="eastAsia" w:cs="宋体"/>
          <w:color w:val="auto"/>
          <w:highlight w:val="none"/>
          <w:lang w:val="en-US" w:eastAsia="zh-CN"/>
        </w:rPr>
        <w:t>/</w:t>
      </w:r>
    </w:p>
    <w:p>
      <w:pPr>
        <w:ind w:firstLine="480"/>
        <w:rPr>
          <w:rFonts w:cs="宋体"/>
          <w:color w:val="auto"/>
          <w:highlight w:val="none"/>
        </w:rPr>
      </w:pPr>
      <w:r>
        <w:rPr>
          <w:rFonts w:hint="eastAsia" w:cs="宋体"/>
          <w:color w:val="auto"/>
          <w:highlight w:val="none"/>
        </w:rPr>
        <w:t>采购需求：</w:t>
      </w:r>
    </w:p>
    <w:p>
      <w:pPr>
        <w:spacing w:line="360" w:lineRule="auto"/>
        <w:ind w:firstLine="240" w:firstLineChars="100"/>
        <w:rPr>
          <w:rFonts w:hint="eastAsia" w:ascii="宋体" w:hAnsi="宋体" w:eastAsia="宋体"/>
          <w:highlight w:val="none"/>
          <w:lang w:eastAsia="zh-CN"/>
        </w:rPr>
      </w:pPr>
      <w:r>
        <w:rPr>
          <w:rFonts w:hint="eastAsia" w:ascii="宋体" w:hAnsi="宋体"/>
          <w:highlight w:val="none"/>
          <w:lang w:eastAsia="zh-CN"/>
        </w:rPr>
        <w:t>标项一：</w:t>
      </w:r>
    </w:p>
    <w:p>
      <w:pPr>
        <w:spacing w:line="360" w:lineRule="auto"/>
        <w:ind w:firstLine="480" w:firstLineChars="200"/>
        <w:rPr>
          <w:rFonts w:hint="default" w:ascii="宋体" w:hAnsi="宋体" w:eastAsia="宋体"/>
          <w:highlight w:val="none"/>
          <w:lang w:val="en-US" w:eastAsia="zh-CN"/>
        </w:rPr>
      </w:pPr>
      <w:r>
        <w:rPr>
          <w:rFonts w:hint="eastAsia" w:ascii="宋体" w:hAnsi="宋体"/>
          <w:highlight w:val="none"/>
        </w:rPr>
        <w:t>标项名称：</w:t>
      </w:r>
      <w:r>
        <w:rPr>
          <w:rFonts w:hint="eastAsia" w:ascii="宋体" w:hAnsi="宋体"/>
          <w:highlight w:val="none"/>
          <w:lang w:eastAsia="zh-CN"/>
        </w:rPr>
        <w:t>研究生学位论文网络评审服务</w:t>
      </w:r>
      <w:r>
        <w:rPr>
          <w:rFonts w:hint="eastAsia" w:ascii="宋体" w:hAnsi="宋体"/>
          <w:highlight w:val="none"/>
          <w:lang w:val="en-US" w:eastAsia="zh-CN"/>
        </w:rPr>
        <w:t>（</w:t>
      </w:r>
      <w:r>
        <w:rPr>
          <w:rFonts w:hint="eastAsia" w:ascii="宋体" w:hAnsi="宋体"/>
          <w:highlight w:val="none"/>
        </w:rPr>
        <w:t>学术型</w:t>
      </w:r>
      <w:r>
        <w:rPr>
          <w:rFonts w:hint="eastAsia" w:ascii="宋体" w:hAnsi="宋体"/>
          <w:highlight w:val="none"/>
          <w:lang w:val="en-US" w:eastAsia="zh-CN"/>
        </w:rPr>
        <w:t>）</w:t>
      </w:r>
    </w:p>
    <w:p>
      <w:pPr>
        <w:spacing w:line="360" w:lineRule="auto"/>
        <w:ind w:firstLine="480" w:firstLineChars="200"/>
        <w:rPr>
          <w:rFonts w:hint="eastAsia" w:ascii="宋体" w:hAnsi="宋体"/>
          <w:highlight w:val="none"/>
        </w:rPr>
      </w:pPr>
      <w:r>
        <w:rPr>
          <w:rFonts w:hint="eastAsia" w:ascii="宋体" w:hAnsi="宋体"/>
          <w:highlight w:val="none"/>
        </w:rPr>
        <w:t>数量：1</w:t>
      </w:r>
    </w:p>
    <w:p>
      <w:pPr>
        <w:spacing w:line="360" w:lineRule="auto"/>
        <w:ind w:firstLine="480" w:firstLineChars="200"/>
        <w:rPr>
          <w:rFonts w:hint="eastAsia" w:ascii="宋体" w:hAnsi="宋体"/>
          <w:highlight w:val="none"/>
        </w:rPr>
      </w:pPr>
      <w:r>
        <w:rPr>
          <w:rFonts w:hint="eastAsia" w:ascii="宋体" w:hAnsi="宋体"/>
          <w:highlight w:val="none"/>
        </w:rPr>
        <w:t>单位：批</w:t>
      </w:r>
    </w:p>
    <w:p>
      <w:pPr>
        <w:spacing w:line="360" w:lineRule="auto"/>
        <w:ind w:firstLine="480" w:firstLineChars="200"/>
        <w:rPr>
          <w:rFonts w:hint="default" w:ascii="宋体" w:hAnsi="宋体" w:eastAsia="宋体"/>
          <w:highlight w:val="none"/>
          <w:lang w:val="en-US" w:eastAsia="zh-CN"/>
        </w:rPr>
      </w:pPr>
      <w:r>
        <w:rPr>
          <w:rFonts w:hint="eastAsia" w:ascii="宋体" w:hAnsi="宋体"/>
          <w:highlight w:val="none"/>
        </w:rPr>
        <w:t>预算金额（元）：</w:t>
      </w:r>
      <w:r>
        <w:rPr>
          <w:rFonts w:hint="eastAsia" w:ascii="宋体" w:hAnsi="宋体"/>
          <w:highlight w:val="none"/>
          <w:lang w:val="en-US" w:eastAsia="zh-CN"/>
        </w:rPr>
        <w:t>800535</w:t>
      </w:r>
      <w:r>
        <w:rPr>
          <w:rFonts w:hint="eastAsia"/>
          <w:highlight w:val="none"/>
          <w:lang w:val="en-US" w:eastAsia="zh-CN"/>
        </w:rPr>
        <w:t>.</w:t>
      </w:r>
      <w:r>
        <w:rPr>
          <w:rFonts w:hint="eastAsia" w:ascii="宋体" w:hAnsi="宋体"/>
          <w:highlight w:val="none"/>
          <w:lang w:val="en-US" w:eastAsia="zh-CN"/>
        </w:rPr>
        <w:t>27</w:t>
      </w:r>
    </w:p>
    <w:p>
      <w:pPr>
        <w:spacing w:line="360" w:lineRule="auto"/>
        <w:ind w:firstLine="480" w:firstLineChars="200"/>
        <w:rPr>
          <w:rFonts w:hint="eastAsia" w:ascii="宋体" w:hAnsi="宋体"/>
          <w:highlight w:val="none"/>
        </w:rPr>
      </w:pPr>
      <w:r>
        <w:rPr>
          <w:rFonts w:hint="eastAsia" w:ascii="宋体" w:hAnsi="宋体"/>
          <w:highlight w:val="none"/>
        </w:rPr>
        <w:t>简要规格描述或项目基本概况介绍、用途：具体详见采购需求。</w:t>
      </w:r>
    </w:p>
    <w:p>
      <w:pPr>
        <w:spacing w:line="360" w:lineRule="auto"/>
        <w:ind w:firstLine="480" w:firstLineChars="200"/>
        <w:rPr>
          <w:rFonts w:hint="eastAsia" w:ascii="宋体" w:hAnsi="宋体"/>
          <w:highlight w:val="none"/>
          <w:lang w:val="en-US" w:eastAsia="zh-CN"/>
        </w:rPr>
      </w:pPr>
      <w:r>
        <w:rPr>
          <w:rFonts w:hint="eastAsia" w:ascii="宋体" w:hAnsi="宋体"/>
          <w:highlight w:val="none"/>
        </w:rPr>
        <w:t>备注：</w:t>
      </w:r>
    </w:p>
    <w:p>
      <w:pPr>
        <w:spacing w:line="360" w:lineRule="auto"/>
        <w:ind w:firstLine="240" w:firstLineChars="100"/>
        <w:rPr>
          <w:rFonts w:hint="eastAsia" w:ascii="宋体" w:hAnsi="宋体"/>
          <w:highlight w:val="none"/>
        </w:rPr>
      </w:pPr>
      <w:r>
        <w:rPr>
          <w:rFonts w:hint="eastAsia" w:ascii="宋体" w:hAnsi="宋体"/>
          <w:highlight w:val="none"/>
          <w:lang w:eastAsia="zh-CN"/>
        </w:rPr>
        <w:t>标项二：</w:t>
      </w:r>
    </w:p>
    <w:p>
      <w:pPr>
        <w:spacing w:line="360" w:lineRule="auto"/>
        <w:ind w:firstLine="480" w:firstLineChars="200"/>
        <w:rPr>
          <w:rFonts w:hint="default" w:ascii="宋体" w:hAnsi="宋体" w:eastAsia="宋体"/>
          <w:highlight w:val="none"/>
          <w:lang w:val="en-US" w:eastAsia="zh-CN"/>
        </w:rPr>
      </w:pPr>
      <w:r>
        <w:rPr>
          <w:rFonts w:hint="eastAsia" w:ascii="宋体" w:hAnsi="宋体"/>
          <w:highlight w:val="none"/>
        </w:rPr>
        <w:t>标项名称：</w:t>
      </w:r>
      <w:r>
        <w:rPr>
          <w:rFonts w:hint="eastAsia" w:ascii="宋体" w:hAnsi="宋体"/>
          <w:highlight w:val="none"/>
          <w:lang w:eastAsia="zh-CN"/>
        </w:rPr>
        <w:t>研究生学位论文网络评审服务</w:t>
      </w:r>
      <w:r>
        <w:rPr>
          <w:rFonts w:hint="eastAsia" w:ascii="宋体" w:hAnsi="宋体"/>
          <w:highlight w:val="none"/>
          <w:lang w:val="en-US" w:eastAsia="zh-CN"/>
        </w:rPr>
        <w:t>（专业型）</w:t>
      </w:r>
    </w:p>
    <w:p>
      <w:pPr>
        <w:spacing w:line="360" w:lineRule="auto"/>
        <w:ind w:firstLine="480" w:firstLineChars="200"/>
        <w:rPr>
          <w:rFonts w:hint="eastAsia" w:ascii="宋体" w:hAnsi="宋体"/>
          <w:highlight w:val="none"/>
        </w:rPr>
      </w:pPr>
      <w:r>
        <w:rPr>
          <w:rFonts w:hint="eastAsia" w:ascii="宋体" w:hAnsi="宋体"/>
          <w:highlight w:val="none"/>
        </w:rPr>
        <w:t>数量：1</w:t>
      </w:r>
    </w:p>
    <w:p>
      <w:pPr>
        <w:spacing w:line="360" w:lineRule="auto"/>
        <w:ind w:firstLine="480" w:firstLineChars="200"/>
        <w:rPr>
          <w:rFonts w:hint="eastAsia" w:ascii="宋体" w:hAnsi="宋体"/>
          <w:highlight w:val="none"/>
        </w:rPr>
      </w:pPr>
      <w:r>
        <w:rPr>
          <w:rFonts w:hint="eastAsia" w:ascii="宋体" w:hAnsi="宋体"/>
          <w:highlight w:val="none"/>
        </w:rPr>
        <w:t>单位：批</w:t>
      </w:r>
    </w:p>
    <w:p>
      <w:pPr>
        <w:spacing w:line="360" w:lineRule="auto"/>
        <w:ind w:firstLine="480" w:firstLineChars="200"/>
        <w:rPr>
          <w:rFonts w:hint="default" w:ascii="宋体" w:hAnsi="宋体" w:eastAsia="宋体"/>
          <w:highlight w:val="none"/>
          <w:lang w:val="en-US" w:eastAsia="zh-CN"/>
        </w:rPr>
      </w:pPr>
      <w:r>
        <w:rPr>
          <w:rFonts w:hint="eastAsia" w:ascii="宋体" w:hAnsi="宋体"/>
          <w:highlight w:val="none"/>
        </w:rPr>
        <w:t>预算金额（元）：</w:t>
      </w:r>
      <w:r>
        <w:rPr>
          <w:rFonts w:hint="eastAsia" w:ascii="宋体" w:hAnsi="宋体"/>
          <w:highlight w:val="none"/>
          <w:lang w:val="en-US" w:eastAsia="zh-CN"/>
        </w:rPr>
        <w:t>1200000</w:t>
      </w:r>
    </w:p>
    <w:p>
      <w:pPr>
        <w:spacing w:line="360" w:lineRule="auto"/>
        <w:ind w:firstLine="480" w:firstLineChars="200"/>
        <w:rPr>
          <w:rFonts w:hint="eastAsia" w:ascii="宋体" w:hAnsi="宋体"/>
          <w:highlight w:val="none"/>
        </w:rPr>
      </w:pPr>
      <w:r>
        <w:rPr>
          <w:rFonts w:hint="eastAsia" w:ascii="宋体" w:hAnsi="宋体"/>
          <w:highlight w:val="none"/>
        </w:rPr>
        <w:t>简要规格描述或项目基本概况介绍、用途：具体详见采购需求。</w:t>
      </w:r>
    </w:p>
    <w:p>
      <w:pPr>
        <w:spacing w:line="360" w:lineRule="auto"/>
        <w:ind w:firstLine="480" w:firstLineChars="200"/>
        <w:rPr>
          <w:rFonts w:hint="eastAsia" w:ascii="宋体" w:hAnsi="宋体" w:eastAsia="宋体"/>
          <w:highlight w:val="none"/>
          <w:lang w:val="en-US" w:eastAsia="zh-CN"/>
        </w:rPr>
      </w:pPr>
      <w:r>
        <w:rPr>
          <w:rFonts w:hint="eastAsia" w:ascii="宋体" w:hAnsi="宋体"/>
          <w:highlight w:val="none"/>
        </w:rPr>
        <w:t>备注：</w:t>
      </w:r>
    </w:p>
    <w:p>
      <w:pPr>
        <w:pStyle w:val="48"/>
        <w:rPr>
          <w:rFonts w:hint="eastAsia"/>
          <w:lang w:val="en-US" w:eastAsia="zh-CN"/>
        </w:rPr>
      </w:pPr>
    </w:p>
    <w:p>
      <w:pPr>
        <w:spacing w:line="360" w:lineRule="auto"/>
        <w:rPr>
          <w:rFonts w:hint="eastAsia" w:ascii="宋体" w:hAnsi="宋体"/>
          <w:highlight w:val="none"/>
        </w:rPr>
      </w:pPr>
      <w:r>
        <w:rPr>
          <w:rFonts w:hint="eastAsia" w:ascii="宋体" w:hAnsi="宋体"/>
          <w:highlight w:val="none"/>
        </w:rPr>
        <w:t>合同履行期限：</w:t>
      </w:r>
      <w:r>
        <w:rPr>
          <w:rFonts w:hint="eastAsia" w:ascii="宋体" w:hAnsi="宋体"/>
          <w:highlight w:val="none"/>
          <w:lang w:eastAsia="zh-CN"/>
        </w:rPr>
        <w:t>服务</w:t>
      </w:r>
      <w:r>
        <w:rPr>
          <w:rFonts w:hint="eastAsia" w:ascii="宋体" w:hAnsi="宋体"/>
          <w:highlight w:val="none"/>
        </w:rPr>
        <w:t>期：自合同签订日起</w:t>
      </w:r>
      <w:r>
        <w:rPr>
          <w:rFonts w:hint="eastAsia" w:ascii="宋体" w:hAnsi="宋体"/>
          <w:highlight w:val="none"/>
          <w:lang w:val="en-US" w:eastAsia="zh-CN"/>
        </w:rPr>
        <w:t>二</w:t>
      </w:r>
      <w:r>
        <w:rPr>
          <w:rFonts w:hint="eastAsia" w:ascii="宋体" w:hAnsi="宋体"/>
          <w:highlight w:val="none"/>
        </w:rPr>
        <w:t>年。</w:t>
      </w:r>
    </w:p>
    <w:p>
      <w:pPr>
        <w:spacing w:line="360" w:lineRule="auto"/>
        <w:ind w:firstLine="482"/>
        <w:rPr>
          <w:rFonts w:cs="宋体"/>
          <w:b/>
          <w:bCs/>
          <w:color w:val="auto"/>
          <w:highlight w:val="yellow"/>
        </w:rPr>
      </w:pPr>
      <w:r>
        <w:rPr>
          <w:rFonts w:hint="eastAsia" w:ascii="宋体" w:hAnsi="宋体"/>
          <w:highlight w:val="none"/>
        </w:rPr>
        <w:t>本项目不接受联合体投标。</w:t>
      </w:r>
    </w:p>
    <w:p>
      <w:pPr>
        <w:ind w:firstLine="482"/>
        <w:rPr>
          <w:rFonts w:cs="宋体"/>
          <w:b/>
          <w:bCs/>
          <w:color w:val="auto"/>
          <w:highlight w:val="none"/>
        </w:rPr>
      </w:pPr>
      <w:r>
        <w:rPr>
          <w:rFonts w:hint="eastAsia" w:cs="宋体"/>
          <w:b/>
          <w:bCs/>
          <w:color w:val="auto"/>
          <w:highlight w:val="none"/>
        </w:rPr>
        <w:t>本项目（否）接受联合体投标。</w:t>
      </w:r>
    </w:p>
    <w:p>
      <w:pPr>
        <w:pStyle w:val="4"/>
        <w:rPr>
          <w:rFonts w:cs="宋体"/>
          <w:bCs w:val="0"/>
          <w:color w:val="auto"/>
          <w:sz w:val="24"/>
          <w:szCs w:val="24"/>
          <w:highlight w:val="none"/>
        </w:rPr>
      </w:pPr>
      <w:bookmarkStart w:id="14" w:name="_Toc35393622"/>
      <w:bookmarkStart w:id="15" w:name="_Toc28359080"/>
      <w:bookmarkStart w:id="16" w:name="_Toc27888"/>
      <w:bookmarkStart w:id="17" w:name="_Toc15297"/>
      <w:bookmarkStart w:id="18" w:name="_Toc18332"/>
      <w:bookmarkStart w:id="19" w:name="_Toc35393791"/>
      <w:bookmarkStart w:id="20" w:name="_Toc28359003"/>
      <w:bookmarkStart w:id="21" w:name="_Toc21431"/>
      <w:r>
        <w:rPr>
          <w:rFonts w:hint="eastAsia" w:cs="宋体"/>
          <w:bCs w:val="0"/>
          <w:color w:val="auto"/>
          <w:sz w:val="24"/>
          <w:szCs w:val="24"/>
          <w:highlight w:val="none"/>
        </w:rPr>
        <w:t>二、申请人的资格要求：</w:t>
      </w:r>
      <w:bookmarkEnd w:id="14"/>
      <w:bookmarkEnd w:id="15"/>
      <w:bookmarkEnd w:id="16"/>
      <w:bookmarkEnd w:id="17"/>
      <w:bookmarkEnd w:id="18"/>
      <w:bookmarkEnd w:id="19"/>
      <w:bookmarkEnd w:id="20"/>
      <w:bookmarkEnd w:id="21"/>
    </w:p>
    <w:p>
      <w:pPr>
        <w:ind w:firstLine="480"/>
        <w:rPr>
          <w:rFonts w:cs="宋体"/>
          <w:color w:val="auto"/>
          <w:highlight w:val="none"/>
        </w:rPr>
      </w:pPr>
      <w:r>
        <w:rPr>
          <w:rFonts w:hint="eastAsia" w:cs="宋体"/>
          <w:color w:val="auto"/>
          <w:highlight w:val="none"/>
        </w:rPr>
        <w:t>1.满足《中华人民共和国政府采购法》第二十二条规定；</w:t>
      </w:r>
    </w:p>
    <w:p>
      <w:pPr>
        <w:ind w:firstLine="480"/>
        <w:rPr>
          <w:rFonts w:cs="宋体"/>
          <w:color w:val="auto"/>
          <w:highlight w:val="none"/>
        </w:rPr>
      </w:pPr>
      <w:bookmarkStart w:id="22" w:name="_Toc28359081"/>
      <w:bookmarkStart w:id="23" w:name="_Toc28359004"/>
      <w:r>
        <w:rPr>
          <w:rFonts w:hint="eastAsia" w:cs="宋体"/>
          <w:color w:val="auto"/>
          <w:highlight w:val="none"/>
        </w:rPr>
        <w:t>2.落实政府采购政策需满足的资格要求：详见采购文件；</w:t>
      </w:r>
    </w:p>
    <w:p>
      <w:pPr>
        <w:ind w:firstLine="480"/>
        <w:rPr>
          <w:rFonts w:cs="宋体"/>
          <w:color w:val="auto"/>
          <w:highlight w:val="none"/>
        </w:rPr>
      </w:pPr>
      <w:r>
        <w:rPr>
          <w:rFonts w:hint="eastAsia" w:cs="宋体"/>
          <w:color w:val="auto"/>
          <w:highlight w:val="none"/>
        </w:rPr>
        <w:t>3.本项目的特定资格要求：无。</w:t>
      </w:r>
    </w:p>
    <w:p>
      <w:pPr>
        <w:pStyle w:val="4"/>
        <w:rPr>
          <w:rFonts w:cs="宋体"/>
          <w:bCs w:val="0"/>
          <w:color w:val="auto"/>
          <w:sz w:val="24"/>
          <w:szCs w:val="24"/>
          <w:highlight w:val="none"/>
        </w:rPr>
      </w:pPr>
      <w:bookmarkStart w:id="24" w:name="_Toc2913"/>
      <w:bookmarkStart w:id="25" w:name="_Toc26166"/>
      <w:bookmarkStart w:id="26" w:name="_Toc12278"/>
      <w:bookmarkStart w:id="27" w:name="_Toc35393792"/>
      <w:bookmarkStart w:id="28" w:name="_Toc35393623"/>
      <w:bookmarkStart w:id="29" w:name="_Toc7689"/>
      <w:r>
        <w:rPr>
          <w:rFonts w:hint="eastAsia" w:cs="宋体"/>
          <w:bCs w:val="0"/>
          <w:color w:val="auto"/>
          <w:sz w:val="24"/>
          <w:szCs w:val="24"/>
          <w:highlight w:val="none"/>
        </w:rPr>
        <w:t>三、获取招标文件</w:t>
      </w:r>
      <w:bookmarkEnd w:id="22"/>
      <w:bookmarkEnd w:id="23"/>
      <w:bookmarkEnd w:id="24"/>
      <w:bookmarkEnd w:id="25"/>
      <w:bookmarkEnd w:id="26"/>
      <w:bookmarkEnd w:id="27"/>
      <w:bookmarkEnd w:id="28"/>
      <w:bookmarkEnd w:id="29"/>
    </w:p>
    <w:p>
      <w:pPr>
        <w:snapToGrid w:val="0"/>
        <w:ind w:firstLine="482"/>
        <w:rPr>
          <w:rFonts w:cs="宋体"/>
          <w:color w:val="auto"/>
          <w:highlight w:val="none"/>
        </w:rPr>
      </w:pPr>
      <w:bookmarkStart w:id="30" w:name="_Toc28359005"/>
      <w:bookmarkStart w:id="31" w:name="_Toc28359082"/>
      <w:bookmarkStart w:id="32" w:name="_Toc24629"/>
      <w:bookmarkStart w:id="33" w:name="_Toc35393793"/>
      <w:bookmarkStart w:id="34" w:name="_Toc35393624"/>
      <w:r>
        <w:rPr>
          <w:rFonts w:hint="eastAsia" w:cs="宋体"/>
          <w:b/>
          <w:bCs/>
          <w:color w:val="auto"/>
          <w:highlight w:val="none"/>
        </w:rPr>
        <w:t>时间：</w:t>
      </w:r>
      <w:r>
        <w:rPr>
          <w:rFonts w:hint="eastAsia" w:cs="宋体"/>
          <w:color w:val="auto"/>
          <w:highlight w:val="none"/>
          <w:u w:val="single"/>
        </w:rPr>
        <w:t>公告发布之日</w:t>
      </w:r>
      <w:r>
        <w:rPr>
          <w:rFonts w:hint="eastAsia" w:cs="宋体"/>
          <w:color w:val="auto"/>
          <w:highlight w:val="none"/>
        </w:rPr>
        <w:t>至</w:t>
      </w:r>
      <w:r>
        <w:rPr>
          <w:rFonts w:hint="eastAsia" w:cs="宋体"/>
          <w:color w:val="auto"/>
          <w:highlight w:val="none"/>
          <w:u w:val="single"/>
        </w:rPr>
        <w:t>投标截止时间</w:t>
      </w:r>
      <w:r>
        <w:rPr>
          <w:rFonts w:hint="eastAsia" w:cs="宋体"/>
          <w:color w:val="auto"/>
          <w:highlight w:val="none"/>
        </w:rPr>
        <w:t>（北京时间，法定节假日除外）</w:t>
      </w:r>
    </w:p>
    <w:p>
      <w:pPr>
        <w:snapToGrid w:val="0"/>
        <w:ind w:firstLine="482"/>
        <w:rPr>
          <w:rFonts w:cs="宋体"/>
          <w:color w:val="auto"/>
          <w:highlight w:val="none"/>
          <w:u w:val="single"/>
        </w:rPr>
      </w:pPr>
      <w:r>
        <w:rPr>
          <w:rFonts w:hint="eastAsia" w:cs="宋体"/>
          <w:b/>
          <w:bCs/>
          <w:color w:val="auto"/>
          <w:highlight w:val="none"/>
        </w:rPr>
        <w:t>地点（网址）：</w:t>
      </w:r>
      <w:r>
        <w:rPr>
          <w:rFonts w:hint="eastAsia" w:cs="宋体"/>
          <w:color w:val="auto"/>
          <w:highlight w:val="none"/>
        </w:rPr>
        <w:t>政府采购云平台（https://login.zcygov.cn）</w:t>
      </w:r>
    </w:p>
    <w:p>
      <w:pPr>
        <w:snapToGrid w:val="0"/>
        <w:ind w:firstLine="482"/>
        <w:rPr>
          <w:rFonts w:cs="宋体"/>
          <w:color w:val="auto"/>
          <w:highlight w:val="none"/>
          <w:u w:val="single"/>
        </w:rPr>
      </w:pPr>
      <w:r>
        <w:rPr>
          <w:rFonts w:hint="eastAsia" w:cs="宋体"/>
          <w:b/>
          <w:bCs/>
          <w:color w:val="auto"/>
          <w:highlight w:val="none"/>
        </w:rPr>
        <w:t>方式：</w:t>
      </w:r>
      <w:r>
        <w:rPr>
          <w:rFonts w:hint="eastAsia" w:cs="宋体"/>
          <w:color w:val="auto"/>
          <w:highlight w:val="none"/>
        </w:rPr>
        <w:t xml:space="preserve">在线获取（潜在投标人登陆政府采购云平台，进入“项目采购”，在“获取采购文件”菜单中选择项目后“申请获取采购文件”） </w:t>
      </w:r>
    </w:p>
    <w:p>
      <w:pPr>
        <w:snapToGrid w:val="0"/>
        <w:ind w:firstLine="482"/>
        <w:rPr>
          <w:rFonts w:cs="宋体"/>
          <w:b/>
          <w:bCs/>
          <w:color w:val="auto"/>
          <w:highlight w:val="none"/>
        </w:rPr>
      </w:pPr>
      <w:r>
        <w:rPr>
          <w:rFonts w:hint="eastAsia" w:cs="宋体"/>
          <w:b/>
          <w:bCs/>
          <w:color w:val="auto"/>
          <w:highlight w:val="none"/>
        </w:rPr>
        <w:t>售价：</w:t>
      </w:r>
      <w:r>
        <w:rPr>
          <w:rFonts w:hint="eastAsia" w:cs="宋体"/>
          <w:color w:val="auto"/>
          <w:highlight w:val="none"/>
        </w:rPr>
        <w:t>0元</w:t>
      </w:r>
    </w:p>
    <w:p>
      <w:pPr>
        <w:pStyle w:val="4"/>
        <w:rPr>
          <w:rFonts w:cs="宋体"/>
          <w:bCs w:val="0"/>
          <w:color w:val="auto"/>
          <w:sz w:val="24"/>
          <w:szCs w:val="24"/>
          <w:highlight w:val="none"/>
        </w:rPr>
      </w:pPr>
      <w:bookmarkStart w:id="35" w:name="_Toc24221"/>
      <w:bookmarkStart w:id="36" w:name="_Toc28740"/>
      <w:bookmarkStart w:id="37" w:name="_Toc22448"/>
      <w:r>
        <w:rPr>
          <w:rFonts w:hint="eastAsia" w:cs="宋体"/>
          <w:bCs w:val="0"/>
          <w:color w:val="auto"/>
          <w:sz w:val="24"/>
          <w:szCs w:val="24"/>
          <w:highlight w:val="none"/>
        </w:rPr>
        <w:t>四、</w:t>
      </w:r>
      <w:bookmarkEnd w:id="30"/>
      <w:bookmarkEnd w:id="31"/>
      <w:bookmarkEnd w:id="32"/>
      <w:bookmarkEnd w:id="33"/>
      <w:bookmarkEnd w:id="34"/>
      <w:r>
        <w:rPr>
          <w:rFonts w:hint="eastAsia" w:cs="宋体"/>
          <w:bCs w:val="0"/>
          <w:color w:val="auto"/>
          <w:sz w:val="24"/>
          <w:szCs w:val="24"/>
          <w:highlight w:val="none"/>
        </w:rPr>
        <w:t>提交（上传）投标文件截止时间、开标时间和地点</w:t>
      </w:r>
      <w:bookmarkEnd w:id="35"/>
      <w:bookmarkEnd w:id="36"/>
      <w:bookmarkEnd w:id="37"/>
    </w:p>
    <w:p>
      <w:pPr>
        <w:ind w:firstLine="480"/>
        <w:rPr>
          <w:rFonts w:cs="宋体"/>
          <w:color w:val="auto"/>
          <w:highlight w:val="none"/>
        </w:rPr>
      </w:pPr>
      <w:r>
        <w:rPr>
          <w:rFonts w:hint="eastAsia" w:cs="宋体"/>
          <w:color w:val="auto"/>
          <w:highlight w:val="none"/>
        </w:rPr>
        <w:t>递交投标截止时间：</w:t>
      </w:r>
      <w:r>
        <w:rPr>
          <w:rFonts w:hint="eastAsia" w:cs="宋体"/>
          <w:color w:val="auto"/>
          <w:highlight w:val="none"/>
          <w:lang w:eastAsia="zh-CN"/>
        </w:rPr>
        <w:t>2021年12月15日</w:t>
      </w:r>
      <w:r>
        <w:rPr>
          <w:rFonts w:hint="eastAsia" w:cs="宋体"/>
          <w:color w:val="auto"/>
          <w:highlight w:val="none"/>
        </w:rPr>
        <w:t xml:space="preserve"> </w:t>
      </w:r>
      <w:r>
        <w:rPr>
          <w:rFonts w:hint="eastAsia" w:cs="宋体"/>
          <w:color w:val="auto"/>
          <w:highlight w:val="none"/>
          <w:lang w:eastAsia="zh-CN"/>
        </w:rPr>
        <w:t>14：00</w:t>
      </w:r>
      <w:r>
        <w:rPr>
          <w:rFonts w:hint="eastAsia" w:cs="宋体"/>
          <w:color w:val="auto"/>
          <w:highlight w:val="none"/>
        </w:rPr>
        <w:t xml:space="preserve">  （北京时间）</w:t>
      </w:r>
    </w:p>
    <w:p>
      <w:pPr>
        <w:ind w:firstLine="480"/>
        <w:rPr>
          <w:rFonts w:cs="宋体"/>
          <w:color w:val="auto"/>
          <w:highlight w:val="none"/>
        </w:rPr>
      </w:pPr>
      <w:r>
        <w:rPr>
          <w:rFonts w:hint="eastAsia" w:cs="宋体"/>
          <w:color w:val="auto"/>
          <w:highlight w:val="none"/>
        </w:rPr>
        <w:t>投标地点（网址）：通过政府采购云平台在线电子投标、开标</w:t>
      </w:r>
    </w:p>
    <w:p>
      <w:pPr>
        <w:ind w:firstLine="480"/>
        <w:rPr>
          <w:rFonts w:cs="宋体"/>
          <w:color w:val="auto"/>
          <w:highlight w:val="none"/>
        </w:rPr>
      </w:pPr>
      <w:r>
        <w:rPr>
          <w:rFonts w:hint="eastAsia" w:cs="宋体"/>
          <w:color w:val="auto"/>
          <w:highlight w:val="none"/>
        </w:rPr>
        <w:t>开标时间：</w:t>
      </w:r>
      <w:r>
        <w:rPr>
          <w:rFonts w:hint="eastAsia" w:cs="宋体"/>
          <w:color w:val="auto"/>
          <w:highlight w:val="none"/>
          <w:lang w:eastAsia="zh-CN"/>
        </w:rPr>
        <w:t>2021年12月15日</w:t>
      </w:r>
      <w:r>
        <w:rPr>
          <w:rFonts w:hint="eastAsia" w:cs="宋体"/>
          <w:color w:val="auto"/>
          <w:highlight w:val="none"/>
        </w:rPr>
        <w:t xml:space="preserve"> </w:t>
      </w:r>
      <w:r>
        <w:rPr>
          <w:rFonts w:hint="eastAsia" w:cs="宋体"/>
          <w:color w:val="auto"/>
          <w:highlight w:val="none"/>
          <w:lang w:eastAsia="zh-CN"/>
        </w:rPr>
        <w:t>14：00</w:t>
      </w:r>
      <w:r>
        <w:rPr>
          <w:rFonts w:hint="eastAsia" w:cs="宋体"/>
          <w:color w:val="auto"/>
          <w:highlight w:val="none"/>
        </w:rPr>
        <w:t xml:space="preserve">  （北京时间）</w:t>
      </w:r>
    </w:p>
    <w:p>
      <w:pPr>
        <w:ind w:firstLine="480"/>
        <w:rPr>
          <w:rFonts w:cs="宋体"/>
          <w:color w:val="auto"/>
          <w:highlight w:val="none"/>
        </w:rPr>
      </w:pPr>
      <w:r>
        <w:rPr>
          <w:rFonts w:hint="eastAsia" w:cs="宋体"/>
          <w:color w:val="auto"/>
          <w:highlight w:val="none"/>
        </w:rPr>
        <w:t>地点（网址）：投标人在线参与开标，</w:t>
      </w:r>
      <w:r>
        <w:rPr>
          <w:rFonts w:hint="eastAsia" w:cs="宋体"/>
          <w:color w:val="auto"/>
          <w:highlight w:val="none"/>
          <w:lang w:val="en-US" w:eastAsia="zh-CN"/>
        </w:rPr>
        <w:t>杭州市钱塘区佳宝科创中心1号楼502</w:t>
      </w:r>
      <w:r>
        <w:rPr>
          <w:rFonts w:hint="eastAsia" w:cs="宋体"/>
          <w:color w:val="auto"/>
          <w:highlight w:val="none"/>
        </w:rPr>
        <w:t>。</w:t>
      </w:r>
    </w:p>
    <w:p>
      <w:pPr>
        <w:pStyle w:val="4"/>
        <w:rPr>
          <w:rFonts w:cs="宋体"/>
          <w:bCs w:val="0"/>
          <w:color w:val="auto"/>
          <w:sz w:val="24"/>
          <w:szCs w:val="24"/>
          <w:highlight w:val="none"/>
        </w:rPr>
      </w:pPr>
      <w:bookmarkStart w:id="38" w:name="_Toc28359084"/>
      <w:bookmarkStart w:id="39" w:name="_Toc20642"/>
      <w:bookmarkStart w:id="40" w:name="_Toc35393794"/>
      <w:bookmarkStart w:id="41" w:name="_Toc16247"/>
      <w:bookmarkStart w:id="42" w:name="_Toc35393625"/>
      <w:bookmarkStart w:id="43" w:name="_Toc23180"/>
      <w:bookmarkStart w:id="44" w:name="_Toc28359007"/>
      <w:bookmarkStart w:id="45" w:name="_Toc20569"/>
      <w:r>
        <w:rPr>
          <w:rFonts w:hint="eastAsia" w:cs="宋体"/>
          <w:bCs w:val="0"/>
          <w:color w:val="auto"/>
          <w:sz w:val="24"/>
          <w:szCs w:val="24"/>
          <w:highlight w:val="none"/>
        </w:rPr>
        <w:t>五、公告期限</w:t>
      </w:r>
      <w:bookmarkEnd w:id="38"/>
      <w:bookmarkEnd w:id="39"/>
      <w:bookmarkEnd w:id="40"/>
      <w:bookmarkEnd w:id="41"/>
      <w:bookmarkEnd w:id="42"/>
      <w:bookmarkEnd w:id="43"/>
      <w:bookmarkEnd w:id="44"/>
      <w:bookmarkEnd w:id="45"/>
    </w:p>
    <w:p>
      <w:pPr>
        <w:ind w:firstLine="480"/>
        <w:rPr>
          <w:rFonts w:cs="宋体"/>
          <w:color w:val="auto"/>
          <w:highlight w:val="none"/>
        </w:rPr>
      </w:pPr>
      <w:r>
        <w:rPr>
          <w:rFonts w:hint="eastAsia" w:cs="宋体"/>
          <w:color w:val="auto"/>
          <w:highlight w:val="none"/>
        </w:rPr>
        <w:t>自本公告发布之日起5个工作日。</w:t>
      </w:r>
    </w:p>
    <w:p>
      <w:pPr>
        <w:pStyle w:val="4"/>
        <w:rPr>
          <w:rFonts w:cs="宋体"/>
          <w:bCs w:val="0"/>
          <w:color w:val="auto"/>
          <w:sz w:val="24"/>
          <w:szCs w:val="24"/>
          <w:highlight w:val="none"/>
        </w:rPr>
      </w:pPr>
      <w:bookmarkStart w:id="46" w:name="_Toc35393626"/>
      <w:bookmarkStart w:id="47" w:name="_Toc8271"/>
      <w:bookmarkStart w:id="48" w:name="_Toc10849"/>
      <w:bookmarkStart w:id="49" w:name="_Toc4588"/>
      <w:bookmarkStart w:id="50" w:name="_Toc35393795"/>
      <w:bookmarkStart w:id="51" w:name="_Toc32225"/>
      <w:r>
        <w:rPr>
          <w:rFonts w:hint="eastAsia" w:cs="宋体"/>
          <w:bCs w:val="0"/>
          <w:color w:val="auto"/>
          <w:sz w:val="24"/>
          <w:szCs w:val="24"/>
          <w:highlight w:val="none"/>
        </w:rPr>
        <w:t>六、其他补充事宜</w:t>
      </w:r>
      <w:bookmarkEnd w:id="46"/>
      <w:bookmarkEnd w:id="47"/>
      <w:bookmarkEnd w:id="48"/>
      <w:bookmarkEnd w:id="49"/>
      <w:bookmarkEnd w:id="50"/>
      <w:bookmarkEnd w:id="51"/>
    </w:p>
    <w:p>
      <w:pPr>
        <w:ind w:firstLine="480"/>
        <w:rPr>
          <w:rFonts w:cs="宋体"/>
          <w:color w:val="auto"/>
          <w:highlight w:val="none"/>
        </w:rPr>
      </w:pPr>
      <w:r>
        <w:rPr>
          <w:rFonts w:hint="eastAsia" w:cs="宋体"/>
          <w:color w:val="auto"/>
          <w:highlight w:val="none"/>
        </w:rPr>
        <w:t>1.供应商认为采购文件使自己的权益受到损害的，可以自收到采购文件之日或者采购文件公告期限届满之日（公告期限届满后获取采购文件的，以公告期限届满之日为准）起7个工作日内，且应当在采购响应截止时间之前以书面形式向采购人和采购代理机构提出质疑。否则，被质疑人可不予接受。质疑供应商对采购人、采购代理机构的答复不满意或者采购人、采购代理机构未在规定的时间内作出答复的，可以在答复期满后十五个工作日内向同级政府采购监督管理部门投诉。</w:t>
      </w:r>
    </w:p>
    <w:p>
      <w:pPr>
        <w:ind w:firstLine="480"/>
        <w:rPr>
          <w:rFonts w:cs="宋体"/>
          <w:color w:val="auto"/>
          <w:highlight w:val="none"/>
        </w:rPr>
      </w:pPr>
      <w:r>
        <w:rPr>
          <w:rFonts w:hint="eastAsia" w:cs="宋体"/>
          <w:color w:val="auto"/>
          <w:highlight w:val="none"/>
        </w:rPr>
        <w:t xml:space="preserve">2.信用记录：根据财库[2016]125号《关于在政府采购活动中查询及使用信用记录有关问题的通知》要求，采购代理机构会对投标人信用记录进行查询并甄别。 </w:t>
      </w:r>
    </w:p>
    <w:p>
      <w:pPr>
        <w:ind w:firstLine="480"/>
        <w:rPr>
          <w:rFonts w:cs="宋体"/>
          <w:color w:val="auto"/>
          <w:highlight w:val="none"/>
        </w:rPr>
      </w:pPr>
      <w:r>
        <w:rPr>
          <w:rFonts w:hint="eastAsia" w:cs="宋体"/>
          <w:color w:val="auto"/>
          <w:highlight w:val="none"/>
        </w:rPr>
        <w:t>信用信息查询的截止时点：投标截止时间；</w:t>
      </w:r>
    </w:p>
    <w:p>
      <w:pPr>
        <w:ind w:firstLine="480"/>
        <w:rPr>
          <w:rFonts w:cs="宋体"/>
          <w:color w:val="auto"/>
          <w:highlight w:val="none"/>
        </w:rPr>
      </w:pPr>
      <w:r>
        <w:rPr>
          <w:rFonts w:hint="eastAsia" w:cs="宋体"/>
          <w:color w:val="auto"/>
          <w:highlight w:val="none"/>
        </w:rPr>
        <w:t xml:space="preserve">1）查询渠道：“信用中国”（www.creditchina.gov.cn）、“中国政府采购网”（www.ccgp.gov.cn）； </w:t>
      </w:r>
    </w:p>
    <w:p>
      <w:pPr>
        <w:ind w:firstLine="480"/>
        <w:rPr>
          <w:rFonts w:cs="宋体"/>
          <w:color w:val="auto"/>
          <w:highlight w:val="none"/>
        </w:rPr>
      </w:pPr>
      <w:r>
        <w:rPr>
          <w:rFonts w:hint="eastAsia" w:cs="宋体"/>
          <w:color w:val="auto"/>
          <w:highlight w:val="none"/>
        </w:rPr>
        <w:t xml:space="preserve">2）信用信息查询记录和证据留存具体方式：采购代理机构经办人和监督人员将查询网页打印与其他采购文件一并保存； </w:t>
      </w:r>
    </w:p>
    <w:p>
      <w:pPr>
        <w:ind w:firstLine="480"/>
        <w:rPr>
          <w:rFonts w:cs="宋体"/>
          <w:color w:val="auto"/>
          <w:highlight w:val="none"/>
        </w:rPr>
      </w:pPr>
      <w:r>
        <w:rPr>
          <w:rFonts w:hint="eastAsia" w:cs="宋体"/>
          <w:color w:val="auto"/>
          <w:highlight w:val="none"/>
        </w:rPr>
        <w:t>3）信用信息的使用规则：投标人被列入失信被执行人、重大税收违法案件当事人名单、政府采购严重违法失信行为记录名单的，拒绝其参与政府采购活动。</w:t>
      </w:r>
    </w:p>
    <w:p>
      <w:pPr>
        <w:ind w:firstLine="480"/>
        <w:rPr>
          <w:rFonts w:cs="宋体"/>
          <w:color w:val="auto"/>
          <w:highlight w:val="none"/>
        </w:rPr>
      </w:pPr>
      <w:r>
        <w:rPr>
          <w:rFonts w:hint="eastAsia" w:cs="宋体"/>
          <w:color w:val="auto"/>
          <w:highlight w:val="none"/>
        </w:rPr>
        <w:t xml:space="preserve">4.采购项目需要落实的政府采购政策 </w:t>
      </w:r>
    </w:p>
    <w:p>
      <w:pPr>
        <w:ind w:firstLine="480"/>
        <w:rPr>
          <w:rFonts w:cs="宋体"/>
          <w:color w:val="auto"/>
          <w:highlight w:val="none"/>
        </w:rPr>
      </w:pPr>
      <w:r>
        <w:rPr>
          <w:rFonts w:hint="eastAsia" w:cs="宋体"/>
          <w:color w:val="auto"/>
          <w:highlight w:val="none"/>
        </w:rPr>
        <w:t>1）政府采购促进中小企业发展（对应的中小企业划分标准所属行业：</w:t>
      </w:r>
      <w:r>
        <w:rPr>
          <w:rFonts w:hint="eastAsia" w:ascii="宋体" w:hAnsi="宋体"/>
          <w:color w:val="000000"/>
          <w:highlight w:val="none"/>
        </w:rPr>
        <w:t>租赁和商务服务业</w:t>
      </w:r>
      <w:r>
        <w:rPr>
          <w:rFonts w:hint="eastAsia" w:cs="宋体"/>
          <w:color w:val="auto"/>
          <w:highlight w:val="none"/>
        </w:rPr>
        <w:t xml:space="preserve">） </w:t>
      </w:r>
    </w:p>
    <w:p>
      <w:pPr>
        <w:ind w:firstLine="480"/>
        <w:rPr>
          <w:rFonts w:cs="宋体"/>
          <w:color w:val="auto"/>
          <w:highlight w:val="none"/>
        </w:rPr>
      </w:pPr>
      <w:r>
        <w:rPr>
          <w:rFonts w:hint="eastAsia" w:cs="宋体"/>
          <w:color w:val="auto"/>
          <w:highlight w:val="none"/>
        </w:rPr>
        <w:t xml:space="preserve">2）政府采购支持监狱企业发展 </w:t>
      </w:r>
    </w:p>
    <w:p>
      <w:pPr>
        <w:ind w:firstLine="480"/>
        <w:rPr>
          <w:rFonts w:cs="宋体"/>
          <w:color w:val="auto"/>
          <w:highlight w:val="none"/>
        </w:rPr>
      </w:pPr>
      <w:r>
        <w:rPr>
          <w:rFonts w:hint="eastAsia" w:cs="宋体"/>
          <w:color w:val="auto"/>
          <w:highlight w:val="none"/>
        </w:rPr>
        <w:t xml:space="preserve">3）政府采购促进残疾人就业 </w:t>
      </w:r>
    </w:p>
    <w:p>
      <w:pPr>
        <w:ind w:firstLine="480"/>
        <w:rPr>
          <w:rFonts w:cs="宋体"/>
          <w:color w:val="auto"/>
          <w:highlight w:val="none"/>
        </w:rPr>
      </w:pPr>
      <w:r>
        <w:rPr>
          <w:rFonts w:hint="eastAsia" w:cs="宋体"/>
          <w:color w:val="auto"/>
          <w:highlight w:val="none"/>
        </w:rPr>
        <w:t xml:space="preserve">4）政府强制采购节能产品 </w:t>
      </w:r>
    </w:p>
    <w:p>
      <w:pPr>
        <w:ind w:firstLine="480"/>
        <w:rPr>
          <w:rFonts w:cs="宋体"/>
          <w:color w:val="auto"/>
          <w:highlight w:val="none"/>
        </w:rPr>
      </w:pPr>
      <w:r>
        <w:rPr>
          <w:rFonts w:hint="eastAsia" w:cs="宋体"/>
          <w:color w:val="auto"/>
          <w:highlight w:val="none"/>
        </w:rPr>
        <w:t>5）政府优先采购节能、环保产品</w:t>
      </w:r>
    </w:p>
    <w:p>
      <w:pPr>
        <w:pStyle w:val="4"/>
        <w:spacing w:line="360" w:lineRule="auto"/>
        <w:rPr>
          <w:rFonts w:hint="eastAsia" w:cs="宋体"/>
          <w:bCs w:val="0"/>
          <w:color w:val="auto"/>
          <w:sz w:val="24"/>
          <w:szCs w:val="24"/>
          <w:highlight w:val="none"/>
          <w:lang w:val="en-US" w:eastAsia="zh-CN"/>
        </w:rPr>
      </w:pPr>
      <w:bookmarkStart w:id="52" w:name="_Toc28359008"/>
      <w:bookmarkStart w:id="53" w:name="_Toc8773"/>
      <w:bookmarkStart w:id="54" w:name="_Toc35393796"/>
      <w:bookmarkStart w:id="55" w:name="_Toc28359085"/>
      <w:bookmarkStart w:id="56" w:name="_Toc19081"/>
      <w:bookmarkStart w:id="57" w:name="_Toc35393627"/>
      <w:bookmarkStart w:id="58" w:name="_Toc32178"/>
      <w:bookmarkStart w:id="59" w:name="_Toc20621"/>
      <w:r>
        <w:rPr>
          <w:rFonts w:hint="eastAsia" w:cs="宋体"/>
          <w:bCs w:val="0"/>
          <w:color w:val="auto"/>
          <w:sz w:val="24"/>
          <w:szCs w:val="24"/>
          <w:highlight w:val="none"/>
        </w:rPr>
        <w:t>七、</w:t>
      </w:r>
      <w:r>
        <w:rPr>
          <w:rFonts w:hint="eastAsia" w:cs="宋体"/>
          <w:bCs w:val="0"/>
          <w:color w:val="auto"/>
          <w:sz w:val="24"/>
          <w:szCs w:val="24"/>
          <w:highlight w:val="none"/>
          <w:lang w:val="en-US" w:eastAsia="zh-CN"/>
        </w:rPr>
        <w:t>特别说明</w:t>
      </w:r>
    </w:p>
    <w:p>
      <w:pPr>
        <w:pStyle w:val="2"/>
        <w:spacing w:line="360" w:lineRule="auto"/>
        <w:ind w:left="0" w:leftChars="0" w:firstLine="482" w:firstLineChars="200"/>
        <w:rPr>
          <w:rFonts w:hint="default"/>
          <w:lang w:val="en-US" w:eastAsia="zh-CN"/>
        </w:rPr>
      </w:pPr>
      <w:r>
        <w:rPr>
          <w:rFonts w:hint="eastAsia"/>
          <w:b/>
          <w:bCs/>
          <w:sz w:val="24"/>
          <w:szCs w:val="24"/>
          <w:lang w:eastAsia="zh-CN"/>
        </w:rPr>
        <w:t>本项目采用兼投不兼中原则（</w:t>
      </w:r>
      <w:r>
        <w:rPr>
          <w:rFonts w:hint="eastAsia"/>
          <w:b/>
          <w:bCs/>
          <w:sz w:val="24"/>
          <w:szCs w:val="24"/>
          <w:lang w:val="en-US" w:eastAsia="zh-CN"/>
        </w:rPr>
        <w:t>投标</w:t>
      </w:r>
      <w:r>
        <w:rPr>
          <w:rFonts w:hint="eastAsia"/>
          <w:b/>
          <w:bCs/>
          <w:sz w:val="24"/>
          <w:szCs w:val="24"/>
          <w:lang w:eastAsia="zh-CN"/>
        </w:rPr>
        <w:t>方可投其中任一标项，也可两标项均投），</w:t>
      </w:r>
      <w:r>
        <w:rPr>
          <w:rFonts w:hint="eastAsia"/>
          <w:b/>
          <w:bCs/>
          <w:sz w:val="24"/>
          <w:szCs w:val="24"/>
          <w:lang w:val="en-US" w:eastAsia="zh-CN"/>
        </w:rPr>
        <w:t>投标</w:t>
      </w:r>
      <w:r>
        <w:rPr>
          <w:rFonts w:hint="eastAsia"/>
          <w:b/>
          <w:bCs/>
          <w:sz w:val="24"/>
          <w:szCs w:val="24"/>
          <w:lang w:eastAsia="zh-CN"/>
        </w:rPr>
        <w:t>多个标项的供应商必须在</w:t>
      </w:r>
      <w:r>
        <w:rPr>
          <w:rFonts w:hint="eastAsia"/>
          <w:b/>
          <w:bCs/>
          <w:sz w:val="24"/>
          <w:szCs w:val="24"/>
          <w:lang w:val="en-US" w:eastAsia="zh-CN"/>
        </w:rPr>
        <w:t>投标</w:t>
      </w:r>
      <w:r>
        <w:rPr>
          <w:rFonts w:hint="eastAsia"/>
          <w:b/>
          <w:bCs/>
          <w:sz w:val="24"/>
          <w:szCs w:val="24"/>
          <w:lang w:eastAsia="zh-CN"/>
        </w:rPr>
        <w:t>文件（</w:t>
      </w:r>
      <w:r>
        <w:rPr>
          <w:rFonts w:hint="eastAsia"/>
          <w:b/>
          <w:bCs/>
          <w:sz w:val="24"/>
          <w:szCs w:val="24"/>
          <w:lang w:val="en-US" w:eastAsia="zh-CN"/>
        </w:rPr>
        <w:t>开标</w:t>
      </w:r>
      <w:r>
        <w:rPr>
          <w:rFonts w:hint="eastAsia"/>
          <w:b/>
          <w:bCs/>
          <w:sz w:val="24"/>
          <w:szCs w:val="24"/>
          <w:lang w:eastAsia="zh-CN"/>
        </w:rPr>
        <w:t>一览表）中明确其</w:t>
      </w:r>
      <w:r>
        <w:rPr>
          <w:rFonts w:hint="eastAsia"/>
          <w:b/>
          <w:bCs/>
          <w:sz w:val="24"/>
          <w:szCs w:val="24"/>
          <w:lang w:val="en-US" w:eastAsia="zh-CN"/>
        </w:rPr>
        <w:t>中标</w:t>
      </w:r>
      <w:r>
        <w:rPr>
          <w:rFonts w:hint="eastAsia"/>
          <w:b/>
          <w:bCs/>
          <w:sz w:val="24"/>
          <w:szCs w:val="24"/>
          <w:lang w:eastAsia="zh-CN"/>
        </w:rPr>
        <w:t>标项的优选顺序，根据</w:t>
      </w:r>
      <w:r>
        <w:rPr>
          <w:rFonts w:hint="eastAsia"/>
          <w:b/>
          <w:bCs/>
          <w:sz w:val="24"/>
          <w:szCs w:val="24"/>
          <w:lang w:val="en-US" w:eastAsia="zh-CN"/>
        </w:rPr>
        <w:t>投标</w:t>
      </w:r>
      <w:r>
        <w:rPr>
          <w:rFonts w:hint="eastAsia"/>
          <w:b/>
          <w:bCs/>
          <w:sz w:val="24"/>
          <w:szCs w:val="24"/>
          <w:lang w:eastAsia="zh-CN"/>
        </w:rPr>
        <w:t>方明确的优选顺序确定</w:t>
      </w:r>
      <w:r>
        <w:rPr>
          <w:rFonts w:hint="eastAsia"/>
          <w:b/>
          <w:bCs/>
          <w:sz w:val="24"/>
          <w:szCs w:val="24"/>
          <w:lang w:val="en-US" w:eastAsia="zh-CN"/>
        </w:rPr>
        <w:t>中标</w:t>
      </w:r>
      <w:r>
        <w:rPr>
          <w:rFonts w:hint="eastAsia"/>
          <w:b/>
          <w:bCs/>
          <w:sz w:val="24"/>
          <w:szCs w:val="24"/>
          <w:lang w:eastAsia="zh-CN"/>
        </w:rPr>
        <w:t>方，每个</w:t>
      </w:r>
      <w:r>
        <w:rPr>
          <w:rFonts w:hint="eastAsia"/>
          <w:b/>
          <w:bCs/>
          <w:sz w:val="24"/>
          <w:szCs w:val="24"/>
          <w:lang w:val="en-US" w:eastAsia="zh-CN"/>
        </w:rPr>
        <w:t>投标</w:t>
      </w:r>
      <w:r>
        <w:rPr>
          <w:rFonts w:hint="eastAsia"/>
          <w:b/>
          <w:bCs/>
          <w:sz w:val="24"/>
          <w:szCs w:val="24"/>
          <w:lang w:eastAsia="zh-CN"/>
        </w:rPr>
        <w:t>方只允许</w:t>
      </w:r>
      <w:r>
        <w:rPr>
          <w:rFonts w:hint="eastAsia"/>
          <w:b/>
          <w:bCs/>
          <w:sz w:val="24"/>
          <w:szCs w:val="24"/>
          <w:lang w:val="en-US" w:eastAsia="zh-CN"/>
        </w:rPr>
        <w:t>中标</w:t>
      </w:r>
      <w:r>
        <w:rPr>
          <w:rFonts w:hint="eastAsia"/>
          <w:b/>
          <w:bCs/>
          <w:sz w:val="24"/>
          <w:szCs w:val="24"/>
          <w:lang w:eastAsia="zh-CN"/>
        </w:rPr>
        <w:t>一个标项。优选顺序是唯一的，</w:t>
      </w:r>
      <w:r>
        <w:rPr>
          <w:rFonts w:hint="eastAsia"/>
          <w:b/>
          <w:bCs/>
          <w:sz w:val="24"/>
          <w:szCs w:val="24"/>
          <w:lang w:val="en-US" w:eastAsia="zh-CN"/>
        </w:rPr>
        <w:t>投标</w:t>
      </w:r>
      <w:r>
        <w:rPr>
          <w:rFonts w:hint="eastAsia"/>
          <w:b/>
          <w:bCs/>
          <w:sz w:val="24"/>
          <w:szCs w:val="24"/>
          <w:lang w:eastAsia="zh-CN"/>
        </w:rPr>
        <w:t>文件出现2种或2种以上优选顺序的</w:t>
      </w:r>
      <w:r>
        <w:rPr>
          <w:rFonts w:hint="eastAsia"/>
          <w:b/>
          <w:bCs/>
          <w:sz w:val="24"/>
          <w:szCs w:val="24"/>
          <w:lang w:val="en-US" w:eastAsia="zh-CN"/>
        </w:rPr>
        <w:t>投标</w:t>
      </w:r>
      <w:r>
        <w:rPr>
          <w:rFonts w:hint="eastAsia"/>
          <w:b/>
          <w:bCs/>
          <w:sz w:val="24"/>
          <w:szCs w:val="24"/>
          <w:lang w:eastAsia="zh-CN"/>
        </w:rPr>
        <w:t>无效。</w:t>
      </w:r>
    </w:p>
    <w:p>
      <w:pPr>
        <w:pStyle w:val="4"/>
        <w:spacing w:line="360" w:lineRule="auto"/>
        <w:rPr>
          <w:rFonts w:cs="宋体"/>
          <w:bCs w:val="0"/>
          <w:color w:val="auto"/>
          <w:sz w:val="24"/>
          <w:szCs w:val="24"/>
          <w:highlight w:val="none"/>
        </w:rPr>
      </w:pPr>
      <w:r>
        <w:rPr>
          <w:rFonts w:hint="eastAsia" w:cs="宋体"/>
          <w:bCs w:val="0"/>
          <w:color w:val="auto"/>
          <w:sz w:val="24"/>
          <w:szCs w:val="24"/>
          <w:highlight w:val="none"/>
          <w:lang w:val="en-US" w:eastAsia="zh-CN"/>
        </w:rPr>
        <w:t>八、</w:t>
      </w:r>
      <w:r>
        <w:rPr>
          <w:rFonts w:hint="eastAsia" w:cs="宋体"/>
          <w:bCs w:val="0"/>
          <w:color w:val="auto"/>
          <w:sz w:val="24"/>
          <w:szCs w:val="24"/>
          <w:highlight w:val="none"/>
        </w:rPr>
        <w:t>对本次招标提出询问，请按以下方式联系</w:t>
      </w:r>
      <w:bookmarkEnd w:id="52"/>
      <w:bookmarkEnd w:id="53"/>
      <w:bookmarkEnd w:id="54"/>
      <w:bookmarkEnd w:id="55"/>
      <w:bookmarkEnd w:id="56"/>
      <w:bookmarkEnd w:id="57"/>
      <w:bookmarkEnd w:id="58"/>
      <w:bookmarkEnd w:id="59"/>
    </w:p>
    <w:p>
      <w:pPr>
        <w:spacing w:line="360" w:lineRule="auto"/>
        <w:ind w:firstLine="480" w:firstLineChars="200"/>
        <w:rPr>
          <w:rFonts w:hint="eastAsia" w:ascii="宋体" w:hAnsi="宋体"/>
          <w:highlight w:val="none"/>
        </w:rPr>
      </w:pPr>
      <w:r>
        <w:rPr>
          <w:rFonts w:hint="eastAsia" w:ascii="宋体" w:hAnsi="宋体"/>
          <w:highlight w:val="none"/>
        </w:rPr>
        <w:t>1.采购人信息</w:t>
      </w:r>
    </w:p>
    <w:p>
      <w:pPr>
        <w:spacing w:line="360" w:lineRule="auto"/>
        <w:ind w:firstLine="720" w:firstLineChars="300"/>
        <w:rPr>
          <w:rFonts w:hint="eastAsia" w:ascii="宋体" w:hAnsi="宋体"/>
          <w:highlight w:val="none"/>
        </w:rPr>
      </w:pPr>
      <w:r>
        <w:rPr>
          <w:rFonts w:hint="eastAsia" w:ascii="宋体" w:hAnsi="宋体"/>
          <w:highlight w:val="none"/>
        </w:rPr>
        <w:t>名称：杭州电子科技大学</w:t>
      </w:r>
    </w:p>
    <w:p>
      <w:pPr>
        <w:spacing w:line="360" w:lineRule="auto"/>
        <w:ind w:firstLine="720" w:firstLineChars="300"/>
        <w:rPr>
          <w:rFonts w:hint="eastAsia" w:ascii="宋体" w:hAnsi="宋体"/>
          <w:highlight w:val="none"/>
        </w:rPr>
      </w:pPr>
      <w:r>
        <w:rPr>
          <w:rFonts w:hint="eastAsia" w:ascii="宋体" w:hAnsi="宋体"/>
          <w:highlight w:val="none"/>
        </w:rPr>
        <w:t>地址：杭州经济开发区白杨街道2号大街1158号</w:t>
      </w:r>
    </w:p>
    <w:p>
      <w:pPr>
        <w:spacing w:line="360" w:lineRule="auto"/>
        <w:ind w:firstLine="720" w:firstLineChars="300"/>
        <w:rPr>
          <w:rFonts w:hint="eastAsia" w:ascii="宋体" w:hAnsi="宋体"/>
          <w:highlight w:val="none"/>
        </w:rPr>
      </w:pPr>
      <w:r>
        <w:rPr>
          <w:rFonts w:hint="eastAsia" w:ascii="宋体" w:hAnsi="宋体"/>
          <w:highlight w:val="none"/>
        </w:rPr>
        <w:t>项目联系人（询问）：</w:t>
      </w:r>
      <w:r>
        <w:rPr>
          <w:rFonts w:hint="eastAsia" w:ascii="宋体" w:hAnsi="宋体"/>
          <w:highlight w:val="none"/>
          <w:lang w:val="en-US" w:eastAsia="zh-CN"/>
        </w:rPr>
        <w:t>丁</w:t>
      </w:r>
      <w:r>
        <w:rPr>
          <w:rFonts w:hint="eastAsia" w:ascii="宋体" w:hAnsi="宋体"/>
          <w:highlight w:val="none"/>
        </w:rPr>
        <w:t>老师</w:t>
      </w:r>
    </w:p>
    <w:p>
      <w:pPr>
        <w:spacing w:line="360" w:lineRule="auto"/>
        <w:ind w:firstLine="720" w:firstLineChars="300"/>
        <w:rPr>
          <w:rFonts w:hint="default" w:ascii="宋体" w:hAnsi="宋体" w:eastAsia="宋体"/>
          <w:highlight w:val="none"/>
          <w:lang w:val="en-US" w:eastAsia="zh-CN"/>
        </w:rPr>
      </w:pPr>
      <w:r>
        <w:rPr>
          <w:rFonts w:hint="eastAsia" w:ascii="宋体" w:hAnsi="宋体"/>
          <w:highlight w:val="none"/>
        </w:rPr>
        <w:t>项目联系方式（询问）：0571-86919142</w:t>
      </w:r>
    </w:p>
    <w:p>
      <w:pPr>
        <w:spacing w:line="360" w:lineRule="auto"/>
        <w:ind w:firstLine="720" w:firstLineChars="300"/>
        <w:rPr>
          <w:rFonts w:hint="eastAsia" w:ascii="宋体" w:hAnsi="宋体"/>
          <w:highlight w:val="none"/>
        </w:rPr>
      </w:pPr>
      <w:r>
        <w:rPr>
          <w:rFonts w:hint="eastAsia" w:ascii="宋体" w:hAnsi="宋体"/>
          <w:highlight w:val="none"/>
        </w:rPr>
        <w:t>质疑联系人：崔老师</w:t>
      </w:r>
    </w:p>
    <w:p>
      <w:pPr>
        <w:spacing w:line="360" w:lineRule="auto"/>
        <w:ind w:firstLine="720" w:firstLineChars="300"/>
        <w:rPr>
          <w:rFonts w:hint="eastAsia" w:ascii="宋体" w:hAnsi="宋体"/>
          <w:highlight w:val="none"/>
        </w:rPr>
      </w:pPr>
      <w:r>
        <w:rPr>
          <w:rFonts w:hint="eastAsia" w:ascii="宋体" w:hAnsi="宋体"/>
          <w:highlight w:val="none"/>
        </w:rPr>
        <w:t>质疑联系方式：0571-86878697</w:t>
      </w:r>
    </w:p>
    <w:p>
      <w:pPr>
        <w:spacing w:line="360" w:lineRule="auto"/>
        <w:ind w:firstLine="480" w:firstLineChars="200"/>
        <w:rPr>
          <w:rFonts w:hint="eastAsia" w:ascii="宋体" w:hAnsi="宋体"/>
          <w:highlight w:val="none"/>
        </w:rPr>
      </w:pPr>
      <w:r>
        <w:rPr>
          <w:rFonts w:hint="eastAsia" w:ascii="宋体" w:hAnsi="宋体"/>
          <w:highlight w:val="none"/>
        </w:rPr>
        <w:t>2.采购代理机构信息</w:t>
      </w:r>
    </w:p>
    <w:p>
      <w:pPr>
        <w:spacing w:line="360" w:lineRule="auto"/>
        <w:ind w:firstLine="720" w:firstLineChars="300"/>
        <w:rPr>
          <w:rFonts w:hint="eastAsia" w:ascii="宋体" w:hAnsi="宋体" w:eastAsia="宋体"/>
          <w:highlight w:val="none"/>
          <w:lang w:eastAsia="zh-CN"/>
        </w:rPr>
      </w:pPr>
      <w:r>
        <w:rPr>
          <w:rFonts w:hint="eastAsia" w:ascii="宋体" w:hAnsi="宋体"/>
          <w:highlight w:val="none"/>
        </w:rPr>
        <w:t>名称：</w:t>
      </w:r>
      <w:r>
        <w:rPr>
          <w:rFonts w:hint="eastAsia" w:ascii="宋体" w:hAnsi="宋体"/>
          <w:highlight w:val="none"/>
          <w:lang w:eastAsia="zh-CN"/>
        </w:rPr>
        <w:t>浙江五石中正工程咨询有限公司</w:t>
      </w:r>
    </w:p>
    <w:p>
      <w:pPr>
        <w:spacing w:line="360" w:lineRule="auto"/>
        <w:ind w:firstLine="720" w:firstLineChars="300"/>
        <w:rPr>
          <w:rFonts w:hint="eastAsia" w:ascii="宋体" w:hAnsi="宋体"/>
          <w:highlight w:val="none"/>
        </w:rPr>
      </w:pPr>
      <w:r>
        <w:rPr>
          <w:rFonts w:hint="eastAsia" w:ascii="宋体" w:hAnsi="宋体"/>
          <w:highlight w:val="none"/>
        </w:rPr>
        <w:t>地址：杭州市滨江区东方通信科技园启迪楼2楼1208室</w:t>
      </w:r>
    </w:p>
    <w:p>
      <w:pPr>
        <w:spacing w:line="360" w:lineRule="auto"/>
        <w:ind w:firstLine="720" w:firstLineChars="300"/>
        <w:rPr>
          <w:rFonts w:hint="eastAsia" w:ascii="宋体" w:hAnsi="宋体"/>
          <w:highlight w:val="none"/>
        </w:rPr>
      </w:pPr>
      <w:r>
        <w:rPr>
          <w:rFonts w:hint="eastAsia" w:ascii="宋体" w:hAnsi="宋体"/>
          <w:highlight w:val="none"/>
        </w:rPr>
        <w:t>项目联系人（询问）：赵工</w:t>
      </w:r>
    </w:p>
    <w:p>
      <w:pPr>
        <w:spacing w:line="360" w:lineRule="auto"/>
        <w:ind w:firstLine="720" w:firstLineChars="300"/>
        <w:rPr>
          <w:rFonts w:hint="eastAsia" w:ascii="宋体" w:hAnsi="宋体"/>
          <w:highlight w:val="none"/>
        </w:rPr>
      </w:pPr>
      <w:r>
        <w:rPr>
          <w:rFonts w:hint="eastAsia" w:ascii="宋体" w:hAnsi="宋体"/>
          <w:highlight w:val="none"/>
        </w:rPr>
        <w:t>项目联系方式（询问）： 0571-86098397-808/17746802645</w:t>
      </w:r>
    </w:p>
    <w:p>
      <w:pPr>
        <w:spacing w:line="360" w:lineRule="auto"/>
        <w:ind w:firstLine="720" w:firstLineChars="300"/>
        <w:rPr>
          <w:rFonts w:hint="eastAsia" w:ascii="宋体" w:hAnsi="宋体"/>
          <w:highlight w:val="none"/>
        </w:rPr>
      </w:pPr>
      <w:r>
        <w:rPr>
          <w:rFonts w:hint="eastAsia" w:ascii="宋体" w:hAnsi="宋体"/>
          <w:highlight w:val="none"/>
        </w:rPr>
        <w:t xml:space="preserve">质疑联系人： 毛工  </w:t>
      </w:r>
    </w:p>
    <w:p>
      <w:pPr>
        <w:spacing w:line="360" w:lineRule="auto"/>
        <w:ind w:firstLine="720" w:firstLineChars="300"/>
        <w:rPr>
          <w:rFonts w:hint="eastAsia" w:ascii="宋体" w:hAnsi="宋体"/>
          <w:highlight w:val="none"/>
        </w:rPr>
      </w:pPr>
      <w:r>
        <w:rPr>
          <w:rFonts w:hint="eastAsia" w:ascii="宋体" w:hAnsi="宋体"/>
          <w:highlight w:val="none"/>
        </w:rPr>
        <w:t>质疑联系方式：0571-87919156/hzwsgc@163.com</w:t>
      </w:r>
    </w:p>
    <w:p>
      <w:pPr>
        <w:spacing w:line="360" w:lineRule="auto"/>
        <w:ind w:firstLine="480" w:firstLineChars="200"/>
        <w:rPr>
          <w:rFonts w:hint="eastAsia" w:ascii="宋体" w:hAnsi="宋体"/>
          <w:highlight w:val="none"/>
        </w:rPr>
      </w:pPr>
      <w:r>
        <w:rPr>
          <w:rFonts w:hint="eastAsia" w:ascii="宋体" w:hAnsi="宋体"/>
          <w:highlight w:val="none"/>
        </w:rPr>
        <w:t>3.同级政府采购监督管理部门</w:t>
      </w:r>
    </w:p>
    <w:p>
      <w:pPr>
        <w:spacing w:line="360" w:lineRule="auto"/>
        <w:ind w:firstLine="720" w:firstLineChars="300"/>
        <w:rPr>
          <w:rFonts w:hint="eastAsia" w:ascii="宋体" w:hAnsi="宋体"/>
          <w:highlight w:val="none"/>
        </w:rPr>
      </w:pPr>
      <w:r>
        <w:rPr>
          <w:rFonts w:hint="eastAsia" w:ascii="宋体" w:hAnsi="宋体"/>
          <w:highlight w:val="none"/>
        </w:rPr>
        <w:t>名称：</w:t>
      </w:r>
      <w:r>
        <w:rPr>
          <w:rFonts w:hint="eastAsia" w:ascii="宋体" w:hAnsi="宋体"/>
          <w:highlight w:val="none"/>
          <w:lang w:val="zh-CN"/>
        </w:rPr>
        <w:t>浙江省财政厅政府采购监管处</w:t>
      </w:r>
    </w:p>
    <w:p>
      <w:pPr>
        <w:spacing w:line="360" w:lineRule="auto"/>
        <w:ind w:firstLine="720" w:firstLineChars="300"/>
        <w:rPr>
          <w:rFonts w:hint="eastAsia" w:ascii="宋体" w:hAnsi="宋体"/>
          <w:highlight w:val="none"/>
        </w:rPr>
      </w:pPr>
      <w:r>
        <w:rPr>
          <w:rFonts w:hint="eastAsia" w:ascii="宋体" w:hAnsi="宋体"/>
          <w:highlight w:val="none"/>
        </w:rPr>
        <w:t>地址：</w:t>
      </w:r>
      <w:r>
        <w:rPr>
          <w:rFonts w:hint="eastAsia" w:ascii="宋体" w:hAnsi="宋体"/>
          <w:highlight w:val="none"/>
          <w:lang w:val="zh-CN"/>
        </w:rPr>
        <w:t>杭州市西湖区环城西路37号</w:t>
      </w:r>
    </w:p>
    <w:p>
      <w:pPr>
        <w:spacing w:line="360" w:lineRule="auto"/>
        <w:ind w:firstLine="720" w:firstLineChars="300"/>
        <w:rPr>
          <w:rFonts w:hint="eastAsia"/>
          <w:highlight w:val="none"/>
          <w:lang w:val="zh-CN"/>
        </w:rPr>
      </w:pPr>
      <w:r>
        <w:rPr>
          <w:rFonts w:hint="eastAsia" w:ascii="宋体" w:hAnsi="宋体"/>
          <w:highlight w:val="none"/>
          <w:lang w:val="zh-CN"/>
        </w:rPr>
        <w:t>联系人：倪文良、吴聪瑜</w:t>
      </w:r>
      <w:r>
        <w:rPr>
          <w:rFonts w:hint="eastAsia" w:ascii="宋体" w:hAnsi="宋体"/>
          <w:highlight w:val="none"/>
        </w:rPr>
        <w:t xml:space="preserve">     </w:t>
      </w:r>
      <w:r>
        <w:rPr>
          <w:rFonts w:hint="eastAsia" w:ascii="宋体" w:hAnsi="宋体"/>
          <w:highlight w:val="none"/>
          <w:lang w:val="zh-CN"/>
        </w:rPr>
        <w:t>监督投诉电话：0571-87057615、87058489</w:t>
      </w:r>
    </w:p>
    <w:p>
      <w:pPr>
        <w:ind w:firstLine="480"/>
        <w:rPr>
          <w:rFonts w:cs="宋体"/>
          <w:color w:val="auto"/>
          <w:highlight w:val="none"/>
          <w:lang w:val="zh-CN"/>
        </w:rPr>
      </w:pPr>
    </w:p>
    <w:p>
      <w:pPr>
        <w:widowControl/>
        <w:ind w:firstLine="480"/>
        <w:rPr>
          <w:rFonts w:cs="宋体"/>
          <w:color w:val="auto"/>
          <w:highlight w:val="none"/>
        </w:rPr>
      </w:pPr>
    </w:p>
    <w:p>
      <w:pPr>
        <w:ind w:firstLine="480"/>
        <w:rPr>
          <w:rFonts w:cs="宋体"/>
          <w:color w:val="auto"/>
          <w:highlight w:val="none"/>
        </w:rPr>
      </w:pPr>
      <w:r>
        <w:rPr>
          <w:rFonts w:hint="eastAsia" w:cs="宋体"/>
          <w:color w:val="auto"/>
          <w:highlight w:val="none"/>
        </w:rPr>
        <w:t>若对项目采购电子交易系统操作有疑问，可登录政采云（https://www.zcygov.cn/），点击右侧咨询小采，获取采小蜜智能服务管家帮助，或拨打政采云服务热线400-881-7190获取热线服务帮助。</w:t>
      </w:r>
    </w:p>
    <w:p>
      <w:pPr>
        <w:ind w:firstLine="480"/>
        <w:rPr>
          <w:rFonts w:cs="宋体"/>
          <w:color w:val="auto"/>
          <w:highlight w:val="none"/>
        </w:rPr>
      </w:pPr>
      <w:r>
        <w:rPr>
          <w:rFonts w:hint="eastAsia" w:cs="宋体"/>
          <w:color w:val="auto"/>
          <w:highlight w:val="none"/>
        </w:rPr>
        <w:t>CA问题联系电话（人工）：汇信CA 400-888-4636；天谷CA 400-087-8198。</w:t>
      </w:r>
    </w:p>
    <w:p>
      <w:pPr>
        <w:pStyle w:val="48"/>
        <w:rPr>
          <w:rFonts w:ascii="宋体" w:hAnsi="宋体" w:eastAsia="宋体" w:cs="宋体"/>
          <w:color w:val="auto"/>
          <w:highlight w:val="none"/>
        </w:rPr>
        <w:sectPr>
          <w:footerReference r:id="rId14" w:type="default"/>
          <w:pgSz w:w="11906" w:h="16838"/>
          <w:pgMar w:top="1440" w:right="1080" w:bottom="1440" w:left="1080" w:header="850" w:footer="992" w:gutter="0"/>
          <w:pgNumType w:start="1"/>
          <w:cols w:space="720" w:num="1"/>
          <w:docGrid w:linePitch="381" w:charSpace="0"/>
        </w:sectPr>
      </w:pPr>
    </w:p>
    <w:bookmarkEnd w:id="4"/>
    <w:p>
      <w:pPr>
        <w:pStyle w:val="3"/>
        <w:rPr>
          <w:rFonts w:cs="宋体"/>
          <w:color w:val="auto"/>
          <w:highlight w:val="none"/>
        </w:rPr>
      </w:pPr>
      <w:bookmarkStart w:id="60" w:name="_Toc6146"/>
      <w:bookmarkStart w:id="61" w:name="_Toc26040"/>
      <w:r>
        <w:rPr>
          <w:rFonts w:hint="eastAsia" w:cs="宋体"/>
          <w:color w:val="auto"/>
          <w:highlight w:val="none"/>
        </w:rPr>
        <w:t>第二章 项目需求说明</w:t>
      </w:r>
      <w:bookmarkEnd w:id="60"/>
      <w:bookmarkEnd w:id="61"/>
    </w:p>
    <w:p>
      <w:pPr>
        <w:pStyle w:val="4"/>
        <w:numPr>
          <w:ilvl w:val="1"/>
          <w:numId w:val="0"/>
        </w:numPr>
        <w:ind w:leftChars="0"/>
      </w:pPr>
      <w:bookmarkStart w:id="62" w:name="_Toc41498782"/>
      <w:bookmarkStart w:id="63" w:name="_Toc450840085"/>
      <w:bookmarkStart w:id="64" w:name="_Toc4822"/>
      <w:bookmarkStart w:id="65" w:name="_Toc6282"/>
      <w:r>
        <w:rPr>
          <w:rFonts w:hint="eastAsia"/>
          <w:lang w:val="en-US" w:eastAsia="zh-CN"/>
        </w:rPr>
        <w:t>一、</w:t>
      </w:r>
      <w:bookmarkEnd w:id="62"/>
      <w:r>
        <w:rPr>
          <w:rFonts w:hint="eastAsia"/>
          <w:lang w:val="en-US" w:eastAsia="zh-CN"/>
        </w:rPr>
        <w:t>项目概述</w:t>
      </w:r>
    </w:p>
    <w:p>
      <w:pPr>
        <w:spacing w:line="360" w:lineRule="auto"/>
        <w:ind w:firstLine="44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随着现在国家、省教育厅、学校越来越重视论文评审质量，盲审比例不断加大，硕士一般送审</w:t>
      </w: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color w:val="000000"/>
          <w:sz w:val="24"/>
          <w:szCs w:val="24"/>
        </w:rPr>
        <w:t>篇</w:t>
      </w:r>
      <w:r>
        <w:rPr>
          <w:rFonts w:hint="eastAsia" w:ascii="宋体" w:hAnsi="宋体" w:eastAsia="宋体" w:cs="宋体"/>
          <w:b w:val="0"/>
          <w:bCs w:val="0"/>
          <w:color w:val="000000"/>
          <w:sz w:val="24"/>
          <w:szCs w:val="24"/>
          <w:lang w:val="en-US" w:eastAsia="zh-CN"/>
        </w:rPr>
        <w:t>。</w:t>
      </w:r>
    </w:p>
    <w:p>
      <w:pPr>
        <w:pStyle w:val="14"/>
        <w:numPr>
          <w:ilvl w:val="0"/>
          <w:numId w:val="0"/>
        </w:numPr>
        <w:spacing w:line="360" w:lineRule="auto"/>
        <w:ind w:firstLine="480" w:firstLineChars="200"/>
        <w:rPr>
          <w:rFonts w:hint="eastAsia" w:ascii="宋体" w:hAnsi="宋体" w:eastAsia="宋体" w:cs="宋体"/>
          <w:b w:val="0"/>
          <w:bCs w:val="0"/>
          <w:sz w:val="24"/>
          <w:szCs w:val="24"/>
          <w:lang w:eastAsia="zh-CN"/>
        </w:rPr>
      </w:pPr>
      <w:r>
        <w:rPr>
          <w:rFonts w:hint="eastAsia" w:ascii="宋体" w:hAnsi="宋体" w:eastAsia="宋体" w:cs="宋体"/>
          <w:b w:val="0"/>
          <w:bCs w:val="0"/>
          <w:color w:val="000000"/>
          <w:sz w:val="24"/>
          <w:szCs w:val="24"/>
        </w:rPr>
        <w:t>我校</w:t>
      </w:r>
      <w:r>
        <w:rPr>
          <w:rFonts w:hint="eastAsia" w:ascii="宋体" w:hAnsi="宋体" w:eastAsia="宋体" w:cs="宋体"/>
          <w:b w:val="0"/>
          <w:bCs w:val="0"/>
          <w:color w:val="000000"/>
          <w:sz w:val="24"/>
          <w:szCs w:val="24"/>
          <w:lang w:eastAsia="zh-CN"/>
        </w:rPr>
        <w:t>硕士</w:t>
      </w:r>
      <w:r>
        <w:rPr>
          <w:rFonts w:hint="eastAsia" w:ascii="宋体" w:hAnsi="宋体" w:eastAsia="宋体" w:cs="宋体"/>
          <w:b w:val="0"/>
          <w:bCs w:val="0"/>
          <w:color w:val="000000"/>
          <w:sz w:val="24"/>
          <w:szCs w:val="24"/>
        </w:rPr>
        <w:t>研究生人预计</w:t>
      </w:r>
      <w:r>
        <w:rPr>
          <w:rFonts w:hint="eastAsia" w:ascii="宋体" w:hAnsi="宋体" w:eastAsia="宋体" w:cs="宋体"/>
          <w:b w:val="0"/>
          <w:bCs w:val="0"/>
          <w:color w:val="000000"/>
          <w:sz w:val="24"/>
          <w:szCs w:val="24"/>
          <w:lang w:val="en-US" w:eastAsia="zh-CN"/>
        </w:rPr>
        <w:t>2022年、2023年预计</w:t>
      </w:r>
      <w:r>
        <w:rPr>
          <w:rFonts w:hint="eastAsia" w:ascii="宋体" w:hAnsi="宋体" w:eastAsia="宋体" w:cs="宋体"/>
          <w:b w:val="0"/>
          <w:bCs w:val="0"/>
          <w:color w:val="000000"/>
          <w:sz w:val="24"/>
          <w:szCs w:val="24"/>
        </w:rPr>
        <w:t>毕业</w:t>
      </w:r>
      <w:r>
        <w:rPr>
          <w:rFonts w:hint="eastAsia" w:ascii="宋体" w:hAnsi="宋体" w:eastAsia="宋体" w:cs="宋体"/>
          <w:b w:val="0"/>
          <w:bCs w:val="0"/>
          <w:color w:val="000000"/>
          <w:sz w:val="24"/>
          <w:szCs w:val="24"/>
          <w:lang w:val="en-US" w:eastAsia="zh-CN"/>
        </w:rPr>
        <w:t>总</w:t>
      </w:r>
      <w:r>
        <w:rPr>
          <w:rFonts w:hint="eastAsia" w:ascii="宋体" w:hAnsi="宋体" w:eastAsia="宋体" w:cs="宋体"/>
          <w:b w:val="0"/>
          <w:bCs w:val="0"/>
          <w:color w:val="000000"/>
          <w:sz w:val="24"/>
          <w:szCs w:val="24"/>
        </w:rPr>
        <w:t>人数为</w:t>
      </w:r>
      <w:r>
        <w:rPr>
          <w:rFonts w:hint="eastAsia" w:ascii="宋体" w:hAnsi="宋体" w:eastAsia="宋体" w:cs="宋体"/>
          <w:b w:val="0"/>
          <w:bCs w:val="0"/>
          <w:color w:val="000000"/>
          <w:sz w:val="24"/>
          <w:szCs w:val="24"/>
          <w:lang w:val="en-US" w:eastAsia="zh-CN"/>
        </w:rPr>
        <w:t>3800</w:t>
      </w:r>
      <w:r>
        <w:rPr>
          <w:rFonts w:hint="eastAsia" w:ascii="宋体" w:hAnsi="宋体" w:eastAsia="宋体" w:cs="宋体"/>
          <w:b w:val="0"/>
          <w:bCs w:val="0"/>
          <w:color w:val="000000"/>
          <w:sz w:val="24"/>
          <w:szCs w:val="24"/>
        </w:rPr>
        <w:t>人左右</w:t>
      </w:r>
      <w:r>
        <w:rPr>
          <w:rFonts w:hint="eastAsia" w:ascii="宋体" w:hAnsi="宋体" w:eastAsia="宋体" w:cs="宋体"/>
          <w:b w:val="0"/>
          <w:bCs w:val="0"/>
          <w:color w:val="000000"/>
          <w:sz w:val="24"/>
          <w:szCs w:val="24"/>
          <w:lang w:val="en-US" w:eastAsia="zh-CN"/>
        </w:rPr>
        <w:t>。硕士</w:t>
      </w:r>
      <w:r>
        <w:rPr>
          <w:rFonts w:hint="eastAsia" w:ascii="宋体" w:hAnsi="宋体" w:eastAsia="宋体" w:cs="宋体"/>
          <w:b w:val="0"/>
          <w:bCs w:val="0"/>
          <w:color w:val="000000"/>
          <w:sz w:val="24"/>
          <w:szCs w:val="24"/>
        </w:rPr>
        <w:t>每人每篇论文需要送审2个专家进行评审，整体送审量大约在</w:t>
      </w:r>
      <w:r>
        <w:rPr>
          <w:rFonts w:hint="eastAsia" w:ascii="宋体" w:hAnsi="宋体" w:eastAsia="宋体" w:cs="宋体"/>
          <w:b w:val="0"/>
          <w:bCs w:val="0"/>
          <w:color w:val="000000"/>
          <w:sz w:val="24"/>
          <w:szCs w:val="24"/>
          <w:lang w:val="en-US" w:eastAsia="zh-CN"/>
        </w:rPr>
        <w:t>7500</w:t>
      </w:r>
      <w:r>
        <w:rPr>
          <w:rFonts w:hint="eastAsia" w:ascii="宋体" w:hAnsi="宋体" w:eastAsia="宋体" w:cs="宋体"/>
          <w:b w:val="0"/>
          <w:bCs w:val="0"/>
          <w:color w:val="000000"/>
          <w:sz w:val="24"/>
          <w:szCs w:val="24"/>
        </w:rPr>
        <w:t>份左右</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具体送审数据以学校每年实际送审数据为准，现需要有资格的第三方送审单位来完成学校的论文送审服务工作。</w:t>
      </w:r>
    </w:p>
    <w:p>
      <w:pPr>
        <w:pStyle w:val="4"/>
        <w:numPr>
          <w:ilvl w:val="0"/>
          <w:numId w:val="4"/>
        </w:numPr>
        <w:rPr>
          <w:rFonts w:hint="eastAsia" w:cs="宋体"/>
          <w:highlight w:val="none"/>
        </w:rPr>
      </w:pPr>
      <w:r>
        <w:rPr>
          <w:rFonts w:hint="eastAsia" w:cs="宋体"/>
          <w:highlight w:val="none"/>
          <w:lang w:eastAsia="zh-CN"/>
        </w:rPr>
        <w:t>技术参数</w:t>
      </w:r>
      <w:r>
        <w:rPr>
          <w:rFonts w:hint="eastAsia" w:cs="宋体"/>
          <w:highlight w:val="none"/>
        </w:rPr>
        <w:t>要求</w:t>
      </w:r>
    </w:p>
    <w:p>
      <w:pPr>
        <w:spacing w:line="360" w:lineRule="auto"/>
        <w:ind w:firstLine="240" w:firstLineChars="100"/>
        <w:rPr>
          <w:rFonts w:hint="eastAsia" w:ascii="宋体" w:hAnsi="宋体" w:eastAsia="宋体" w:cs="宋体"/>
          <w:highlight w:val="none"/>
        </w:rPr>
      </w:pPr>
      <w:r>
        <w:rPr>
          <w:rFonts w:hint="eastAsia" w:ascii="宋体" w:hAnsi="宋体" w:eastAsia="宋体" w:cs="宋体"/>
          <w:highlight w:val="none"/>
        </w:rPr>
        <w:t>（1）平台支持pdf文件+excel信息表上传功能，操作简便。</w:t>
      </w:r>
    </w:p>
    <w:p>
      <w:pPr>
        <w:spacing w:line="360" w:lineRule="auto"/>
        <w:ind w:firstLine="240" w:firstLineChars="100"/>
        <w:rPr>
          <w:rFonts w:hint="eastAsia" w:ascii="宋体" w:hAnsi="宋体" w:eastAsia="宋体" w:cs="宋体"/>
          <w:highlight w:val="none"/>
        </w:rPr>
      </w:pPr>
      <w:r>
        <w:rPr>
          <w:rFonts w:hint="eastAsia" w:ascii="宋体" w:hAnsi="宋体" w:eastAsia="宋体" w:cs="宋体"/>
          <w:highlight w:val="none"/>
        </w:rPr>
        <w:t>（2）用户可通过平台对送审论文情况进行实时跟踪、查询、统计。</w:t>
      </w:r>
    </w:p>
    <w:p>
      <w:pPr>
        <w:spacing w:line="360" w:lineRule="auto"/>
        <w:ind w:firstLine="240" w:firstLineChars="100"/>
        <w:rPr>
          <w:rFonts w:hint="eastAsia" w:ascii="宋体" w:hAnsi="宋体" w:eastAsia="宋体" w:cs="宋体"/>
          <w:highlight w:val="none"/>
        </w:rPr>
      </w:pPr>
      <w:r>
        <w:rPr>
          <w:rFonts w:hint="eastAsia" w:ascii="宋体" w:hAnsi="宋体" w:eastAsia="宋体" w:cs="宋体"/>
          <w:highlight w:val="none"/>
        </w:rPr>
        <w:t>（3）平台可定制评阅书模板。</w:t>
      </w:r>
    </w:p>
    <w:p>
      <w:pPr>
        <w:spacing w:line="360" w:lineRule="auto"/>
        <w:ind w:firstLine="240" w:firstLineChars="100"/>
        <w:rPr>
          <w:rFonts w:hint="eastAsia" w:ascii="宋体" w:hAnsi="宋体" w:eastAsia="宋体" w:cs="宋体"/>
          <w:highlight w:val="none"/>
        </w:rPr>
      </w:pPr>
      <w:r>
        <w:rPr>
          <w:rFonts w:hint="eastAsia" w:ascii="宋体" w:hAnsi="宋体" w:eastAsia="宋体" w:cs="宋体"/>
          <w:highlight w:val="none"/>
        </w:rPr>
        <w:t>（4）平台支持自建专家库。</w:t>
      </w:r>
    </w:p>
    <w:p>
      <w:pPr>
        <w:spacing w:line="360" w:lineRule="auto"/>
        <w:ind w:firstLine="240" w:firstLineChars="100"/>
        <w:rPr>
          <w:rFonts w:hint="eastAsia" w:ascii="宋体" w:hAnsi="宋体" w:eastAsia="宋体" w:cs="宋体"/>
          <w:highlight w:val="none"/>
        </w:rPr>
      </w:pPr>
      <w:r>
        <w:rPr>
          <w:rFonts w:hint="eastAsia" w:ascii="宋体" w:hAnsi="宋体" w:eastAsia="宋体" w:cs="宋体"/>
          <w:highlight w:val="none"/>
        </w:rPr>
        <w:t>（5）平台支持批量下载评阅结果和导出评审结果汇总表。</w:t>
      </w:r>
    </w:p>
    <w:p>
      <w:pPr>
        <w:spacing w:line="360" w:lineRule="auto"/>
        <w:ind w:firstLine="240" w:firstLineChars="100"/>
        <w:rPr>
          <w:rFonts w:hint="eastAsia" w:ascii="宋体" w:hAnsi="宋体" w:eastAsia="宋体" w:cs="宋体"/>
          <w:highlight w:val="none"/>
        </w:rPr>
      </w:pPr>
      <w:r>
        <w:rPr>
          <w:rFonts w:hint="eastAsia" w:ascii="宋体" w:hAnsi="宋体" w:eastAsia="宋体" w:cs="宋体"/>
          <w:highlight w:val="none"/>
        </w:rPr>
        <w:t>（6）专家评阅支持短信、邮件通知的功能。</w:t>
      </w:r>
    </w:p>
    <w:p>
      <w:pPr>
        <w:spacing w:line="360" w:lineRule="auto"/>
        <w:ind w:firstLine="240" w:firstLineChars="100"/>
        <w:rPr>
          <w:rFonts w:hint="eastAsia" w:ascii="宋体" w:hAnsi="宋体" w:eastAsia="宋体" w:cs="宋体"/>
          <w:highlight w:val="none"/>
        </w:rPr>
      </w:pPr>
      <w:r>
        <w:rPr>
          <w:rFonts w:hint="eastAsia" w:ascii="宋体" w:hAnsi="宋体" w:eastAsia="宋体" w:cs="宋体"/>
          <w:highlight w:val="none"/>
        </w:rPr>
        <w:t>（7）平台支持将专家已经定稿的评审结果打回，专家可对评审结果进行修改后再次提交。</w:t>
      </w:r>
    </w:p>
    <w:p>
      <w:pPr>
        <w:spacing w:line="360" w:lineRule="auto"/>
        <w:ind w:firstLine="240" w:firstLineChars="100"/>
        <w:rPr>
          <w:rFonts w:hint="eastAsia" w:ascii="宋体" w:hAnsi="宋体" w:eastAsia="宋体" w:cs="宋体"/>
          <w:highlight w:val="none"/>
        </w:rPr>
      </w:pPr>
      <w:r>
        <w:rPr>
          <w:rFonts w:hint="eastAsia" w:ascii="宋体" w:hAnsi="宋体" w:eastAsia="宋体" w:cs="宋体"/>
          <w:highlight w:val="none"/>
        </w:rPr>
        <w:t>（8）支持自助送审模式。</w:t>
      </w:r>
    </w:p>
    <w:p>
      <w:pPr>
        <w:spacing w:line="360" w:lineRule="auto"/>
        <w:ind w:firstLine="240" w:firstLineChars="100"/>
        <w:rPr>
          <w:rFonts w:hint="eastAsia" w:ascii="宋体" w:hAnsi="宋体" w:eastAsia="宋体" w:cs="宋体"/>
          <w:highlight w:val="none"/>
        </w:rPr>
      </w:pPr>
      <w:r>
        <w:rPr>
          <w:rFonts w:hint="eastAsia" w:ascii="宋体" w:hAnsi="宋体" w:eastAsia="宋体" w:cs="宋体"/>
          <w:highlight w:val="none"/>
        </w:rPr>
        <w:t>（9）支持学生管理，并可以给学生批量发短信。</w:t>
      </w:r>
    </w:p>
    <w:p>
      <w:pPr>
        <w:spacing w:line="360" w:lineRule="auto"/>
        <w:ind w:firstLine="240" w:firstLineChars="100"/>
        <w:rPr>
          <w:rFonts w:hint="eastAsia" w:ascii="宋体" w:hAnsi="宋体" w:eastAsia="宋体" w:cs="宋体"/>
          <w:highlight w:val="none"/>
        </w:rPr>
      </w:pPr>
      <w:r>
        <w:rPr>
          <w:rFonts w:hint="eastAsia" w:ascii="宋体" w:hAnsi="宋体" w:eastAsia="宋体" w:cs="宋体"/>
          <w:highlight w:val="none"/>
        </w:rPr>
        <w:t>（10）可以对评审结果进行多维度的统计分析。</w:t>
      </w:r>
    </w:p>
    <w:p>
      <w:pPr>
        <w:spacing w:line="360" w:lineRule="auto"/>
        <w:ind w:firstLine="240" w:firstLineChars="100"/>
        <w:rPr>
          <w:rFonts w:hint="eastAsia" w:ascii="宋体" w:hAnsi="宋体" w:eastAsia="宋体" w:cs="宋体"/>
          <w:highlight w:val="none"/>
        </w:rPr>
      </w:pPr>
      <w:r>
        <w:rPr>
          <w:rFonts w:hint="eastAsia" w:ascii="宋体" w:hAnsi="宋体" w:eastAsia="宋体" w:cs="宋体"/>
          <w:highlight w:val="none"/>
        </w:rPr>
        <w:t>（11）可以按送审批次进行归口管理。</w:t>
      </w:r>
    </w:p>
    <w:p>
      <w:pPr>
        <w:pStyle w:val="4"/>
        <w:rPr>
          <w:rFonts w:hint="eastAsia"/>
          <w:color w:val="auto"/>
          <w:highlight w:val="none"/>
          <w:lang w:eastAsia="zh-CN"/>
        </w:rPr>
      </w:pPr>
      <w:r>
        <w:rPr>
          <w:rFonts w:hint="eastAsia"/>
          <w:color w:val="auto"/>
          <w:highlight w:val="none"/>
        </w:rPr>
        <w:t>三、</w:t>
      </w:r>
      <w:r>
        <w:rPr>
          <w:rFonts w:hint="eastAsia"/>
          <w:color w:val="auto"/>
          <w:highlight w:val="none"/>
          <w:lang w:eastAsia="zh-CN"/>
        </w:rPr>
        <w:t>服务要求</w:t>
      </w:r>
    </w:p>
    <w:p>
      <w:pPr>
        <w:spacing w:line="360" w:lineRule="auto"/>
        <w:ind w:firstLine="480" w:firstLineChars="200"/>
        <w:rPr>
          <w:rFonts w:hint="eastAsia" w:ascii="宋体" w:hAnsi="宋体" w:eastAsia="宋体" w:cs="宋体"/>
          <w:highlight w:val="none"/>
          <w:lang w:eastAsia="zh-CN"/>
        </w:rPr>
      </w:pPr>
      <w:r>
        <w:rPr>
          <w:rFonts w:hint="eastAsia" w:ascii="宋体" w:hAnsi="宋体" w:eastAsia="宋体" w:cs="宋体"/>
          <w:highlight w:val="none"/>
          <w:lang w:eastAsia="zh-CN"/>
        </w:rPr>
        <w:t>（1）可以根据教育部第四次学科评估排名，并结合本校送审要求，将学位论文送审到全国范围内的指定级别高校和专家，并按时返回评审结果。</w:t>
      </w:r>
    </w:p>
    <w:p>
      <w:pPr>
        <w:spacing w:line="360" w:lineRule="auto"/>
        <w:ind w:firstLine="480" w:firstLineChars="200"/>
        <w:rPr>
          <w:rFonts w:hint="eastAsia" w:ascii="宋体" w:hAnsi="宋体" w:eastAsia="宋体" w:cs="宋体"/>
          <w:highlight w:val="none"/>
          <w:lang w:eastAsia="zh-CN"/>
        </w:rPr>
      </w:pPr>
      <w:r>
        <w:rPr>
          <w:rFonts w:hint="eastAsia" w:ascii="宋体" w:hAnsi="宋体" w:eastAsia="宋体" w:cs="宋体"/>
          <w:highlight w:val="none"/>
          <w:lang w:eastAsia="zh-CN"/>
        </w:rPr>
        <w:t>（2）评审专家的从事专业需与论文的研究内容或学生所在专业严格匹配。</w:t>
      </w:r>
    </w:p>
    <w:p>
      <w:pPr>
        <w:spacing w:line="360" w:lineRule="auto"/>
        <w:ind w:firstLine="480" w:firstLineChars="200"/>
        <w:rPr>
          <w:rFonts w:hint="eastAsia" w:ascii="宋体" w:hAnsi="宋体" w:eastAsia="宋体" w:cs="宋体"/>
          <w:highlight w:val="none"/>
          <w:lang w:eastAsia="zh-CN"/>
        </w:rPr>
      </w:pPr>
      <w:r>
        <w:rPr>
          <w:rFonts w:hint="eastAsia" w:ascii="宋体" w:hAnsi="宋体" w:eastAsia="宋体" w:cs="宋体"/>
          <w:highlight w:val="none"/>
          <w:lang w:eastAsia="zh-CN"/>
        </w:rPr>
        <w:t>（3）第三方送审公司必须在甲方规定时间内容完成送审并提交电子版评阅意见书，硕士25个工作日内。</w:t>
      </w:r>
    </w:p>
    <w:p>
      <w:pPr>
        <w:spacing w:line="360" w:lineRule="auto"/>
        <w:ind w:firstLine="480" w:firstLineChars="200"/>
        <w:rPr>
          <w:rFonts w:hint="eastAsia" w:ascii="宋体" w:hAnsi="宋体" w:eastAsia="宋体" w:cs="宋体"/>
          <w:highlight w:val="none"/>
          <w:lang w:eastAsia="zh-CN"/>
        </w:rPr>
      </w:pPr>
      <w:r>
        <w:rPr>
          <w:rFonts w:hint="eastAsia" w:ascii="宋体" w:hAnsi="宋体" w:eastAsia="宋体" w:cs="宋体"/>
          <w:highlight w:val="none"/>
          <w:lang w:eastAsia="zh-CN"/>
        </w:rPr>
        <w:t>（4）第三方公司可提供7x12小时的在线技术支持与服务，如在使用过程中因软件自身问题导致校方无法正常使用，服务商应在2小时之内给予响应，12小时之内给出解决方案。</w:t>
      </w:r>
    </w:p>
    <w:p>
      <w:pPr>
        <w:spacing w:line="360" w:lineRule="auto"/>
        <w:ind w:firstLine="480" w:firstLineChars="200"/>
        <w:rPr>
          <w:rFonts w:hint="eastAsia" w:ascii="宋体" w:hAnsi="宋体" w:eastAsia="宋体" w:cs="宋体"/>
          <w:highlight w:val="none"/>
          <w:lang w:eastAsia="zh-CN"/>
        </w:rPr>
      </w:pPr>
      <w:r>
        <w:rPr>
          <w:rFonts w:hint="eastAsia" w:ascii="宋体" w:hAnsi="宋体" w:eastAsia="宋体" w:cs="宋体"/>
          <w:highlight w:val="none"/>
          <w:lang w:eastAsia="zh-CN"/>
        </w:rPr>
        <w:t>（5）第三方送审公司送审平台需支持与我校研究生信息系统数据对接。</w:t>
      </w:r>
    </w:p>
    <w:p>
      <w:pPr>
        <w:pStyle w:val="4"/>
        <w:rPr>
          <w:rFonts w:hint="eastAsia"/>
          <w:color w:val="auto"/>
          <w:highlight w:val="none"/>
          <w:lang w:eastAsia="zh-CN"/>
        </w:rPr>
      </w:pPr>
      <w:r>
        <w:rPr>
          <w:rFonts w:hint="eastAsia"/>
          <w:color w:val="auto"/>
          <w:highlight w:val="none"/>
          <w:lang w:eastAsia="zh-CN"/>
        </w:rPr>
        <w:t>四、演示内容</w:t>
      </w:r>
    </w:p>
    <w:p>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响应方</w:t>
      </w:r>
      <w:r>
        <w:rPr>
          <w:rFonts w:hint="eastAsia" w:ascii="宋体" w:hAnsi="宋体" w:eastAsia="宋体" w:cs="宋体"/>
          <w:bCs/>
          <w:color w:val="auto"/>
          <w:sz w:val="24"/>
          <w:szCs w:val="24"/>
          <w:highlight w:val="none"/>
        </w:rPr>
        <w:t>演示内容需为软件实体演示</w:t>
      </w:r>
      <w:r>
        <w:rPr>
          <w:rFonts w:hint="eastAsia" w:ascii="宋体" w:hAnsi="宋体" w:eastAsia="宋体" w:cs="宋体"/>
          <w:bCs/>
          <w:color w:val="auto"/>
          <w:sz w:val="24"/>
          <w:szCs w:val="24"/>
          <w:highlight w:val="none"/>
          <w:lang w:val="en-US" w:eastAsia="zh-CN"/>
        </w:rPr>
        <w:t>录制的视频</w:t>
      </w:r>
      <w:r>
        <w:rPr>
          <w:rFonts w:hint="eastAsia" w:ascii="宋体" w:hAnsi="宋体" w:eastAsia="宋体" w:cs="宋体"/>
          <w:bCs/>
          <w:color w:val="auto"/>
          <w:sz w:val="24"/>
          <w:szCs w:val="24"/>
          <w:highlight w:val="none"/>
        </w:rPr>
        <w:t>，以PPT、</w:t>
      </w:r>
      <w:r>
        <w:rPr>
          <w:rFonts w:hint="eastAsia" w:ascii="宋体" w:hAnsi="宋体" w:eastAsia="宋体" w:cs="宋体"/>
          <w:bCs/>
          <w:color w:val="auto"/>
          <w:sz w:val="24"/>
          <w:szCs w:val="24"/>
          <w:highlight w:val="none"/>
          <w:lang w:val="en-US" w:eastAsia="zh-CN"/>
        </w:rPr>
        <w:t>非</w:t>
      </w:r>
      <w:r>
        <w:rPr>
          <w:rFonts w:hint="eastAsia" w:ascii="宋体" w:hAnsi="宋体" w:eastAsia="宋体" w:cs="宋体"/>
          <w:bCs/>
          <w:color w:val="auto"/>
          <w:sz w:val="24"/>
          <w:szCs w:val="24"/>
          <w:highlight w:val="none"/>
        </w:rPr>
        <w:t>软件实体演示录制的视频、图片等非软件形式操作视同未演示，不得分：</w:t>
      </w:r>
    </w:p>
    <w:p>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（1）平台支持pdf文件+excel信息表上传功能，操作简便。</w:t>
      </w:r>
    </w:p>
    <w:p>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（2）用户可通过平台对送审论文情况进行实时跟踪、查询、统计。</w:t>
      </w:r>
    </w:p>
    <w:p>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（3）平台可定制评阅书模板。</w:t>
      </w:r>
    </w:p>
    <w:p>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（4）平台支持自建专家库。</w:t>
      </w:r>
    </w:p>
    <w:p>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（5）平台支持批量下载评阅结果和导出评审结果汇总表。</w:t>
      </w:r>
    </w:p>
    <w:p>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（6）专家评阅支持短信、邮件通知的功能。</w:t>
      </w:r>
    </w:p>
    <w:p>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（7）平台支持将专家已经定稿的评审结果打回，专家可对评审结果进行修改后再次提交。</w:t>
      </w:r>
    </w:p>
    <w:p>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（8）支持自助送审模式。</w:t>
      </w:r>
    </w:p>
    <w:p>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（9）支持学生管理，并可以给学生批量发短信。</w:t>
      </w:r>
    </w:p>
    <w:p>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（10）可以对评审结果进行多维度的统计分析。</w:t>
      </w:r>
    </w:p>
    <w:p>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（11）可以按送审批次进行归口管理。</w:t>
      </w:r>
    </w:p>
    <w:p>
      <w:pPr>
        <w:rPr>
          <w:rFonts w:hint="eastAsia"/>
          <w:lang w:eastAsia="zh-CN"/>
        </w:rPr>
      </w:pPr>
    </w:p>
    <w:p>
      <w:pPr>
        <w:pStyle w:val="4"/>
        <w:rPr>
          <w:rFonts w:hint="eastAsia"/>
          <w:color w:val="auto"/>
          <w:highlight w:val="none"/>
        </w:rPr>
      </w:pPr>
      <w:r>
        <w:rPr>
          <w:rFonts w:hint="eastAsia"/>
          <w:color w:val="auto"/>
          <w:highlight w:val="none"/>
          <w:lang w:eastAsia="zh-CN"/>
        </w:rPr>
        <w:t>五、</w:t>
      </w:r>
      <w:r>
        <w:rPr>
          <w:rFonts w:hint="eastAsia"/>
          <w:color w:val="auto"/>
          <w:highlight w:val="none"/>
        </w:rPr>
        <w:t>商务条款</w:t>
      </w:r>
    </w:p>
    <w:p>
      <w:pPr>
        <w:pStyle w:val="5"/>
        <w:spacing w:line="360" w:lineRule="auto"/>
        <w:rPr>
          <w:rFonts w:ascii="宋体" w:hAnsi="宋体" w:cs="宋体"/>
          <w:highlight w:val="none"/>
        </w:rPr>
      </w:pPr>
      <w:r>
        <w:rPr>
          <w:rFonts w:hint="eastAsia"/>
          <w:highlight w:val="none"/>
        </w:rPr>
        <w:t>▲</w:t>
      </w:r>
      <w:r>
        <w:rPr>
          <w:rFonts w:hint="eastAsia"/>
          <w:highlight w:val="none"/>
          <w:lang w:val="en-US" w:eastAsia="zh-CN"/>
        </w:rPr>
        <w:t>1</w:t>
      </w:r>
      <w:r>
        <w:rPr>
          <w:rFonts w:hint="eastAsia" w:ascii="宋体" w:hAnsi="宋体" w:cs="宋体"/>
          <w:highlight w:val="none"/>
        </w:rPr>
        <w:t>.</w:t>
      </w:r>
      <w:r>
        <w:rPr>
          <w:rFonts w:hint="eastAsia" w:ascii="宋体" w:hAnsi="宋体" w:cs="宋体"/>
          <w:highlight w:val="none"/>
          <w:lang w:eastAsia="zh-CN"/>
        </w:rPr>
        <w:t>履约</w:t>
      </w:r>
      <w:r>
        <w:rPr>
          <w:rFonts w:hint="eastAsia" w:ascii="宋体" w:hAnsi="宋体" w:cs="宋体"/>
          <w:highlight w:val="none"/>
        </w:rPr>
        <w:t>保证金</w:t>
      </w:r>
    </w:p>
    <w:p>
      <w:pPr>
        <w:spacing w:line="360" w:lineRule="auto"/>
        <w:ind w:firstLine="480"/>
        <w:rPr>
          <w:rFonts w:hint="eastAsia" w:ascii="宋体" w:hAnsi="宋体"/>
          <w:szCs w:val="22"/>
          <w:highlight w:val="none"/>
        </w:rPr>
      </w:pPr>
      <w:r>
        <w:rPr>
          <w:rFonts w:hint="eastAsia" w:ascii="宋体" w:hAnsi="宋体"/>
          <w:szCs w:val="22"/>
          <w:highlight w:val="none"/>
        </w:rPr>
        <w:t>合同签订后，</w:t>
      </w:r>
      <w:r>
        <w:rPr>
          <w:rFonts w:hint="eastAsia"/>
          <w:szCs w:val="22"/>
          <w:highlight w:val="none"/>
          <w:lang w:val="en-US" w:eastAsia="zh-CN"/>
        </w:rPr>
        <w:t>中标人</w:t>
      </w:r>
      <w:r>
        <w:rPr>
          <w:rFonts w:hint="eastAsia" w:ascii="宋体" w:hAnsi="宋体"/>
          <w:szCs w:val="22"/>
          <w:highlight w:val="none"/>
        </w:rPr>
        <w:t>向</w:t>
      </w:r>
      <w:r>
        <w:rPr>
          <w:rFonts w:hint="eastAsia"/>
          <w:szCs w:val="22"/>
          <w:highlight w:val="none"/>
          <w:lang w:val="en-US" w:eastAsia="zh-CN"/>
        </w:rPr>
        <w:t>招标</w:t>
      </w:r>
      <w:r>
        <w:rPr>
          <w:rFonts w:hint="eastAsia" w:ascii="宋体" w:hAnsi="宋体"/>
          <w:szCs w:val="22"/>
          <w:highlight w:val="none"/>
        </w:rPr>
        <w:t>人缴纳合同金额5%的</w:t>
      </w:r>
      <w:r>
        <w:rPr>
          <w:rFonts w:hint="eastAsia" w:ascii="宋体" w:hAnsi="宋体" w:cs="宋体"/>
          <w:highlight w:val="none"/>
          <w:lang w:eastAsia="zh-CN"/>
        </w:rPr>
        <w:t>履约</w:t>
      </w:r>
      <w:r>
        <w:rPr>
          <w:rFonts w:hint="eastAsia" w:ascii="宋体" w:hAnsi="宋体"/>
          <w:szCs w:val="22"/>
          <w:highlight w:val="none"/>
        </w:rPr>
        <w:t>保证金，</w:t>
      </w:r>
      <w:r>
        <w:rPr>
          <w:rFonts w:hint="eastAsia" w:ascii="宋体" w:hAnsi="宋体" w:cs="宋体"/>
          <w:highlight w:val="none"/>
          <w:lang w:eastAsia="zh-CN"/>
        </w:rPr>
        <w:t>履约</w:t>
      </w:r>
      <w:r>
        <w:rPr>
          <w:rFonts w:hint="eastAsia" w:ascii="宋体" w:hAnsi="宋体"/>
          <w:szCs w:val="22"/>
          <w:highlight w:val="none"/>
        </w:rPr>
        <w:t>保证金在</w:t>
      </w:r>
      <w:r>
        <w:rPr>
          <w:rFonts w:hint="eastAsia" w:ascii="宋体" w:hAnsi="宋体" w:cs="宋体"/>
          <w:highlight w:val="none"/>
          <w:lang w:eastAsia="zh-CN"/>
        </w:rPr>
        <w:t>履约</w:t>
      </w:r>
      <w:r>
        <w:rPr>
          <w:rFonts w:hint="eastAsia" w:ascii="宋体" w:hAnsi="宋体"/>
          <w:szCs w:val="22"/>
          <w:highlight w:val="none"/>
        </w:rPr>
        <w:t>期内无质量问题和维护问题，</w:t>
      </w:r>
      <w:r>
        <w:rPr>
          <w:rFonts w:hint="eastAsia" w:ascii="宋体" w:hAnsi="宋体"/>
          <w:szCs w:val="22"/>
          <w:highlight w:val="none"/>
          <w:lang w:eastAsia="zh-CN"/>
        </w:rPr>
        <w:t>服务</w:t>
      </w:r>
      <w:r>
        <w:rPr>
          <w:rFonts w:hint="eastAsia" w:ascii="宋体" w:hAnsi="宋体"/>
          <w:szCs w:val="22"/>
          <w:highlight w:val="none"/>
        </w:rPr>
        <w:t>期满后无息退还。</w:t>
      </w:r>
    </w:p>
    <w:p>
      <w:pPr>
        <w:spacing w:line="360" w:lineRule="auto"/>
        <w:ind w:firstLine="480"/>
        <w:rPr>
          <w:rFonts w:hint="eastAsia" w:ascii="宋体" w:hAnsi="宋体"/>
          <w:szCs w:val="22"/>
          <w:highlight w:val="none"/>
        </w:rPr>
      </w:pPr>
      <w:r>
        <w:rPr>
          <w:rFonts w:hint="eastAsia" w:ascii="宋体" w:hAnsi="宋体"/>
          <w:szCs w:val="22"/>
          <w:highlight w:val="none"/>
        </w:rPr>
        <w:t>转账信息如下：</w:t>
      </w:r>
    </w:p>
    <w:p>
      <w:pPr>
        <w:spacing w:line="360" w:lineRule="auto"/>
        <w:ind w:firstLine="480"/>
        <w:rPr>
          <w:rFonts w:hint="eastAsia" w:ascii="宋体" w:hAnsi="宋体"/>
          <w:szCs w:val="22"/>
          <w:highlight w:val="none"/>
        </w:rPr>
      </w:pPr>
      <w:r>
        <w:rPr>
          <w:rFonts w:hint="eastAsia" w:ascii="宋体" w:hAnsi="宋体"/>
          <w:szCs w:val="22"/>
          <w:highlight w:val="none"/>
        </w:rPr>
        <w:t>收款单位（户名）:杭州电子科技大学</w:t>
      </w:r>
    </w:p>
    <w:p>
      <w:pPr>
        <w:spacing w:line="360" w:lineRule="auto"/>
        <w:ind w:firstLine="480"/>
        <w:rPr>
          <w:rFonts w:hint="eastAsia" w:ascii="宋体" w:hAnsi="宋体"/>
          <w:szCs w:val="22"/>
          <w:highlight w:val="none"/>
        </w:rPr>
      </w:pPr>
      <w:r>
        <w:rPr>
          <w:rFonts w:hint="eastAsia" w:ascii="宋体" w:hAnsi="宋体"/>
          <w:szCs w:val="22"/>
          <w:highlight w:val="none"/>
        </w:rPr>
        <w:t>开户银行：工行高新支行</w:t>
      </w:r>
    </w:p>
    <w:p>
      <w:pPr>
        <w:spacing w:line="360" w:lineRule="auto"/>
        <w:ind w:firstLine="480"/>
        <w:rPr>
          <w:rFonts w:hint="eastAsia" w:ascii="宋体" w:hAnsi="宋体"/>
          <w:szCs w:val="22"/>
          <w:highlight w:val="none"/>
        </w:rPr>
      </w:pPr>
      <w:r>
        <w:rPr>
          <w:rFonts w:hint="eastAsia" w:ascii="宋体" w:hAnsi="宋体"/>
          <w:szCs w:val="22"/>
          <w:highlight w:val="none"/>
        </w:rPr>
        <w:t>银行账号：1202026209008806216</w:t>
      </w:r>
    </w:p>
    <w:p>
      <w:pPr>
        <w:spacing w:line="360" w:lineRule="auto"/>
        <w:ind w:firstLine="480"/>
        <w:rPr>
          <w:rFonts w:hint="eastAsia" w:ascii="宋体" w:hAnsi="宋体"/>
          <w:szCs w:val="22"/>
          <w:highlight w:val="none"/>
        </w:rPr>
      </w:pPr>
      <w:r>
        <w:rPr>
          <w:rFonts w:hint="eastAsia" w:ascii="宋体" w:hAnsi="宋体"/>
          <w:szCs w:val="22"/>
          <w:highlight w:val="none"/>
        </w:rPr>
        <w:t>发票开票信息</w:t>
      </w:r>
    </w:p>
    <w:p>
      <w:pPr>
        <w:spacing w:line="360" w:lineRule="auto"/>
        <w:ind w:firstLine="480"/>
        <w:rPr>
          <w:rFonts w:hint="eastAsia" w:ascii="宋体" w:hAnsi="宋体"/>
          <w:szCs w:val="22"/>
          <w:highlight w:val="none"/>
        </w:rPr>
      </w:pPr>
      <w:r>
        <w:rPr>
          <w:rFonts w:hint="eastAsia" w:ascii="宋体" w:hAnsi="宋体"/>
          <w:szCs w:val="22"/>
          <w:highlight w:val="none"/>
        </w:rPr>
        <w:t>抬头：杭州电子科技大学</w:t>
      </w:r>
    </w:p>
    <w:p>
      <w:pPr>
        <w:spacing w:line="360" w:lineRule="auto"/>
        <w:ind w:firstLine="480"/>
        <w:rPr>
          <w:rFonts w:hint="eastAsia" w:ascii="宋体" w:hAnsi="宋体"/>
          <w:szCs w:val="22"/>
          <w:highlight w:val="none"/>
        </w:rPr>
      </w:pPr>
      <w:r>
        <w:rPr>
          <w:rFonts w:hint="eastAsia" w:ascii="宋体" w:hAnsi="宋体"/>
          <w:szCs w:val="22"/>
          <w:highlight w:val="none"/>
        </w:rPr>
        <w:t>税号：12330000470009026T</w:t>
      </w:r>
    </w:p>
    <w:p>
      <w:pPr>
        <w:pStyle w:val="5"/>
        <w:spacing w:line="360" w:lineRule="auto"/>
        <w:rPr>
          <w:rFonts w:ascii="宋体" w:hAnsi="宋体" w:cs="宋体"/>
          <w:highlight w:val="none"/>
        </w:rPr>
      </w:pPr>
      <w:r>
        <w:rPr>
          <w:rFonts w:hint="eastAsia"/>
          <w:highlight w:val="none"/>
        </w:rPr>
        <w:t>▲</w:t>
      </w:r>
      <w:r>
        <w:rPr>
          <w:rFonts w:hint="eastAsia"/>
          <w:highlight w:val="none"/>
          <w:lang w:val="en-US" w:eastAsia="zh-CN"/>
        </w:rPr>
        <w:t>2</w:t>
      </w:r>
      <w:r>
        <w:rPr>
          <w:rFonts w:hint="eastAsia" w:ascii="宋体" w:hAnsi="宋体" w:cs="宋体"/>
          <w:highlight w:val="none"/>
        </w:rPr>
        <w:t>.付款方式</w:t>
      </w:r>
    </w:p>
    <w:p>
      <w:pPr>
        <w:spacing w:line="360" w:lineRule="auto"/>
        <w:ind w:firstLine="480"/>
        <w:rPr>
          <w:rFonts w:hint="eastAsia" w:ascii="宋体" w:hAnsi="宋体"/>
          <w:szCs w:val="22"/>
          <w:highlight w:val="none"/>
        </w:rPr>
      </w:pPr>
      <w:r>
        <w:rPr>
          <w:rFonts w:hint="eastAsia" w:ascii="宋体" w:hAnsi="宋体"/>
          <w:szCs w:val="22"/>
          <w:highlight w:val="none"/>
        </w:rPr>
        <w:t>根据</w:t>
      </w:r>
      <w:r>
        <w:rPr>
          <w:rFonts w:hint="eastAsia"/>
          <w:szCs w:val="22"/>
          <w:highlight w:val="none"/>
          <w:lang w:val="en-US" w:eastAsia="zh-CN"/>
        </w:rPr>
        <w:t>招标</w:t>
      </w:r>
      <w:r>
        <w:rPr>
          <w:rFonts w:hint="eastAsia" w:ascii="宋体" w:hAnsi="宋体"/>
          <w:szCs w:val="22"/>
          <w:highlight w:val="none"/>
        </w:rPr>
        <w:t>人实际送审数量，</w:t>
      </w:r>
      <w:r>
        <w:rPr>
          <w:rFonts w:hint="eastAsia"/>
          <w:szCs w:val="22"/>
          <w:highlight w:val="none"/>
          <w:lang w:val="en-US" w:eastAsia="zh-CN"/>
        </w:rPr>
        <w:t>中标人</w:t>
      </w:r>
      <w:r>
        <w:rPr>
          <w:rFonts w:hint="eastAsia" w:ascii="宋体" w:hAnsi="宋体"/>
          <w:szCs w:val="22"/>
          <w:highlight w:val="none"/>
        </w:rPr>
        <w:t>开具正规发票供</w:t>
      </w:r>
      <w:r>
        <w:rPr>
          <w:rFonts w:hint="eastAsia"/>
          <w:szCs w:val="22"/>
          <w:highlight w:val="none"/>
          <w:lang w:val="en-US" w:eastAsia="zh-CN"/>
        </w:rPr>
        <w:t>招标</w:t>
      </w:r>
      <w:r>
        <w:rPr>
          <w:rFonts w:hint="eastAsia" w:ascii="宋体" w:hAnsi="宋体"/>
          <w:szCs w:val="22"/>
          <w:highlight w:val="none"/>
        </w:rPr>
        <w:t>人报销，按批结算。</w:t>
      </w:r>
      <w:r>
        <w:rPr>
          <w:rFonts w:hint="eastAsia"/>
          <w:szCs w:val="22"/>
          <w:highlight w:val="none"/>
          <w:lang w:val="en-US" w:eastAsia="zh-CN"/>
        </w:rPr>
        <w:t>招标</w:t>
      </w:r>
      <w:r>
        <w:rPr>
          <w:rFonts w:hint="eastAsia" w:ascii="宋体" w:hAnsi="宋体"/>
          <w:szCs w:val="22"/>
          <w:highlight w:val="none"/>
        </w:rPr>
        <w:t>人在收到发票后7天内付款。</w:t>
      </w:r>
    </w:p>
    <w:p>
      <w:pPr>
        <w:pStyle w:val="5"/>
        <w:spacing w:line="360" w:lineRule="auto"/>
        <w:rPr>
          <w:rFonts w:ascii="宋体" w:hAnsi="宋体" w:cs="宋体"/>
          <w:highlight w:val="none"/>
        </w:rPr>
      </w:pPr>
      <w:bookmarkStart w:id="66" w:name="_Toc23976"/>
      <w:r>
        <w:rPr>
          <w:rFonts w:hint="eastAsia" w:ascii="宋体" w:hAnsi="宋体" w:cs="宋体"/>
          <w:highlight w:val="none"/>
          <w:lang w:val="en-US" w:eastAsia="zh-CN"/>
        </w:rPr>
        <w:t>3</w:t>
      </w:r>
      <w:r>
        <w:rPr>
          <w:rFonts w:hint="eastAsia" w:ascii="宋体" w:hAnsi="宋体" w:cs="宋体"/>
          <w:highlight w:val="none"/>
        </w:rPr>
        <w:t>.合同履行</w:t>
      </w:r>
      <w:bookmarkEnd w:id="66"/>
    </w:p>
    <w:p>
      <w:pPr>
        <w:ind w:firstLine="480"/>
        <w:rPr>
          <w:rFonts w:hint="eastAsia" w:ascii="宋体" w:hAnsi="宋体"/>
          <w:highlight w:val="none"/>
        </w:rPr>
      </w:pPr>
      <w:r>
        <w:rPr>
          <w:rFonts w:hint="eastAsia" w:ascii="宋体" w:hAnsi="宋体"/>
          <w:highlight w:val="none"/>
        </w:rPr>
        <w:t>必须由</w:t>
      </w:r>
      <w:r>
        <w:rPr>
          <w:rFonts w:hint="eastAsia"/>
          <w:highlight w:val="none"/>
          <w:lang w:val="en-US" w:eastAsia="zh-CN"/>
        </w:rPr>
        <w:t>投标人</w:t>
      </w:r>
      <w:bookmarkStart w:id="232" w:name="_GoBack"/>
      <w:bookmarkEnd w:id="232"/>
      <w:r>
        <w:rPr>
          <w:rFonts w:hint="eastAsia" w:ascii="宋体" w:hAnsi="宋体"/>
          <w:highlight w:val="none"/>
        </w:rPr>
        <w:t>主体履行合同。</w:t>
      </w:r>
    </w:p>
    <w:p>
      <w:r>
        <w:rPr>
          <w:rFonts w:hint="eastAsia" w:ascii="宋体" w:hAnsi="宋体"/>
          <w:highlight w:val="none"/>
        </w:rPr>
        <w:br w:type="page"/>
      </w:r>
    </w:p>
    <w:bookmarkEnd w:id="63"/>
    <w:bookmarkEnd w:id="64"/>
    <w:bookmarkEnd w:id="65"/>
    <w:p>
      <w:pPr>
        <w:pStyle w:val="3"/>
        <w:rPr>
          <w:rFonts w:cs="宋体"/>
          <w:color w:val="auto"/>
          <w:sz w:val="36"/>
          <w:szCs w:val="36"/>
          <w:highlight w:val="none"/>
        </w:rPr>
      </w:pPr>
      <w:bookmarkStart w:id="67" w:name="_Toc24825"/>
      <w:bookmarkStart w:id="68" w:name="_Toc5760"/>
      <w:r>
        <w:rPr>
          <w:rFonts w:hint="eastAsia" w:cs="宋体"/>
          <w:color w:val="auto"/>
          <w:sz w:val="36"/>
          <w:szCs w:val="36"/>
          <w:highlight w:val="none"/>
        </w:rPr>
        <w:t>第三章 投标人须知</w:t>
      </w:r>
      <w:bookmarkEnd w:id="67"/>
      <w:bookmarkEnd w:id="68"/>
    </w:p>
    <w:p>
      <w:pPr>
        <w:pStyle w:val="4"/>
        <w:jc w:val="center"/>
        <w:rPr>
          <w:rFonts w:cs="宋体"/>
          <w:color w:val="auto"/>
          <w:highlight w:val="none"/>
        </w:rPr>
      </w:pPr>
      <w:bookmarkStart w:id="69" w:name="_Toc21699"/>
      <w:bookmarkStart w:id="70" w:name="_Toc8778"/>
      <w:bookmarkStart w:id="71" w:name="_Toc452457413"/>
      <w:bookmarkStart w:id="72" w:name="_Toc12845"/>
      <w:bookmarkStart w:id="73" w:name="_Toc2290"/>
      <w:r>
        <w:rPr>
          <w:rFonts w:hint="eastAsia" w:cs="宋体"/>
          <w:color w:val="auto"/>
          <w:highlight w:val="none"/>
        </w:rPr>
        <w:t>前 附 表</w:t>
      </w:r>
      <w:bookmarkEnd w:id="69"/>
      <w:bookmarkEnd w:id="70"/>
      <w:bookmarkEnd w:id="71"/>
      <w:bookmarkEnd w:id="72"/>
      <w:bookmarkEnd w:id="73"/>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944"/>
        <w:gridCol w:w="6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8" w:hRule="atLeast"/>
          <w:jc w:val="center"/>
        </w:trPr>
        <w:tc>
          <w:tcPr>
            <w:tcW w:w="946" w:type="dxa"/>
            <w:vAlign w:val="center"/>
          </w:tcPr>
          <w:p>
            <w:pPr>
              <w:adjustRightInd w:val="0"/>
              <w:snapToGrid w:val="0"/>
              <w:spacing w:line="240" w:lineRule="auto"/>
              <w:ind w:firstLine="0" w:firstLineChars="0"/>
              <w:jc w:val="center"/>
              <w:rPr>
                <w:rFonts w:cs="宋体"/>
                <w:color w:val="auto"/>
                <w:highlight w:val="none"/>
              </w:rPr>
            </w:pPr>
            <w:r>
              <w:rPr>
                <w:rFonts w:hint="eastAsia" w:cs="宋体"/>
                <w:color w:val="auto"/>
                <w:highlight w:val="none"/>
              </w:rPr>
              <w:t>序号</w:t>
            </w:r>
          </w:p>
        </w:tc>
        <w:tc>
          <w:tcPr>
            <w:tcW w:w="1944" w:type="dxa"/>
            <w:vAlign w:val="center"/>
          </w:tcPr>
          <w:p>
            <w:pPr>
              <w:adjustRightInd w:val="0"/>
              <w:snapToGrid w:val="0"/>
              <w:spacing w:line="240" w:lineRule="auto"/>
              <w:ind w:firstLine="0" w:firstLineChars="0"/>
              <w:jc w:val="center"/>
              <w:rPr>
                <w:rFonts w:cs="宋体"/>
                <w:color w:val="auto"/>
                <w:highlight w:val="none"/>
                <w:lang w:val="zh-CN"/>
              </w:rPr>
            </w:pPr>
            <w:r>
              <w:rPr>
                <w:rFonts w:hint="eastAsia" w:cs="宋体"/>
                <w:color w:val="auto"/>
                <w:highlight w:val="none"/>
                <w:lang w:val="zh-CN"/>
              </w:rPr>
              <w:t>事项</w:t>
            </w:r>
          </w:p>
        </w:tc>
        <w:tc>
          <w:tcPr>
            <w:tcW w:w="6670" w:type="dxa"/>
            <w:vAlign w:val="center"/>
          </w:tcPr>
          <w:p>
            <w:pPr>
              <w:adjustRightInd w:val="0"/>
              <w:snapToGrid w:val="0"/>
              <w:spacing w:line="240" w:lineRule="auto"/>
              <w:ind w:firstLine="0" w:firstLineChars="0"/>
              <w:jc w:val="center"/>
              <w:rPr>
                <w:rFonts w:cs="宋体"/>
                <w:color w:val="auto"/>
                <w:highlight w:val="none"/>
                <w:lang w:val="zh-CN"/>
              </w:rPr>
            </w:pPr>
            <w:r>
              <w:rPr>
                <w:rFonts w:hint="eastAsia" w:cs="宋体"/>
                <w:color w:val="auto"/>
                <w:highlight w:val="none"/>
                <w:lang w:val="zh-CN"/>
              </w:rPr>
              <w:t>本项目的特别规定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numPr>
                <w:ilvl w:val="0"/>
                <w:numId w:val="5"/>
              </w:numPr>
              <w:adjustRightInd w:val="0"/>
              <w:snapToGrid w:val="0"/>
              <w:spacing w:line="240" w:lineRule="auto"/>
              <w:ind w:firstLine="213" w:firstLineChars="89"/>
              <w:jc w:val="center"/>
              <w:rPr>
                <w:rFonts w:cs="宋体"/>
                <w:color w:val="auto"/>
                <w:highlight w:val="none"/>
              </w:rPr>
            </w:pPr>
          </w:p>
        </w:tc>
        <w:tc>
          <w:tcPr>
            <w:tcW w:w="1944" w:type="dxa"/>
            <w:vAlign w:val="center"/>
          </w:tcPr>
          <w:p>
            <w:pPr>
              <w:adjustRightInd w:val="0"/>
              <w:snapToGrid w:val="0"/>
              <w:spacing w:line="240" w:lineRule="auto"/>
              <w:ind w:firstLine="0" w:firstLineChars="0"/>
              <w:jc w:val="center"/>
              <w:rPr>
                <w:rFonts w:cs="宋体"/>
                <w:color w:val="auto"/>
                <w:highlight w:val="none"/>
              </w:rPr>
            </w:pPr>
            <w:r>
              <w:rPr>
                <w:rFonts w:hint="eastAsia" w:cs="宋体"/>
                <w:color w:val="auto"/>
                <w:highlight w:val="none"/>
              </w:rPr>
              <w:t>项目概况</w:t>
            </w:r>
          </w:p>
        </w:tc>
        <w:tc>
          <w:tcPr>
            <w:tcW w:w="6670" w:type="dxa"/>
            <w:vAlign w:val="center"/>
          </w:tcPr>
          <w:p>
            <w:pPr>
              <w:adjustRightInd w:val="0"/>
              <w:snapToGrid w:val="0"/>
              <w:spacing w:line="240" w:lineRule="auto"/>
              <w:ind w:firstLine="0" w:firstLineChars="0"/>
              <w:rPr>
                <w:rFonts w:cs="宋体"/>
                <w:color w:val="auto"/>
                <w:highlight w:val="none"/>
              </w:rPr>
            </w:pPr>
            <w:r>
              <w:rPr>
                <w:rFonts w:hint="eastAsia" w:cs="宋体"/>
                <w:color w:val="auto"/>
                <w:highlight w:val="none"/>
              </w:rPr>
              <w:t>招 标 人：杭州电子科技大学</w:t>
            </w:r>
          </w:p>
          <w:p>
            <w:pPr>
              <w:adjustRightInd w:val="0"/>
              <w:snapToGrid w:val="0"/>
              <w:spacing w:line="240" w:lineRule="auto"/>
              <w:ind w:firstLine="0" w:firstLineChars="0"/>
              <w:rPr>
                <w:rFonts w:hint="eastAsia" w:eastAsia="宋体" w:cs="宋体"/>
                <w:color w:val="auto"/>
                <w:highlight w:val="none"/>
                <w:lang w:eastAsia="zh-CN"/>
              </w:rPr>
            </w:pPr>
            <w:r>
              <w:rPr>
                <w:rFonts w:hint="eastAsia" w:cs="宋体"/>
                <w:color w:val="auto"/>
                <w:highlight w:val="none"/>
              </w:rPr>
              <w:t>项目名称：</w:t>
            </w:r>
            <w:r>
              <w:rPr>
                <w:rFonts w:hint="eastAsia" w:cs="宋体"/>
                <w:color w:val="auto"/>
                <w:highlight w:val="none"/>
                <w:lang w:eastAsia="zh-CN"/>
              </w:rPr>
              <w:t>研究生学位论文网络评审服务</w:t>
            </w:r>
          </w:p>
          <w:p>
            <w:pPr>
              <w:adjustRightInd w:val="0"/>
              <w:snapToGrid w:val="0"/>
              <w:spacing w:line="240" w:lineRule="auto"/>
              <w:ind w:firstLine="0" w:firstLineChars="0"/>
              <w:rPr>
                <w:rFonts w:hint="eastAsia" w:eastAsia="宋体" w:cs="宋体"/>
                <w:color w:val="auto"/>
                <w:highlight w:val="none"/>
                <w:lang w:eastAsia="zh-CN"/>
              </w:rPr>
            </w:pPr>
            <w:r>
              <w:rPr>
                <w:rFonts w:hint="eastAsia" w:cs="宋体"/>
                <w:color w:val="auto"/>
                <w:highlight w:val="none"/>
              </w:rPr>
              <w:t>招标编号：</w:t>
            </w:r>
            <w:r>
              <w:rPr>
                <w:rFonts w:hint="eastAsia" w:cs="宋体"/>
                <w:color w:val="auto"/>
                <w:highlight w:val="none"/>
                <w:lang w:eastAsia="zh-CN"/>
              </w:rPr>
              <w:t>ZJWSBJ-HD-202122G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numPr>
                <w:ilvl w:val="0"/>
                <w:numId w:val="5"/>
              </w:numPr>
              <w:adjustRightInd w:val="0"/>
              <w:snapToGrid w:val="0"/>
              <w:spacing w:line="240" w:lineRule="auto"/>
              <w:ind w:firstLine="213" w:firstLineChars="89"/>
              <w:jc w:val="center"/>
              <w:rPr>
                <w:rFonts w:cs="宋体"/>
                <w:color w:val="auto"/>
                <w:highlight w:val="none"/>
              </w:rPr>
            </w:pPr>
          </w:p>
        </w:tc>
        <w:tc>
          <w:tcPr>
            <w:tcW w:w="1944" w:type="dxa"/>
            <w:vAlign w:val="center"/>
          </w:tcPr>
          <w:p>
            <w:pPr>
              <w:adjustRightInd w:val="0"/>
              <w:snapToGrid w:val="0"/>
              <w:spacing w:line="240" w:lineRule="auto"/>
              <w:ind w:firstLine="0" w:firstLineChars="0"/>
              <w:jc w:val="center"/>
              <w:rPr>
                <w:rFonts w:cs="宋体"/>
                <w:color w:val="auto"/>
                <w:highlight w:val="none"/>
              </w:rPr>
            </w:pPr>
            <w:r>
              <w:rPr>
                <w:rFonts w:hint="eastAsia" w:cs="宋体"/>
                <w:color w:val="auto"/>
                <w:highlight w:val="none"/>
              </w:rPr>
              <w:t>采购方式及评标办法</w:t>
            </w:r>
          </w:p>
        </w:tc>
        <w:tc>
          <w:tcPr>
            <w:tcW w:w="6670" w:type="dxa"/>
            <w:vAlign w:val="center"/>
          </w:tcPr>
          <w:p>
            <w:pPr>
              <w:adjustRightInd w:val="0"/>
              <w:snapToGrid w:val="0"/>
              <w:spacing w:line="240" w:lineRule="auto"/>
              <w:ind w:firstLine="0" w:firstLineChars="0"/>
              <w:rPr>
                <w:rFonts w:cs="宋体"/>
                <w:color w:val="auto"/>
                <w:highlight w:val="none"/>
              </w:rPr>
            </w:pPr>
            <w:r>
              <w:rPr>
                <w:rFonts w:hint="eastAsia" w:cs="宋体"/>
                <w:color w:val="auto"/>
                <w:highlight w:val="none"/>
              </w:rPr>
              <w:t>经批准或确认的本次采购方式：公开招标</w:t>
            </w:r>
          </w:p>
          <w:p>
            <w:pPr>
              <w:adjustRightInd w:val="0"/>
              <w:snapToGrid w:val="0"/>
              <w:spacing w:line="240" w:lineRule="auto"/>
              <w:ind w:firstLine="0" w:firstLineChars="0"/>
              <w:rPr>
                <w:rFonts w:cs="宋体"/>
                <w:color w:val="auto"/>
                <w:highlight w:val="none"/>
              </w:rPr>
            </w:pPr>
            <w:r>
              <w:rPr>
                <w:rFonts w:hint="eastAsia" w:cs="宋体"/>
                <w:color w:val="auto"/>
                <w:highlight w:val="none"/>
              </w:rPr>
              <w:t>评标办法：综合评分法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numPr>
                <w:ilvl w:val="0"/>
                <w:numId w:val="5"/>
              </w:numPr>
              <w:adjustRightInd w:val="0"/>
              <w:snapToGrid w:val="0"/>
              <w:spacing w:line="240" w:lineRule="auto"/>
              <w:ind w:firstLine="213" w:firstLineChars="89"/>
              <w:jc w:val="center"/>
              <w:rPr>
                <w:rFonts w:cs="宋体"/>
                <w:color w:val="auto"/>
                <w:highlight w:val="none"/>
              </w:rPr>
            </w:pPr>
          </w:p>
        </w:tc>
        <w:tc>
          <w:tcPr>
            <w:tcW w:w="1944" w:type="dxa"/>
            <w:vAlign w:val="center"/>
          </w:tcPr>
          <w:p>
            <w:pPr>
              <w:adjustRightInd w:val="0"/>
              <w:snapToGrid w:val="0"/>
              <w:spacing w:line="240" w:lineRule="auto"/>
              <w:ind w:firstLine="0" w:firstLineChars="0"/>
              <w:jc w:val="center"/>
              <w:rPr>
                <w:rFonts w:cs="宋体"/>
                <w:color w:val="auto"/>
                <w:highlight w:val="none"/>
              </w:rPr>
            </w:pPr>
            <w:r>
              <w:rPr>
                <w:rFonts w:hint="eastAsia" w:cs="宋体"/>
                <w:color w:val="auto"/>
                <w:highlight w:val="none"/>
              </w:rPr>
              <w:t>投标文件形式</w:t>
            </w:r>
          </w:p>
        </w:tc>
        <w:tc>
          <w:tcPr>
            <w:tcW w:w="6670" w:type="dxa"/>
            <w:vAlign w:val="center"/>
          </w:tcPr>
          <w:p>
            <w:pPr>
              <w:adjustRightInd w:val="0"/>
              <w:snapToGrid w:val="0"/>
              <w:spacing w:line="240" w:lineRule="auto"/>
              <w:ind w:firstLine="0" w:firstLineChars="0"/>
              <w:rPr>
                <w:rFonts w:cs="宋体"/>
                <w:color w:val="auto"/>
                <w:highlight w:val="none"/>
              </w:rPr>
            </w:pPr>
            <w:r>
              <w:rPr>
                <w:rFonts w:hint="eastAsia" w:cs="宋体"/>
                <w:color w:val="auto"/>
                <w:highlight w:val="none"/>
              </w:rPr>
              <w:t>本项目实行电子投标。</w:t>
            </w:r>
          </w:p>
          <w:p>
            <w:pPr>
              <w:adjustRightInd w:val="0"/>
              <w:snapToGrid w:val="0"/>
              <w:spacing w:line="240" w:lineRule="auto"/>
              <w:ind w:firstLine="0" w:firstLineChars="0"/>
              <w:rPr>
                <w:rFonts w:cs="宋体"/>
                <w:color w:val="auto"/>
                <w:highlight w:val="none"/>
              </w:rPr>
            </w:pPr>
            <w:r>
              <w:rPr>
                <w:rFonts w:hint="eastAsia" w:cs="宋体"/>
                <w:color w:val="auto"/>
                <w:highlight w:val="none"/>
              </w:rPr>
              <w:t>供应商应准备两种形式的投标文件：电子加密投标文件、以介质存储的数据电文形式的备份投标文件。</w:t>
            </w:r>
          </w:p>
          <w:p>
            <w:pPr>
              <w:adjustRightInd w:val="0"/>
              <w:snapToGrid w:val="0"/>
              <w:spacing w:line="240" w:lineRule="auto"/>
              <w:ind w:firstLine="0" w:firstLineChars="0"/>
              <w:rPr>
                <w:rFonts w:cs="宋体"/>
                <w:color w:val="auto"/>
                <w:highlight w:val="none"/>
              </w:rPr>
            </w:pPr>
            <w:r>
              <w:rPr>
                <w:rFonts w:hint="eastAsia" w:cs="宋体"/>
                <w:color w:val="auto"/>
                <w:highlight w:val="none"/>
              </w:rPr>
              <w:t>1.“电子加密投标文件”是指通过“政采云电子交易客户端”完成投标文件编制后生成并加密的数据电文形式的投标文件（后缀格式为.jmbs）</w:t>
            </w:r>
          </w:p>
          <w:p>
            <w:pPr>
              <w:adjustRightInd w:val="0"/>
              <w:snapToGrid w:val="0"/>
              <w:spacing w:line="240" w:lineRule="auto"/>
              <w:ind w:firstLine="0" w:firstLineChars="0"/>
              <w:rPr>
                <w:rFonts w:cs="宋体"/>
                <w:color w:val="auto"/>
                <w:highlight w:val="none"/>
              </w:rPr>
            </w:pPr>
            <w:r>
              <w:rPr>
                <w:rFonts w:hint="eastAsia" w:cs="宋体"/>
                <w:color w:val="auto"/>
                <w:highlight w:val="none"/>
              </w:rPr>
              <w:t>2.“备份投标文件”是指与“电子加密投标文件”同时生成的数据电文形式的电子文件（备份投标文件，用于供应商电子加密投标文件解密异常时应急使用），其他方式编制的备份投标文件视为无效备份投标文件。备份投标文件（后缀格式为.bfbs）以U盘形式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numPr>
                <w:ilvl w:val="0"/>
                <w:numId w:val="5"/>
              </w:numPr>
              <w:adjustRightInd w:val="0"/>
              <w:snapToGrid w:val="0"/>
              <w:spacing w:line="240" w:lineRule="auto"/>
              <w:ind w:firstLine="213" w:firstLineChars="89"/>
              <w:jc w:val="center"/>
              <w:rPr>
                <w:rFonts w:cs="宋体"/>
                <w:color w:val="auto"/>
                <w:highlight w:val="none"/>
              </w:rPr>
            </w:pPr>
          </w:p>
        </w:tc>
        <w:tc>
          <w:tcPr>
            <w:tcW w:w="1944" w:type="dxa"/>
            <w:vAlign w:val="center"/>
          </w:tcPr>
          <w:p>
            <w:pPr>
              <w:adjustRightInd w:val="0"/>
              <w:snapToGrid w:val="0"/>
              <w:spacing w:line="240" w:lineRule="auto"/>
              <w:ind w:firstLine="0" w:firstLineChars="0"/>
              <w:jc w:val="center"/>
              <w:rPr>
                <w:rFonts w:cs="宋体"/>
                <w:color w:val="auto"/>
                <w:highlight w:val="none"/>
              </w:rPr>
            </w:pPr>
            <w:r>
              <w:rPr>
                <w:rFonts w:hint="eastAsia" w:cs="宋体"/>
                <w:color w:val="auto"/>
                <w:highlight w:val="none"/>
              </w:rPr>
              <w:t>投标文件的上传和递交</w:t>
            </w:r>
          </w:p>
        </w:tc>
        <w:tc>
          <w:tcPr>
            <w:tcW w:w="6670" w:type="dxa"/>
            <w:vAlign w:val="center"/>
          </w:tcPr>
          <w:p>
            <w:pPr>
              <w:adjustRightInd w:val="0"/>
              <w:snapToGrid w:val="0"/>
              <w:spacing w:line="240" w:lineRule="auto"/>
              <w:ind w:firstLine="0" w:firstLineChars="0"/>
              <w:rPr>
                <w:rFonts w:cs="宋体"/>
                <w:color w:val="auto"/>
                <w:highlight w:val="none"/>
              </w:rPr>
            </w:pPr>
            <w:r>
              <w:rPr>
                <w:rFonts w:hint="eastAsia" w:cs="宋体"/>
                <w:color w:val="auto"/>
                <w:highlight w:val="none"/>
              </w:rPr>
              <w:t>1.电子加密投标文件：投标文件制作完成并生成加密文件，在投标截止时间前，供应商需将加密的投标文件上传至浙江政府采购网，到达开标时间后，进行解密。</w:t>
            </w:r>
          </w:p>
          <w:p>
            <w:pPr>
              <w:adjustRightInd w:val="0"/>
              <w:snapToGrid w:val="0"/>
              <w:spacing w:line="240" w:lineRule="auto"/>
              <w:ind w:firstLine="0" w:firstLineChars="0"/>
              <w:rPr>
                <w:rFonts w:cs="宋体"/>
                <w:color w:val="auto"/>
                <w:highlight w:val="none"/>
              </w:rPr>
            </w:pPr>
            <w:r>
              <w:rPr>
                <w:rFonts w:hint="eastAsia" w:cs="宋体"/>
                <w:color w:val="auto"/>
                <w:highlight w:val="none"/>
              </w:rPr>
              <w:t>供应商未能在投标截止时间前成功上传电子加密投标文件的投标无效。</w:t>
            </w:r>
          </w:p>
          <w:p>
            <w:pPr>
              <w:adjustRightInd w:val="0"/>
              <w:snapToGrid w:val="0"/>
              <w:spacing w:line="240" w:lineRule="auto"/>
              <w:ind w:firstLine="0" w:firstLineChars="0"/>
              <w:rPr>
                <w:rFonts w:cs="宋体"/>
                <w:color w:val="auto"/>
                <w:highlight w:val="none"/>
              </w:rPr>
            </w:pPr>
            <w:r>
              <w:rPr>
                <w:rFonts w:hint="eastAsia" w:cs="宋体"/>
                <w:color w:val="auto"/>
                <w:highlight w:val="none"/>
              </w:rPr>
              <w:t>2.备份投标文件：投标截止时间前，供应商应将备份投标文件递交至开标地点，以便电子加密投标文件解密异常时应急使用。</w:t>
            </w:r>
          </w:p>
          <w:p>
            <w:pPr>
              <w:adjustRightInd w:val="0"/>
              <w:snapToGrid w:val="0"/>
              <w:spacing w:line="240" w:lineRule="auto"/>
              <w:ind w:firstLine="0" w:firstLineChars="0"/>
              <w:rPr>
                <w:rFonts w:cs="宋体"/>
                <w:color w:val="auto"/>
                <w:highlight w:val="none"/>
              </w:rPr>
            </w:pPr>
            <w:r>
              <w:rPr>
                <w:rFonts w:hint="eastAsia" w:cs="宋体"/>
                <w:color w:val="auto"/>
                <w:highlight w:val="none"/>
              </w:rPr>
              <w:t>备份投标文件递交要求：供应商须将备份投标文件以U盘形式单独放在密封袋中，密封后并在密封袋上注明投标项目名称、投标单位名称并加盖公章。未密封包装或者逾期送达的“备份投标文件”将不予接收。</w:t>
            </w:r>
          </w:p>
          <w:p>
            <w:pPr>
              <w:adjustRightInd w:val="0"/>
              <w:snapToGrid w:val="0"/>
              <w:spacing w:line="240" w:lineRule="auto"/>
              <w:ind w:firstLine="0" w:firstLineChars="0"/>
              <w:rPr>
                <w:rFonts w:cs="宋体"/>
                <w:color w:val="auto"/>
                <w:highlight w:val="none"/>
              </w:rPr>
            </w:pPr>
            <w:r>
              <w:rPr>
                <w:rFonts w:hint="eastAsia" w:cs="宋体"/>
                <w:color w:val="auto"/>
                <w:highlight w:val="none"/>
              </w:rPr>
              <w:t>收件地址:杭州市</w:t>
            </w:r>
            <w:r>
              <w:rPr>
                <w:rFonts w:hint="eastAsia" w:cs="宋体"/>
                <w:color w:val="auto"/>
                <w:highlight w:val="none"/>
                <w:lang w:val="en-US" w:eastAsia="zh-CN"/>
              </w:rPr>
              <w:t>西湖区天目山路7号1号楼裙楼301</w:t>
            </w:r>
            <w:r>
              <w:rPr>
                <w:rFonts w:hint="eastAsia" w:cs="宋体"/>
                <w:color w:val="auto"/>
                <w:highlight w:val="none"/>
              </w:rPr>
              <w:t>；接收人:</w:t>
            </w:r>
            <w:r>
              <w:rPr>
                <w:rFonts w:hint="eastAsia" w:cs="宋体"/>
                <w:color w:val="auto"/>
                <w:highlight w:val="none"/>
                <w:lang w:eastAsia="zh-CN"/>
              </w:rPr>
              <w:t>赵工</w:t>
            </w:r>
            <w:r>
              <w:rPr>
                <w:rFonts w:hint="eastAsia" w:cs="宋体"/>
                <w:color w:val="auto"/>
                <w:highlight w:val="none"/>
              </w:rPr>
              <w:t>；联系电话：17746802645；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numPr>
                <w:ilvl w:val="0"/>
                <w:numId w:val="5"/>
              </w:numPr>
              <w:adjustRightInd w:val="0"/>
              <w:snapToGrid w:val="0"/>
              <w:spacing w:line="240" w:lineRule="auto"/>
              <w:ind w:firstLine="213" w:firstLineChars="89"/>
              <w:jc w:val="center"/>
              <w:rPr>
                <w:rFonts w:cs="宋体"/>
                <w:color w:val="auto"/>
                <w:highlight w:val="none"/>
              </w:rPr>
            </w:pPr>
          </w:p>
        </w:tc>
        <w:tc>
          <w:tcPr>
            <w:tcW w:w="1944" w:type="dxa"/>
            <w:vAlign w:val="center"/>
          </w:tcPr>
          <w:p>
            <w:pPr>
              <w:adjustRightInd w:val="0"/>
              <w:snapToGrid w:val="0"/>
              <w:spacing w:line="240" w:lineRule="auto"/>
              <w:ind w:firstLine="0" w:firstLineChars="0"/>
              <w:jc w:val="center"/>
              <w:rPr>
                <w:rFonts w:cs="宋体"/>
                <w:color w:val="auto"/>
                <w:highlight w:val="none"/>
              </w:rPr>
            </w:pPr>
            <w:r>
              <w:rPr>
                <w:rFonts w:hint="eastAsia" w:cs="宋体"/>
                <w:color w:val="auto"/>
                <w:highlight w:val="none"/>
              </w:rPr>
              <w:t>电子加密投标文件的解密和异常情况处理</w:t>
            </w:r>
          </w:p>
        </w:tc>
        <w:tc>
          <w:tcPr>
            <w:tcW w:w="6670" w:type="dxa"/>
            <w:vAlign w:val="center"/>
          </w:tcPr>
          <w:p>
            <w:pPr>
              <w:adjustRightInd w:val="0"/>
              <w:snapToGrid w:val="0"/>
              <w:spacing w:line="240" w:lineRule="auto"/>
              <w:ind w:firstLine="0" w:firstLineChars="0"/>
              <w:rPr>
                <w:rFonts w:cs="宋体"/>
                <w:color w:val="auto"/>
                <w:highlight w:val="none"/>
              </w:rPr>
            </w:pPr>
            <w:r>
              <w:rPr>
                <w:rFonts w:hint="eastAsia" w:cs="宋体"/>
                <w:color w:val="auto"/>
                <w:highlight w:val="none"/>
              </w:rPr>
              <w:t>1.开标后，采购组织机构将向各投标供应商发出“电子加密投标文件”的解密通知，各投标供应商代表应当在接到解密通知后30分钟内自行完成“电子加密投标文件”的在线解密。</w:t>
            </w:r>
          </w:p>
          <w:p>
            <w:pPr>
              <w:adjustRightInd w:val="0"/>
              <w:snapToGrid w:val="0"/>
              <w:spacing w:line="240" w:lineRule="auto"/>
              <w:ind w:firstLine="0" w:firstLineChars="0"/>
              <w:rPr>
                <w:rFonts w:cs="宋体"/>
                <w:color w:val="auto"/>
                <w:highlight w:val="none"/>
              </w:rPr>
            </w:pPr>
            <w:r>
              <w:rPr>
                <w:rFonts w:hint="eastAsia" w:cs="宋体"/>
                <w:color w:val="auto"/>
                <w:highlight w:val="none"/>
              </w:rPr>
              <w:t>2.通过“政采云平台”成功上传递交的“电子加密投标文件”无法按时解密，投标供应商如按规定递交了“备份投标文件”的，以“备份投标文件”为依据（由采购组织机构按“政采云平台”操作规范将“备份投标文件”上传至“政采云平台”，上传成功后，“电子加密投标文件”自动失效），否则视为投标文件撤回。</w:t>
            </w:r>
          </w:p>
          <w:p>
            <w:pPr>
              <w:adjustRightInd w:val="0"/>
              <w:snapToGrid w:val="0"/>
              <w:spacing w:line="240" w:lineRule="auto"/>
              <w:ind w:firstLine="0" w:firstLineChars="0"/>
              <w:rPr>
                <w:rFonts w:cs="宋体"/>
                <w:color w:val="auto"/>
                <w:highlight w:val="none"/>
              </w:rPr>
            </w:pPr>
            <w:r>
              <w:rPr>
                <w:rFonts w:hint="eastAsia" w:cs="宋体"/>
                <w:color w:val="auto"/>
                <w:highlight w:val="none"/>
              </w:rPr>
              <w:t>3.投标截止时间前，投标供应商仅递交了“备份投标文件”而未将电子加密投标文件上传至“政采云平台”的，投标无效。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numPr>
                <w:ilvl w:val="0"/>
                <w:numId w:val="5"/>
              </w:numPr>
              <w:adjustRightInd w:val="0"/>
              <w:snapToGrid w:val="0"/>
              <w:spacing w:line="240" w:lineRule="auto"/>
              <w:ind w:firstLine="213" w:firstLineChars="89"/>
              <w:jc w:val="center"/>
              <w:rPr>
                <w:rFonts w:cs="宋体"/>
                <w:color w:val="auto"/>
                <w:highlight w:val="none"/>
              </w:rPr>
            </w:pPr>
          </w:p>
        </w:tc>
        <w:tc>
          <w:tcPr>
            <w:tcW w:w="1944" w:type="dxa"/>
            <w:vAlign w:val="center"/>
          </w:tcPr>
          <w:p>
            <w:pPr>
              <w:adjustRightInd w:val="0"/>
              <w:snapToGrid w:val="0"/>
              <w:spacing w:line="240" w:lineRule="auto"/>
              <w:ind w:firstLine="0" w:firstLineChars="0"/>
              <w:jc w:val="center"/>
              <w:rPr>
                <w:rFonts w:cs="宋体"/>
                <w:color w:val="auto"/>
                <w:highlight w:val="none"/>
              </w:rPr>
            </w:pPr>
            <w:r>
              <w:rPr>
                <w:rFonts w:hint="eastAsia" w:cs="宋体"/>
                <w:color w:val="auto"/>
                <w:highlight w:val="none"/>
              </w:rPr>
              <w:t>▲ 投标有效期</w:t>
            </w:r>
          </w:p>
        </w:tc>
        <w:tc>
          <w:tcPr>
            <w:tcW w:w="6670" w:type="dxa"/>
            <w:vAlign w:val="center"/>
          </w:tcPr>
          <w:p>
            <w:pPr>
              <w:adjustRightInd w:val="0"/>
              <w:snapToGrid w:val="0"/>
              <w:spacing w:line="240" w:lineRule="auto"/>
              <w:ind w:firstLine="0" w:firstLineChars="0"/>
              <w:rPr>
                <w:rFonts w:cs="宋体"/>
                <w:color w:val="auto"/>
                <w:highlight w:val="none"/>
              </w:rPr>
            </w:pPr>
            <w:r>
              <w:rPr>
                <w:rFonts w:hint="eastAsia" w:cs="宋体"/>
                <w:color w:val="auto"/>
                <w:highlight w:val="none"/>
              </w:rPr>
              <w:t>从提交投标文件的截止之日起90天。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numPr>
                <w:ilvl w:val="0"/>
                <w:numId w:val="5"/>
              </w:numPr>
              <w:adjustRightInd w:val="0"/>
              <w:snapToGrid w:val="0"/>
              <w:spacing w:line="240" w:lineRule="auto"/>
              <w:ind w:firstLine="213" w:firstLineChars="89"/>
              <w:jc w:val="center"/>
              <w:rPr>
                <w:rFonts w:cs="宋体"/>
                <w:color w:val="auto"/>
                <w:highlight w:val="none"/>
              </w:rPr>
            </w:pPr>
          </w:p>
        </w:tc>
        <w:tc>
          <w:tcPr>
            <w:tcW w:w="1944" w:type="dxa"/>
            <w:vAlign w:val="center"/>
          </w:tcPr>
          <w:p>
            <w:pPr>
              <w:adjustRightInd w:val="0"/>
              <w:snapToGrid w:val="0"/>
              <w:spacing w:line="240" w:lineRule="auto"/>
              <w:ind w:firstLine="0" w:firstLineChars="0"/>
              <w:jc w:val="center"/>
              <w:rPr>
                <w:rFonts w:cs="宋体"/>
                <w:color w:val="auto"/>
                <w:highlight w:val="none"/>
              </w:rPr>
            </w:pPr>
            <w:r>
              <w:rPr>
                <w:rFonts w:hint="eastAsia" w:cs="宋体"/>
                <w:color w:val="auto"/>
                <w:highlight w:val="none"/>
              </w:rPr>
              <w:t>现场踏勘/样品/演示</w:t>
            </w:r>
          </w:p>
        </w:tc>
        <w:tc>
          <w:tcPr>
            <w:tcW w:w="6670" w:type="dxa"/>
            <w:vAlign w:val="center"/>
          </w:tcPr>
          <w:p>
            <w:pPr>
              <w:adjustRightInd w:val="0"/>
              <w:snapToGrid w:val="0"/>
              <w:spacing w:line="240" w:lineRule="auto"/>
              <w:ind w:firstLine="0" w:firstLineChars="0"/>
              <w:rPr>
                <w:rFonts w:hint="eastAsia"/>
              </w:rPr>
            </w:pPr>
            <w:r>
              <w:rPr>
                <w:rFonts w:hint="eastAsia"/>
              </w:rPr>
              <w:t>现场踏勘：□ 组织；☑ 不组织</w:t>
            </w:r>
          </w:p>
          <w:p>
            <w:pPr>
              <w:adjustRightInd w:val="0"/>
              <w:snapToGrid w:val="0"/>
              <w:spacing w:line="240" w:lineRule="auto"/>
              <w:ind w:firstLine="0" w:firstLineChars="0"/>
            </w:pPr>
            <w:r>
              <w:rPr>
                <w:rFonts w:hint="eastAsia"/>
              </w:rPr>
              <w:t>样品：□ 提供；☑ 不提供</w:t>
            </w:r>
          </w:p>
          <w:p>
            <w:pPr>
              <w:adjustRightInd w:val="0"/>
              <w:snapToGrid w:val="0"/>
              <w:spacing w:line="240" w:lineRule="auto"/>
              <w:ind w:firstLine="0" w:firstLineChars="0"/>
              <w:rPr>
                <w:rFonts w:hint="eastAsia"/>
              </w:rPr>
            </w:pPr>
            <w:r>
              <w:rPr>
                <w:rFonts w:hint="eastAsia"/>
              </w:rPr>
              <w:t>演示：</w:t>
            </w:r>
            <w:r>
              <w:rPr>
                <w:rFonts w:hint="eastAsia"/>
              </w:rPr>
              <w:sym w:font="Wingdings 2" w:char="0052"/>
            </w:r>
            <w:r>
              <w:rPr>
                <w:rFonts w:hint="eastAsia"/>
              </w:rPr>
              <w:t xml:space="preserve"> 提供；</w:t>
            </w:r>
            <w:r>
              <w:rPr>
                <w:rFonts w:hint="eastAsia"/>
                <w:lang w:eastAsia="zh-CN"/>
              </w:rPr>
              <w:t>□</w:t>
            </w:r>
            <w:r>
              <w:rPr>
                <w:rFonts w:hint="eastAsia"/>
              </w:rPr>
              <w:t xml:space="preserve"> 不提供</w:t>
            </w:r>
          </w:p>
          <w:p>
            <w:pPr>
              <w:adjustRightInd w:val="0"/>
              <w:snapToGrid w:val="0"/>
              <w:spacing w:line="240" w:lineRule="auto"/>
              <w:ind w:firstLine="0" w:firstLineChars="0"/>
              <w:rPr>
                <w:rFonts w:hint="default" w:eastAsia="宋体"/>
                <w:lang w:val="en-US" w:eastAsia="zh-CN"/>
              </w:rPr>
            </w:pPr>
            <w:r>
              <w:rPr>
                <w:rFonts w:hint="eastAsia"/>
                <w:b/>
                <w:bCs/>
                <w:lang w:val="en-US" w:eastAsia="zh-CN"/>
              </w:rPr>
              <w:t>U盘形式寄送，</w:t>
            </w:r>
            <w:r>
              <w:rPr>
                <w:rFonts w:hint="eastAsia" w:cs="宋体"/>
                <w:b/>
                <w:bCs/>
                <w:color w:val="auto"/>
                <w:highlight w:val="none"/>
              </w:rPr>
              <w:t>收件地址:杭州市</w:t>
            </w:r>
            <w:r>
              <w:rPr>
                <w:rFonts w:hint="eastAsia" w:cs="宋体"/>
                <w:b/>
                <w:bCs/>
                <w:color w:val="auto"/>
                <w:highlight w:val="none"/>
                <w:lang w:val="en-US" w:eastAsia="zh-CN"/>
              </w:rPr>
              <w:t>西湖区天目山路7号1号楼裙楼301</w:t>
            </w:r>
            <w:r>
              <w:rPr>
                <w:rFonts w:hint="eastAsia" w:cs="宋体"/>
                <w:b/>
                <w:bCs/>
                <w:color w:val="auto"/>
                <w:highlight w:val="none"/>
              </w:rPr>
              <w:t>；接收人:</w:t>
            </w:r>
            <w:r>
              <w:rPr>
                <w:rFonts w:hint="eastAsia" w:cs="宋体"/>
                <w:b/>
                <w:bCs/>
                <w:color w:val="auto"/>
                <w:highlight w:val="none"/>
                <w:lang w:eastAsia="zh-CN"/>
              </w:rPr>
              <w:t>赵工</w:t>
            </w:r>
            <w:r>
              <w:rPr>
                <w:rFonts w:hint="eastAsia" w:cs="宋体"/>
                <w:b/>
                <w:bCs/>
                <w:color w:val="auto"/>
                <w:highlight w:val="none"/>
              </w:rPr>
              <w:t>；联系电话：17746802645；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numPr>
                <w:ilvl w:val="0"/>
                <w:numId w:val="5"/>
              </w:numPr>
              <w:adjustRightInd w:val="0"/>
              <w:snapToGrid w:val="0"/>
              <w:spacing w:line="240" w:lineRule="auto"/>
              <w:ind w:firstLine="213" w:firstLineChars="89"/>
              <w:jc w:val="center"/>
              <w:rPr>
                <w:rFonts w:cs="宋体"/>
                <w:color w:val="auto"/>
                <w:highlight w:val="none"/>
              </w:rPr>
            </w:pPr>
          </w:p>
        </w:tc>
        <w:tc>
          <w:tcPr>
            <w:tcW w:w="1944" w:type="dxa"/>
            <w:vAlign w:val="center"/>
          </w:tcPr>
          <w:p>
            <w:pPr>
              <w:adjustRightInd w:val="0"/>
              <w:snapToGrid w:val="0"/>
              <w:spacing w:line="240" w:lineRule="auto"/>
              <w:ind w:firstLine="0" w:firstLineChars="0"/>
              <w:jc w:val="center"/>
              <w:rPr>
                <w:rFonts w:cs="宋体"/>
                <w:color w:val="auto"/>
                <w:highlight w:val="none"/>
              </w:rPr>
            </w:pPr>
            <w:r>
              <w:rPr>
                <w:rFonts w:hint="eastAsia" w:cs="宋体"/>
                <w:color w:val="auto"/>
                <w:highlight w:val="none"/>
              </w:rPr>
              <w:t>信息公告及评标结果公告媒体</w:t>
            </w:r>
          </w:p>
        </w:tc>
        <w:tc>
          <w:tcPr>
            <w:tcW w:w="6670" w:type="dxa"/>
            <w:vAlign w:val="center"/>
          </w:tcPr>
          <w:p>
            <w:pPr>
              <w:adjustRightInd w:val="0"/>
              <w:snapToGrid w:val="0"/>
              <w:spacing w:line="240" w:lineRule="auto"/>
              <w:ind w:firstLine="0" w:firstLineChars="0"/>
              <w:rPr>
                <w:rFonts w:cs="宋体"/>
                <w:color w:val="auto"/>
                <w:highlight w:val="none"/>
              </w:rPr>
            </w:pPr>
            <w:r>
              <w:rPr>
                <w:rFonts w:hint="eastAsia" w:cs="宋体"/>
                <w:color w:val="auto"/>
                <w:highlight w:val="none"/>
              </w:rPr>
              <w:t>浙江政府采购网（https://zfcg.czt.zj.gov.cn/）上发布。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946" w:type="dxa"/>
            <w:vAlign w:val="center"/>
          </w:tcPr>
          <w:p>
            <w:pPr>
              <w:numPr>
                <w:ilvl w:val="0"/>
                <w:numId w:val="5"/>
              </w:numPr>
              <w:adjustRightInd w:val="0"/>
              <w:snapToGrid w:val="0"/>
              <w:spacing w:line="240" w:lineRule="auto"/>
              <w:ind w:firstLine="213" w:firstLineChars="89"/>
              <w:jc w:val="center"/>
              <w:rPr>
                <w:rFonts w:cs="宋体"/>
                <w:color w:val="auto"/>
                <w:highlight w:val="none"/>
              </w:rPr>
            </w:pPr>
          </w:p>
        </w:tc>
        <w:tc>
          <w:tcPr>
            <w:tcW w:w="1944" w:type="dxa"/>
            <w:vAlign w:val="center"/>
          </w:tcPr>
          <w:p>
            <w:pPr>
              <w:adjustRightInd w:val="0"/>
              <w:snapToGrid w:val="0"/>
              <w:spacing w:line="240" w:lineRule="auto"/>
              <w:ind w:firstLine="0" w:firstLineChars="0"/>
              <w:jc w:val="center"/>
              <w:rPr>
                <w:rFonts w:cs="宋体"/>
                <w:color w:val="auto"/>
                <w:highlight w:val="none"/>
              </w:rPr>
            </w:pPr>
            <w:r>
              <w:rPr>
                <w:rFonts w:hint="eastAsia" w:cs="宋体"/>
                <w:color w:val="auto"/>
                <w:highlight w:val="none"/>
              </w:rPr>
              <w:t>报价要求</w:t>
            </w:r>
          </w:p>
        </w:tc>
        <w:tc>
          <w:tcPr>
            <w:tcW w:w="6670" w:type="dxa"/>
            <w:vAlign w:val="center"/>
          </w:tcPr>
          <w:p>
            <w:pPr>
              <w:numPr>
                <w:ilvl w:val="0"/>
                <w:numId w:val="0"/>
              </w:numPr>
              <w:adjustRightInd w:val="0"/>
              <w:snapToGrid w:val="0"/>
              <w:spacing w:line="240" w:lineRule="auto"/>
              <w:ind w:leftChars="0"/>
              <w:jc w:val="left"/>
              <w:rPr>
                <w:rFonts w:hint="eastAsia" w:ascii="宋体" w:hAnsi="宋体"/>
                <w:highlight w:val="none"/>
              </w:rPr>
            </w:pPr>
            <w:r>
              <w:rPr>
                <w:rFonts w:hint="eastAsia" w:ascii="宋体" w:hAnsi="宋体"/>
                <w:highlight w:val="none"/>
                <w:lang w:val="en-US" w:eastAsia="zh-CN"/>
              </w:rPr>
              <w:t>1.</w:t>
            </w:r>
            <w:r>
              <w:rPr>
                <w:rFonts w:hint="eastAsia" w:ascii="宋体" w:hAnsi="宋体"/>
                <w:highlight w:val="none"/>
              </w:rPr>
              <w:t>人民币报价；</w:t>
            </w:r>
          </w:p>
          <w:p>
            <w:pPr>
              <w:numPr>
                <w:ilvl w:val="0"/>
                <w:numId w:val="0"/>
              </w:numPr>
              <w:adjustRightInd w:val="0"/>
              <w:snapToGrid w:val="0"/>
              <w:spacing w:line="240" w:lineRule="auto"/>
              <w:ind w:leftChars="0"/>
              <w:jc w:val="left"/>
              <w:rPr>
                <w:rFonts w:cs="宋体"/>
                <w:color w:val="auto"/>
                <w:highlight w:val="none"/>
              </w:rPr>
            </w:pPr>
            <w:r>
              <w:rPr>
                <w:rFonts w:hint="eastAsia" w:ascii="宋体" w:hAnsi="宋体"/>
                <w:highlight w:val="none"/>
              </w:rPr>
              <w:t>2.有关本项目实施所需的一切费用均计入报价。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numPr>
                <w:ilvl w:val="0"/>
                <w:numId w:val="5"/>
              </w:numPr>
              <w:adjustRightInd w:val="0"/>
              <w:snapToGrid w:val="0"/>
              <w:spacing w:line="240" w:lineRule="auto"/>
              <w:ind w:firstLine="213" w:firstLineChars="89"/>
              <w:jc w:val="center"/>
              <w:rPr>
                <w:rFonts w:cs="宋体"/>
                <w:color w:val="auto"/>
                <w:highlight w:val="none"/>
              </w:rPr>
            </w:pPr>
          </w:p>
        </w:tc>
        <w:tc>
          <w:tcPr>
            <w:tcW w:w="19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ind w:firstLine="0" w:firstLineChars="0"/>
              <w:jc w:val="center"/>
              <w:rPr>
                <w:rFonts w:cs="宋体"/>
                <w:color w:val="auto"/>
                <w:highlight w:val="none"/>
              </w:rPr>
            </w:pPr>
            <w:r>
              <w:rPr>
                <w:rFonts w:hint="eastAsia" w:cs="宋体"/>
                <w:color w:val="auto"/>
                <w:highlight w:val="none"/>
              </w:rPr>
              <w:t>合同签订</w:t>
            </w:r>
          </w:p>
        </w:tc>
        <w:tc>
          <w:tcPr>
            <w:tcW w:w="667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ind w:firstLine="0" w:firstLineChars="0"/>
              <w:rPr>
                <w:rFonts w:cs="宋体"/>
                <w:color w:val="auto"/>
                <w:highlight w:val="none"/>
              </w:rPr>
            </w:pPr>
            <w:r>
              <w:rPr>
                <w:rFonts w:hint="eastAsia" w:cs="宋体"/>
                <w:color w:val="auto"/>
                <w:highlight w:val="none"/>
              </w:rPr>
              <w:t>中标通知书发出后30日内，中标供应商持中标通知书与采购人签订合同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numPr>
                <w:ilvl w:val="0"/>
                <w:numId w:val="5"/>
              </w:numPr>
              <w:adjustRightInd w:val="0"/>
              <w:snapToGrid w:val="0"/>
              <w:spacing w:line="240" w:lineRule="auto"/>
              <w:ind w:firstLine="213" w:firstLineChars="89"/>
              <w:jc w:val="center"/>
              <w:rPr>
                <w:rFonts w:cs="宋体"/>
                <w:color w:val="auto"/>
                <w:highlight w:val="none"/>
              </w:rPr>
            </w:pPr>
          </w:p>
        </w:tc>
        <w:tc>
          <w:tcPr>
            <w:tcW w:w="1944" w:type="dxa"/>
            <w:vAlign w:val="center"/>
          </w:tcPr>
          <w:p>
            <w:pPr>
              <w:adjustRightInd w:val="0"/>
              <w:snapToGrid w:val="0"/>
              <w:spacing w:line="240" w:lineRule="auto"/>
              <w:ind w:firstLine="0" w:firstLineChars="0"/>
              <w:jc w:val="center"/>
              <w:rPr>
                <w:rFonts w:cs="宋体"/>
                <w:color w:val="auto"/>
                <w:highlight w:val="none"/>
              </w:rPr>
            </w:pPr>
            <w:r>
              <w:rPr>
                <w:rFonts w:hint="eastAsia" w:cs="宋体"/>
                <w:color w:val="auto"/>
                <w:highlight w:val="none"/>
              </w:rPr>
              <w:t>采购机构代理费用</w:t>
            </w:r>
          </w:p>
        </w:tc>
        <w:tc>
          <w:tcPr>
            <w:tcW w:w="6670" w:type="dxa"/>
            <w:vAlign w:val="center"/>
          </w:tcPr>
          <w:p>
            <w:pPr>
              <w:adjustRightInd w:val="0"/>
              <w:snapToGrid w:val="0"/>
              <w:spacing w:line="240" w:lineRule="auto"/>
              <w:ind w:firstLine="0" w:firstLineChars="0"/>
              <w:rPr>
                <w:rFonts w:hint="eastAsia" w:cs="宋体"/>
                <w:color w:val="auto"/>
                <w:highlight w:val="none"/>
              </w:rPr>
            </w:pPr>
            <w:r>
              <w:rPr>
                <w:rFonts w:hint="eastAsia" w:cs="宋体"/>
                <w:color w:val="auto"/>
                <w:highlight w:val="none"/>
              </w:rPr>
              <w:t>(1)参照浙价服[2003]77号文规定的招标费率七折收取，按照中标通知书确定的金额，向成交人收取服务费，不足3000按3000收取。</w:t>
            </w:r>
          </w:p>
          <w:p>
            <w:pPr>
              <w:adjustRightInd w:val="0"/>
              <w:snapToGrid w:val="0"/>
              <w:spacing w:line="240" w:lineRule="auto"/>
              <w:ind w:firstLine="0" w:firstLineChars="0"/>
              <w:rPr>
                <w:rFonts w:hint="eastAsia" w:cs="宋体"/>
                <w:color w:val="auto"/>
                <w:highlight w:val="none"/>
              </w:rPr>
            </w:pPr>
            <w:r>
              <w:rPr>
                <w:rFonts w:hint="eastAsia" w:cs="宋体"/>
                <w:color w:val="auto"/>
                <w:highlight w:val="none"/>
              </w:rPr>
              <w:t>(2)招标代理服务费以电汇方式支付，成交人如未按上述规定办理，本招标代理机构有权对不足部分进行追索</w:t>
            </w:r>
          </w:p>
          <w:p>
            <w:pPr>
              <w:adjustRightInd w:val="0"/>
              <w:snapToGrid w:val="0"/>
              <w:spacing w:line="240" w:lineRule="auto"/>
              <w:ind w:firstLine="0" w:firstLineChars="0"/>
              <w:rPr>
                <w:rFonts w:hint="eastAsia" w:cs="宋体"/>
                <w:color w:val="auto"/>
                <w:highlight w:val="none"/>
              </w:rPr>
            </w:pPr>
            <w:r>
              <w:rPr>
                <w:rFonts w:hint="eastAsia" w:cs="宋体"/>
                <w:color w:val="auto"/>
                <w:highlight w:val="none"/>
              </w:rPr>
              <w:t>(3)服务费缴纳账号：</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户名：</w:t>
            </w:r>
            <w:r>
              <w:rPr>
                <w:rFonts w:hint="eastAsia" w:cs="宋体"/>
                <w:color w:val="000000" w:themeColor="text1"/>
                <w:highlight w:val="none"/>
                <w:lang w:eastAsia="zh-CN"/>
                <w14:textFill>
                  <w14:solidFill>
                    <w14:schemeClr w14:val="tx1"/>
                  </w14:solidFill>
                </w14:textFill>
              </w:rPr>
              <w:t>浙江五石中正工程咨询有限公司萧山分公司</w:t>
            </w:r>
            <w:r>
              <w:rPr>
                <w:rFonts w:hint="eastAsia" w:ascii="宋体" w:hAnsi="宋体" w:eastAsia="宋体" w:cs="宋体"/>
                <w:color w:val="000000" w:themeColor="text1"/>
                <w:highlight w:val="none"/>
                <w14:textFill>
                  <w14:solidFill>
                    <w14:schemeClr w14:val="tx1"/>
                  </w14:solidFill>
                </w14:textFill>
              </w:rPr>
              <w:br w:type="textWrapping"/>
            </w:r>
            <w:r>
              <w:rPr>
                <w:rFonts w:hint="eastAsia" w:ascii="宋体" w:hAnsi="宋体" w:eastAsia="宋体" w:cs="宋体"/>
                <w:color w:val="000000" w:themeColor="text1"/>
                <w:highlight w:val="none"/>
                <w14:textFill>
                  <w14:solidFill>
                    <w14:schemeClr w14:val="tx1"/>
                  </w14:solidFill>
                </w14:textFill>
              </w:rPr>
              <w:t>账号：33020160201000004399</w:t>
            </w:r>
            <w:r>
              <w:rPr>
                <w:rFonts w:hint="eastAsia" w:ascii="宋体" w:hAnsi="宋体" w:eastAsia="宋体" w:cs="宋体"/>
                <w:color w:val="000000" w:themeColor="text1"/>
                <w:highlight w:val="none"/>
                <w14:textFill>
                  <w14:solidFill>
                    <w14:schemeClr w14:val="tx1"/>
                  </w14:solidFill>
                </w14:textFill>
              </w:rPr>
              <w:br w:type="textWrapping"/>
            </w:r>
            <w:r>
              <w:rPr>
                <w:rFonts w:hint="eastAsia" w:ascii="宋体" w:hAnsi="宋体" w:eastAsia="宋体" w:cs="宋体"/>
                <w:color w:val="000000" w:themeColor="text1"/>
                <w:highlight w:val="none"/>
                <w14:textFill>
                  <w14:solidFill>
                    <w14:schemeClr w14:val="tx1"/>
                  </w14:solidFill>
                </w14:textFill>
              </w:rPr>
              <w:t>开户行：浙江泰隆商业银行股份有限公司杭州祥符小微企业专营支行</w:t>
            </w:r>
            <w:r>
              <w:rPr>
                <w:rFonts w:hint="eastAsia" w:ascii="宋体" w:hAnsi="宋体" w:eastAsia="宋体" w:cs="宋体"/>
                <w:color w:val="000000" w:themeColor="text1"/>
                <w:highlight w:val="none"/>
                <w14:textFill>
                  <w14:solidFill>
                    <w14:schemeClr w14:val="tx1"/>
                  </w14:solidFill>
                </w14:textFill>
              </w:rPr>
              <w:br w:type="textWrapping"/>
            </w:r>
            <w:r>
              <w:rPr>
                <w:rFonts w:hint="eastAsia" w:ascii="宋体" w:hAnsi="宋体" w:eastAsia="宋体" w:cs="宋体"/>
                <w:color w:val="000000" w:themeColor="text1"/>
                <w:highlight w:val="none"/>
                <w14:textFill>
                  <w14:solidFill>
                    <w14:schemeClr w14:val="tx1"/>
                  </w14:solidFill>
                </w14:textFill>
              </w:rPr>
              <w:t>精确查找祥符支行行号：313331080163</w:t>
            </w:r>
          </w:p>
          <w:p>
            <w:pPr>
              <w:adjustRightInd w:val="0"/>
              <w:snapToGrid w:val="0"/>
              <w:spacing w:line="240" w:lineRule="auto"/>
              <w:ind w:firstLine="0" w:firstLineChars="0"/>
              <w:rPr>
                <w:rFonts w:cs="宋体"/>
                <w:color w:val="auto"/>
                <w:highlight w:val="none"/>
              </w:rPr>
            </w:pPr>
            <w:r>
              <w:rPr>
                <w:rFonts w:hint="eastAsia" w:cs="宋体"/>
                <w:color w:val="auto"/>
                <w:highlight w:val="none"/>
              </w:rPr>
              <w:t>联系人：</w:t>
            </w:r>
            <w:r>
              <w:rPr>
                <w:rFonts w:hint="eastAsia" w:cs="宋体"/>
                <w:color w:val="auto"/>
                <w:highlight w:val="none"/>
                <w:lang w:eastAsia="zh-CN"/>
              </w:rPr>
              <w:t>朱工</w:t>
            </w:r>
            <w:r>
              <w:rPr>
                <w:rFonts w:hint="eastAsia" w:cs="宋体"/>
                <w:color w:val="auto"/>
                <w:highlight w:val="none"/>
              </w:rPr>
              <w:t>；电话：17746806483；邮箱：</w:t>
            </w:r>
            <w:r>
              <w:rPr>
                <w:rFonts w:hint="eastAsia" w:cs="宋体"/>
                <w:color w:val="auto"/>
                <w:highlight w:val="none"/>
                <w:lang w:eastAsia="zh-CN"/>
              </w:rPr>
              <w:t>1289258668</w:t>
            </w:r>
            <w:r>
              <w:rPr>
                <w:rFonts w:hint="eastAsia" w:cs="宋体"/>
                <w:color w:val="auto"/>
                <w:highlight w:val="none"/>
              </w:rPr>
              <w:t>@qq.com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numPr>
                <w:ilvl w:val="0"/>
                <w:numId w:val="5"/>
              </w:numPr>
              <w:adjustRightInd w:val="0"/>
              <w:snapToGrid w:val="0"/>
              <w:spacing w:line="240" w:lineRule="auto"/>
              <w:ind w:firstLine="213" w:firstLineChars="89"/>
              <w:jc w:val="center"/>
              <w:rPr>
                <w:rFonts w:cs="宋体"/>
                <w:color w:val="auto"/>
                <w:highlight w:val="none"/>
              </w:rPr>
            </w:pPr>
          </w:p>
        </w:tc>
        <w:tc>
          <w:tcPr>
            <w:tcW w:w="1944" w:type="dxa"/>
            <w:vAlign w:val="center"/>
          </w:tcPr>
          <w:p>
            <w:pPr>
              <w:adjustRightInd w:val="0"/>
              <w:snapToGrid w:val="0"/>
              <w:spacing w:line="240" w:lineRule="auto"/>
              <w:ind w:firstLine="0" w:firstLineChars="0"/>
              <w:jc w:val="center"/>
              <w:rPr>
                <w:rFonts w:cs="宋体"/>
                <w:color w:val="auto"/>
                <w:highlight w:val="none"/>
              </w:rPr>
            </w:pPr>
            <w:r>
              <w:rPr>
                <w:rFonts w:hint="eastAsia" w:cs="宋体"/>
                <w:color w:val="auto"/>
                <w:highlight w:val="none"/>
              </w:rPr>
              <w:t>中标后注意事项</w:t>
            </w:r>
          </w:p>
        </w:tc>
        <w:tc>
          <w:tcPr>
            <w:tcW w:w="6670" w:type="dxa"/>
            <w:vAlign w:val="center"/>
          </w:tcPr>
          <w:p>
            <w:pPr>
              <w:adjustRightInd w:val="0"/>
              <w:snapToGrid w:val="0"/>
              <w:spacing w:line="240" w:lineRule="auto"/>
              <w:ind w:firstLine="0" w:firstLineChars="0"/>
              <w:rPr>
                <w:rFonts w:cs="宋体"/>
                <w:color w:val="auto"/>
                <w:highlight w:val="none"/>
              </w:rPr>
            </w:pPr>
            <w:r>
              <w:rPr>
                <w:rFonts w:hint="eastAsia" w:cs="宋体"/>
                <w:color w:val="auto"/>
                <w:highlight w:val="none"/>
              </w:rPr>
              <w:t>1.若中标人未在约定时间内支付招标代理服务费，从逾期之日起按日利率千分之一承担违约金。</w:t>
            </w:r>
          </w:p>
          <w:p>
            <w:pPr>
              <w:adjustRightInd w:val="0"/>
              <w:snapToGrid w:val="0"/>
              <w:spacing w:line="240" w:lineRule="auto"/>
              <w:ind w:firstLine="0" w:firstLineChars="0"/>
              <w:rPr>
                <w:rFonts w:cs="宋体"/>
                <w:color w:val="auto"/>
                <w:highlight w:val="none"/>
              </w:rPr>
            </w:pPr>
            <w:r>
              <w:rPr>
                <w:rFonts w:hint="eastAsia" w:cs="宋体"/>
                <w:color w:val="auto"/>
                <w:highlight w:val="none"/>
              </w:rPr>
              <w:t>2.若中标人未按上述规定办理，需承担招标代理机构为实现债权的所有费用（包括但不限于律师费、催讨车旅费、保全担保费等）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numPr>
                <w:ilvl w:val="0"/>
                <w:numId w:val="5"/>
              </w:numPr>
              <w:adjustRightInd w:val="0"/>
              <w:snapToGrid w:val="0"/>
              <w:spacing w:line="240" w:lineRule="auto"/>
              <w:ind w:firstLine="213" w:firstLineChars="89"/>
              <w:jc w:val="center"/>
              <w:rPr>
                <w:rFonts w:cs="宋体"/>
                <w:color w:val="auto"/>
                <w:highlight w:val="none"/>
              </w:rPr>
            </w:pPr>
          </w:p>
        </w:tc>
        <w:tc>
          <w:tcPr>
            <w:tcW w:w="1944" w:type="dxa"/>
            <w:vAlign w:val="center"/>
          </w:tcPr>
          <w:p>
            <w:pPr>
              <w:adjustRightInd w:val="0"/>
              <w:snapToGrid w:val="0"/>
              <w:spacing w:line="240" w:lineRule="auto"/>
              <w:ind w:firstLine="0" w:firstLineChars="0"/>
              <w:jc w:val="center"/>
              <w:rPr>
                <w:rFonts w:cs="宋体"/>
                <w:color w:val="auto"/>
                <w:highlight w:val="none"/>
              </w:rPr>
            </w:pPr>
            <w:r>
              <w:rPr>
                <w:rFonts w:hint="eastAsia" w:cs="宋体"/>
                <w:color w:val="auto"/>
                <w:highlight w:val="none"/>
              </w:rPr>
              <w:t>其他说明</w:t>
            </w:r>
          </w:p>
        </w:tc>
        <w:tc>
          <w:tcPr>
            <w:tcW w:w="6670" w:type="dxa"/>
            <w:vAlign w:val="center"/>
          </w:tcPr>
          <w:p>
            <w:pPr>
              <w:adjustRightInd w:val="0"/>
              <w:snapToGrid w:val="0"/>
              <w:spacing w:line="240" w:lineRule="auto"/>
              <w:ind w:firstLine="0" w:firstLineChars="0"/>
              <w:rPr>
                <w:rFonts w:cs="宋体"/>
                <w:color w:val="auto"/>
                <w:highlight w:val="none"/>
              </w:rPr>
            </w:pPr>
            <w:r>
              <w:rPr>
                <w:rFonts w:hint="eastAsia" w:cs="宋体"/>
                <w:color w:val="auto"/>
                <w:highlight w:val="none"/>
                <w:lang w:val="zh-CN"/>
              </w:rPr>
              <w:t>带“</w:t>
            </w:r>
            <w:r>
              <w:rPr>
                <w:rFonts w:hint="eastAsia" w:cs="宋体"/>
                <w:color w:val="auto"/>
                <w:highlight w:val="none"/>
              </w:rPr>
              <w:t>▲”的条款是实质性条款，投标文件须作出实质性响应，否则作无效投标处理。</w:t>
            </w:r>
          </w:p>
          <w:p>
            <w:pPr>
              <w:adjustRightInd w:val="0"/>
              <w:snapToGrid w:val="0"/>
              <w:spacing w:line="240" w:lineRule="auto"/>
              <w:ind w:firstLine="0" w:firstLineChars="0"/>
              <w:rPr>
                <w:rFonts w:cs="宋体"/>
                <w:color w:val="auto"/>
                <w:highlight w:val="none"/>
              </w:rPr>
            </w:pPr>
            <w:r>
              <w:rPr>
                <w:rFonts w:hint="eastAsia" w:cs="宋体"/>
                <w:color w:val="auto"/>
                <w:highlight w:val="none"/>
              </w:rPr>
              <w:t>为了节约社会资源，所有获取招标文件的潜在投标人如果放弃投标请务必在投标截止时间 48 小时前将盖章的放弃投标函 发至采购代理机构，格式详见附件，谢谢配合。（将扫描件发送至代理机构联系人邮箱：</w:t>
            </w:r>
            <w:r>
              <w:rPr>
                <w:color w:val="auto"/>
                <w:highlight w:val="none"/>
              </w:rPr>
              <w:fldChar w:fldCharType="begin"/>
            </w:r>
            <w:r>
              <w:rPr>
                <w:color w:val="auto"/>
                <w:highlight w:val="none"/>
              </w:rPr>
              <w:instrText xml:space="preserve"> HYPERLINK "mailto:2971521730@qq.com）。" </w:instrText>
            </w:r>
            <w:r>
              <w:rPr>
                <w:color w:val="auto"/>
                <w:highlight w:val="none"/>
              </w:rPr>
              <w:fldChar w:fldCharType="separate"/>
            </w:r>
            <w:r>
              <w:rPr>
                <w:rFonts w:hint="eastAsia" w:cs="宋体"/>
                <w:color w:val="auto"/>
                <w:highlight w:val="none"/>
                <w:lang w:eastAsia="zh-CN"/>
              </w:rPr>
              <w:t>1289258668</w:t>
            </w:r>
            <w:r>
              <w:rPr>
                <w:rFonts w:hint="eastAsia" w:cs="宋体"/>
                <w:color w:val="auto"/>
                <w:highlight w:val="none"/>
              </w:rPr>
              <w:t>@qq.com）。</w:t>
            </w:r>
            <w:r>
              <w:rPr>
                <w:rFonts w:hint="eastAsia" w:cs="宋体"/>
                <w:color w:val="auto"/>
                <w:highlight w:val="none"/>
              </w:rPr>
              <w:fldChar w:fldCharType="end"/>
            </w:r>
          </w:p>
          <w:p>
            <w:pPr>
              <w:adjustRightInd w:val="0"/>
              <w:snapToGrid w:val="0"/>
              <w:spacing w:line="240" w:lineRule="auto"/>
              <w:ind w:firstLine="0" w:firstLineChars="0"/>
              <w:rPr>
                <w:rFonts w:cs="宋体"/>
                <w:color w:val="auto"/>
                <w:highlight w:val="none"/>
              </w:rPr>
            </w:pPr>
            <w:r>
              <w:rPr>
                <w:rFonts w:hint="eastAsia" w:cs="宋体"/>
                <w:color w:val="auto"/>
                <w:highlight w:val="none"/>
              </w:rPr>
              <w:t>本招标文件解释权属于招标人和采购代理机构。</w:t>
            </w:r>
          </w:p>
          <w:p>
            <w:pPr>
              <w:adjustRightInd w:val="0"/>
              <w:snapToGrid w:val="0"/>
              <w:spacing w:line="240" w:lineRule="auto"/>
              <w:ind w:firstLine="0" w:firstLineChars="0"/>
              <w:rPr>
                <w:rFonts w:cs="宋体"/>
                <w:color w:val="auto"/>
                <w:highlight w:val="none"/>
              </w:rPr>
            </w:pPr>
            <w:r>
              <w:rPr>
                <w:rFonts w:hint="eastAsia" w:cs="宋体"/>
                <w:color w:val="auto"/>
                <w:highlight w:val="none"/>
              </w:rPr>
              <w:t>中标后，供应商拒绝签订合同的，招标人可以按照评审报告推荐的中标候选人名单排序，确定下一候选人为中标供应商，也可以重新开展政府采购活动。供应商中标后拒绝签订合同的，应按预算金额的2%对招标人进行赔偿；赔偿金额不足以弥补招标人损失的，供应商应继续承担超过部分的损失。</w:t>
            </w:r>
          </w:p>
          <w:p>
            <w:pPr>
              <w:adjustRightInd w:val="0"/>
              <w:snapToGrid w:val="0"/>
              <w:spacing w:line="240" w:lineRule="auto"/>
              <w:ind w:firstLine="0" w:firstLineChars="0"/>
              <w:rPr>
                <w:rFonts w:cs="宋体"/>
                <w:color w:val="auto"/>
                <w:highlight w:val="none"/>
              </w:rPr>
            </w:pPr>
            <w:r>
              <w:rPr>
                <w:rFonts w:hint="eastAsia" w:cs="宋体"/>
                <w:color w:val="auto"/>
                <w:highlight w:val="none"/>
              </w:rPr>
              <w:t>存在下列行为的，招标代理机构将其失信行为上报政府采购主管部门，由主管部门按有关规定对其违法失信行为记录进行公开：</w:t>
            </w:r>
          </w:p>
          <w:p>
            <w:pPr>
              <w:adjustRightInd w:val="0"/>
              <w:snapToGrid w:val="0"/>
              <w:spacing w:line="240" w:lineRule="auto"/>
              <w:ind w:firstLine="0" w:firstLineChars="0"/>
              <w:rPr>
                <w:rFonts w:cs="宋体"/>
                <w:color w:val="auto"/>
                <w:highlight w:val="none"/>
              </w:rPr>
            </w:pPr>
            <w:r>
              <w:rPr>
                <w:rFonts w:hint="eastAsia" w:cs="宋体"/>
                <w:color w:val="auto"/>
                <w:highlight w:val="none"/>
              </w:rPr>
              <w:t>（1）中标或者成交后，拒绝签订政府采购合同的；</w:t>
            </w:r>
          </w:p>
          <w:p>
            <w:pPr>
              <w:adjustRightInd w:val="0"/>
              <w:snapToGrid w:val="0"/>
              <w:spacing w:line="240" w:lineRule="auto"/>
              <w:ind w:firstLine="0" w:firstLineChars="0"/>
              <w:rPr>
                <w:rFonts w:cs="宋体"/>
                <w:color w:val="auto"/>
                <w:highlight w:val="none"/>
              </w:rPr>
            </w:pPr>
            <w:r>
              <w:rPr>
                <w:rFonts w:hint="eastAsia" w:cs="宋体"/>
                <w:color w:val="auto"/>
                <w:highlight w:val="none"/>
              </w:rPr>
              <w:t>（2）投标有效期内撤销投标文件的。</w:t>
            </w:r>
          </w:p>
        </w:tc>
      </w:tr>
    </w:tbl>
    <w:p>
      <w:pPr>
        <w:pStyle w:val="4"/>
        <w:jc w:val="center"/>
        <w:rPr>
          <w:rFonts w:cs="宋体"/>
          <w:color w:val="auto"/>
          <w:highlight w:val="none"/>
        </w:rPr>
        <w:sectPr>
          <w:footerReference r:id="rId15" w:type="default"/>
          <w:pgSz w:w="11906" w:h="16838"/>
          <w:pgMar w:top="1440" w:right="1080" w:bottom="1440" w:left="1080" w:header="850" w:footer="992" w:gutter="0"/>
          <w:cols w:space="720" w:num="1"/>
          <w:docGrid w:linePitch="381" w:charSpace="0"/>
        </w:sectPr>
      </w:pPr>
      <w:bookmarkStart w:id="74" w:name="_Toc6777"/>
      <w:bookmarkStart w:id="75" w:name="_Toc2440"/>
      <w:bookmarkStart w:id="76" w:name="_Toc22147"/>
      <w:bookmarkStart w:id="77" w:name="_Toc144974498"/>
      <w:bookmarkStart w:id="78" w:name="_Toc152042306"/>
      <w:bookmarkStart w:id="79" w:name="_Toc296602421"/>
      <w:bookmarkStart w:id="80" w:name="_Toc246996176"/>
      <w:bookmarkStart w:id="81" w:name="_Toc246996919"/>
      <w:bookmarkStart w:id="82" w:name="_Toc152045530"/>
      <w:bookmarkStart w:id="83" w:name="_Toc247085690"/>
      <w:bookmarkStart w:id="84" w:name="_Toc179632547"/>
    </w:p>
    <w:p>
      <w:pPr>
        <w:pStyle w:val="4"/>
        <w:jc w:val="center"/>
        <w:rPr>
          <w:rFonts w:cs="宋体"/>
          <w:color w:val="auto"/>
          <w:highlight w:val="none"/>
        </w:rPr>
      </w:pPr>
      <w:bookmarkStart w:id="85" w:name="_Toc14541"/>
      <w:r>
        <w:rPr>
          <w:rFonts w:hint="eastAsia" w:cs="宋体"/>
          <w:color w:val="auto"/>
          <w:highlight w:val="none"/>
        </w:rPr>
        <w:t>第一节 总 则</w:t>
      </w:r>
      <w:bookmarkEnd w:id="74"/>
      <w:bookmarkEnd w:id="75"/>
      <w:bookmarkEnd w:id="76"/>
      <w:bookmarkEnd w:id="85"/>
    </w:p>
    <w:p>
      <w:pPr>
        <w:pStyle w:val="5"/>
        <w:rPr>
          <w:rFonts w:cs="宋体"/>
          <w:color w:val="auto"/>
          <w:highlight w:val="none"/>
        </w:rPr>
      </w:pPr>
      <w:bookmarkStart w:id="86" w:name="_Toc29454"/>
      <w:r>
        <w:rPr>
          <w:rFonts w:hint="eastAsia" w:cs="宋体"/>
          <w:color w:val="auto"/>
          <w:highlight w:val="none"/>
        </w:rPr>
        <w:t>一、适用范围</w:t>
      </w:r>
      <w:bookmarkEnd w:id="86"/>
    </w:p>
    <w:p>
      <w:pPr>
        <w:ind w:firstLine="480"/>
        <w:rPr>
          <w:rFonts w:cs="宋体"/>
          <w:color w:val="auto"/>
          <w:highlight w:val="none"/>
        </w:rPr>
      </w:pPr>
      <w:r>
        <w:rPr>
          <w:rFonts w:hint="eastAsia" w:cs="宋体"/>
          <w:color w:val="auto"/>
          <w:highlight w:val="none"/>
        </w:rPr>
        <w:t>本招标文件适用于该项目的招标、投标、开标、资格审查及信用信息查询、评标、定标、合同、验收等行为（法律、法规另有规定的，从其规定）。</w:t>
      </w:r>
    </w:p>
    <w:p>
      <w:pPr>
        <w:pStyle w:val="5"/>
        <w:rPr>
          <w:rFonts w:cs="宋体"/>
          <w:color w:val="auto"/>
          <w:highlight w:val="none"/>
        </w:rPr>
      </w:pPr>
      <w:bookmarkStart w:id="87" w:name="_Toc1362"/>
      <w:r>
        <w:rPr>
          <w:rFonts w:hint="eastAsia" w:cs="宋体"/>
          <w:color w:val="auto"/>
          <w:highlight w:val="none"/>
        </w:rPr>
        <w:t>二、定义</w:t>
      </w:r>
      <w:bookmarkEnd w:id="87"/>
    </w:p>
    <w:p>
      <w:pPr>
        <w:ind w:firstLine="480"/>
        <w:rPr>
          <w:color w:val="auto"/>
          <w:highlight w:val="none"/>
        </w:rPr>
      </w:pPr>
      <w:r>
        <w:rPr>
          <w:rFonts w:hint="eastAsia"/>
          <w:color w:val="auto"/>
          <w:highlight w:val="none"/>
        </w:rPr>
        <w:t>（一）“采购人”系指杭州电子科技大学。</w:t>
      </w:r>
    </w:p>
    <w:p>
      <w:pPr>
        <w:ind w:firstLine="480"/>
        <w:rPr>
          <w:color w:val="auto"/>
          <w:highlight w:val="none"/>
        </w:rPr>
      </w:pPr>
      <w:r>
        <w:rPr>
          <w:rFonts w:hint="eastAsia"/>
          <w:color w:val="auto"/>
          <w:highlight w:val="none"/>
        </w:rPr>
        <w:t>（二）“采购代理机构”系组织本次招标的</w:t>
      </w:r>
      <w:r>
        <w:rPr>
          <w:rFonts w:hint="eastAsia"/>
          <w:color w:val="auto"/>
          <w:highlight w:val="none"/>
          <w:lang w:eastAsia="zh-CN"/>
        </w:rPr>
        <w:t>浙江五石中正工程咨询有限公司</w:t>
      </w:r>
      <w:r>
        <w:rPr>
          <w:rFonts w:hint="eastAsia"/>
          <w:color w:val="auto"/>
          <w:highlight w:val="none"/>
        </w:rPr>
        <w:t>。</w:t>
      </w:r>
    </w:p>
    <w:p>
      <w:pPr>
        <w:ind w:firstLine="480"/>
        <w:rPr>
          <w:color w:val="auto"/>
          <w:highlight w:val="none"/>
        </w:rPr>
      </w:pPr>
      <w:r>
        <w:rPr>
          <w:rFonts w:hint="eastAsia"/>
          <w:color w:val="auto"/>
          <w:highlight w:val="none"/>
        </w:rPr>
        <w:t>（三）“投标人”和“投标方”系指参加本次招标活动符合资格条件的供应商。</w:t>
      </w:r>
    </w:p>
    <w:p>
      <w:pPr>
        <w:ind w:firstLine="480"/>
        <w:rPr>
          <w:color w:val="auto"/>
          <w:highlight w:val="none"/>
        </w:rPr>
      </w:pPr>
      <w:r>
        <w:rPr>
          <w:rFonts w:hint="eastAsia"/>
          <w:color w:val="auto"/>
          <w:highlight w:val="none"/>
        </w:rPr>
        <w:t>（四）“全权代表”系指参加本次招标活动的授权代表。</w:t>
      </w:r>
    </w:p>
    <w:p>
      <w:pPr>
        <w:ind w:firstLine="480"/>
        <w:rPr>
          <w:color w:val="auto"/>
          <w:highlight w:val="none"/>
        </w:rPr>
      </w:pPr>
      <w:r>
        <w:rPr>
          <w:rFonts w:hint="eastAsia"/>
          <w:color w:val="auto"/>
          <w:highlight w:val="none"/>
        </w:rPr>
        <w:t>（五）“▲”系指实质性要求条款，投标人应做出实质性响应；“★”系指重要条款。</w:t>
      </w:r>
    </w:p>
    <w:p>
      <w:pPr>
        <w:ind w:firstLine="480"/>
        <w:rPr>
          <w:color w:val="auto"/>
          <w:highlight w:val="none"/>
        </w:rPr>
      </w:pPr>
      <w:r>
        <w:rPr>
          <w:rFonts w:hint="eastAsia"/>
          <w:color w:val="auto"/>
          <w:highlight w:val="none"/>
        </w:rPr>
        <w:t>（六）联合体：</w:t>
      </w:r>
    </w:p>
    <w:p>
      <w:pPr>
        <w:ind w:firstLine="480"/>
        <w:rPr>
          <w:rFonts w:cs="宋体"/>
          <w:color w:val="auto"/>
          <w:highlight w:val="none"/>
        </w:rPr>
      </w:pPr>
      <w:r>
        <w:rPr>
          <w:rFonts w:hint="eastAsia" w:cs="宋体"/>
          <w:color w:val="auto"/>
          <w:highlight w:val="none"/>
        </w:rPr>
        <w:t>联合体投标的，应遵守以下规定：</w:t>
      </w:r>
    </w:p>
    <w:p>
      <w:pPr>
        <w:numPr>
          <w:ilvl w:val="0"/>
          <w:numId w:val="6"/>
        </w:numPr>
        <w:ind w:firstLine="480"/>
        <w:rPr>
          <w:color w:val="auto"/>
          <w:highlight w:val="none"/>
        </w:rPr>
      </w:pPr>
      <w:r>
        <w:rPr>
          <w:rFonts w:hint="eastAsia"/>
          <w:color w:val="auto"/>
          <w:highlight w:val="none"/>
        </w:rPr>
        <w:t>两个以上供应商可以组成一个联合体，以一个供应商的身份共同参加政府采购；</w:t>
      </w:r>
    </w:p>
    <w:p>
      <w:pPr>
        <w:numPr>
          <w:ilvl w:val="0"/>
          <w:numId w:val="6"/>
        </w:numPr>
        <w:ind w:firstLine="480"/>
        <w:rPr>
          <w:color w:val="auto"/>
          <w:highlight w:val="none"/>
        </w:rPr>
      </w:pPr>
      <w:r>
        <w:rPr>
          <w:rFonts w:hint="eastAsia"/>
          <w:color w:val="auto"/>
          <w:highlight w:val="none"/>
        </w:rPr>
        <w:t>组成联合体参加本项目的，须在购买招标文件时做出相关声明，否则不予接受。</w:t>
      </w:r>
    </w:p>
    <w:p>
      <w:pPr>
        <w:numPr>
          <w:ilvl w:val="0"/>
          <w:numId w:val="6"/>
        </w:numPr>
        <w:ind w:firstLine="480"/>
        <w:rPr>
          <w:color w:val="auto"/>
          <w:highlight w:val="none"/>
        </w:rPr>
      </w:pPr>
      <w:r>
        <w:rPr>
          <w:rFonts w:hint="eastAsia"/>
          <w:color w:val="auto"/>
          <w:highlight w:val="none"/>
        </w:rPr>
        <w:t>以联合体形式参加本项目的，联合体的各成员均应当具备《中华人民共和国政府采购法》第二十二条规定的条件；联合体各方中至少应当有一方符合采购人规定的特定条件，联合体中有同类资质的供应商按照联合体分工承担相同工作的，按照资质等级较低的供应商确定资质等级；</w:t>
      </w:r>
    </w:p>
    <w:p>
      <w:pPr>
        <w:numPr>
          <w:ilvl w:val="0"/>
          <w:numId w:val="6"/>
        </w:numPr>
        <w:ind w:firstLine="480"/>
        <w:rPr>
          <w:color w:val="auto"/>
          <w:highlight w:val="none"/>
        </w:rPr>
      </w:pPr>
      <w:r>
        <w:rPr>
          <w:rFonts w:hint="eastAsia"/>
          <w:color w:val="auto"/>
          <w:highlight w:val="none"/>
        </w:rPr>
        <w:t>联合体各方之间应当签订联合协议，明确约定联合体各方承担的工作和相应的责任，在联合协议中指定本项目主办人，并将联合协议作为投标文件组成的一部分；本项目的主体、关键性工作须由主办人完成，并在联合协议中进行说明；</w:t>
      </w:r>
    </w:p>
    <w:p>
      <w:pPr>
        <w:numPr>
          <w:ilvl w:val="0"/>
          <w:numId w:val="6"/>
        </w:numPr>
        <w:ind w:firstLine="480"/>
        <w:rPr>
          <w:color w:val="auto"/>
          <w:highlight w:val="none"/>
        </w:rPr>
      </w:pPr>
      <w:r>
        <w:rPr>
          <w:rFonts w:hint="eastAsia"/>
          <w:color w:val="auto"/>
          <w:highlight w:val="none"/>
        </w:rPr>
        <w:t>联合体各方签订联合协议后，不得再以自己名义单独在同一项目中参加投标，也不得组成新的联合体参加同一项目投标；</w:t>
      </w:r>
    </w:p>
    <w:p>
      <w:pPr>
        <w:numPr>
          <w:ilvl w:val="0"/>
          <w:numId w:val="6"/>
        </w:numPr>
        <w:ind w:firstLine="480"/>
        <w:rPr>
          <w:color w:val="auto"/>
          <w:highlight w:val="none"/>
        </w:rPr>
      </w:pPr>
      <w:r>
        <w:rPr>
          <w:rFonts w:hint="eastAsia"/>
          <w:color w:val="auto"/>
          <w:highlight w:val="none"/>
        </w:rPr>
        <w:t>联合体各方应当共同与采购人签订采购合同，就采购合同约定的事项对采购人承担连带责任；</w:t>
      </w:r>
    </w:p>
    <w:p>
      <w:pPr>
        <w:numPr>
          <w:ilvl w:val="0"/>
          <w:numId w:val="6"/>
        </w:numPr>
        <w:ind w:firstLine="480"/>
        <w:rPr>
          <w:color w:val="auto"/>
          <w:highlight w:val="none"/>
        </w:rPr>
      </w:pPr>
      <w:r>
        <w:rPr>
          <w:rFonts w:hint="eastAsia"/>
          <w:color w:val="auto"/>
          <w:highlight w:val="none"/>
        </w:rPr>
        <w:t>投标文件须由主办人盖章及其代表签署。</w:t>
      </w:r>
    </w:p>
    <w:p>
      <w:pPr>
        <w:numPr>
          <w:ilvl w:val="0"/>
          <w:numId w:val="6"/>
        </w:numPr>
        <w:ind w:firstLine="480"/>
        <w:rPr>
          <w:color w:val="auto"/>
          <w:highlight w:val="none"/>
        </w:rPr>
      </w:pPr>
      <w:r>
        <w:rPr>
          <w:rFonts w:hint="eastAsia"/>
          <w:color w:val="auto"/>
          <w:highlight w:val="none"/>
        </w:rPr>
        <w:t>联合体投标，投标文件中供应商名称应注明“成员单位名称1和成员单位名称2的联合体”。</w:t>
      </w:r>
    </w:p>
    <w:p>
      <w:pPr>
        <w:pStyle w:val="5"/>
        <w:rPr>
          <w:rFonts w:cs="宋体"/>
          <w:color w:val="auto"/>
          <w:highlight w:val="none"/>
        </w:rPr>
      </w:pPr>
      <w:bookmarkStart w:id="88" w:name="_Toc18732"/>
      <w:r>
        <w:rPr>
          <w:rFonts w:hint="eastAsia" w:cs="宋体"/>
          <w:color w:val="auto"/>
          <w:highlight w:val="none"/>
        </w:rPr>
        <w:t>三、合格的投标人</w:t>
      </w:r>
      <w:bookmarkEnd w:id="88"/>
    </w:p>
    <w:p>
      <w:pPr>
        <w:ind w:firstLine="480"/>
        <w:rPr>
          <w:rFonts w:cs="宋体"/>
          <w:color w:val="auto"/>
          <w:highlight w:val="none"/>
        </w:rPr>
      </w:pPr>
      <w:r>
        <w:rPr>
          <w:rFonts w:hint="eastAsia" w:cs="宋体"/>
          <w:color w:val="auto"/>
          <w:highlight w:val="none"/>
        </w:rPr>
        <w:t>详见招标公告“投标人资格要求”。</w:t>
      </w:r>
    </w:p>
    <w:p>
      <w:pPr>
        <w:pStyle w:val="5"/>
        <w:rPr>
          <w:rFonts w:cs="宋体"/>
          <w:color w:val="auto"/>
          <w:highlight w:val="none"/>
        </w:rPr>
      </w:pPr>
      <w:bookmarkStart w:id="89" w:name="_Toc24994"/>
      <w:r>
        <w:rPr>
          <w:rFonts w:hint="eastAsia" w:cs="宋体"/>
          <w:color w:val="auto"/>
          <w:highlight w:val="none"/>
        </w:rPr>
        <w:t>四、投标费用</w:t>
      </w:r>
      <w:bookmarkEnd w:id="89"/>
    </w:p>
    <w:p>
      <w:pPr>
        <w:ind w:firstLine="480"/>
        <w:rPr>
          <w:rFonts w:cs="宋体"/>
          <w:color w:val="auto"/>
          <w:highlight w:val="none"/>
        </w:rPr>
      </w:pPr>
      <w:r>
        <w:rPr>
          <w:rFonts w:hint="eastAsia" w:cs="宋体"/>
          <w:color w:val="auto"/>
          <w:highlight w:val="none"/>
        </w:rPr>
        <w:t>无论投标结果如何，投标人自行承担所有与参加投标有关的全部费用。</w:t>
      </w:r>
    </w:p>
    <w:p>
      <w:pPr>
        <w:pStyle w:val="5"/>
        <w:rPr>
          <w:rFonts w:cs="宋体"/>
          <w:color w:val="auto"/>
          <w:highlight w:val="none"/>
        </w:rPr>
      </w:pPr>
      <w:bookmarkStart w:id="90" w:name="_Toc12389"/>
      <w:r>
        <w:rPr>
          <w:rFonts w:hint="eastAsia" w:cs="宋体"/>
          <w:color w:val="auto"/>
          <w:highlight w:val="none"/>
        </w:rPr>
        <w:t>五、采购项目需要落实的政府采购政策</w:t>
      </w:r>
      <w:bookmarkEnd w:id="90"/>
    </w:p>
    <w:p>
      <w:pPr>
        <w:ind w:firstLine="480"/>
        <w:rPr>
          <w:rFonts w:cs="宋体"/>
          <w:color w:val="auto"/>
          <w:highlight w:val="none"/>
        </w:rPr>
      </w:pPr>
      <w:r>
        <w:rPr>
          <w:rFonts w:hint="eastAsia" w:cs="宋体"/>
          <w:color w:val="auto"/>
          <w:highlight w:val="none"/>
        </w:rPr>
        <w:t>（一）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ind w:firstLine="480"/>
        <w:rPr>
          <w:rFonts w:cs="宋体"/>
          <w:color w:val="auto"/>
          <w:highlight w:val="none"/>
        </w:rPr>
      </w:pPr>
      <w:r>
        <w:rPr>
          <w:rFonts w:hint="eastAsia" w:cs="宋体"/>
          <w:color w:val="auto"/>
          <w:highlight w:val="none"/>
        </w:rPr>
        <w:t>（二）小型、微型企业价格扣除。</w:t>
      </w:r>
    </w:p>
    <w:p>
      <w:pPr>
        <w:numPr>
          <w:ilvl w:val="0"/>
          <w:numId w:val="7"/>
        </w:numPr>
        <w:ind w:firstLine="482"/>
        <w:rPr>
          <w:rFonts w:cs="宋体"/>
          <w:b/>
          <w:bCs/>
          <w:color w:val="auto"/>
          <w:highlight w:val="none"/>
        </w:rPr>
      </w:pPr>
      <w:r>
        <w:rPr>
          <w:rFonts w:hint="eastAsia"/>
          <w:b/>
          <w:bCs/>
          <w:color w:val="auto"/>
          <w:highlight w:val="none"/>
        </w:rPr>
        <w:t>本次</w:t>
      </w:r>
      <w:r>
        <w:rPr>
          <w:rFonts w:hint="eastAsia" w:cs="宋体"/>
          <w:b/>
          <w:bCs/>
          <w:color w:val="auto"/>
          <w:highlight w:val="none"/>
        </w:rPr>
        <w:t>采购为非专门面向中小企业预留采购份额的采购项目。</w:t>
      </w:r>
    </w:p>
    <w:p>
      <w:pPr>
        <w:numPr>
          <w:ilvl w:val="0"/>
          <w:numId w:val="7"/>
        </w:numPr>
        <w:ind w:firstLine="480"/>
        <w:rPr>
          <w:color w:val="auto"/>
          <w:highlight w:val="none"/>
        </w:rPr>
      </w:pPr>
      <w:r>
        <w:rPr>
          <w:rFonts w:hint="eastAsia"/>
          <w:color w:val="auto"/>
          <w:highlight w:val="none"/>
        </w:rPr>
        <w:t>本采购文件所称中小企业，是指在中华人民共和国境内依法设立，依据国务院批准的中小企业划分标准确定的中型企业、小型企业和微型企业，但与大企业的负责人为同一人，或者与大企业存在直接控股、管理关系的除外。</w:t>
      </w:r>
    </w:p>
    <w:p>
      <w:pPr>
        <w:numPr>
          <w:ilvl w:val="0"/>
          <w:numId w:val="7"/>
        </w:numPr>
        <w:ind w:firstLine="480"/>
        <w:rPr>
          <w:rFonts w:cs="宋体"/>
          <w:color w:val="auto"/>
          <w:kern w:val="0"/>
          <w:highlight w:val="none"/>
        </w:rPr>
      </w:pPr>
      <w:r>
        <w:rPr>
          <w:rFonts w:hint="eastAsia" w:cs="宋体"/>
          <w:color w:val="auto"/>
          <w:kern w:val="0"/>
          <w:highlight w:val="none"/>
        </w:rPr>
        <w:t>本次采购标的为</w:t>
      </w:r>
      <w:r>
        <w:rPr>
          <w:rFonts w:hint="eastAsia" w:cs="宋体"/>
          <w:color w:val="auto"/>
          <w:kern w:val="0"/>
          <w:highlight w:val="none"/>
          <w:lang w:val="en-US" w:eastAsia="zh-CN"/>
        </w:rPr>
        <w:t>服务</w:t>
      </w:r>
      <w:r>
        <w:rPr>
          <w:rFonts w:hint="eastAsia" w:cs="宋体"/>
          <w:color w:val="auto"/>
          <w:kern w:val="0"/>
          <w:highlight w:val="none"/>
        </w:rPr>
        <w:t>，对应的中小企业划分标准所属行业是：</w:t>
      </w:r>
      <w:r>
        <w:rPr>
          <w:rFonts w:hint="eastAsia" w:ascii="宋体" w:hAnsi="宋体"/>
          <w:highlight w:val="none"/>
          <w:u w:val="single"/>
        </w:rPr>
        <w:t>租赁和商务服务业</w:t>
      </w:r>
    </w:p>
    <w:p>
      <w:pPr>
        <w:numPr>
          <w:ilvl w:val="0"/>
          <w:numId w:val="7"/>
        </w:numPr>
        <w:ind w:firstLine="480"/>
        <w:rPr>
          <w:color w:val="auto"/>
          <w:highlight w:val="none"/>
        </w:rPr>
      </w:pPr>
      <w:r>
        <w:rPr>
          <w:rFonts w:hint="eastAsia"/>
          <w:color w:val="auto"/>
          <w:highlight w:val="none"/>
        </w:rPr>
        <w:t>以</w:t>
      </w:r>
      <w:r>
        <w:rPr>
          <w:rFonts w:hint="eastAsia" w:cs="宋体"/>
          <w:color w:val="auto"/>
          <w:highlight w:val="none"/>
        </w:rPr>
        <w:t>联合体</w:t>
      </w:r>
      <w:r>
        <w:rPr>
          <w:rFonts w:hint="eastAsia"/>
          <w:color w:val="auto"/>
          <w:highlight w:val="none"/>
        </w:rPr>
        <w:t>形式参加政府采购活动，联合体各方均为小微企业的，联合体视同小微企业。</w:t>
      </w:r>
      <w:r>
        <w:rPr>
          <w:rFonts w:hint="eastAsia"/>
          <w:b/>
          <w:bCs/>
          <w:color w:val="auto"/>
          <w:highlight w:val="none"/>
        </w:rPr>
        <w:t>（本项目不适用）</w:t>
      </w:r>
    </w:p>
    <w:p>
      <w:pPr>
        <w:numPr>
          <w:ilvl w:val="0"/>
          <w:numId w:val="7"/>
        </w:numPr>
        <w:ind w:firstLine="480"/>
        <w:rPr>
          <w:rFonts w:cs="宋体"/>
          <w:color w:val="auto"/>
          <w:kern w:val="0"/>
          <w:highlight w:val="none"/>
        </w:rPr>
      </w:pPr>
      <w:r>
        <w:rPr>
          <w:rFonts w:hint="eastAsia" w:cs="宋体"/>
          <w:color w:val="auto"/>
          <w:highlight w:val="none"/>
        </w:rPr>
        <w:t>参加</w:t>
      </w:r>
      <w:r>
        <w:rPr>
          <w:rFonts w:hint="eastAsia" w:cs="宋体"/>
          <w:color w:val="auto"/>
          <w:kern w:val="0"/>
          <w:highlight w:val="none"/>
        </w:rPr>
        <w:t>本次采购活动的供应商</w:t>
      </w:r>
      <w:r>
        <w:rPr>
          <w:rFonts w:hint="eastAsia" w:cs="宋体"/>
          <w:b/>
          <w:color w:val="auto"/>
          <w:kern w:val="0"/>
          <w:highlight w:val="none"/>
          <w:u w:val="single"/>
        </w:rPr>
        <w:t>提供的货物全部由小微企业生产制造</w:t>
      </w:r>
      <w:r>
        <w:rPr>
          <w:rFonts w:hint="eastAsia" w:cs="宋体"/>
          <w:color w:val="auto"/>
          <w:kern w:val="0"/>
          <w:highlight w:val="none"/>
        </w:rPr>
        <w:t>的，其报价给予</w:t>
      </w:r>
      <w:r>
        <w:rPr>
          <w:rFonts w:hint="eastAsia" w:cs="宋体"/>
          <w:b/>
          <w:color w:val="auto"/>
          <w:kern w:val="0"/>
          <w:highlight w:val="none"/>
          <w:u w:val="single"/>
        </w:rPr>
        <w:t>6%</w:t>
      </w:r>
      <w:r>
        <w:rPr>
          <w:rFonts w:hint="eastAsia" w:cs="宋体"/>
          <w:color w:val="auto"/>
          <w:kern w:val="0"/>
          <w:highlight w:val="none"/>
        </w:rPr>
        <w:t>的扣除，用扣除后的价格参加评审。</w:t>
      </w:r>
    </w:p>
    <w:p>
      <w:pPr>
        <w:numPr>
          <w:ilvl w:val="0"/>
          <w:numId w:val="7"/>
        </w:numPr>
        <w:ind w:firstLine="480"/>
        <w:rPr>
          <w:rFonts w:cs="宋体"/>
          <w:color w:val="auto"/>
          <w:highlight w:val="none"/>
        </w:rPr>
      </w:pPr>
      <w:r>
        <w:rPr>
          <w:rFonts w:hint="eastAsia" w:cs="宋体"/>
          <w:color w:val="auto"/>
          <w:highlight w:val="none"/>
        </w:rPr>
        <w:t>符合小微企业划分标准的个体工商户，视同小微企业。</w:t>
      </w:r>
    </w:p>
    <w:p>
      <w:pPr>
        <w:numPr>
          <w:ilvl w:val="0"/>
          <w:numId w:val="7"/>
        </w:numPr>
        <w:ind w:firstLine="480"/>
        <w:rPr>
          <w:rFonts w:cs="宋体"/>
          <w:color w:val="auto"/>
          <w:highlight w:val="none"/>
        </w:rPr>
      </w:pPr>
      <w:r>
        <w:rPr>
          <w:rFonts w:hint="eastAsia" w:cs="宋体"/>
          <w:color w:val="auto"/>
          <w:highlight w:val="none"/>
        </w:rPr>
        <w:t>本项目不接受大中型企业与小微企业组成联合体。</w:t>
      </w:r>
    </w:p>
    <w:p>
      <w:pPr>
        <w:numPr>
          <w:ilvl w:val="0"/>
          <w:numId w:val="7"/>
        </w:numPr>
        <w:ind w:firstLine="480"/>
        <w:rPr>
          <w:rFonts w:cs="宋体"/>
          <w:color w:val="auto"/>
          <w:highlight w:val="none"/>
        </w:rPr>
      </w:pPr>
      <w:r>
        <w:rPr>
          <w:rFonts w:hint="eastAsia" w:cs="宋体"/>
          <w:color w:val="auto"/>
          <w:highlight w:val="none"/>
        </w:rPr>
        <w:t>本项目不允许大中型企业向一家或者多家小微企业分包。</w:t>
      </w:r>
    </w:p>
    <w:p>
      <w:pPr>
        <w:numPr>
          <w:ilvl w:val="0"/>
          <w:numId w:val="7"/>
        </w:numPr>
        <w:ind w:firstLine="480"/>
        <w:rPr>
          <w:rFonts w:cs="宋体"/>
          <w:color w:val="auto"/>
          <w:highlight w:val="none"/>
        </w:rPr>
      </w:pPr>
      <w:r>
        <w:rPr>
          <w:rFonts w:hint="eastAsia" w:cs="宋体"/>
          <w:color w:val="auto"/>
          <w:highlight w:val="none"/>
        </w:rPr>
        <w:t>小微企业参加政府采购活动，应当出具《中小企业声明函》，否则其报价不予扣除。</w:t>
      </w:r>
    </w:p>
    <w:p>
      <w:pPr>
        <w:numPr>
          <w:ilvl w:val="0"/>
          <w:numId w:val="7"/>
        </w:numPr>
        <w:ind w:firstLine="480"/>
        <w:rPr>
          <w:rFonts w:cs="宋体"/>
          <w:color w:val="auto"/>
          <w:highlight w:val="none"/>
        </w:rPr>
      </w:pPr>
      <w:r>
        <w:rPr>
          <w:rFonts w:hint="eastAsia" w:cs="宋体"/>
          <w:color w:val="auto"/>
          <w:highlight w:val="none"/>
        </w:rPr>
        <w:t>监狱企业和残疾人福利性单位视同小型、微型企业，按《财政部司法部关于政府采购支持监狱企业发展有关问题的通知》(财库〔2014〕68号)、《财政部民政部中国残疾人联合会关于促进残疾人就业政府采购政策的通知》（财库〔2017〕141号）的规定执行。</w:t>
      </w:r>
    </w:p>
    <w:p>
      <w:pPr>
        <w:numPr>
          <w:ilvl w:val="0"/>
          <w:numId w:val="8"/>
        </w:numPr>
        <w:ind w:firstLine="480"/>
        <w:rPr>
          <w:rFonts w:cs="宋体"/>
          <w:color w:val="auto"/>
          <w:highlight w:val="none"/>
        </w:rPr>
      </w:pPr>
      <w:r>
        <w:rPr>
          <w:rFonts w:hint="eastAsia" w:cs="宋体"/>
          <w:color w:val="auto"/>
          <w:highlight w:val="none"/>
        </w:rPr>
        <w:t>节能环保要求</w:t>
      </w:r>
    </w:p>
    <w:p>
      <w:pPr>
        <w:numPr>
          <w:ilvl w:val="0"/>
          <w:numId w:val="9"/>
        </w:numPr>
        <w:ind w:firstLineChars="0"/>
        <w:rPr>
          <w:b/>
          <w:bCs/>
          <w:color w:val="auto"/>
          <w:highlight w:val="none"/>
        </w:rPr>
      </w:pPr>
      <w:r>
        <w:rPr>
          <w:rFonts w:hint="eastAsia"/>
          <w:b/>
          <w:bCs/>
          <w:color w:val="auto"/>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pPr>
        <w:numPr>
          <w:ilvl w:val="0"/>
          <w:numId w:val="9"/>
        </w:numPr>
        <w:ind w:firstLineChars="0"/>
        <w:rPr>
          <w:color w:val="auto"/>
          <w:highlight w:val="none"/>
        </w:rPr>
      </w:pPr>
      <w:r>
        <w:rPr>
          <w:rFonts w:hint="eastAsia"/>
          <w:color w:val="auto"/>
          <w:highlight w:val="none"/>
        </w:rPr>
        <w:t>▲</w:t>
      </w:r>
      <w:r>
        <w:rPr>
          <w:rFonts w:hint="eastAsia"/>
          <w:b/>
          <w:bCs/>
          <w:color w:val="auto"/>
          <w:highlight w:val="none"/>
        </w:rPr>
        <w:t>采购人拟采购的产品属于政府强制采购的节能产品品目清单范围的，投标人未按招标文件要求提供国家确定的认证机构出具的、处于有效期之内的节能产品认证证书，投标无效。</w:t>
      </w:r>
    </w:p>
    <w:p>
      <w:pPr>
        <w:pStyle w:val="5"/>
        <w:rPr>
          <w:color w:val="auto"/>
          <w:highlight w:val="none"/>
        </w:rPr>
      </w:pPr>
      <w:bookmarkStart w:id="91" w:name="_Toc28441"/>
      <w:r>
        <w:rPr>
          <w:rFonts w:hint="eastAsia"/>
          <w:color w:val="auto"/>
          <w:highlight w:val="none"/>
        </w:rPr>
        <w:t>六、询问、质疑、投诉</w:t>
      </w:r>
      <w:bookmarkEnd w:id="91"/>
    </w:p>
    <w:p>
      <w:pPr>
        <w:ind w:firstLine="480"/>
        <w:rPr>
          <w:color w:val="auto"/>
          <w:highlight w:val="none"/>
          <w:lang w:val="zh-CN"/>
        </w:rPr>
      </w:pPr>
      <w:r>
        <w:rPr>
          <w:rFonts w:hint="eastAsia"/>
          <w:color w:val="auto"/>
          <w:highlight w:val="none"/>
          <w:lang w:val="zh-CN"/>
        </w:rPr>
        <w:t>（</w:t>
      </w:r>
      <w:r>
        <w:rPr>
          <w:rFonts w:hint="eastAsia"/>
          <w:color w:val="auto"/>
          <w:highlight w:val="none"/>
        </w:rPr>
        <w:t>一</w:t>
      </w:r>
      <w:r>
        <w:rPr>
          <w:rFonts w:hint="eastAsia"/>
          <w:color w:val="auto"/>
          <w:highlight w:val="none"/>
          <w:lang w:val="zh-CN"/>
        </w:rPr>
        <w:t>）供应商询问</w:t>
      </w:r>
    </w:p>
    <w:p>
      <w:pPr>
        <w:ind w:firstLine="480"/>
        <w:rPr>
          <w:color w:val="auto"/>
          <w:highlight w:val="none"/>
        </w:rPr>
      </w:pPr>
      <w:r>
        <w:rPr>
          <w:rFonts w:hint="eastAsia"/>
          <w:color w:val="auto"/>
          <w:highlight w:val="none"/>
        </w:rPr>
        <w:t>供应商可以就采购文件中特定资格条件、采购需求、评分办法及采购过程中有关现场考察或开标前答疑会事项向采购人提出询问，采购人将对此作出答复；供应商可以就采购活动中的其它事项向采购机构提出询问，采购机构将对此作出答复。答复的内容不得涉及商业秘密。</w:t>
      </w:r>
    </w:p>
    <w:p>
      <w:pPr>
        <w:ind w:firstLine="480"/>
        <w:rPr>
          <w:color w:val="auto"/>
          <w:highlight w:val="none"/>
          <w:lang w:val="zh-CN"/>
        </w:rPr>
      </w:pPr>
      <w:r>
        <w:rPr>
          <w:rFonts w:hint="eastAsia"/>
          <w:color w:val="auto"/>
          <w:highlight w:val="none"/>
          <w:lang w:val="zh-CN"/>
        </w:rPr>
        <w:t>（</w:t>
      </w:r>
      <w:r>
        <w:rPr>
          <w:rFonts w:hint="eastAsia"/>
          <w:color w:val="auto"/>
          <w:highlight w:val="none"/>
        </w:rPr>
        <w:t>二</w:t>
      </w:r>
      <w:r>
        <w:rPr>
          <w:rFonts w:hint="eastAsia"/>
          <w:color w:val="auto"/>
          <w:highlight w:val="none"/>
          <w:lang w:val="zh-CN"/>
        </w:rPr>
        <w:t>）供应商质疑（</w:t>
      </w:r>
      <w:r>
        <w:rPr>
          <w:rFonts w:hint="eastAsia"/>
          <w:color w:val="auto"/>
          <w:highlight w:val="none"/>
        </w:rPr>
        <w:t>根据财政部第94号《政府采购质疑和投诉办法》规定）</w:t>
      </w:r>
    </w:p>
    <w:p>
      <w:pPr>
        <w:numPr>
          <w:ilvl w:val="0"/>
          <w:numId w:val="10"/>
        </w:numPr>
        <w:ind w:firstLine="480"/>
        <w:rPr>
          <w:rFonts w:cs="宋体"/>
          <w:color w:val="auto"/>
          <w:highlight w:val="none"/>
        </w:rPr>
      </w:pPr>
      <w:r>
        <w:rPr>
          <w:rFonts w:hint="eastAsia" w:cs="宋体"/>
          <w:color w:val="auto"/>
          <w:highlight w:val="none"/>
        </w:rPr>
        <w:t>提出质疑的供应商应当是参与所质疑项目采购活动的供应商。潜在供应商已依法获取其可质疑的采购文件的，可以对该文件提出质疑。</w:t>
      </w:r>
    </w:p>
    <w:p>
      <w:pPr>
        <w:numPr>
          <w:ilvl w:val="0"/>
          <w:numId w:val="10"/>
        </w:numPr>
        <w:ind w:firstLine="480"/>
        <w:rPr>
          <w:rFonts w:cs="宋体"/>
          <w:color w:val="auto"/>
          <w:highlight w:val="none"/>
        </w:rPr>
      </w:pPr>
      <w:r>
        <w:rPr>
          <w:rFonts w:hint="eastAsia" w:cs="宋体"/>
          <w:color w:val="auto"/>
          <w:highlight w:val="none"/>
        </w:rPr>
        <w:t>供应商认为招标文件、采购过程和成交结果使自己的权益受到损害的，可以在知道或者应知其权益受到损害之日起七个工作日内，以书面形式（法定质疑期内）一次性向采购人、采购代理机构提出同一采购环节的质疑，否则，采购人或者采购代理机构不予受理。</w:t>
      </w:r>
    </w:p>
    <w:p>
      <w:pPr>
        <w:numPr>
          <w:ilvl w:val="0"/>
          <w:numId w:val="10"/>
        </w:numPr>
        <w:ind w:firstLine="480"/>
        <w:rPr>
          <w:rFonts w:cs="宋体"/>
          <w:color w:val="auto"/>
          <w:highlight w:val="none"/>
        </w:rPr>
      </w:pPr>
      <w:r>
        <w:rPr>
          <w:rFonts w:hint="eastAsia" w:cs="宋体"/>
          <w:color w:val="auto"/>
          <w:highlight w:val="none"/>
        </w:rPr>
        <w:t>供应商提出质疑应当提交质疑函和必要的证明材料。质疑函应当包括下列内容：</w:t>
      </w:r>
    </w:p>
    <w:p>
      <w:pPr>
        <w:numPr>
          <w:ilvl w:val="0"/>
          <w:numId w:val="11"/>
        </w:numPr>
        <w:ind w:firstLineChars="0"/>
        <w:rPr>
          <w:rFonts w:cs="宋体"/>
          <w:color w:val="auto"/>
          <w:highlight w:val="none"/>
        </w:rPr>
      </w:pPr>
      <w:r>
        <w:rPr>
          <w:rFonts w:hint="eastAsia" w:cs="宋体"/>
          <w:color w:val="auto"/>
          <w:highlight w:val="none"/>
        </w:rPr>
        <w:t>供应商的姓名或者名称、地址、邮编、联系人及联系电话；</w:t>
      </w:r>
    </w:p>
    <w:p>
      <w:pPr>
        <w:numPr>
          <w:ilvl w:val="0"/>
          <w:numId w:val="11"/>
        </w:numPr>
        <w:ind w:firstLineChars="0"/>
        <w:rPr>
          <w:rFonts w:cs="宋体"/>
          <w:color w:val="auto"/>
          <w:highlight w:val="none"/>
        </w:rPr>
      </w:pPr>
      <w:r>
        <w:rPr>
          <w:rFonts w:hint="eastAsia" w:cs="宋体"/>
          <w:color w:val="auto"/>
          <w:highlight w:val="none"/>
        </w:rPr>
        <w:t>质疑项目的名称、编号；</w:t>
      </w:r>
    </w:p>
    <w:p>
      <w:pPr>
        <w:numPr>
          <w:ilvl w:val="0"/>
          <w:numId w:val="11"/>
        </w:numPr>
        <w:ind w:firstLineChars="0"/>
        <w:rPr>
          <w:rFonts w:cs="宋体"/>
          <w:color w:val="auto"/>
          <w:highlight w:val="none"/>
        </w:rPr>
      </w:pPr>
      <w:r>
        <w:rPr>
          <w:rFonts w:hint="eastAsia" w:cs="宋体"/>
          <w:color w:val="auto"/>
          <w:highlight w:val="none"/>
        </w:rPr>
        <w:t>具体、明确的质疑事项和与质疑事项相关的请求；</w:t>
      </w:r>
    </w:p>
    <w:p>
      <w:pPr>
        <w:numPr>
          <w:ilvl w:val="0"/>
          <w:numId w:val="11"/>
        </w:numPr>
        <w:ind w:firstLineChars="0"/>
        <w:rPr>
          <w:rFonts w:cs="宋体"/>
          <w:color w:val="auto"/>
          <w:highlight w:val="none"/>
        </w:rPr>
      </w:pPr>
      <w:r>
        <w:rPr>
          <w:rFonts w:hint="eastAsia" w:cs="宋体"/>
          <w:color w:val="auto"/>
          <w:highlight w:val="none"/>
        </w:rPr>
        <w:t>事实依据；</w:t>
      </w:r>
    </w:p>
    <w:p>
      <w:pPr>
        <w:numPr>
          <w:ilvl w:val="0"/>
          <w:numId w:val="11"/>
        </w:numPr>
        <w:ind w:firstLineChars="0"/>
        <w:rPr>
          <w:rFonts w:cs="宋体"/>
          <w:color w:val="auto"/>
          <w:highlight w:val="none"/>
        </w:rPr>
      </w:pPr>
      <w:r>
        <w:rPr>
          <w:rFonts w:hint="eastAsia" w:cs="宋体"/>
          <w:color w:val="auto"/>
          <w:highlight w:val="none"/>
        </w:rPr>
        <w:t>必要的法律依据；</w:t>
      </w:r>
    </w:p>
    <w:p>
      <w:pPr>
        <w:numPr>
          <w:ilvl w:val="0"/>
          <w:numId w:val="11"/>
        </w:numPr>
        <w:ind w:firstLineChars="0"/>
        <w:rPr>
          <w:rFonts w:cs="宋体"/>
          <w:color w:val="auto"/>
          <w:highlight w:val="none"/>
        </w:rPr>
      </w:pPr>
      <w:r>
        <w:rPr>
          <w:rFonts w:hint="eastAsia" w:cs="宋体"/>
          <w:color w:val="auto"/>
          <w:highlight w:val="none"/>
        </w:rPr>
        <w:t>提出质疑的日期。</w:t>
      </w:r>
    </w:p>
    <w:p>
      <w:pPr>
        <w:numPr>
          <w:ilvl w:val="0"/>
          <w:numId w:val="10"/>
        </w:numPr>
        <w:ind w:firstLine="480"/>
        <w:rPr>
          <w:rFonts w:cs="宋体"/>
          <w:color w:val="auto"/>
          <w:highlight w:val="none"/>
        </w:rPr>
      </w:pPr>
      <w:r>
        <w:rPr>
          <w:rFonts w:hint="eastAsia" w:cs="宋体"/>
          <w:color w:val="auto"/>
          <w:highlight w:val="none"/>
        </w:rPr>
        <w:t>供应商提交的质疑函需一式三份。供应商为自然人的，应当由本人签字；供应商为法人或者其他组织的，应当由法定代表人、主要负责人，或者其授权代表签字或者盖章，并加盖公章。</w:t>
      </w:r>
    </w:p>
    <w:p>
      <w:pPr>
        <w:numPr>
          <w:ilvl w:val="0"/>
          <w:numId w:val="10"/>
        </w:numPr>
        <w:ind w:firstLine="480"/>
        <w:rPr>
          <w:rFonts w:cs="宋体"/>
          <w:color w:val="auto"/>
          <w:highlight w:val="none"/>
        </w:rPr>
      </w:pPr>
      <w:r>
        <w:rPr>
          <w:rFonts w:hint="eastAsia" w:cs="宋体"/>
          <w:color w:val="auto"/>
          <w:highlight w:val="none"/>
        </w:rPr>
        <w:t>质疑函范本及制作说明详见附件。</w:t>
      </w:r>
    </w:p>
    <w:p>
      <w:pPr>
        <w:numPr>
          <w:ilvl w:val="0"/>
          <w:numId w:val="10"/>
        </w:numPr>
        <w:ind w:firstLine="480"/>
        <w:rPr>
          <w:rFonts w:cs="宋体"/>
          <w:color w:val="auto"/>
          <w:highlight w:val="none"/>
        </w:rPr>
      </w:pPr>
      <w:r>
        <w:rPr>
          <w:rFonts w:hint="eastAsia" w:cs="宋体"/>
          <w:color w:val="auto"/>
          <w:highlight w:val="none"/>
        </w:rPr>
        <w:t>采购人或者采购代理机构应当在收到供应商的书面质疑后七个工作日内作出答复，并以书面形式通知质疑供应商和其他与质疑处理结果有利害关系的政府采购当事人，但答复的内容不得涉及商业秘密。</w:t>
      </w:r>
    </w:p>
    <w:p>
      <w:pPr>
        <w:numPr>
          <w:ilvl w:val="0"/>
          <w:numId w:val="10"/>
        </w:numPr>
        <w:ind w:firstLine="480"/>
        <w:rPr>
          <w:rFonts w:cs="宋体"/>
          <w:color w:val="auto"/>
          <w:highlight w:val="none"/>
        </w:rPr>
      </w:pPr>
      <w:r>
        <w:rPr>
          <w:rFonts w:hint="eastAsia" w:cs="宋体"/>
          <w:color w:val="auto"/>
          <w:highlight w:val="none"/>
        </w:rPr>
        <w:t>询问或者质疑事项可能影响采购结果的，采购人应当暂停签订合同，已经签订合同的，应当中止履行合同。</w:t>
      </w:r>
    </w:p>
    <w:p>
      <w:pPr>
        <w:numPr>
          <w:ilvl w:val="0"/>
          <w:numId w:val="10"/>
        </w:numPr>
        <w:ind w:firstLine="480"/>
        <w:rPr>
          <w:rFonts w:cs="宋体"/>
          <w:color w:val="auto"/>
          <w:highlight w:val="none"/>
        </w:rPr>
      </w:pPr>
      <w:r>
        <w:rPr>
          <w:rFonts w:hint="eastAsia" w:cs="宋体"/>
          <w:color w:val="auto"/>
          <w:highlight w:val="none"/>
        </w:rPr>
        <w:t>质疑接收人：</w:t>
      </w:r>
    </w:p>
    <w:p>
      <w:pPr>
        <w:ind w:left="567" w:firstLine="240" w:firstLineChars="100"/>
        <w:rPr>
          <w:color w:val="auto"/>
          <w:highlight w:val="none"/>
        </w:rPr>
      </w:pPr>
      <w:r>
        <w:rPr>
          <w:rFonts w:hint="eastAsia"/>
          <w:color w:val="auto"/>
          <w:highlight w:val="none"/>
        </w:rPr>
        <w:t>姓    名：毛工</w:t>
      </w:r>
    </w:p>
    <w:p>
      <w:pPr>
        <w:ind w:left="567" w:firstLine="240" w:firstLineChars="100"/>
        <w:rPr>
          <w:color w:val="auto"/>
          <w:highlight w:val="none"/>
        </w:rPr>
      </w:pPr>
      <w:r>
        <w:rPr>
          <w:rFonts w:hint="eastAsia"/>
          <w:color w:val="auto"/>
          <w:highlight w:val="none"/>
        </w:rPr>
        <w:t>联系电话：0571-87919156</w:t>
      </w:r>
    </w:p>
    <w:p>
      <w:pPr>
        <w:ind w:left="567" w:firstLine="240" w:firstLineChars="100"/>
        <w:rPr>
          <w:rFonts w:cs="宋体"/>
          <w:color w:val="auto"/>
          <w:highlight w:val="none"/>
        </w:rPr>
      </w:pPr>
      <w:r>
        <w:rPr>
          <w:rFonts w:hint="eastAsia" w:cs="宋体"/>
          <w:color w:val="auto"/>
          <w:highlight w:val="none"/>
        </w:rPr>
        <w:t>地    址：杭州市东信大道66号启迪楼120</w:t>
      </w:r>
      <w:r>
        <w:rPr>
          <w:rFonts w:hint="eastAsia" w:cs="宋体"/>
          <w:color w:val="auto"/>
          <w:highlight w:val="none"/>
          <w:lang w:val="en-US" w:eastAsia="zh-CN"/>
        </w:rPr>
        <w:t>8</w:t>
      </w:r>
      <w:r>
        <w:rPr>
          <w:rFonts w:hint="eastAsia" w:cs="宋体"/>
          <w:color w:val="auto"/>
          <w:highlight w:val="none"/>
        </w:rPr>
        <w:t>室</w:t>
      </w:r>
    </w:p>
    <w:p>
      <w:pPr>
        <w:ind w:firstLine="480"/>
        <w:rPr>
          <w:color w:val="auto"/>
          <w:highlight w:val="none"/>
        </w:rPr>
      </w:pPr>
      <w:r>
        <w:rPr>
          <w:rFonts w:hint="eastAsia"/>
          <w:color w:val="auto"/>
          <w:highlight w:val="none"/>
          <w:lang w:val="zh-CN"/>
        </w:rPr>
        <w:t>（</w:t>
      </w:r>
      <w:r>
        <w:rPr>
          <w:rFonts w:hint="eastAsia"/>
          <w:color w:val="auto"/>
          <w:highlight w:val="none"/>
        </w:rPr>
        <w:t>三</w:t>
      </w:r>
      <w:r>
        <w:rPr>
          <w:rFonts w:hint="eastAsia"/>
          <w:color w:val="auto"/>
          <w:highlight w:val="none"/>
          <w:lang w:val="zh-CN"/>
        </w:rPr>
        <w:t>）供应商投诉（</w:t>
      </w:r>
      <w:r>
        <w:rPr>
          <w:rFonts w:hint="eastAsia"/>
          <w:color w:val="auto"/>
          <w:highlight w:val="none"/>
        </w:rPr>
        <w:t>根据财政部第94号《政府采购质疑和投诉办法》规定）</w:t>
      </w:r>
    </w:p>
    <w:p>
      <w:pPr>
        <w:numPr>
          <w:ilvl w:val="0"/>
          <w:numId w:val="12"/>
        </w:numPr>
        <w:ind w:firstLine="480"/>
        <w:rPr>
          <w:rFonts w:cs="宋体"/>
          <w:color w:val="auto"/>
          <w:highlight w:val="none"/>
        </w:rPr>
      </w:pPr>
      <w:r>
        <w:rPr>
          <w:rFonts w:hint="eastAsia" w:cs="宋体"/>
          <w:color w:val="auto"/>
          <w:highlight w:val="none"/>
        </w:rPr>
        <w:t>质疑供应商对采购人、采购代理机构的答复不满意或者采购人、采购代理机构未在规定的时间内作出答复的，可以在答复期满后十五个工作日内向同级政府采购监督管理部门提出投诉。</w:t>
      </w:r>
    </w:p>
    <w:p>
      <w:pPr>
        <w:numPr>
          <w:ilvl w:val="0"/>
          <w:numId w:val="12"/>
        </w:numPr>
        <w:ind w:firstLine="480"/>
        <w:rPr>
          <w:rFonts w:cs="宋体"/>
          <w:color w:val="auto"/>
          <w:highlight w:val="none"/>
        </w:rPr>
      </w:pPr>
      <w:r>
        <w:rPr>
          <w:rFonts w:hint="eastAsia" w:cs="宋体"/>
          <w:color w:val="auto"/>
          <w:highlight w:val="none"/>
        </w:rPr>
        <w:t>供应商投诉的事项不得超出已质疑事项的范围，基于质疑答复内容提出的投诉事项除外。</w:t>
      </w:r>
    </w:p>
    <w:p>
      <w:pPr>
        <w:numPr>
          <w:ilvl w:val="0"/>
          <w:numId w:val="12"/>
        </w:numPr>
        <w:ind w:firstLine="480"/>
        <w:rPr>
          <w:rFonts w:cs="宋体"/>
          <w:color w:val="auto"/>
          <w:highlight w:val="none"/>
        </w:rPr>
      </w:pPr>
      <w:r>
        <w:rPr>
          <w:rFonts w:hint="eastAsia" w:cs="宋体"/>
          <w:color w:val="auto"/>
          <w:highlight w:val="none"/>
        </w:rPr>
        <w:t>供应商投诉应当有明确的请求和必要的证明材料。</w:t>
      </w:r>
    </w:p>
    <w:p>
      <w:pPr>
        <w:numPr>
          <w:ilvl w:val="0"/>
          <w:numId w:val="12"/>
        </w:numPr>
        <w:ind w:firstLine="480"/>
        <w:rPr>
          <w:rFonts w:cs="宋体"/>
          <w:color w:val="auto"/>
          <w:highlight w:val="none"/>
        </w:rPr>
      </w:pPr>
      <w:r>
        <w:rPr>
          <w:rFonts w:hint="eastAsia" w:cs="宋体"/>
          <w:color w:val="auto"/>
          <w:highlight w:val="none"/>
        </w:rPr>
        <w:t>以联合体形式参加政府采购活动的，其投诉应当由组成联合体的所有供应商共同提出。</w:t>
      </w:r>
    </w:p>
    <w:p>
      <w:pPr>
        <w:pStyle w:val="5"/>
        <w:rPr>
          <w:color w:val="auto"/>
          <w:highlight w:val="none"/>
        </w:rPr>
      </w:pPr>
      <w:bookmarkStart w:id="92" w:name="_Toc6069"/>
      <w:r>
        <w:rPr>
          <w:rFonts w:hint="eastAsia"/>
          <w:color w:val="auto"/>
          <w:highlight w:val="none"/>
        </w:rPr>
        <w:t>七、特别说明</w:t>
      </w:r>
      <w:bookmarkEnd w:id="92"/>
    </w:p>
    <w:p>
      <w:pPr>
        <w:numPr>
          <w:ilvl w:val="0"/>
          <w:numId w:val="13"/>
        </w:numPr>
        <w:ind w:firstLine="480"/>
        <w:rPr>
          <w:rFonts w:cs="宋体"/>
          <w:color w:val="auto"/>
          <w:highlight w:val="none"/>
        </w:rPr>
      </w:pPr>
      <w:r>
        <w:rPr>
          <w:rFonts w:hint="eastAsia" w:cs="宋体"/>
          <w:color w:val="auto"/>
          <w:highlight w:val="none"/>
        </w:rPr>
        <w:t>投标人投标所使用的资格、信誉、荣誉、业绩与企业认证必须为本法人所拥有。投标人投标所使用的采购项目实施人员必须为本法人员工（指本法人或控股公司正式员工）。</w:t>
      </w:r>
    </w:p>
    <w:p>
      <w:pPr>
        <w:numPr>
          <w:ilvl w:val="0"/>
          <w:numId w:val="13"/>
        </w:numPr>
        <w:ind w:firstLine="480"/>
        <w:rPr>
          <w:rFonts w:cs="宋体"/>
          <w:color w:val="auto"/>
          <w:highlight w:val="none"/>
        </w:rPr>
      </w:pPr>
      <w:r>
        <w:rPr>
          <w:rFonts w:hint="eastAsia" w:cs="宋体"/>
          <w:color w:val="auto"/>
          <w:highlight w:val="none"/>
        </w:rPr>
        <w:t>投标供应商所投产品除招标文件中明确规定要求“提供官网截图或相应检测报告的证明材料”以外，所有技术参数描述均以投标文件为准。投标供应商对所投产品技术参数的真实性承担法律责任。项目招标结束后、质疑期限内，如有质疑供应商认为中标供应商所投产品、投标文件技术参数与招标需求存在重大偏离、错误、甚至造假的情况，应提供具体有效的证明材料。</w:t>
      </w:r>
      <w:r>
        <w:rPr>
          <w:rFonts w:hint="eastAsia" w:cs="宋体"/>
          <w:color w:val="auto"/>
          <w:highlight w:val="none"/>
        </w:rPr>
        <w:tab/>
      </w:r>
    </w:p>
    <w:p>
      <w:pPr>
        <w:numPr>
          <w:ilvl w:val="0"/>
          <w:numId w:val="13"/>
        </w:numPr>
        <w:ind w:firstLine="480"/>
        <w:rPr>
          <w:rFonts w:cs="宋体"/>
          <w:color w:val="auto"/>
          <w:highlight w:val="none"/>
        </w:rPr>
      </w:pPr>
      <w:r>
        <w:rPr>
          <w:rFonts w:hint="eastAsia" w:cs="宋体"/>
          <w:color w:val="auto"/>
          <w:highlight w:val="none"/>
        </w:rPr>
        <w:t>投标人在投标活动中提供任何虚假材料,其投标无效，并报监管部门查处；中标后发现的,根据《中华人民共和国政府采购法》第七十七条第一款第一项之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numPr>
          <w:ilvl w:val="0"/>
          <w:numId w:val="13"/>
        </w:numPr>
        <w:ind w:firstLine="480"/>
        <w:rPr>
          <w:rFonts w:cs="宋体"/>
          <w:color w:val="auto"/>
          <w:highlight w:val="none"/>
        </w:rPr>
      </w:pPr>
      <w:r>
        <w:rPr>
          <w:rFonts w:hint="eastAsia" w:cs="宋体"/>
          <w:color w:val="auto"/>
          <w:highlight w:val="none"/>
        </w:rPr>
        <w:t>投标人不得相互串通投标报价，不得妨碍其他投标人的公平竞争，不得损害采购人或其他投标人的合法权益，投标人不得以向采购人、评标委员会成员行贿或者采取其他不正当手段谋取中标。</w:t>
      </w:r>
    </w:p>
    <w:p>
      <w:pPr>
        <w:numPr>
          <w:ilvl w:val="0"/>
          <w:numId w:val="13"/>
        </w:numPr>
        <w:ind w:firstLine="480"/>
        <w:rPr>
          <w:rFonts w:cs="宋体"/>
          <w:color w:val="auto"/>
          <w:highlight w:val="none"/>
        </w:rPr>
      </w:pPr>
      <w:r>
        <w:rPr>
          <w:rFonts w:hint="eastAsia" w:cs="宋体"/>
          <w:color w:val="auto"/>
          <w:highlight w:val="none"/>
        </w:rPr>
        <w:t>单位负责人为同一人或者存在直接控股、管理关系的不同供应商，不得参加同一合同项下的政府采购活动。</w:t>
      </w:r>
    </w:p>
    <w:p>
      <w:pPr>
        <w:numPr>
          <w:ilvl w:val="0"/>
          <w:numId w:val="13"/>
        </w:numPr>
        <w:ind w:firstLine="480"/>
        <w:rPr>
          <w:rFonts w:cs="宋体"/>
          <w:color w:val="auto"/>
          <w:highlight w:val="none"/>
        </w:rPr>
      </w:pPr>
      <w:r>
        <w:rPr>
          <w:rFonts w:hint="eastAsia" w:cs="宋体"/>
          <w:color w:val="auto"/>
          <w:highlight w:val="none"/>
        </w:rPr>
        <w:t>为采购项目提供整体设计、规范编制或者项目管理、监理、检测等服务的供应商，不得再参加该采购项目的其他采购活动。</w:t>
      </w:r>
    </w:p>
    <w:p>
      <w:pPr>
        <w:numPr>
          <w:ilvl w:val="0"/>
          <w:numId w:val="13"/>
        </w:numPr>
        <w:ind w:firstLine="480"/>
        <w:rPr>
          <w:rFonts w:cs="宋体"/>
          <w:color w:val="auto"/>
          <w:highlight w:val="none"/>
        </w:rPr>
      </w:pPr>
      <w:r>
        <w:rPr>
          <w:rFonts w:hint="eastAsia" w:cs="宋体"/>
          <w:color w:val="auto"/>
          <w:highlight w:val="none"/>
        </w:rPr>
        <w:t>关于要求原厂商授权的说明</w:t>
      </w:r>
    </w:p>
    <w:p>
      <w:pPr>
        <w:ind w:firstLine="480"/>
        <w:rPr>
          <w:rFonts w:cs="宋体"/>
          <w:color w:val="auto"/>
          <w:highlight w:val="none"/>
        </w:rPr>
      </w:pPr>
      <w:r>
        <w:rPr>
          <w:rFonts w:hint="eastAsia" w:cs="宋体"/>
          <w:color w:val="auto"/>
          <w:highlight w:val="none"/>
        </w:rPr>
        <w:t>招标文件中要求是提供原厂商授权的，建议在提交投标文件时一并提供。若提供不了原厂商授权的，可在中标公告后再向招标人提供原厂商授权。如原厂商无故不予授权，在预中标成交供应商作出保证产品质量和售后服务的承诺后，可以不需授权文件将合同授予该供应商，但对此应在合同的验收、结算和违约责任中补充增加相应的制约性条款。</w:t>
      </w:r>
    </w:p>
    <w:p>
      <w:pPr>
        <w:numPr>
          <w:ilvl w:val="0"/>
          <w:numId w:val="13"/>
        </w:numPr>
        <w:ind w:firstLine="480"/>
        <w:rPr>
          <w:rFonts w:cs="宋体"/>
          <w:color w:val="auto"/>
          <w:highlight w:val="none"/>
        </w:rPr>
      </w:pPr>
      <w:r>
        <w:rPr>
          <w:rFonts w:hint="eastAsia" w:cs="宋体"/>
          <w:color w:val="auto"/>
          <w:highlight w:val="none"/>
        </w:rPr>
        <w:t>按照《浙江省政府采购供应商注册及诚信管理暂行办法》（浙财采监字［2009］28号）的相关规定，未注册入库供应商参加政府采购活动时，应按招标文件要求提交相应的资格证明材料，按规定接受采购代理机构或其委托的评审专家的资格审查和其他评审。一旦被确定为中标候选供应商的，应在中标通知书发出前的3个工作日内按本办法的规定进行注册申请，否则，采购代理机构可以拒绝向其发出中标通知书，并直接推荐排名次之的供应商为中标候选供应商，依次类推。</w:t>
      </w:r>
    </w:p>
    <w:p>
      <w:pPr>
        <w:numPr>
          <w:ilvl w:val="0"/>
          <w:numId w:val="13"/>
        </w:numPr>
        <w:ind w:firstLine="480"/>
        <w:rPr>
          <w:rFonts w:cs="宋体"/>
          <w:color w:val="auto"/>
          <w:highlight w:val="none"/>
        </w:rPr>
      </w:pPr>
      <w:r>
        <w:rPr>
          <w:rFonts w:hint="eastAsia" w:cs="宋体"/>
          <w:color w:val="auto"/>
          <w:highlight w:val="none"/>
        </w:rPr>
        <w:t>中标供应商逾期履行合同义务的，采购人有权没收履约保证金，并自逾期之日起，中标供应商每天按合同总金额的0.2%向采购人偿付违约金。</w:t>
      </w:r>
    </w:p>
    <w:p>
      <w:pPr>
        <w:numPr>
          <w:ilvl w:val="0"/>
          <w:numId w:val="13"/>
        </w:numPr>
        <w:ind w:firstLine="480"/>
        <w:rPr>
          <w:rFonts w:cs="宋体"/>
          <w:color w:val="auto"/>
          <w:highlight w:val="none"/>
        </w:rPr>
      </w:pPr>
      <w:r>
        <w:rPr>
          <w:rFonts w:hint="eastAsia" w:cs="宋体"/>
          <w:color w:val="auto"/>
          <w:highlight w:val="none"/>
        </w:rPr>
        <w:t>合同履行期内，任何一方因不可抗力事件不能履行合同的，合同履行期限可相应顺延。不可抗力事件发生后，应立即通知对方，并邮寄或送达有关权威机构出具的证明。</w:t>
      </w:r>
    </w:p>
    <w:p>
      <w:pPr>
        <w:numPr>
          <w:ilvl w:val="0"/>
          <w:numId w:val="13"/>
        </w:numPr>
        <w:ind w:firstLine="480"/>
        <w:rPr>
          <w:rFonts w:cs="宋体"/>
          <w:color w:val="auto"/>
          <w:highlight w:val="none"/>
        </w:rPr>
      </w:pPr>
      <w:r>
        <w:rPr>
          <w:rFonts w:hint="eastAsia" w:cs="宋体"/>
          <w:color w:val="auto"/>
          <w:highlight w:val="none"/>
        </w:rPr>
        <w:t>若供应商存在撤销响应文件和无正当理由放弃成交、不与采购人签订书面合同等情形或被行政部门查实存在违法违规行为，导致采购人重新采购的，除投标保证金/履约保证金不予退还外，采购人将拒绝该供应商再次响应本项目。</w:t>
      </w:r>
    </w:p>
    <w:p>
      <w:pPr>
        <w:numPr>
          <w:ilvl w:val="0"/>
          <w:numId w:val="13"/>
        </w:numPr>
        <w:ind w:firstLine="480"/>
        <w:rPr>
          <w:rFonts w:cs="宋体"/>
          <w:color w:val="auto"/>
          <w:highlight w:val="none"/>
        </w:rPr>
      </w:pPr>
      <w:r>
        <w:rPr>
          <w:rFonts w:hint="eastAsia" w:cs="宋体"/>
          <w:color w:val="auto"/>
          <w:highlight w:val="none"/>
        </w:rPr>
        <w:t>供应商在采购过程中或合同履行过程中存在其他违法行为的，且违法行为严重的，供应商在承担相应的民事责任以外，采购人将有权向相关行政管理部门建议给予供应商限制本项目内容所涉及的市场响应采购的处罚。</w:t>
      </w:r>
    </w:p>
    <w:p>
      <w:pPr>
        <w:ind w:firstLine="480"/>
        <w:rPr>
          <w:color w:val="auto"/>
          <w:highlight w:val="none"/>
        </w:rPr>
      </w:pPr>
    </w:p>
    <w:p>
      <w:pPr>
        <w:pStyle w:val="4"/>
        <w:jc w:val="center"/>
        <w:rPr>
          <w:color w:val="auto"/>
          <w:highlight w:val="none"/>
        </w:rPr>
      </w:pPr>
      <w:bookmarkStart w:id="93" w:name="_Toc91899879"/>
      <w:bookmarkStart w:id="94" w:name="_Toc32426"/>
      <w:bookmarkStart w:id="95" w:name="_Toc16985"/>
      <w:bookmarkStart w:id="96" w:name="_Toc27084"/>
      <w:r>
        <w:rPr>
          <w:rFonts w:hint="eastAsia"/>
          <w:color w:val="auto"/>
          <w:highlight w:val="none"/>
        </w:rPr>
        <w:t>第二节 招标文件</w:t>
      </w:r>
      <w:bookmarkEnd w:id="93"/>
      <w:r>
        <w:rPr>
          <w:rFonts w:hint="eastAsia"/>
          <w:color w:val="auto"/>
          <w:highlight w:val="none"/>
        </w:rPr>
        <w:t>的构成、澄清、修改</w:t>
      </w:r>
      <w:bookmarkEnd w:id="94"/>
      <w:bookmarkEnd w:id="95"/>
      <w:bookmarkEnd w:id="96"/>
    </w:p>
    <w:p>
      <w:pPr>
        <w:pStyle w:val="5"/>
        <w:rPr>
          <w:rFonts w:cs="宋体"/>
          <w:color w:val="auto"/>
          <w:szCs w:val="24"/>
          <w:highlight w:val="none"/>
        </w:rPr>
      </w:pPr>
      <w:bookmarkStart w:id="97" w:name="_Toc91899880"/>
      <w:bookmarkStart w:id="98" w:name="_Toc15003"/>
      <w:bookmarkStart w:id="99" w:name="_Hlt74730307"/>
      <w:r>
        <w:rPr>
          <w:rFonts w:hint="eastAsia" w:cs="宋体"/>
          <w:color w:val="auto"/>
          <w:szCs w:val="24"/>
          <w:highlight w:val="none"/>
        </w:rPr>
        <w:t>一、招标文件的构成</w:t>
      </w:r>
      <w:bookmarkEnd w:id="97"/>
      <w:bookmarkEnd w:id="98"/>
    </w:p>
    <w:bookmarkEnd w:id="99"/>
    <w:p>
      <w:pPr>
        <w:numPr>
          <w:ilvl w:val="0"/>
          <w:numId w:val="14"/>
        </w:numPr>
        <w:ind w:firstLine="480"/>
        <w:rPr>
          <w:rFonts w:cs="宋体"/>
          <w:color w:val="auto"/>
          <w:highlight w:val="none"/>
        </w:rPr>
      </w:pPr>
      <w:r>
        <w:rPr>
          <w:rFonts w:hint="eastAsia" w:cs="宋体"/>
          <w:color w:val="auto"/>
          <w:highlight w:val="none"/>
        </w:rPr>
        <w:t>招标文件包括下列文件及附件</w:t>
      </w:r>
    </w:p>
    <w:p>
      <w:pPr>
        <w:numPr>
          <w:ilvl w:val="0"/>
          <w:numId w:val="15"/>
        </w:numPr>
        <w:ind w:left="0" w:firstLine="567" w:firstLineChars="0"/>
        <w:rPr>
          <w:color w:val="auto"/>
          <w:highlight w:val="none"/>
        </w:rPr>
      </w:pPr>
      <w:r>
        <w:rPr>
          <w:color w:val="auto"/>
          <w:highlight w:val="none"/>
        </w:rPr>
        <w:fldChar w:fldCharType="begin"/>
      </w:r>
      <w:r>
        <w:rPr>
          <w:color w:val="auto"/>
          <w:highlight w:val="none"/>
        </w:rPr>
        <w:instrText xml:space="preserve"> HYPERLINK \l "_Toc32332" </w:instrText>
      </w:r>
      <w:r>
        <w:rPr>
          <w:color w:val="auto"/>
          <w:highlight w:val="none"/>
        </w:rPr>
        <w:fldChar w:fldCharType="separate"/>
      </w:r>
      <w:r>
        <w:rPr>
          <w:rFonts w:hint="eastAsia"/>
          <w:color w:val="auto"/>
          <w:highlight w:val="none"/>
        </w:rPr>
        <w:t>第一章 招标公告</w:t>
      </w:r>
      <w:r>
        <w:rPr>
          <w:rFonts w:hint="eastAsia"/>
          <w:color w:val="auto"/>
          <w:highlight w:val="none"/>
        </w:rPr>
        <w:fldChar w:fldCharType="end"/>
      </w:r>
    </w:p>
    <w:p>
      <w:pPr>
        <w:numPr>
          <w:ilvl w:val="0"/>
          <w:numId w:val="15"/>
        </w:numPr>
        <w:ind w:left="0" w:firstLine="567" w:firstLineChars="0"/>
        <w:rPr>
          <w:color w:val="auto"/>
          <w:highlight w:val="none"/>
        </w:rPr>
      </w:pPr>
      <w:r>
        <w:rPr>
          <w:color w:val="auto"/>
          <w:highlight w:val="none"/>
        </w:rPr>
        <w:fldChar w:fldCharType="begin"/>
      </w:r>
      <w:r>
        <w:rPr>
          <w:color w:val="auto"/>
          <w:highlight w:val="none"/>
        </w:rPr>
        <w:instrText xml:space="preserve"> HYPERLINK \l "_Toc24282" </w:instrText>
      </w:r>
      <w:r>
        <w:rPr>
          <w:color w:val="auto"/>
          <w:highlight w:val="none"/>
        </w:rPr>
        <w:fldChar w:fldCharType="separate"/>
      </w:r>
      <w:r>
        <w:rPr>
          <w:rFonts w:hint="eastAsia"/>
          <w:color w:val="auto"/>
          <w:highlight w:val="none"/>
        </w:rPr>
        <w:t>第二章 项目需求说明</w:t>
      </w:r>
      <w:r>
        <w:rPr>
          <w:rFonts w:hint="eastAsia"/>
          <w:color w:val="auto"/>
          <w:highlight w:val="none"/>
        </w:rPr>
        <w:fldChar w:fldCharType="end"/>
      </w:r>
    </w:p>
    <w:p>
      <w:pPr>
        <w:numPr>
          <w:ilvl w:val="0"/>
          <w:numId w:val="15"/>
        </w:numPr>
        <w:ind w:left="0" w:firstLine="567" w:firstLineChars="0"/>
        <w:rPr>
          <w:color w:val="auto"/>
          <w:highlight w:val="none"/>
        </w:rPr>
      </w:pPr>
      <w:r>
        <w:rPr>
          <w:color w:val="auto"/>
          <w:highlight w:val="none"/>
        </w:rPr>
        <w:fldChar w:fldCharType="begin"/>
      </w:r>
      <w:r>
        <w:rPr>
          <w:color w:val="auto"/>
          <w:highlight w:val="none"/>
        </w:rPr>
        <w:instrText xml:space="preserve"> HYPERLINK \l "_Toc7338" </w:instrText>
      </w:r>
      <w:r>
        <w:rPr>
          <w:color w:val="auto"/>
          <w:highlight w:val="none"/>
        </w:rPr>
        <w:fldChar w:fldCharType="separate"/>
      </w:r>
      <w:r>
        <w:rPr>
          <w:rFonts w:hint="eastAsia"/>
          <w:color w:val="auto"/>
          <w:highlight w:val="none"/>
        </w:rPr>
        <w:t>第三章 投标人须知</w:t>
      </w:r>
      <w:r>
        <w:rPr>
          <w:rFonts w:hint="eastAsia"/>
          <w:color w:val="auto"/>
          <w:highlight w:val="none"/>
        </w:rPr>
        <w:fldChar w:fldCharType="end"/>
      </w:r>
    </w:p>
    <w:p>
      <w:pPr>
        <w:numPr>
          <w:ilvl w:val="0"/>
          <w:numId w:val="15"/>
        </w:numPr>
        <w:ind w:left="0" w:firstLine="567" w:firstLineChars="0"/>
        <w:rPr>
          <w:color w:val="auto"/>
          <w:highlight w:val="none"/>
        </w:rPr>
      </w:pPr>
      <w:r>
        <w:rPr>
          <w:color w:val="auto"/>
          <w:highlight w:val="none"/>
        </w:rPr>
        <w:fldChar w:fldCharType="begin"/>
      </w:r>
      <w:r>
        <w:rPr>
          <w:color w:val="auto"/>
          <w:highlight w:val="none"/>
        </w:rPr>
        <w:instrText xml:space="preserve"> HYPERLINK \l "_Toc22869" </w:instrText>
      </w:r>
      <w:r>
        <w:rPr>
          <w:color w:val="auto"/>
          <w:highlight w:val="none"/>
        </w:rPr>
        <w:fldChar w:fldCharType="separate"/>
      </w:r>
      <w:r>
        <w:rPr>
          <w:rFonts w:hint="eastAsia"/>
          <w:color w:val="auto"/>
          <w:highlight w:val="none"/>
        </w:rPr>
        <w:t>第四章 评标办法及评分标准</w:t>
      </w:r>
      <w:r>
        <w:rPr>
          <w:rFonts w:hint="eastAsia"/>
          <w:color w:val="auto"/>
          <w:highlight w:val="none"/>
        </w:rPr>
        <w:fldChar w:fldCharType="end"/>
      </w:r>
    </w:p>
    <w:p>
      <w:pPr>
        <w:numPr>
          <w:ilvl w:val="0"/>
          <w:numId w:val="15"/>
        </w:numPr>
        <w:ind w:left="0" w:firstLine="567" w:firstLineChars="0"/>
        <w:rPr>
          <w:color w:val="auto"/>
          <w:highlight w:val="none"/>
        </w:rPr>
      </w:pPr>
      <w:r>
        <w:rPr>
          <w:color w:val="auto"/>
          <w:highlight w:val="none"/>
        </w:rPr>
        <w:fldChar w:fldCharType="begin"/>
      </w:r>
      <w:r>
        <w:rPr>
          <w:color w:val="auto"/>
          <w:highlight w:val="none"/>
        </w:rPr>
        <w:instrText xml:space="preserve"> HYPERLINK \l "_Toc7087" </w:instrText>
      </w:r>
      <w:r>
        <w:rPr>
          <w:color w:val="auto"/>
          <w:highlight w:val="none"/>
        </w:rPr>
        <w:fldChar w:fldCharType="separate"/>
      </w:r>
      <w:r>
        <w:rPr>
          <w:rFonts w:hint="eastAsia"/>
          <w:color w:val="auto"/>
          <w:highlight w:val="none"/>
        </w:rPr>
        <w:t>第五章 合同格式</w:t>
      </w:r>
      <w:r>
        <w:rPr>
          <w:rFonts w:hint="eastAsia"/>
          <w:color w:val="auto"/>
          <w:highlight w:val="none"/>
        </w:rPr>
        <w:fldChar w:fldCharType="end"/>
      </w:r>
    </w:p>
    <w:p>
      <w:pPr>
        <w:numPr>
          <w:ilvl w:val="0"/>
          <w:numId w:val="15"/>
        </w:numPr>
        <w:ind w:left="0" w:firstLine="567" w:firstLineChars="0"/>
        <w:rPr>
          <w:color w:val="auto"/>
          <w:highlight w:val="none"/>
        </w:rPr>
      </w:pPr>
      <w:r>
        <w:rPr>
          <w:color w:val="auto"/>
          <w:highlight w:val="none"/>
        </w:rPr>
        <w:fldChar w:fldCharType="begin"/>
      </w:r>
      <w:r>
        <w:rPr>
          <w:color w:val="auto"/>
          <w:highlight w:val="none"/>
        </w:rPr>
        <w:instrText xml:space="preserve"> HYPERLINK \l "_Toc29638" </w:instrText>
      </w:r>
      <w:r>
        <w:rPr>
          <w:color w:val="auto"/>
          <w:highlight w:val="none"/>
        </w:rPr>
        <w:fldChar w:fldCharType="separate"/>
      </w:r>
      <w:r>
        <w:rPr>
          <w:rFonts w:hint="eastAsia"/>
          <w:color w:val="auto"/>
          <w:highlight w:val="none"/>
        </w:rPr>
        <w:t>第六章 投标文件格式</w:t>
      </w:r>
      <w:r>
        <w:rPr>
          <w:rFonts w:hint="eastAsia"/>
          <w:color w:val="auto"/>
          <w:highlight w:val="none"/>
        </w:rPr>
        <w:fldChar w:fldCharType="end"/>
      </w:r>
    </w:p>
    <w:p>
      <w:pPr>
        <w:numPr>
          <w:ilvl w:val="0"/>
          <w:numId w:val="14"/>
        </w:numPr>
        <w:ind w:firstLine="480"/>
        <w:rPr>
          <w:rFonts w:cs="宋体"/>
          <w:color w:val="auto"/>
          <w:highlight w:val="none"/>
        </w:rPr>
      </w:pPr>
      <w:r>
        <w:rPr>
          <w:rFonts w:hint="eastAsia" w:cs="宋体"/>
          <w:color w:val="auto"/>
          <w:highlight w:val="none"/>
        </w:rPr>
        <w:t>与本项目有关的澄清或者修改的内容为招标文件的组成部分。</w:t>
      </w:r>
    </w:p>
    <w:p>
      <w:pPr>
        <w:pStyle w:val="5"/>
        <w:rPr>
          <w:rFonts w:cs="宋体"/>
          <w:color w:val="auto"/>
          <w:szCs w:val="24"/>
          <w:highlight w:val="none"/>
        </w:rPr>
      </w:pPr>
      <w:bookmarkStart w:id="100" w:name="_Toc15053"/>
      <w:r>
        <w:rPr>
          <w:rFonts w:hint="eastAsia" w:cs="宋体"/>
          <w:color w:val="auto"/>
          <w:szCs w:val="24"/>
          <w:highlight w:val="none"/>
        </w:rPr>
        <w:t>二、招标文件的澄清、修改</w:t>
      </w:r>
      <w:bookmarkEnd w:id="100"/>
    </w:p>
    <w:p>
      <w:pPr>
        <w:numPr>
          <w:ilvl w:val="0"/>
          <w:numId w:val="16"/>
        </w:numPr>
        <w:ind w:firstLine="480"/>
        <w:rPr>
          <w:rFonts w:cs="宋体"/>
          <w:color w:val="auto"/>
          <w:highlight w:val="none"/>
        </w:rPr>
      </w:pPr>
      <w:r>
        <w:rPr>
          <w:rFonts w:hint="eastAsia" w:cs="宋体"/>
          <w:color w:val="auto"/>
          <w:highlight w:val="none"/>
        </w:rPr>
        <w:t>已获取招标文件的潜在投标人，若有问题需要澄清，应于投标截止时间前，以书面形式向采购代理机构提出，采购代理机构与采购人研究后，对认为有必要回答的问题，将以书面解答形式通知所有招标文件收受人。</w:t>
      </w:r>
    </w:p>
    <w:p>
      <w:pPr>
        <w:numPr>
          <w:ilvl w:val="0"/>
          <w:numId w:val="16"/>
        </w:numPr>
        <w:ind w:firstLine="480"/>
        <w:rPr>
          <w:rFonts w:cs="宋体"/>
          <w:color w:val="auto"/>
          <w:highlight w:val="none"/>
        </w:rPr>
      </w:pPr>
      <w:r>
        <w:rPr>
          <w:rFonts w:hint="eastAsia" w:cs="宋体"/>
          <w:color w:val="auto"/>
          <w:highlight w:val="none"/>
        </w:rPr>
        <w:t>采购人或者采购代理机构可以对已发出的招标文件进行必要的澄清或者修改，澄清或者修改会在原公告发布媒体上发布澄清公告，澄清或者修改的内容为招标文件的组成部分。</w:t>
      </w:r>
    </w:p>
    <w:p>
      <w:pPr>
        <w:numPr>
          <w:ilvl w:val="0"/>
          <w:numId w:val="16"/>
        </w:numPr>
        <w:ind w:firstLine="480"/>
        <w:rPr>
          <w:rFonts w:cs="宋体"/>
          <w:color w:val="auto"/>
          <w:highlight w:val="none"/>
        </w:rPr>
      </w:pPr>
      <w:r>
        <w:rPr>
          <w:rFonts w:hint="eastAsia" w:cs="宋体"/>
          <w:color w:val="auto"/>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numPr>
          <w:ilvl w:val="0"/>
          <w:numId w:val="16"/>
        </w:numPr>
        <w:ind w:firstLine="480"/>
        <w:rPr>
          <w:rFonts w:cs="宋体"/>
          <w:color w:val="auto"/>
          <w:highlight w:val="none"/>
        </w:rPr>
      </w:pPr>
      <w:r>
        <w:rPr>
          <w:rFonts w:hint="eastAsia" w:cs="宋体"/>
          <w:color w:val="auto"/>
          <w:highlight w:val="none"/>
        </w:rPr>
        <w:t>招标文件的修改将以书面形式通知所有购买招标文件的投标人，并对其具有约束力。投标人在收到上述通知后，应立即向采购代理机构回函确认。若无书面回函确认，视同投标人已收到招标文件修改的通知，并受其约束。</w:t>
      </w:r>
    </w:p>
    <w:p>
      <w:pPr>
        <w:ind w:firstLine="482"/>
        <w:rPr>
          <w:b/>
          <w:bCs/>
          <w:color w:val="auto"/>
          <w:highlight w:val="none"/>
        </w:rPr>
      </w:pPr>
      <w:r>
        <w:rPr>
          <w:rFonts w:hint="eastAsia"/>
          <w:b/>
          <w:bCs/>
          <w:color w:val="auto"/>
          <w:highlight w:val="none"/>
        </w:rPr>
        <w:t>▲投标文件未按招标文件的澄清、修改的内容编制，又不符合实质性要求的，投标无效。</w:t>
      </w:r>
    </w:p>
    <w:p>
      <w:pPr>
        <w:ind w:firstLine="480"/>
        <w:rPr>
          <w:color w:val="auto"/>
          <w:highlight w:val="none"/>
        </w:rPr>
      </w:pPr>
    </w:p>
    <w:p>
      <w:pPr>
        <w:pStyle w:val="4"/>
        <w:jc w:val="center"/>
        <w:rPr>
          <w:color w:val="auto"/>
          <w:highlight w:val="none"/>
        </w:rPr>
      </w:pPr>
      <w:bookmarkStart w:id="101" w:name="_Toc450840075"/>
      <w:bookmarkStart w:id="102" w:name="_Toc19164"/>
      <w:bookmarkStart w:id="103" w:name="_Toc204"/>
      <w:bookmarkStart w:id="104" w:name="_Toc1096"/>
      <w:bookmarkStart w:id="105" w:name="_Toc82873324"/>
      <w:bookmarkStart w:id="106" w:name="_Toc21160"/>
      <w:bookmarkStart w:id="107" w:name="_Toc82338241"/>
      <w:r>
        <w:rPr>
          <w:rFonts w:hint="eastAsia"/>
          <w:color w:val="auto"/>
          <w:highlight w:val="none"/>
        </w:rPr>
        <w:t>第三节 投标文件</w:t>
      </w:r>
      <w:bookmarkEnd w:id="101"/>
      <w:bookmarkEnd w:id="102"/>
      <w:bookmarkEnd w:id="103"/>
      <w:bookmarkEnd w:id="104"/>
      <w:bookmarkEnd w:id="105"/>
      <w:bookmarkEnd w:id="106"/>
      <w:bookmarkEnd w:id="107"/>
    </w:p>
    <w:p>
      <w:pPr>
        <w:pStyle w:val="5"/>
        <w:rPr>
          <w:color w:val="auto"/>
          <w:highlight w:val="none"/>
        </w:rPr>
      </w:pPr>
      <w:bookmarkStart w:id="108" w:name="_Toc8877"/>
      <w:r>
        <w:rPr>
          <w:rFonts w:hint="eastAsia"/>
          <w:color w:val="auto"/>
          <w:highlight w:val="none"/>
        </w:rPr>
        <w:t>一、投标文件语言和计量单位</w:t>
      </w:r>
      <w:bookmarkEnd w:id="108"/>
    </w:p>
    <w:p>
      <w:pPr>
        <w:numPr>
          <w:ilvl w:val="0"/>
          <w:numId w:val="17"/>
        </w:numPr>
        <w:ind w:firstLine="480"/>
        <w:rPr>
          <w:rFonts w:cs="宋体"/>
          <w:color w:val="auto"/>
          <w:highlight w:val="none"/>
        </w:rPr>
      </w:pPr>
      <w:r>
        <w:rPr>
          <w:rFonts w:hint="eastAsia" w:cs="宋体"/>
          <w:color w:val="auto"/>
          <w:highlight w:val="none"/>
        </w:rPr>
        <w:t>投标文件应用中文书写。投标文件中所附或所引用的原件不是中文时，应附中文译本。</w:t>
      </w:r>
    </w:p>
    <w:p>
      <w:pPr>
        <w:numPr>
          <w:ilvl w:val="0"/>
          <w:numId w:val="17"/>
        </w:numPr>
        <w:ind w:firstLine="480"/>
        <w:rPr>
          <w:rFonts w:cs="宋体"/>
          <w:color w:val="auto"/>
          <w:highlight w:val="none"/>
        </w:rPr>
      </w:pPr>
      <w:r>
        <w:rPr>
          <w:rFonts w:hint="eastAsia" w:cs="宋体"/>
          <w:color w:val="auto"/>
          <w:highlight w:val="none"/>
        </w:rPr>
        <w:t>投标文件中所使用的计量单位，除招标文件中有特殊要求外，应采用国家法定计量单位。</w:t>
      </w:r>
    </w:p>
    <w:p>
      <w:pPr>
        <w:pStyle w:val="5"/>
        <w:rPr>
          <w:color w:val="auto"/>
          <w:highlight w:val="none"/>
        </w:rPr>
      </w:pPr>
      <w:bookmarkStart w:id="109" w:name="_Toc5487"/>
      <w:r>
        <w:rPr>
          <w:rFonts w:hint="eastAsia"/>
          <w:color w:val="auto"/>
          <w:highlight w:val="none"/>
        </w:rPr>
        <w:t>二、投标文件的组成</w:t>
      </w:r>
      <w:bookmarkEnd w:id="109"/>
    </w:p>
    <w:p>
      <w:pPr>
        <w:ind w:firstLine="0" w:firstLineChars="0"/>
        <w:rPr>
          <w:rFonts w:cs="宋体"/>
          <w:b/>
          <w:bCs/>
          <w:color w:val="auto"/>
          <w:highlight w:val="none"/>
        </w:rPr>
      </w:pPr>
      <w:r>
        <w:rPr>
          <w:rFonts w:hint="eastAsia" w:cs="宋体"/>
          <w:b/>
          <w:bCs/>
          <w:color w:val="auto"/>
          <w:highlight w:val="none"/>
        </w:rPr>
        <w:t>（一）资格证明文件：（均须加盖公章）</w:t>
      </w:r>
    </w:p>
    <w:p>
      <w:pPr>
        <w:numPr>
          <w:ilvl w:val="0"/>
          <w:numId w:val="18"/>
        </w:numPr>
        <w:ind w:firstLine="480"/>
        <w:rPr>
          <w:rFonts w:cs="宋体"/>
          <w:color w:val="auto"/>
          <w:highlight w:val="none"/>
        </w:rPr>
      </w:pPr>
      <w:r>
        <w:rPr>
          <w:rFonts w:hint="eastAsia" w:cs="宋体"/>
          <w:color w:val="auto"/>
          <w:highlight w:val="none"/>
        </w:rPr>
        <w:t>提供有效的经营执照复印件；事业单位的，则提供有效的《事业单位法人证书》副本复印件章；自然人的，则提供有效的身份证复印件并签字；</w:t>
      </w:r>
    </w:p>
    <w:p>
      <w:pPr>
        <w:numPr>
          <w:ilvl w:val="0"/>
          <w:numId w:val="18"/>
        </w:numPr>
        <w:ind w:firstLine="480"/>
        <w:rPr>
          <w:rFonts w:cs="宋体"/>
          <w:color w:val="auto"/>
          <w:highlight w:val="none"/>
        </w:rPr>
      </w:pPr>
      <w:r>
        <w:rPr>
          <w:rFonts w:hint="eastAsia" w:cs="宋体"/>
          <w:color w:val="auto"/>
          <w:highlight w:val="none"/>
        </w:rPr>
        <w:t>提供近一年任意一个月财务报告或开标前三个月内出具的银行资信证明</w:t>
      </w:r>
    </w:p>
    <w:p>
      <w:pPr>
        <w:numPr>
          <w:ilvl w:val="0"/>
          <w:numId w:val="18"/>
        </w:numPr>
        <w:ind w:firstLine="480"/>
        <w:rPr>
          <w:rFonts w:cs="宋体"/>
          <w:color w:val="auto"/>
          <w:highlight w:val="none"/>
        </w:rPr>
      </w:pPr>
      <w:r>
        <w:rPr>
          <w:rFonts w:hint="eastAsia" w:cs="宋体"/>
          <w:color w:val="auto"/>
          <w:highlight w:val="none"/>
        </w:rPr>
        <w:t>提供近一年任意一个月依法缴纳税收证明（完税凭证或税务部门出具的证明）；</w:t>
      </w:r>
    </w:p>
    <w:p>
      <w:pPr>
        <w:numPr>
          <w:ilvl w:val="0"/>
          <w:numId w:val="18"/>
        </w:numPr>
        <w:ind w:firstLine="480"/>
        <w:rPr>
          <w:rFonts w:cs="宋体"/>
          <w:color w:val="auto"/>
          <w:highlight w:val="none"/>
        </w:rPr>
      </w:pPr>
      <w:r>
        <w:rPr>
          <w:rFonts w:hint="eastAsia" w:cs="宋体"/>
          <w:color w:val="auto"/>
          <w:highlight w:val="none"/>
        </w:rPr>
        <w:t>提供近一年任意一个月依法缴纳社会保障资金证明（缴纳凭证或人社部门出具的证明）；</w:t>
      </w:r>
    </w:p>
    <w:p>
      <w:pPr>
        <w:numPr>
          <w:ilvl w:val="0"/>
          <w:numId w:val="18"/>
        </w:numPr>
        <w:ind w:firstLine="480"/>
        <w:rPr>
          <w:rFonts w:cs="宋体"/>
          <w:color w:val="auto"/>
          <w:highlight w:val="none"/>
        </w:rPr>
      </w:pPr>
      <w:r>
        <w:rPr>
          <w:rFonts w:hint="eastAsia" w:cs="宋体"/>
          <w:color w:val="auto"/>
          <w:highlight w:val="none"/>
        </w:rPr>
        <w:t>具有履行合同所必需的设备和专业技术能力的承诺函</w:t>
      </w:r>
    </w:p>
    <w:p>
      <w:pPr>
        <w:numPr>
          <w:ilvl w:val="0"/>
          <w:numId w:val="18"/>
        </w:numPr>
        <w:ind w:firstLine="480"/>
        <w:rPr>
          <w:rFonts w:cs="宋体"/>
          <w:color w:val="auto"/>
          <w:highlight w:val="none"/>
        </w:rPr>
      </w:pPr>
      <w:r>
        <w:rPr>
          <w:rFonts w:hint="eastAsia" w:cs="宋体"/>
          <w:color w:val="auto"/>
          <w:highlight w:val="none"/>
        </w:rPr>
        <w:t>参加政府采购活动前3年内在经营活动中没有重大违法记录的书面声明；</w:t>
      </w:r>
    </w:p>
    <w:p>
      <w:pPr>
        <w:numPr>
          <w:ilvl w:val="0"/>
          <w:numId w:val="18"/>
        </w:numPr>
        <w:ind w:firstLine="480"/>
        <w:rPr>
          <w:rFonts w:cs="宋体"/>
          <w:color w:val="auto"/>
          <w:highlight w:val="none"/>
        </w:rPr>
      </w:pPr>
      <w:r>
        <w:rPr>
          <w:rFonts w:hint="eastAsia" w:cs="宋体"/>
          <w:color w:val="auto"/>
          <w:highlight w:val="none"/>
        </w:rPr>
        <w:t>信用记录：查询信息网站截图：查询渠道：“信用中国”（www.creditchina.gov.cn）、“中国政府采购网”（www.ccgp.gov.cn），最终审查以代理机构在响应截止前一个工作日查询的最新信息为准。</w:t>
      </w:r>
    </w:p>
    <w:p>
      <w:pPr>
        <w:ind w:firstLine="0" w:firstLineChars="0"/>
        <w:rPr>
          <w:rFonts w:cs="宋体"/>
          <w:color w:val="auto"/>
          <w:szCs w:val="32"/>
          <w:highlight w:val="none"/>
        </w:rPr>
      </w:pPr>
      <w:r>
        <w:rPr>
          <w:rFonts w:hint="eastAsia" w:cs="宋体"/>
          <w:b/>
          <w:color w:val="auto"/>
          <w:highlight w:val="none"/>
        </w:rPr>
        <w:t>（二）报价文件</w:t>
      </w:r>
      <w:r>
        <w:rPr>
          <w:rFonts w:hint="eastAsia" w:cs="宋体"/>
          <w:color w:val="auto"/>
          <w:szCs w:val="32"/>
          <w:highlight w:val="none"/>
        </w:rPr>
        <w:t>：</w:t>
      </w:r>
    </w:p>
    <w:p>
      <w:pPr>
        <w:numPr>
          <w:ilvl w:val="0"/>
          <w:numId w:val="19"/>
        </w:numPr>
        <w:ind w:firstLine="480"/>
        <w:rPr>
          <w:rFonts w:cs="宋体"/>
          <w:color w:val="auto"/>
          <w:highlight w:val="none"/>
        </w:rPr>
      </w:pPr>
      <w:r>
        <w:rPr>
          <w:rFonts w:hint="eastAsia" w:cs="宋体"/>
          <w:color w:val="auto"/>
          <w:highlight w:val="none"/>
        </w:rPr>
        <w:t>投标函；</w:t>
      </w:r>
    </w:p>
    <w:p>
      <w:pPr>
        <w:numPr>
          <w:ilvl w:val="0"/>
          <w:numId w:val="19"/>
        </w:numPr>
        <w:ind w:firstLine="480"/>
        <w:rPr>
          <w:rFonts w:cs="宋体"/>
          <w:color w:val="auto"/>
          <w:highlight w:val="none"/>
        </w:rPr>
      </w:pPr>
      <w:r>
        <w:rPr>
          <w:rFonts w:hint="eastAsia" w:cs="宋体"/>
          <w:color w:val="auto"/>
          <w:highlight w:val="none"/>
        </w:rPr>
        <w:t>开标一览表；</w:t>
      </w:r>
    </w:p>
    <w:p>
      <w:pPr>
        <w:numPr>
          <w:ilvl w:val="0"/>
          <w:numId w:val="19"/>
        </w:numPr>
        <w:ind w:firstLine="480"/>
        <w:rPr>
          <w:rFonts w:cs="宋体"/>
          <w:color w:val="auto"/>
          <w:highlight w:val="none"/>
        </w:rPr>
      </w:pPr>
      <w:r>
        <w:rPr>
          <w:rFonts w:hint="eastAsia" w:cs="宋体"/>
          <w:color w:val="auto"/>
          <w:highlight w:val="none"/>
        </w:rPr>
        <w:t>《中小企业声明函》及相关证明材料（非小微企业不需要提供）；</w:t>
      </w:r>
    </w:p>
    <w:p>
      <w:pPr>
        <w:numPr>
          <w:ilvl w:val="0"/>
          <w:numId w:val="19"/>
        </w:numPr>
        <w:ind w:firstLine="480"/>
        <w:rPr>
          <w:rFonts w:cs="宋体"/>
          <w:color w:val="auto"/>
          <w:highlight w:val="none"/>
        </w:rPr>
      </w:pPr>
      <w:r>
        <w:rPr>
          <w:rFonts w:hint="eastAsia" w:cs="宋体"/>
          <w:color w:val="auto"/>
          <w:highlight w:val="none"/>
        </w:rPr>
        <w:t>投标人认为需要的其他文件资料。</w:t>
      </w:r>
    </w:p>
    <w:p>
      <w:pPr>
        <w:ind w:firstLine="0" w:firstLineChars="0"/>
        <w:rPr>
          <w:rFonts w:cs="宋体"/>
          <w:b/>
          <w:bCs/>
          <w:color w:val="auto"/>
          <w:szCs w:val="32"/>
          <w:highlight w:val="none"/>
        </w:rPr>
      </w:pPr>
      <w:r>
        <w:rPr>
          <w:rFonts w:hint="eastAsia" w:cs="宋体"/>
          <w:b/>
          <w:bCs/>
          <w:color w:val="auto"/>
          <w:szCs w:val="32"/>
          <w:highlight w:val="none"/>
        </w:rPr>
        <w:t>（三）商务技术文件：</w:t>
      </w:r>
    </w:p>
    <w:p>
      <w:pPr>
        <w:numPr>
          <w:ilvl w:val="0"/>
          <w:numId w:val="20"/>
        </w:numPr>
        <w:ind w:firstLine="480"/>
        <w:rPr>
          <w:rFonts w:cs="宋体"/>
          <w:color w:val="auto"/>
          <w:highlight w:val="none"/>
        </w:rPr>
      </w:pPr>
      <w:r>
        <w:rPr>
          <w:rFonts w:hint="eastAsia" w:cs="宋体"/>
          <w:color w:val="auto"/>
          <w:highlight w:val="none"/>
        </w:rPr>
        <w:t>法定代表人资格证明书和法定代表人授权委托书（投标人的代表若为非法定代表人的，必须提交法定代表人授权书；身份证复印件、授权委托人社保证明（近一年任意一个月的社保证明）；</w:t>
      </w:r>
    </w:p>
    <w:p>
      <w:pPr>
        <w:numPr>
          <w:ilvl w:val="0"/>
          <w:numId w:val="20"/>
        </w:numPr>
        <w:ind w:firstLine="480"/>
        <w:rPr>
          <w:rFonts w:cs="宋体"/>
          <w:color w:val="auto"/>
          <w:highlight w:val="none"/>
        </w:rPr>
      </w:pPr>
      <w:r>
        <w:rPr>
          <w:rFonts w:hint="eastAsia" w:cs="宋体"/>
          <w:color w:val="auto"/>
          <w:highlight w:val="none"/>
        </w:rPr>
        <w:t>投标声明书；</w:t>
      </w:r>
    </w:p>
    <w:p>
      <w:pPr>
        <w:numPr>
          <w:ilvl w:val="0"/>
          <w:numId w:val="20"/>
        </w:numPr>
        <w:ind w:firstLine="480"/>
        <w:rPr>
          <w:rFonts w:cs="宋体"/>
          <w:color w:val="auto"/>
          <w:highlight w:val="none"/>
        </w:rPr>
      </w:pPr>
      <w:r>
        <w:rPr>
          <w:rFonts w:hint="eastAsia" w:cs="宋体"/>
          <w:color w:val="auto"/>
          <w:highlight w:val="none"/>
        </w:rPr>
        <w:t>廉政承诺书；</w:t>
      </w:r>
    </w:p>
    <w:p>
      <w:pPr>
        <w:numPr>
          <w:ilvl w:val="0"/>
          <w:numId w:val="20"/>
        </w:numPr>
        <w:ind w:firstLine="480"/>
        <w:rPr>
          <w:rFonts w:cs="宋体"/>
          <w:color w:val="auto"/>
          <w:highlight w:val="none"/>
        </w:rPr>
      </w:pPr>
      <w:r>
        <w:rPr>
          <w:rFonts w:hint="eastAsia" w:cs="宋体"/>
          <w:color w:val="auto"/>
          <w:highlight w:val="none"/>
        </w:rPr>
        <w:t>提供有效的经营执照复印件并加盖公司公章；</w:t>
      </w:r>
    </w:p>
    <w:p>
      <w:pPr>
        <w:numPr>
          <w:ilvl w:val="0"/>
          <w:numId w:val="20"/>
        </w:numPr>
        <w:ind w:firstLine="480"/>
        <w:rPr>
          <w:rFonts w:cs="宋体"/>
          <w:color w:val="auto"/>
          <w:highlight w:val="none"/>
        </w:rPr>
      </w:pPr>
      <w:r>
        <w:rPr>
          <w:rFonts w:hint="eastAsia" w:cs="宋体"/>
          <w:color w:val="auto"/>
          <w:highlight w:val="none"/>
        </w:rPr>
        <w:t>投标人情况表，质量管理体系（如有）、环境管理体系（如有）、职业健康及安全管理体系（如有）等三体系认证证书；（如有）；</w:t>
      </w:r>
    </w:p>
    <w:p>
      <w:pPr>
        <w:numPr>
          <w:ilvl w:val="0"/>
          <w:numId w:val="20"/>
        </w:numPr>
        <w:ind w:firstLine="480"/>
        <w:rPr>
          <w:rFonts w:cs="宋体"/>
          <w:color w:val="auto"/>
          <w:highlight w:val="none"/>
        </w:rPr>
      </w:pPr>
      <w:r>
        <w:rPr>
          <w:rFonts w:hint="eastAsia" w:cs="宋体"/>
          <w:color w:val="auto"/>
          <w:highlight w:val="none"/>
        </w:rPr>
        <w:t>同类项目实施情况一览表：201</w:t>
      </w:r>
      <w:r>
        <w:rPr>
          <w:rFonts w:hint="eastAsia" w:cs="宋体"/>
          <w:color w:val="auto"/>
          <w:highlight w:val="none"/>
          <w:lang w:val="en-US" w:eastAsia="zh-CN"/>
        </w:rPr>
        <w:t>8</w:t>
      </w:r>
      <w:r>
        <w:rPr>
          <w:rFonts w:hint="eastAsia" w:cs="宋体"/>
          <w:color w:val="auto"/>
          <w:highlight w:val="none"/>
        </w:rPr>
        <w:t>年1</w:t>
      </w:r>
      <w:r>
        <w:rPr>
          <w:rFonts w:hint="eastAsia" w:cs="宋体"/>
          <w:color w:val="auto"/>
          <w:highlight w:val="none"/>
          <w:lang w:val="en-US" w:eastAsia="zh-CN"/>
        </w:rPr>
        <w:t>1</w:t>
      </w:r>
      <w:r>
        <w:rPr>
          <w:rFonts w:hint="eastAsia" w:cs="宋体"/>
          <w:color w:val="auto"/>
          <w:highlight w:val="none"/>
        </w:rPr>
        <w:t>月（以合同签订时间为准）至今实施的类似项目合同复印件（加盖公章），相关实施经验及成功案例介绍（要求提供有关情况，包括：项目名称、项目基本内容、业主名称、联系人及电话，项目金额、实施日期等）</w:t>
      </w:r>
    </w:p>
    <w:p>
      <w:pPr>
        <w:numPr>
          <w:ilvl w:val="0"/>
          <w:numId w:val="20"/>
        </w:numPr>
        <w:ind w:firstLine="480"/>
        <w:rPr>
          <w:rFonts w:cs="宋体"/>
          <w:color w:val="auto"/>
          <w:highlight w:val="none"/>
        </w:rPr>
      </w:pPr>
      <w:r>
        <w:rPr>
          <w:rFonts w:hint="eastAsia" w:cs="宋体"/>
          <w:color w:val="auto"/>
          <w:highlight w:val="none"/>
        </w:rPr>
        <w:t>技术规范偏离表；投标人在投标文件中，应对项目技术规范和服务要求中所提出各项要求进行逐条逐项的答复、说明和解释。首先对实现或满足程度明确作出“正偏离”、“负偏离”等应答，然后作出具体、详细的说明。回答“无偏离”应说明如何满足，同时明确满足的程度。若采用“详见”、“参见”方式说明的，应指明所指文档（应是投标文件的组成部分）的具体章节及页码。任何含糊不清的表示对评标结果的影响将是投标人的责任</w:t>
      </w:r>
    </w:p>
    <w:p>
      <w:pPr>
        <w:numPr>
          <w:ilvl w:val="0"/>
          <w:numId w:val="20"/>
        </w:numPr>
        <w:ind w:firstLine="480"/>
        <w:rPr>
          <w:rFonts w:hint="eastAsia" w:cs="宋体"/>
          <w:color w:val="auto"/>
          <w:highlight w:val="none"/>
        </w:rPr>
      </w:pPr>
      <w:r>
        <w:rPr>
          <w:rFonts w:hint="eastAsia" w:cs="宋体"/>
          <w:color w:val="auto"/>
          <w:highlight w:val="none"/>
        </w:rPr>
        <w:t>项目方案</w:t>
      </w:r>
    </w:p>
    <w:p>
      <w:pPr>
        <w:numPr>
          <w:ilvl w:val="0"/>
          <w:numId w:val="20"/>
        </w:numPr>
        <w:ind w:firstLine="480"/>
        <w:rPr>
          <w:rFonts w:hint="eastAsia" w:cs="宋体"/>
          <w:color w:val="auto"/>
          <w:highlight w:val="none"/>
        </w:rPr>
      </w:pPr>
      <w:r>
        <w:rPr>
          <w:rFonts w:hint="eastAsia" w:cs="宋体"/>
          <w:color w:val="auto"/>
          <w:highlight w:val="none"/>
        </w:rPr>
        <w:t xml:space="preserve">服务团队 </w:t>
      </w:r>
    </w:p>
    <w:p>
      <w:pPr>
        <w:numPr>
          <w:ilvl w:val="0"/>
          <w:numId w:val="20"/>
        </w:numPr>
        <w:ind w:firstLine="480"/>
        <w:rPr>
          <w:rFonts w:hint="eastAsia" w:cs="宋体"/>
          <w:color w:val="auto"/>
          <w:highlight w:val="none"/>
        </w:rPr>
      </w:pPr>
      <w:r>
        <w:rPr>
          <w:rFonts w:hint="eastAsia" w:cs="宋体"/>
          <w:color w:val="auto"/>
          <w:highlight w:val="none"/>
          <w:lang w:eastAsia="zh-CN"/>
        </w:rPr>
        <w:t>自建专家库</w:t>
      </w:r>
    </w:p>
    <w:p>
      <w:pPr>
        <w:numPr>
          <w:ilvl w:val="0"/>
          <w:numId w:val="20"/>
        </w:numPr>
        <w:ind w:firstLine="480"/>
        <w:rPr>
          <w:rFonts w:hint="eastAsia" w:cs="宋体"/>
          <w:color w:val="auto"/>
          <w:highlight w:val="none"/>
        </w:rPr>
      </w:pPr>
      <w:r>
        <w:rPr>
          <w:rFonts w:hint="eastAsia" w:cs="宋体"/>
          <w:color w:val="auto"/>
          <w:highlight w:val="none"/>
        </w:rPr>
        <w:t xml:space="preserve">维护计划 </w:t>
      </w:r>
    </w:p>
    <w:p>
      <w:pPr>
        <w:numPr>
          <w:ilvl w:val="0"/>
          <w:numId w:val="20"/>
        </w:numPr>
        <w:ind w:firstLine="480"/>
        <w:rPr>
          <w:rFonts w:hint="eastAsia" w:cs="宋体"/>
          <w:color w:val="auto"/>
          <w:highlight w:val="none"/>
        </w:rPr>
      </w:pPr>
      <w:r>
        <w:rPr>
          <w:rFonts w:hint="eastAsia" w:cs="宋体"/>
          <w:color w:val="auto"/>
          <w:highlight w:val="none"/>
        </w:rPr>
        <w:t>实施计划</w:t>
      </w:r>
    </w:p>
    <w:p>
      <w:pPr>
        <w:numPr>
          <w:ilvl w:val="0"/>
          <w:numId w:val="20"/>
        </w:numPr>
        <w:ind w:firstLine="480"/>
        <w:rPr>
          <w:rFonts w:hint="eastAsia" w:cs="宋体"/>
          <w:color w:val="auto"/>
          <w:highlight w:val="none"/>
        </w:rPr>
      </w:pPr>
      <w:r>
        <w:rPr>
          <w:rFonts w:hint="eastAsia" w:cs="宋体"/>
          <w:color w:val="auto"/>
          <w:highlight w:val="none"/>
        </w:rPr>
        <w:t>售后服务</w:t>
      </w:r>
    </w:p>
    <w:p>
      <w:pPr>
        <w:numPr>
          <w:ilvl w:val="0"/>
          <w:numId w:val="20"/>
        </w:numPr>
        <w:ind w:firstLine="480"/>
        <w:rPr>
          <w:rFonts w:hint="eastAsia" w:cs="宋体"/>
          <w:color w:val="auto"/>
          <w:highlight w:val="none"/>
        </w:rPr>
      </w:pPr>
      <w:r>
        <w:rPr>
          <w:rFonts w:hint="eastAsia" w:cs="宋体"/>
          <w:color w:val="auto"/>
          <w:highlight w:val="none"/>
        </w:rPr>
        <w:t>培训方案</w:t>
      </w:r>
    </w:p>
    <w:p>
      <w:pPr>
        <w:numPr>
          <w:ilvl w:val="0"/>
          <w:numId w:val="20"/>
        </w:numPr>
        <w:ind w:firstLine="480"/>
        <w:rPr>
          <w:rFonts w:hint="eastAsia" w:cs="宋体"/>
          <w:color w:val="auto"/>
          <w:highlight w:val="none"/>
        </w:rPr>
      </w:pPr>
      <w:r>
        <w:rPr>
          <w:rFonts w:hint="eastAsia" w:cs="宋体"/>
          <w:color w:val="auto"/>
          <w:highlight w:val="none"/>
        </w:rPr>
        <w:t>优惠承诺</w:t>
      </w:r>
    </w:p>
    <w:p>
      <w:pPr>
        <w:numPr>
          <w:ilvl w:val="0"/>
          <w:numId w:val="20"/>
        </w:numPr>
        <w:ind w:firstLine="480"/>
        <w:rPr>
          <w:rFonts w:hint="eastAsia" w:cs="宋体"/>
          <w:color w:val="auto"/>
          <w:highlight w:val="none"/>
        </w:rPr>
      </w:pPr>
      <w:r>
        <w:rPr>
          <w:rFonts w:hint="eastAsia" w:cs="宋体"/>
          <w:color w:val="auto"/>
          <w:highlight w:val="none"/>
        </w:rPr>
        <w:t>其它本磋商文件评分表要求提供的材料或响应供应商认为需要的其他技术文件资料或说明。</w:t>
      </w:r>
    </w:p>
    <w:p>
      <w:pPr>
        <w:pStyle w:val="48"/>
        <w:rPr>
          <w:color w:val="auto"/>
          <w:highlight w:val="none"/>
        </w:rPr>
      </w:pPr>
    </w:p>
    <w:p>
      <w:pPr>
        <w:pStyle w:val="5"/>
        <w:rPr>
          <w:rFonts w:cs="宋体"/>
          <w:color w:val="auto"/>
          <w:szCs w:val="24"/>
          <w:highlight w:val="none"/>
        </w:rPr>
      </w:pPr>
      <w:bookmarkStart w:id="110" w:name="_Toc22525"/>
      <w:r>
        <w:rPr>
          <w:rFonts w:hint="eastAsia" w:cs="宋体"/>
          <w:color w:val="auto"/>
          <w:szCs w:val="24"/>
          <w:highlight w:val="none"/>
        </w:rPr>
        <w:t>三、投标报价</w:t>
      </w:r>
      <w:bookmarkEnd w:id="110"/>
    </w:p>
    <w:p>
      <w:pPr>
        <w:numPr>
          <w:ilvl w:val="0"/>
          <w:numId w:val="21"/>
        </w:numPr>
        <w:ind w:firstLine="480"/>
        <w:rPr>
          <w:rFonts w:cs="宋体"/>
          <w:color w:val="auto"/>
          <w:highlight w:val="none"/>
        </w:rPr>
      </w:pPr>
      <w:r>
        <w:rPr>
          <w:rFonts w:hint="eastAsia" w:cs="宋体"/>
          <w:color w:val="auto"/>
          <w:highlight w:val="none"/>
        </w:rPr>
        <w:t>投标报价是指一次性报出不得更改的价格；</w:t>
      </w:r>
    </w:p>
    <w:p>
      <w:pPr>
        <w:numPr>
          <w:ilvl w:val="0"/>
          <w:numId w:val="21"/>
        </w:numPr>
        <w:ind w:firstLine="480"/>
        <w:rPr>
          <w:color w:val="auto"/>
          <w:spacing w:val="-6"/>
          <w:highlight w:val="none"/>
        </w:rPr>
      </w:pPr>
      <w:r>
        <w:rPr>
          <w:rFonts w:hint="eastAsia" w:cs="宋体"/>
          <w:color w:val="auto"/>
          <w:highlight w:val="none"/>
        </w:rPr>
        <w:t>投标报价</w:t>
      </w:r>
      <w:r>
        <w:rPr>
          <w:rFonts w:hint="eastAsia" w:ascii="宋体" w:hAnsi="宋体"/>
          <w:highlight w:val="none"/>
        </w:rPr>
        <w:t>应包括履行所有规定服务所产生的全部费用</w:t>
      </w:r>
    </w:p>
    <w:p>
      <w:pPr>
        <w:pStyle w:val="5"/>
        <w:rPr>
          <w:rFonts w:cs="宋体"/>
          <w:color w:val="auto"/>
          <w:szCs w:val="24"/>
          <w:highlight w:val="none"/>
        </w:rPr>
      </w:pPr>
      <w:bookmarkStart w:id="111" w:name="_Toc25476"/>
      <w:bookmarkStart w:id="112" w:name="_Toc12521"/>
      <w:bookmarkStart w:id="113" w:name="_Toc1"/>
      <w:r>
        <w:rPr>
          <w:rFonts w:hint="eastAsia" w:cs="宋体"/>
          <w:color w:val="auto"/>
          <w:szCs w:val="24"/>
          <w:highlight w:val="none"/>
        </w:rPr>
        <w:t>四、投标文件的有效期</w:t>
      </w:r>
      <w:bookmarkEnd w:id="111"/>
    </w:p>
    <w:p>
      <w:pPr>
        <w:numPr>
          <w:ilvl w:val="0"/>
          <w:numId w:val="22"/>
        </w:numPr>
        <w:ind w:firstLine="480"/>
        <w:rPr>
          <w:rFonts w:cs="宋体"/>
          <w:color w:val="auto"/>
          <w:highlight w:val="none"/>
        </w:rPr>
      </w:pPr>
      <w:r>
        <w:rPr>
          <w:rFonts w:hint="eastAsia" w:cs="宋体"/>
          <w:color w:val="auto"/>
          <w:highlight w:val="none"/>
        </w:rPr>
        <w:t>投标文件有效期按“供应商须知前附表”规定，投标文件应在该有效期内保持有效。合同签订后，投标文件作为合同附件，投标文件有效期同合同有效期。</w:t>
      </w:r>
    </w:p>
    <w:p>
      <w:pPr>
        <w:numPr>
          <w:ilvl w:val="0"/>
          <w:numId w:val="22"/>
        </w:numPr>
        <w:ind w:firstLine="480"/>
        <w:rPr>
          <w:rFonts w:cs="宋体"/>
          <w:color w:val="auto"/>
          <w:highlight w:val="none"/>
        </w:rPr>
      </w:pPr>
      <w:r>
        <w:rPr>
          <w:rFonts w:hint="eastAsia" w:cs="宋体"/>
          <w:color w:val="auto"/>
          <w:highlight w:val="none"/>
        </w:rPr>
        <w:t>在特殊情况下，采购人可与供应商协商延长投标文件有效期，这种要求和答复均应以书面形式进行。</w:t>
      </w:r>
    </w:p>
    <w:p>
      <w:pPr>
        <w:numPr>
          <w:ilvl w:val="0"/>
          <w:numId w:val="22"/>
        </w:numPr>
        <w:ind w:firstLine="480"/>
        <w:rPr>
          <w:rFonts w:cs="宋体"/>
          <w:color w:val="auto"/>
          <w:highlight w:val="none"/>
        </w:rPr>
      </w:pPr>
      <w:r>
        <w:rPr>
          <w:rFonts w:hint="eastAsia" w:cs="宋体"/>
          <w:color w:val="auto"/>
          <w:highlight w:val="none"/>
        </w:rPr>
        <w:t>同意延长有效期的供应商不能修改投标文件。</w:t>
      </w:r>
    </w:p>
    <w:p>
      <w:pPr>
        <w:ind w:firstLine="480"/>
        <w:rPr>
          <w:color w:val="auto"/>
          <w:highlight w:val="none"/>
        </w:rPr>
      </w:pPr>
    </w:p>
    <w:p>
      <w:pPr>
        <w:pStyle w:val="4"/>
        <w:jc w:val="center"/>
        <w:rPr>
          <w:color w:val="auto"/>
          <w:highlight w:val="none"/>
        </w:rPr>
      </w:pPr>
      <w:bookmarkStart w:id="114" w:name="_Toc7245"/>
      <w:bookmarkStart w:id="115" w:name="_Toc22584"/>
      <w:r>
        <w:rPr>
          <w:rFonts w:hint="eastAsia"/>
          <w:color w:val="auto"/>
          <w:highlight w:val="none"/>
        </w:rPr>
        <w:t>第四节 投标文件的递交</w:t>
      </w:r>
      <w:bookmarkEnd w:id="112"/>
      <w:bookmarkEnd w:id="113"/>
      <w:bookmarkEnd w:id="114"/>
      <w:bookmarkEnd w:id="115"/>
    </w:p>
    <w:p>
      <w:pPr>
        <w:pStyle w:val="5"/>
        <w:rPr>
          <w:color w:val="auto"/>
          <w:highlight w:val="none"/>
        </w:rPr>
      </w:pPr>
      <w:bookmarkStart w:id="116" w:name="_Toc8455"/>
      <w:bookmarkStart w:id="117" w:name="_Toc20835"/>
      <w:bookmarkStart w:id="118" w:name="_Toc27893"/>
      <w:r>
        <w:rPr>
          <w:rFonts w:hint="eastAsia"/>
          <w:color w:val="auto"/>
          <w:highlight w:val="none"/>
        </w:rPr>
        <w:t>一、投标文件的形式、上传和递交</w:t>
      </w:r>
      <w:bookmarkEnd w:id="116"/>
    </w:p>
    <w:p>
      <w:pPr>
        <w:ind w:firstLine="480"/>
        <w:rPr>
          <w:color w:val="auto"/>
          <w:highlight w:val="none"/>
        </w:rPr>
      </w:pPr>
      <w:r>
        <w:rPr>
          <w:rFonts w:hint="eastAsia"/>
          <w:color w:val="auto"/>
          <w:highlight w:val="none"/>
        </w:rPr>
        <w:t>详见供应商须知前附表。</w:t>
      </w:r>
    </w:p>
    <w:p>
      <w:pPr>
        <w:pStyle w:val="5"/>
        <w:rPr>
          <w:color w:val="auto"/>
          <w:highlight w:val="none"/>
        </w:rPr>
      </w:pPr>
      <w:bookmarkStart w:id="119" w:name="_Toc523"/>
      <w:r>
        <w:rPr>
          <w:rFonts w:hint="eastAsia"/>
          <w:color w:val="auto"/>
          <w:highlight w:val="none"/>
        </w:rPr>
        <w:t>二、投标文件的补充、修改或撤回</w:t>
      </w:r>
      <w:bookmarkEnd w:id="119"/>
    </w:p>
    <w:p>
      <w:pPr>
        <w:numPr>
          <w:ilvl w:val="0"/>
          <w:numId w:val="23"/>
        </w:numPr>
        <w:ind w:firstLine="480"/>
        <w:rPr>
          <w:rFonts w:cs="宋体"/>
          <w:color w:val="auto"/>
          <w:highlight w:val="none"/>
        </w:rPr>
      </w:pPr>
      <w:r>
        <w:rPr>
          <w:rFonts w:hint="eastAsia" w:cs="宋体"/>
          <w:color w:val="auto"/>
          <w:highlight w:val="none"/>
        </w:rPr>
        <w:t>在投标截止时间前，供应商均可撤回其已上传的电子加密投标文件，进行内容修改。修改后重新上传、递交。投标截止时间前未完成上传、递交的，视为撤回投标文件。投标截止时间后递交的电子加密投标文件，“浙江政府采购网”将予以拒收。</w:t>
      </w:r>
    </w:p>
    <w:p>
      <w:pPr>
        <w:numPr>
          <w:ilvl w:val="0"/>
          <w:numId w:val="23"/>
        </w:numPr>
        <w:ind w:firstLine="480"/>
        <w:rPr>
          <w:rFonts w:cs="宋体"/>
          <w:color w:val="auto"/>
          <w:highlight w:val="none"/>
        </w:rPr>
      </w:pPr>
      <w:r>
        <w:rPr>
          <w:rFonts w:hint="eastAsia" w:cs="宋体"/>
          <w:color w:val="auto"/>
          <w:highlight w:val="none"/>
        </w:rPr>
        <w:t>从投标截止期至供应商在投标函格式中确定的投标有效期期满这段时间内，供应商不得撤回其投标。</w:t>
      </w:r>
    </w:p>
    <w:p>
      <w:pPr>
        <w:pStyle w:val="4"/>
        <w:jc w:val="center"/>
        <w:rPr>
          <w:color w:val="auto"/>
          <w:highlight w:val="none"/>
        </w:rPr>
      </w:pPr>
      <w:bookmarkStart w:id="120" w:name="_Toc11276"/>
      <w:bookmarkStart w:id="121" w:name="_Toc23575"/>
      <w:r>
        <w:rPr>
          <w:rFonts w:hint="eastAsia"/>
          <w:color w:val="auto"/>
          <w:highlight w:val="none"/>
        </w:rPr>
        <w:t>第五节 开标</w:t>
      </w:r>
      <w:bookmarkEnd w:id="117"/>
      <w:bookmarkEnd w:id="118"/>
      <w:bookmarkEnd w:id="120"/>
      <w:bookmarkEnd w:id="121"/>
    </w:p>
    <w:p>
      <w:pPr>
        <w:pStyle w:val="5"/>
        <w:rPr>
          <w:color w:val="auto"/>
          <w:highlight w:val="none"/>
        </w:rPr>
      </w:pPr>
      <w:bookmarkStart w:id="122" w:name="_Toc13980"/>
      <w:bookmarkStart w:id="123" w:name="_Toc13357"/>
      <w:bookmarkStart w:id="124" w:name="_Toc13687"/>
      <w:r>
        <w:rPr>
          <w:rFonts w:hint="eastAsia"/>
          <w:color w:val="auto"/>
          <w:highlight w:val="none"/>
        </w:rPr>
        <w:t>一、开标流程</w:t>
      </w:r>
      <w:bookmarkEnd w:id="122"/>
    </w:p>
    <w:p>
      <w:pPr>
        <w:pStyle w:val="5"/>
        <w:rPr>
          <w:rFonts w:cs="宋体"/>
          <w:color w:val="auto"/>
          <w:szCs w:val="24"/>
          <w:highlight w:val="none"/>
        </w:rPr>
      </w:pPr>
      <w:bookmarkStart w:id="125" w:name="_Toc3392"/>
      <w:r>
        <w:rPr>
          <w:rFonts w:hint="eastAsia" w:cs="宋体"/>
          <w:color w:val="auto"/>
          <w:szCs w:val="24"/>
          <w:highlight w:val="none"/>
        </w:rPr>
        <w:t>（一）开标准备</w:t>
      </w:r>
      <w:bookmarkEnd w:id="125"/>
    </w:p>
    <w:p>
      <w:pPr>
        <w:ind w:firstLine="480"/>
        <w:rPr>
          <w:rFonts w:cs="宋体"/>
          <w:b/>
          <w:bCs/>
          <w:color w:val="auto"/>
          <w:highlight w:val="none"/>
        </w:rPr>
      </w:pPr>
      <w:r>
        <w:rPr>
          <w:rFonts w:hint="eastAsia"/>
          <w:color w:val="auto"/>
          <w:highlight w:val="none"/>
        </w:rPr>
        <w:t>采购代理机构将按照采购文件规定的时间通过浙江政府采购网组织开标、开启电子加密投标文件，所有供应商均应当准时在线参加。供应商如不参加开标大会的，视同认可开标结果，事后不得对采购相关人员、开标过程和开标结果提出异议，同时供应商因未在线参加开标而导致电子加密投标文件无法按时解密等一切后果由供应商自己承担。</w:t>
      </w:r>
    </w:p>
    <w:p>
      <w:pPr>
        <w:pStyle w:val="5"/>
        <w:rPr>
          <w:rFonts w:cs="宋体"/>
          <w:color w:val="auto"/>
          <w:szCs w:val="24"/>
          <w:highlight w:val="none"/>
        </w:rPr>
      </w:pPr>
      <w:bookmarkStart w:id="126" w:name="_Toc13872"/>
      <w:r>
        <w:rPr>
          <w:rFonts w:hint="eastAsia" w:cs="宋体"/>
          <w:color w:val="auto"/>
          <w:szCs w:val="24"/>
          <w:highlight w:val="none"/>
        </w:rPr>
        <w:t>（二）开标流程（两阶段）</w:t>
      </w:r>
      <w:bookmarkEnd w:id="126"/>
    </w:p>
    <w:p>
      <w:pPr>
        <w:numPr>
          <w:ilvl w:val="0"/>
          <w:numId w:val="24"/>
        </w:numPr>
        <w:ind w:firstLine="480"/>
        <w:rPr>
          <w:rFonts w:cs="宋体"/>
          <w:color w:val="auto"/>
          <w:highlight w:val="none"/>
        </w:rPr>
      </w:pPr>
      <w:r>
        <w:rPr>
          <w:rFonts w:hint="eastAsia" w:cs="宋体"/>
          <w:color w:val="auto"/>
          <w:highlight w:val="none"/>
        </w:rPr>
        <w:t>开标第一阶段</w:t>
      </w:r>
    </w:p>
    <w:p>
      <w:pPr>
        <w:numPr>
          <w:ilvl w:val="0"/>
          <w:numId w:val="25"/>
        </w:numPr>
        <w:ind w:firstLineChars="0"/>
        <w:rPr>
          <w:rFonts w:cs="宋体"/>
          <w:color w:val="auto"/>
          <w:highlight w:val="none"/>
        </w:rPr>
      </w:pPr>
      <w:r>
        <w:rPr>
          <w:rFonts w:hint="eastAsia" w:cs="宋体"/>
          <w:color w:val="auto"/>
          <w:highlight w:val="none"/>
        </w:rPr>
        <w:t>采购代理机构开始解密，供应商在规定的时间内自行进行电子加密投标文件解密。</w:t>
      </w:r>
    </w:p>
    <w:p>
      <w:pPr>
        <w:numPr>
          <w:ilvl w:val="0"/>
          <w:numId w:val="25"/>
        </w:numPr>
        <w:ind w:firstLineChars="0"/>
        <w:rPr>
          <w:rFonts w:cs="宋体"/>
          <w:color w:val="auto"/>
          <w:highlight w:val="none"/>
        </w:rPr>
      </w:pPr>
      <w:r>
        <w:rPr>
          <w:rFonts w:hint="eastAsia" w:cs="宋体"/>
          <w:color w:val="auto"/>
          <w:highlight w:val="none"/>
        </w:rPr>
        <w:t>解密时间为开标后30分钟内。</w:t>
      </w:r>
    </w:p>
    <w:p>
      <w:pPr>
        <w:numPr>
          <w:ilvl w:val="0"/>
          <w:numId w:val="25"/>
        </w:numPr>
        <w:ind w:firstLineChars="0"/>
        <w:rPr>
          <w:rFonts w:cs="宋体"/>
          <w:color w:val="auto"/>
          <w:highlight w:val="none"/>
        </w:rPr>
      </w:pPr>
      <w:r>
        <w:rPr>
          <w:rFonts w:hint="eastAsia" w:cs="宋体"/>
          <w:color w:val="auto"/>
          <w:highlight w:val="none"/>
        </w:rPr>
        <w:t>解密失败的异常处理：供应商在规定的时间内无法完成已递交的电子加密投标文件解密的，如已按规定递交了备份投标文件的，将由采购代理机构将备份投标文件上传至浙江政府采购网，上传成功后，原电子加密投标文件自动失效。</w:t>
      </w:r>
    </w:p>
    <w:p>
      <w:pPr>
        <w:numPr>
          <w:ilvl w:val="0"/>
          <w:numId w:val="25"/>
        </w:numPr>
        <w:ind w:firstLineChars="0"/>
        <w:rPr>
          <w:rFonts w:cs="宋体"/>
          <w:color w:val="auto"/>
          <w:highlight w:val="none"/>
        </w:rPr>
      </w:pPr>
      <w:r>
        <w:rPr>
          <w:rFonts w:hint="eastAsia" w:cs="宋体"/>
          <w:color w:val="auto"/>
          <w:highlight w:val="none"/>
        </w:rPr>
        <w:t>第一阶段开标结束。</w:t>
      </w:r>
    </w:p>
    <w:p>
      <w:pPr>
        <w:numPr>
          <w:ilvl w:val="0"/>
          <w:numId w:val="25"/>
        </w:numPr>
        <w:ind w:firstLineChars="0"/>
        <w:rPr>
          <w:rFonts w:cs="宋体"/>
          <w:color w:val="auto"/>
          <w:highlight w:val="none"/>
        </w:rPr>
      </w:pPr>
      <w:r>
        <w:rPr>
          <w:rFonts w:hint="eastAsia" w:cs="宋体"/>
          <w:color w:val="auto"/>
          <w:highlight w:val="none"/>
        </w:rPr>
        <w:t>转入资格文件和商务技术文件评审。</w:t>
      </w:r>
    </w:p>
    <w:p>
      <w:pPr>
        <w:numPr>
          <w:ilvl w:val="0"/>
          <w:numId w:val="24"/>
        </w:numPr>
        <w:ind w:firstLine="480"/>
        <w:rPr>
          <w:rFonts w:cs="宋体"/>
          <w:color w:val="auto"/>
          <w:highlight w:val="none"/>
        </w:rPr>
      </w:pPr>
      <w:r>
        <w:rPr>
          <w:rFonts w:hint="eastAsia" w:cs="宋体"/>
          <w:color w:val="auto"/>
          <w:highlight w:val="none"/>
        </w:rPr>
        <w:t>开标第二阶段</w:t>
      </w:r>
    </w:p>
    <w:p>
      <w:pPr>
        <w:numPr>
          <w:ilvl w:val="0"/>
          <w:numId w:val="26"/>
        </w:numPr>
        <w:ind w:firstLineChars="0"/>
        <w:rPr>
          <w:rFonts w:cs="宋体"/>
          <w:color w:val="auto"/>
          <w:highlight w:val="none"/>
        </w:rPr>
      </w:pPr>
      <w:r>
        <w:rPr>
          <w:rFonts w:hint="eastAsia" w:cs="宋体"/>
          <w:color w:val="auto"/>
          <w:highlight w:val="none"/>
        </w:rPr>
        <w:t>资格文件和商务技术文件评审结束后，进入开标大会第二阶段。公布无效供应商名称及理由，同时公布有效供应商的商务技术部分得分情况。</w:t>
      </w:r>
    </w:p>
    <w:p>
      <w:pPr>
        <w:numPr>
          <w:ilvl w:val="0"/>
          <w:numId w:val="26"/>
        </w:numPr>
        <w:ind w:firstLineChars="0"/>
        <w:rPr>
          <w:rFonts w:cs="宋体"/>
          <w:color w:val="auto"/>
          <w:highlight w:val="none"/>
        </w:rPr>
      </w:pPr>
      <w:r>
        <w:rPr>
          <w:rFonts w:hint="eastAsia" w:cs="宋体"/>
          <w:color w:val="auto"/>
          <w:highlight w:val="none"/>
        </w:rPr>
        <w:t>开启有效供应商的报价文件，公布开标一览表有关内容。开标结束后，由评标委员会对报价的合理性、准确性等进行审查核实。</w:t>
      </w:r>
    </w:p>
    <w:p>
      <w:pPr>
        <w:pStyle w:val="5"/>
        <w:rPr>
          <w:color w:val="auto"/>
          <w:highlight w:val="none"/>
        </w:rPr>
      </w:pPr>
      <w:bookmarkStart w:id="127" w:name="_Toc22139"/>
      <w:r>
        <w:rPr>
          <w:rFonts w:hint="eastAsia"/>
          <w:color w:val="auto"/>
          <w:highlight w:val="none"/>
        </w:rPr>
        <w:t>（三）投标文件初步评审</w:t>
      </w:r>
      <w:bookmarkEnd w:id="127"/>
    </w:p>
    <w:p>
      <w:pPr>
        <w:numPr>
          <w:ilvl w:val="0"/>
          <w:numId w:val="27"/>
        </w:numPr>
        <w:ind w:firstLine="480"/>
        <w:rPr>
          <w:rFonts w:cs="宋体"/>
          <w:color w:val="auto"/>
          <w:highlight w:val="none"/>
        </w:rPr>
      </w:pPr>
      <w:r>
        <w:rPr>
          <w:rFonts w:hint="eastAsia" w:cs="宋体"/>
          <w:color w:val="auto"/>
          <w:highlight w:val="none"/>
        </w:rPr>
        <w:t>采购代理机构或评审专家将首先审查各供应商的资格条件是否满足采购文件的要求。</w:t>
      </w:r>
    </w:p>
    <w:p>
      <w:pPr>
        <w:numPr>
          <w:ilvl w:val="0"/>
          <w:numId w:val="27"/>
        </w:numPr>
        <w:ind w:firstLine="480"/>
        <w:rPr>
          <w:rFonts w:cs="宋体"/>
          <w:color w:val="auto"/>
          <w:highlight w:val="none"/>
        </w:rPr>
      </w:pPr>
      <w:r>
        <w:rPr>
          <w:rFonts w:hint="eastAsia" w:cs="宋体"/>
          <w:color w:val="auto"/>
          <w:highlight w:val="none"/>
        </w:rPr>
        <w:t>评标委员会将首先审查每份投标文件是否实质上响应了采购文件的要求，实质性响应的投标文件是指投标文件符合采购文件规定的实质性内容、条件和规定。</w:t>
      </w:r>
    </w:p>
    <w:p>
      <w:pPr>
        <w:numPr>
          <w:ilvl w:val="0"/>
          <w:numId w:val="27"/>
        </w:numPr>
        <w:ind w:firstLine="480"/>
        <w:rPr>
          <w:rFonts w:cs="宋体"/>
          <w:color w:val="auto"/>
          <w:highlight w:val="none"/>
        </w:rPr>
      </w:pPr>
      <w:r>
        <w:rPr>
          <w:rFonts w:hint="eastAsia" w:cs="宋体"/>
          <w:color w:val="auto"/>
          <w:highlight w:val="none"/>
        </w:rPr>
        <w:t>重大偏离或保留是指将会影响到采购文件规定的服务范围、质量标准，或会给合同中规定的采购人的权利和供应商的责任造成实质性限制，而纠正这些偏离或保留将对其他提交了实质性响应的投标文件的供应商产生不公平影响的。</w:t>
      </w:r>
    </w:p>
    <w:p>
      <w:pPr>
        <w:numPr>
          <w:ilvl w:val="0"/>
          <w:numId w:val="27"/>
        </w:numPr>
        <w:ind w:firstLine="480"/>
        <w:rPr>
          <w:rFonts w:cs="宋体"/>
          <w:color w:val="auto"/>
          <w:highlight w:val="none"/>
        </w:rPr>
      </w:pPr>
      <w:r>
        <w:rPr>
          <w:rFonts w:hint="eastAsia" w:cs="宋体"/>
          <w:color w:val="auto"/>
          <w:highlight w:val="none"/>
        </w:rPr>
        <w:t>细微偏离是指投标文件对采购文件的非实质性内容存在不完全响应或不响应。</w:t>
      </w:r>
    </w:p>
    <w:p>
      <w:pPr>
        <w:numPr>
          <w:ilvl w:val="0"/>
          <w:numId w:val="27"/>
        </w:numPr>
        <w:ind w:firstLine="480"/>
        <w:rPr>
          <w:rFonts w:cs="宋体"/>
          <w:color w:val="auto"/>
          <w:highlight w:val="none"/>
        </w:rPr>
      </w:pPr>
      <w:r>
        <w:rPr>
          <w:rFonts w:hint="eastAsia" w:cs="宋体"/>
          <w:color w:val="auto"/>
          <w:highlight w:val="none"/>
        </w:rPr>
        <w:t>重大偏离和保留、细微偏离由评标委员会界定。初步评审时如发现投标文件与采购文件要求有重大偏离和保留，其投标文件将被作无效标处理。供应商不得通过修正或撤消不符合采购文件要求的重大偏离和保留从而使其投标文件实质性响应采购文件要求。但允许投标文件在实质性满足采购文件要求的前提下出现的细微偏差，在详细评审时可按评标办法对细微偏差做出不利于该供应商的评审。</w:t>
      </w:r>
    </w:p>
    <w:p>
      <w:pPr>
        <w:numPr>
          <w:ilvl w:val="0"/>
          <w:numId w:val="27"/>
        </w:numPr>
        <w:ind w:firstLine="480"/>
        <w:rPr>
          <w:rFonts w:cs="宋体"/>
          <w:color w:val="auto"/>
          <w:highlight w:val="none"/>
        </w:rPr>
      </w:pPr>
      <w:r>
        <w:rPr>
          <w:rFonts w:hint="eastAsia" w:cs="宋体"/>
          <w:color w:val="auto"/>
          <w:highlight w:val="none"/>
        </w:rPr>
        <w:t>初步评审工作内容</w:t>
      </w:r>
    </w:p>
    <w:p>
      <w:pPr>
        <w:numPr>
          <w:ilvl w:val="0"/>
          <w:numId w:val="28"/>
        </w:numPr>
        <w:ind w:firstLineChars="0"/>
        <w:rPr>
          <w:rFonts w:cs="宋体"/>
          <w:color w:val="auto"/>
          <w:highlight w:val="none"/>
        </w:rPr>
      </w:pPr>
      <w:r>
        <w:rPr>
          <w:rFonts w:hint="eastAsia" w:cs="宋体"/>
          <w:color w:val="auto"/>
          <w:highlight w:val="none"/>
        </w:rPr>
        <w:t>资格性检查</w:t>
      </w:r>
    </w:p>
    <w:p>
      <w:pPr>
        <w:ind w:firstLine="480"/>
        <w:rPr>
          <w:rFonts w:cs="宋体"/>
          <w:color w:val="auto"/>
          <w:highlight w:val="none"/>
        </w:rPr>
      </w:pPr>
      <w:r>
        <w:rPr>
          <w:rFonts w:hint="eastAsia" w:cs="宋体"/>
          <w:color w:val="auto"/>
          <w:highlight w:val="none"/>
        </w:rPr>
        <w:t>依据法律法规及采购文件的规定，对投标文件中的提供的资格证明材料进行审查，以确定供应商是否具备投标资格。</w:t>
      </w:r>
    </w:p>
    <w:p>
      <w:pPr>
        <w:numPr>
          <w:ilvl w:val="0"/>
          <w:numId w:val="28"/>
        </w:numPr>
        <w:tabs>
          <w:tab w:val="left" w:pos="840"/>
          <w:tab w:val="clear" w:pos="420"/>
        </w:tabs>
        <w:ind w:firstLineChars="0"/>
        <w:rPr>
          <w:rFonts w:cs="宋体"/>
          <w:color w:val="auto"/>
          <w:highlight w:val="none"/>
        </w:rPr>
      </w:pPr>
      <w:r>
        <w:rPr>
          <w:rFonts w:hint="eastAsia" w:cs="宋体"/>
          <w:color w:val="auto"/>
          <w:highlight w:val="none"/>
        </w:rPr>
        <w:t>符合性检查</w:t>
      </w:r>
    </w:p>
    <w:p>
      <w:pPr>
        <w:ind w:firstLine="480"/>
        <w:rPr>
          <w:rFonts w:cs="宋体"/>
          <w:color w:val="auto"/>
          <w:highlight w:val="none"/>
        </w:rPr>
      </w:pPr>
      <w:r>
        <w:rPr>
          <w:rFonts w:hint="eastAsia" w:cs="宋体"/>
          <w:color w:val="auto"/>
          <w:highlight w:val="none"/>
        </w:rPr>
        <w:t>依据采购文件的规定，从投标文件的有效性、完整性和对采购文件的响应程度进行审查，以确定是否对采购文件的实质性要求作出响应。</w:t>
      </w:r>
    </w:p>
    <w:p>
      <w:pPr>
        <w:numPr>
          <w:ilvl w:val="0"/>
          <w:numId w:val="27"/>
        </w:numPr>
        <w:ind w:firstLine="480"/>
        <w:rPr>
          <w:rFonts w:cs="宋体"/>
          <w:color w:val="auto"/>
          <w:highlight w:val="none"/>
        </w:rPr>
      </w:pPr>
      <w:r>
        <w:rPr>
          <w:rFonts w:hint="eastAsia" w:cs="宋体"/>
          <w:color w:val="auto"/>
          <w:highlight w:val="none"/>
        </w:rPr>
        <w:t>评标委员会对投标文件的判定，只依据投标文件内容本身和按采购文件规定提交资料，不依靠开标后的任何外来证明。如供应商提交的资质证明或其他内容不齐全，由此造成的后果由供应商自己负责。</w:t>
      </w:r>
    </w:p>
    <w:p>
      <w:pPr>
        <w:pStyle w:val="5"/>
        <w:rPr>
          <w:rFonts w:cs="宋体"/>
          <w:color w:val="auto"/>
          <w:szCs w:val="24"/>
          <w:highlight w:val="none"/>
        </w:rPr>
      </w:pPr>
      <w:bookmarkStart w:id="128" w:name="_Toc32572"/>
      <w:r>
        <w:rPr>
          <w:rFonts w:hint="eastAsia" w:cs="宋体"/>
          <w:color w:val="auto"/>
          <w:szCs w:val="24"/>
          <w:highlight w:val="none"/>
        </w:rPr>
        <w:t>二、投标文件鉴定</w:t>
      </w:r>
      <w:bookmarkEnd w:id="128"/>
    </w:p>
    <w:p>
      <w:pPr>
        <w:numPr>
          <w:ilvl w:val="0"/>
          <w:numId w:val="29"/>
        </w:numPr>
        <w:ind w:firstLine="480"/>
        <w:rPr>
          <w:rFonts w:cs="宋体"/>
          <w:color w:val="auto"/>
          <w:highlight w:val="none"/>
        </w:rPr>
      </w:pPr>
      <w:r>
        <w:rPr>
          <w:rFonts w:hint="eastAsia" w:cs="宋体"/>
          <w:color w:val="auto"/>
          <w:highlight w:val="none"/>
        </w:rPr>
        <w:t>开标时，采购代理机构将对投标文件进行初步审查，检查投标书内容是否完整、编排是否有序、文件签署是否规范以及投标人资格是否符合要求等。如投标文件被确认为无效，采购代理机构将及时通知该投标人。</w:t>
      </w:r>
    </w:p>
    <w:p>
      <w:pPr>
        <w:numPr>
          <w:ilvl w:val="0"/>
          <w:numId w:val="29"/>
        </w:numPr>
        <w:ind w:firstLine="480"/>
        <w:rPr>
          <w:rFonts w:cs="宋体"/>
          <w:color w:val="auto"/>
          <w:highlight w:val="none"/>
        </w:rPr>
      </w:pPr>
      <w:r>
        <w:rPr>
          <w:rFonts w:hint="eastAsia" w:cs="宋体"/>
          <w:color w:val="auto"/>
          <w:highlight w:val="none"/>
        </w:rPr>
        <w:t>如果投标文件实质上不响应招标文件的要求，采购代理机构及评标委员会将予以拒绝，并且不允许通过修正或撤消不符合要求的差异或保留，使之成为具有响应性的投标。</w:t>
      </w:r>
    </w:p>
    <w:p>
      <w:pPr>
        <w:numPr>
          <w:ilvl w:val="0"/>
          <w:numId w:val="29"/>
        </w:numPr>
        <w:ind w:firstLine="480"/>
        <w:rPr>
          <w:rFonts w:cs="宋体"/>
          <w:color w:val="auto"/>
          <w:highlight w:val="none"/>
        </w:rPr>
      </w:pPr>
      <w:r>
        <w:rPr>
          <w:rFonts w:hint="eastAsia" w:cs="宋体"/>
          <w:color w:val="auto"/>
          <w:highlight w:val="none"/>
        </w:rPr>
        <w:t>经开标后递交至评标委员会的投标文件，仍需接受相关符合性的检查，并有可能在评标过程中被判断为无效。</w:t>
      </w:r>
    </w:p>
    <w:p>
      <w:pPr>
        <w:ind w:firstLine="480"/>
        <w:rPr>
          <w:color w:val="auto"/>
          <w:highlight w:val="none"/>
        </w:rPr>
      </w:pPr>
    </w:p>
    <w:p>
      <w:pPr>
        <w:pStyle w:val="4"/>
        <w:jc w:val="center"/>
        <w:rPr>
          <w:color w:val="auto"/>
          <w:highlight w:val="none"/>
        </w:rPr>
      </w:pPr>
      <w:bookmarkStart w:id="129" w:name="_Toc5955"/>
      <w:bookmarkStart w:id="130" w:name="_Toc21559"/>
      <w:r>
        <w:rPr>
          <w:rFonts w:hint="eastAsia"/>
          <w:color w:val="auto"/>
          <w:highlight w:val="none"/>
        </w:rPr>
        <w:t>第六节 评标</w:t>
      </w:r>
      <w:bookmarkEnd w:id="123"/>
      <w:bookmarkEnd w:id="124"/>
      <w:bookmarkEnd w:id="129"/>
      <w:bookmarkEnd w:id="130"/>
    </w:p>
    <w:p>
      <w:pPr>
        <w:pStyle w:val="5"/>
        <w:rPr>
          <w:color w:val="auto"/>
          <w:highlight w:val="none"/>
        </w:rPr>
      </w:pPr>
      <w:bookmarkStart w:id="131" w:name="_Toc19136"/>
      <w:r>
        <w:rPr>
          <w:rFonts w:hint="eastAsia"/>
          <w:color w:val="auto"/>
          <w:highlight w:val="none"/>
        </w:rPr>
        <w:t>一、组建评标委员会</w:t>
      </w:r>
      <w:bookmarkEnd w:id="131"/>
    </w:p>
    <w:p>
      <w:pPr>
        <w:ind w:firstLine="480"/>
        <w:rPr>
          <w:color w:val="auto"/>
          <w:highlight w:val="none"/>
        </w:rPr>
      </w:pPr>
      <w:r>
        <w:rPr>
          <w:rFonts w:hint="eastAsia"/>
          <w:color w:val="auto"/>
          <w:highlight w:val="none"/>
        </w:rPr>
        <w:t>采购代理机构依法组建由5人及以上奇数的人员组成的评标委员会，负责对投标文件进行审查、质询、评审和比较等。评标委员会由采购人代表和政府采购咨询专家组成，其中政府采购咨询专家人数不少于成员总数的三分之二。评标委员会成员名单在招标结果确定之前依法保密。</w:t>
      </w:r>
    </w:p>
    <w:p>
      <w:pPr>
        <w:pStyle w:val="5"/>
        <w:rPr>
          <w:rFonts w:cs="宋体"/>
          <w:color w:val="auto"/>
          <w:szCs w:val="24"/>
          <w:highlight w:val="none"/>
        </w:rPr>
      </w:pPr>
      <w:bookmarkStart w:id="132" w:name="_Toc26177"/>
      <w:r>
        <w:rPr>
          <w:rFonts w:hint="eastAsia" w:cs="宋体"/>
          <w:color w:val="auto"/>
          <w:szCs w:val="24"/>
          <w:highlight w:val="none"/>
        </w:rPr>
        <w:t>二、评标的方式</w:t>
      </w:r>
      <w:bookmarkEnd w:id="132"/>
    </w:p>
    <w:p>
      <w:pPr>
        <w:ind w:firstLine="480"/>
        <w:rPr>
          <w:rFonts w:cs="宋体"/>
          <w:color w:val="auto"/>
          <w:highlight w:val="none"/>
        </w:rPr>
      </w:pPr>
      <w:r>
        <w:rPr>
          <w:rFonts w:hint="eastAsia" w:cs="宋体"/>
          <w:color w:val="auto"/>
          <w:highlight w:val="none"/>
        </w:rPr>
        <w:t>本项目采用不公开方式评标，评标的依据为招标文件和投标文件。不考虑投标人在开标后提交的任何的补充声明、修正方案。</w:t>
      </w:r>
    </w:p>
    <w:p>
      <w:pPr>
        <w:pStyle w:val="5"/>
        <w:rPr>
          <w:rFonts w:cs="宋体"/>
          <w:color w:val="auto"/>
          <w:szCs w:val="24"/>
          <w:highlight w:val="none"/>
        </w:rPr>
      </w:pPr>
      <w:bookmarkStart w:id="133" w:name="_Toc14276"/>
      <w:r>
        <w:rPr>
          <w:rFonts w:hint="eastAsia" w:cs="宋体"/>
          <w:color w:val="auto"/>
          <w:szCs w:val="24"/>
          <w:highlight w:val="none"/>
        </w:rPr>
        <w:t>三、评标原则</w:t>
      </w:r>
      <w:bookmarkEnd w:id="133"/>
    </w:p>
    <w:p>
      <w:pPr>
        <w:ind w:firstLine="480"/>
        <w:rPr>
          <w:rFonts w:cs="宋体"/>
          <w:color w:val="auto"/>
          <w:highlight w:val="none"/>
        </w:rPr>
      </w:pPr>
      <w:r>
        <w:rPr>
          <w:rFonts w:hint="eastAsia" w:cs="宋体"/>
          <w:color w:val="auto"/>
          <w:highlight w:val="none"/>
        </w:rPr>
        <w:t>评标严格按照招标文件的要求和条件，只依据投标内容本身，不依靠开标后的任何外来证明。以公开、公正、公平、效益的原则进行；比较报价，同时考虑以下因素；</w:t>
      </w:r>
    </w:p>
    <w:p>
      <w:pPr>
        <w:numPr>
          <w:ilvl w:val="0"/>
          <w:numId w:val="30"/>
        </w:numPr>
        <w:ind w:firstLine="480"/>
        <w:rPr>
          <w:rFonts w:cs="宋体"/>
          <w:color w:val="auto"/>
          <w:highlight w:val="none"/>
        </w:rPr>
      </w:pPr>
      <w:r>
        <w:rPr>
          <w:rFonts w:hint="eastAsia" w:cs="宋体"/>
          <w:color w:val="auto"/>
          <w:highlight w:val="none"/>
        </w:rPr>
        <w:t>价格合理，方案、产品先进、可靠。</w:t>
      </w:r>
    </w:p>
    <w:p>
      <w:pPr>
        <w:numPr>
          <w:ilvl w:val="0"/>
          <w:numId w:val="30"/>
        </w:numPr>
        <w:ind w:firstLine="480"/>
        <w:rPr>
          <w:rFonts w:cs="宋体"/>
          <w:color w:val="auto"/>
          <w:highlight w:val="none"/>
        </w:rPr>
      </w:pPr>
      <w:r>
        <w:rPr>
          <w:rFonts w:hint="eastAsia" w:cs="宋体"/>
          <w:color w:val="auto"/>
          <w:highlight w:val="none"/>
        </w:rPr>
        <w:t>经营信誉。</w:t>
      </w:r>
    </w:p>
    <w:p>
      <w:pPr>
        <w:numPr>
          <w:ilvl w:val="0"/>
          <w:numId w:val="30"/>
        </w:numPr>
        <w:ind w:firstLine="480"/>
        <w:rPr>
          <w:rFonts w:cs="宋体"/>
          <w:color w:val="auto"/>
          <w:highlight w:val="none"/>
        </w:rPr>
      </w:pPr>
      <w:r>
        <w:rPr>
          <w:rFonts w:hint="eastAsia" w:cs="宋体"/>
          <w:color w:val="auto"/>
          <w:highlight w:val="none"/>
        </w:rPr>
        <w:t>反对不正当竞争。</w:t>
      </w:r>
    </w:p>
    <w:p>
      <w:pPr>
        <w:pStyle w:val="5"/>
        <w:rPr>
          <w:rFonts w:cs="宋体"/>
          <w:color w:val="auto"/>
          <w:szCs w:val="24"/>
          <w:highlight w:val="none"/>
        </w:rPr>
      </w:pPr>
      <w:bookmarkStart w:id="134" w:name="_Toc17753"/>
      <w:r>
        <w:rPr>
          <w:rFonts w:hint="eastAsia" w:cs="宋体"/>
          <w:color w:val="auto"/>
          <w:szCs w:val="24"/>
          <w:highlight w:val="none"/>
        </w:rPr>
        <w:t>四、评标程序</w:t>
      </w:r>
      <w:bookmarkEnd w:id="134"/>
    </w:p>
    <w:p>
      <w:pPr>
        <w:ind w:firstLine="480"/>
        <w:rPr>
          <w:rFonts w:cs="宋体"/>
          <w:color w:val="auto"/>
          <w:highlight w:val="none"/>
        </w:rPr>
      </w:pPr>
      <w:r>
        <w:rPr>
          <w:rFonts w:hint="eastAsia" w:cs="宋体"/>
          <w:color w:val="auto"/>
          <w:highlight w:val="none"/>
        </w:rPr>
        <w:t>采购代理机构按照招标文件规定的时间、地点及程序组织评审。评审活动一般应按以下程序组织开展：</w:t>
      </w:r>
    </w:p>
    <w:p>
      <w:pPr>
        <w:numPr>
          <w:ilvl w:val="0"/>
          <w:numId w:val="31"/>
        </w:numPr>
        <w:ind w:firstLine="480"/>
        <w:rPr>
          <w:rFonts w:cs="宋体"/>
          <w:color w:val="auto"/>
          <w:highlight w:val="none"/>
        </w:rPr>
      </w:pPr>
      <w:r>
        <w:rPr>
          <w:rFonts w:hint="eastAsia" w:cs="宋体"/>
          <w:color w:val="auto"/>
          <w:highlight w:val="none"/>
        </w:rPr>
        <w:t>开启评审场地的录音录像采集设备，并确保其正常运行。</w:t>
      </w:r>
    </w:p>
    <w:p>
      <w:pPr>
        <w:numPr>
          <w:ilvl w:val="0"/>
          <w:numId w:val="31"/>
        </w:numPr>
        <w:ind w:firstLine="480"/>
        <w:rPr>
          <w:rFonts w:cs="宋体"/>
          <w:color w:val="auto"/>
          <w:highlight w:val="none"/>
        </w:rPr>
      </w:pPr>
      <w:r>
        <w:rPr>
          <w:rFonts w:hint="eastAsia" w:cs="宋体"/>
          <w:color w:val="auto"/>
          <w:highlight w:val="none"/>
        </w:rPr>
        <w:t>核验出席评审活动现场的评标委员会各成员身份，并要求其分别登记、签到，按规定统一收缴、保存其通讯工具，无关人员一律拒绝其进入评审现场。</w:t>
      </w:r>
    </w:p>
    <w:p>
      <w:pPr>
        <w:numPr>
          <w:ilvl w:val="0"/>
          <w:numId w:val="31"/>
        </w:numPr>
        <w:ind w:firstLine="480"/>
        <w:rPr>
          <w:rFonts w:cs="宋体"/>
          <w:color w:val="auto"/>
          <w:highlight w:val="none"/>
        </w:rPr>
      </w:pPr>
      <w:r>
        <w:rPr>
          <w:rFonts w:hint="eastAsia" w:cs="宋体"/>
          <w:color w:val="auto"/>
          <w:highlight w:val="none"/>
        </w:rPr>
        <w:t>介绍评审现场的人员情况，宣布评审工作纪律，告知评标委员会应当回避情形；组织推选评标委员会组长。</w:t>
      </w:r>
    </w:p>
    <w:p>
      <w:pPr>
        <w:numPr>
          <w:ilvl w:val="0"/>
          <w:numId w:val="31"/>
        </w:numPr>
        <w:ind w:firstLine="480"/>
        <w:rPr>
          <w:rFonts w:cs="宋体"/>
          <w:color w:val="auto"/>
          <w:highlight w:val="none"/>
        </w:rPr>
      </w:pPr>
      <w:r>
        <w:rPr>
          <w:rFonts w:hint="eastAsia" w:cs="宋体"/>
          <w:color w:val="auto"/>
          <w:highlight w:val="none"/>
        </w:rPr>
        <w:t>通报报名参加本项目的投标人名单及资格预审情况（如有），宣读最终提交投标文件且通过资格审查的投标人名单，组织评标委员会各位成员签订《政府采购评审人员廉洁自律承诺书》。</w:t>
      </w:r>
    </w:p>
    <w:p>
      <w:pPr>
        <w:numPr>
          <w:ilvl w:val="0"/>
          <w:numId w:val="31"/>
        </w:numPr>
        <w:ind w:firstLine="480"/>
        <w:rPr>
          <w:rFonts w:cs="宋体"/>
          <w:color w:val="auto"/>
          <w:highlight w:val="none"/>
        </w:rPr>
      </w:pPr>
      <w:r>
        <w:rPr>
          <w:rFonts w:hint="eastAsia" w:cs="宋体"/>
          <w:color w:val="auto"/>
          <w:highlight w:val="none"/>
        </w:rPr>
        <w:t>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标委员会提出的有关招标文件、投标文件的问题进行必要的说明、解释或讨论。</w:t>
      </w:r>
    </w:p>
    <w:p>
      <w:pPr>
        <w:numPr>
          <w:ilvl w:val="0"/>
          <w:numId w:val="31"/>
        </w:numPr>
        <w:ind w:firstLine="480"/>
        <w:rPr>
          <w:rFonts w:cs="宋体"/>
          <w:color w:val="auto"/>
          <w:highlight w:val="none"/>
        </w:rPr>
      </w:pPr>
      <w:r>
        <w:rPr>
          <w:rFonts w:hint="eastAsia" w:cs="宋体"/>
          <w:color w:val="auto"/>
          <w:highlight w:val="none"/>
        </w:rPr>
        <w:t>评标委员会组长组织评标委员会独立评审。评标委员会依据招标文件的规定，从投标文件的有效性、完整性和对招标文件的响应程度进行审查，以确定是否对招标文件的实质性要求作出响应。评标委员会对拟认定为投标文件无效的，应组织相关供应商代表进行陈述、澄清或申辩；采购代理机构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评审人员的评审、修改记录应保留原件，随项目其他资料一并存档。</w:t>
      </w:r>
    </w:p>
    <w:p>
      <w:pPr>
        <w:numPr>
          <w:ilvl w:val="0"/>
          <w:numId w:val="31"/>
        </w:numPr>
        <w:ind w:firstLine="480"/>
        <w:rPr>
          <w:rFonts w:cs="宋体"/>
          <w:color w:val="auto"/>
          <w:highlight w:val="none"/>
        </w:rPr>
      </w:pPr>
      <w:r>
        <w:rPr>
          <w:rFonts w:hint="eastAsia" w:cs="宋体"/>
          <w:color w:val="auto"/>
          <w:highlight w:val="none"/>
        </w:rPr>
        <w:t>做好评审现场相关记录，协助评标委员会组长做好评审报告起草、有关内容电脑文字录入等工作，并要求评标委员会各成员签字确认。</w:t>
      </w:r>
    </w:p>
    <w:p>
      <w:pPr>
        <w:numPr>
          <w:ilvl w:val="0"/>
          <w:numId w:val="31"/>
        </w:numPr>
        <w:ind w:firstLine="480"/>
        <w:rPr>
          <w:rFonts w:cs="宋体"/>
          <w:color w:val="auto"/>
          <w:highlight w:val="none"/>
        </w:rPr>
      </w:pPr>
      <w:r>
        <w:rPr>
          <w:rFonts w:hint="eastAsia" w:cs="宋体"/>
          <w:color w:val="auto"/>
          <w:highlight w:val="none"/>
        </w:rPr>
        <w:t>评审结束后，采购代理机构交还评审人员及其他现场相关人员的通讯工具。</w:t>
      </w:r>
    </w:p>
    <w:p>
      <w:pPr>
        <w:pStyle w:val="5"/>
        <w:rPr>
          <w:rFonts w:cs="宋体"/>
          <w:color w:val="auto"/>
          <w:szCs w:val="24"/>
          <w:highlight w:val="none"/>
        </w:rPr>
      </w:pPr>
      <w:bookmarkStart w:id="135" w:name="_Toc2991"/>
      <w:r>
        <w:rPr>
          <w:rFonts w:hint="eastAsia" w:cs="宋体"/>
          <w:color w:val="auto"/>
          <w:szCs w:val="24"/>
          <w:highlight w:val="none"/>
        </w:rPr>
        <w:t>五、投标文件的澄清</w:t>
      </w:r>
      <w:bookmarkEnd w:id="135"/>
    </w:p>
    <w:p>
      <w:pPr>
        <w:numPr>
          <w:ilvl w:val="0"/>
          <w:numId w:val="32"/>
        </w:numPr>
        <w:ind w:firstLine="480"/>
        <w:rPr>
          <w:rFonts w:cs="宋体"/>
          <w:color w:val="auto"/>
          <w:highlight w:val="none"/>
        </w:rPr>
      </w:pPr>
      <w:r>
        <w:rPr>
          <w:rFonts w:hint="eastAsia" w:cs="宋体"/>
          <w:color w:val="auto"/>
          <w:highlight w:val="none"/>
        </w:rPr>
        <w:t>评标委员会可要求供应商对投标文件中含义不明确、同类问题表述不一致、有明显的文字和计算错误的内容等进行澄清并做出书面答复。投标人必须按照采购代理机构通知的时间、地点派技术和商务人员进行答疑和澄清。</w:t>
      </w:r>
    </w:p>
    <w:p>
      <w:pPr>
        <w:numPr>
          <w:ilvl w:val="0"/>
          <w:numId w:val="32"/>
        </w:numPr>
        <w:ind w:firstLine="480"/>
        <w:rPr>
          <w:rFonts w:cs="宋体"/>
          <w:color w:val="auto"/>
          <w:highlight w:val="none"/>
        </w:rPr>
      </w:pPr>
      <w:r>
        <w:rPr>
          <w:rFonts w:hint="eastAsia" w:cs="宋体"/>
          <w:color w:val="auto"/>
          <w:highlight w:val="none"/>
        </w:rPr>
        <w:t>投标人应对需要澄清的问题作书面回答，该书面回答应有投标人全权代表（或法定代表人）的签字（或盖章），书面澄清将作为投标内容的一部分。</w:t>
      </w:r>
    </w:p>
    <w:p>
      <w:pPr>
        <w:numPr>
          <w:ilvl w:val="0"/>
          <w:numId w:val="32"/>
        </w:numPr>
        <w:ind w:firstLine="480"/>
        <w:rPr>
          <w:rFonts w:cs="宋体"/>
          <w:color w:val="auto"/>
          <w:highlight w:val="none"/>
        </w:rPr>
      </w:pPr>
      <w:r>
        <w:rPr>
          <w:rFonts w:hint="eastAsia" w:cs="宋体"/>
          <w:color w:val="auto"/>
          <w:highlight w:val="none"/>
        </w:rPr>
        <w:t>投标人对投标文件的澄清不得超出投标文件的范围或者改变投标文件的实质性内容。否则，不予接受。</w:t>
      </w:r>
    </w:p>
    <w:p>
      <w:pPr>
        <w:numPr>
          <w:ilvl w:val="0"/>
          <w:numId w:val="32"/>
        </w:numPr>
        <w:ind w:firstLine="480"/>
        <w:rPr>
          <w:rFonts w:cs="宋体"/>
          <w:color w:val="auto"/>
          <w:highlight w:val="none"/>
        </w:rPr>
      </w:pPr>
      <w:r>
        <w:rPr>
          <w:rFonts w:hint="eastAsia" w:cs="宋体"/>
          <w:color w:val="auto"/>
          <w:highlight w:val="none"/>
        </w:rPr>
        <w:t>评标委员会认为供应商的报价明显低于其他通过符合性审查供应商的报价，有可能影响产品质量或者不能诚信履约的，应当要求其在30分钟内提供书面说明，必要时提交相关证明材料；供应商不能证明其报价合理性的，评标委员会应当将其作为无效投标处理。</w:t>
      </w:r>
    </w:p>
    <w:p>
      <w:pPr>
        <w:pStyle w:val="19"/>
        <w:rPr>
          <w:rFonts w:hAnsi="宋体" w:cs="宋体"/>
          <w:color w:val="auto"/>
          <w:highlight w:val="none"/>
        </w:rPr>
      </w:pPr>
    </w:p>
    <w:p>
      <w:pPr>
        <w:pStyle w:val="5"/>
        <w:rPr>
          <w:rFonts w:cs="宋体"/>
          <w:color w:val="auto"/>
          <w:szCs w:val="24"/>
          <w:highlight w:val="none"/>
        </w:rPr>
      </w:pPr>
      <w:bookmarkStart w:id="136" w:name="_Toc19231"/>
      <w:r>
        <w:rPr>
          <w:rFonts w:hint="eastAsia" w:cs="宋体"/>
          <w:color w:val="auto"/>
          <w:szCs w:val="24"/>
          <w:highlight w:val="none"/>
        </w:rPr>
        <w:t>六、错误修正</w:t>
      </w:r>
      <w:bookmarkEnd w:id="136"/>
    </w:p>
    <w:p>
      <w:pPr>
        <w:ind w:firstLine="480"/>
        <w:rPr>
          <w:rFonts w:cs="宋体"/>
          <w:color w:val="auto"/>
          <w:highlight w:val="none"/>
        </w:rPr>
      </w:pPr>
      <w:r>
        <w:rPr>
          <w:rFonts w:hint="eastAsia" w:cs="宋体"/>
          <w:color w:val="auto"/>
          <w:highlight w:val="none"/>
        </w:rPr>
        <w:t>评标委员会将对确定为实质上响应采购文件要求的投标文件进行校核，看其在投标报价方面是否有计算、累计或表达上的错误，修正错误的原则及顺序如下：</w:t>
      </w:r>
    </w:p>
    <w:p>
      <w:pPr>
        <w:numPr>
          <w:ilvl w:val="0"/>
          <w:numId w:val="33"/>
        </w:numPr>
        <w:ind w:firstLine="480"/>
        <w:rPr>
          <w:rFonts w:cs="宋体"/>
          <w:color w:val="auto"/>
          <w:highlight w:val="none"/>
        </w:rPr>
      </w:pPr>
      <w:r>
        <w:rPr>
          <w:rFonts w:hint="eastAsia" w:cs="宋体"/>
          <w:color w:val="auto"/>
          <w:highlight w:val="none"/>
        </w:rPr>
        <w:t>投标文件中开标一览表（报价表）内容与投标文件中相应内容不一致的，以开标一览表（报价表）为准；</w:t>
      </w:r>
    </w:p>
    <w:p>
      <w:pPr>
        <w:numPr>
          <w:ilvl w:val="0"/>
          <w:numId w:val="33"/>
        </w:numPr>
        <w:ind w:firstLine="480"/>
        <w:rPr>
          <w:rFonts w:cs="宋体"/>
          <w:color w:val="auto"/>
          <w:highlight w:val="none"/>
        </w:rPr>
      </w:pPr>
      <w:r>
        <w:rPr>
          <w:rFonts w:hint="eastAsia" w:cs="宋体"/>
          <w:color w:val="auto"/>
          <w:highlight w:val="none"/>
        </w:rPr>
        <w:t>大写金额和小写金额不一致的，以大写金额为准；</w:t>
      </w:r>
    </w:p>
    <w:p>
      <w:pPr>
        <w:numPr>
          <w:ilvl w:val="0"/>
          <w:numId w:val="33"/>
        </w:numPr>
        <w:ind w:firstLine="480"/>
        <w:rPr>
          <w:rFonts w:cs="宋体"/>
          <w:color w:val="auto"/>
          <w:highlight w:val="none"/>
        </w:rPr>
      </w:pPr>
      <w:r>
        <w:rPr>
          <w:rFonts w:hint="eastAsia" w:cs="宋体"/>
          <w:color w:val="auto"/>
          <w:highlight w:val="none"/>
        </w:rPr>
        <w:t>单价金额小数点或者百分比有明显错位的，以开标一览表的总价为准，并修改单价；</w:t>
      </w:r>
    </w:p>
    <w:p>
      <w:pPr>
        <w:numPr>
          <w:ilvl w:val="0"/>
          <w:numId w:val="33"/>
        </w:numPr>
        <w:ind w:firstLine="480"/>
        <w:rPr>
          <w:rFonts w:cs="宋体"/>
          <w:color w:val="auto"/>
          <w:highlight w:val="none"/>
        </w:rPr>
      </w:pPr>
      <w:r>
        <w:rPr>
          <w:rFonts w:hint="eastAsia" w:cs="宋体"/>
          <w:color w:val="auto"/>
          <w:highlight w:val="none"/>
        </w:rPr>
        <w:t>总价金额与按单价汇总金额不一致的，以单价金额计算结果为准。</w:t>
      </w:r>
    </w:p>
    <w:p>
      <w:pPr>
        <w:numPr>
          <w:ilvl w:val="0"/>
          <w:numId w:val="33"/>
        </w:numPr>
        <w:ind w:firstLine="480"/>
        <w:rPr>
          <w:rFonts w:cs="宋体"/>
          <w:color w:val="auto"/>
          <w:highlight w:val="none"/>
        </w:rPr>
      </w:pPr>
      <w:r>
        <w:rPr>
          <w:rFonts w:hint="eastAsia" w:cs="宋体"/>
          <w:color w:val="auto"/>
          <w:highlight w:val="none"/>
        </w:rPr>
        <w:t>如投标文件中报价明细表分项价格或单价有遗报，应视作已含在投标总价中；其投标总价在评标过程中不予调整。其分项价或单价由评标委员会在投标总价不变的前提下根据合理的原则对其予以确定；</w:t>
      </w:r>
    </w:p>
    <w:p>
      <w:pPr>
        <w:numPr>
          <w:ilvl w:val="0"/>
          <w:numId w:val="33"/>
        </w:numPr>
        <w:ind w:firstLine="480"/>
        <w:rPr>
          <w:rFonts w:cs="宋体"/>
          <w:color w:val="auto"/>
          <w:highlight w:val="none"/>
        </w:rPr>
      </w:pPr>
      <w:r>
        <w:rPr>
          <w:rFonts w:hint="eastAsia" w:cs="宋体"/>
          <w:color w:val="auto"/>
          <w:highlight w:val="none"/>
        </w:rPr>
        <w:t>同时出现两种以上不一致的，按照前款规定的顺序修正。修正后的报价以澄清方式经供应商确认后产生约束力，供应商不确认的，其投标无效。</w:t>
      </w:r>
    </w:p>
    <w:p>
      <w:pPr>
        <w:pStyle w:val="5"/>
        <w:rPr>
          <w:rFonts w:cs="宋体"/>
          <w:color w:val="auto"/>
          <w:szCs w:val="24"/>
          <w:highlight w:val="none"/>
        </w:rPr>
      </w:pPr>
      <w:bookmarkStart w:id="137" w:name="_Toc30310"/>
      <w:r>
        <w:rPr>
          <w:rFonts w:hint="eastAsia" w:cs="宋体"/>
          <w:color w:val="auto"/>
          <w:szCs w:val="24"/>
          <w:highlight w:val="none"/>
        </w:rPr>
        <w:t>七、投标无效的情形</w:t>
      </w:r>
      <w:bookmarkEnd w:id="137"/>
    </w:p>
    <w:p>
      <w:pPr>
        <w:ind w:firstLine="0" w:firstLineChars="0"/>
        <w:rPr>
          <w:rFonts w:cs="宋体"/>
          <w:color w:val="auto"/>
          <w:highlight w:val="none"/>
        </w:rPr>
      </w:pPr>
      <w:r>
        <w:rPr>
          <w:rFonts w:hint="eastAsia" w:cs="宋体"/>
          <w:color w:val="auto"/>
          <w:highlight w:val="none"/>
        </w:rPr>
        <w:t>（一）在符合性审查、商务和技术评审时，如发现下列情形之一的，投标文件将被视为无效：</w:t>
      </w:r>
    </w:p>
    <w:p>
      <w:pPr>
        <w:numPr>
          <w:ilvl w:val="0"/>
          <w:numId w:val="34"/>
        </w:numPr>
        <w:ind w:firstLine="480"/>
        <w:rPr>
          <w:rFonts w:cs="宋体"/>
          <w:color w:val="auto"/>
          <w:highlight w:val="none"/>
        </w:rPr>
      </w:pPr>
      <w:r>
        <w:rPr>
          <w:rFonts w:hint="eastAsia" w:cs="宋体"/>
          <w:color w:val="auto"/>
          <w:highlight w:val="none"/>
        </w:rPr>
        <w:t>供应商提交两份或两份以上内容不同的投标方案，未声明哪一份有效的；</w:t>
      </w:r>
    </w:p>
    <w:p>
      <w:pPr>
        <w:numPr>
          <w:ilvl w:val="0"/>
          <w:numId w:val="34"/>
        </w:numPr>
        <w:ind w:firstLine="480"/>
        <w:rPr>
          <w:rFonts w:cs="宋体"/>
          <w:color w:val="auto"/>
          <w:highlight w:val="none"/>
        </w:rPr>
      </w:pPr>
      <w:r>
        <w:rPr>
          <w:rFonts w:hint="eastAsia" w:cs="宋体"/>
          <w:color w:val="auto"/>
          <w:highlight w:val="none"/>
        </w:rPr>
        <w:t>投标文件非供应商法定代表人签署的，未提供或提供无效的法定代表人授权书；</w:t>
      </w:r>
    </w:p>
    <w:p>
      <w:pPr>
        <w:numPr>
          <w:ilvl w:val="0"/>
          <w:numId w:val="34"/>
        </w:numPr>
        <w:ind w:firstLine="480"/>
        <w:rPr>
          <w:rFonts w:cs="宋体"/>
          <w:color w:val="auto"/>
          <w:highlight w:val="none"/>
        </w:rPr>
      </w:pPr>
      <w:r>
        <w:rPr>
          <w:rFonts w:hint="eastAsia" w:cs="宋体"/>
          <w:color w:val="auto"/>
          <w:highlight w:val="none"/>
        </w:rPr>
        <w:t>投标文件内容不全或内容字迹模糊辨认不清的等而导致评标活动无法正常进行；</w:t>
      </w:r>
    </w:p>
    <w:p>
      <w:pPr>
        <w:numPr>
          <w:ilvl w:val="0"/>
          <w:numId w:val="34"/>
        </w:numPr>
        <w:ind w:firstLine="480"/>
        <w:rPr>
          <w:rFonts w:cs="宋体"/>
          <w:color w:val="auto"/>
          <w:highlight w:val="none"/>
        </w:rPr>
      </w:pPr>
      <w:r>
        <w:rPr>
          <w:rFonts w:hint="eastAsia" w:cs="宋体"/>
          <w:color w:val="auto"/>
          <w:highlight w:val="none"/>
        </w:rPr>
        <w:t>供应商未按采购文件变更通知更改投标文件的；</w:t>
      </w:r>
    </w:p>
    <w:p>
      <w:pPr>
        <w:numPr>
          <w:ilvl w:val="0"/>
          <w:numId w:val="34"/>
        </w:numPr>
        <w:ind w:firstLine="480"/>
        <w:rPr>
          <w:rFonts w:cs="宋体"/>
          <w:color w:val="auto"/>
          <w:highlight w:val="none"/>
        </w:rPr>
      </w:pPr>
      <w:r>
        <w:rPr>
          <w:rFonts w:hint="eastAsia" w:cs="宋体"/>
          <w:color w:val="auto"/>
          <w:highlight w:val="none"/>
        </w:rPr>
        <w:t>未实质性响应采购文件中带“▲”条款要求的投标文件；</w:t>
      </w:r>
    </w:p>
    <w:p>
      <w:pPr>
        <w:numPr>
          <w:ilvl w:val="0"/>
          <w:numId w:val="34"/>
        </w:numPr>
        <w:ind w:firstLine="480"/>
        <w:rPr>
          <w:rFonts w:cs="宋体"/>
          <w:color w:val="auto"/>
          <w:highlight w:val="none"/>
        </w:rPr>
      </w:pPr>
      <w:r>
        <w:rPr>
          <w:rFonts w:hint="eastAsia" w:cs="宋体"/>
          <w:color w:val="auto"/>
          <w:highlight w:val="none"/>
        </w:rPr>
        <w:t>投标有效期、交货期、质保期等商务条款不能满足招标文件要求的；</w:t>
      </w:r>
    </w:p>
    <w:p>
      <w:pPr>
        <w:numPr>
          <w:ilvl w:val="0"/>
          <w:numId w:val="34"/>
        </w:numPr>
        <w:ind w:firstLine="480"/>
        <w:rPr>
          <w:rFonts w:cs="宋体"/>
          <w:color w:val="auto"/>
          <w:highlight w:val="none"/>
        </w:rPr>
      </w:pPr>
      <w:r>
        <w:rPr>
          <w:rFonts w:hint="eastAsia" w:cs="宋体"/>
          <w:color w:val="auto"/>
          <w:highlight w:val="none"/>
        </w:rPr>
        <w:t>投标文件附有采购人不能接受的条款；</w:t>
      </w:r>
    </w:p>
    <w:p>
      <w:pPr>
        <w:numPr>
          <w:ilvl w:val="0"/>
          <w:numId w:val="34"/>
        </w:numPr>
        <w:ind w:firstLine="480"/>
        <w:rPr>
          <w:rFonts w:cs="宋体"/>
          <w:color w:val="auto"/>
          <w:highlight w:val="none"/>
        </w:rPr>
      </w:pPr>
      <w:r>
        <w:rPr>
          <w:rFonts w:hint="eastAsia" w:cs="宋体"/>
          <w:color w:val="auto"/>
          <w:highlight w:val="none"/>
        </w:rPr>
        <w:t>投标文件中提供了与采购无关的赠品、回扣或者其他商品、服务；</w:t>
      </w:r>
    </w:p>
    <w:p>
      <w:pPr>
        <w:numPr>
          <w:ilvl w:val="0"/>
          <w:numId w:val="34"/>
        </w:numPr>
        <w:ind w:firstLine="480"/>
        <w:rPr>
          <w:rFonts w:cs="宋体"/>
          <w:color w:val="auto"/>
          <w:highlight w:val="none"/>
        </w:rPr>
      </w:pPr>
      <w:r>
        <w:rPr>
          <w:rFonts w:hint="eastAsia" w:cs="宋体"/>
          <w:color w:val="auto"/>
          <w:highlight w:val="none"/>
        </w:rPr>
        <w:t>供应商串通投标，妨碍其他供应商的竞争行为，损害采购人或者其他供应商的合法权益；</w:t>
      </w:r>
    </w:p>
    <w:p>
      <w:pPr>
        <w:numPr>
          <w:ilvl w:val="0"/>
          <w:numId w:val="34"/>
        </w:numPr>
        <w:ind w:firstLine="480"/>
        <w:rPr>
          <w:rFonts w:cs="宋体"/>
          <w:color w:val="auto"/>
          <w:highlight w:val="none"/>
        </w:rPr>
      </w:pPr>
      <w:r>
        <w:rPr>
          <w:rFonts w:hint="eastAsia" w:cs="宋体"/>
          <w:color w:val="auto"/>
          <w:highlight w:val="none"/>
        </w:rPr>
        <w:t>违反国家及政府部门相关法律、法规、文件规定或经评标委员会认定的其他属于重大偏离。</w:t>
      </w:r>
    </w:p>
    <w:p>
      <w:pPr>
        <w:ind w:firstLine="0" w:firstLineChars="0"/>
        <w:rPr>
          <w:rFonts w:cs="宋体"/>
          <w:color w:val="auto"/>
          <w:highlight w:val="none"/>
        </w:rPr>
      </w:pPr>
      <w:r>
        <w:rPr>
          <w:rFonts w:hint="eastAsia" w:cs="宋体"/>
          <w:color w:val="auto"/>
          <w:highlight w:val="none"/>
        </w:rPr>
        <w:t>（二）报价文件评审阶段：</w:t>
      </w:r>
    </w:p>
    <w:p>
      <w:pPr>
        <w:numPr>
          <w:ilvl w:val="0"/>
          <w:numId w:val="35"/>
        </w:numPr>
        <w:ind w:firstLine="480"/>
        <w:rPr>
          <w:rFonts w:cs="宋体"/>
          <w:color w:val="auto"/>
          <w:highlight w:val="none"/>
        </w:rPr>
      </w:pPr>
      <w:r>
        <w:rPr>
          <w:rFonts w:hint="eastAsia" w:cs="宋体"/>
          <w:color w:val="auto"/>
          <w:highlight w:val="none"/>
        </w:rPr>
        <w:t>供应商提交两份或两份以上内容不同的投标报价，未声明哪一份有效的；</w:t>
      </w:r>
    </w:p>
    <w:p>
      <w:pPr>
        <w:numPr>
          <w:ilvl w:val="0"/>
          <w:numId w:val="35"/>
        </w:numPr>
        <w:ind w:firstLine="480"/>
        <w:rPr>
          <w:rFonts w:cs="宋体"/>
          <w:color w:val="auto"/>
          <w:highlight w:val="none"/>
        </w:rPr>
      </w:pPr>
      <w:r>
        <w:rPr>
          <w:rFonts w:hint="eastAsia" w:cs="宋体"/>
          <w:color w:val="auto"/>
          <w:highlight w:val="none"/>
        </w:rPr>
        <w:t>《开标一览表》和《投标价格组成明细表》内容不完整且不接受修正意见或字迹不能辨认的或未提供；</w:t>
      </w:r>
    </w:p>
    <w:p>
      <w:pPr>
        <w:numPr>
          <w:ilvl w:val="0"/>
          <w:numId w:val="35"/>
        </w:numPr>
        <w:ind w:firstLine="480"/>
        <w:rPr>
          <w:rFonts w:cs="宋体"/>
          <w:color w:val="auto"/>
          <w:highlight w:val="none"/>
        </w:rPr>
      </w:pPr>
      <w:r>
        <w:rPr>
          <w:rFonts w:hint="eastAsia" w:cs="宋体"/>
          <w:color w:val="auto"/>
          <w:highlight w:val="none"/>
        </w:rPr>
        <w:t>所投标项的投标报价超过采购文件规定的预算金额或最高限价；</w:t>
      </w:r>
    </w:p>
    <w:p>
      <w:pPr>
        <w:numPr>
          <w:ilvl w:val="0"/>
          <w:numId w:val="35"/>
        </w:numPr>
        <w:ind w:firstLine="480"/>
        <w:rPr>
          <w:rFonts w:cs="宋体"/>
          <w:color w:val="auto"/>
          <w:highlight w:val="none"/>
        </w:rPr>
      </w:pPr>
      <w:r>
        <w:rPr>
          <w:rFonts w:hint="eastAsia" w:cs="宋体"/>
          <w:color w:val="auto"/>
          <w:highlight w:val="none"/>
        </w:rPr>
        <w:t>《开标一览表》投标报价为零的，或其报价（大写）无法按正常书写方式进行报价唱标的或无投标报价的；</w:t>
      </w:r>
    </w:p>
    <w:p>
      <w:pPr>
        <w:numPr>
          <w:ilvl w:val="0"/>
          <w:numId w:val="35"/>
        </w:numPr>
        <w:ind w:firstLine="480"/>
        <w:rPr>
          <w:rFonts w:cs="宋体"/>
          <w:color w:val="auto"/>
          <w:highlight w:val="none"/>
        </w:rPr>
      </w:pPr>
      <w:r>
        <w:rPr>
          <w:rFonts w:hint="eastAsia" w:cs="宋体"/>
          <w:color w:val="auto"/>
          <w:highlight w:val="none"/>
        </w:rPr>
        <w:t>投标报价明显高于其市场报价或报价明显不合理或者低于成本，且在规定时间内不能合理说明原因并提供证明材料的；</w:t>
      </w:r>
    </w:p>
    <w:p>
      <w:pPr>
        <w:numPr>
          <w:ilvl w:val="0"/>
          <w:numId w:val="35"/>
        </w:numPr>
        <w:ind w:firstLine="480"/>
        <w:rPr>
          <w:rFonts w:cs="宋体"/>
          <w:color w:val="auto"/>
          <w:highlight w:val="none"/>
        </w:rPr>
      </w:pPr>
      <w:r>
        <w:rPr>
          <w:rFonts w:hint="eastAsia" w:cs="宋体"/>
          <w:color w:val="auto"/>
          <w:highlight w:val="none"/>
        </w:rPr>
        <w:t>投标文件内容不全或内容字迹模糊辨认不清的等而导致评标活动无法正常进行；</w:t>
      </w:r>
    </w:p>
    <w:p>
      <w:pPr>
        <w:numPr>
          <w:ilvl w:val="0"/>
          <w:numId w:val="35"/>
        </w:numPr>
        <w:ind w:firstLine="480"/>
        <w:rPr>
          <w:rFonts w:cs="宋体"/>
          <w:color w:val="auto"/>
          <w:highlight w:val="none"/>
        </w:rPr>
      </w:pPr>
      <w:r>
        <w:rPr>
          <w:rFonts w:hint="eastAsia" w:cs="宋体"/>
          <w:color w:val="auto"/>
          <w:highlight w:val="none"/>
        </w:rPr>
        <w:t>采购人拟采购的产品属于政府强制采购的节能产品品目清单范围的，投标人未按招标文件要求提供国家确定的认证机构出具的、处于有效期之内的节能产品认证证书的；</w:t>
      </w:r>
    </w:p>
    <w:p>
      <w:pPr>
        <w:numPr>
          <w:ilvl w:val="0"/>
          <w:numId w:val="35"/>
        </w:numPr>
        <w:ind w:firstLine="480"/>
        <w:rPr>
          <w:rFonts w:cs="宋体"/>
          <w:color w:val="auto"/>
          <w:highlight w:val="none"/>
        </w:rPr>
      </w:pPr>
      <w:r>
        <w:rPr>
          <w:rFonts w:hint="eastAsia" w:cs="宋体"/>
          <w:color w:val="auto"/>
          <w:highlight w:val="none"/>
        </w:rPr>
        <w:t>投标有效期、交货期、质保期等商务条款不能满足招标文件要求的；</w:t>
      </w:r>
    </w:p>
    <w:p>
      <w:pPr>
        <w:numPr>
          <w:ilvl w:val="0"/>
          <w:numId w:val="35"/>
        </w:numPr>
        <w:ind w:firstLine="480"/>
        <w:rPr>
          <w:rFonts w:cs="宋体"/>
          <w:color w:val="auto"/>
          <w:highlight w:val="none"/>
        </w:rPr>
      </w:pPr>
      <w:r>
        <w:rPr>
          <w:rFonts w:hint="eastAsia" w:cs="宋体"/>
          <w:color w:val="auto"/>
          <w:highlight w:val="none"/>
        </w:rPr>
        <w:t>投标文件附有采购人不能接受的条款；</w:t>
      </w:r>
    </w:p>
    <w:p>
      <w:pPr>
        <w:numPr>
          <w:ilvl w:val="0"/>
          <w:numId w:val="35"/>
        </w:numPr>
        <w:ind w:firstLine="480"/>
        <w:rPr>
          <w:rFonts w:cs="宋体"/>
          <w:color w:val="auto"/>
          <w:highlight w:val="none"/>
        </w:rPr>
      </w:pPr>
      <w:r>
        <w:rPr>
          <w:rFonts w:hint="eastAsia" w:cs="宋体"/>
          <w:color w:val="auto"/>
          <w:highlight w:val="none"/>
        </w:rPr>
        <w:t>投标文件中提供了与采购无关的赠品、回扣或者其他商品、服务；</w:t>
      </w:r>
    </w:p>
    <w:p>
      <w:pPr>
        <w:numPr>
          <w:ilvl w:val="0"/>
          <w:numId w:val="35"/>
        </w:numPr>
        <w:ind w:firstLine="480"/>
        <w:rPr>
          <w:rFonts w:cs="宋体"/>
          <w:color w:val="auto"/>
          <w:highlight w:val="none"/>
        </w:rPr>
      </w:pPr>
      <w:r>
        <w:rPr>
          <w:rFonts w:hint="eastAsia" w:cs="宋体"/>
          <w:color w:val="auto"/>
          <w:highlight w:val="none"/>
        </w:rPr>
        <w:t>供应商串通投标，妨碍其他供应商的竞争行为，损害采购人或者其他供应商的合法权益；</w:t>
      </w:r>
    </w:p>
    <w:p>
      <w:pPr>
        <w:numPr>
          <w:ilvl w:val="0"/>
          <w:numId w:val="35"/>
        </w:numPr>
        <w:ind w:firstLine="480"/>
        <w:rPr>
          <w:rFonts w:cs="宋体"/>
          <w:color w:val="auto"/>
          <w:highlight w:val="none"/>
        </w:rPr>
      </w:pPr>
      <w:r>
        <w:rPr>
          <w:rFonts w:hint="eastAsia" w:cs="宋体"/>
          <w:color w:val="auto"/>
          <w:highlight w:val="none"/>
        </w:rPr>
        <w:t>违反国家及政府部门相关法律、法规、文件规定或经评标委员会认定的其他属于重大偏离。</w:t>
      </w:r>
    </w:p>
    <w:p>
      <w:pPr>
        <w:ind w:firstLine="0" w:firstLineChars="0"/>
        <w:rPr>
          <w:rFonts w:cs="宋体"/>
          <w:color w:val="auto"/>
          <w:highlight w:val="none"/>
        </w:rPr>
      </w:pPr>
      <w:r>
        <w:rPr>
          <w:rFonts w:hint="eastAsia" w:cs="宋体"/>
          <w:color w:val="auto"/>
          <w:highlight w:val="none"/>
        </w:rPr>
        <w:t>（三）有下列情形之一的，视为投标人串通投标，其投标无效，由采购人或采购代理机构上报政府采购监督管理部门，视情列入不良行为记录名单，在一至三年内禁止参加政府采购活动：</w:t>
      </w:r>
    </w:p>
    <w:p>
      <w:pPr>
        <w:numPr>
          <w:ilvl w:val="0"/>
          <w:numId w:val="36"/>
        </w:numPr>
        <w:ind w:firstLine="480"/>
        <w:rPr>
          <w:rFonts w:cs="宋体"/>
          <w:color w:val="auto"/>
          <w:highlight w:val="none"/>
        </w:rPr>
      </w:pPr>
      <w:r>
        <w:rPr>
          <w:rFonts w:hint="eastAsia" w:cs="宋体"/>
          <w:color w:val="auto"/>
          <w:highlight w:val="none"/>
        </w:rPr>
        <w:t>不同投标人的投标文件由同一单位或者个人编制；</w:t>
      </w:r>
    </w:p>
    <w:p>
      <w:pPr>
        <w:numPr>
          <w:ilvl w:val="0"/>
          <w:numId w:val="36"/>
        </w:numPr>
        <w:ind w:firstLine="480"/>
        <w:rPr>
          <w:rFonts w:cs="宋体"/>
          <w:color w:val="auto"/>
          <w:highlight w:val="none"/>
        </w:rPr>
      </w:pPr>
      <w:r>
        <w:rPr>
          <w:rFonts w:hint="eastAsia" w:cs="宋体"/>
          <w:color w:val="auto"/>
          <w:highlight w:val="none"/>
        </w:rPr>
        <w:t>不同投标人委托同一单位或者个人办理投标事宜；</w:t>
      </w:r>
    </w:p>
    <w:p>
      <w:pPr>
        <w:numPr>
          <w:ilvl w:val="0"/>
          <w:numId w:val="36"/>
        </w:numPr>
        <w:ind w:firstLine="480"/>
        <w:rPr>
          <w:rFonts w:cs="宋体"/>
          <w:color w:val="auto"/>
          <w:highlight w:val="none"/>
        </w:rPr>
      </w:pPr>
      <w:r>
        <w:rPr>
          <w:rFonts w:hint="eastAsia" w:cs="宋体"/>
          <w:color w:val="auto"/>
          <w:highlight w:val="none"/>
        </w:rPr>
        <w:t>不同投标人的投标文件载明的项目管理成员或者联系人员为同一人；</w:t>
      </w:r>
    </w:p>
    <w:p>
      <w:pPr>
        <w:numPr>
          <w:ilvl w:val="0"/>
          <w:numId w:val="36"/>
        </w:numPr>
        <w:ind w:firstLine="480"/>
        <w:rPr>
          <w:rFonts w:cs="宋体"/>
          <w:color w:val="auto"/>
          <w:highlight w:val="none"/>
        </w:rPr>
      </w:pPr>
      <w:r>
        <w:rPr>
          <w:rFonts w:hint="eastAsia" w:cs="宋体"/>
          <w:color w:val="auto"/>
          <w:highlight w:val="none"/>
        </w:rPr>
        <w:t>不同投标人的投标文件异常一致或者投标报价呈规律性差异；</w:t>
      </w:r>
    </w:p>
    <w:p>
      <w:pPr>
        <w:numPr>
          <w:ilvl w:val="0"/>
          <w:numId w:val="36"/>
        </w:numPr>
        <w:ind w:firstLine="480"/>
        <w:rPr>
          <w:rFonts w:cs="宋体"/>
          <w:color w:val="auto"/>
          <w:highlight w:val="none"/>
        </w:rPr>
      </w:pPr>
      <w:r>
        <w:rPr>
          <w:rFonts w:hint="eastAsia" w:cs="宋体"/>
          <w:color w:val="auto"/>
          <w:highlight w:val="none"/>
        </w:rPr>
        <w:t>不同投标人的投标文件相互混装；</w:t>
      </w:r>
    </w:p>
    <w:p>
      <w:pPr>
        <w:pStyle w:val="5"/>
        <w:rPr>
          <w:rFonts w:cs="宋体"/>
          <w:color w:val="auto"/>
          <w:szCs w:val="24"/>
          <w:highlight w:val="none"/>
        </w:rPr>
      </w:pPr>
      <w:bookmarkStart w:id="138" w:name="_Toc5376"/>
      <w:r>
        <w:rPr>
          <w:rFonts w:hint="eastAsia" w:cs="宋体"/>
          <w:color w:val="auto"/>
          <w:szCs w:val="24"/>
          <w:highlight w:val="none"/>
        </w:rPr>
        <w:t>八、投标品牌认定（依据《财政部令第87号》）</w:t>
      </w:r>
      <w:bookmarkEnd w:id="138"/>
    </w:p>
    <w:p>
      <w:pPr>
        <w:numPr>
          <w:ilvl w:val="0"/>
          <w:numId w:val="37"/>
        </w:numPr>
        <w:ind w:firstLine="480"/>
        <w:rPr>
          <w:rFonts w:cs="宋体"/>
          <w:color w:val="auto"/>
          <w:highlight w:val="none"/>
        </w:rPr>
      </w:pPr>
      <w:r>
        <w:rPr>
          <w:rFonts w:hint="eastAsia" w:cs="宋体"/>
          <w:color w:val="auto"/>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numPr>
          <w:ilvl w:val="0"/>
          <w:numId w:val="37"/>
        </w:numPr>
        <w:ind w:firstLine="480"/>
        <w:rPr>
          <w:rFonts w:cs="宋体"/>
          <w:color w:val="auto"/>
          <w:highlight w:val="none"/>
        </w:rPr>
      </w:pPr>
      <w:r>
        <w:rPr>
          <w:rFonts w:hint="eastAsia" w:cs="宋体"/>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numPr>
          <w:ilvl w:val="0"/>
          <w:numId w:val="37"/>
        </w:numPr>
        <w:ind w:firstLine="480"/>
        <w:rPr>
          <w:rFonts w:cs="宋体"/>
          <w:color w:val="auto"/>
          <w:highlight w:val="none"/>
        </w:rPr>
      </w:pPr>
      <w:r>
        <w:rPr>
          <w:rFonts w:hint="eastAsia" w:cs="宋体"/>
          <w:color w:val="auto"/>
          <w:highlight w:val="none"/>
        </w:rPr>
        <w:t>非单一产品采购项目，采购人应当根据采购项目技术构成、产品价格比重等合理确定核心产品，并在招标文件中载明。多家投标人提供的核心产品品牌相同的，按前两款规定处理。</w:t>
      </w:r>
    </w:p>
    <w:p>
      <w:pPr>
        <w:pStyle w:val="5"/>
        <w:rPr>
          <w:rFonts w:cs="宋体"/>
          <w:color w:val="auto"/>
          <w:szCs w:val="24"/>
          <w:highlight w:val="none"/>
        </w:rPr>
      </w:pPr>
      <w:bookmarkStart w:id="139" w:name="_Toc85"/>
      <w:r>
        <w:rPr>
          <w:rFonts w:hint="eastAsia" w:cs="宋体"/>
          <w:color w:val="auto"/>
          <w:szCs w:val="24"/>
          <w:highlight w:val="none"/>
        </w:rPr>
        <w:t>九、评标办法</w:t>
      </w:r>
      <w:bookmarkEnd w:id="139"/>
    </w:p>
    <w:p>
      <w:pPr>
        <w:ind w:firstLine="480"/>
        <w:rPr>
          <w:rFonts w:cs="宋体"/>
          <w:color w:val="auto"/>
          <w:highlight w:val="none"/>
        </w:rPr>
      </w:pPr>
      <w:r>
        <w:rPr>
          <w:rFonts w:hint="eastAsia" w:cs="宋体"/>
          <w:color w:val="auto"/>
          <w:highlight w:val="none"/>
        </w:rPr>
        <w:t>本项目评标办法是综合评分法，具体评标内容及评分标准等详见《第四部分：评标办法及评分标准》。</w:t>
      </w:r>
    </w:p>
    <w:p>
      <w:pPr>
        <w:ind w:firstLine="480"/>
        <w:rPr>
          <w:color w:val="auto"/>
          <w:highlight w:val="none"/>
        </w:rPr>
      </w:pPr>
    </w:p>
    <w:p>
      <w:pPr>
        <w:pStyle w:val="4"/>
        <w:jc w:val="center"/>
        <w:rPr>
          <w:rFonts w:cs="宋体"/>
          <w:color w:val="auto"/>
          <w:highlight w:val="none"/>
        </w:rPr>
      </w:pPr>
      <w:bookmarkStart w:id="140" w:name="_Toc31535"/>
      <w:bookmarkStart w:id="141" w:name="_Toc24239"/>
      <w:bookmarkStart w:id="142" w:name="_Toc12192"/>
      <w:bookmarkStart w:id="143" w:name="_Toc15663"/>
      <w:r>
        <w:rPr>
          <w:rFonts w:hint="eastAsia" w:cs="宋体"/>
          <w:color w:val="auto"/>
          <w:highlight w:val="none"/>
        </w:rPr>
        <w:t>第七节 授予合同</w:t>
      </w:r>
      <w:bookmarkEnd w:id="140"/>
      <w:bookmarkEnd w:id="141"/>
      <w:bookmarkEnd w:id="142"/>
      <w:bookmarkEnd w:id="143"/>
    </w:p>
    <w:p>
      <w:pPr>
        <w:pStyle w:val="5"/>
        <w:rPr>
          <w:rFonts w:cs="宋体"/>
          <w:color w:val="auto"/>
          <w:szCs w:val="24"/>
          <w:highlight w:val="none"/>
        </w:rPr>
      </w:pPr>
      <w:bookmarkStart w:id="144" w:name="_Toc14799"/>
      <w:r>
        <w:rPr>
          <w:rFonts w:hint="eastAsia" w:cs="宋体"/>
          <w:color w:val="auto"/>
          <w:szCs w:val="24"/>
          <w:highlight w:val="none"/>
        </w:rPr>
        <w:t>一、公告及定标</w:t>
      </w:r>
      <w:bookmarkEnd w:id="144"/>
    </w:p>
    <w:p>
      <w:pPr>
        <w:numPr>
          <w:ilvl w:val="0"/>
          <w:numId w:val="38"/>
        </w:numPr>
        <w:ind w:firstLine="480"/>
        <w:rPr>
          <w:rFonts w:cs="宋体"/>
          <w:color w:val="auto"/>
          <w:highlight w:val="none"/>
        </w:rPr>
      </w:pPr>
      <w:r>
        <w:rPr>
          <w:rFonts w:hint="eastAsia" w:cs="宋体"/>
          <w:color w:val="auto"/>
          <w:highlight w:val="none"/>
        </w:rPr>
        <w:t>采购代理机构自评审结束之日起2个工作日内将评审报告送交采购人。采购人收到评审报告之日起5个工作日内在评审报告推荐的中标候选人中按顺序确定中标供应商。</w:t>
      </w:r>
    </w:p>
    <w:p>
      <w:pPr>
        <w:numPr>
          <w:ilvl w:val="0"/>
          <w:numId w:val="38"/>
        </w:numPr>
        <w:ind w:firstLine="480"/>
        <w:rPr>
          <w:rFonts w:cs="宋体"/>
          <w:color w:val="auto"/>
          <w:highlight w:val="none"/>
        </w:rPr>
      </w:pPr>
      <w:r>
        <w:rPr>
          <w:rFonts w:hint="eastAsia" w:cs="宋体"/>
          <w:color w:val="auto"/>
          <w:highlight w:val="none"/>
        </w:rPr>
        <w:t>采购代理机构自中标供应商确定之日起2个工作日内，发出中标通知书，并在浙江政府采购网等相关网站或媒体上公告中标结果。中标公告期限为1个工作日。</w:t>
      </w:r>
    </w:p>
    <w:p>
      <w:pPr>
        <w:pStyle w:val="5"/>
        <w:rPr>
          <w:rFonts w:cs="宋体"/>
          <w:color w:val="auto"/>
          <w:szCs w:val="24"/>
          <w:highlight w:val="none"/>
        </w:rPr>
      </w:pPr>
      <w:bookmarkStart w:id="145" w:name="_Toc20286"/>
      <w:r>
        <w:rPr>
          <w:rFonts w:hint="eastAsia" w:cs="宋体"/>
          <w:color w:val="auto"/>
          <w:szCs w:val="24"/>
          <w:highlight w:val="none"/>
        </w:rPr>
        <w:t>二、签订合同</w:t>
      </w:r>
      <w:bookmarkEnd w:id="145"/>
    </w:p>
    <w:p>
      <w:pPr>
        <w:numPr>
          <w:ilvl w:val="0"/>
          <w:numId w:val="39"/>
        </w:numPr>
        <w:ind w:firstLine="480"/>
        <w:rPr>
          <w:rFonts w:cs="宋体"/>
          <w:color w:val="auto"/>
          <w:highlight w:val="none"/>
        </w:rPr>
      </w:pPr>
      <w:r>
        <w:rPr>
          <w:rFonts w:hint="eastAsia" w:cs="宋体"/>
          <w:color w:val="auto"/>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numPr>
          <w:ilvl w:val="0"/>
          <w:numId w:val="39"/>
        </w:numPr>
        <w:ind w:firstLine="480"/>
        <w:rPr>
          <w:rFonts w:cs="宋体"/>
          <w:color w:val="auto"/>
          <w:highlight w:val="none"/>
        </w:rPr>
      </w:pPr>
      <w:r>
        <w:rPr>
          <w:rFonts w:hint="eastAsia" w:cs="宋体"/>
          <w:color w:val="auto"/>
          <w:highlight w:val="none"/>
        </w:rPr>
        <w:t>招标文件，中标人的投标文件及评标过程中有关澄清文件均应作为合同附件。</w:t>
      </w:r>
    </w:p>
    <w:p>
      <w:pPr>
        <w:ind w:firstLine="480"/>
        <w:rPr>
          <w:color w:val="auto"/>
          <w:highlight w:val="none"/>
        </w:rPr>
      </w:pPr>
    </w:p>
    <w:p>
      <w:pPr>
        <w:pStyle w:val="4"/>
        <w:jc w:val="center"/>
        <w:rPr>
          <w:color w:val="auto"/>
          <w:highlight w:val="none"/>
        </w:rPr>
      </w:pPr>
      <w:bookmarkStart w:id="146" w:name="_Toc15220"/>
      <w:bookmarkStart w:id="147" w:name="_Toc15982"/>
      <w:bookmarkStart w:id="148" w:name="_Toc14481"/>
      <w:bookmarkStart w:id="149" w:name="_Toc12481"/>
      <w:r>
        <w:rPr>
          <w:rFonts w:hint="eastAsia"/>
          <w:color w:val="auto"/>
          <w:highlight w:val="none"/>
        </w:rPr>
        <w:t>第八节 例外处理</w:t>
      </w:r>
      <w:bookmarkEnd w:id="146"/>
      <w:bookmarkEnd w:id="147"/>
      <w:bookmarkEnd w:id="148"/>
      <w:bookmarkEnd w:id="149"/>
    </w:p>
    <w:p>
      <w:pPr>
        <w:ind w:firstLine="480"/>
        <w:rPr>
          <w:rFonts w:cs="宋体"/>
          <w:color w:val="auto"/>
          <w:highlight w:val="none"/>
        </w:rPr>
      </w:pPr>
      <w:r>
        <w:rPr>
          <w:rFonts w:hint="eastAsia" w:cs="宋体"/>
          <w:color w:val="auto"/>
          <w:highlight w:val="none"/>
        </w:rPr>
        <w:t>投标截止时间结束后或评审过程中参加标项投标的供应商不足三家的，除采购任务取消情形外，采购人可选择以下方式之一处理：</w:t>
      </w:r>
    </w:p>
    <w:p>
      <w:pPr>
        <w:numPr>
          <w:ilvl w:val="0"/>
          <w:numId w:val="40"/>
        </w:numPr>
        <w:ind w:firstLine="480"/>
        <w:rPr>
          <w:rFonts w:cs="宋体"/>
          <w:color w:val="auto"/>
          <w:highlight w:val="none"/>
        </w:rPr>
      </w:pPr>
      <w:r>
        <w:rPr>
          <w:rFonts w:hint="eastAsia" w:cs="宋体"/>
          <w:color w:val="auto"/>
          <w:highlight w:val="none"/>
        </w:rPr>
        <w:t>可将本标项作废标处理，重新组织采购；</w:t>
      </w:r>
    </w:p>
    <w:p>
      <w:pPr>
        <w:numPr>
          <w:ilvl w:val="0"/>
          <w:numId w:val="40"/>
        </w:numPr>
        <w:ind w:firstLine="480"/>
        <w:rPr>
          <w:rFonts w:cs="宋体"/>
          <w:color w:val="auto"/>
          <w:highlight w:val="none"/>
        </w:rPr>
        <w:sectPr>
          <w:pgSz w:w="11906" w:h="16838"/>
          <w:pgMar w:top="1440" w:right="1080" w:bottom="1440" w:left="1080" w:header="850" w:footer="992" w:gutter="0"/>
          <w:cols w:space="720" w:num="1"/>
          <w:docGrid w:linePitch="381" w:charSpace="0"/>
        </w:sectPr>
      </w:pPr>
      <w:r>
        <w:rPr>
          <w:rFonts w:hint="eastAsia" w:cs="宋体"/>
          <w:color w:val="auto"/>
          <w:highlight w:val="none"/>
        </w:rPr>
        <w:t>可按财政部门的审批意见采用其他采购方式组织采购。</w:t>
      </w:r>
    </w:p>
    <w:p>
      <w:pPr>
        <w:pStyle w:val="3"/>
        <w:rPr>
          <w:color w:val="auto"/>
          <w:highlight w:val="none"/>
        </w:rPr>
      </w:pPr>
      <w:bookmarkStart w:id="150" w:name="_Toc82338233"/>
      <w:bookmarkStart w:id="151" w:name="_Toc450840079"/>
      <w:bookmarkStart w:id="152" w:name="_Toc82873316"/>
      <w:bookmarkStart w:id="153" w:name="_Toc16410"/>
      <w:bookmarkStart w:id="154" w:name="_Toc21368"/>
      <w:r>
        <w:rPr>
          <w:rFonts w:hint="eastAsia"/>
          <w:color w:val="auto"/>
          <w:highlight w:val="none"/>
        </w:rPr>
        <w:t xml:space="preserve">第四章 </w:t>
      </w:r>
      <w:bookmarkEnd w:id="150"/>
      <w:bookmarkEnd w:id="151"/>
      <w:bookmarkEnd w:id="152"/>
      <w:r>
        <w:rPr>
          <w:rFonts w:hint="eastAsia"/>
          <w:color w:val="auto"/>
          <w:highlight w:val="none"/>
        </w:rPr>
        <w:t>评标办法及评分标准</w:t>
      </w:r>
      <w:bookmarkEnd w:id="153"/>
      <w:bookmarkEnd w:id="154"/>
    </w:p>
    <w:p>
      <w:pPr>
        <w:pStyle w:val="4"/>
        <w:rPr>
          <w:color w:val="auto"/>
          <w:highlight w:val="none"/>
        </w:rPr>
      </w:pPr>
      <w:bookmarkStart w:id="155" w:name="_Toc3017"/>
      <w:bookmarkStart w:id="156" w:name="_Toc29775"/>
      <w:bookmarkStart w:id="157" w:name="_Toc3110"/>
      <w:bookmarkStart w:id="158" w:name="_Toc11391"/>
      <w:bookmarkStart w:id="159" w:name="_Toc3811"/>
      <w:bookmarkStart w:id="160" w:name="OLE_LINK3"/>
      <w:r>
        <w:rPr>
          <w:rFonts w:hint="eastAsia"/>
          <w:color w:val="auto"/>
          <w:highlight w:val="none"/>
        </w:rPr>
        <w:t>一、评分总则</w:t>
      </w:r>
      <w:bookmarkEnd w:id="155"/>
      <w:bookmarkEnd w:id="156"/>
      <w:r>
        <w:rPr>
          <w:rFonts w:hint="eastAsia"/>
          <w:color w:val="auto"/>
          <w:highlight w:val="none"/>
        </w:rPr>
        <w:t xml:space="preserve">  </w:t>
      </w:r>
    </w:p>
    <w:p>
      <w:pPr>
        <w:ind w:firstLine="480"/>
        <w:rPr>
          <w:color w:val="auto"/>
          <w:highlight w:val="none"/>
        </w:rPr>
      </w:pPr>
      <w:r>
        <w:rPr>
          <w:rFonts w:hint="eastAsia"/>
          <w:color w:val="auto"/>
          <w:highlight w:val="none"/>
        </w:rPr>
        <w:t>以招标文件要求为基础，考虑各项相关因素的影响，将相关因素以定量计算的办法转换成分数表示形式，以最高“评标分数”确定评标结果顺序。</w:t>
      </w:r>
    </w:p>
    <w:p>
      <w:pPr>
        <w:ind w:firstLine="480"/>
        <w:rPr>
          <w:color w:val="auto"/>
          <w:highlight w:val="none"/>
        </w:rPr>
      </w:pPr>
      <w:r>
        <w:rPr>
          <w:rFonts w:hint="eastAsia"/>
          <w:color w:val="auto"/>
          <w:highlight w:val="none"/>
        </w:rPr>
        <w:t>本次招标的评标采用</w:t>
      </w:r>
      <w:r>
        <w:rPr>
          <w:rFonts w:hint="eastAsia"/>
          <w:b/>
          <w:bCs/>
          <w:color w:val="auto"/>
          <w:highlight w:val="none"/>
        </w:rPr>
        <w:t>综合评分法</w:t>
      </w:r>
      <w:r>
        <w:rPr>
          <w:rFonts w:hint="eastAsia"/>
          <w:color w:val="auto"/>
          <w:highlight w:val="none"/>
        </w:rPr>
        <w:t>。</w:t>
      </w:r>
    </w:p>
    <w:bookmarkEnd w:id="157"/>
    <w:bookmarkEnd w:id="158"/>
    <w:bookmarkEnd w:id="159"/>
    <w:bookmarkEnd w:id="160"/>
    <w:p>
      <w:pPr>
        <w:ind w:firstLine="480"/>
        <w:rPr>
          <w:color w:val="auto"/>
          <w:highlight w:val="none"/>
        </w:rPr>
      </w:pPr>
      <w:bookmarkStart w:id="161" w:name="_Toc82338234"/>
      <w:bookmarkStart w:id="162" w:name="_Toc450840083"/>
      <w:bookmarkStart w:id="163" w:name="_Toc82873317"/>
      <w:r>
        <w:rPr>
          <w:rFonts w:hint="eastAsia"/>
          <w:color w:val="auto"/>
          <w:highlight w:val="none"/>
        </w:rPr>
        <w:t>评标总分为100分，合格投标人的评标得分为各项目汇总得分，中标候选资格按评标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ind w:firstLine="480"/>
        <w:rPr>
          <w:color w:val="auto"/>
          <w:highlight w:val="none"/>
        </w:rPr>
      </w:pPr>
      <w:r>
        <w:rPr>
          <w:rFonts w:hint="eastAsia"/>
          <w:color w:val="auto"/>
          <w:highlight w:val="none"/>
        </w:rPr>
        <w:t>评分过程中采用四舍五入法，并保留小数2位</w:t>
      </w:r>
    </w:p>
    <w:p>
      <w:pPr>
        <w:ind w:firstLine="480"/>
        <w:rPr>
          <w:color w:val="auto"/>
          <w:highlight w:val="none"/>
        </w:rPr>
      </w:pPr>
      <w:r>
        <w:rPr>
          <w:rFonts w:hint="eastAsia"/>
          <w:color w:val="auto"/>
          <w:highlight w:val="none"/>
        </w:rPr>
        <w:t>投标人评标综合得分=商务分+技术分+价格分</w:t>
      </w:r>
    </w:p>
    <w:p>
      <w:pPr>
        <w:ind w:firstLine="480"/>
        <w:rPr>
          <w:color w:val="auto"/>
          <w:highlight w:val="none"/>
        </w:rPr>
      </w:pPr>
      <w:r>
        <w:rPr>
          <w:rFonts w:hint="eastAsia"/>
          <w:color w:val="auto"/>
          <w:highlight w:val="none"/>
        </w:rPr>
        <w:t>商务技术分按照评标委员会成员的独立评分结果的算术平均分计算，计算公式为：商务技术分=（评标委员会所有成员评分合计数）/（评标委员会组成人员数）</w:t>
      </w:r>
    </w:p>
    <w:p>
      <w:pPr>
        <w:pStyle w:val="4"/>
        <w:rPr>
          <w:rFonts w:cs="宋体"/>
          <w:color w:val="auto"/>
          <w:sz w:val="24"/>
          <w:szCs w:val="24"/>
          <w:highlight w:val="none"/>
        </w:rPr>
      </w:pPr>
      <w:bookmarkStart w:id="164" w:name="_Toc30520"/>
      <w:bookmarkStart w:id="165" w:name="_Toc30517"/>
      <w:bookmarkStart w:id="166" w:name="_Toc7789"/>
      <w:r>
        <w:rPr>
          <w:rFonts w:hint="eastAsia" w:cs="宋体"/>
          <w:color w:val="auto"/>
          <w:sz w:val="24"/>
          <w:szCs w:val="24"/>
          <w:highlight w:val="none"/>
        </w:rPr>
        <w:t>二、评分内容及标准</w:t>
      </w:r>
      <w:bookmarkEnd w:id="164"/>
      <w:bookmarkEnd w:id="165"/>
      <w:bookmarkEnd w:id="166"/>
    </w:p>
    <w:p>
      <w:pPr>
        <w:ind w:firstLine="480"/>
        <w:rPr>
          <w:rFonts w:cs="宋体"/>
          <w:color w:val="auto"/>
          <w:highlight w:val="none"/>
        </w:rPr>
      </w:pPr>
      <w:r>
        <w:rPr>
          <w:rFonts w:hint="eastAsia" w:cs="宋体"/>
          <w:color w:val="auto"/>
          <w:highlight w:val="none"/>
        </w:rPr>
        <w:t>本评标标准是对“投标人须知”中“</w:t>
      </w:r>
      <w:r>
        <w:rPr>
          <w:rFonts w:hint="eastAsia" w:cs="宋体"/>
          <w:b/>
          <w:color w:val="auto"/>
          <w:highlight w:val="none"/>
        </w:rPr>
        <w:t>第五节开标</w:t>
      </w:r>
      <w:r>
        <w:rPr>
          <w:rFonts w:hint="eastAsia" w:cs="宋体"/>
          <w:color w:val="auto"/>
          <w:highlight w:val="none"/>
        </w:rPr>
        <w:t>”、“</w:t>
      </w:r>
      <w:r>
        <w:rPr>
          <w:rFonts w:hint="eastAsia" w:cs="宋体"/>
          <w:b/>
          <w:color w:val="auto"/>
          <w:highlight w:val="none"/>
        </w:rPr>
        <w:t>第六节评标</w:t>
      </w:r>
      <w:r>
        <w:rPr>
          <w:rFonts w:hint="eastAsia" w:cs="宋体"/>
          <w:color w:val="auto"/>
          <w:highlight w:val="none"/>
        </w:rPr>
        <w:t>”以及其他相关条款的具体补充，如有矛盾，以本评标标准为准：</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750"/>
        <w:gridCol w:w="7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6"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b/>
                <w:spacing w:val="-6"/>
                <w:highlight w:val="none"/>
              </w:rPr>
            </w:pPr>
            <w:r>
              <w:rPr>
                <w:rFonts w:hint="eastAsia" w:ascii="宋体" w:hAnsi="宋体"/>
                <w:b/>
                <w:spacing w:val="-6"/>
                <w:highlight w:val="none"/>
              </w:rPr>
              <w:t>评审因素</w:t>
            </w:r>
          </w:p>
        </w:tc>
        <w:tc>
          <w:tcPr>
            <w:tcW w:w="750"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b/>
                <w:spacing w:val="-6"/>
                <w:highlight w:val="none"/>
              </w:rPr>
            </w:pPr>
            <w:r>
              <w:rPr>
                <w:rFonts w:hint="eastAsia" w:ascii="宋体" w:hAnsi="宋体"/>
                <w:b/>
                <w:spacing w:val="-6"/>
                <w:highlight w:val="none"/>
              </w:rPr>
              <w:t>分值</w:t>
            </w:r>
          </w:p>
        </w:tc>
        <w:tc>
          <w:tcPr>
            <w:tcW w:w="7819" w:type="dxa"/>
            <w:noWrap w:val="0"/>
            <w:vAlign w:val="center"/>
          </w:tcPr>
          <w:p>
            <w:pPr>
              <w:pStyle w:val="178"/>
              <w:keepNext w:val="0"/>
              <w:keepLines w:val="0"/>
              <w:pageBreakBefore w:val="0"/>
              <w:kinsoku/>
              <w:overflowPunct/>
              <w:topLinePunct w:val="0"/>
              <w:bidi w:val="0"/>
              <w:spacing w:line="240" w:lineRule="auto"/>
              <w:ind w:firstLine="0" w:firstLineChars="0"/>
              <w:textAlignment w:val="auto"/>
              <w:rPr>
                <w:rFonts w:ascii="宋体" w:hAnsi="宋体" w:eastAsia="宋体"/>
                <w:b/>
                <w:spacing w:val="-6"/>
                <w:highlight w:val="none"/>
              </w:rPr>
            </w:pPr>
            <w:r>
              <w:rPr>
                <w:rFonts w:ascii="宋体" w:hAnsi="宋体" w:eastAsia="宋体"/>
                <w:b/>
                <w:spacing w:val="-6"/>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9515" w:type="dxa"/>
            <w:gridSpan w:val="3"/>
            <w:noWrap w:val="0"/>
            <w:vAlign w:val="center"/>
          </w:tcPr>
          <w:p>
            <w:pPr>
              <w:pStyle w:val="178"/>
              <w:keepNext w:val="0"/>
              <w:keepLines w:val="0"/>
              <w:pageBreakBefore w:val="0"/>
              <w:kinsoku/>
              <w:overflowPunct/>
              <w:topLinePunct w:val="0"/>
              <w:bidi w:val="0"/>
              <w:spacing w:line="240" w:lineRule="auto"/>
              <w:ind w:firstLine="0" w:firstLineChars="0"/>
              <w:textAlignment w:val="auto"/>
              <w:rPr>
                <w:rFonts w:ascii="宋体" w:hAnsi="宋体" w:eastAsia="宋体"/>
                <w:spacing w:val="-6"/>
                <w:highlight w:val="none"/>
              </w:rPr>
            </w:pPr>
            <w:r>
              <w:rPr>
                <w:rFonts w:ascii="宋体" w:hAnsi="宋体" w:eastAsia="宋体"/>
                <w:b/>
                <w:bCs/>
                <w:spacing w:val="-6"/>
                <w:kern w:val="2"/>
                <w:highlight w:val="none"/>
              </w:rPr>
              <w:t>价格分 （</w:t>
            </w:r>
            <w:r>
              <w:rPr>
                <w:rFonts w:hint="eastAsia" w:ascii="宋体" w:hAnsi="宋体" w:eastAsia="宋体"/>
                <w:b/>
                <w:bCs/>
                <w:spacing w:val="-6"/>
                <w:kern w:val="2"/>
                <w:highlight w:val="none"/>
                <w:lang w:val="en-US" w:eastAsia="zh-CN"/>
              </w:rPr>
              <w:t>10</w:t>
            </w:r>
            <w:r>
              <w:rPr>
                <w:rFonts w:ascii="宋体" w:hAnsi="宋体" w:eastAsia="宋体"/>
                <w:b/>
                <w:bCs/>
                <w:spacing w:val="-6"/>
                <w:kern w:val="2"/>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94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kinsoku/>
              <w:overflowPunct/>
              <w:topLinePunct w:val="0"/>
              <w:bidi w:val="0"/>
              <w:spacing w:line="240" w:lineRule="auto"/>
              <w:ind w:firstLine="0" w:firstLineChars="0"/>
              <w:jc w:val="center"/>
              <w:textAlignment w:val="auto"/>
              <w:rPr>
                <w:rFonts w:hint="eastAsia" w:hAnsi="宋体" w:cs="宋体"/>
                <w:spacing w:val="-6"/>
                <w:sz w:val="24"/>
                <w:szCs w:val="24"/>
                <w:highlight w:val="none"/>
              </w:rPr>
            </w:pPr>
            <w:r>
              <w:rPr>
                <w:rFonts w:hint="eastAsia" w:hAnsi="宋体" w:cs="宋体"/>
                <w:spacing w:val="-6"/>
                <w:sz w:val="24"/>
                <w:szCs w:val="24"/>
                <w:highlight w:val="none"/>
                <w:lang w:val="en-US" w:eastAsia="zh-CN"/>
              </w:rPr>
              <w:t>投标</w:t>
            </w:r>
            <w:r>
              <w:rPr>
                <w:rFonts w:hint="eastAsia" w:hAnsi="宋体" w:cs="宋体"/>
                <w:spacing w:val="-6"/>
                <w:sz w:val="24"/>
                <w:szCs w:val="24"/>
                <w:highlight w:val="none"/>
              </w:rPr>
              <w:t>报价</w:t>
            </w:r>
          </w:p>
        </w:tc>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default" w:ascii="宋体" w:hAnsi="宋体" w:eastAsia="宋体"/>
                <w:spacing w:val="-6"/>
                <w:sz w:val="24"/>
                <w:szCs w:val="24"/>
                <w:highlight w:val="none"/>
                <w:lang w:val="en-US" w:eastAsia="zh-CN"/>
              </w:rPr>
            </w:pPr>
            <w:r>
              <w:rPr>
                <w:rFonts w:hint="eastAsia" w:ascii="宋体" w:hAnsi="宋体" w:eastAsia="宋体"/>
                <w:spacing w:val="-6"/>
                <w:sz w:val="24"/>
                <w:szCs w:val="24"/>
                <w:highlight w:val="none"/>
                <w:lang w:val="en-US" w:eastAsia="zh-CN"/>
              </w:rPr>
              <w:t>10</w:t>
            </w:r>
          </w:p>
        </w:tc>
        <w:tc>
          <w:tcPr>
            <w:tcW w:w="781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kinsoku/>
              <w:overflowPunct/>
              <w:topLinePunct w:val="0"/>
              <w:bidi w:val="0"/>
              <w:spacing w:line="240" w:lineRule="auto"/>
              <w:ind w:firstLine="0" w:firstLineChars="0"/>
              <w:textAlignment w:val="auto"/>
              <w:rPr>
                <w:rFonts w:hint="eastAsia" w:hAnsi="宋体" w:cs="宋体"/>
                <w:sz w:val="24"/>
                <w:szCs w:val="24"/>
                <w:highlight w:val="none"/>
              </w:rPr>
            </w:pPr>
            <w:r>
              <w:rPr>
                <w:rFonts w:hint="eastAsia" w:hAnsi="宋体" w:cs="宋体"/>
                <w:b/>
                <w:bCs/>
                <w:sz w:val="24"/>
                <w:szCs w:val="24"/>
                <w:highlight w:val="none"/>
              </w:rPr>
              <w:t>价格分计算，满足</w:t>
            </w:r>
            <w:r>
              <w:rPr>
                <w:rFonts w:hint="eastAsia" w:hAnsi="宋体" w:cs="宋体"/>
                <w:b/>
                <w:bCs/>
                <w:sz w:val="24"/>
                <w:szCs w:val="24"/>
                <w:highlight w:val="none"/>
                <w:lang w:val="en-US" w:eastAsia="zh-CN"/>
              </w:rPr>
              <w:t>招标</w:t>
            </w:r>
            <w:r>
              <w:rPr>
                <w:rFonts w:hint="eastAsia" w:hAnsi="宋体" w:cs="宋体"/>
                <w:b/>
                <w:bCs/>
                <w:sz w:val="24"/>
                <w:szCs w:val="24"/>
                <w:highlight w:val="none"/>
              </w:rPr>
              <w:t>文件要求且价格最低的</w:t>
            </w:r>
            <w:r>
              <w:rPr>
                <w:rFonts w:hint="eastAsia" w:hAnsi="宋体" w:cs="宋体"/>
                <w:b/>
                <w:bCs/>
                <w:sz w:val="24"/>
                <w:szCs w:val="24"/>
                <w:highlight w:val="none"/>
                <w:lang w:val="en-US" w:eastAsia="zh-CN"/>
              </w:rPr>
              <w:t>投标</w:t>
            </w:r>
            <w:r>
              <w:rPr>
                <w:rFonts w:hint="eastAsia" w:hAnsi="宋体" w:cs="宋体"/>
                <w:b/>
                <w:bCs/>
                <w:sz w:val="24"/>
                <w:szCs w:val="24"/>
                <w:highlight w:val="none"/>
              </w:rPr>
              <w:t>报价为评标基准价，其他</w:t>
            </w:r>
            <w:r>
              <w:rPr>
                <w:rFonts w:hint="eastAsia" w:hAnsi="宋体" w:cs="宋体"/>
                <w:b/>
                <w:bCs/>
                <w:sz w:val="24"/>
                <w:szCs w:val="24"/>
                <w:highlight w:val="none"/>
                <w:lang w:val="en-US" w:eastAsia="zh-CN"/>
              </w:rPr>
              <w:t>投标</w:t>
            </w:r>
            <w:r>
              <w:rPr>
                <w:rFonts w:hint="eastAsia" w:hAnsi="宋体" w:cs="宋体"/>
                <w:b/>
                <w:bCs/>
                <w:sz w:val="24"/>
                <w:szCs w:val="24"/>
                <w:highlight w:val="none"/>
              </w:rPr>
              <w:t>单位的价格分按照下列公式计算：</w:t>
            </w:r>
          </w:p>
          <w:p>
            <w:pPr>
              <w:keepNext w:val="0"/>
              <w:keepLines w:val="0"/>
              <w:pageBreakBefore w:val="0"/>
              <w:kinsoku/>
              <w:overflowPunct/>
              <w:topLinePunct w:val="0"/>
              <w:bidi w:val="0"/>
              <w:spacing w:line="240" w:lineRule="auto"/>
              <w:ind w:firstLine="0" w:firstLineChars="0"/>
              <w:textAlignment w:val="auto"/>
              <w:rPr>
                <w:rFonts w:hint="eastAsia" w:ascii="宋体" w:hAnsi="宋体"/>
                <w:b w:val="0"/>
                <w:bCs w:val="0"/>
                <w:sz w:val="24"/>
                <w:szCs w:val="24"/>
                <w:highlight w:val="none"/>
              </w:rPr>
            </w:pPr>
            <w:r>
              <w:rPr>
                <w:rFonts w:hint="eastAsia" w:ascii="宋体" w:hAnsi="宋体"/>
                <w:b w:val="0"/>
                <w:bCs w:val="0"/>
                <w:sz w:val="24"/>
                <w:szCs w:val="24"/>
                <w:highlight w:val="none"/>
              </w:rPr>
              <w:t>价格分=（评标基准价/</w:t>
            </w:r>
            <w:r>
              <w:rPr>
                <w:rFonts w:hint="eastAsia" w:hAnsi="宋体" w:cs="宋体"/>
                <w:b w:val="0"/>
                <w:bCs w:val="0"/>
                <w:sz w:val="24"/>
                <w:szCs w:val="24"/>
                <w:highlight w:val="none"/>
                <w:lang w:val="en-US" w:eastAsia="zh-CN"/>
              </w:rPr>
              <w:t>投标</w:t>
            </w:r>
            <w:r>
              <w:rPr>
                <w:rFonts w:hint="eastAsia" w:ascii="宋体" w:hAnsi="宋体"/>
                <w:b w:val="0"/>
                <w:bCs w:val="0"/>
                <w:sz w:val="24"/>
                <w:szCs w:val="24"/>
                <w:highlight w:val="none"/>
              </w:rPr>
              <w:t>报价）×</w:t>
            </w:r>
            <w:r>
              <w:rPr>
                <w:rFonts w:hint="eastAsia" w:ascii="宋体" w:hAnsi="宋体"/>
                <w:b w:val="0"/>
                <w:bCs w:val="0"/>
                <w:sz w:val="24"/>
                <w:szCs w:val="24"/>
                <w:highlight w:val="none"/>
                <w:lang w:val="en-US" w:eastAsia="zh-CN"/>
              </w:rPr>
              <w:t>10</w:t>
            </w:r>
            <w:r>
              <w:rPr>
                <w:rFonts w:hint="eastAsia" w:ascii="宋体" w:hAnsi="宋体"/>
                <w:b w:val="0"/>
                <w:bCs w:val="0"/>
                <w:sz w:val="24"/>
                <w:szCs w:val="24"/>
                <w:highlight w:val="none"/>
              </w:rPr>
              <w:t>%×100</w:t>
            </w:r>
          </w:p>
          <w:p>
            <w:pPr>
              <w:pStyle w:val="131"/>
              <w:keepNext w:val="0"/>
              <w:keepLines w:val="0"/>
              <w:pageBreakBefore w:val="0"/>
              <w:kinsoku/>
              <w:overflowPunct/>
              <w:topLinePunct w:val="0"/>
              <w:bidi w:val="0"/>
              <w:spacing w:line="240" w:lineRule="auto"/>
              <w:ind w:firstLine="0" w:firstLineChars="0"/>
              <w:textAlignment w:val="auto"/>
              <w:rPr>
                <w:rFonts w:hint="eastAsia" w:ascii="宋体" w:hAnsi="宋体" w:eastAsia="宋体" w:cs="宋体"/>
                <w:color w:val="auto"/>
                <w:spacing w:val="-6"/>
                <w:sz w:val="24"/>
                <w:szCs w:val="24"/>
                <w:highlight w:val="none"/>
              </w:rPr>
            </w:pPr>
            <w:r>
              <w:rPr>
                <w:rFonts w:hint="eastAsia" w:ascii="宋体" w:hAnsi="宋体" w:eastAsia="宋体" w:cs="宋体"/>
                <w:b w:val="0"/>
                <w:bCs w:val="0"/>
                <w:color w:val="auto"/>
                <w:sz w:val="24"/>
                <w:szCs w:val="24"/>
                <w:highlight w:val="none"/>
                <w:lang w:val="zh-CN"/>
              </w:rPr>
              <w:t>注：投标</w:t>
            </w:r>
            <w:r>
              <w:rPr>
                <w:rFonts w:hint="eastAsia" w:ascii="宋体" w:hAnsi="宋体" w:eastAsia="宋体" w:cs="宋体"/>
                <w:b w:val="0"/>
                <w:bCs w:val="0"/>
                <w:color w:val="auto"/>
                <w:sz w:val="24"/>
                <w:szCs w:val="24"/>
                <w:highlight w:val="none"/>
                <w:lang w:eastAsia="zh-Hans"/>
              </w:rPr>
              <w:t>供应商</w:t>
            </w:r>
            <w:r>
              <w:rPr>
                <w:rFonts w:hint="eastAsia" w:ascii="宋体" w:hAnsi="宋体" w:eastAsia="宋体" w:cs="宋体"/>
                <w:b w:val="0"/>
                <w:bCs w:val="0"/>
                <w:color w:val="auto"/>
                <w:sz w:val="24"/>
                <w:szCs w:val="24"/>
                <w:highlight w:val="none"/>
                <w:lang w:val="zh-CN"/>
              </w:rPr>
              <w:t>的</w:t>
            </w:r>
            <w:r>
              <w:rPr>
                <w:rFonts w:hint="eastAsia" w:ascii="宋体" w:hAnsi="宋体" w:eastAsia="宋体" w:cs="宋体"/>
                <w:b w:val="0"/>
                <w:bCs w:val="0"/>
                <w:color w:val="auto"/>
                <w:sz w:val="24"/>
                <w:szCs w:val="24"/>
                <w:highlight w:val="none"/>
                <w:lang w:eastAsia="zh-Hans"/>
              </w:rPr>
              <w:t>最终</w:t>
            </w:r>
            <w:r>
              <w:rPr>
                <w:rFonts w:hint="eastAsia" w:ascii="宋体" w:hAnsi="宋体" w:eastAsia="宋体" w:cs="宋体"/>
                <w:b w:val="0"/>
                <w:bCs w:val="0"/>
                <w:color w:val="auto"/>
                <w:sz w:val="24"/>
                <w:szCs w:val="24"/>
                <w:highlight w:val="none"/>
                <w:lang w:val="zh-CN"/>
              </w:rPr>
              <w:t>报价超过</w:t>
            </w:r>
            <w:r>
              <w:rPr>
                <w:rFonts w:hint="eastAsia" w:ascii="宋体" w:hAnsi="宋体" w:eastAsia="宋体" w:cs="宋体"/>
                <w:b w:val="0"/>
                <w:bCs w:val="0"/>
                <w:color w:val="auto"/>
                <w:sz w:val="24"/>
                <w:szCs w:val="24"/>
                <w:highlight w:val="none"/>
              </w:rPr>
              <w:t>预算金额或</w:t>
            </w:r>
            <w:r>
              <w:rPr>
                <w:rFonts w:hint="eastAsia" w:ascii="宋体" w:hAnsi="宋体" w:eastAsia="宋体" w:cs="宋体"/>
                <w:b w:val="0"/>
                <w:bCs w:val="0"/>
                <w:color w:val="auto"/>
                <w:sz w:val="24"/>
                <w:szCs w:val="24"/>
                <w:highlight w:val="none"/>
                <w:lang w:val="zh-CN"/>
              </w:rPr>
              <w:t>最高限价（不含</w:t>
            </w:r>
            <w:r>
              <w:rPr>
                <w:rFonts w:hint="eastAsia" w:ascii="宋体" w:hAnsi="宋体" w:eastAsia="宋体" w:cs="宋体"/>
                <w:b w:val="0"/>
                <w:bCs w:val="0"/>
                <w:color w:val="auto"/>
                <w:sz w:val="24"/>
                <w:szCs w:val="24"/>
                <w:highlight w:val="none"/>
              </w:rPr>
              <w:t>本数</w:t>
            </w:r>
            <w:r>
              <w:rPr>
                <w:rFonts w:hint="eastAsia" w:ascii="宋体" w:hAnsi="宋体" w:eastAsia="宋体" w:cs="宋体"/>
                <w:b w:val="0"/>
                <w:bCs w:val="0"/>
                <w:color w:val="auto"/>
                <w:sz w:val="24"/>
                <w:szCs w:val="24"/>
                <w:highlight w:val="none"/>
                <w:lang w:val="zh-CN"/>
              </w:rPr>
              <w:t>）的为无效报价。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9515" w:type="dxa"/>
            <w:gridSpan w:val="3"/>
            <w:noWrap w:val="0"/>
            <w:vAlign w:val="center"/>
          </w:tcPr>
          <w:p>
            <w:pPr>
              <w:pStyle w:val="178"/>
              <w:keepNext w:val="0"/>
              <w:keepLines w:val="0"/>
              <w:pageBreakBefore w:val="0"/>
              <w:kinsoku/>
              <w:overflowPunct/>
              <w:topLinePunct w:val="0"/>
              <w:bidi w:val="0"/>
              <w:spacing w:line="240" w:lineRule="auto"/>
              <w:ind w:firstLine="0" w:firstLineChars="0"/>
              <w:textAlignment w:val="auto"/>
              <w:rPr>
                <w:rFonts w:ascii="宋体" w:hAnsi="宋体" w:eastAsia="宋体"/>
                <w:b/>
                <w:spacing w:val="-6"/>
                <w:highlight w:val="none"/>
              </w:rPr>
            </w:pPr>
            <w:r>
              <w:rPr>
                <w:rFonts w:ascii="宋体" w:hAnsi="宋体" w:eastAsia="宋体"/>
                <w:b/>
                <w:spacing w:val="-6"/>
                <w:highlight w:val="none"/>
              </w:rPr>
              <w:t>商务分 （</w:t>
            </w:r>
            <w:r>
              <w:rPr>
                <w:rFonts w:hint="eastAsia" w:ascii="宋体" w:hAnsi="宋体" w:eastAsia="宋体"/>
                <w:b/>
                <w:spacing w:val="-6"/>
                <w:highlight w:val="none"/>
                <w:lang w:val="en-US" w:eastAsia="zh-CN"/>
              </w:rPr>
              <w:t>8</w:t>
            </w:r>
            <w:r>
              <w:rPr>
                <w:rFonts w:ascii="宋体" w:hAnsi="宋体" w:eastAsia="宋体"/>
                <w:b/>
                <w:spacing w:val="-6"/>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946"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spacing w:val="-6"/>
                <w:highlight w:val="none"/>
              </w:rPr>
            </w:pPr>
            <w:r>
              <w:rPr>
                <w:rFonts w:hint="eastAsia" w:ascii="宋体" w:hAnsi="宋体"/>
                <w:spacing w:val="-6"/>
                <w:highlight w:val="none"/>
              </w:rPr>
              <w:t>业绩</w:t>
            </w:r>
          </w:p>
        </w:tc>
        <w:tc>
          <w:tcPr>
            <w:tcW w:w="750"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eastAsia="宋体"/>
                <w:spacing w:val="-6"/>
                <w:highlight w:val="none"/>
                <w:lang w:eastAsia="zh-CN"/>
              </w:rPr>
            </w:pPr>
            <w:r>
              <w:rPr>
                <w:rFonts w:hint="eastAsia" w:ascii="宋体" w:hAnsi="宋体"/>
                <w:spacing w:val="-6"/>
                <w:highlight w:val="none"/>
                <w:lang w:val="en-US" w:eastAsia="zh-CN"/>
              </w:rPr>
              <w:t>5</w:t>
            </w:r>
          </w:p>
        </w:tc>
        <w:tc>
          <w:tcPr>
            <w:tcW w:w="7819" w:type="dxa"/>
            <w:noWrap w:val="0"/>
            <w:vAlign w:val="center"/>
          </w:tcPr>
          <w:p>
            <w:pPr>
              <w:keepNext w:val="0"/>
              <w:keepLines w:val="0"/>
              <w:pageBreakBefore w:val="0"/>
              <w:kinsoku/>
              <w:overflowPunct/>
              <w:topLinePunct w:val="0"/>
              <w:bidi w:val="0"/>
              <w:spacing w:line="240" w:lineRule="auto"/>
              <w:ind w:firstLine="0" w:firstLineChars="0"/>
              <w:textAlignment w:val="auto"/>
              <w:rPr>
                <w:rFonts w:hint="eastAsia" w:ascii="宋体" w:hAnsi="宋体"/>
                <w:spacing w:val="-6"/>
                <w:highlight w:val="none"/>
              </w:rPr>
            </w:pPr>
            <w:r>
              <w:rPr>
                <w:rFonts w:hint="eastAsia" w:ascii="宋体" w:hAnsi="宋体"/>
                <w:highlight w:val="none"/>
                <w:lang w:eastAsia="zh-Hans"/>
              </w:rPr>
              <w:t>投标供应商</w:t>
            </w:r>
            <w:r>
              <w:rPr>
                <w:rFonts w:hint="eastAsia" w:ascii="宋体" w:hAnsi="宋体"/>
                <w:spacing w:val="-6"/>
                <w:highlight w:val="none"/>
              </w:rPr>
              <w:t>自2018年1</w:t>
            </w:r>
            <w:r>
              <w:rPr>
                <w:rFonts w:hint="eastAsia" w:ascii="宋体" w:hAnsi="宋体"/>
                <w:spacing w:val="-6"/>
                <w:highlight w:val="none"/>
                <w:lang w:val="en-US" w:eastAsia="zh-CN"/>
              </w:rPr>
              <w:t>1</w:t>
            </w:r>
            <w:r>
              <w:rPr>
                <w:rFonts w:hint="eastAsia" w:ascii="宋体" w:hAnsi="宋体"/>
                <w:spacing w:val="-6"/>
                <w:highlight w:val="none"/>
              </w:rPr>
              <w:t>月份以来</w:t>
            </w:r>
            <w:r>
              <w:rPr>
                <w:rFonts w:hint="eastAsia" w:ascii="宋体" w:hAnsi="宋体"/>
                <w:spacing w:val="-6"/>
                <w:highlight w:val="none"/>
                <w:lang w:val="en-US" w:eastAsia="zh-CN"/>
              </w:rPr>
              <w:t>类似的</w:t>
            </w:r>
            <w:r>
              <w:rPr>
                <w:rFonts w:hint="eastAsia" w:ascii="宋体" w:hAnsi="宋体"/>
                <w:spacing w:val="-6"/>
                <w:highlight w:val="none"/>
              </w:rPr>
              <w:t>采购合同，每个有效业绩得1分，最高得</w:t>
            </w:r>
            <w:r>
              <w:rPr>
                <w:rFonts w:hint="eastAsia" w:ascii="宋体" w:hAnsi="宋体"/>
                <w:spacing w:val="-6"/>
                <w:highlight w:val="none"/>
                <w:lang w:val="en-US" w:eastAsia="zh-CN"/>
              </w:rPr>
              <w:t>5</w:t>
            </w:r>
            <w:r>
              <w:rPr>
                <w:rFonts w:hint="eastAsia" w:ascii="宋体" w:hAnsi="宋体"/>
                <w:spacing w:val="-6"/>
                <w:highlight w:val="none"/>
              </w:rPr>
              <w:t>分；（以合同签订时间为准，需提供合同复印件）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946"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eastAsia="宋体"/>
                <w:spacing w:val="-6"/>
                <w:highlight w:val="none"/>
                <w:lang w:eastAsia="zh-CN"/>
              </w:rPr>
            </w:pPr>
            <w:r>
              <w:rPr>
                <w:rFonts w:hint="eastAsia" w:ascii="宋体" w:hAnsi="宋体"/>
                <w:spacing w:val="-6"/>
                <w:highlight w:val="none"/>
                <w:lang w:eastAsia="zh-CN"/>
              </w:rPr>
              <w:t>体系证书</w:t>
            </w:r>
          </w:p>
        </w:tc>
        <w:tc>
          <w:tcPr>
            <w:tcW w:w="750"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eastAsia="宋体"/>
                <w:spacing w:val="-6"/>
                <w:highlight w:val="none"/>
                <w:lang w:eastAsia="zh-CN"/>
              </w:rPr>
            </w:pPr>
            <w:r>
              <w:rPr>
                <w:rFonts w:hint="eastAsia" w:ascii="宋体" w:hAnsi="宋体"/>
                <w:spacing w:val="-6"/>
                <w:highlight w:val="none"/>
                <w:lang w:val="en-US" w:eastAsia="zh-CN"/>
              </w:rPr>
              <w:t>3</w:t>
            </w:r>
          </w:p>
        </w:tc>
        <w:tc>
          <w:tcPr>
            <w:tcW w:w="7819" w:type="dxa"/>
            <w:noWrap w:val="0"/>
            <w:vAlign w:val="center"/>
          </w:tcPr>
          <w:p>
            <w:pPr>
              <w:keepNext w:val="0"/>
              <w:keepLines w:val="0"/>
              <w:pageBreakBefore w:val="0"/>
              <w:kinsoku/>
              <w:overflowPunct/>
              <w:topLinePunct w:val="0"/>
              <w:bidi w:val="0"/>
              <w:spacing w:line="240" w:lineRule="auto"/>
              <w:ind w:firstLine="0" w:firstLineChars="0"/>
              <w:textAlignment w:val="auto"/>
              <w:rPr>
                <w:rFonts w:hint="eastAsia" w:ascii="宋体" w:hAnsi="宋体"/>
                <w:spacing w:val="-6"/>
                <w:highlight w:val="none"/>
              </w:rPr>
            </w:pPr>
            <w:r>
              <w:rPr>
                <w:rFonts w:hint="eastAsia" w:ascii="宋体" w:hAnsi="宋体"/>
                <w:highlight w:val="none"/>
                <w:lang w:eastAsia="zh-Hans"/>
              </w:rPr>
              <w:t>投标供应商具有有效的质量管理系统认证</w:t>
            </w:r>
            <w:r>
              <w:rPr>
                <w:rFonts w:hint="eastAsia" w:ascii="宋体" w:hAnsi="宋体"/>
                <w:highlight w:val="none"/>
                <w:lang w:val="en-US" w:eastAsia="zh-CN"/>
              </w:rPr>
              <w:t>证书</w:t>
            </w:r>
            <w:r>
              <w:rPr>
                <w:rFonts w:hint="eastAsia" w:ascii="宋体" w:hAnsi="宋体"/>
                <w:highlight w:val="none"/>
                <w:lang w:eastAsia="zh-Hans"/>
              </w:rPr>
              <w:t>、环境管理体系认证证书</w:t>
            </w:r>
            <w:r>
              <w:rPr>
                <w:rFonts w:hint="eastAsia" w:ascii="宋体" w:hAnsi="宋体"/>
                <w:highlight w:val="none"/>
                <w:lang w:eastAsia="zh-CN"/>
              </w:rPr>
              <w:t>、</w:t>
            </w:r>
            <w:r>
              <w:rPr>
                <w:rFonts w:hint="eastAsia" w:ascii="宋体" w:hAnsi="宋体" w:cs="宋体"/>
                <w:kern w:val="0"/>
                <w:sz w:val="24"/>
                <w:lang w:val="en-US" w:eastAsia="zh-CN"/>
              </w:rPr>
              <w:t>职业健康安全管理体系</w:t>
            </w:r>
            <w:r>
              <w:rPr>
                <w:rFonts w:hint="eastAsia" w:ascii="宋体" w:hAnsi="宋体" w:cs="宋体"/>
                <w:kern w:val="0"/>
                <w:sz w:val="24"/>
              </w:rPr>
              <w:t>认证</w:t>
            </w:r>
            <w:r>
              <w:rPr>
                <w:rFonts w:hint="eastAsia" w:ascii="宋体" w:hAnsi="宋体" w:cs="宋体"/>
                <w:kern w:val="0"/>
                <w:sz w:val="24"/>
                <w:lang w:val="en-US" w:eastAsia="zh-CN"/>
              </w:rPr>
              <w:t>证书</w:t>
            </w:r>
            <w:r>
              <w:rPr>
                <w:rFonts w:hint="eastAsia" w:ascii="宋体" w:hAnsi="宋体"/>
                <w:highlight w:val="none"/>
                <w:lang w:eastAsia="zh-Hans"/>
              </w:rPr>
              <w:t>，每项得1分，本项最高得</w:t>
            </w:r>
            <w:r>
              <w:rPr>
                <w:rFonts w:hint="eastAsia" w:ascii="宋体" w:hAnsi="宋体"/>
                <w:highlight w:val="none"/>
                <w:lang w:val="en-US" w:eastAsia="zh-CN"/>
              </w:rPr>
              <w:t>3</w:t>
            </w:r>
            <w:r>
              <w:rPr>
                <w:rFonts w:hint="eastAsia" w:ascii="宋体" w:hAnsi="宋体"/>
                <w:highlight w:val="none"/>
                <w:lang w:eastAsia="zh-Hans"/>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515" w:type="dxa"/>
            <w:gridSpan w:val="3"/>
            <w:noWrap w:val="0"/>
            <w:vAlign w:val="center"/>
          </w:tcPr>
          <w:p>
            <w:pPr>
              <w:pStyle w:val="2"/>
              <w:keepNext w:val="0"/>
              <w:keepLines w:val="0"/>
              <w:pageBreakBefore w:val="0"/>
              <w:kinsoku/>
              <w:overflowPunct/>
              <w:topLinePunct w:val="0"/>
              <w:bidi w:val="0"/>
              <w:spacing w:line="240" w:lineRule="auto"/>
              <w:ind w:firstLine="0" w:firstLineChars="0"/>
              <w:jc w:val="center"/>
              <w:textAlignment w:val="auto"/>
              <w:rPr>
                <w:rFonts w:hint="eastAsia" w:hAnsi="宋体" w:cs="宋体"/>
                <w:spacing w:val="-6"/>
                <w:sz w:val="24"/>
                <w:szCs w:val="24"/>
                <w:highlight w:val="none"/>
              </w:rPr>
            </w:pPr>
            <w:r>
              <w:rPr>
                <w:rFonts w:hint="eastAsia" w:hAnsi="宋体" w:cs="宋体"/>
                <w:b/>
                <w:spacing w:val="-6"/>
                <w:sz w:val="24"/>
                <w:szCs w:val="24"/>
                <w:highlight w:val="none"/>
              </w:rPr>
              <w:t>技术分 （</w:t>
            </w:r>
            <w:r>
              <w:rPr>
                <w:rFonts w:hint="eastAsia" w:hAnsi="宋体" w:cs="宋体"/>
                <w:b/>
                <w:spacing w:val="-6"/>
                <w:sz w:val="24"/>
                <w:szCs w:val="24"/>
                <w:highlight w:val="none"/>
                <w:lang w:val="en-US" w:eastAsia="zh-CN"/>
              </w:rPr>
              <w:t>82</w:t>
            </w:r>
            <w:r>
              <w:rPr>
                <w:rFonts w:hint="eastAsia" w:hAnsi="宋体" w:cs="宋体"/>
                <w:b/>
                <w:spacing w:val="-6"/>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946"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spacing w:val="-6"/>
                <w:highlight w:val="none"/>
              </w:rPr>
            </w:pPr>
            <w:r>
              <w:rPr>
                <w:rFonts w:hint="eastAsia" w:ascii="宋体" w:hAnsi="宋体"/>
                <w:spacing w:val="-6"/>
                <w:highlight w:val="none"/>
              </w:rPr>
              <w:t>响应程度</w:t>
            </w:r>
          </w:p>
        </w:tc>
        <w:tc>
          <w:tcPr>
            <w:tcW w:w="750"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eastAsia="宋体"/>
                <w:highlight w:val="none"/>
                <w:lang w:eastAsia="zh-CN"/>
              </w:rPr>
            </w:pPr>
            <w:r>
              <w:rPr>
                <w:rFonts w:hint="eastAsia" w:ascii="宋体" w:hAnsi="宋体"/>
                <w:highlight w:val="none"/>
              </w:rPr>
              <w:t>2</w:t>
            </w:r>
            <w:r>
              <w:rPr>
                <w:rFonts w:hint="eastAsia" w:ascii="宋体" w:hAnsi="宋体"/>
                <w:highlight w:val="none"/>
                <w:lang w:val="en-US" w:eastAsia="zh-CN"/>
              </w:rPr>
              <w:t>0</w:t>
            </w:r>
          </w:p>
        </w:tc>
        <w:tc>
          <w:tcPr>
            <w:tcW w:w="7819" w:type="dxa"/>
            <w:noWrap w:val="0"/>
            <w:vAlign w:val="center"/>
          </w:tcPr>
          <w:p>
            <w:pPr>
              <w:keepNext w:val="0"/>
              <w:keepLines w:val="0"/>
              <w:pageBreakBefore w:val="0"/>
              <w:kinsoku/>
              <w:overflowPunct/>
              <w:topLinePunct w:val="0"/>
              <w:bidi w:val="0"/>
              <w:spacing w:line="240" w:lineRule="auto"/>
              <w:ind w:firstLine="0" w:firstLineChars="0"/>
              <w:textAlignment w:val="auto"/>
              <w:rPr>
                <w:rFonts w:hint="eastAsia" w:ascii="宋体" w:hAnsi="宋体"/>
                <w:highlight w:val="none"/>
              </w:rPr>
            </w:pPr>
            <w:r>
              <w:rPr>
                <w:rFonts w:hint="eastAsia" w:ascii="宋体" w:hAnsi="宋体"/>
                <w:highlight w:val="none"/>
              </w:rPr>
              <w:t>不符合（负偏离）服务要求中注“▲”条款（不可偏离）的响应无效；</w:t>
            </w:r>
          </w:p>
          <w:p>
            <w:pPr>
              <w:keepNext w:val="0"/>
              <w:keepLines w:val="0"/>
              <w:pageBreakBefore w:val="0"/>
              <w:kinsoku/>
              <w:overflowPunct/>
              <w:topLinePunct w:val="0"/>
              <w:bidi w:val="0"/>
              <w:spacing w:line="240" w:lineRule="auto"/>
              <w:ind w:firstLine="0" w:firstLineChars="0"/>
              <w:textAlignment w:val="auto"/>
              <w:rPr>
                <w:rFonts w:hint="eastAsia" w:ascii="宋体" w:hAnsi="宋体"/>
                <w:highlight w:val="none"/>
              </w:rPr>
            </w:pPr>
            <w:r>
              <w:rPr>
                <w:rFonts w:hint="eastAsia" w:ascii="宋体" w:hAnsi="宋体"/>
                <w:highlight w:val="none"/>
              </w:rPr>
              <w:t>全部满足</w:t>
            </w:r>
            <w:r>
              <w:rPr>
                <w:rFonts w:hint="eastAsia" w:ascii="宋体" w:hAnsi="宋体"/>
                <w:highlight w:val="none"/>
                <w:lang w:val="en-US" w:eastAsia="zh-CN"/>
              </w:rPr>
              <w:t>招标</w:t>
            </w:r>
            <w:r>
              <w:rPr>
                <w:rFonts w:hint="eastAsia" w:ascii="宋体" w:hAnsi="宋体"/>
                <w:highlight w:val="none"/>
              </w:rPr>
              <w:t>文件明确的服务要求，得20分；允许偏离的服务条款低于服务要求（负偏离）的，每项扣</w:t>
            </w:r>
            <w:r>
              <w:rPr>
                <w:rFonts w:hint="eastAsia" w:ascii="宋体" w:hAnsi="宋体"/>
                <w:highlight w:val="none"/>
                <w:lang w:val="en-US" w:eastAsia="zh-CN"/>
              </w:rPr>
              <w:t>3</w:t>
            </w:r>
            <w:r>
              <w:rPr>
                <w:rFonts w:hint="eastAsia" w:ascii="宋体" w:hAnsi="宋体"/>
                <w:highlight w:val="none"/>
              </w:rPr>
              <w:t>分，允许偏离的服务要求低于服务要求（负偏离）达到6条及以上的</w:t>
            </w:r>
            <w:r>
              <w:rPr>
                <w:rFonts w:hint="eastAsia"/>
                <w:highlight w:val="none"/>
                <w:lang w:val="en-US" w:eastAsia="zh-CN"/>
              </w:rPr>
              <w:t>投标</w:t>
            </w:r>
            <w:r>
              <w:rPr>
                <w:rFonts w:hint="eastAsia" w:ascii="宋体" w:hAnsi="宋体"/>
                <w:highlight w:val="none"/>
              </w:rPr>
              <w:t>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946"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演示</w:t>
            </w:r>
          </w:p>
        </w:tc>
        <w:tc>
          <w:tcPr>
            <w:tcW w:w="750"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default" w:ascii="宋体" w:hAnsi="宋体"/>
                <w:spacing w:val="-6"/>
                <w:highlight w:val="none"/>
                <w:lang w:val="en-US" w:eastAsia="zh-CN"/>
              </w:rPr>
            </w:pPr>
            <w:r>
              <w:rPr>
                <w:rFonts w:hint="eastAsia" w:ascii="宋体" w:hAnsi="宋体"/>
                <w:spacing w:val="-6"/>
                <w:highlight w:val="none"/>
                <w:lang w:val="en-US" w:eastAsia="zh-CN"/>
              </w:rPr>
              <w:t>20</w:t>
            </w:r>
          </w:p>
        </w:tc>
        <w:tc>
          <w:tcPr>
            <w:tcW w:w="7819" w:type="dxa"/>
            <w:noWrap w:val="0"/>
            <w:vAlign w:val="center"/>
          </w:tcPr>
          <w:p>
            <w:pPr>
              <w:keepNext w:val="0"/>
              <w:keepLines w:val="0"/>
              <w:pageBreakBefore w:val="0"/>
              <w:kinsoku/>
              <w:overflowPunct/>
              <w:topLinePunct w:val="0"/>
              <w:autoSpaceDE w:val="0"/>
              <w:autoSpaceDN w:val="0"/>
              <w:bidi w:val="0"/>
              <w:adjustRightInd w:val="0"/>
              <w:snapToGrid w:val="0"/>
              <w:spacing w:line="240" w:lineRule="auto"/>
              <w:ind w:firstLine="0" w:firstLineChars="0"/>
              <w:textAlignment w:val="auto"/>
              <w:rPr>
                <w:rFonts w:hint="eastAsia" w:ascii="宋体" w:hAnsi="宋体"/>
                <w:highlight w:val="none"/>
              </w:rPr>
            </w:pPr>
            <w:r>
              <w:rPr>
                <w:rFonts w:hint="eastAsia" w:ascii="宋体" w:hAnsi="宋体"/>
                <w:highlight w:val="none"/>
              </w:rPr>
              <w:t>投标方针对第二章采购需求“</w:t>
            </w:r>
            <w:r>
              <w:rPr>
                <w:rFonts w:hint="eastAsia" w:ascii="宋体" w:hAnsi="宋体"/>
                <w:highlight w:val="none"/>
                <w:lang w:eastAsia="zh-CN"/>
              </w:rPr>
              <w:t>四</w:t>
            </w:r>
            <w:r>
              <w:rPr>
                <w:rFonts w:hint="eastAsia" w:ascii="宋体" w:hAnsi="宋体"/>
                <w:highlight w:val="none"/>
              </w:rPr>
              <w:t>、演示内容”进行逐项演示，每演示1项最高得2分，响应方演示内容需为软件实体演示录制的视频，以PPT、非软件实体演示录制的视频、图片等非软件形式操作视同未演示，不得分。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6"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spacing w:val="-6"/>
                <w:sz w:val="24"/>
                <w:szCs w:val="24"/>
                <w:highlight w:val="none"/>
              </w:rPr>
            </w:pPr>
            <w:r>
              <w:rPr>
                <w:rFonts w:hint="eastAsia" w:ascii="宋体" w:hAnsi="宋体" w:eastAsia="宋体" w:cs="宋体"/>
                <w:color w:val="auto"/>
                <w:spacing w:val="-6"/>
                <w:sz w:val="24"/>
                <w:szCs w:val="24"/>
                <w:highlight w:val="none"/>
              </w:rPr>
              <w:t>项目方案</w:t>
            </w:r>
          </w:p>
        </w:tc>
        <w:tc>
          <w:tcPr>
            <w:tcW w:w="750"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eastAsia="宋体"/>
                <w:spacing w:val="-6"/>
                <w:highlight w:val="none"/>
                <w:lang w:eastAsia="zh-CN"/>
              </w:rPr>
            </w:pPr>
            <w:r>
              <w:rPr>
                <w:rFonts w:hint="eastAsia" w:ascii="宋体" w:hAnsi="宋体"/>
                <w:spacing w:val="-6"/>
                <w:highlight w:val="none"/>
                <w:lang w:val="en-US" w:eastAsia="zh-CN"/>
              </w:rPr>
              <w:t>5</w:t>
            </w:r>
          </w:p>
        </w:tc>
        <w:tc>
          <w:tcPr>
            <w:tcW w:w="7819" w:type="dxa"/>
            <w:noWrap w:val="0"/>
            <w:vAlign w:val="center"/>
          </w:tcPr>
          <w:p>
            <w:pPr>
              <w:keepNext w:val="0"/>
              <w:keepLines w:val="0"/>
              <w:pageBreakBefore w:val="0"/>
              <w:kinsoku/>
              <w:overflowPunct/>
              <w:topLinePunct w:val="0"/>
              <w:autoSpaceDE w:val="0"/>
              <w:autoSpaceDN w:val="0"/>
              <w:bidi w:val="0"/>
              <w:adjustRightInd w:val="0"/>
              <w:snapToGrid w:val="0"/>
              <w:spacing w:line="240" w:lineRule="auto"/>
              <w:ind w:firstLine="0" w:firstLineChars="0"/>
              <w:textAlignment w:val="auto"/>
              <w:rPr>
                <w:rFonts w:hint="eastAsia" w:ascii="宋体" w:hAnsi="宋体"/>
                <w:highlight w:val="none"/>
              </w:rPr>
            </w:pPr>
            <w:r>
              <w:rPr>
                <w:rFonts w:hint="eastAsia" w:ascii="宋体" w:hAnsi="宋体"/>
                <w:highlight w:val="none"/>
              </w:rPr>
              <w:t>具体解决方案的完整性、可行性、有效性等。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946"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spacing w:val="-6"/>
                <w:sz w:val="24"/>
                <w:szCs w:val="24"/>
                <w:highlight w:val="none"/>
              </w:rPr>
            </w:pPr>
            <w:r>
              <w:rPr>
                <w:rFonts w:hint="eastAsia" w:ascii="宋体" w:hAnsi="宋体" w:eastAsia="宋体" w:cs="宋体"/>
                <w:color w:val="auto"/>
                <w:spacing w:val="-6"/>
                <w:sz w:val="24"/>
                <w:szCs w:val="24"/>
                <w:highlight w:val="none"/>
              </w:rPr>
              <w:t>服务团队</w:t>
            </w:r>
          </w:p>
        </w:tc>
        <w:tc>
          <w:tcPr>
            <w:tcW w:w="750"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eastAsia="宋体"/>
                <w:spacing w:val="-6"/>
                <w:highlight w:val="none"/>
                <w:lang w:eastAsia="zh-CN"/>
              </w:rPr>
            </w:pPr>
            <w:r>
              <w:rPr>
                <w:rFonts w:hint="eastAsia" w:ascii="宋体" w:hAnsi="宋体"/>
                <w:spacing w:val="-6"/>
                <w:highlight w:val="none"/>
                <w:lang w:val="en-US" w:eastAsia="zh-CN"/>
              </w:rPr>
              <w:t>5</w:t>
            </w:r>
          </w:p>
        </w:tc>
        <w:tc>
          <w:tcPr>
            <w:tcW w:w="7819" w:type="dxa"/>
            <w:noWrap w:val="0"/>
            <w:vAlign w:val="center"/>
          </w:tcPr>
          <w:p>
            <w:pPr>
              <w:keepNext w:val="0"/>
              <w:keepLines w:val="0"/>
              <w:pageBreakBefore w:val="0"/>
              <w:kinsoku/>
              <w:overflowPunct/>
              <w:topLinePunct w:val="0"/>
              <w:autoSpaceDE w:val="0"/>
              <w:autoSpaceDN w:val="0"/>
              <w:bidi w:val="0"/>
              <w:adjustRightInd w:val="0"/>
              <w:snapToGrid w:val="0"/>
              <w:spacing w:line="240" w:lineRule="auto"/>
              <w:ind w:firstLine="0" w:firstLineChars="0"/>
              <w:textAlignment w:val="auto"/>
              <w:rPr>
                <w:rFonts w:hint="eastAsia" w:ascii="宋体" w:hAnsi="宋体" w:eastAsia="宋体"/>
                <w:highlight w:val="none"/>
                <w:lang w:eastAsia="zh-CN"/>
              </w:rPr>
            </w:pPr>
            <w:r>
              <w:rPr>
                <w:rFonts w:hint="eastAsia" w:ascii="宋体" w:hAnsi="宋体"/>
                <w:highlight w:val="none"/>
              </w:rPr>
              <w:t>项目负责人、项目组实施人员专业人员素质、技术能力、专业分布、经验等情况，数量是否充足，配置是否合理等</w:t>
            </w:r>
            <w:r>
              <w:rPr>
                <w:rFonts w:hint="eastAsia" w:ascii="宋体" w:hAnsi="宋体"/>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46"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自建专家库</w:t>
            </w:r>
          </w:p>
        </w:tc>
        <w:tc>
          <w:tcPr>
            <w:tcW w:w="750"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default" w:ascii="宋体" w:hAnsi="宋体"/>
                <w:spacing w:val="-6"/>
                <w:highlight w:val="none"/>
                <w:lang w:val="en-US" w:eastAsia="zh-CN"/>
              </w:rPr>
            </w:pPr>
            <w:r>
              <w:rPr>
                <w:rFonts w:hint="eastAsia" w:ascii="宋体" w:hAnsi="宋体"/>
                <w:spacing w:val="-6"/>
                <w:highlight w:val="none"/>
                <w:lang w:val="en-US" w:eastAsia="zh-CN"/>
              </w:rPr>
              <w:t>5</w:t>
            </w:r>
          </w:p>
        </w:tc>
        <w:tc>
          <w:tcPr>
            <w:tcW w:w="7819" w:type="dxa"/>
            <w:noWrap w:val="0"/>
            <w:vAlign w:val="center"/>
          </w:tcPr>
          <w:p>
            <w:pPr>
              <w:keepNext w:val="0"/>
              <w:keepLines w:val="0"/>
              <w:pageBreakBefore w:val="0"/>
              <w:kinsoku/>
              <w:overflowPunct/>
              <w:topLinePunct w:val="0"/>
              <w:autoSpaceDE w:val="0"/>
              <w:autoSpaceDN w:val="0"/>
              <w:bidi w:val="0"/>
              <w:adjustRightInd w:val="0"/>
              <w:snapToGrid w:val="0"/>
              <w:spacing w:line="240" w:lineRule="auto"/>
              <w:ind w:firstLine="0" w:firstLineChars="0"/>
              <w:textAlignment w:val="auto"/>
              <w:rPr>
                <w:rFonts w:hint="eastAsia" w:ascii="宋体" w:hAnsi="宋体"/>
                <w:color w:val="000000"/>
                <w:highlight w:val="none"/>
              </w:rPr>
            </w:pPr>
            <w:r>
              <w:rPr>
                <w:rFonts w:hint="eastAsia" w:ascii="宋体" w:hAnsi="宋体"/>
                <w:color w:val="000000"/>
                <w:highlight w:val="none"/>
              </w:rPr>
              <w:t>覆盖各专业的自有全国专家库情况，根据专家库的专业性和全面性综合打分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946"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spacing w:val="-6"/>
                <w:sz w:val="24"/>
                <w:szCs w:val="24"/>
                <w:highlight w:val="none"/>
              </w:rPr>
            </w:pPr>
            <w:r>
              <w:rPr>
                <w:rFonts w:hint="eastAsia" w:ascii="宋体" w:hAnsi="宋体" w:eastAsia="宋体" w:cs="宋体"/>
                <w:color w:val="auto"/>
                <w:sz w:val="24"/>
                <w:szCs w:val="24"/>
                <w:highlight w:val="none"/>
              </w:rPr>
              <w:t>维护计划</w:t>
            </w:r>
          </w:p>
        </w:tc>
        <w:tc>
          <w:tcPr>
            <w:tcW w:w="750"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eastAsia="宋体"/>
                <w:spacing w:val="-6"/>
                <w:highlight w:val="none"/>
                <w:lang w:eastAsia="zh-CN"/>
              </w:rPr>
            </w:pPr>
            <w:r>
              <w:rPr>
                <w:rFonts w:hint="eastAsia" w:ascii="宋体" w:hAnsi="宋体"/>
                <w:spacing w:val="-6"/>
                <w:highlight w:val="none"/>
                <w:lang w:val="en-US" w:eastAsia="zh-CN"/>
              </w:rPr>
              <w:t>5</w:t>
            </w:r>
          </w:p>
        </w:tc>
        <w:tc>
          <w:tcPr>
            <w:tcW w:w="7819" w:type="dxa"/>
            <w:noWrap w:val="0"/>
            <w:vAlign w:val="center"/>
          </w:tcPr>
          <w:p>
            <w:pPr>
              <w:keepNext w:val="0"/>
              <w:keepLines w:val="0"/>
              <w:pageBreakBefore w:val="0"/>
              <w:kinsoku/>
              <w:overflowPunct/>
              <w:topLinePunct w:val="0"/>
              <w:autoSpaceDE w:val="0"/>
              <w:autoSpaceDN w:val="0"/>
              <w:bidi w:val="0"/>
              <w:adjustRightInd w:val="0"/>
              <w:snapToGrid w:val="0"/>
              <w:spacing w:line="240" w:lineRule="auto"/>
              <w:ind w:firstLine="0" w:firstLineChars="0"/>
              <w:textAlignment w:val="auto"/>
              <w:rPr>
                <w:rFonts w:hint="eastAsia" w:ascii="宋体" w:hAnsi="宋体"/>
                <w:highlight w:val="none"/>
              </w:rPr>
            </w:pPr>
            <w:r>
              <w:rPr>
                <w:rFonts w:hint="eastAsia" w:ascii="宋体" w:hAnsi="宋体"/>
                <w:highlight w:val="none"/>
              </w:rPr>
              <w:t>项目维护计划（对用户故障的响应、处理、定期巡检等情况）。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946"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spacing w:val="-6"/>
                <w:sz w:val="24"/>
                <w:szCs w:val="24"/>
                <w:highlight w:val="none"/>
              </w:rPr>
            </w:pPr>
            <w:r>
              <w:rPr>
                <w:rFonts w:hint="eastAsia" w:ascii="宋体" w:hAnsi="宋体" w:eastAsia="宋体" w:cs="宋体"/>
                <w:color w:val="auto"/>
                <w:sz w:val="24"/>
                <w:szCs w:val="24"/>
                <w:highlight w:val="none"/>
              </w:rPr>
              <w:t>实施计划</w:t>
            </w:r>
          </w:p>
        </w:tc>
        <w:tc>
          <w:tcPr>
            <w:tcW w:w="750"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eastAsia="宋体"/>
                <w:spacing w:val="-6"/>
                <w:highlight w:val="none"/>
                <w:lang w:eastAsia="zh-CN"/>
              </w:rPr>
            </w:pPr>
            <w:r>
              <w:rPr>
                <w:rFonts w:hint="eastAsia" w:ascii="宋体" w:hAnsi="宋体"/>
                <w:spacing w:val="-6"/>
                <w:highlight w:val="none"/>
                <w:lang w:val="en-US" w:eastAsia="zh-CN"/>
              </w:rPr>
              <w:t>5</w:t>
            </w:r>
          </w:p>
        </w:tc>
        <w:tc>
          <w:tcPr>
            <w:tcW w:w="7819" w:type="dxa"/>
            <w:noWrap w:val="0"/>
            <w:vAlign w:val="center"/>
          </w:tcPr>
          <w:p>
            <w:pPr>
              <w:keepNext w:val="0"/>
              <w:keepLines w:val="0"/>
              <w:pageBreakBefore w:val="0"/>
              <w:numPr>
                <w:ilvl w:val="0"/>
                <w:numId w:val="0"/>
              </w:numPr>
              <w:kinsoku/>
              <w:overflowPunct/>
              <w:topLinePunct w:val="0"/>
              <w:autoSpaceDE w:val="0"/>
              <w:autoSpaceDN w:val="0"/>
              <w:bidi w:val="0"/>
              <w:adjustRightInd w:val="0"/>
              <w:snapToGrid w:val="0"/>
              <w:spacing w:line="240" w:lineRule="auto"/>
              <w:ind w:leftChars="0" w:firstLine="0" w:firstLineChars="0"/>
              <w:textAlignment w:val="auto"/>
              <w:rPr>
                <w:rFonts w:hint="eastAsia" w:ascii="宋体" w:hAnsi="宋体"/>
                <w:highlight w:val="none"/>
              </w:rPr>
            </w:pPr>
            <w:r>
              <w:rPr>
                <w:rFonts w:hint="eastAsia" w:ascii="宋体" w:hAnsi="宋体"/>
                <w:highlight w:val="none"/>
              </w:rPr>
              <w:t>拟定项目实施计划、进度安排及应急保障措施。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946" w:type="dxa"/>
            <w:vMerge w:val="restart"/>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spacing w:val="-6"/>
                <w:sz w:val="24"/>
                <w:szCs w:val="24"/>
                <w:highlight w:val="none"/>
              </w:rPr>
            </w:pPr>
            <w:r>
              <w:rPr>
                <w:rFonts w:hint="eastAsia" w:ascii="宋体" w:hAnsi="宋体" w:eastAsia="宋体" w:cs="宋体"/>
                <w:color w:val="auto"/>
                <w:spacing w:val="-6"/>
                <w:sz w:val="24"/>
                <w:szCs w:val="24"/>
                <w:highlight w:val="none"/>
              </w:rPr>
              <w:t>售后服务</w:t>
            </w:r>
          </w:p>
        </w:tc>
        <w:tc>
          <w:tcPr>
            <w:tcW w:w="750"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eastAsia="宋体"/>
                <w:spacing w:val="-6"/>
                <w:highlight w:val="none"/>
                <w:lang w:eastAsia="zh-CN"/>
              </w:rPr>
            </w:pPr>
            <w:r>
              <w:rPr>
                <w:rFonts w:hint="eastAsia" w:ascii="宋体" w:hAnsi="宋体"/>
                <w:spacing w:val="-6"/>
                <w:highlight w:val="none"/>
                <w:lang w:val="en-US" w:eastAsia="zh-CN"/>
              </w:rPr>
              <w:t>5</w:t>
            </w:r>
          </w:p>
        </w:tc>
        <w:tc>
          <w:tcPr>
            <w:tcW w:w="7819" w:type="dxa"/>
            <w:noWrap w:val="0"/>
            <w:vAlign w:val="center"/>
          </w:tcPr>
          <w:p>
            <w:pPr>
              <w:keepNext w:val="0"/>
              <w:keepLines w:val="0"/>
              <w:pageBreakBefore w:val="0"/>
              <w:kinsoku/>
              <w:overflowPunct/>
              <w:topLinePunct w:val="0"/>
              <w:bidi w:val="0"/>
              <w:spacing w:line="240" w:lineRule="auto"/>
              <w:ind w:firstLine="0" w:firstLineChars="0"/>
              <w:textAlignment w:val="auto"/>
              <w:rPr>
                <w:rFonts w:hint="eastAsia" w:ascii="宋体" w:hAnsi="宋体"/>
                <w:sz w:val="24"/>
                <w:szCs w:val="24"/>
                <w:highlight w:val="none"/>
              </w:rPr>
            </w:pPr>
            <w:r>
              <w:rPr>
                <w:rFonts w:hint="eastAsia" w:ascii="宋体" w:hAnsi="宋体" w:eastAsia="宋体" w:cs="宋体"/>
                <w:color w:val="auto"/>
                <w:sz w:val="24"/>
                <w:szCs w:val="24"/>
                <w:highlight w:val="none"/>
              </w:rPr>
              <w:t>售后服务的响应的合理性、可行性等。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46" w:type="dxa"/>
            <w:vMerge w:val="continue"/>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eastAsia="宋体" w:cs="宋体"/>
                <w:color w:val="auto"/>
                <w:spacing w:val="-6"/>
                <w:sz w:val="24"/>
                <w:szCs w:val="24"/>
                <w:highlight w:val="none"/>
              </w:rPr>
            </w:pPr>
          </w:p>
        </w:tc>
        <w:tc>
          <w:tcPr>
            <w:tcW w:w="750"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default" w:ascii="宋体" w:hAnsi="宋体"/>
                <w:spacing w:val="-6"/>
                <w:highlight w:val="none"/>
                <w:lang w:val="en-US" w:eastAsia="zh-CN"/>
              </w:rPr>
            </w:pPr>
            <w:r>
              <w:rPr>
                <w:rFonts w:hint="eastAsia" w:ascii="宋体" w:hAnsi="宋体"/>
                <w:spacing w:val="-6"/>
                <w:highlight w:val="none"/>
                <w:lang w:val="en-US" w:eastAsia="zh-CN"/>
              </w:rPr>
              <w:t>5</w:t>
            </w:r>
          </w:p>
        </w:tc>
        <w:tc>
          <w:tcPr>
            <w:tcW w:w="7819" w:type="dxa"/>
            <w:noWrap w:val="0"/>
            <w:vAlign w:val="center"/>
          </w:tcPr>
          <w:p>
            <w:pPr>
              <w:keepNext w:val="0"/>
              <w:keepLines w:val="0"/>
              <w:pageBreakBefore w:val="0"/>
              <w:kinsoku/>
              <w:overflowPunct/>
              <w:topLinePunct w:val="0"/>
              <w:bidi w:val="0"/>
              <w:spacing w:line="240" w:lineRule="auto"/>
              <w:ind w:firstLine="0" w:firstLineChars="0"/>
              <w:textAlignment w:val="auto"/>
              <w:rPr>
                <w:rFonts w:hint="eastAsia" w:ascii="宋体" w:hAnsi="宋体"/>
                <w:sz w:val="24"/>
                <w:szCs w:val="24"/>
                <w:highlight w:val="none"/>
              </w:rPr>
            </w:pPr>
            <w:r>
              <w:rPr>
                <w:rFonts w:hint="eastAsia" w:ascii="宋体" w:hAnsi="宋体" w:eastAsia="宋体" w:cs="宋体"/>
                <w:color w:val="auto"/>
                <w:sz w:val="24"/>
                <w:szCs w:val="24"/>
                <w:highlight w:val="none"/>
                <w:lang w:val="en-US" w:eastAsia="zh-CN"/>
              </w:rPr>
              <w:t>售后服务</w:t>
            </w:r>
            <w:r>
              <w:rPr>
                <w:rFonts w:hint="eastAsia" w:ascii="宋体" w:hAnsi="宋体" w:eastAsia="宋体" w:cs="宋体"/>
                <w:color w:val="auto"/>
                <w:sz w:val="24"/>
                <w:szCs w:val="24"/>
                <w:highlight w:val="none"/>
              </w:rPr>
              <w:t>方案</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详细</w:t>
            </w:r>
            <w:r>
              <w:rPr>
                <w:rFonts w:hint="eastAsia" w:ascii="宋体" w:hAnsi="宋体" w:eastAsia="宋体" w:cs="宋体"/>
                <w:color w:val="auto"/>
                <w:sz w:val="24"/>
                <w:szCs w:val="24"/>
                <w:highlight w:val="none"/>
                <w:lang w:val="en-US" w:eastAsia="zh-CN"/>
              </w:rPr>
              <w:t>性</w:t>
            </w:r>
            <w:r>
              <w:rPr>
                <w:rFonts w:hint="eastAsia" w:ascii="宋体" w:hAnsi="宋体" w:eastAsia="宋体" w:cs="宋体"/>
                <w:color w:val="auto"/>
                <w:sz w:val="24"/>
                <w:szCs w:val="24"/>
                <w:highlight w:val="none"/>
              </w:rPr>
              <w:t>、具体性、完善性</w:t>
            </w:r>
            <w:r>
              <w:rPr>
                <w:rFonts w:hint="eastAsia" w:ascii="宋体" w:hAnsi="宋体" w:eastAsia="宋体" w:cs="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946"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spacing w:val="-6"/>
                <w:highlight w:val="none"/>
              </w:rPr>
            </w:pPr>
            <w:r>
              <w:rPr>
                <w:rFonts w:hint="eastAsia" w:ascii="宋体" w:hAnsi="宋体"/>
                <w:spacing w:val="-6"/>
                <w:highlight w:val="none"/>
              </w:rPr>
              <w:t>培训方案</w:t>
            </w:r>
          </w:p>
        </w:tc>
        <w:tc>
          <w:tcPr>
            <w:tcW w:w="750"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eastAsia="宋体"/>
                <w:spacing w:val="-6"/>
                <w:highlight w:val="none"/>
                <w:lang w:eastAsia="zh-CN"/>
              </w:rPr>
            </w:pPr>
            <w:r>
              <w:rPr>
                <w:rFonts w:hint="eastAsia" w:ascii="宋体" w:hAnsi="宋体"/>
                <w:spacing w:val="-6"/>
                <w:highlight w:val="none"/>
                <w:lang w:val="en-US" w:eastAsia="zh-CN"/>
              </w:rPr>
              <w:t>5</w:t>
            </w:r>
          </w:p>
        </w:tc>
        <w:tc>
          <w:tcPr>
            <w:tcW w:w="7819" w:type="dxa"/>
            <w:noWrap w:val="0"/>
            <w:vAlign w:val="center"/>
          </w:tcPr>
          <w:p>
            <w:pPr>
              <w:keepNext w:val="0"/>
              <w:keepLines w:val="0"/>
              <w:pageBreakBefore w:val="0"/>
              <w:kinsoku/>
              <w:overflowPunct/>
              <w:topLinePunct w:val="0"/>
              <w:autoSpaceDE w:val="0"/>
              <w:autoSpaceDN w:val="0"/>
              <w:bidi w:val="0"/>
              <w:adjustRightInd w:val="0"/>
              <w:snapToGrid w:val="0"/>
              <w:spacing w:line="240" w:lineRule="auto"/>
              <w:ind w:firstLine="0" w:firstLineChars="0"/>
              <w:textAlignment w:val="auto"/>
              <w:rPr>
                <w:rFonts w:hint="eastAsia" w:ascii="宋体" w:hAnsi="宋体"/>
                <w:highlight w:val="none"/>
              </w:rPr>
            </w:pPr>
            <w:r>
              <w:rPr>
                <w:rFonts w:hint="eastAsia" w:ascii="宋体" w:hAnsi="宋体"/>
                <w:highlight w:val="none"/>
              </w:rPr>
              <w:t>培训计划内容合理性、详细程度，培训范围，实施计划的针对性。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946"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spacing w:val="-6"/>
                <w:highlight w:val="none"/>
              </w:rPr>
            </w:pPr>
            <w:r>
              <w:rPr>
                <w:rFonts w:hint="eastAsia" w:ascii="宋体" w:hAnsi="宋体"/>
                <w:spacing w:val="-6"/>
                <w:highlight w:val="none"/>
              </w:rPr>
              <w:t>优惠承诺</w:t>
            </w:r>
          </w:p>
        </w:tc>
        <w:tc>
          <w:tcPr>
            <w:tcW w:w="750" w:type="dxa"/>
            <w:noWrap w:val="0"/>
            <w:vAlign w:val="center"/>
          </w:tcPr>
          <w:p>
            <w:pPr>
              <w:keepNext w:val="0"/>
              <w:keepLines w:val="0"/>
              <w:pageBreakBefore w:val="0"/>
              <w:kinsoku/>
              <w:overflowPunct/>
              <w:topLinePunct w:val="0"/>
              <w:bidi w:val="0"/>
              <w:spacing w:line="240" w:lineRule="auto"/>
              <w:ind w:firstLine="0" w:firstLineChars="0"/>
              <w:jc w:val="center"/>
              <w:textAlignment w:val="auto"/>
              <w:rPr>
                <w:rFonts w:hint="eastAsia" w:ascii="宋体" w:hAnsi="宋体" w:eastAsia="宋体"/>
                <w:spacing w:val="-6"/>
                <w:highlight w:val="none"/>
                <w:lang w:eastAsia="zh-CN"/>
              </w:rPr>
            </w:pPr>
            <w:r>
              <w:rPr>
                <w:rFonts w:hint="eastAsia" w:ascii="宋体" w:hAnsi="宋体"/>
                <w:spacing w:val="-6"/>
                <w:highlight w:val="none"/>
                <w:lang w:val="en-US" w:eastAsia="zh-CN"/>
              </w:rPr>
              <w:t>2</w:t>
            </w:r>
          </w:p>
        </w:tc>
        <w:tc>
          <w:tcPr>
            <w:tcW w:w="7819" w:type="dxa"/>
            <w:noWrap w:val="0"/>
            <w:vAlign w:val="center"/>
          </w:tcPr>
          <w:p>
            <w:pPr>
              <w:pStyle w:val="50"/>
              <w:keepNext w:val="0"/>
              <w:keepLines w:val="0"/>
              <w:pageBreakBefore w:val="0"/>
              <w:kinsoku/>
              <w:overflowPunct/>
              <w:topLinePunct w:val="0"/>
              <w:bidi w:val="0"/>
              <w:spacing w:line="240" w:lineRule="auto"/>
              <w:ind w:left="0" w:firstLine="0" w:firstLineChars="0"/>
              <w:textAlignment w:val="auto"/>
              <w:rPr>
                <w:rFonts w:hint="eastAsia" w:ascii="宋体" w:hAnsi="宋体" w:cs="宋体"/>
                <w:highlight w:val="none"/>
              </w:rPr>
            </w:pPr>
            <w:r>
              <w:rPr>
                <w:rFonts w:hint="eastAsia" w:ascii="宋体" w:hAnsi="宋体" w:cs="宋体"/>
                <w:sz w:val="24"/>
                <w:szCs w:val="24"/>
                <w:highlight w:val="none"/>
              </w:rPr>
              <w:t>提供的优惠措施、合理化建议和改进措施的合理性、可行性等。提供对服务质量保证的量化指标、违约处罚措施的相应承诺。</w:t>
            </w:r>
          </w:p>
        </w:tc>
      </w:tr>
    </w:tbl>
    <w:p>
      <w:pPr>
        <w:pStyle w:val="14"/>
        <w:rPr>
          <w:rFonts w:ascii="宋体" w:eastAsia="宋体" w:cs="宋体"/>
          <w:color w:val="auto"/>
          <w:highlight w:val="none"/>
        </w:rPr>
      </w:pPr>
    </w:p>
    <w:p>
      <w:pPr>
        <w:ind w:firstLine="0" w:firstLineChars="0"/>
        <w:rPr>
          <w:rFonts w:cs="宋体"/>
          <w:b/>
          <w:color w:val="auto"/>
          <w:sz w:val="21"/>
          <w:szCs w:val="21"/>
          <w:highlight w:val="none"/>
        </w:rPr>
      </w:pPr>
    </w:p>
    <w:p>
      <w:pPr>
        <w:ind w:firstLine="0" w:firstLineChars="0"/>
        <w:rPr>
          <w:rFonts w:cs="宋体"/>
          <w:b/>
          <w:color w:val="auto"/>
          <w:sz w:val="21"/>
          <w:szCs w:val="21"/>
          <w:highlight w:val="none"/>
        </w:rPr>
      </w:pPr>
      <w:r>
        <w:rPr>
          <w:rFonts w:hint="eastAsia" w:cs="宋体"/>
          <w:b/>
          <w:color w:val="auto"/>
          <w:sz w:val="21"/>
          <w:szCs w:val="21"/>
          <w:highlight w:val="none"/>
        </w:rPr>
        <w:t>说明：</w:t>
      </w:r>
    </w:p>
    <w:p>
      <w:pPr>
        <w:ind w:firstLine="398"/>
        <w:rPr>
          <w:rFonts w:cs="宋体"/>
          <w:b/>
          <w:bCs/>
          <w:color w:val="auto"/>
          <w:spacing w:val="-6"/>
          <w:sz w:val="21"/>
          <w:szCs w:val="21"/>
          <w:highlight w:val="none"/>
        </w:rPr>
      </w:pPr>
      <w:r>
        <w:rPr>
          <w:rFonts w:hint="eastAsia" w:cs="宋体"/>
          <w:b/>
          <w:bCs/>
          <w:color w:val="auto"/>
          <w:spacing w:val="-6"/>
          <w:sz w:val="21"/>
          <w:szCs w:val="21"/>
          <w:highlight w:val="none"/>
        </w:rPr>
        <w:t>1.根据《政府采购促进中小企业发展管理办法》（财库〔2020〕46号）的规定，投标人提供的货物由符合政策要求的中小企业生产制造，并提交《中小企业声明函》的，</w:t>
      </w:r>
      <w:r>
        <w:rPr>
          <w:rFonts w:hint="eastAsia" w:cs="宋体"/>
          <w:b/>
          <w:color w:val="auto"/>
          <w:sz w:val="21"/>
          <w:szCs w:val="21"/>
          <w:highlight w:val="none"/>
        </w:rPr>
        <w:t>小微企业投标报价扣除6%后参与评审</w:t>
      </w:r>
      <w:r>
        <w:rPr>
          <w:rFonts w:hint="eastAsia" w:cs="宋体"/>
          <w:b/>
          <w:bCs/>
          <w:color w:val="auto"/>
          <w:spacing w:val="-6"/>
          <w:sz w:val="21"/>
          <w:szCs w:val="21"/>
          <w:highlight w:val="none"/>
        </w:rPr>
        <w:t>；</w:t>
      </w:r>
    </w:p>
    <w:p>
      <w:pPr>
        <w:ind w:firstLine="398"/>
        <w:rPr>
          <w:rFonts w:cs="宋体"/>
          <w:b/>
          <w:bCs/>
          <w:color w:val="auto"/>
          <w:spacing w:val="-6"/>
          <w:sz w:val="21"/>
          <w:szCs w:val="21"/>
          <w:highlight w:val="none"/>
        </w:rPr>
      </w:pPr>
      <w:r>
        <w:rPr>
          <w:rFonts w:hint="eastAsia" w:cs="宋体"/>
          <w:b/>
          <w:bCs/>
          <w:color w:val="auto"/>
          <w:spacing w:val="-6"/>
          <w:sz w:val="21"/>
          <w:szCs w:val="21"/>
          <w:highlight w:val="none"/>
        </w:rPr>
        <w:t>2.根据《关于政府采购支持监狱企业发展有关问题的通知》（财库[2014]68号）的规定，投标人如为监狱企业并提交相关证明材料的，视同小微企业；</w:t>
      </w:r>
    </w:p>
    <w:p>
      <w:pPr>
        <w:ind w:firstLine="398"/>
        <w:rPr>
          <w:rFonts w:cs="宋体"/>
          <w:b/>
          <w:bCs/>
          <w:color w:val="auto"/>
          <w:spacing w:val="-6"/>
          <w:sz w:val="21"/>
          <w:szCs w:val="21"/>
          <w:highlight w:val="none"/>
        </w:rPr>
      </w:pPr>
      <w:r>
        <w:rPr>
          <w:rFonts w:hint="eastAsia" w:cs="宋体"/>
          <w:b/>
          <w:bCs/>
          <w:color w:val="auto"/>
          <w:spacing w:val="-6"/>
          <w:sz w:val="21"/>
          <w:szCs w:val="21"/>
          <w:highlight w:val="none"/>
        </w:rPr>
        <w:t>3.根据《关于促进残疾人就业政府采购政策的通知》（财库[2017]141号）的规定，投标人如为残疾人福利性单位并提交《残疾人福利性单位声明函》的，视同小微企业；</w:t>
      </w:r>
    </w:p>
    <w:p>
      <w:pPr>
        <w:ind w:firstLine="398"/>
        <w:rPr>
          <w:rFonts w:cs="宋体"/>
          <w:b/>
          <w:bCs/>
          <w:color w:val="auto"/>
          <w:spacing w:val="-6"/>
          <w:sz w:val="21"/>
          <w:szCs w:val="21"/>
          <w:highlight w:val="none"/>
        </w:rPr>
      </w:pPr>
      <w:r>
        <w:rPr>
          <w:rFonts w:hint="eastAsia" w:cs="宋体"/>
          <w:b/>
          <w:bCs/>
          <w:color w:val="auto"/>
          <w:spacing w:val="-6"/>
          <w:sz w:val="21"/>
          <w:szCs w:val="21"/>
          <w:highlight w:val="none"/>
        </w:rPr>
        <w:t>4.残疾人福利性单位属于小微企业的，不重复享受政策。</w:t>
      </w:r>
    </w:p>
    <w:p>
      <w:pPr>
        <w:ind w:firstLine="480"/>
        <w:rPr>
          <w:rFonts w:cs="宋体"/>
          <w:color w:val="auto"/>
          <w:highlight w:val="none"/>
        </w:rPr>
      </w:pPr>
    </w:p>
    <w:p>
      <w:pPr>
        <w:pStyle w:val="48"/>
        <w:rPr>
          <w:rFonts w:ascii="宋体" w:hAnsi="宋体" w:eastAsia="宋体" w:cs="宋体"/>
          <w:color w:val="auto"/>
          <w:highlight w:val="none"/>
        </w:rPr>
        <w:sectPr>
          <w:footerReference r:id="rId16" w:type="default"/>
          <w:pgSz w:w="11907" w:h="16840"/>
          <w:pgMar w:top="1440" w:right="1080" w:bottom="1440" w:left="1080" w:header="850" w:footer="992" w:gutter="0"/>
          <w:cols w:space="720" w:num="1"/>
          <w:docGrid w:linePitch="286" w:charSpace="0"/>
        </w:sectPr>
      </w:pPr>
    </w:p>
    <w:bookmarkEnd w:id="161"/>
    <w:bookmarkEnd w:id="162"/>
    <w:bookmarkEnd w:id="163"/>
    <w:p>
      <w:pPr>
        <w:pStyle w:val="3"/>
        <w:rPr>
          <w:color w:val="auto"/>
          <w:highlight w:val="none"/>
        </w:rPr>
      </w:pPr>
      <w:bookmarkStart w:id="167" w:name="_Toc10616"/>
      <w:bookmarkStart w:id="168" w:name="_Toc28261"/>
      <w:r>
        <w:rPr>
          <w:rFonts w:hint="eastAsia"/>
          <w:color w:val="auto"/>
          <w:highlight w:val="none"/>
        </w:rPr>
        <w:t>第五章 合同格式</w:t>
      </w:r>
      <w:bookmarkEnd w:id="167"/>
      <w:bookmarkEnd w:id="168"/>
    </w:p>
    <w:p>
      <w:pPr>
        <w:ind w:firstLine="480"/>
        <w:rPr>
          <w:color w:val="auto"/>
          <w:highlight w:val="none"/>
        </w:rPr>
      </w:pPr>
      <w:r>
        <w:rPr>
          <w:rFonts w:hint="eastAsia"/>
          <w:color w:val="auto"/>
          <w:highlight w:val="none"/>
        </w:rPr>
        <w:t>本章所述《合同格式及合同条款》为指引性文件。在合同签订时，招标人有权合理修改本合同条款。若招标人和中标人双方同意，合同格式也可以按照其他形式。合同条款的基本内容应与本章所述《合同格式及合同条款》要求的内容相一致，同时招标文件及其答疑、补充、修改；中标人的投标文件正本；投标人在评标答疑时的书面澄清或说明；中标通知书等文件是构成合同不可分割的部分。</w:t>
      </w:r>
    </w:p>
    <w:p>
      <w:pPr>
        <w:spacing w:line="288" w:lineRule="auto"/>
        <w:ind w:firstLine="456"/>
        <w:jc w:val="center"/>
        <w:rPr>
          <w:color w:val="auto"/>
          <w:highlight w:val="none"/>
        </w:rPr>
      </w:pPr>
      <w:bookmarkStart w:id="169" w:name="_Toc450840088"/>
      <w:r>
        <w:rPr>
          <w:rFonts w:ascii="Times New Roman"/>
          <w:color w:val="auto"/>
          <w:spacing w:val="-6"/>
          <w:szCs w:val="21"/>
          <w:highlight w:val="none"/>
        </w:rPr>
        <w:t>（本合同为合同样稿，最终稿由</w:t>
      </w:r>
      <w:r>
        <w:rPr>
          <w:rFonts w:hint="eastAsia" w:ascii="Times New Roman"/>
          <w:color w:val="auto"/>
          <w:spacing w:val="-6"/>
          <w:szCs w:val="21"/>
          <w:highlight w:val="none"/>
        </w:rPr>
        <w:t>三</w:t>
      </w:r>
      <w:r>
        <w:rPr>
          <w:rFonts w:ascii="Times New Roman"/>
          <w:color w:val="auto"/>
          <w:spacing w:val="-6"/>
          <w:szCs w:val="21"/>
          <w:highlight w:val="none"/>
        </w:rPr>
        <w:t>方协商后确定）</w:t>
      </w:r>
    </w:p>
    <w:p>
      <w:pPr>
        <w:spacing w:line="360" w:lineRule="exact"/>
        <w:jc w:val="center"/>
        <w:rPr>
          <w:rFonts w:ascii="Segoe UI" w:hAnsi="Segoe UI" w:cs="Segoe UI"/>
          <w:b/>
          <w:sz w:val="28"/>
          <w:szCs w:val="28"/>
          <w:highlight w:val="none"/>
        </w:rPr>
      </w:pPr>
      <w:r>
        <w:rPr>
          <w:rFonts w:hint="eastAsia" w:ascii="Segoe UI" w:hAnsi="Segoe UI" w:cs="Segoe UI"/>
          <w:b/>
          <w:sz w:val="28"/>
          <w:szCs w:val="28"/>
          <w:highlight w:val="none"/>
        </w:rPr>
        <w:t>杭州电子科技大学</w:t>
      </w:r>
      <w:r>
        <w:rPr>
          <w:rFonts w:hint="eastAsia" w:ascii="Segoe UI" w:hAnsi="Segoe UI" w:cs="Segoe UI"/>
          <w:b/>
          <w:sz w:val="28"/>
          <w:szCs w:val="28"/>
          <w:highlight w:val="none"/>
          <w:lang w:eastAsia="zh-CN"/>
        </w:rPr>
        <w:t>研究生学位论文网络评审服务</w:t>
      </w:r>
      <w:r>
        <w:rPr>
          <w:rFonts w:ascii="Segoe UI" w:hAnsi="Segoe UI" w:eastAsia="Segoe UI" w:cs="Segoe UI"/>
          <w:b/>
          <w:sz w:val="28"/>
          <w:szCs w:val="28"/>
          <w:highlight w:val="none"/>
        </w:rPr>
        <w:t>合同</w:t>
      </w:r>
    </w:p>
    <w:p>
      <w:pPr>
        <w:pStyle w:val="48"/>
        <w:rPr>
          <w:rFonts w:hint="eastAsia"/>
          <w:color w:val="auto"/>
          <w:highlight w:val="none"/>
        </w:rPr>
      </w:pPr>
      <w:bookmarkStart w:id="170" w:name="B07_项目编号"/>
    </w:p>
    <w:bookmarkEnd w:id="170"/>
    <w:p>
      <w:pPr>
        <w:spacing w:line="288" w:lineRule="auto"/>
        <w:rPr>
          <w:rFonts w:hint="eastAsia" w:ascii="宋体" w:hAnsi="宋体" w:eastAsia="宋体"/>
          <w:bCs/>
          <w:spacing w:val="-6"/>
          <w:sz w:val="21"/>
          <w:szCs w:val="21"/>
          <w:highlight w:val="none"/>
          <w:lang w:eastAsia="zh-CN"/>
        </w:rPr>
      </w:pPr>
      <w:r>
        <w:rPr>
          <w:rFonts w:hint="eastAsia" w:ascii="宋体" w:hAnsi="宋体"/>
          <w:spacing w:val="-6"/>
          <w:sz w:val="21"/>
          <w:szCs w:val="21"/>
          <w:highlight w:val="none"/>
        </w:rPr>
        <w:t>项目编号：</w:t>
      </w:r>
      <w:r>
        <w:rPr>
          <w:rFonts w:hint="eastAsia" w:ascii="宋体" w:hAnsi="宋体"/>
          <w:spacing w:val="-6"/>
          <w:sz w:val="21"/>
          <w:szCs w:val="21"/>
          <w:highlight w:val="none"/>
          <w:lang w:eastAsia="zh-CN"/>
        </w:rPr>
        <w:t>ZJWSBJ-HD-202122C</w:t>
      </w:r>
    </w:p>
    <w:p>
      <w:pPr>
        <w:spacing w:line="288" w:lineRule="auto"/>
        <w:rPr>
          <w:rFonts w:hint="eastAsia" w:ascii="宋体" w:hAnsi="宋体" w:eastAsia="宋体"/>
          <w:spacing w:val="-6"/>
          <w:sz w:val="21"/>
          <w:szCs w:val="21"/>
          <w:highlight w:val="none"/>
          <w:lang w:eastAsia="zh-CN"/>
        </w:rPr>
      </w:pPr>
      <w:r>
        <w:rPr>
          <w:rFonts w:hint="eastAsia" w:ascii="宋体" w:hAnsi="宋体"/>
          <w:spacing w:val="-6"/>
          <w:sz w:val="21"/>
          <w:szCs w:val="21"/>
          <w:highlight w:val="none"/>
        </w:rPr>
        <w:t>项目名称：杭州电子科技大学</w:t>
      </w:r>
      <w:r>
        <w:rPr>
          <w:rFonts w:hint="eastAsia" w:ascii="宋体" w:hAnsi="宋体"/>
          <w:spacing w:val="-6"/>
          <w:sz w:val="21"/>
          <w:szCs w:val="21"/>
          <w:highlight w:val="none"/>
          <w:lang w:eastAsia="zh-CN"/>
        </w:rPr>
        <w:t>研究生学位论文网络评审服务</w:t>
      </w:r>
    </w:p>
    <w:p>
      <w:pPr>
        <w:spacing w:line="288" w:lineRule="auto"/>
        <w:rPr>
          <w:rFonts w:hint="eastAsia" w:ascii="宋体" w:hAnsi="宋体"/>
          <w:spacing w:val="-6"/>
          <w:sz w:val="21"/>
          <w:szCs w:val="21"/>
          <w:highlight w:val="none"/>
        </w:rPr>
      </w:pPr>
      <w:r>
        <w:rPr>
          <w:rFonts w:hint="eastAsia" w:ascii="宋体" w:hAnsi="宋体"/>
          <w:spacing w:val="-6"/>
          <w:sz w:val="21"/>
          <w:szCs w:val="21"/>
          <w:highlight w:val="none"/>
        </w:rPr>
        <w:t>甲方（采购人）：杭州电子科技大学</w:t>
      </w:r>
    </w:p>
    <w:p>
      <w:pPr>
        <w:spacing w:line="288" w:lineRule="auto"/>
        <w:rPr>
          <w:rFonts w:hint="eastAsia" w:ascii="宋体" w:hAnsi="宋体"/>
          <w:spacing w:val="-6"/>
          <w:sz w:val="21"/>
          <w:szCs w:val="21"/>
          <w:highlight w:val="none"/>
        </w:rPr>
      </w:pPr>
      <w:r>
        <w:rPr>
          <w:rFonts w:hint="eastAsia" w:ascii="宋体" w:hAnsi="宋体"/>
          <w:spacing w:val="-6"/>
          <w:sz w:val="21"/>
          <w:szCs w:val="21"/>
          <w:highlight w:val="none"/>
        </w:rPr>
        <w:t>乙方（成交供应商）：</w:t>
      </w:r>
    </w:p>
    <w:p>
      <w:pPr>
        <w:spacing w:line="288" w:lineRule="auto"/>
        <w:rPr>
          <w:rFonts w:hint="eastAsia" w:eastAsia="宋体"/>
          <w:highlight w:val="none"/>
          <w:lang w:eastAsia="zh-CN"/>
        </w:rPr>
      </w:pPr>
      <w:r>
        <w:rPr>
          <w:rFonts w:hint="eastAsia" w:ascii="宋体" w:hAnsi="宋体"/>
          <w:spacing w:val="-6"/>
          <w:sz w:val="21"/>
          <w:szCs w:val="21"/>
          <w:highlight w:val="none"/>
        </w:rPr>
        <w:t>确认书编号：[2021]86301号、[2021]86302号、临[2021]79113号</w:t>
      </w:r>
    </w:p>
    <w:p>
      <w:pPr>
        <w:spacing w:line="288" w:lineRule="auto"/>
        <w:rPr>
          <w:rFonts w:hint="eastAsia" w:ascii="宋体" w:hAnsi="宋体" w:eastAsia="宋体"/>
          <w:spacing w:val="-6"/>
          <w:sz w:val="21"/>
          <w:szCs w:val="21"/>
          <w:highlight w:val="none"/>
          <w:lang w:eastAsia="zh-CN"/>
        </w:rPr>
      </w:pPr>
      <w:r>
        <w:rPr>
          <w:rFonts w:hint="eastAsia" w:ascii="宋体" w:hAnsi="宋体"/>
          <w:spacing w:val="-6"/>
          <w:sz w:val="21"/>
          <w:szCs w:val="21"/>
          <w:highlight w:val="none"/>
        </w:rPr>
        <w:t>采购代理机构（鉴证方）：</w:t>
      </w:r>
      <w:r>
        <w:rPr>
          <w:rFonts w:hint="eastAsia" w:ascii="宋体" w:hAnsi="宋体"/>
          <w:spacing w:val="-6"/>
          <w:sz w:val="21"/>
          <w:szCs w:val="21"/>
          <w:highlight w:val="none"/>
          <w:lang w:eastAsia="zh-CN"/>
        </w:rPr>
        <w:t>浙江五石中正工程咨询有限公司</w:t>
      </w:r>
    </w:p>
    <w:p>
      <w:pPr>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经采购代理机构</w:t>
      </w:r>
      <w:r>
        <w:rPr>
          <w:rFonts w:hint="eastAsia" w:ascii="宋体" w:hAnsi="宋体"/>
          <w:sz w:val="21"/>
          <w:szCs w:val="21"/>
          <w:highlight w:val="none"/>
          <w:lang w:eastAsia="zh-CN"/>
        </w:rPr>
        <w:t>浙江五石中正工程咨询有限公司</w:t>
      </w:r>
      <w:r>
        <w:rPr>
          <w:rFonts w:hint="eastAsia" w:ascii="宋体" w:hAnsi="宋体"/>
          <w:sz w:val="21"/>
          <w:szCs w:val="21"/>
          <w:highlight w:val="none"/>
        </w:rPr>
        <w:t>通过</w:t>
      </w:r>
      <w:r>
        <w:rPr>
          <w:rFonts w:hint="eastAsia" w:ascii="宋体" w:hAnsi="宋体"/>
          <w:sz w:val="21"/>
          <w:szCs w:val="21"/>
          <w:highlight w:val="none"/>
          <w:lang w:val="en-US" w:eastAsia="zh-CN"/>
        </w:rPr>
        <w:t>公开招标</w:t>
      </w:r>
      <w:r>
        <w:rPr>
          <w:rFonts w:hint="eastAsia" w:ascii="宋体" w:hAnsi="宋体"/>
          <w:sz w:val="21"/>
          <w:szCs w:val="21"/>
          <w:highlight w:val="none"/>
        </w:rPr>
        <w:t xml:space="preserve">方式采购，确定 </w:t>
      </w:r>
      <w:r>
        <w:rPr>
          <w:rFonts w:hint="eastAsia" w:ascii="宋体" w:hAnsi="宋体"/>
          <w:sz w:val="21"/>
          <w:szCs w:val="21"/>
          <w:highlight w:val="none"/>
          <w:u w:val="single"/>
        </w:rPr>
        <w:t xml:space="preserve">       </w:t>
      </w:r>
      <w:r>
        <w:rPr>
          <w:rFonts w:hint="eastAsia" w:ascii="宋体" w:hAnsi="宋体"/>
          <w:sz w:val="21"/>
          <w:szCs w:val="21"/>
          <w:highlight w:val="none"/>
        </w:rPr>
        <w:t>为</w:t>
      </w:r>
      <w:r>
        <w:rPr>
          <w:rFonts w:hint="eastAsia" w:ascii="宋体" w:hAnsi="宋体"/>
          <w:sz w:val="21"/>
          <w:szCs w:val="21"/>
          <w:highlight w:val="none"/>
          <w:lang w:val="en-US" w:eastAsia="zh-CN"/>
        </w:rPr>
        <w:t>中标</w:t>
      </w:r>
      <w:r>
        <w:rPr>
          <w:rFonts w:hint="eastAsia" w:ascii="宋体" w:hAnsi="宋体"/>
          <w:sz w:val="21"/>
          <w:szCs w:val="21"/>
          <w:highlight w:val="none"/>
        </w:rPr>
        <w:t>单位，甲、乙双方友好协商，达成以下条款：</w:t>
      </w:r>
    </w:p>
    <w:p>
      <w:pPr>
        <w:snapToGrid w:val="0"/>
        <w:spacing w:line="288" w:lineRule="auto"/>
        <w:rPr>
          <w:rFonts w:hint="eastAsia"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lang w:bidi="ar"/>
        </w:rPr>
        <w:t>第一条：服务内容</w:t>
      </w:r>
    </w:p>
    <w:p>
      <w:pPr>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根据采购需求（详见附件）</w:t>
      </w:r>
    </w:p>
    <w:p>
      <w:pPr>
        <w:snapToGrid w:val="0"/>
        <w:spacing w:line="288" w:lineRule="auto"/>
        <w:rPr>
          <w:rFonts w:hint="eastAsia"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lang w:bidi="ar"/>
        </w:rPr>
        <w:t>第二条：服务期限</w:t>
      </w:r>
    </w:p>
    <w:p>
      <w:pPr>
        <w:widowControl w:val="0"/>
        <w:snapToGrid w:val="0"/>
        <w:spacing w:before="0" w:beforeAutospacing="0" w:after="0" w:afterAutospacing="0" w:line="288" w:lineRule="auto"/>
        <w:ind w:firstLine="420"/>
        <w:jc w:val="both"/>
        <w:rPr>
          <w:rFonts w:hint="eastAsia" w:ascii="宋体" w:hAnsi="宋体" w:eastAsia="宋体" w:cs="宋体"/>
          <w:b/>
          <w:color w:val="auto"/>
          <w:spacing w:val="-6"/>
          <w:kern w:val="2"/>
          <w:sz w:val="21"/>
          <w:szCs w:val="21"/>
          <w:highlight w:val="none"/>
          <w:lang w:val="en-US" w:eastAsia="zh-CN" w:bidi="ar"/>
        </w:rPr>
      </w:pPr>
      <w:r>
        <w:rPr>
          <w:rFonts w:hint="eastAsia" w:ascii="宋体" w:hAnsi="宋体" w:eastAsia="宋体" w:cs="宋体"/>
          <w:b/>
          <w:color w:val="auto"/>
          <w:spacing w:val="-6"/>
          <w:kern w:val="2"/>
          <w:sz w:val="21"/>
          <w:szCs w:val="21"/>
          <w:highlight w:val="none"/>
          <w:lang w:val="en-US" w:eastAsia="zh-CN" w:bidi="ar"/>
        </w:rPr>
        <w:t>自合同签订日起一年。</w:t>
      </w:r>
    </w:p>
    <w:p>
      <w:pPr>
        <w:widowControl w:val="0"/>
        <w:snapToGrid w:val="0"/>
        <w:spacing w:before="0" w:beforeAutospacing="0" w:after="0" w:afterAutospacing="0" w:line="288" w:lineRule="auto"/>
        <w:ind w:left="340" w:hanging="340" w:hangingChars="171"/>
        <w:jc w:val="both"/>
        <w:rPr>
          <w:rFonts w:hint="eastAsia" w:ascii="宋体" w:hAnsi="宋体" w:eastAsia="宋体" w:cs="宋体"/>
          <w:b/>
          <w:color w:val="auto"/>
          <w:spacing w:val="-6"/>
          <w:kern w:val="2"/>
          <w:sz w:val="21"/>
          <w:szCs w:val="21"/>
          <w:highlight w:val="none"/>
          <w:lang w:val="en-US" w:eastAsia="zh-CN" w:bidi="ar-SA"/>
        </w:rPr>
      </w:pPr>
      <w:r>
        <w:rPr>
          <w:rFonts w:hint="eastAsia" w:ascii="宋体" w:hAnsi="宋体" w:eastAsia="宋体" w:cs="宋体"/>
          <w:b/>
          <w:color w:val="auto"/>
          <w:spacing w:val="-6"/>
          <w:kern w:val="2"/>
          <w:sz w:val="21"/>
          <w:szCs w:val="21"/>
          <w:highlight w:val="none"/>
          <w:lang w:val="en-US" w:eastAsia="zh-CN" w:bidi="ar"/>
        </w:rPr>
        <w:t>第三条：知识产权</w:t>
      </w:r>
    </w:p>
    <w:p>
      <w:pPr>
        <w:snapToGrid w:val="0"/>
        <w:spacing w:line="288" w:lineRule="auto"/>
        <w:ind w:firstLine="396" w:firstLineChars="200"/>
        <w:rPr>
          <w:rFonts w:hint="eastAsia" w:ascii="宋体" w:hAnsi="宋体" w:eastAsia="宋体" w:cs="宋体"/>
          <w:color w:val="auto"/>
          <w:spacing w:val="-6"/>
          <w:sz w:val="21"/>
          <w:szCs w:val="21"/>
          <w:highlight w:val="none"/>
          <w:lang w:bidi="ar"/>
        </w:rPr>
      </w:pPr>
      <w:r>
        <w:rPr>
          <w:rFonts w:hint="eastAsia" w:ascii="宋体" w:hAnsi="宋体" w:eastAsia="宋体" w:cs="宋体"/>
          <w:color w:val="auto"/>
          <w:spacing w:val="-6"/>
          <w:sz w:val="21"/>
          <w:szCs w:val="21"/>
          <w:highlight w:val="none"/>
          <w:lang w:bidi="ar"/>
        </w:rPr>
        <w:t>乙方应保证所提供的货物或其任何一部分均不会侵犯任何第三方的知识产权</w:t>
      </w:r>
    </w:p>
    <w:p>
      <w:pPr>
        <w:widowControl w:val="0"/>
        <w:snapToGrid w:val="0"/>
        <w:spacing w:before="0" w:beforeAutospacing="0" w:after="0" w:afterAutospacing="0" w:line="288" w:lineRule="auto"/>
        <w:ind w:left="340" w:hanging="340" w:hangingChars="171"/>
        <w:jc w:val="both"/>
        <w:rPr>
          <w:rFonts w:hint="eastAsia" w:ascii="宋体" w:hAnsi="宋体" w:eastAsia="宋体" w:cs="宋体"/>
          <w:b/>
          <w:color w:val="auto"/>
          <w:spacing w:val="-6"/>
          <w:kern w:val="2"/>
          <w:sz w:val="21"/>
          <w:szCs w:val="21"/>
          <w:highlight w:val="none"/>
          <w:lang w:val="en-US" w:eastAsia="zh-CN" w:bidi="ar-SA"/>
        </w:rPr>
      </w:pPr>
      <w:r>
        <w:rPr>
          <w:rFonts w:hint="eastAsia" w:ascii="宋体" w:hAnsi="宋体" w:eastAsia="宋体" w:cs="宋体"/>
          <w:b/>
          <w:color w:val="auto"/>
          <w:spacing w:val="-6"/>
          <w:kern w:val="2"/>
          <w:sz w:val="21"/>
          <w:szCs w:val="21"/>
          <w:highlight w:val="none"/>
          <w:lang w:val="en-US" w:eastAsia="zh-CN" w:bidi="ar"/>
        </w:rPr>
        <w:t>第四条：履约保证金</w:t>
      </w:r>
    </w:p>
    <w:p>
      <w:pPr>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kern w:val="0"/>
          <w:sz w:val="21"/>
          <w:szCs w:val="21"/>
          <w:highlight w:val="none"/>
        </w:rPr>
        <w:t>1、履约保证金：</w:t>
      </w:r>
      <w:r>
        <w:rPr>
          <w:rFonts w:hint="eastAsia" w:ascii="宋体" w:hAnsi="宋体" w:eastAsia="宋体" w:cs="宋体"/>
          <w:color w:val="auto"/>
          <w:spacing w:val="-6"/>
          <w:sz w:val="21"/>
          <w:szCs w:val="21"/>
          <w:highlight w:val="none"/>
        </w:rPr>
        <w:t>合同签订后，</w:t>
      </w:r>
      <w:r>
        <w:rPr>
          <w:rFonts w:hint="eastAsia" w:ascii="宋体" w:hAnsi="宋体" w:eastAsia="宋体" w:cs="宋体"/>
          <w:color w:val="auto"/>
          <w:spacing w:val="-6"/>
          <w:sz w:val="21"/>
          <w:szCs w:val="21"/>
          <w:highlight w:val="none"/>
          <w:lang w:val="en-US" w:eastAsia="zh-CN"/>
        </w:rPr>
        <w:t>乙方</w:t>
      </w:r>
      <w:r>
        <w:rPr>
          <w:rFonts w:hint="eastAsia" w:ascii="宋体" w:hAnsi="宋体" w:eastAsia="宋体" w:cs="宋体"/>
          <w:color w:val="auto"/>
          <w:spacing w:val="-6"/>
          <w:sz w:val="21"/>
          <w:szCs w:val="21"/>
          <w:highlight w:val="none"/>
        </w:rPr>
        <w:t>向</w:t>
      </w:r>
      <w:r>
        <w:rPr>
          <w:rFonts w:hint="eastAsia" w:ascii="宋体" w:hAnsi="宋体" w:eastAsia="宋体" w:cs="宋体"/>
          <w:color w:val="auto"/>
          <w:spacing w:val="-6"/>
          <w:sz w:val="21"/>
          <w:szCs w:val="21"/>
          <w:highlight w:val="none"/>
          <w:lang w:val="en-US" w:eastAsia="zh-CN"/>
        </w:rPr>
        <w:t>甲方</w:t>
      </w:r>
      <w:r>
        <w:rPr>
          <w:rFonts w:hint="eastAsia" w:ascii="宋体" w:hAnsi="宋体" w:eastAsia="宋体" w:cs="宋体"/>
          <w:color w:val="auto"/>
          <w:spacing w:val="-6"/>
          <w:sz w:val="21"/>
          <w:szCs w:val="21"/>
          <w:highlight w:val="none"/>
        </w:rPr>
        <w:t>缴纳合同金额</w:t>
      </w:r>
      <w:r>
        <w:rPr>
          <w:rFonts w:hint="eastAsia" w:ascii="宋体" w:hAnsi="宋体" w:eastAsia="宋体" w:cs="宋体"/>
          <w:color w:val="auto"/>
          <w:spacing w:val="-6"/>
          <w:sz w:val="21"/>
          <w:szCs w:val="21"/>
          <w:highlight w:val="none"/>
          <w:lang w:val="en-US" w:eastAsia="zh-CN"/>
        </w:rPr>
        <w:t>5</w:t>
      </w:r>
      <w:r>
        <w:rPr>
          <w:rFonts w:hint="eastAsia" w:ascii="宋体" w:hAnsi="宋体" w:eastAsia="宋体" w:cs="宋体"/>
          <w:color w:val="auto"/>
          <w:spacing w:val="-6"/>
          <w:sz w:val="21"/>
          <w:szCs w:val="21"/>
          <w:highlight w:val="none"/>
        </w:rPr>
        <w:t>%的履约保证金，交付方式:汇票/支票/电汇/转账等。履约保证金在服务期内无质量问题和维护问题，服务期满后无息退还。</w:t>
      </w:r>
    </w:p>
    <w:p>
      <w:pPr>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收款单位（户名）:杭州电子科技大学</w:t>
      </w:r>
    </w:p>
    <w:p>
      <w:pPr>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开户银行：工行高新支行</w:t>
      </w:r>
    </w:p>
    <w:p>
      <w:pPr>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银行账号：1202026209008806216</w:t>
      </w:r>
    </w:p>
    <w:p>
      <w:pPr>
        <w:snapToGrid w:val="0"/>
        <w:spacing w:line="288" w:lineRule="auto"/>
        <w:rPr>
          <w:rFonts w:hint="eastAsia" w:ascii="宋体" w:hAnsi="宋体" w:eastAsia="宋体" w:cs="宋体"/>
          <w:b/>
          <w:color w:val="auto"/>
          <w:spacing w:val="-6"/>
          <w:kern w:val="0"/>
          <w:sz w:val="21"/>
          <w:szCs w:val="21"/>
          <w:highlight w:val="none"/>
        </w:rPr>
      </w:pPr>
      <w:r>
        <w:rPr>
          <w:rFonts w:hint="eastAsia" w:ascii="宋体" w:hAnsi="宋体" w:eastAsia="宋体" w:cs="宋体"/>
          <w:b/>
          <w:color w:val="auto"/>
          <w:spacing w:val="-6"/>
          <w:sz w:val="21"/>
          <w:szCs w:val="21"/>
          <w:highlight w:val="none"/>
          <w:lang w:bidi="ar"/>
        </w:rPr>
        <w:t>第五条：服务费用及结算方式</w:t>
      </w:r>
    </w:p>
    <w:p>
      <w:pPr>
        <w:snapToGrid w:val="0"/>
        <w:spacing w:line="288" w:lineRule="auto"/>
        <w:ind w:right="-588" w:rightChars="-245"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根据甲方实际送审数量，乙方开具正规发票供甲方报销，按批结算。甲方需在收到发票后7天内付款。</w:t>
      </w:r>
    </w:p>
    <w:p>
      <w:pPr>
        <w:snapToGrid w:val="0"/>
        <w:spacing w:line="288" w:lineRule="auto"/>
        <w:ind w:right="-588" w:rightChars="-245"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注：乙方需提供增值税专用发票，开票信息如下：</w:t>
      </w:r>
    </w:p>
    <w:p>
      <w:pPr>
        <w:snapToGrid w:val="0"/>
        <w:spacing w:line="288" w:lineRule="auto"/>
        <w:ind w:right="-588" w:rightChars="-245"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抬头：杭州电子科技大学</w:t>
      </w:r>
    </w:p>
    <w:p>
      <w:pPr>
        <w:snapToGrid w:val="0"/>
        <w:spacing w:line="288" w:lineRule="auto"/>
        <w:ind w:right="-588" w:rightChars="-245"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税号：12330000470009026T</w:t>
      </w:r>
    </w:p>
    <w:p>
      <w:pPr>
        <w:snapToGrid w:val="0"/>
        <w:spacing w:line="288" w:lineRule="auto"/>
        <w:ind w:right="-588" w:rightChars="-245"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电话：0571-86915020</w:t>
      </w:r>
    </w:p>
    <w:p>
      <w:pPr>
        <w:snapToGrid w:val="0"/>
        <w:spacing w:line="288" w:lineRule="auto"/>
        <w:ind w:right="-588" w:rightChars="-245"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开户银行：工行高新支行</w:t>
      </w:r>
    </w:p>
    <w:p>
      <w:pPr>
        <w:snapToGrid w:val="0"/>
        <w:spacing w:line="288" w:lineRule="auto"/>
        <w:ind w:right="-588" w:rightChars="-245"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银行账号：1202026209008806216</w:t>
      </w:r>
    </w:p>
    <w:p>
      <w:pPr>
        <w:snapToGrid w:val="0"/>
        <w:spacing w:line="288" w:lineRule="auto"/>
        <w:ind w:right="-588" w:rightChars="-245"/>
        <w:rPr>
          <w:rFonts w:hint="eastAsia"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lang w:bidi="ar"/>
        </w:rPr>
        <w:t>第六条：保密义务</w:t>
      </w:r>
    </w:p>
    <w:p>
      <w:pPr>
        <w:widowControl w:val="0"/>
        <w:snapToGrid w:val="0"/>
        <w:spacing w:before="0" w:beforeAutospacing="0" w:after="0" w:afterAutospacing="0" w:line="288" w:lineRule="auto"/>
        <w:ind w:firstLine="420"/>
        <w:jc w:val="both"/>
        <w:rPr>
          <w:rFonts w:hint="eastAsia" w:ascii="宋体" w:hAnsi="宋体" w:eastAsia="宋体" w:cs="宋体"/>
          <w:bCs/>
          <w:color w:val="auto"/>
          <w:spacing w:val="-6"/>
          <w:kern w:val="2"/>
          <w:sz w:val="21"/>
          <w:szCs w:val="21"/>
          <w:highlight w:val="none"/>
          <w:lang w:val="en-US" w:eastAsia="zh-CN" w:bidi="ar"/>
        </w:rPr>
      </w:pPr>
      <w:r>
        <w:rPr>
          <w:rFonts w:hint="eastAsia" w:ascii="宋体" w:hAnsi="宋体" w:eastAsia="宋体" w:cs="宋体"/>
          <w:bCs/>
          <w:color w:val="auto"/>
          <w:spacing w:val="-6"/>
          <w:kern w:val="2"/>
          <w:sz w:val="21"/>
          <w:szCs w:val="21"/>
          <w:highlight w:val="none"/>
          <w:lang w:val="en-US" w:eastAsia="zh-CN" w:bidi="ar"/>
        </w:rPr>
        <w:t>1、对于服务过程中所涉及的全部信息，包括但不限于技术参数、设计方案、技术秘密等，乙方应严格保密，不得向任何第三方披露。</w:t>
      </w:r>
    </w:p>
    <w:p>
      <w:pPr>
        <w:widowControl w:val="0"/>
        <w:snapToGrid w:val="0"/>
        <w:spacing w:before="0" w:beforeAutospacing="0" w:after="0" w:afterAutospacing="0" w:line="288" w:lineRule="auto"/>
        <w:ind w:firstLine="420"/>
        <w:jc w:val="both"/>
        <w:rPr>
          <w:rFonts w:hint="eastAsia" w:ascii="宋体" w:hAnsi="宋体" w:eastAsia="宋体" w:cs="宋体"/>
          <w:bCs/>
          <w:color w:val="auto"/>
          <w:spacing w:val="-6"/>
          <w:kern w:val="2"/>
          <w:sz w:val="21"/>
          <w:szCs w:val="21"/>
          <w:highlight w:val="none"/>
          <w:lang w:val="en-US" w:eastAsia="zh-CN" w:bidi="ar"/>
        </w:rPr>
      </w:pPr>
      <w:r>
        <w:rPr>
          <w:rFonts w:hint="eastAsia" w:ascii="宋体" w:hAnsi="宋体" w:eastAsia="宋体" w:cs="宋体"/>
          <w:bCs/>
          <w:color w:val="auto"/>
          <w:spacing w:val="-6"/>
          <w:kern w:val="2"/>
          <w:sz w:val="21"/>
          <w:szCs w:val="21"/>
          <w:highlight w:val="none"/>
          <w:lang w:val="en-US" w:eastAsia="zh-CN" w:bidi="ar"/>
        </w:rPr>
        <w:t>2、关于本条所涉之保密义务，其期限不受本合同之期限限制，乙方应长期遵守，直至该等保密信息成为公开信息为止。</w:t>
      </w:r>
    </w:p>
    <w:p>
      <w:pPr>
        <w:widowControl w:val="0"/>
        <w:snapToGrid w:val="0"/>
        <w:spacing w:before="0" w:beforeAutospacing="0" w:after="0" w:afterAutospacing="0" w:line="288" w:lineRule="auto"/>
        <w:ind w:firstLine="0"/>
        <w:jc w:val="both"/>
        <w:rPr>
          <w:rFonts w:hint="eastAsia" w:ascii="宋体" w:hAnsi="宋体" w:eastAsia="宋体" w:cs="宋体"/>
          <w:b/>
          <w:color w:val="auto"/>
          <w:spacing w:val="-6"/>
          <w:kern w:val="2"/>
          <w:sz w:val="21"/>
          <w:szCs w:val="21"/>
          <w:highlight w:val="none"/>
          <w:lang w:val="en-US" w:eastAsia="zh-CN" w:bidi="ar-SA"/>
        </w:rPr>
      </w:pPr>
      <w:r>
        <w:rPr>
          <w:rFonts w:hint="eastAsia" w:ascii="宋体" w:hAnsi="宋体" w:eastAsia="宋体" w:cs="宋体"/>
          <w:b/>
          <w:color w:val="auto"/>
          <w:spacing w:val="-6"/>
          <w:kern w:val="2"/>
          <w:sz w:val="21"/>
          <w:szCs w:val="21"/>
          <w:highlight w:val="none"/>
          <w:lang w:val="en-US" w:eastAsia="zh-CN" w:bidi="ar"/>
        </w:rPr>
        <w:t>第七条：不可抗力事件处理</w:t>
      </w:r>
    </w:p>
    <w:p>
      <w:pPr>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1. 在合同有效期内，任何一方因不可抗力事件导致不能履行合同，则合同履行期可延长，其延长期与不可抗力影响期相同。</w:t>
      </w:r>
    </w:p>
    <w:p>
      <w:pPr>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2. 不可抗力事件发生后，应立即通知对方，并寄送有关权威机构出具的证明。</w:t>
      </w:r>
    </w:p>
    <w:p>
      <w:pPr>
        <w:snapToGrid w:val="0"/>
        <w:spacing w:line="288" w:lineRule="auto"/>
        <w:ind w:firstLine="396" w:firstLineChars="200"/>
        <w:rPr>
          <w:rFonts w:hint="eastAsia" w:ascii="宋体" w:hAnsi="宋体" w:eastAsia="宋体" w:cs="宋体"/>
          <w:color w:val="auto"/>
          <w:spacing w:val="-6"/>
          <w:sz w:val="21"/>
          <w:szCs w:val="21"/>
          <w:highlight w:val="none"/>
          <w:lang w:bidi="ar"/>
        </w:rPr>
      </w:pPr>
      <w:r>
        <w:rPr>
          <w:rFonts w:hint="eastAsia" w:ascii="宋体" w:hAnsi="宋体" w:eastAsia="宋体" w:cs="宋体"/>
          <w:color w:val="auto"/>
          <w:spacing w:val="-6"/>
          <w:sz w:val="21"/>
          <w:szCs w:val="21"/>
          <w:highlight w:val="none"/>
          <w:lang w:bidi="ar"/>
        </w:rPr>
        <w:t>3. 不可抗力事件延续120天以上，双方应通过友好协商，确定是否继续履行合同。</w:t>
      </w:r>
    </w:p>
    <w:p>
      <w:pPr>
        <w:snapToGrid w:val="0"/>
        <w:spacing w:line="288" w:lineRule="auto"/>
        <w:rPr>
          <w:rFonts w:hint="eastAsia" w:ascii="宋体" w:hAnsi="宋体" w:eastAsia="宋体" w:cs="宋体"/>
          <w:b/>
          <w:color w:val="auto"/>
          <w:spacing w:val="-6"/>
          <w:sz w:val="21"/>
          <w:szCs w:val="21"/>
          <w:highlight w:val="none"/>
          <w:lang w:bidi="ar"/>
        </w:rPr>
      </w:pPr>
      <w:r>
        <w:rPr>
          <w:rFonts w:hint="eastAsia" w:ascii="宋体" w:hAnsi="宋体" w:eastAsia="宋体" w:cs="宋体"/>
          <w:b/>
          <w:color w:val="auto"/>
          <w:spacing w:val="-6"/>
          <w:sz w:val="21"/>
          <w:szCs w:val="21"/>
          <w:highlight w:val="none"/>
          <w:lang w:bidi="ar"/>
        </w:rPr>
        <w:t>第八条：违约责任</w:t>
      </w:r>
    </w:p>
    <w:p>
      <w:pPr>
        <w:snapToGrid w:val="0"/>
        <w:spacing w:line="288" w:lineRule="auto"/>
        <w:ind w:firstLine="396" w:firstLineChars="200"/>
        <w:rPr>
          <w:rFonts w:hint="eastAsia" w:ascii="宋体" w:hAnsi="宋体" w:eastAsia="宋体" w:cs="宋体"/>
          <w:color w:val="auto"/>
          <w:spacing w:val="-6"/>
          <w:sz w:val="21"/>
          <w:szCs w:val="21"/>
          <w:highlight w:val="none"/>
          <w:lang w:bidi="ar"/>
        </w:rPr>
      </w:pPr>
      <w:r>
        <w:rPr>
          <w:rFonts w:hint="eastAsia" w:ascii="宋体" w:hAnsi="宋体" w:eastAsia="宋体" w:cs="宋体"/>
          <w:color w:val="auto"/>
          <w:spacing w:val="-6"/>
          <w:sz w:val="21"/>
          <w:szCs w:val="21"/>
          <w:highlight w:val="none"/>
          <w:lang w:bidi="ar"/>
        </w:rPr>
        <w:t>在本合同履行过程中，双方因违约或造成对方经济、社会效益等损失的应当赔偿。</w:t>
      </w:r>
    </w:p>
    <w:p>
      <w:pPr>
        <w:snapToGrid w:val="0"/>
        <w:spacing w:line="288" w:lineRule="auto"/>
        <w:ind w:firstLine="396" w:firstLineChars="200"/>
        <w:rPr>
          <w:rFonts w:hint="eastAsia" w:ascii="宋体" w:hAnsi="宋体" w:eastAsia="宋体" w:cs="宋体"/>
          <w:color w:val="auto"/>
          <w:spacing w:val="-6"/>
          <w:sz w:val="21"/>
          <w:szCs w:val="21"/>
          <w:highlight w:val="none"/>
          <w:lang w:bidi="ar"/>
        </w:rPr>
      </w:pPr>
      <w:r>
        <w:rPr>
          <w:rFonts w:hint="eastAsia" w:ascii="宋体" w:hAnsi="宋体" w:eastAsia="宋体" w:cs="宋体"/>
          <w:color w:val="auto"/>
          <w:spacing w:val="-6"/>
          <w:sz w:val="21"/>
          <w:szCs w:val="21"/>
          <w:highlight w:val="none"/>
          <w:lang w:bidi="ar"/>
        </w:rPr>
        <w:t>1、甲方无正当理由拒绝接收服务，到期拒付服务费的，甲方向乙方偿付应付费用的百分之五作为违约金。甲方逾期付款的，则每日按逾期金额的万分之五向乙方偿付违约金。</w:t>
      </w:r>
    </w:p>
    <w:p>
      <w:pPr>
        <w:snapToGrid w:val="0"/>
        <w:spacing w:line="288" w:lineRule="auto"/>
        <w:ind w:firstLine="396" w:firstLineChars="200"/>
        <w:rPr>
          <w:rFonts w:hint="eastAsia" w:ascii="宋体" w:hAnsi="宋体" w:eastAsia="宋体" w:cs="宋体"/>
          <w:color w:val="auto"/>
          <w:spacing w:val="-6"/>
          <w:sz w:val="21"/>
          <w:szCs w:val="21"/>
          <w:highlight w:val="none"/>
          <w:lang w:bidi="ar"/>
        </w:rPr>
      </w:pPr>
      <w:r>
        <w:rPr>
          <w:rFonts w:hint="eastAsia" w:ascii="宋体" w:hAnsi="宋体" w:eastAsia="宋体" w:cs="宋体"/>
          <w:color w:val="auto"/>
          <w:spacing w:val="-6"/>
          <w:sz w:val="21"/>
          <w:szCs w:val="21"/>
          <w:highlight w:val="none"/>
          <w:lang w:bidi="ar"/>
        </w:rPr>
        <w:t>2、乙方提供的服务不符合本项目相关文件和本合同规定的，甲方有权拒收，并且乙方须向甲方支付本合同总服务费的百分之五作为违约金，并承担其他法律责任。</w:t>
      </w:r>
    </w:p>
    <w:p>
      <w:pPr>
        <w:snapToGrid w:val="0"/>
        <w:spacing w:line="288" w:lineRule="auto"/>
        <w:ind w:firstLine="396" w:firstLineChars="200"/>
        <w:rPr>
          <w:rFonts w:hint="eastAsia" w:ascii="宋体" w:hAnsi="宋体" w:eastAsia="宋体" w:cs="宋体"/>
          <w:color w:val="auto"/>
          <w:spacing w:val="-6"/>
          <w:sz w:val="21"/>
          <w:szCs w:val="21"/>
          <w:highlight w:val="none"/>
          <w:lang w:bidi="ar"/>
        </w:rPr>
      </w:pPr>
      <w:r>
        <w:rPr>
          <w:rFonts w:hint="eastAsia" w:ascii="宋体" w:hAnsi="宋体" w:eastAsia="宋体" w:cs="宋体"/>
          <w:color w:val="auto"/>
          <w:spacing w:val="-6"/>
          <w:sz w:val="21"/>
          <w:szCs w:val="21"/>
          <w:highlight w:val="none"/>
          <w:lang w:bidi="ar"/>
        </w:rPr>
        <w:t>3、乙方未能按照本合同约定时间提供服务或完成约定的项目服务内容的，从逾期之日起每日按本合同总服务费万分之五的数额向甲方支付违约金；逾期三十日以上的，甲方有权终止合同，由此造成的甲方经济损失由乙方承担，并追究乙方其他法律责任。</w:t>
      </w:r>
    </w:p>
    <w:p>
      <w:pPr>
        <w:snapToGrid w:val="0"/>
        <w:spacing w:line="288" w:lineRule="auto"/>
        <w:ind w:firstLine="396" w:firstLineChars="200"/>
        <w:rPr>
          <w:rFonts w:hint="eastAsia" w:ascii="宋体" w:hAnsi="宋体" w:eastAsia="宋体" w:cs="宋体"/>
          <w:color w:val="auto"/>
          <w:spacing w:val="-6"/>
          <w:sz w:val="21"/>
          <w:szCs w:val="21"/>
          <w:highlight w:val="none"/>
          <w:lang w:bidi="ar"/>
        </w:rPr>
      </w:pPr>
      <w:r>
        <w:rPr>
          <w:rFonts w:hint="eastAsia" w:ascii="宋体" w:hAnsi="宋体" w:eastAsia="宋体" w:cs="宋体"/>
          <w:color w:val="auto"/>
          <w:spacing w:val="-6"/>
          <w:sz w:val="21"/>
          <w:szCs w:val="21"/>
          <w:highlight w:val="none"/>
          <w:lang w:bidi="ar"/>
        </w:rPr>
        <w:t>4、未经甲方同意，乙方不得擅自将本合同服务转包第三方承担。如擅自转包，则乙方应支付给甲方本合同总服务费百分之五的违约金。乙方还需承担其他相应法律责任。</w:t>
      </w:r>
    </w:p>
    <w:p>
      <w:pPr>
        <w:snapToGrid w:val="0"/>
        <w:spacing w:line="288" w:lineRule="auto"/>
        <w:ind w:firstLine="396" w:firstLineChars="200"/>
        <w:rPr>
          <w:rFonts w:hint="eastAsia" w:ascii="宋体" w:hAnsi="宋体" w:eastAsia="宋体" w:cs="宋体"/>
          <w:b/>
          <w:color w:val="auto"/>
          <w:spacing w:val="-6"/>
          <w:sz w:val="21"/>
          <w:szCs w:val="21"/>
          <w:highlight w:val="none"/>
          <w:lang w:bidi="ar"/>
        </w:rPr>
      </w:pPr>
      <w:r>
        <w:rPr>
          <w:rFonts w:hint="eastAsia" w:ascii="宋体" w:hAnsi="宋体" w:eastAsia="宋体" w:cs="宋体"/>
          <w:color w:val="auto"/>
          <w:spacing w:val="-6"/>
          <w:sz w:val="21"/>
          <w:szCs w:val="21"/>
          <w:highlight w:val="none"/>
          <w:lang w:bidi="ar"/>
        </w:rPr>
        <w:t>5、其他违约责任按《中华人民共和国合同法》处理。</w:t>
      </w:r>
    </w:p>
    <w:p>
      <w:pPr>
        <w:snapToGrid w:val="0"/>
        <w:spacing w:line="288" w:lineRule="auto"/>
        <w:ind w:right="-588" w:rightChars="-245"/>
        <w:rPr>
          <w:rFonts w:hint="eastAsia"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lang w:bidi="ar"/>
        </w:rPr>
        <w:t>第九条：争议解决</w:t>
      </w:r>
    </w:p>
    <w:p>
      <w:pPr>
        <w:snapToGrid w:val="0"/>
        <w:spacing w:line="288" w:lineRule="auto"/>
        <w:ind w:right="26" w:rightChars="11"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本合同未尽事宜由三方协商解决，如协商不成，三方同意将本合同引起的争议提交杭州仲裁委员会仲裁解决，仲裁为终局。</w:t>
      </w:r>
    </w:p>
    <w:p>
      <w:pPr>
        <w:snapToGrid w:val="0"/>
        <w:spacing w:line="288" w:lineRule="auto"/>
        <w:ind w:right="-588" w:rightChars="-245"/>
        <w:rPr>
          <w:rFonts w:hint="eastAsia"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lang w:bidi="ar"/>
        </w:rPr>
        <w:t>第十条：合同生效</w:t>
      </w:r>
    </w:p>
    <w:p>
      <w:pPr>
        <w:numPr>
          <w:ilvl w:val="0"/>
          <w:numId w:val="41"/>
        </w:numPr>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合同经三方法定代表人或授权代表签字并加盖单位公章后生效。</w:t>
      </w:r>
    </w:p>
    <w:p>
      <w:pPr>
        <w:numPr>
          <w:ilvl w:val="0"/>
          <w:numId w:val="41"/>
        </w:numPr>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合同执行中涉及采购资金和采购内容修改或补充的，须经财政部门审批，并签书面补充协议报政府采购监督管理部门备案，方可作为主合同不可分割的一部分。</w:t>
      </w:r>
    </w:p>
    <w:p>
      <w:pPr>
        <w:numPr>
          <w:ilvl w:val="0"/>
          <w:numId w:val="41"/>
        </w:numPr>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本合同未尽事宜，遵照《合同法》有关条文执行。</w:t>
      </w:r>
    </w:p>
    <w:p>
      <w:pPr>
        <w:numPr>
          <w:ilvl w:val="0"/>
          <w:numId w:val="41"/>
        </w:numPr>
        <w:snapToGrid w:val="0"/>
        <w:spacing w:line="288" w:lineRule="auto"/>
        <w:ind w:firstLine="396" w:firstLineChars="200"/>
        <w:rPr>
          <w:rFonts w:hint="eastAsia" w:hAnsi="宋体"/>
          <w:szCs w:val="21"/>
          <w:highlight w:val="none"/>
        </w:rPr>
      </w:pPr>
      <w:r>
        <w:rPr>
          <w:rFonts w:hint="eastAsia" w:ascii="宋体" w:hAnsi="宋体" w:eastAsia="宋体" w:cs="宋体"/>
          <w:color w:val="auto"/>
          <w:spacing w:val="-6"/>
          <w:sz w:val="21"/>
          <w:szCs w:val="21"/>
          <w:highlight w:val="none"/>
          <w:lang w:bidi="ar"/>
        </w:rPr>
        <w:t>本合同一式五份，乙方、采购代理机构各执壹份，甲方执叁份。</w:t>
      </w:r>
    </w:p>
    <w:tbl>
      <w:tblPr>
        <w:tblStyle w:val="40"/>
        <w:tblpPr w:leftFromText="180" w:rightFromText="180" w:vertAnchor="text" w:horzAnchor="page" w:tblpX="1255" w:tblpY="13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2"/>
        <w:gridCol w:w="4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0065" w:type="dxa"/>
            <w:gridSpan w:val="2"/>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532" w:type="dxa"/>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甲方（公章）：</w:t>
            </w:r>
            <w:r>
              <w:rPr>
                <w:rFonts w:hint="eastAsia" w:ascii="宋体" w:hAnsi="宋体"/>
                <w:b/>
                <w:bCs/>
                <w:sz w:val="21"/>
                <w:szCs w:val="21"/>
                <w:highlight w:val="none"/>
              </w:rPr>
              <w:t>杭州电子科技大学</w:t>
            </w:r>
          </w:p>
        </w:tc>
        <w:tc>
          <w:tcPr>
            <w:tcW w:w="4533" w:type="dxa"/>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 xml:space="preserve">乙方（公章）：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5532" w:type="dxa"/>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法定代表人或其委托代理人：</w:t>
            </w:r>
          </w:p>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(签字）</w:t>
            </w:r>
          </w:p>
        </w:tc>
        <w:tc>
          <w:tcPr>
            <w:tcW w:w="4533" w:type="dxa"/>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法定代表人或其委托代理人：</w:t>
            </w:r>
          </w:p>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地址：杭州经济开发区白杨街道2号大街1158号</w:t>
            </w:r>
          </w:p>
        </w:tc>
        <w:tc>
          <w:tcPr>
            <w:tcW w:w="4533" w:type="dxa"/>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邮编：310053</w:t>
            </w:r>
          </w:p>
        </w:tc>
        <w:tc>
          <w:tcPr>
            <w:tcW w:w="4533" w:type="dxa"/>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 xml:space="preserve">电话： </w:t>
            </w:r>
          </w:p>
        </w:tc>
        <w:tc>
          <w:tcPr>
            <w:tcW w:w="4533" w:type="dxa"/>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 xml:space="preserve">电话：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 xml:space="preserve">传真： </w:t>
            </w:r>
          </w:p>
        </w:tc>
        <w:tc>
          <w:tcPr>
            <w:tcW w:w="4533" w:type="dxa"/>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传真：</w:t>
            </w:r>
            <w:r>
              <w:rPr>
                <w:rFonts w:hint="eastAsia" w:ascii="宋体" w:hAnsi="宋体"/>
                <w:spacing w:val="-6"/>
                <w:sz w:val="21"/>
                <w:szCs w:val="21"/>
                <w:highlight w:val="none"/>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电子邮箱：</w:t>
            </w:r>
          </w:p>
        </w:tc>
        <w:tc>
          <w:tcPr>
            <w:tcW w:w="4533" w:type="dxa"/>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开户银行：工行高新支行</w:t>
            </w:r>
          </w:p>
        </w:tc>
        <w:tc>
          <w:tcPr>
            <w:tcW w:w="4533" w:type="dxa"/>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 xml:space="preserve">开户银行：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帐号：1202026209008806216</w:t>
            </w:r>
          </w:p>
        </w:tc>
        <w:tc>
          <w:tcPr>
            <w:tcW w:w="4533" w:type="dxa"/>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合同签订地点：        签订时间：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 xml:space="preserve">合同鉴证方（鉴证章）：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noWrap w:val="0"/>
            <w:vAlign w:val="center"/>
          </w:tcPr>
          <w:p>
            <w:pPr>
              <w:ind w:firstLine="396"/>
              <w:jc w:val="left"/>
              <w:rPr>
                <w:rFonts w:hint="eastAsia" w:ascii="宋体" w:hAnsi="宋体"/>
                <w:spacing w:val="-6"/>
                <w:sz w:val="21"/>
                <w:szCs w:val="21"/>
                <w:highlight w:val="none"/>
              </w:rPr>
            </w:pPr>
            <w:r>
              <w:rPr>
                <w:rFonts w:hint="eastAsia" w:ascii="宋体" w:hAnsi="宋体"/>
                <w:spacing w:val="-6"/>
                <w:sz w:val="21"/>
                <w:szCs w:val="21"/>
                <w:highlight w:val="none"/>
              </w:rPr>
              <w:t>地址： 杭州市滨江区东方通信科技园启迪楼2楼1208室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noWrap w:val="0"/>
            <w:vAlign w:val="center"/>
          </w:tcPr>
          <w:p>
            <w:pPr>
              <w:ind w:firstLine="396" w:firstLineChars="200"/>
              <w:jc w:val="left"/>
              <w:rPr>
                <w:rFonts w:hint="eastAsia" w:ascii="宋体" w:hAnsi="宋体"/>
                <w:spacing w:val="-6"/>
                <w:sz w:val="21"/>
                <w:szCs w:val="21"/>
                <w:highlight w:val="none"/>
              </w:rPr>
            </w:pPr>
            <w:r>
              <w:rPr>
                <w:rFonts w:hint="eastAsia" w:ascii="宋体" w:hAnsi="宋体"/>
                <w:spacing w:val="-6"/>
                <w:sz w:val="21"/>
                <w:szCs w:val="21"/>
                <w:highlight w:val="none"/>
              </w:rPr>
              <w:t>代表人：(签字）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noWrap w:val="0"/>
            <w:vAlign w:val="center"/>
          </w:tcPr>
          <w:p>
            <w:pPr>
              <w:ind w:firstLine="396"/>
              <w:rPr>
                <w:rFonts w:hint="eastAsia" w:ascii="宋体" w:hAnsi="宋体"/>
                <w:spacing w:val="-6"/>
                <w:sz w:val="21"/>
                <w:szCs w:val="21"/>
                <w:highlight w:val="none"/>
              </w:rPr>
            </w:pPr>
            <w:r>
              <w:rPr>
                <w:rFonts w:hint="eastAsia" w:ascii="宋体" w:hAnsi="宋体"/>
                <w:spacing w:val="-6"/>
                <w:sz w:val="21"/>
                <w:szCs w:val="21"/>
                <w:highlight w:val="none"/>
              </w:rPr>
              <w:t xml:space="preserve">电话： 0571-86098397-808                             </w:t>
            </w:r>
          </w:p>
        </w:tc>
      </w:tr>
    </w:tbl>
    <w:p>
      <w:pPr>
        <w:spacing w:line="288" w:lineRule="auto"/>
        <w:rPr>
          <w:rFonts w:hint="eastAsia" w:ascii="宋体" w:hAnsi="宋体"/>
          <w:sz w:val="32"/>
          <w:szCs w:val="32"/>
          <w:highlight w:val="none"/>
        </w:rPr>
      </w:pPr>
    </w:p>
    <w:p>
      <w:pPr>
        <w:spacing w:line="288" w:lineRule="auto"/>
        <w:rPr>
          <w:rFonts w:hint="eastAsia" w:ascii="宋体" w:hAnsi="宋体"/>
          <w:sz w:val="32"/>
          <w:szCs w:val="32"/>
          <w:highlight w:val="none"/>
        </w:rPr>
      </w:pPr>
      <w:r>
        <w:rPr>
          <w:rFonts w:hint="eastAsia" w:ascii="宋体" w:hAnsi="宋体"/>
          <w:sz w:val="32"/>
          <w:szCs w:val="32"/>
          <w:highlight w:val="none"/>
        </w:rPr>
        <w:t>附件：</w:t>
      </w:r>
    </w:p>
    <w:p>
      <w:pPr>
        <w:ind w:firstLine="482" w:firstLineChars="200"/>
        <w:rPr>
          <w:rFonts w:hint="eastAsia" w:ascii="宋体" w:hAnsi="宋体"/>
          <w:b/>
          <w:highlight w:val="none"/>
        </w:rPr>
      </w:pPr>
      <w:bookmarkStart w:id="171" w:name="_Toc27825"/>
      <w:r>
        <w:rPr>
          <w:rFonts w:hint="eastAsia" w:ascii="宋体" w:hAnsi="宋体"/>
          <w:b/>
          <w:highlight w:val="none"/>
        </w:rPr>
        <w:t>1.配置清单</w:t>
      </w:r>
      <w:bookmarkEnd w:id="171"/>
    </w:p>
    <w:p>
      <w:pPr>
        <w:ind w:firstLine="482" w:firstLineChars="200"/>
        <w:rPr>
          <w:rFonts w:hint="eastAsia" w:ascii="宋体" w:hAnsi="宋体"/>
          <w:b/>
          <w:highlight w:val="none"/>
        </w:rPr>
      </w:pPr>
      <w:bookmarkStart w:id="172" w:name="_Toc16974"/>
      <w:r>
        <w:rPr>
          <w:rFonts w:hint="eastAsia" w:ascii="宋体" w:hAnsi="宋体"/>
          <w:b/>
          <w:highlight w:val="none"/>
        </w:rPr>
        <w:t>2.服务承诺</w:t>
      </w:r>
      <w:bookmarkEnd w:id="172"/>
      <w:r>
        <w:rPr>
          <w:rFonts w:hint="eastAsia" w:ascii="宋体" w:hAnsi="宋体"/>
          <w:b/>
          <w:highlight w:val="none"/>
        </w:rPr>
        <w:t>（注意：使用人、用户、采购人等统一使用甲方，供货商、中标方等统一使用乙方，该提醒不用出现在合同中）</w:t>
      </w:r>
    </w:p>
    <w:p>
      <w:pPr>
        <w:spacing w:line="240" w:lineRule="auto"/>
        <w:ind w:firstLine="482"/>
        <w:rPr>
          <w:b/>
          <w:color w:val="auto"/>
          <w:highlight w:val="none"/>
        </w:rPr>
      </w:pPr>
      <w:r>
        <w:rPr>
          <w:rFonts w:hint="eastAsia" w:ascii="宋体" w:hAnsi="宋体"/>
          <w:b/>
          <w:highlight w:val="none"/>
        </w:rPr>
        <w:t>3.营业执照复印件</w:t>
      </w:r>
    </w:p>
    <w:p>
      <w:pPr>
        <w:spacing w:line="240" w:lineRule="auto"/>
        <w:ind w:left="0" w:leftChars="0" w:firstLine="0" w:firstLineChars="0"/>
        <w:rPr>
          <w:rFonts w:ascii="宋体" w:hAnsi="宋体" w:eastAsia="宋体" w:cs="宋体"/>
          <w:color w:val="auto"/>
          <w:highlight w:val="none"/>
        </w:rPr>
        <w:sectPr>
          <w:pgSz w:w="11907" w:h="16840"/>
          <w:pgMar w:top="1440" w:right="1080" w:bottom="1440" w:left="1080" w:header="850" w:footer="992" w:gutter="0"/>
          <w:cols w:space="720" w:num="1"/>
          <w:docGrid w:linePitch="286" w:charSpace="0"/>
        </w:sectPr>
      </w:pPr>
    </w:p>
    <w:p>
      <w:pPr>
        <w:pStyle w:val="3"/>
        <w:rPr>
          <w:color w:val="auto"/>
          <w:highlight w:val="none"/>
        </w:rPr>
      </w:pPr>
      <w:bookmarkStart w:id="173" w:name="_Toc24575"/>
      <w:bookmarkStart w:id="174" w:name="_Toc11745"/>
      <w:r>
        <w:rPr>
          <w:rFonts w:hint="eastAsia"/>
          <w:color w:val="auto"/>
          <w:highlight w:val="none"/>
        </w:rPr>
        <w:t>第六章 投标文件格式</w:t>
      </w:r>
      <w:bookmarkEnd w:id="169"/>
      <w:bookmarkEnd w:id="173"/>
      <w:bookmarkEnd w:id="174"/>
    </w:p>
    <w:p>
      <w:pPr>
        <w:pStyle w:val="19"/>
        <w:spacing w:line="360" w:lineRule="auto"/>
        <w:ind w:firstLine="420"/>
        <w:jc w:val="center"/>
        <w:rPr>
          <w:rFonts w:hAnsi="宋体" w:cs="宋体"/>
          <w:color w:val="auto"/>
          <w:szCs w:val="22"/>
          <w:highlight w:val="none"/>
        </w:rPr>
      </w:pPr>
      <w:r>
        <w:rPr>
          <w:rFonts w:hint="eastAsia" w:hAnsi="宋体" w:cs="宋体"/>
          <w:color w:val="auto"/>
          <w:szCs w:val="22"/>
          <w:highlight w:val="none"/>
        </w:rPr>
        <w:t>（要求提供但未提供格式的文件由投标人自行编制）</w:t>
      </w:r>
    </w:p>
    <w:p>
      <w:pPr>
        <w:pStyle w:val="4"/>
        <w:rPr>
          <w:color w:val="auto"/>
          <w:highlight w:val="none"/>
        </w:rPr>
      </w:pPr>
      <w:bookmarkStart w:id="175" w:name="_Toc21050"/>
      <w:bookmarkStart w:id="176" w:name="_Toc5063"/>
      <w:r>
        <w:rPr>
          <w:rFonts w:hint="eastAsia"/>
          <w:color w:val="auto"/>
          <w:highlight w:val="none"/>
        </w:rPr>
        <w:t>外层包装</w:t>
      </w:r>
      <w:bookmarkEnd w:id="175"/>
      <w:bookmarkEnd w:id="176"/>
    </w:p>
    <w:p>
      <w:pPr>
        <w:ind w:firstLine="456"/>
        <w:rPr>
          <w:rFonts w:cs="宋体"/>
          <w:color w:val="auto"/>
          <w:spacing w:val="-6"/>
          <w:highlight w:val="none"/>
        </w:rPr>
      </w:pPr>
    </w:p>
    <w:p>
      <w:pPr>
        <w:spacing w:line="600" w:lineRule="auto"/>
        <w:ind w:firstLine="0" w:firstLineChars="0"/>
        <w:jc w:val="center"/>
        <w:rPr>
          <w:rFonts w:cs="宋体"/>
          <w:b/>
          <w:bCs/>
          <w:color w:val="auto"/>
          <w:sz w:val="48"/>
          <w:szCs w:val="48"/>
          <w:highlight w:val="none"/>
        </w:rPr>
      </w:pPr>
      <w:r>
        <w:rPr>
          <w:rFonts w:hint="eastAsia" w:cs="宋体"/>
          <w:b/>
          <w:bCs/>
          <w:color w:val="auto"/>
          <w:sz w:val="48"/>
          <w:szCs w:val="48"/>
          <w:highlight w:val="none"/>
        </w:rPr>
        <w:t>杭州电子科技大学</w:t>
      </w:r>
    </w:p>
    <w:p>
      <w:pPr>
        <w:spacing w:line="480" w:lineRule="auto"/>
        <w:ind w:firstLine="0" w:firstLineChars="0"/>
        <w:jc w:val="center"/>
        <w:rPr>
          <w:rFonts w:hint="eastAsia" w:eastAsia="宋体" w:cs="宋体"/>
          <w:b/>
          <w:bCs/>
          <w:color w:val="auto"/>
          <w:sz w:val="48"/>
          <w:szCs w:val="48"/>
          <w:highlight w:val="none"/>
          <w:lang w:eastAsia="zh-CN"/>
        </w:rPr>
      </w:pPr>
      <w:r>
        <w:rPr>
          <w:rFonts w:hint="eastAsia" w:cs="宋体"/>
          <w:b/>
          <w:bCs/>
          <w:color w:val="auto"/>
          <w:sz w:val="48"/>
          <w:szCs w:val="48"/>
          <w:highlight w:val="none"/>
          <w:lang w:eastAsia="zh-CN"/>
        </w:rPr>
        <w:t>研究生学位论文网络评审服务</w:t>
      </w:r>
    </w:p>
    <w:p>
      <w:pPr>
        <w:ind w:firstLine="456"/>
        <w:jc w:val="center"/>
        <w:rPr>
          <w:rFonts w:hint="eastAsia" w:eastAsia="宋体" w:cs="宋体"/>
          <w:b/>
          <w:bCs/>
          <w:color w:val="auto"/>
          <w:spacing w:val="-6"/>
          <w:highlight w:val="none"/>
          <w:lang w:val="en-US" w:eastAsia="zh-CN"/>
        </w:rPr>
      </w:pPr>
      <w:r>
        <w:rPr>
          <w:rFonts w:hint="eastAsia" w:cs="宋体"/>
          <w:b/>
          <w:bCs/>
          <w:color w:val="auto"/>
          <w:spacing w:val="-6"/>
          <w:highlight w:val="none"/>
          <w:lang w:val="en-US" w:eastAsia="zh-CN"/>
        </w:rPr>
        <w:t>标项：</w:t>
      </w:r>
    </w:p>
    <w:p>
      <w:pPr>
        <w:ind w:firstLine="458"/>
        <w:jc w:val="center"/>
        <w:rPr>
          <w:rFonts w:cs="宋体"/>
          <w:b/>
          <w:bCs/>
          <w:color w:val="auto"/>
          <w:spacing w:val="-6"/>
          <w:highlight w:val="none"/>
        </w:rPr>
      </w:pPr>
      <w:r>
        <w:rPr>
          <w:rFonts w:hint="eastAsia" w:cs="宋体"/>
          <w:b/>
          <w:bCs/>
          <w:color w:val="auto"/>
          <w:spacing w:val="-6"/>
          <w:highlight w:val="none"/>
        </w:rPr>
        <w:t>投 标 文 件（电子备份文件）</w:t>
      </w:r>
    </w:p>
    <w:p>
      <w:pPr>
        <w:ind w:firstLine="0" w:firstLineChars="0"/>
        <w:rPr>
          <w:rFonts w:cs="宋体"/>
          <w:bCs/>
          <w:color w:val="auto"/>
          <w:spacing w:val="-6"/>
          <w:highlight w:val="none"/>
        </w:rPr>
      </w:pPr>
    </w:p>
    <w:p>
      <w:pPr>
        <w:pStyle w:val="14"/>
        <w:rPr>
          <w:rFonts w:ascii="宋体" w:eastAsia="宋体" w:cs="宋体"/>
          <w:bCs/>
          <w:color w:val="auto"/>
          <w:spacing w:val="-6"/>
          <w:highlight w:val="none"/>
        </w:rPr>
      </w:pPr>
    </w:p>
    <w:p>
      <w:pPr>
        <w:pStyle w:val="14"/>
        <w:rPr>
          <w:rFonts w:ascii="宋体" w:eastAsia="宋体" w:cs="宋体"/>
          <w:bCs/>
          <w:color w:val="auto"/>
          <w:spacing w:val="-6"/>
          <w:highlight w:val="none"/>
        </w:rPr>
      </w:pPr>
    </w:p>
    <w:p>
      <w:pPr>
        <w:ind w:firstLine="576"/>
        <w:rPr>
          <w:rFonts w:cs="宋体"/>
          <w:bCs/>
          <w:color w:val="auto"/>
          <w:spacing w:val="-6"/>
          <w:sz w:val="30"/>
          <w:szCs w:val="30"/>
          <w:highlight w:val="none"/>
        </w:rPr>
      </w:pPr>
      <w:r>
        <w:rPr>
          <w:rFonts w:hint="eastAsia" w:cs="宋体"/>
          <w:bCs/>
          <w:color w:val="auto"/>
          <w:spacing w:val="-6"/>
          <w:sz w:val="30"/>
          <w:szCs w:val="30"/>
          <w:highlight w:val="none"/>
        </w:rPr>
        <w:t>采 购 人：</w:t>
      </w:r>
    </w:p>
    <w:p>
      <w:pPr>
        <w:ind w:firstLine="576"/>
        <w:rPr>
          <w:rFonts w:cs="宋体"/>
          <w:bCs/>
          <w:color w:val="auto"/>
          <w:spacing w:val="-6"/>
          <w:sz w:val="30"/>
          <w:szCs w:val="30"/>
          <w:highlight w:val="none"/>
        </w:rPr>
      </w:pPr>
      <w:r>
        <w:rPr>
          <w:rFonts w:hint="eastAsia" w:cs="宋体"/>
          <w:bCs/>
          <w:color w:val="auto"/>
          <w:spacing w:val="-6"/>
          <w:sz w:val="30"/>
          <w:szCs w:val="30"/>
          <w:highlight w:val="none"/>
        </w:rPr>
        <w:t>项目名称：</w:t>
      </w:r>
    </w:p>
    <w:p>
      <w:pPr>
        <w:ind w:firstLine="576"/>
        <w:rPr>
          <w:rFonts w:cs="宋体"/>
          <w:bCs/>
          <w:color w:val="auto"/>
          <w:spacing w:val="-6"/>
          <w:sz w:val="30"/>
          <w:szCs w:val="30"/>
          <w:highlight w:val="none"/>
        </w:rPr>
      </w:pPr>
      <w:r>
        <w:rPr>
          <w:rFonts w:hint="eastAsia" w:cs="宋体"/>
          <w:bCs/>
          <w:color w:val="auto"/>
          <w:spacing w:val="-6"/>
          <w:sz w:val="30"/>
          <w:szCs w:val="30"/>
          <w:highlight w:val="none"/>
        </w:rPr>
        <w:t>项目编号：</w:t>
      </w:r>
    </w:p>
    <w:p>
      <w:pPr>
        <w:ind w:firstLine="576"/>
        <w:rPr>
          <w:rFonts w:cs="宋体"/>
          <w:bCs/>
          <w:color w:val="auto"/>
          <w:spacing w:val="-6"/>
          <w:sz w:val="30"/>
          <w:szCs w:val="30"/>
          <w:highlight w:val="none"/>
        </w:rPr>
      </w:pPr>
      <w:r>
        <w:rPr>
          <w:rFonts w:hint="eastAsia" w:cs="宋体"/>
          <w:bCs/>
          <w:color w:val="auto"/>
          <w:spacing w:val="-6"/>
          <w:sz w:val="30"/>
          <w:szCs w:val="30"/>
          <w:highlight w:val="none"/>
        </w:rPr>
        <w:t>投标人名称（盖章）：</w:t>
      </w:r>
    </w:p>
    <w:p>
      <w:pPr>
        <w:ind w:firstLine="576"/>
        <w:rPr>
          <w:rFonts w:cs="宋体"/>
          <w:bCs/>
          <w:color w:val="auto"/>
          <w:spacing w:val="-6"/>
          <w:sz w:val="30"/>
          <w:szCs w:val="30"/>
          <w:highlight w:val="none"/>
        </w:rPr>
      </w:pPr>
      <w:r>
        <w:rPr>
          <w:rFonts w:hint="eastAsia" w:cs="宋体"/>
          <w:bCs/>
          <w:color w:val="auto"/>
          <w:spacing w:val="-6"/>
          <w:sz w:val="30"/>
          <w:szCs w:val="30"/>
          <w:highlight w:val="none"/>
        </w:rPr>
        <w:t>投标人地址：</w:t>
      </w:r>
    </w:p>
    <w:p>
      <w:pPr>
        <w:ind w:firstLine="576"/>
        <w:rPr>
          <w:rFonts w:cs="宋体"/>
          <w:bCs/>
          <w:color w:val="auto"/>
          <w:spacing w:val="-6"/>
          <w:sz w:val="30"/>
          <w:szCs w:val="30"/>
          <w:highlight w:val="none"/>
        </w:rPr>
      </w:pPr>
      <w:r>
        <w:rPr>
          <w:rFonts w:hint="eastAsia" w:cs="宋体"/>
          <w:bCs/>
          <w:color w:val="auto"/>
          <w:spacing w:val="-6"/>
          <w:sz w:val="30"/>
          <w:szCs w:val="30"/>
          <w:highlight w:val="none"/>
        </w:rPr>
        <w:t>在    年  月  日  时  分之前不得启封</w:t>
      </w:r>
    </w:p>
    <w:p>
      <w:pPr>
        <w:ind w:firstLine="576"/>
        <w:rPr>
          <w:rFonts w:cs="宋体"/>
          <w:bCs/>
          <w:color w:val="auto"/>
          <w:spacing w:val="-6"/>
          <w:sz w:val="30"/>
          <w:szCs w:val="30"/>
          <w:highlight w:val="none"/>
        </w:rPr>
      </w:pPr>
      <w:r>
        <w:rPr>
          <w:rFonts w:hint="eastAsia" w:cs="宋体"/>
          <w:bCs/>
          <w:color w:val="auto"/>
          <w:spacing w:val="-6"/>
          <w:sz w:val="30"/>
          <w:szCs w:val="30"/>
          <w:highlight w:val="none"/>
        </w:rPr>
        <w:t>授权代表姓名：       手机号：</w:t>
      </w:r>
    </w:p>
    <w:p>
      <w:pPr>
        <w:pStyle w:val="14"/>
        <w:rPr>
          <w:rFonts w:ascii="宋体" w:eastAsia="宋体" w:cs="宋体"/>
          <w:color w:val="auto"/>
          <w:highlight w:val="none"/>
        </w:rPr>
      </w:pPr>
    </w:p>
    <w:p>
      <w:pPr>
        <w:ind w:firstLine="576"/>
        <w:rPr>
          <w:rFonts w:cs="宋体"/>
          <w:bCs/>
          <w:color w:val="auto"/>
          <w:spacing w:val="-6"/>
          <w:sz w:val="30"/>
          <w:szCs w:val="30"/>
          <w:highlight w:val="none"/>
        </w:rPr>
        <w:sectPr>
          <w:pgSz w:w="11907" w:h="16840"/>
          <w:pgMar w:top="1440" w:right="1080" w:bottom="1440" w:left="1080" w:header="850" w:footer="992" w:gutter="0"/>
          <w:cols w:space="720" w:num="1"/>
          <w:docGrid w:linePitch="286" w:charSpace="0"/>
        </w:sectPr>
      </w:pPr>
      <w:r>
        <w:rPr>
          <w:rFonts w:hint="eastAsia" w:cs="宋体"/>
          <w:bCs/>
          <w:color w:val="auto"/>
          <w:spacing w:val="-6"/>
          <w:sz w:val="30"/>
          <w:szCs w:val="30"/>
          <w:highlight w:val="none"/>
        </w:rPr>
        <w:t>日期：    年  月  日</w:t>
      </w:r>
    </w:p>
    <w:p>
      <w:pPr>
        <w:ind w:firstLine="480"/>
        <w:rPr>
          <w:rFonts w:cs="宋体"/>
          <w:color w:val="auto"/>
          <w:szCs w:val="22"/>
          <w:highlight w:val="none"/>
        </w:rPr>
      </w:pPr>
      <w:r>
        <w:rPr>
          <w:rFonts w:hint="eastAsia" w:cs="宋体"/>
          <w:color w:val="auto"/>
          <w:highlight w:val="none"/>
        </w:rPr>
        <mc:AlternateContent>
          <mc:Choice Requires="wps">
            <w:drawing>
              <wp:anchor distT="0" distB="0" distL="114300" distR="114300" simplePos="0" relativeHeight="251662336" behindDoc="1" locked="0" layoutInCell="1" allowOverlap="1">
                <wp:simplePos x="0" y="0"/>
                <wp:positionH relativeFrom="column">
                  <wp:posOffset>4622800</wp:posOffset>
                </wp:positionH>
                <wp:positionV relativeFrom="paragraph">
                  <wp:posOffset>243205</wp:posOffset>
                </wp:positionV>
                <wp:extent cx="1403350" cy="507365"/>
                <wp:effectExtent l="5080" t="4445" r="20320" b="21590"/>
                <wp:wrapNone/>
                <wp:docPr id="1" name="文本框 2"/>
                <wp:cNvGraphicFramePr/>
                <a:graphic xmlns:a="http://schemas.openxmlformats.org/drawingml/2006/main">
                  <a:graphicData uri="http://schemas.microsoft.com/office/word/2010/wordprocessingShape">
                    <wps:wsp>
                      <wps:cNvSpPr txBox="1"/>
                      <wps:spPr>
                        <a:xfrm>
                          <a:off x="0" y="0"/>
                          <a:ext cx="1403350" cy="5073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0" w:firstLineChars="0"/>
                              <w:rPr>
                                <w:sz w:val="32"/>
                                <w:szCs w:val="32"/>
                              </w:rPr>
                            </w:pPr>
                            <w:r>
                              <w:rPr>
                                <w:rFonts w:hint="eastAsia"/>
                                <w:sz w:val="32"/>
                                <w:szCs w:val="32"/>
                              </w:rPr>
                              <w:t>正本（</w:t>
                            </w:r>
                            <w:r>
                              <w:rPr>
                                <w:sz w:val="32"/>
                                <w:szCs w:val="32"/>
                              </w:rPr>
                              <w:t>副本）</w:t>
                            </w:r>
                          </w:p>
                        </w:txbxContent>
                      </wps:txbx>
                      <wps:bodyPr upright="1"/>
                    </wps:wsp>
                  </a:graphicData>
                </a:graphic>
              </wp:anchor>
            </w:drawing>
          </mc:Choice>
          <mc:Fallback>
            <w:pict>
              <v:shape id="文本框 2" o:spid="_x0000_s1026" o:spt="202" type="#_x0000_t202" style="position:absolute;left:0pt;margin-left:364pt;margin-top:19.15pt;height:39.95pt;width:110.5pt;z-index:-251654144;mso-width-relative:page;mso-height-relative:page;" fillcolor="#FFFFFF" filled="t" stroked="t" coordsize="21600,21600" o:gfxdata="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Qptr32QAAAAoBAAAPAAAAAAAAAAEAIAAAACIA&#10;AABkcnMvZG93bnJldi54bWxQSwECFAAUAAAACACHTuJA1UOoQwgCAAA2BAAADgAAAAAAAAABACAA&#10;AAAoAQAAZHJzL2Uyb0RvYy54bWxQSwUGAAAAAAYABgBZAQAAogUAAAAA&#10;">
                <v:fill on="t" focussize="0,0"/>
                <v:stroke color="#000000" joinstyle="miter"/>
                <v:imagedata o:title=""/>
                <o:lock v:ext="edit" aspectratio="f"/>
                <v:textbox>
                  <w:txbxContent>
                    <w:p>
                      <w:pPr>
                        <w:ind w:firstLine="0" w:firstLineChars="0"/>
                        <w:rPr>
                          <w:sz w:val="32"/>
                          <w:szCs w:val="32"/>
                        </w:rPr>
                      </w:pPr>
                      <w:r>
                        <w:rPr>
                          <w:rFonts w:hint="eastAsia"/>
                          <w:sz w:val="32"/>
                          <w:szCs w:val="32"/>
                        </w:rPr>
                        <w:t>正本（</w:t>
                      </w:r>
                      <w:r>
                        <w:rPr>
                          <w:sz w:val="32"/>
                          <w:szCs w:val="32"/>
                        </w:rPr>
                        <w:t>副本）</w:t>
                      </w:r>
                    </w:p>
                  </w:txbxContent>
                </v:textbox>
              </v:shape>
            </w:pict>
          </mc:Fallback>
        </mc:AlternateContent>
      </w:r>
      <w:r>
        <w:rPr>
          <w:rFonts w:hint="eastAsia" w:cs="宋体"/>
          <w:bCs/>
          <w:color w:val="auto"/>
          <w:spacing w:val="-6"/>
          <w:highlight w:val="none"/>
        </w:rPr>
        <w:t xml:space="preserve"> </w:t>
      </w:r>
    </w:p>
    <w:p>
      <w:pPr>
        <w:pStyle w:val="4"/>
        <w:rPr>
          <w:color w:val="auto"/>
          <w:highlight w:val="none"/>
        </w:rPr>
      </w:pPr>
      <w:bookmarkStart w:id="177" w:name="_Toc1784"/>
      <w:bookmarkStart w:id="178" w:name="_Toc29893"/>
      <w:r>
        <w:rPr>
          <w:rFonts w:hint="eastAsia"/>
          <w:color w:val="auto"/>
          <w:highlight w:val="none"/>
        </w:rPr>
        <w:t>资格证明文件封面</w:t>
      </w:r>
      <w:bookmarkEnd w:id="177"/>
      <w:bookmarkEnd w:id="178"/>
    </w:p>
    <w:p>
      <w:pPr>
        <w:ind w:firstLine="880"/>
        <w:rPr>
          <w:rFonts w:cs="宋体"/>
          <w:color w:val="auto"/>
          <w:sz w:val="44"/>
          <w:szCs w:val="32"/>
          <w:highlight w:val="none"/>
        </w:rPr>
      </w:pPr>
    </w:p>
    <w:p>
      <w:pPr>
        <w:spacing w:line="600" w:lineRule="auto"/>
        <w:ind w:firstLine="0" w:firstLineChars="0"/>
        <w:jc w:val="center"/>
        <w:rPr>
          <w:rFonts w:cs="宋体"/>
          <w:b/>
          <w:bCs/>
          <w:color w:val="auto"/>
          <w:sz w:val="48"/>
          <w:szCs w:val="48"/>
          <w:highlight w:val="none"/>
        </w:rPr>
      </w:pPr>
      <w:r>
        <w:rPr>
          <w:rFonts w:hint="eastAsia" w:cs="宋体"/>
          <w:b/>
          <w:bCs/>
          <w:color w:val="auto"/>
          <w:sz w:val="48"/>
          <w:szCs w:val="48"/>
          <w:highlight w:val="none"/>
        </w:rPr>
        <w:t>杭州电子科技大学</w:t>
      </w:r>
    </w:p>
    <w:p>
      <w:pPr>
        <w:spacing w:line="600" w:lineRule="auto"/>
        <w:ind w:firstLine="0" w:firstLineChars="0"/>
        <w:jc w:val="center"/>
        <w:rPr>
          <w:rFonts w:hint="eastAsia" w:eastAsia="宋体" w:cs="宋体"/>
          <w:b/>
          <w:bCs/>
          <w:color w:val="auto"/>
          <w:sz w:val="48"/>
          <w:szCs w:val="48"/>
          <w:highlight w:val="none"/>
          <w:lang w:eastAsia="zh-CN"/>
        </w:rPr>
      </w:pPr>
      <w:r>
        <w:rPr>
          <w:rFonts w:hint="eastAsia" w:cs="宋体"/>
          <w:b/>
          <w:bCs/>
          <w:color w:val="auto"/>
          <w:sz w:val="48"/>
          <w:szCs w:val="48"/>
          <w:highlight w:val="none"/>
          <w:lang w:eastAsia="zh-CN"/>
        </w:rPr>
        <w:t>研究生学位论文网络评审服务</w:t>
      </w:r>
    </w:p>
    <w:p>
      <w:pPr>
        <w:ind w:firstLine="0" w:firstLineChars="0"/>
        <w:jc w:val="center"/>
        <w:rPr>
          <w:rFonts w:cs="宋体"/>
          <w:b/>
          <w:bCs/>
          <w:color w:val="auto"/>
          <w:sz w:val="30"/>
          <w:szCs w:val="30"/>
          <w:highlight w:val="none"/>
        </w:rPr>
      </w:pPr>
    </w:p>
    <w:p>
      <w:pPr>
        <w:ind w:firstLine="0" w:firstLineChars="0"/>
        <w:jc w:val="center"/>
        <w:rPr>
          <w:rFonts w:cs="宋体"/>
          <w:color w:val="auto"/>
          <w:sz w:val="30"/>
          <w:szCs w:val="30"/>
          <w:highlight w:val="none"/>
        </w:rPr>
      </w:pPr>
      <w:r>
        <w:rPr>
          <w:rFonts w:hint="eastAsia" w:cs="宋体"/>
          <w:b/>
          <w:bCs/>
          <w:color w:val="auto"/>
          <w:sz w:val="30"/>
          <w:szCs w:val="30"/>
          <w:highlight w:val="none"/>
        </w:rPr>
        <w:t>资格证明文件</w:t>
      </w:r>
    </w:p>
    <w:p>
      <w:pPr>
        <w:ind w:firstLine="600"/>
        <w:rPr>
          <w:rFonts w:cs="宋体"/>
          <w:color w:val="auto"/>
          <w:sz w:val="30"/>
          <w:szCs w:val="30"/>
          <w:highlight w:val="none"/>
        </w:rPr>
      </w:pPr>
    </w:p>
    <w:p>
      <w:pPr>
        <w:ind w:firstLine="600"/>
        <w:rPr>
          <w:rFonts w:cs="宋体"/>
          <w:color w:val="auto"/>
          <w:sz w:val="30"/>
          <w:szCs w:val="30"/>
          <w:highlight w:val="none"/>
        </w:rPr>
      </w:pPr>
      <w:r>
        <w:rPr>
          <w:rFonts w:hint="eastAsia" w:cs="宋体"/>
          <w:color w:val="auto"/>
          <w:sz w:val="30"/>
          <w:szCs w:val="30"/>
          <w:highlight w:val="none"/>
        </w:rPr>
        <w:t>采 购 人：</w:t>
      </w:r>
    </w:p>
    <w:p>
      <w:pPr>
        <w:ind w:firstLine="600"/>
        <w:rPr>
          <w:rFonts w:cs="宋体"/>
          <w:color w:val="auto"/>
          <w:sz w:val="30"/>
          <w:szCs w:val="30"/>
          <w:highlight w:val="none"/>
        </w:rPr>
      </w:pPr>
      <w:r>
        <w:rPr>
          <w:rFonts w:hint="eastAsia" w:cs="宋体"/>
          <w:color w:val="auto"/>
          <w:sz w:val="30"/>
          <w:szCs w:val="30"/>
          <w:highlight w:val="none"/>
        </w:rPr>
        <w:t>项目名称：</w:t>
      </w:r>
    </w:p>
    <w:p>
      <w:pPr>
        <w:ind w:firstLine="600"/>
        <w:rPr>
          <w:rFonts w:cs="宋体"/>
          <w:color w:val="auto"/>
          <w:sz w:val="30"/>
          <w:szCs w:val="30"/>
          <w:highlight w:val="none"/>
        </w:rPr>
      </w:pPr>
      <w:r>
        <w:rPr>
          <w:rFonts w:hint="eastAsia" w:cs="宋体"/>
          <w:color w:val="auto"/>
          <w:sz w:val="30"/>
          <w:szCs w:val="30"/>
          <w:highlight w:val="none"/>
        </w:rPr>
        <w:t>项目编号：</w:t>
      </w:r>
    </w:p>
    <w:p>
      <w:pPr>
        <w:ind w:firstLine="600"/>
        <w:rPr>
          <w:rFonts w:cs="宋体"/>
          <w:color w:val="auto"/>
          <w:sz w:val="30"/>
          <w:szCs w:val="30"/>
          <w:highlight w:val="none"/>
        </w:rPr>
      </w:pPr>
      <w:r>
        <w:rPr>
          <w:rFonts w:hint="eastAsia" w:cs="宋体"/>
          <w:color w:val="auto"/>
          <w:sz w:val="30"/>
          <w:szCs w:val="30"/>
          <w:highlight w:val="none"/>
        </w:rPr>
        <w:t>投标人名称（盖章）：</w:t>
      </w:r>
    </w:p>
    <w:p>
      <w:pPr>
        <w:ind w:firstLine="600"/>
        <w:rPr>
          <w:rFonts w:cs="宋体"/>
          <w:color w:val="auto"/>
          <w:sz w:val="30"/>
          <w:szCs w:val="30"/>
          <w:highlight w:val="none"/>
        </w:rPr>
      </w:pPr>
      <w:r>
        <w:rPr>
          <w:rFonts w:hint="eastAsia" w:cs="宋体"/>
          <w:color w:val="auto"/>
          <w:sz w:val="30"/>
          <w:szCs w:val="30"/>
          <w:highlight w:val="none"/>
        </w:rPr>
        <w:t>投标人地址：</w:t>
      </w:r>
    </w:p>
    <w:p>
      <w:pPr>
        <w:ind w:firstLine="600"/>
        <w:rPr>
          <w:rFonts w:cs="宋体"/>
          <w:color w:val="auto"/>
          <w:sz w:val="30"/>
          <w:szCs w:val="30"/>
          <w:highlight w:val="none"/>
        </w:rPr>
      </w:pPr>
    </w:p>
    <w:p>
      <w:pPr>
        <w:ind w:firstLine="600"/>
        <w:rPr>
          <w:rFonts w:cs="宋体"/>
          <w:color w:val="auto"/>
          <w:sz w:val="30"/>
          <w:szCs w:val="30"/>
          <w:highlight w:val="none"/>
        </w:rPr>
      </w:pPr>
    </w:p>
    <w:p>
      <w:pPr>
        <w:ind w:firstLine="600"/>
        <w:rPr>
          <w:rFonts w:cs="宋体"/>
          <w:color w:val="auto"/>
          <w:sz w:val="30"/>
          <w:szCs w:val="30"/>
          <w:highlight w:val="none"/>
        </w:rPr>
      </w:pPr>
      <w:r>
        <w:rPr>
          <w:rFonts w:hint="eastAsia" w:cs="宋体"/>
          <w:color w:val="auto"/>
          <w:sz w:val="30"/>
          <w:szCs w:val="30"/>
          <w:highlight w:val="none"/>
        </w:rPr>
        <w:t>授权代表签字或盖章：</w:t>
      </w:r>
    </w:p>
    <w:p>
      <w:pPr>
        <w:ind w:firstLine="600"/>
        <w:rPr>
          <w:rFonts w:cs="宋体"/>
          <w:color w:val="auto"/>
          <w:sz w:val="30"/>
          <w:szCs w:val="30"/>
          <w:highlight w:val="none"/>
        </w:rPr>
      </w:pPr>
      <w:r>
        <w:rPr>
          <w:rFonts w:hint="eastAsia" w:cs="宋体"/>
          <w:color w:val="auto"/>
          <w:sz w:val="30"/>
          <w:szCs w:val="30"/>
          <w:highlight w:val="none"/>
        </w:rPr>
        <w:t>日期：    年  月  日</w:t>
      </w:r>
    </w:p>
    <w:p>
      <w:pPr>
        <w:ind w:firstLine="576"/>
        <w:rPr>
          <w:rFonts w:cs="宋体"/>
          <w:bCs/>
          <w:color w:val="auto"/>
          <w:spacing w:val="-6"/>
          <w:sz w:val="30"/>
          <w:szCs w:val="30"/>
          <w:highlight w:val="none"/>
        </w:rPr>
        <w:sectPr>
          <w:pgSz w:w="11907" w:h="16840"/>
          <w:pgMar w:top="1440" w:right="1080" w:bottom="1440" w:left="1080" w:header="850" w:footer="992" w:gutter="0"/>
          <w:cols w:space="720" w:num="1"/>
          <w:docGrid w:linePitch="286" w:charSpace="0"/>
        </w:sectPr>
      </w:pPr>
      <w:r>
        <w:rPr>
          <w:rFonts w:hint="eastAsia" w:cs="宋体"/>
          <w:bCs/>
          <w:color w:val="auto"/>
          <w:spacing w:val="-6"/>
          <w:sz w:val="30"/>
          <w:szCs w:val="30"/>
          <w:highlight w:val="none"/>
        </w:rPr>
        <w:t>授权代表姓名：       手机号：</w:t>
      </w:r>
    </w:p>
    <w:p>
      <w:pPr>
        <w:pStyle w:val="4"/>
        <w:jc w:val="center"/>
        <w:rPr>
          <w:color w:val="auto"/>
          <w:highlight w:val="none"/>
        </w:rPr>
      </w:pPr>
      <w:bookmarkStart w:id="179" w:name="_Toc5498"/>
      <w:r>
        <w:rPr>
          <w:rFonts w:hint="eastAsia"/>
          <w:color w:val="auto"/>
          <w:highlight w:val="none"/>
        </w:rPr>
        <w:t>资格证明文件目录</w:t>
      </w:r>
      <w:bookmarkEnd w:id="179"/>
    </w:p>
    <w:p>
      <w:pPr>
        <w:ind w:firstLine="480"/>
        <w:rPr>
          <w:color w:val="auto"/>
          <w:highlight w:val="none"/>
        </w:rPr>
      </w:pPr>
    </w:p>
    <w:p>
      <w:pPr>
        <w:numPr>
          <w:ilvl w:val="0"/>
          <w:numId w:val="42"/>
        </w:numPr>
        <w:adjustRightInd w:val="0"/>
        <w:snapToGrid w:val="0"/>
        <w:ind w:firstLine="480"/>
        <w:rPr>
          <w:color w:val="auto"/>
          <w:highlight w:val="none"/>
        </w:rPr>
      </w:pPr>
      <w:r>
        <w:rPr>
          <w:rFonts w:hint="eastAsia"/>
          <w:color w:val="auto"/>
          <w:highlight w:val="none"/>
        </w:rPr>
        <w:t>有效的经营执照复印件；事业单位的，则提供有效的《事业单位法人证书》副本复印件章；自然人的，则提供有效的身份证复印件并签字 …………………………………（页码）</w:t>
      </w:r>
    </w:p>
    <w:p>
      <w:pPr>
        <w:numPr>
          <w:ilvl w:val="0"/>
          <w:numId w:val="42"/>
        </w:numPr>
        <w:adjustRightInd w:val="0"/>
        <w:snapToGrid w:val="0"/>
        <w:ind w:firstLine="480"/>
        <w:rPr>
          <w:color w:val="auto"/>
          <w:highlight w:val="none"/>
        </w:rPr>
      </w:pPr>
      <w:r>
        <w:rPr>
          <w:rFonts w:hint="eastAsia"/>
          <w:color w:val="auto"/>
          <w:highlight w:val="none"/>
        </w:rPr>
        <w:t>近一年任意一个月财务报告或开标前三个月内出具的银行资信证明…………（页码）</w:t>
      </w:r>
    </w:p>
    <w:p>
      <w:pPr>
        <w:numPr>
          <w:ilvl w:val="0"/>
          <w:numId w:val="42"/>
        </w:numPr>
        <w:adjustRightInd w:val="0"/>
        <w:snapToGrid w:val="0"/>
        <w:ind w:firstLine="480"/>
        <w:rPr>
          <w:color w:val="auto"/>
          <w:highlight w:val="none"/>
        </w:rPr>
      </w:pPr>
      <w:r>
        <w:rPr>
          <w:rFonts w:hint="eastAsia"/>
          <w:color w:val="auto"/>
          <w:highlight w:val="none"/>
        </w:rPr>
        <w:t>近一年任意一个月依法缴纳税收证明……………………………………………（页码）</w:t>
      </w:r>
    </w:p>
    <w:p>
      <w:pPr>
        <w:numPr>
          <w:ilvl w:val="0"/>
          <w:numId w:val="42"/>
        </w:numPr>
        <w:adjustRightInd w:val="0"/>
        <w:snapToGrid w:val="0"/>
        <w:ind w:firstLine="480"/>
        <w:rPr>
          <w:color w:val="auto"/>
          <w:highlight w:val="none"/>
        </w:rPr>
      </w:pPr>
      <w:r>
        <w:rPr>
          <w:rFonts w:hint="eastAsia"/>
          <w:color w:val="auto"/>
          <w:highlight w:val="none"/>
        </w:rPr>
        <w:t>近一年任意一个月依法缴纳社会保障资金证明…………………………………（页码）</w:t>
      </w:r>
    </w:p>
    <w:p>
      <w:pPr>
        <w:numPr>
          <w:ilvl w:val="0"/>
          <w:numId w:val="42"/>
        </w:numPr>
        <w:adjustRightInd w:val="0"/>
        <w:snapToGrid w:val="0"/>
        <w:ind w:firstLine="480"/>
        <w:rPr>
          <w:color w:val="auto"/>
          <w:highlight w:val="none"/>
        </w:rPr>
      </w:pPr>
      <w:r>
        <w:rPr>
          <w:rFonts w:hint="eastAsia"/>
          <w:color w:val="auto"/>
          <w:highlight w:val="none"/>
        </w:rPr>
        <w:t>具有履行合同所必需的设备和专业技术能力的承诺函…………………………（页码）</w:t>
      </w:r>
    </w:p>
    <w:p>
      <w:pPr>
        <w:numPr>
          <w:ilvl w:val="0"/>
          <w:numId w:val="42"/>
        </w:numPr>
        <w:adjustRightInd w:val="0"/>
        <w:snapToGrid w:val="0"/>
        <w:ind w:firstLine="480"/>
        <w:rPr>
          <w:color w:val="auto"/>
          <w:highlight w:val="none"/>
        </w:rPr>
      </w:pPr>
      <w:r>
        <w:rPr>
          <w:rFonts w:hint="eastAsia"/>
          <w:color w:val="auto"/>
          <w:highlight w:val="none"/>
        </w:rPr>
        <w:t>参加政府采购活动前3年内在经营活动中没有重大违法记录的书面声明……（页码）</w:t>
      </w:r>
    </w:p>
    <w:p>
      <w:pPr>
        <w:numPr>
          <w:ilvl w:val="0"/>
          <w:numId w:val="42"/>
        </w:numPr>
        <w:adjustRightInd w:val="0"/>
        <w:snapToGrid w:val="0"/>
        <w:ind w:firstLine="480"/>
        <w:rPr>
          <w:color w:val="auto"/>
          <w:highlight w:val="none"/>
        </w:rPr>
      </w:pPr>
      <w:r>
        <w:rPr>
          <w:rFonts w:hint="eastAsia"/>
          <w:color w:val="auto"/>
          <w:highlight w:val="none"/>
        </w:rPr>
        <w:t>信用记录查询网站截图……………………………………………………………（页码）</w:t>
      </w:r>
    </w:p>
    <w:p>
      <w:pPr>
        <w:ind w:firstLine="480"/>
        <w:rPr>
          <w:color w:val="auto"/>
          <w:highlight w:val="none"/>
        </w:rPr>
      </w:pPr>
    </w:p>
    <w:p>
      <w:pPr>
        <w:ind w:firstLine="480"/>
        <w:rPr>
          <w:color w:val="auto"/>
          <w:highlight w:val="none"/>
        </w:rPr>
      </w:pPr>
    </w:p>
    <w:p>
      <w:pPr>
        <w:pStyle w:val="38"/>
        <w:ind w:firstLine="280"/>
        <w:outlineLvl w:val="2"/>
        <w:rPr>
          <w:rFonts w:ascii="宋体" w:eastAsia="宋体" w:cs="宋体"/>
          <w:color w:val="auto"/>
          <w:highlight w:val="none"/>
        </w:rPr>
        <w:sectPr>
          <w:pgSz w:w="11907" w:h="16840"/>
          <w:pgMar w:top="1440" w:right="1080" w:bottom="1440" w:left="1080" w:header="850" w:footer="992" w:gutter="0"/>
          <w:cols w:space="720" w:num="1"/>
          <w:docGrid w:linePitch="286" w:charSpace="0"/>
        </w:sectPr>
      </w:pPr>
      <w:bookmarkStart w:id="180" w:name="_Toc25810"/>
    </w:p>
    <w:p>
      <w:pPr>
        <w:pStyle w:val="5"/>
        <w:numPr>
          <w:ilvl w:val="0"/>
          <w:numId w:val="43"/>
        </w:numPr>
        <w:ind w:firstLine="482" w:firstLineChars="200"/>
        <w:rPr>
          <w:color w:val="auto"/>
          <w:highlight w:val="none"/>
        </w:rPr>
      </w:pPr>
      <w:r>
        <w:rPr>
          <w:rFonts w:hint="eastAsia"/>
          <w:color w:val="auto"/>
          <w:highlight w:val="none"/>
        </w:rPr>
        <w:t>提供有效的经营执照复印件；事业单位的，则提供有效的《事业单位法人证书》副本复印件章；自然人的，则提供有效的身份证复印件并签字；</w:t>
      </w:r>
      <w:bookmarkEnd w:id="180"/>
    </w:p>
    <w:p>
      <w:pPr>
        <w:ind w:firstLine="480"/>
        <w:rPr>
          <w:color w:val="auto"/>
          <w:highlight w:val="none"/>
        </w:rPr>
      </w:pPr>
    </w:p>
    <w:p>
      <w:pPr>
        <w:ind w:firstLine="480"/>
        <w:rPr>
          <w:color w:val="auto"/>
          <w:highlight w:val="none"/>
        </w:rPr>
      </w:pPr>
    </w:p>
    <w:p>
      <w:pPr>
        <w:ind w:firstLine="480"/>
        <w:rPr>
          <w:color w:val="auto"/>
          <w:highlight w:val="none"/>
        </w:rPr>
      </w:pPr>
    </w:p>
    <w:p>
      <w:pPr>
        <w:pStyle w:val="5"/>
        <w:numPr>
          <w:ilvl w:val="0"/>
          <w:numId w:val="43"/>
        </w:numPr>
        <w:ind w:firstLine="482" w:firstLineChars="200"/>
        <w:rPr>
          <w:color w:val="auto"/>
          <w:highlight w:val="none"/>
        </w:rPr>
      </w:pPr>
      <w:bookmarkStart w:id="181" w:name="_Toc29370"/>
      <w:r>
        <w:rPr>
          <w:rFonts w:hint="eastAsia"/>
          <w:color w:val="auto"/>
          <w:highlight w:val="none"/>
        </w:rPr>
        <w:t>提供近一年任意一个月财务报告或开标前三个月内出具的银行资信证明</w:t>
      </w:r>
      <w:bookmarkEnd w:id="181"/>
    </w:p>
    <w:p>
      <w:pPr>
        <w:ind w:firstLine="480"/>
        <w:rPr>
          <w:color w:val="auto"/>
          <w:highlight w:val="none"/>
        </w:rPr>
      </w:pPr>
    </w:p>
    <w:p>
      <w:pPr>
        <w:ind w:firstLine="480"/>
        <w:rPr>
          <w:color w:val="auto"/>
          <w:highlight w:val="none"/>
        </w:rPr>
      </w:pPr>
    </w:p>
    <w:p>
      <w:pPr>
        <w:ind w:firstLine="480"/>
        <w:rPr>
          <w:color w:val="auto"/>
          <w:highlight w:val="none"/>
        </w:rPr>
      </w:pPr>
    </w:p>
    <w:p>
      <w:pPr>
        <w:pStyle w:val="5"/>
        <w:numPr>
          <w:ilvl w:val="0"/>
          <w:numId w:val="43"/>
        </w:numPr>
        <w:ind w:firstLine="482" w:firstLineChars="200"/>
        <w:rPr>
          <w:color w:val="auto"/>
          <w:highlight w:val="none"/>
        </w:rPr>
      </w:pPr>
      <w:bookmarkStart w:id="182" w:name="_Toc16270"/>
      <w:r>
        <w:rPr>
          <w:rFonts w:hint="eastAsia"/>
          <w:color w:val="auto"/>
          <w:highlight w:val="none"/>
        </w:rPr>
        <w:t>提供近一年任意一个月依法缴纳税收证明（完税凭证或税务部门出具的证明）；</w:t>
      </w:r>
      <w:bookmarkEnd w:id="182"/>
    </w:p>
    <w:p>
      <w:pPr>
        <w:ind w:firstLine="480"/>
        <w:rPr>
          <w:rFonts w:cs="宋体"/>
          <w:color w:val="auto"/>
          <w:highlight w:val="none"/>
        </w:rPr>
      </w:pPr>
    </w:p>
    <w:p>
      <w:pPr>
        <w:ind w:firstLine="480"/>
        <w:rPr>
          <w:rFonts w:cs="宋体"/>
          <w:color w:val="auto"/>
          <w:highlight w:val="none"/>
        </w:rPr>
      </w:pPr>
      <w:r>
        <w:rPr>
          <w:rFonts w:hint="eastAsia" w:cs="宋体"/>
          <w:color w:val="auto"/>
          <w:highlight w:val="none"/>
        </w:rPr>
        <w:t>依法免税的投标人，应提供相应文件证明其依法免税；</w:t>
      </w:r>
    </w:p>
    <w:p>
      <w:pPr>
        <w:ind w:left="480" w:leftChars="200" w:firstLine="0" w:firstLineChars="0"/>
        <w:rPr>
          <w:rFonts w:cs="宋体"/>
          <w:color w:val="auto"/>
          <w:highlight w:val="none"/>
        </w:rPr>
      </w:pPr>
      <w:r>
        <w:rPr>
          <w:rFonts w:hint="eastAsia" w:cs="宋体"/>
          <w:color w:val="auto"/>
          <w:highlight w:val="none"/>
        </w:rPr>
        <w:t>投标人因新注册成立等原因无法提供相关材料的，应在投标文件中提交如实的情况说明。</w:t>
      </w:r>
    </w:p>
    <w:p>
      <w:pPr>
        <w:ind w:firstLine="480"/>
        <w:rPr>
          <w:color w:val="auto"/>
          <w:highlight w:val="none"/>
        </w:rPr>
      </w:pPr>
    </w:p>
    <w:p>
      <w:pPr>
        <w:ind w:firstLine="480"/>
        <w:rPr>
          <w:color w:val="auto"/>
          <w:highlight w:val="none"/>
        </w:rPr>
      </w:pPr>
    </w:p>
    <w:p>
      <w:pPr>
        <w:ind w:firstLine="480"/>
        <w:rPr>
          <w:color w:val="auto"/>
          <w:highlight w:val="none"/>
        </w:rPr>
      </w:pPr>
    </w:p>
    <w:p>
      <w:pPr>
        <w:pStyle w:val="5"/>
        <w:numPr>
          <w:ilvl w:val="0"/>
          <w:numId w:val="43"/>
        </w:numPr>
        <w:ind w:firstLine="482" w:firstLineChars="200"/>
        <w:rPr>
          <w:rFonts w:cs="宋体"/>
          <w:color w:val="auto"/>
          <w:highlight w:val="none"/>
        </w:rPr>
      </w:pPr>
      <w:bookmarkStart w:id="183" w:name="_Toc28317"/>
      <w:r>
        <w:rPr>
          <w:rFonts w:hint="eastAsia" w:cs="宋体"/>
          <w:color w:val="auto"/>
          <w:highlight w:val="none"/>
        </w:rPr>
        <w:t>提供近一年任意一个月依法缴纳社会保障资金证明（缴纳凭证或人社部门出具的证明）；</w:t>
      </w:r>
      <w:bookmarkEnd w:id="183"/>
    </w:p>
    <w:p>
      <w:pPr>
        <w:ind w:firstLine="480"/>
        <w:rPr>
          <w:rFonts w:cs="宋体"/>
          <w:color w:val="auto"/>
          <w:highlight w:val="none"/>
        </w:rPr>
      </w:pPr>
    </w:p>
    <w:p>
      <w:pPr>
        <w:ind w:firstLine="480"/>
        <w:rPr>
          <w:rFonts w:cs="宋体"/>
          <w:color w:val="auto"/>
          <w:highlight w:val="none"/>
        </w:rPr>
      </w:pPr>
      <w:r>
        <w:rPr>
          <w:rFonts w:hint="eastAsia" w:cs="宋体"/>
          <w:color w:val="auto"/>
          <w:highlight w:val="none"/>
        </w:rPr>
        <w:t>依法不需要缴纳社会保障资金的投标人，应提供相应文件证明其依法不需要缴纳社会保障资金。</w:t>
      </w:r>
    </w:p>
    <w:p>
      <w:pPr>
        <w:ind w:left="480" w:leftChars="200" w:firstLine="0" w:firstLineChars="0"/>
        <w:rPr>
          <w:rFonts w:cs="宋体"/>
          <w:color w:val="auto"/>
          <w:highlight w:val="none"/>
        </w:rPr>
      </w:pPr>
      <w:r>
        <w:rPr>
          <w:rFonts w:hint="eastAsia" w:cs="宋体"/>
          <w:color w:val="auto"/>
          <w:highlight w:val="none"/>
        </w:rPr>
        <w:t>投标人因新注册成立等原因无法提供相关材料的，应在投标文件中提交如实的情况说明。</w:t>
      </w:r>
    </w:p>
    <w:p>
      <w:pPr>
        <w:ind w:firstLine="0" w:firstLineChars="0"/>
        <w:jc w:val="both"/>
        <w:rPr>
          <w:rFonts w:cs="宋体"/>
          <w:color w:val="auto"/>
          <w:highlight w:val="none"/>
        </w:rPr>
        <w:sectPr>
          <w:pgSz w:w="11907" w:h="16840"/>
          <w:pgMar w:top="1440" w:right="1080" w:bottom="1440" w:left="1080" w:header="850" w:footer="992" w:gutter="0"/>
          <w:cols w:space="720" w:num="1"/>
          <w:docGrid w:linePitch="286" w:charSpace="0"/>
        </w:sectPr>
      </w:pPr>
    </w:p>
    <w:p>
      <w:pPr>
        <w:pStyle w:val="5"/>
        <w:numPr>
          <w:ilvl w:val="0"/>
          <w:numId w:val="43"/>
        </w:numPr>
        <w:ind w:firstLine="482" w:firstLineChars="200"/>
        <w:rPr>
          <w:rFonts w:cs="宋体"/>
          <w:color w:val="auto"/>
          <w:highlight w:val="none"/>
        </w:rPr>
      </w:pPr>
      <w:bookmarkStart w:id="184" w:name="_Toc30017"/>
      <w:r>
        <w:rPr>
          <w:rFonts w:hint="eastAsia" w:cs="宋体"/>
          <w:color w:val="auto"/>
          <w:highlight w:val="none"/>
        </w:rPr>
        <w:t>具有履行合同所必需的设备和专业技术能力的承诺函</w:t>
      </w:r>
      <w:bookmarkEnd w:id="184"/>
    </w:p>
    <w:p>
      <w:pPr>
        <w:ind w:firstLine="480"/>
        <w:rPr>
          <w:color w:val="auto"/>
          <w:highlight w:val="none"/>
        </w:rPr>
      </w:pPr>
    </w:p>
    <w:p>
      <w:pPr>
        <w:snapToGrid w:val="0"/>
        <w:ind w:firstLine="0" w:firstLineChars="0"/>
        <w:rPr>
          <w:rFonts w:cs="宋体"/>
          <w:color w:val="auto"/>
          <w:highlight w:val="none"/>
        </w:rPr>
      </w:pPr>
      <w:r>
        <w:rPr>
          <w:rFonts w:hint="eastAsia" w:cs="宋体"/>
          <w:color w:val="auto"/>
          <w:highlight w:val="none"/>
        </w:rPr>
        <w:t>杭州电子科技大学、</w:t>
      </w:r>
      <w:r>
        <w:rPr>
          <w:rFonts w:hint="eastAsia" w:cs="宋体"/>
          <w:color w:val="auto"/>
          <w:highlight w:val="none"/>
          <w:lang w:eastAsia="zh-CN"/>
        </w:rPr>
        <w:t>浙江五石中正工程咨询有限公司</w:t>
      </w:r>
      <w:r>
        <w:rPr>
          <w:rFonts w:hint="eastAsia" w:cs="宋体"/>
          <w:color w:val="auto"/>
          <w:highlight w:val="none"/>
        </w:rPr>
        <w:t>：</w:t>
      </w:r>
    </w:p>
    <w:p>
      <w:pPr>
        <w:ind w:firstLine="480"/>
        <w:rPr>
          <w:rFonts w:cs="宋体"/>
          <w:color w:val="auto"/>
          <w:highlight w:val="none"/>
        </w:rPr>
      </w:pPr>
      <w:r>
        <w:rPr>
          <w:rFonts w:hint="eastAsia" w:cs="宋体"/>
          <w:color w:val="auto"/>
          <w:highlight w:val="none"/>
        </w:rPr>
        <w:t>我方郑重承诺，我方具有履行</w:t>
      </w:r>
      <w:r>
        <w:rPr>
          <w:rFonts w:hint="eastAsia" w:cs="宋体"/>
          <w:color w:val="auto"/>
          <w:highlight w:val="none"/>
          <w:u w:val="single"/>
        </w:rPr>
        <w:t>（项目名称：           ）（项目编号：            ）</w:t>
      </w:r>
      <w:r>
        <w:rPr>
          <w:rFonts w:hint="eastAsia" w:cs="宋体"/>
          <w:color w:val="auto"/>
          <w:highlight w:val="none"/>
        </w:rPr>
        <w:t>合同所必需的设备和专业技术能力。如中标，我方将保证合同顺利履行。</w:t>
      </w:r>
    </w:p>
    <w:p>
      <w:pPr>
        <w:ind w:firstLine="480"/>
        <w:rPr>
          <w:rFonts w:cs="宋体"/>
          <w:color w:val="auto"/>
          <w:highlight w:val="none"/>
          <w:lang w:val="zh-CN"/>
        </w:rPr>
      </w:pPr>
      <w:r>
        <w:rPr>
          <w:rFonts w:hint="eastAsia" w:cs="宋体"/>
          <w:color w:val="auto"/>
          <w:highlight w:val="none"/>
          <w:lang w:val="zh-CN"/>
        </w:rPr>
        <w:t xml:space="preserve"> </w:t>
      </w:r>
    </w:p>
    <w:p>
      <w:pPr>
        <w:snapToGrid w:val="0"/>
        <w:ind w:firstLine="480"/>
        <w:rPr>
          <w:rFonts w:cs="宋体"/>
          <w:color w:val="auto"/>
          <w:highlight w:val="none"/>
        </w:rPr>
      </w:pPr>
      <w:r>
        <w:rPr>
          <w:rFonts w:hint="eastAsia" w:cs="宋体"/>
          <w:color w:val="auto"/>
          <w:highlight w:val="none"/>
          <w:lang w:val="zh-CN"/>
        </w:rPr>
        <w:t>投标人名称(公章)：</w:t>
      </w:r>
    </w:p>
    <w:p>
      <w:pPr>
        <w:snapToGrid w:val="0"/>
        <w:ind w:firstLine="480"/>
        <w:rPr>
          <w:rFonts w:cs="宋体"/>
          <w:color w:val="auto"/>
          <w:highlight w:val="none"/>
        </w:rPr>
      </w:pPr>
      <w:r>
        <w:rPr>
          <w:rFonts w:hint="eastAsia" w:cs="宋体"/>
          <w:color w:val="auto"/>
          <w:highlight w:val="none"/>
          <w:lang w:val="zh-CN"/>
        </w:rPr>
        <w:t>法定代表人或其授权代表(签字或盖章)：</w:t>
      </w:r>
    </w:p>
    <w:p>
      <w:pPr>
        <w:snapToGrid w:val="0"/>
        <w:ind w:firstLine="480"/>
        <w:rPr>
          <w:rFonts w:cs="宋体"/>
          <w:b/>
          <w:color w:val="auto"/>
          <w:kern w:val="0"/>
          <w:sz w:val="32"/>
          <w:szCs w:val="32"/>
          <w:highlight w:val="none"/>
        </w:rPr>
      </w:pPr>
      <w:r>
        <w:rPr>
          <w:rFonts w:hint="eastAsia" w:cs="宋体"/>
          <w:color w:val="auto"/>
          <w:highlight w:val="none"/>
          <w:lang w:val="zh-CN"/>
        </w:rPr>
        <w:t>日期</w:t>
      </w:r>
      <w:r>
        <w:rPr>
          <w:rFonts w:hint="eastAsia" w:cs="宋体"/>
          <w:color w:val="auto"/>
          <w:highlight w:val="none"/>
        </w:rPr>
        <w:t xml:space="preserve">：  年  </w:t>
      </w:r>
      <w:r>
        <w:rPr>
          <w:rFonts w:hint="eastAsia" w:cs="宋体"/>
          <w:color w:val="auto"/>
          <w:highlight w:val="none"/>
          <w:lang w:val="zh-CN"/>
        </w:rPr>
        <w:t>月</w:t>
      </w:r>
      <w:r>
        <w:rPr>
          <w:rFonts w:hint="eastAsia" w:cs="宋体"/>
          <w:color w:val="auto"/>
          <w:highlight w:val="none"/>
        </w:rPr>
        <w:t xml:space="preserve">   </w:t>
      </w:r>
      <w:r>
        <w:rPr>
          <w:rFonts w:hint="eastAsia" w:cs="宋体"/>
          <w:color w:val="auto"/>
          <w:highlight w:val="none"/>
          <w:lang w:val="zh-CN"/>
        </w:rPr>
        <w:t>日</w:t>
      </w:r>
    </w:p>
    <w:p>
      <w:pPr>
        <w:ind w:firstLine="480"/>
        <w:rPr>
          <w:rFonts w:cs="宋体"/>
          <w:color w:val="auto"/>
          <w:highlight w:val="none"/>
        </w:rPr>
      </w:pPr>
    </w:p>
    <w:p>
      <w:pPr>
        <w:ind w:firstLine="480"/>
        <w:rPr>
          <w:rFonts w:cs="宋体"/>
          <w:color w:val="auto"/>
          <w:highlight w:val="none"/>
        </w:rPr>
        <w:sectPr>
          <w:pgSz w:w="11907" w:h="16840"/>
          <w:pgMar w:top="1440" w:right="1080" w:bottom="1440" w:left="1080" w:header="850" w:footer="992" w:gutter="0"/>
          <w:cols w:space="720" w:num="1"/>
          <w:docGrid w:linePitch="286" w:charSpace="0"/>
        </w:sectPr>
      </w:pPr>
    </w:p>
    <w:p>
      <w:pPr>
        <w:pStyle w:val="5"/>
        <w:numPr>
          <w:ilvl w:val="0"/>
          <w:numId w:val="43"/>
        </w:numPr>
        <w:ind w:firstLine="482" w:firstLineChars="200"/>
        <w:rPr>
          <w:color w:val="auto"/>
          <w:highlight w:val="none"/>
        </w:rPr>
      </w:pPr>
      <w:bookmarkStart w:id="185" w:name="_Toc26770"/>
      <w:r>
        <w:rPr>
          <w:rFonts w:hint="eastAsia"/>
          <w:color w:val="auto"/>
          <w:highlight w:val="none"/>
        </w:rPr>
        <w:t>参加政府采购活动前3年内在经营活动中没有重大违法记录的书面声明；</w:t>
      </w:r>
      <w:bookmarkEnd w:id="185"/>
    </w:p>
    <w:p>
      <w:pPr>
        <w:snapToGrid w:val="0"/>
        <w:ind w:firstLine="0" w:firstLineChars="0"/>
        <w:rPr>
          <w:rFonts w:cs="宋体"/>
          <w:color w:val="auto"/>
          <w:highlight w:val="none"/>
        </w:rPr>
      </w:pPr>
    </w:p>
    <w:p>
      <w:pPr>
        <w:snapToGrid w:val="0"/>
        <w:ind w:firstLine="0" w:firstLineChars="0"/>
        <w:rPr>
          <w:rFonts w:cs="宋体"/>
          <w:color w:val="auto"/>
          <w:highlight w:val="none"/>
        </w:rPr>
      </w:pPr>
      <w:r>
        <w:rPr>
          <w:rFonts w:hint="eastAsia" w:cs="宋体"/>
          <w:color w:val="auto"/>
          <w:highlight w:val="none"/>
        </w:rPr>
        <w:t>杭州电子科技大学、</w:t>
      </w:r>
      <w:r>
        <w:rPr>
          <w:rFonts w:hint="eastAsia" w:cs="宋体"/>
          <w:color w:val="auto"/>
          <w:highlight w:val="none"/>
          <w:lang w:eastAsia="zh-CN"/>
        </w:rPr>
        <w:t>浙江五石中正工程咨询有限公司</w:t>
      </w:r>
      <w:r>
        <w:rPr>
          <w:rFonts w:hint="eastAsia" w:cs="宋体"/>
          <w:color w:val="auto"/>
          <w:highlight w:val="none"/>
        </w:rPr>
        <w:t>：</w:t>
      </w:r>
    </w:p>
    <w:p>
      <w:pPr>
        <w:snapToGrid w:val="0"/>
        <w:ind w:firstLine="480"/>
        <w:rPr>
          <w:rFonts w:cs="宋体"/>
          <w:color w:val="auto"/>
          <w:highlight w:val="none"/>
          <w:lang w:val="zh-CN"/>
        </w:rPr>
      </w:pPr>
      <w:r>
        <w:rPr>
          <w:rFonts w:hint="eastAsia" w:cs="宋体"/>
          <w:color w:val="auto"/>
          <w:highlight w:val="none"/>
          <w:lang w:val="zh-CN"/>
        </w:rPr>
        <w:t>我公司</w:t>
      </w:r>
      <w:r>
        <w:rPr>
          <w:rFonts w:hint="eastAsia" w:cs="宋体"/>
          <w:color w:val="auto"/>
          <w:highlight w:val="none"/>
        </w:rPr>
        <w:t>声明截止投标时间近三年以来，在政府采购领域中，在项目招标、投标和合同履约期间无任何不良行为记录和违法、违规行为</w:t>
      </w:r>
      <w:r>
        <w:rPr>
          <w:rFonts w:hint="eastAsia" w:cs="宋体"/>
          <w:color w:val="auto"/>
          <w:highlight w:val="none"/>
          <w:lang w:val="zh-CN"/>
        </w:rPr>
        <w:t>。</w:t>
      </w:r>
    </w:p>
    <w:p>
      <w:pPr>
        <w:snapToGrid w:val="0"/>
        <w:ind w:firstLine="480"/>
        <w:rPr>
          <w:rFonts w:cs="宋体"/>
          <w:color w:val="auto"/>
          <w:highlight w:val="none"/>
          <w:lang w:val="zh-CN"/>
        </w:rPr>
      </w:pPr>
      <w:r>
        <w:rPr>
          <w:rFonts w:hint="eastAsia" w:cs="宋体"/>
          <w:color w:val="auto"/>
          <w:highlight w:val="none"/>
          <w:lang w:val="zh-CN"/>
        </w:rPr>
        <w:t>我公司自愿参加（</w:t>
      </w:r>
      <w:r>
        <w:rPr>
          <w:rFonts w:hint="eastAsia" w:cs="宋体"/>
          <w:color w:val="auto"/>
          <w:highlight w:val="none"/>
        </w:rPr>
        <w:t>项目名称：</w:t>
      </w:r>
      <w:r>
        <w:rPr>
          <w:rFonts w:hint="eastAsia" w:cs="宋体"/>
          <w:color w:val="auto"/>
          <w:highlight w:val="none"/>
          <w:u w:val="single"/>
        </w:rPr>
        <w:t xml:space="preserve">             </w:t>
      </w:r>
      <w:r>
        <w:rPr>
          <w:rFonts w:hint="eastAsia" w:cs="宋体"/>
          <w:color w:val="auto"/>
          <w:highlight w:val="none"/>
        </w:rPr>
        <w:t>）（项目编号：</w:t>
      </w:r>
      <w:r>
        <w:rPr>
          <w:rFonts w:hint="eastAsia" w:cs="宋体"/>
          <w:color w:val="auto"/>
          <w:highlight w:val="none"/>
          <w:u w:val="single"/>
        </w:rPr>
        <w:t xml:space="preserve">        </w:t>
      </w:r>
      <w:r>
        <w:rPr>
          <w:rFonts w:hint="eastAsia" w:cs="宋体"/>
          <w:color w:val="auto"/>
          <w:highlight w:val="none"/>
        </w:rPr>
        <w:t xml:space="preserve"> ）</w:t>
      </w:r>
      <w:r>
        <w:rPr>
          <w:rFonts w:hint="eastAsia" w:cs="宋体"/>
          <w:color w:val="auto"/>
          <w:highlight w:val="none"/>
          <w:lang w:val="zh-CN"/>
        </w:rPr>
        <w:t>的投标，并保证投标文件中所列举的投标报价文件及相关资料和公司基本情况资料是真实的、合法的。</w:t>
      </w:r>
    </w:p>
    <w:p>
      <w:pPr>
        <w:snapToGrid w:val="0"/>
        <w:ind w:firstLine="480"/>
        <w:rPr>
          <w:rFonts w:cs="宋体"/>
          <w:color w:val="auto"/>
          <w:highlight w:val="none"/>
          <w:lang w:val="zh-CN"/>
        </w:rPr>
      </w:pPr>
      <w:r>
        <w:rPr>
          <w:rFonts w:hint="eastAsia" w:cs="宋体"/>
          <w:color w:val="auto"/>
          <w:highlight w:val="none"/>
          <w:lang w:val="zh-CN"/>
        </w:rPr>
        <w:t>我公司已详细阅读全部“招标文件”，包括修改文件（如果有）以及全部招标资料和相关附件，并已了解我公司在招投标过程中的权利和义务。</w:t>
      </w:r>
    </w:p>
    <w:p>
      <w:pPr>
        <w:snapToGrid w:val="0"/>
        <w:ind w:firstLine="480"/>
        <w:rPr>
          <w:rFonts w:cs="宋体"/>
          <w:color w:val="auto"/>
          <w:highlight w:val="none"/>
        </w:rPr>
      </w:pPr>
      <w:r>
        <w:rPr>
          <w:rFonts w:hint="eastAsia" w:cs="宋体"/>
          <w:color w:val="auto"/>
          <w:highlight w:val="none"/>
          <w:lang w:val="zh-CN"/>
        </w:rPr>
        <w:t>我公司理解并接受招标文件的各项规定和要求，同意此次招标文件中的各项内容，</w:t>
      </w:r>
      <w:r>
        <w:rPr>
          <w:rFonts w:hint="eastAsia" w:cs="宋体"/>
          <w:color w:val="auto"/>
          <w:highlight w:val="none"/>
        </w:rPr>
        <w:t>并</w:t>
      </w:r>
      <w:r>
        <w:rPr>
          <w:rFonts w:hint="eastAsia" w:cs="宋体"/>
          <w:color w:val="auto"/>
          <w:highlight w:val="none"/>
          <w:lang w:val="zh-CN"/>
        </w:rPr>
        <w:t>同意提供按照贵方可能要求的与投标有关的一切数据或资料等。</w:t>
      </w:r>
    </w:p>
    <w:p>
      <w:pPr>
        <w:snapToGrid w:val="0"/>
        <w:ind w:firstLine="480"/>
        <w:rPr>
          <w:rFonts w:cs="宋体"/>
          <w:color w:val="auto"/>
          <w:highlight w:val="none"/>
          <w:lang w:val="zh-CN"/>
        </w:rPr>
      </w:pPr>
      <w:r>
        <w:rPr>
          <w:rFonts w:hint="eastAsia" w:cs="宋体"/>
          <w:color w:val="auto"/>
          <w:highlight w:val="none"/>
          <w:lang w:val="zh-CN"/>
        </w:rPr>
        <w:t>本公司如中标，保证按照投标文件的承诺与贵方签订合同，保证履行合同条款并缴纳履约保证金。</w:t>
      </w:r>
    </w:p>
    <w:p>
      <w:pPr>
        <w:snapToGrid w:val="0"/>
        <w:ind w:firstLine="480"/>
        <w:rPr>
          <w:rFonts w:cs="宋体"/>
          <w:color w:val="auto"/>
          <w:highlight w:val="none"/>
        </w:rPr>
      </w:pPr>
    </w:p>
    <w:p>
      <w:pPr>
        <w:snapToGrid w:val="0"/>
        <w:ind w:firstLine="480"/>
        <w:rPr>
          <w:rFonts w:cs="宋体"/>
          <w:color w:val="auto"/>
          <w:highlight w:val="none"/>
        </w:rPr>
      </w:pPr>
      <w:r>
        <w:rPr>
          <w:rFonts w:hint="eastAsia" w:cs="宋体"/>
          <w:color w:val="auto"/>
          <w:highlight w:val="none"/>
          <w:lang w:val="zh-CN"/>
        </w:rPr>
        <w:t>投标人名称(公章)：</w:t>
      </w:r>
    </w:p>
    <w:p>
      <w:pPr>
        <w:snapToGrid w:val="0"/>
        <w:ind w:firstLine="480"/>
        <w:rPr>
          <w:rFonts w:cs="宋体"/>
          <w:color w:val="auto"/>
          <w:highlight w:val="none"/>
        </w:rPr>
      </w:pPr>
      <w:r>
        <w:rPr>
          <w:rFonts w:hint="eastAsia" w:cs="宋体"/>
          <w:color w:val="auto"/>
          <w:highlight w:val="none"/>
          <w:lang w:val="zh-CN"/>
        </w:rPr>
        <w:t>法定代表人或其授权代表(签字或盖章)：</w:t>
      </w:r>
    </w:p>
    <w:p>
      <w:pPr>
        <w:snapToGrid w:val="0"/>
        <w:ind w:firstLine="480"/>
        <w:rPr>
          <w:rFonts w:cs="宋体"/>
          <w:color w:val="auto"/>
          <w:highlight w:val="none"/>
          <w:lang w:val="zh-CN"/>
        </w:rPr>
      </w:pPr>
      <w:r>
        <w:rPr>
          <w:rFonts w:hint="eastAsia" w:cs="宋体"/>
          <w:color w:val="auto"/>
          <w:highlight w:val="none"/>
          <w:lang w:val="zh-CN"/>
        </w:rPr>
        <w:t>日期</w:t>
      </w:r>
      <w:r>
        <w:rPr>
          <w:rFonts w:hint="eastAsia" w:cs="宋体"/>
          <w:color w:val="auto"/>
          <w:highlight w:val="none"/>
        </w:rPr>
        <w:t xml:space="preserve">：  年  </w:t>
      </w:r>
      <w:r>
        <w:rPr>
          <w:rFonts w:hint="eastAsia" w:cs="宋体"/>
          <w:color w:val="auto"/>
          <w:highlight w:val="none"/>
          <w:lang w:val="zh-CN"/>
        </w:rPr>
        <w:t>月</w:t>
      </w:r>
      <w:r>
        <w:rPr>
          <w:rFonts w:hint="eastAsia" w:cs="宋体"/>
          <w:color w:val="auto"/>
          <w:highlight w:val="none"/>
        </w:rPr>
        <w:t xml:space="preserve">   </w:t>
      </w:r>
      <w:r>
        <w:rPr>
          <w:rFonts w:hint="eastAsia" w:cs="宋体"/>
          <w:color w:val="auto"/>
          <w:highlight w:val="none"/>
          <w:lang w:val="zh-CN"/>
        </w:rPr>
        <w:t>日</w:t>
      </w:r>
    </w:p>
    <w:p>
      <w:pPr>
        <w:ind w:firstLine="480"/>
        <w:rPr>
          <w:rFonts w:cs="宋体"/>
          <w:color w:val="auto"/>
          <w:highlight w:val="none"/>
        </w:rPr>
        <w:sectPr>
          <w:pgSz w:w="11907" w:h="16840"/>
          <w:pgMar w:top="1440" w:right="1080" w:bottom="1440" w:left="1080" w:header="850" w:footer="992" w:gutter="0"/>
          <w:cols w:space="720" w:num="1"/>
          <w:docGrid w:linePitch="286" w:charSpace="0"/>
        </w:sectPr>
      </w:pPr>
    </w:p>
    <w:p>
      <w:pPr>
        <w:pStyle w:val="5"/>
        <w:numPr>
          <w:ilvl w:val="0"/>
          <w:numId w:val="43"/>
        </w:numPr>
        <w:ind w:firstLine="482" w:firstLineChars="200"/>
        <w:rPr>
          <w:rFonts w:cs="宋体"/>
          <w:color w:val="auto"/>
          <w:highlight w:val="none"/>
        </w:rPr>
      </w:pPr>
      <w:bookmarkStart w:id="186" w:name="_Toc28885"/>
      <w:r>
        <w:rPr>
          <w:rFonts w:hint="eastAsia" w:cs="宋体"/>
          <w:color w:val="auto"/>
          <w:highlight w:val="none"/>
        </w:rPr>
        <w:t>信用记录：查询</w:t>
      </w:r>
      <w:r>
        <w:rPr>
          <w:rFonts w:hint="eastAsia"/>
          <w:color w:val="auto"/>
          <w:highlight w:val="none"/>
        </w:rPr>
        <w:t>信息</w:t>
      </w:r>
      <w:r>
        <w:rPr>
          <w:rFonts w:hint="eastAsia" w:cs="宋体"/>
          <w:color w:val="auto"/>
          <w:highlight w:val="none"/>
        </w:rPr>
        <w:t>网站截图：查询渠道：“信用中国”（www.creditchina.gov.cn）、“中国政府采购网”（www.ccgp.gov.cn），最终审查以代理机构在响应截止前一个工作日查询的最新信息为准。</w:t>
      </w:r>
      <w:bookmarkEnd w:id="186"/>
    </w:p>
    <w:p>
      <w:pPr>
        <w:pStyle w:val="35"/>
        <w:rPr>
          <w:rFonts w:cs="宋体"/>
          <w:color w:val="auto"/>
          <w:kern w:val="2"/>
          <w:highlight w:val="none"/>
        </w:rPr>
      </w:pPr>
    </w:p>
    <w:p>
      <w:pPr>
        <w:pStyle w:val="35"/>
        <w:rPr>
          <w:rFonts w:cs="宋体"/>
          <w:color w:val="auto"/>
          <w:kern w:val="2"/>
          <w:highlight w:val="none"/>
        </w:rPr>
      </w:pPr>
      <w:r>
        <w:rPr>
          <w:rFonts w:hint="eastAsia" w:cs="宋体"/>
          <w:color w:val="auto"/>
          <w:kern w:val="2"/>
          <w:highlight w:val="none"/>
        </w:rPr>
        <w:t>对列入失信被执行人、重大税收违法案件当事人名单、政府采购严重违法失信行为记录名单及其他不符合《中华人民共和国政府采购法》第二十二条规定条件的投标人，将拒绝其参与政府采购活动；</w:t>
      </w:r>
    </w:p>
    <w:p>
      <w:pPr>
        <w:pStyle w:val="19"/>
        <w:rPr>
          <w:rFonts w:hAnsi="宋体" w:cs="宋体"/>
          <w:color w:val="auto"/>
          <w:sz w:val="24"/>
          <w:szCs w:val="24"/>
          <w:highlight w:val="none"/>
        </w:rPr>
      </w:pPr>
      <w:r>
        <w:rPr>
          <w:rFonts w:hint="eastAsia" w:hAnsi="宋体" w:cs="宋体"/>
          <w:color w:val="auto"/>
          <w:sz w:val="24"/>
          <w:szCs w:val="24"/>
          <w:highlight w:val="none"/>
        </w:rPr>
        <w:t>行政处罚较大数额罚款标准认定：按照处罚机关所在地较大金额罚款标准进行认定。</w:t>
      </w:r>
    </w:p>
    <w:p>
      <w:pPr>
        <w:pStyle w:val="19"/>
        <w:rPr>
          <w:rFonts w:hAnsi="宋体" w:cs="宋体"/>
          <w:color w:val="auto"/>
          <w:highlight w:val="none"/>
        </w:rPr>
      </w:pPr>
    </w:p>
    <w:p>
      <w:pPr>
        <w:snapToGrid w:val="0"/>
        <w:ind w:firstLine="480"/>
        <w:rPr>
          <w:rFonts w:cs="宋体"/>
          <w:color w:val="auto"/>
          <w:highlight w:val="none"/>
          <w:lang w:val="zh-CN"/>
        </w:rPr>
      </w:pPr>
    </w:p>
    <w:p>
      <w:pPr>
        <w:pStyle w:val="48"/>
        <w:rPr>
          <w:rFonts w:ascii="宋体" w:hAnsi="宋体" w:eastAsia="宋体" w:cs="宋体"/>
          <w:color w:val="auto"/>
          <w:sz w:val="30"/>
          <w:szCs w:val="30"/>
          <w:highlight w:val="none"/>
        </w:rPr>
      </w:pPr>
    </w:p>
    <w:p>
      <w:pPr>
        <w:pStyle w:val="48"/>
        <w:rPr>
          <w:rFonts w:ascii="宋体" w:hAnsi="宋体" w:eastAsia="宋体" w:cs="宋体"/>
          <w:color w:val="auto"/>
          <w:sz w:val="30"/>
          <w:szCs w:val="30"/>
          <w:highlight w:val="none"/>
        </w:rPr>
        <w:sectPr>
          <w:pgSz w:w="11907" w:h="16840"/>
          <w:pgMar w:top="1440" w:right="1080" w:bottom="1440" w:left="1080" w:header="850" w:footer="992" w:gutter="0"/>
          <w:cols w:space="720" w:num="1"/>
          <w:docGrid w:linePitch="286" w:charSpace="0"/>
        </w:sectPr>
      </w:pPr>
    </w:p>
    <w:p>
      <w:pPr>
        <w:pStyle w:val="4"/>
        <w:rPr>
          <w:rFonts w:cs="宋体"/>
          <w:color w:val="auto"/>
          <w:highlight w:val="none"/>
        </w:rPr>
      </w:pPr>
      <w:bookmarkStart w:id="187" w:name="_Toc2451"/>
      <w:bookmarkStart w:id="188" w:name="_Toc32324"/>
      <w:r>
        <w:rPr>
          <w:rFonts w:hint="eastAsia" w:cs="宋体"/>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4608830</wp:posOffset>
                </wp:positionH>
                <wp:positionV relativeFrom="paragraph">
                  <wp:posOffset>-50800</wp:posOffset>
                </wp:positionV>
                <wp:extent cx="1346200" cy="401955"/>
                <wp:effectExtent l="4445" t="4445" r="20955" b="12700"/>
                <wp:wrapNone/>
                <wp:docPr id="2" name="文本框 7"/>
                <wp:cNvGraphicFramePr/>
                <a:graphic xmlns:a="http://schemas.openxmlformats.org/drawingml/2006/main">
                  <a:graphicData uri="http://schemas.microsoft.com/office/word/2010/wordprocessingShape">
                    <wps:wsp>
                      <wps:cNvSpPr txBox="1"/>
                      <wps:spPr>
                        <a:xfrm>
                          <a:off x="0" y="0"/>
                          <a:ext cx="1346200" cy="4019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0" w:firstLineChars="0"/>
                              <w:rPr>
                                <w:sz w:val="32"/>
                                <w:szCs w:val="32"/>
                              </w:rPr>
                            </w:pPr>
                            <w:r>
                              <w:rPr>
                                <w:rFonts w:hint="eastAsia"/>
                                <w:sz w:val="32"/>
                                <w:szCs w:val="32"/>
                              </w:rPr>
                              <w:t>正本（</w:t>
                            </w:r>
                            <w:r>
                              <w:rPr>
                                <w:sz w:val="32"/>
                                <w:szCs w:val="32"/>
                              </w:rPr>
                              <w:t>副本）</w:t>
                            </w:r>
                          </w:p>
                        </w:txbxContent>
                      </wps:txbx>
                      <wps:bodyPr upright="1"/>
                    </wps:wsp>
                  </a:graphicData>
                </a:graphic>
              </wp:anchor>
            </w:drawing>
          </mc:Choice>
          <mc:Fallback>
            <w:pict>
              <v:shape id="文本框 7" o:spid="_x0000_s1026" o:spt="202" type="#_x0000_t202" style="position:absolute;left:0pt;margin-left:362.9pt;margin-top:-4pt;height:31.65pt;width:106pt;z-index:251663360;mso-width-relative:page;mso-height-relative:page;" fillcolor="#FFFFFF" filled="t" stroked="t" coordsize="21600,21600" o:gfxdata="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de+yw2QAAAAkBAAAPAAAAAAAAAAEAIAAA&#10;ACIAAABkcnMvZG93bnJldi54bWxQSwECFAAUAAAACACHTuJABdWG9gsCAAA2BAAADgAAAAAAAAAB&#10;ACAAAAAoAQAAZHJzL2Uyb0RvYy54bWxQSwUGAAAAAAYABgBZAQAApQUAAAAA&#10;">
                <v:fill on="t" focussize="0,0"/>
                <v:stroke color="#000000" joinstyle="miter"/>
                <v:imagedata o:title=""/>
                <o:lock v:ext="edit" aspectratio="f"/>
                <v:textbox>
                  <w:txbxContent>
                    <w:p>
                      <w:pPr>
                        <w:ind w:firstLine="0" w:firstLineChars="0"/>
                        <w:rPr>
                          <w:sz w:val="32"/>
                          <w:szCs w:val="32"/>
                        </w:rPr>
                      </w:pPr>
                      <w:r>
                        <w:rPr>
                          <w:rFonts w:hint="eastAsia"/>
                          <w:sz w:val="32"/>
                          <w:szCs w:val="32"/>
                        </w:rPr>
                        <w:t>正本（</w:t>
                      </w:r>
                      <w:r>
                        <w:rPr>
                          <w:sz w:val="32"/>
                          <w:szCs w:val="32"/>
                        </w:rPr>
                        <w:t>副本）</w:t>
                      </w:r>
                    </w:p>
                  </w:txbxContent>
                </v:textbox>
              </v:shape>
            </w:pict>
          </mc:Fallback>
        </mc:AlternateContent>
      </w:r>
      <w:r>
        <w:rPr>
          <w:rFonts w:hint="eastAsia" w:cs="宋体"/>
          <w:color w:val="auto"/>
          <w:szCs w:val="40"/>
          <w:highlight w:val="none"/>
        </w:rPr>
        <w:t>报价</w:t>
      </w:r>
      <w:r>
        <w:rPr>
          <w:rFonts w:hint="eastAsia" w:cs="宋体"/>
          <w:color w:val="auto"/>
          <w:highlight w:val="none"/>
        </w:rPr>
        <w:t>文件封面</w:t>
      </w:r>
      <w:bookmarkEnd w:id="187"/>
      <w:bookmarkEnd w:id="188"/>
    </w:p>
    <w:p>
      <w:pPr>
        <w:ind w:firstLine="880"/>
        <w:rPr>
          <w:rFonts w:cs="宋体"/>
          <w:color w:val="auto"/>
          <w:sz w:val="44"/>
          <w:szCs w:val="32"/>
          <w:highlight w:val="none"/>
        </w:rPr>
      </w:pPr>
    </w:p>
    <w:p>
      <w:pPr>
        <w:spacing w:line="600" w:lineRule="auto"/>
        <w:ind w:firstLine="0" w:firstLineChars="0"/>
        <w:jc w:val="center"/>
        <w:rPr>
          <w:rFonts w:cs="宋体"/>
          <w:b/>
          <w:bCs/>
          <w:color w:val="auto"/>
          <w:sz w:val="48"/>
          <w:szCs w:val="48"/>
          <w:highlight w:val="none"/>
        </w:rPr>
      </w:pPr>
      <w:r>
        <w:rPr>
          <w:rFonts w:hint="eastAsia" w:cs="宋体"/>
          <w:b/>
          <w:bCs/>
          <w:color w:val="auto"/>
          <w:sz w:val="48"/>
          <w:szCs w:val="48"/>
          <w:highlight w:val="none"/>
        </w:rPr>
        <w:t>杭州电子科技大学</w:t>
      </w:r>
    </w:p>
    <w:p>
      <w:pPr>
        <w:spacing w:line="480" w:lineRule="auto"/>
        <w:ind w:firstLine="0" w:firstLineChars="0"/>
        <w:jc w:val="center"/>
        <w:rPr>
          <w:rFonts w:hint="eastAsia" w:eastAsia="宋体" w:cs="宋体"/>
          <w:b/>
          <w:bCs/>
          <w:color w:val="auto"/>
          <w:sz w:val="48"/>
          <w:szCs w:val="48"/>
          <w:highlight w:val="none"/>
          <w:lang w:eastAsia="zh-CN"/>
        </w:rPr>
      </w:pPr>
      <w:r>
        <w:rPr>
          <w:rFonts w:hint="eastAsia" w:cs="宋体"/>
          <w:b/>
          <w:bCs/>
          <w:color w:val="auto"/>
          <w:sz w:val="48"/>
          <w:szCs w:val="48"/>
          <w:highlight w:val="none"/>
          <w:lang w:eastAsia="zh-CN"/>
        </w:rPr>
        <w:t>研究生学位论文网络评审服务</w:t>
      </w:r>
    </w:p>
    <w:p>
      <w:pPr>
        <w:ind w:firstLine="456"/>
        <w:jc w:val="center"/>
        <w:rPr>
          <w:rFonts w:cs="宋体"/>
          <w:color w:val="auto"/>
          <w:sz w:val="44"/>
          <w:szCs w:val="32"/>
          <w:highlight w:val="none"/>
        </w:rPr>
      </w:pPr>
      <w:r>
        <w:rPr>
          <w:rFonts w:hint="eastAsia" w:cs="宋体"/>
          <w:b/>
          <w:bCs/>
          <w:color w:val="auto"/>
          <w:spacing w:val="-6"/>
          <w:highlight w:val="none"/>
          <w:lang w:val="en-US" w:eastAsia="zh-CN"/>
        </w:rPr>
        <w:t>标项：</w:t>
      </w:r>
    </w:p>
    <w:p>
      <w:pPr>
        <w:ind w:firstLine="602"/>
        <w:jc w:val="center"/>
        <w:rPr>
          <w:rFonts w:cs="宋体"/>
          <w:b/>
          <w:bCs/>
          <w:color w:val="auto"/>
          <w:sz w:val="30"/>
          <w:szCs w:val="30"/>
          <w:highlight w:val="none"/>
        </w:rPr>
      </w:pPr>
      <w:r>
        <w:rPr>
          <w:rFonts w:hint="eastAsia" w:cs="宋体"/>
          <w:b/>
          <w:bCs/>
          <w:color w:val="auto"/>
          <w:sz w:val="30"/>
          <w:szCs w:val="30"/>
          <w:highlight w:val="none"/>
        </w:rPr>
        <w:t>报价文件</w:t>
      </w:r>
    </w:p>
    <w:p>
      <w:pPr>
        <w:ind w:firstLine="600"/>
        <w:rPr>
          <w:rFonts w:cs="宋体"/>
          <w:color w:val="auto"/>
          <w:sz w:val="30"/>
          <w:szCs w:val="30"/>
          <w:highlight w:val="none"/>
        </w:rPr>
      </w:pPr>
    </w:p>
    <w:p>
      <w:pPr>
        <w:ind w:firstLine="600"/>
        <w:rPr>
          <w:rFonts w:cs="宋体"/>
          <w:color w:val="auto"/>
          <w:sz w:val="30"/>
          <w:szCs w:val="30"/>
          <w:highlight w:val="none"/>
        </w:rPr>
      </w:pPr>
      <w:r>
        <w:rPr>
          <w:rFonts w:hint="eastAsia" w:cs="宋体"/>
          <w:color w:val="auto"/>
          <w:sz w:val="30"/>
          <w:szCs w:val="30"/>
          <w:highlight w:val="none"/>
        </w:rPr>
        <w:t>采 购 人：</w:t>
      </w:r>
    </w:p>
    <w:p>
      <w:pPr>
        <w:ind w:firstLine="600"/>
        <w:rPr>
          <w:rFonts w:cs="宋体"/>
          <w:color w:val="auto"/>
          <w:sz w:val="30"/>
          <w:szCs w:val="30"/>
          <w:highlight w:val="none"/>
        </w:rPr>
      </w:pPr>
      <w:r>
        <w:rPr>
          <w:rFonts w:hint="eastAsia" w:cs="宋体"/>
          <w:color w:val="auto"/>
          <w:sz w:val="30"/>
          <w:szCs w:val="30"/>
          <w:highlight w:val="none"/>
        </w:rPr>
        <w:t>项目名称：</w:t>
      </w:r>
    </w:p>
    <w:p>
      <w:pPr>
        <w:ind w:firstLine="600"/>
        <w:rPr>
          <w:rFonts w:cs="宋体"/>
          <w:color w:val="auto"/>
          <w:sz w:val="30"/>
          <w:szCs w:val="30"/>
          <w:highlight w:val="none"/>
        </w:rPr>
      </w:pPr>
      <w:r>
        <w:rPr>
          <w:rFonts w:hint="eastAsia" w:cs="宋体"/>
          <w:color w:val="auto"/>
          <w:sz w:val="30"/>
          <w:szCs w:val="30"/>
          <w:highlight w:val="none"/>
        </w:rPr>
        <w:t>项目编号：</w:t>
      </w:r>
    </w:p>
    <w:p>
      <w:pPr>
        <w:ind w:firstLine="600"/>
        <w:rPr>
          <w:rFonts w:cs="宋体"/>
          <w:color w:val="auto"/>
          <w:sz w:val="30"/>
          <w:szCs w:val="30"/>
          <w:highlight w:val="none"/>
        </w:rPr>
      </w:pPr>
      <w:r>
        <w:rPr>
          <w:rFonts w:hint="eastAsia" w:cs="宋体"/>
          <w:color w:val="auto"/>
          <w:sz w:val="30"/>
          <w:szCs w:val="30"/>
          <w:highlight w:val="none"/>
        </w:rPr>
        <w:t>投标人名称（盖章）：</w:t>
      </w:r>
    </w:p>
    <w:p>
      <w:pPr>
        <w:ind w:firstLine="600"/>
        <w:rPr>
          <w:rFonts w:cs="宋体"/>
          <w:color w:val="auto"/>
          <w:sz w:val="30"/>
          <w:szCs w:val="30"/>
          <w:highlight w:val="none"/>
        </w:rPr>
      </w:pPr>
      <w:r>
        <w:rPr>
          <w:rFonts w:hint="eastAsia" w:cs="宋体"/>
          <w:color w:val="auto"/>
          <w:sz w:val="30"/>
          <w:szCs w:val="30"/>
          <w:highlight w:val="none"/>
        </w:rPr>
        <w:t>投标人地址：</w:t>
      </w:r>
    </w:p>
    <w:p>
      <w:pPr>
        <w:ind w:firstLine="600"/>
        <w:rPr>
          <w:rFonts w:cs="宋体"/>
          <w:color w:val="auto"/>
          <w:sz w:val="30"/>
          <w:szCs w:val="30"/>
          <w:highlight w:val="none"/>
        </w:rPr>
      </w:pPr>
    </w:p>
    <w:p>
      <w:pPr>
        <w:ind w:firstLine="600"/>
        <w:rPr>
          <w:rFonts w:cs="宋体"/>
          <w:color w:val="auto"/>
          <w:sz w:val="30"/>
          <w:szCs w:val="30"/>
          <w:highlight w:val="none"/>
        </w:rPr>
      </w:pPr>
      <w:r>
        <w:rPr>
          <w:rFonts w:hint="eastAsia" w:cs="宋体"/>
          <w:color w:val="auto"/>
          <w:sz w:val="30"/>
          <w:szCs w:val="30"/>
          <w:highlight w:val="none"/>
        </w:rPr>
        <w:t>授权代表签字或盖章：</w:t>
      </w:r>
    </w:p>
    <w:p>
      <w:pPr>
        <w:ind w:firstLine="600"/>
        <w:rPr>
          <w:rFonts w:cs="宋体"/>
          <w:color w:val="auto"/>
          <w:sz w:val="30"/>
          <w:szCs w:val="30"/>
          <w:highlight w:val="none"/>
        </w:rPr>
      </w:pPr>
      <w:r>
        <w:rPr>
          <w:rFonts w:hint="eastAsia" w:cs="宋体"/>
          <w:color w:val="auto"/>
          <w:sz w:val="30"/>
          <w:szCs w:val="30"/>
          <w:highlight w:val="none"/>
        </w:rPr>
        <w:t>日期：    年  月  日</w:t>
      </w:r>
    </w:p>
    <w:p>
      <w:pPr>
        <w:ind w:firstLine="576"/>
        <w:rPr>
          <w:rFonts w:cs="宋体"/>
          <w:bCs/>
          <w:color w:val="auto"/>
          <w:spacing w:val="-6"/>
          <w:sz w:val="30"/>
          <w:szCs w:val="30"/>
          <w:highlight w:val="none"/>
        </w:rPr>
      </w:pPr>
      <w:r>
        <w:rPr>
          <w:rFonts w:hint="eastAsia" w:cs="宋体"/>
          <w:bCs/>
          <w:color w:val="auto"/>
          <w:spacing w:val="-6"/>
          <w:sz w:val="30"/>
          <w:szCs w:val="30"/>
          <w:highlight w:val="none"/>
        </w:rPr>
        <w:t>授权代表姓名：               手机号：</w:t>
      </w:r>
    </w:p>
    <w:p>
      <w:pPr>
        <w:pStyle w:val="48"/>
        <w:rPr>
          <w:rFonts w:ascii="宋体" w:hAnsi="宋体" w:eastAsia="宋体" w:cs="宋体"/>
          <w:color w:val="auto"/>
          <w:sz w:val="30"/>
          <w:szCs w:val="30"/>
          <w:highlight w:val="none"/>
        </w:rPr>
      </w:pPr>
    </w:p>
    <w:p>
      <w:pPr>
        <w:pStyle w:val="50"/>
        <w:rPr>
          <w:rFonts w:ascii="宋体" w:hAnsi="宋体" w:cs="宋体"/>
          <w:color w:val="auto"/>
          <w:highlight w:val="none"/>
        </w:rPr>
        <w:sectPr>
          <w:pgSz w:w="11907" w:h="16840"/>
          <w:pgMar w:top="1440" w:right="1080" w:bottom="1440" w:left="1080" w:header="850" w:footer="992" w:gutter="0"/>
          <w:cols w:space="720" w:num="1"/>
          <w:docGrid w:linePitch="286" w:charSpace="0"/>
        </w:sectPr>
      </w:pPr>
    </w:p>
    <w:p>
      <w:pPr>
        <w:pStyle w:val="4"/>
        <w:jc w:val="center"/>
        <w:rPr>
          <w:color w:val="auto"/>
          <w:highlight w:val="none"/>
        </w:rPr>
      </w:pPr>
      <w:bookmarkStart w:id="189" w:name="_Toc6136"/>
      <w:bookmarkStart w:id="190" w:name="_Toc24920"/>
      <w:r>
        <w:rPr>
          <w:rFonts w:hint="eastAsia"/>
          <w:color w:val="auto"/>
          <w:highlight w:val="none"/>
        </w:rPr>
        <w:t>报价文件目录</w:t>
      </w:r>
      <w:bookmarkEnd w:id="189"/>
      <w:bookmarkEnd w:id="190"/>
    </w:p>
    <w:p>
      <w:pPr>
        <w:ind w:firstLine="480"/>
        <w:rPr>
          <w:color w:val="auto"/>
          <w:highlight w:val="none"/>
        </w:rPr>
      </w:pPr>
    </w:p>
    <w:p>
      <w:pPr>
        <w:numPr>
          <w:ilvl w:val="0"/>
          <w:numId w:val="44"/>
        </w:numPr>
        <w:adjustRightInd w:val="0"/>
        <w:snapToGrid w:val="0"/>
        <w:ind w:firstLine="480"/>
        <w:rPr>
          <w:color w:val="auto"/>
          <w:highlight w:val="none"/>
        </w:rPr>
      </w:pPr>
      <w:bookmarkStart w:id="191" w:name="_Toc16666"/>
      <w:r>
        <w:rPr>
          <w:rFonts w:hint="eastAsia"/>
          <w:color w:val="auto"/>
          <w:highlight w:val="none"/>
        </w:rPr>
        <w:t>投标响应函………………………………………………………………………（页码）</w:t>
      </w:r>
      <w:bookmarkEnd w:id="191"/>
    </w:p>
    <w:p>
      <w:pPr>
        <w:numPr>
          <w:ilvl w:val="0"/>
          <w:numId w:val="44"/>
        </w:numPr>
        <w:adjustRightInd w:val="0"/>
        <w:snapToGrid w:val="0"/>
        <w:ind w:firstLine="480"/>
        <w:rPr>
          <w:color w:val="auto"/>
          <w:highlight w:val="none"/>
        </w:rPr>
      </w:pPr>
      <w:bookmarkStart w:id="192" w:name="_Toc9814"/>
      <w:r>
        <w:rPr>
          <w:rFonts w:hint="eastAsia"/>
          <w:color w:val="auto"/>
          <w:highlight w:val="none"/>
        </w:rPr>
        <w:t>开标一览表………………………………………………………………………（页码）</w:t>
      </w:r>
      <w:bookmarkEnd w:id="192"/>
    </w:p>
    <w:p>
      <w:pPr>
        <w:numPr>
          <w:ilvl w:val="0"/>
          <w:numId w:val="44"/>
        </w:numPr>
        <w:adjustRightInd w:val="0"/>
        <w:snapToGrid w:val="0"/>
        <w:ind w:firstLine="480"/>
        <w:rPr>
          <w:color w:val="auto"/>
          <w:highlight w:val="none"/>
        </w:rPr>
      </w:pPr>
      <w:bookmarkStart w:id="193" w:name="_Toc10349"/>
      <w:r>
        <w:rPr>
          <w:rFonts w:hint="eastAsia"/>
          <w:color w:val="auto"/>
          <w:highlight w:val="none"/>
        </w:rPr>
        <w:t>投标报价明细表…………………………………………………………………（页码）</w:t>
      </w:r>
      <w:bookmarkEnd w:id="193"/>
    </w:p>
    <w:p>
      <w:pPr>
        <w:numPr>
          <w:ilvl w:val="0"/>
          <w:numId w:val="44"/>
        </w:numPr>
        <w:adjustRightInd w:val="0"/>
        <w:snapToGrid w:val="0"/>
        <w:ind w:firstLine="480"/>
        <w:rPr>
          <w:color w:val="auto"/>
          <w:highlight w:val="none"/>
        </w:rPr>
      </w:pPr>
      <w:bookmarkStart w:id="194" w:name="_Toc20916"/>
      <w:r>
        <w:rPr>
          <w:rFonts w:hint="eastAsia"/>
          <w:color w:val="auto"/>
          <w:highlight w:val="none"/>
        </w:rPr>
        <w:t>《中小企业声明函》、监狱企业资格证明材料、《残疾人福利性单位声明函》（如果有） ………………………………………………………………………………………（页码）</w:t>
      </w:r>
      <w:bookmarkEnd w:id="194"/>
    </w:p>
    <w:p>
      <w:pPr>
        <w:pStyle w:val="38"/>
        <w:ind w:firstLine="280"/>
        <w:rPr>
          <w:color w:val="auto"/>
          <w:highlight w:val="none"/>
        </w:rPr>
      </w:pPr>
    </w:p>
    <w:p>
      <w:pPr>
        <w:pStyle w:val="5"/>
        <w:rPr>
          <w:rFonts w:cs="宋体"/>
          <w:color w:val="auto"/>
          <w:highlight w:val="none"/>
        </w:rPr>
        <w:sectPr>
          <w:footerReference r:id="rId17" w:type="default"/>
          <w:pgSz w:w="11907" w:h="16840"/>
          <w:pgMar w:top="1440" w:right="1080" w:bottom="1440" w:left="1080" w:header="850" w:footer="992" w:gutter="0"/>
          <w:cols w:space="720" w:num="1"/>
          <w:docGrid w:linePitch="286" w:charSpace="0"/>
        </w:sectPr>
      </w:pPr>
    </w:p>
    <w:p>
      <w:pPr>
        <w:pStyle w:val="5"/>
        <w:numPr>
          <w:ilvl w:val="0"/>
          <w:numId w:val="45"/>
        </w:numPr>
        <w:rPr>
          <w:color w:val="auto"/>
          <w:highlight w:val="none"/>
        </w:rPr>
      </w:pPr>
      <w:bookmarkStart w:id="195" w:name="_Toc25141"/>
      <w:r>
        <w:rPr>
          <w:rFonts w:hint="eastAsia"/>
          <w:color w:val="auto"/>
          <w:highlight w:val="none"/>
        </w:rPr>
        <w:t>投标响应函</w:t>
      </w:r>
      <w:bookmarkEnd w:id="195"/>
    </w:p>
    <w:p>
      <w:pPr>
        <w:snapToGrid w:val="0"/>
        <w:ind w:firstLine="0" w:firstLineChars="0"/>
        <w:jc w:val="center"/>
        <w:rPr>
          <w:rFonts w:cs="宋体"/>
          <w:color w:val="auto"/>
          <w:highlight w:val="none"/>
        </w:rPr>
      </w:pPr>
      <w:r>
        <w:rPr>
          <w:rFonts w:hint="eastAsia" w:cs="宋体"/>
          <w:b/>
          <w:color w:val="auto"/>
          <w:kern w:val="0"/>
          <w:sz w:val="32"/>
          <w:highlight w:val="none"/>
        </w:rPr>
        <w:t>投标响应</w:t>
      </w:r>
      <w:r>
        <w:rPr>
          <w:rFonts w:hint="eastAsia" w:cs="宋体"/>
          <w:b/>
          <w:color w:val="auto"/>
          <w:sz w:val="32"/>
          <w:highlight w:val="none"/>
        </w:rPr>
        <w:t>函</w:t>
      </w:r>
    </w:p>
    <w:p>
      <w:pPr>
        <w:ind w:firstLine="0" w:firstLineChars="0"/>
        <w:rPr>
          <w:rFonts w:cs="宋体"/>
          <w:color w:val="auto"/>
          <w:highlight w:val="none"/>
        </w:rPr>
      </w:pPr>
    </w:p>
    <w:p>
      <w:pPr>
        <w:ind w:firstLine="0" w:firstLineChars="0"/>
        <w:rPr>
          <w:rFonts w:cs="宋体"/>
          <w:color w:val="auto"/>
          <w:highlight w:val="none"/>
        </w:rPr>
      </w:pPr>
      <w:r>
        <w:rPr>
          <w:rFonts w:hint="eastAsia" w:cs="宋体"/>
          <w:color w:val="auto"/>
          <w:highlight w:val="none"/>
        </w:rPr>
        <w:t>致：</w:t>
      </w:r>
      <w:r>
        <w:rPr>
          <w:rFonts w:hint="eastAsia" w:cs="宋体"/>
          <w:bCs/>
          <w:color w:val="auto"/>
          <w:spacing w:val="-6"/>
          <w:highlight w:val="none"/>
        </w:rPr>
        <w:t>杭州电子科技大学、</w:t>
      </w:r>
      <w:r>
        <w:rPr>
          <w:rFonts w:hint="eastAsia" w:cs="宋体"/>
          <w:bCs/>
          <w:color w:val="auto"/>
          <w:spacing w:val="-6"/>
          <w:highlight w:val="none"/>
          <w:lang w:eastAsia="zh-CN"/>
        </w:rPr>
        <w:t>浙江五石中正工程咨询有限公司</w:t>
      </w:r>
      <w:r>
        <w:rPr>
          <w:rFonts w:hint="eastAsia" w:cs="宋体"/>
          <w:color w:val="auto"/>
          <w:spacing w:val="-6"/>
          <w:highlight w:val="none"/>
        </w:rPr>
        <w:t>：</w:t>
      </w:r>
      <w:r>
        <w:rPr>
          <w:rFonts w:hint="eastAsia" w:cs="宋体"/>
          <w:color w:val="auto"/>
          <w:highlight w:val="none"/>
        </w:rPr>
        <w:t xml:space="preserve"> </w:t>
      </w:r>
    </w:p>
    <w:p>
      <w:pPr>
        <w:ind w:firstLine="480"/>
        <w:rPr>
          <w:color w:val="auto"/>
          <w:highlight w:val="none"/>
        </w:rPr>
      </w:pPr>
      <w:r>
        <w:rPr>
          <w:rFonts w:hint="eastAsia" w:cs="宋体"/>
          <w:color w:val="auto"/>
          <w:kern w:val="0"/>
          <w:highlight w:val="none"/>
          <w:u w:val="single"/>
          <w:lang w:val="zh-CN"/>
        </w:rPr>
        <w:t xml:space="preserve">                         </w:t>
      </w:r>
      <w:r>
        <w:rPr>
          <w:rFonts w:hint="eastAsia" w:cs="宋体"/>
          <w:color w:val="auto"/>
          <w:highlight w:val="none"/>
        </w:rPr>
        <w:t>(投标人全称)授权</w:t>
      </w:r>
      <w:r>
        <w:rPr>
          <w:rFonts w:hint="eastAsia" w:cs="宋体"/>
          <w:color w:val="auto"/>
          <w:kern w:val="0"/>
          <w:highlight w:val="none"/>
          <w:u w:val="single"/>
          <w:lang w:val="zh-CN"/>
        </w:rPr>
        <w:t xml:space="preserve">                    </w:t>
      </w:r>
      <w:r>
        <w:rPr>
          <w:rFonts w:hint="eastAsia" w:cs="宋体"/>
          <w:color w:val="auto"/>
          <w:highlight w:val="none"/>
        </w:rPr>
        <w:t>(全权代表姓名)</w:t>
      </w:r>
      <w:r>
        <w:rPr>
          <w:rFonts w:hint="eastAsia" w:cs="宋体"/>
          <w:color w:val="auto"/>
          <w:kern w:val="0"/>
          <w:highlight w:val="none"/>
          <w:u w:val="single"/>
          <w:lang w:val="zh-CN"/>
        </w:rPr>
        <w:t xml:space="preserve">              </w:t>
      </w:r>
      <w:r>
        <w:rPr>
          <w:rFonts w:hint="eastAsia" w:cs="宋体"/>
          <w:color w:val="auto"/>
          <w:highlight w:val="none"/>
        </w:rPr>
        <w:t>(职务、职称)为全权代表，参加贵方组织的</w:t>
      </w:r>
      <w:r>
        <w:rPr>
          <w:rFonts w:hint="eastAsia" w:cs="宋体"/>
          <w:color w:val="auto"/>
          <w:highlight w:val="none"/>
          <w:u w:val="single"/>
        </w:rPr>
        <w:t>（项目名称）（项目编号）</w:t>
      </w:r>
      <w:r>
        <w:rPr>
          <w:rFonts w:hint="eastAsia" w:cs="宋体"/>
          <w:color w:val="auto"/>
          <w:highlight w:val="none"/>
        </w:rPr>
        <w:t>招标的有关活动，并对</w:t>
      </w:r>
      <w:r>
        <w:rPr>
          <w:rFonts w:hint="eastAsia"/>
          <w:color w:val="auto"/>
          <w:highlight w:val="none"/>
        </w:rPr>
        <w:t>此项目进行投标。为此：</w:t>
      </w:r>
    </w:p>
    <w:p>
      <w:pPr>
        <w:ind w:firstLine="480"/>
        <w:rPr>
          <w:color w:val="auto"/>
          <w:highlight w:val="none"/>
        </w:rPr>
      </w:pPr>
      <w:r>
        <w:rPr>
          <w:rFonts w:hint="eastAsia"/>
          <w:color w:val="auto"/>
          <w:highlight w:val="none"/>
        </w:rPr>
        <w:t>1、我方同意在投标人编制和提交采购响应文件须知规定的开标日期起遵守本投标文件中的承诺且在投标有效期满之前均具有约束力。</w:t>
      </w:r>
    </w:p>
    <w:p>
      <w:pPr>
        <w:ind w:firstLine="480"/>
        <w:rPr>
          <w:color w:val="auto"/>
          <w:highlight w:val="none"/>
        </w:rPr>
      </w:pPr>
      <w:r>
        <w:rPr>
          <w:rFonts w:hint="eastAsia"/>
          <w:color w:val="auto"/>
          <w:highlight w:val="none"/>
        </w:rPr>
        <w:t>2、我方承诺已经具备《中华人民共和国政府采购法》中规定的参加政府采购活动的供应商应当具备的条件：</w:t>
      </w:r>
    </w:p>
    <w:p>
      <w:pPr>
        <w:ind w:firstLine="480"/>
        <w:rPr>
          <w:color w:val="auto"/>
          <w:highlight w:val="none"/>
        </w:rPr>
      </w:pPr>
      <w:r>
        <w:rPr>
          <w:rFonts w:hint="eastAsia"/>
          <w:color w:val="auto"/>
          <w:highlight w:val="none"/>
        </w:rPr>
        <w:t>(1)具有独立承担民事责任的能力；</w:t>
      </w:r>
    </w:p>
    <w:p>
      <w:pPr>
        <w:ind w:firstLine="480"/>
        <w:rPr>
          <w:color w:val="auto"/>
          <w:highlight w:val="none"/>
        </w:rPr>
      </w:pPr>
      <w:r>
        <w:rPr>
          <w:rFonts w:hint="eastAsia"/>
          <w:color w:val="auto"/>
          <w:highlight w:val="none"/>
        </w:rPr>
        <w:t>(2)遵守国家法律、行政法规，具有良好的信誉和商业道德；</w:t>
      </w:r>
    </w:p>
    <w:p>
      <w:pPr>
        <w:ind w:firstLine="480"/>
        <w:rPr>
          <w:color w:val="auto"/>
          <w:highlight w:val="none"/>
        </w:rPr>
      </w:pPr>
      <w:r>
        <w:rPr>
          <w:rFonts w:hint="eastAsia"/>
          <w:color w:val="auto"/>
          <w:highlight w:val="none"/>
        </w:rPr>
        <w:t>(3)具有履行合同的能力和良好的履行合同记录；</w:t>
      </w:r>
    </w:p>
    <w:p>
      <w:pPr>
        <w:ind w:firstLine="480"/>
        <w:rPr>
          <w:color w:val="auto"/>
          <w:highlight w:val="none"/>
        </w:rPr>
      </w:pPr>
      <w:r>
        <w:rPr>
          <w:rFonts w:hint="eastAsia"/>
          <w:color w:val="auto"/>
          <w:highlight w:val="none"/>
        </w:rPr>
        <w:t>(4)良好的资金、财务状况；</w:t>
      </w:r>
    </w:p>
    <w:p>
      <w:pPr>
        <w:ind w:firstLine="480"/>
        <w:rPr>
          <w:color w:val="auto"/>
          <w:highlight w:val="none"/>
        </w:rPr>
      </w:pPr>
      <w:r>
        <w:rPr>
          <w:rFonts w:hint="eastAsia"/>
          <w:color w:val="auto"/>
          <w:highlight w:val="none"/>
        </w:rPr>
        <w:t>(5)产品及生产所需装备符合中国政府规定的相应技术标准和环保标准；</w:t>
      </w:r>
    </w:p>
    <w:p>
      <w:pPr>
        <w:ind w:firstLine="480"/>
        <w:rPr>
          <w:color w:val="auto"/>
          <w:highlight w:val="none"/>
        </w:rPr>
      </w:pPr>
      <w:r>
        <w:rPr>
          <w:rFonts w:hint="eastAsia"/>
          <w:color w:val="auto"/>
          <w:highlight w:val="none"/>
        </w:rPr>
        <w:t>(6)没有违反政府采购法规、政策的记录；</w:t>
      </w:r>
    </w:p>
    <w:p>
      <w:pPr>
        <w:ind w:firstLine="480"/>
        <w:rPr>
          <w:color w:val="auto"/>
          <w:highlight w:val="none"/>
        </w:rPr>
      </w:pPr>
      <w:r>
        <w:rPr>
          <w:rFonts w:hint="eastAsia"/>
          <w:color w:val="auto"/>
          <w:highlight w:val="none"/>
        </w:rPr>
        <w:t>(7)没有发生重大经济纠纷和走私犯罪记录。</w:t>
      </w:r>
    </w:p>
    <w:p>
      <w:pPr>
        <w:ind w:firstLine="480"/>
        <w:rPr>
          <w:color w:val="auto"/>
          <w:highlight w:val="none"/>
        </w:rPr>
      </w:pPr>
      <w:r>
        <w:rPr>
          <w:rFonts w:hint="eastAsia"/>
          <w:color w:val="auto"/>
          <w:highlight w:val="none"/>
        </w:rPr>
        <w:t>3、提供编制和提交采购响应文件须知规定的全部投标文件。具体内容为：</w:t>
      </w:r>
    </w:p>
    <w:p>
      <w:pPr>
        <w:ind w:firstLine="480"/>
        <w:rPr>
          <w:color w:val="auto"/>
          <w:highlight w:val="none"/>
        </w:rPr>
      </w:pPr>
      <w:r>
        <w:rPr>
          <w:rFonts w:hint="eastAsia"/>
          <w:color w:val="auto"/>
          <w:highlight w:val="none"/>
        </w:rPr>
        <w:t>(1)开标一览表及投标报价明细清单；</w:t>
      </w:r>
    </w:p>
    <w:p>
      <w:pPr>
        <w:ind w:firstLine="480"/>
        <w:rPr>
          <w:color w:val="auto"/>
          <w:highlight w:val="none"/>
        </w:rPr>
      </w:pPr>
      <w:r>
        <w:rPr>
          <w:rFonts w:hint="eastAsia"/>
          <w:color w:val="auto"/>
          <w:highlight w:val="none"/>
        </w:rPr>
        <w:t>(2)投标商务</w:t>
      </w:r>
      <w:r>
        <w:rPr>
          <w:rFonts w:hint="eastAsia"/>
          <w:color w:val="auto"/>
          <w:highlight w:val="none"/>
          <w:lang w:val="zh-CN"/>
        </w:rPr>
        <w:t>技术文件和资格文件</w:t>
      </w:r>
      <w:r>
        <w:rPr>
          <w:rFonts w:hint="eastAsia"/>
          <w:color w:val="auto"/>
          <w:highlight w:val="none"/>
        </w:rPr>
        <w:t>；</w:t>
      </w:r>
    </w:p>
    <w:p>
      <w:pPr>
        <w:ind w:firstLine="480"/>
        <w:rPr>
          <w:color w:val="auto"/>
          <w:highlight w:val="none"/>
        </w:rPr>
      </w:pPr>
      <w:r>
        <w:rPr>
          <w:rFonts w:hint="eastAsia"/>
          <w:color w:val="auto"/>
          <w:highlight w:val="none"/>
        </w:rPr>
        <w:t>(3)编制和提交采购响应文件须知要求投标人提交的全部文件；</w:t>
      </w:r>
    </w:p>
    <w:p>
      <w:pPr>
        <w:ind w:firstLine="480"/>
        <w:rPr>
          <w:color w:val="auto"/>
          <w:highlight w:val="none"/>
        </w:rPr>
      </w:pPr>
      <w:r>
        <w:rPr>
          <w:rFonts w:hint="eastAsia"/>
          <w:color w:val="auto"/>
          <w:highlight w:val="none"/>
        </w:rPr>
        <w:t>(4)按招标文件要求提供和交付的货物和服务的投标报价详见投标(开标)一览表；</w:t>
      </w:r>
    </w:p>
    <w:p>
      <w:pPr>
        <w:ind w:firstLine="480"/>
        <w:rPr>
          <w:color w:val="auto"/>
          <w:highlight w:val="none"/>
        </w:rPr>
      </w:pPr>
      <w:r>
        <w:rPr>
          <w:rFonts w:hint="eastAsia"/>
          <w:color w:val="auto"/>
          <w:highlight w:val="none"/>
        </w:rPr>
        <w:t>(5)保证忠实地执行双方所签订的合同，并承担合同规定的责任和义务；</w:t>
      </w:r>
    </w:p>
    <w:p>
      <w:pPr>
        <w:ind w:firstLine="480"/>
        <w:rPr>
          <w:color w:val="auto"/>
          <w:highlight w:val="none"/>
        </w:rPr>
      </w:pPr>
      <w:r>
        <w:rPr>
          <w:rFonts w:hint="eastAsia"/>
          <w:color w:val="auto"/>
          <w:highlight w:val="none"/>
        </w:rPr>
        <w:t>(6)保证遵守招标文件中的其他有关规定。</w:t>
      </w:r>
    </w:p>
    <w:p>
      <w:pPr>
        <w:ind w:firstLine="480"/>
        <w:rPr>
          <w:color w:val="auto"/>
          <w:highlight w:val="none"/>
        </w:rPr>
      </w:pPr>
      <w:r>
        <w:rPr>
          <w:rFonts w:hint="eastAsia"/>
          <w:color w:val="auto"/>
          <w:highlight w:val="none"/>
        </w:rPr>
        <w:t>4、我方承诺投标有效期从提交投标文件的截止之日起 90 天，不少于招标文件中载明的投标有效期（从提交投标文件的截止之日起90天）。</w:t>
      </w:r>
    </w:p>
    <w:p>
      <w:pPr>
        <w:ind w:firstLine="480"/>
        <w:rPr>
          <w:color w:val="auto"/>
          <w:highlight w:val="none"/>
        </w:rPr>
      </w:pPr>
      <w:r>
        <w:rPr>
          <w:rFonts w:hint="eastAsia"/>
          <w:color w:val="auto"/>
          <w:highlight w:val="none"/>
        </w:rPr>
        <w:t>5、我方完全理解贵方不一定要接受最低价的投标。</w:t>
      </w:r>
    </w:p>
    <w:p>
      <w:pPr>
        <w:ind w:firstLine="480"/>
        <w:rPr>
          <w:color w:val="auto"/>
          <w:highlight w:val="none"/>
        </w:rPr>
      </w:pPr>
      <w:r>
        <w:rPr>
          <w:rFonts w:hint="eastAsia"/>
          <w:color w:val="auto"/>
          <w:highlight w:val="none"/>
        </w:rPr>
        <w:t>6、我方愿意向贵方提供任何与该项投标有关的数据、情况和技术资料。若贵方需要，我方愿意提供我方作出的一切承诺的证明材料。</w:t>
      </w:r>
    </w:p>
    <w:p>
      <w:pPr>
        <w:ind w:firstLine="480"/>
        <w:rPr>
          <w:color w:val="auto"/>
          <w:highlight w:val="none"/>
        </w:rPr>
      </w:pPr>
      <w:r>
        <w:rPr>
          <w:rFonts w:hint="eastAsia"/>
          <w:color w:val="auto"/>
          <w:highlight w:val="none"/>
        </w:rPr>
        <w:t>7、我方已详细审核全部招标文件，包括招标文件修改书(如果有)、参考资料及有关附件，确认无误。</w:t>
      </w:r>
    </w:p>
    <w:p>
      <w:pPr>
        <w:ind w:firstLine="480"/>
        <w:rPr>
          <w:color w:val="auto"/>
          <w:highlight w:val="none"/>
        </w:rPr>
      </w:pPr>
      <w:r>
        <w:rPr>
          <w:rFonts w:hint="eastAsia"/>
          <w:color w:val="auto"/>
          <w:highlight w:val="none"/>
        </w:rPr>
        <w:t>8、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pPr>
        <w:ind w:firstLine="480"/>
        <w:rPr>
          <w:color w:val="auto"/>
          <w:highlight w:val="none"/>
        </w:rPr>
      </w:pPr>
      <w:r>
        <w:rPr>
          <w:rFonts w:hint="eastAsia"/>
          <w:color w:val="auto"/>
          <w:highlight w:val="none"/>
        </w:rPr>
        <w:t>a)提供虚假材料谋取中标、成交的；</w:t>
      </w:r>
    </w:p>
    <w:p>
      <w:pPr>
        <w:ind w:firstLine="480"/>
        <w:rPr>
          <w:color w:val="auto"/>
          <w:highlight w:val="none"/>
        </w:rPr>
      </w:pPr>
      <w:r>
        <w:rPr>
          <w:rFonts w:hint="eastAsia"/>
          <w:color w:val="auto"/>
          <w:highlight w:val="none"/>
        </w:rPr>
        <w:t>b)采取不正当手段诋毁、排挤其他供应商的；</w:t>
      </w:r>
    </w:p>
    <w:p>
      <w:pPr>
        <w:ind w:firstLine="480"/>
        <w:rPr>
          <w:color w:val="auto"/>
          <w:highlight w:val="none"/>
        </w:rPr>
      </w:pPr>
      <w:r>
        <w:rPr>
          <w:rFonts w:hint="eastAsia"/>
          <w:color w:val="auto"/>
          <w:highlight w:val="none"/>
        </w:rPr>
        <w:t>c)与采购人、其它供应商或者采购代理机构恶意串通的；</w:t>
      </w:r>
    </w:p>
    <w:p>
      <w:pPr>
        <w:ind w:firstLine="480"/>
        <w:rPr>
          <w:color w:val="auto"/>
          <w:highlight w:val="none"/>
        </w:rPr>
      </w:pPr>
      <w:r>
        <w:rPr>
          <w:rFonts w:hint="eastAsia"/>
          <w:color w:val="auto"/>
          <w:highlight w:val="none"/>
        </w:rPr>
        <w:t>d)向采购人、采购代理机构行贿或者提供其他不正当利益的；</w:t>
      </w:r>
    </w:p>
    <w:p>
      <w:pPr>
        <w:ind w:firstLine="480"/>
        <w:rPr>
          <w:color w:val="auto"/>
          <w:highlight w:val="none"/>
        </w:rPr>
      </w:pPr>
      <w:r>
        <w:rPr>
          <w:rFonts w:hint="eastAsia"/>
          <w:color w:val="auto"/>
          <w:highlight w:val="none"/>
        </w:rPr>
        <w:t>e)在招标采购过程中与采购人进行协商谈判的；</w:t>
      </w:r>
    </w:p>
    <w:p>
      <w:pPr>
        <w:ind w:firstLine="480"/>
        <w:rPr>
          <w:color w:val="auto"/>
          <w:highlight w:val="none"/>
        </w:rPr>
      </w:pPr>
      <w:r>
        <w:rPr>
          <w:rFonts w:hint="eastAsia"/>
          <w:color w:val="auto"/>
          <w:highlight w:val="none"/>
        </w:rPr>
        <w:t>f)拒绝有关部门监督检查或提供虚假情况的。</w:t>
      </w:r>
    </w:p>
    <w:p>
      <w:pPr>
        <w:ind w:firstLine="480"/>
        <w:rPr>
          <w:color w:val="auto"/>
          <w:highlight w:val="none"/>
        </w:rPr>
      </w:pPr>
      <w:r>
        <w:rPr>
          <w:rFonts w:hint="eastAsia"/>
          <w:color w:val="auto"/>
          <w:highlight w:val="none"/>
        </w:rPr>
        <w:t>供应商有前款第a)至e)项情形之一的，中标、成交无效。</w:t>
      </w:r>
    </w:p>
    <w:p>
      <w:pPr>
        <w:ind w:firstLine="3600" w:firstLineChars="1500"/>
        <w:rPr>
          <w:rFonts w:cs="宋体"/>
          <w:color w:val="auto"/>
          <w:highlight w:val="none"/>
        </w:rPr>
      </w:pPr>
    </w:p>
    <w:p>
      <w:pPr>
        <w:pStyle w:val="48"/>
        <w:rPr>
          <w:rFonts w:ascii="宋体" w:hAnsi="宋体" w:eastAsia="宋体" w:cs="宋体"/>
          <w:color w:val="auto"/>
          <w:highlight w:val="none"/>
        </w:rPr>
      </w:pPr>
    </w:p>
    <w:p>
      <w:pPr>
        <w:ind w:firstLine="480"/>
        <w:rPr>
          <w:color w:val="auto"/>
          <w:highlight w:val="none"/>
        </w:rPr>
      </w:pPr>
      <w:r>
        <w:rPr>
          <w:rFonts w:hint="eastAsia"/>
          <w:color w:val="auto"/>
          <w:highlight w:val="none"/>
        </w:rPr>
        <w:t>投标人名称（公章）：</w:t>
      </w:r>
    </w:p>
    <w:p>
      <w:pPr>
        <w:ind w:firstLine="480"/>
        <w:rPr>
          <w:color w:val="auto"/>
          <w:highlight w:val="none"/>
        </w:rPr>
      </w:pPr>
      <w:r>
        <w:rPr>
          <w:rFonts w:hint="eastAsia"/>
          <w:color w:val="auto"/>
          <w:highlight w:val="none"/>
        </w:rPr>
        <w:t>法定代表人或其授权代表（签字或盖章）：</w:t>
      </w:r>
    </w:p>
    <w:p>
      <w:pPr>
        <w:ind w:firstLine="480"/>
        <w:rPr>
          <w:color w:val="auto"/>
          <w:highlight w:val="none"/>
        </w:rPr>
      </w:pPr>
      <w:r>
        <w:rPr>
          <w:rFonts w:hint="eastAsia"/>
          <w:color w:val="auto"/>
          <w:highlight w:val="none"/>
        </w:rPr>
        <w:t>日期：  年   月   日</w:t>
      </w:r>
    </w:p>
    <w:p>
      <w:pPr>
        <w:snapToGrid w:val="0"/>
        <w:ind w:left="480" w:leftChars="200" w:firstLine="4200" w:firstLineChars="1750"/>
        <w:rPr>
          <w:rFonts w:cs="宋体"/>
          <w:color w:val="auto"/>
          <w:kern w:val="0"/>
          <w:highlight w:val="none"/>
          <w:u w:val="single"/>
          <w:lang w:val="zh-CN"/>
        </w:rPr>
      </w:pPr>
    </w:p>
    <w:p>
      <w:pPr>
        <w:ind w:firstLine="480"/>
        <w:rPr>
          <w:color w:val="auto"/>
          <w:highlight w:val="none"/>
        </w:rPr>
      </w:pPr>
      <w:r>
        <w:rPr>
          <w:rFonts w:hint="eastAsia"/>
          <w:color w:val="auto"/>
          <w:highlight w:val="none"/>
          <w:lang w:val="zh-CN"/>
        </w:rPr>
        <w:t xml:space="preserve">联系人：                           联系电话：                 </w:t>
      </w:r>
    </w:p>
    <w:p>
      <w:pPr>
        <w:ind w:firstLine="480"/>
        <w:rPr>
          <w:color w:val="auto"/>
          <w:highlight w:val="none"/>
        </w:rPr>
      </w:pPr>
      <w:r>
        <w:rPr>
          <w:rFonts w:hint="eastAsia"/>
          <w:color w:val="auto"/>
          <w:highlight w:val="none"/>
          <w:lang w:val="zh-CN"/>
        </w:rPr>
        <w:t xml:space="preserve">联系地址：                                                    </w:t>
      </w:r>
    </w:p>
    <w:p>
      <w:pPr>
        <w:ind w:firstLine="480"/>
        <w:rPr>
          <w:color w:val="auto"/>
          <w:highlight w:val="none"/>
        </w:rPr>
      </w:pPr>
      <w:r>
        <w:rPr>
          <w:rFonts w:hint="eastAsia"/>
          <w:color w:val="auto"/>
          <w:highlight w:val="none"/>
          <w:lang w:val="zh-CN"/>
        </w:rPr>
        <w:t xml:space="preserve">邮政编码：                     传真号码：                     </w:t>
      </w:r>
    </w:p>
    <w:p>
      <w:pPr>
        <w:ind w:firstLine="482"/>
        <w:rPr>
          <w:rFonts w:cs="宋体"/>
          <w:b/>
          <w:bCs/>
          <w:color w:val="auto"/>
          <w:highlight w:val="none"/>
          <w:lang w:val="zh-CN"/>
        </w:rPr>
      </w:pPr>
    </w:p>
    <w:p>
      <w:pPr>
        <w:ind w:firstLine="482"/>
        <w:rPr>
          <w:color w:val="auto"/>
          <w:highlight w:val="none"/>
          <w:lang w:val="zh-CN"/>
        </w:rPr>
      </w:pPr>
      <w:r>
        <w:rPr>
          <w:rFonts w:hint="eastAsia" w:cs="宋体"/>
          <w:b/>
          <w:bCs/>
          <w:color w:val="auto"/>
          <w:highlight w:val="none"/>
          <w:lang w:val="zh-CN"/>
        </w:rPr>
        <w:t>注：未按照本投标响应函要求填报的将被视为非实质性响应投标，从而可能导致该投标被拒绝。</w:t>
      </w:r>
    </w:p>
    <w:p>
      <w:pPr>
        <w:ind w:firstLine="480"/>
        <w:rPr>
          <w:color w:val="auto"/>
          <w:highlight w:val="none"/>
        </w:rPr>
        <w:sectPr>
          <w:footerReference r:id="rId18" w:type="default"/>
          <w:pgSz w:w="11907" w:h="16840"/>
          <w:pgMar w:top="1440" w:right="1080" w:bottom="1440" w:left="1080" w:header="850" w:footer="992" w:gutter="0"/>
          <w:cols w:space="720" w:num="1"/>
          <w:docGrid w:linePitch="286" w:charSpace="0"/>
        </w:sectPr>
      </w:pPr>
      <w:bookmarkStart w:id="196" w:name="_Toc2416"/>
    </w:p>
    <w:p>
      <w:pPr>
        <w:pStyle w:val="5"/>
        <w:numPr>
          <w:ilvl w:val="0"/>
          <w:numId w:val="45"/>
        </w:numPr>
        <w:rPr>
          <w:color w:val="auto"/>
          <w:highlight w:val="none"/>
        </w:rPr>
      </w:pPr>
      <w:r>
        <w:rPr>
          <w:rFonts w:hint="eastAsia"/>
          <w:color w:val="auto"/>
          <w:highlight w:val="none"/>
        </w:rPr>
        <w:t>开标一览表</w:t>
      </w:r>
      <w:bookmarkEnd w:id="196"/>
    </w:p>
    <w:p>
      <w:pPr>
        <w:snapToGrid w:val="0"/>
        <w:ind w:firstLine="0" w:firstLineChars="0"/>
        <w:jc w:val="center"/>
        <w:rPr>
          <w:rFonts w:cs="宋体"/>
          <w:b/>
          <w:color w:val="auto"/>
          <w:kern w:val="0"/>
          <w:sz w:val="32"/>
          <w:highlight w:val="none"/>
        </w:rPr>
      </w:pPr>
      <w:bookmarkStart w:id="197" w:name="_Toc14446"/>
      <w:bookmarkStart w:id="198" w:name="_Toc29517"/>
      <w:r>
        <w:rPr>
          <w:rFonts w:hint="eastAsia" w:cs="宋体"/>
          <w:b/>
          <w:color w:val="auto"/>
          <w:kern w:val="0"/>
          <w:sz w:val="32"/>
          <w:highlight w:val="none"/>
        </w:rPr>
        <w:t>开标一览表</w:t>
      </w:r>
      <w:bookmarkEnd w:id="197"/>
      <w:bookmarkEnd w:id="198"/>
    </w:p>
    <w:p>
      <w:pPr>
        <w:ind w:firstLine="480"/>
        <w:rPr>
          <w:color w:val="auto"/>
          <w:highlight w:val="none"/>
        </w:rPr>
      </w:pPr>
    </w:p>
    <w:p>
      <w:pPr>
        <w:spacing w:line="360" w:lineRule="auto"/>
        <w:ind w:left="0" w:leftChars="0" w:firstLine="0" w:firstLineChars="0"/>
        <w:rPr>
          <w:rFonts w:hint="eastAsia" w:ascii="宋体" w:hAnsi="宋体"/>
          <w:spacing w:val="-6"/>
          <w:highlight w:val="none"/>
        </w:rPr>
      </w:pPr>
      <w:r>
        <w:rPr>
          <w:rFonts w:hint="eastAsia" w:ascii="宋体" w:hAnsi="宋体"/>
          <w:spacing w:val="-6"/>
          <w:highlight w:val="none"/>
        </w:rPr>
        <w:t xml:space="preserve">项目名称：                                项目编号：                           </w:t>
      </w:r>
    </w:p>
    <w:p>
      <w:pPr>
        <w:pStyle w:val="2"/>
        <w:ind w:left="0" w:leftChars="0" w:firstLine="0" w:firstLineChars="0"/>
        <w:rPr>
          <w:rFonts w:hint="eastAsia" w:eastAsia="宋体"/>
          <w:sz w:val="24"/>
          <w:szCs w:val="24"/>
          <w:lang w:eastAsia="zh-CN"/>
        </w:rPr>
      </w:pPr>
      <w:r>
        <w:rPr>
          <w:rFonts w:hint="eastAsia" w:hAnsi="宋体"/>
          <w:spacing w:val="-6"/>
          <w:sz w:val="24"/>
          <w:szCs w:val="24"/>
          <w:highlight w:val="none"/>
          <w:lang w:eastAsia="zh-CN"/>
        </w:rPr>
        <w:t>标项：</w:t>
      </w:r>
    </w:p>
    <w:tbl>
      <w:tblPr>
        <w:tblStyle w:val="40"/>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pacing w:val="-6"/>
                <w:highlight w:val="none"/>
                <w:u w:val="single"/>
              </w:rPr>
            </w:pPr>
            <w:r>
              <w:rPr>
                <w:rFonts w:hint="eastAsia"/>
                <w:b/>
                <w:spacing w:val="-6"/>
                <w:highlight w:val="none"/>
                <w:lang w:val="en-US" w:eastAsia="zh-CN"/>
              </w:rPr>
              <w:t>投标</w:t>
            </w:r>
            <w:r>
              <w:rPr>
                <w:rFonts w:hint="eastAsia" w:ascii="宋体" w:hAnsi="宋体"/>
                <w:b/>
                <w:spacing w:val="-6"/>
                <w:highlight w:val="none"/>
                <w:lang w:eastAsia="zh-CN"/>
              </w:rPr>
              <w:t>单</w:t>
            </w:r>
            <w:r>
              <w:rPr>
                <w:rFonts w:hint="eastAsia" w:ascii="宋体" w:hAnsi="宋体"/>
                <w:b/>
                <w:spacing w:val="-6"/>
                <w:highlight w:val="none"/>
              </w:rPr>
              <w:t>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noWrap w:val="0"/>
            <w:vAlign w:val="center"/>
          </w:tcPr>
          <w:p>
            <w:pPr>
              <w:spacing w:line="480" w:lineRule="auto"/>
              <w:jc w:val="center"/>
              <w:rPr>
                <w:rFonts w:hint="eastAsia"/>
              </w:rPr>
            </w:pPr>
          </w:p>
          <w:p>
            <w:pPr>
              <w:spacing w:line="480" w:lineRule="auto"/>
              <w:ind w:left="0" w:leftChars="0" w:firstLine="0" w:firstLineChars="0"/>
              <w:jc w:val="left"/>
              <w:rPr>
                <w:rFonts w:hint="eastAsia" w:eastAsia="宋体"/>
                <w:sz w:val="24"/>
                <w:szCs w:val="24"/>
                <w:lang w:eastAsia="zh-CN"/>
              </w:rPr>
            </w:pPr>
            <w:r>
              <w:rPr>
                <w:rFonts w:hint="eastAsia"/>
                <w:sz w:val="24"/>
                <w:szCs w:val="24"/>
              </w:rPr>
              <w:t>人民币大写</w:t>
            </w:r>
            <w:r>
              <w:rPr>
                <w:rFonts w:hint="eastAsia"/>
                <w:sz w:val="24"/>
                <w:szCs w:val="24"/>
                <w:lang w:eastAsia="zh-CN"/>
              </w:rPr>
              <w:t>：</w:t>
            </w:r>
            <w:r>
              <w:rPr>
                <w:rFonts w:hint="eastAsia"/>
                <w:sz w:val="24"/>
                <w:szCs w:val="24"/>
              </w:rPr>
              <w:t xml:space="preserve">                </w:t>
            </w:r>
            <w:r>
              <w:rPr>
                <w:rFonts w:hint="eastAsia"/>
                <w:sz w:val="24"/>
                <w:szCs w:val="24"/>
                <w:lang w:eastAsia="zh-CN"/>
              </w:rPr>
              <w:t>；</w:t>
            </w:r>
          </w:p>
          <w:p>
            <w:pPr>
              <w:spacing w:line="480" w:lineRule="auto"/>
              <w:ind w:firstLine="720" w:firstLineChars="300"/>
              <w:jc w:val="left"/>
              <w:rPr>
                <w:rFonts w:hint="eastAsia"/>
                <w:sz w:val="24"/>
                <w:szCs w:val="24"/>
              </w:rPr>
            </w:pPr>
            <w:r>
              <w:rPr>
                <w:rFonts w:hint="eastAsia"/>
                <w:sz w:val="24"/>
                <w:szCs w:val="24"/>
              </w:rPr>
              <w:t>小写：          ；</w:t>
            </w:r>
          </w:p>
          <w:p>
            <w:pPr>
              <w:pStyle w:val="2"/>
              <w:ind w:left="0" w:leftChars="0" w:firstLine="0" w:firstLineChars="0"/>
              <w:rPr>
                <w:rFonts w:hint="default" w:eastAsia="宋体"/>
                <w:lang w:val="en-US" w:eastAsia="zh-CN"/>
              </w:rPr>
            </w:pPr>
            <w:r>
              <w:rPr>
                <w:rFonts w:hint="eastAsia" w:hAnsi="宋体"/>
                <w:b/>
                <w:sz w:val="24"/>
                <w:szCs w:val="24"/>
                <w:highlight w:val="none"/>
                <w:lang w:eastAsia="zh-CN"/>
              </w:rPr>
              <w:t>单位：元</w:t>
            </w:r>
            <w:r>
              <w:rPr>
                <w:rFonts w:hint="eastAsia" w:hAnsi="宋体"/>
                <w:b/>
                <w:sz w:val="24"/>
                <w:szCs w:val="24"/>
                <w:highlight w:val="none"/>
                <w:lang w:val="en-US" w:eastAsia="zh-CN"/>
              </w:rPr>
              <w:t>/份</w:t>
            </w:r>
          </w:p>
        </w:tc>
      </w:tr>
    </w:tbl>
    <w:p>
      <w:pPr>
        <w:spacing w:line="360" w:lineRule="auto"/>
        <w:ind w:left="0" w:leftChars="0" w:firstLine="0" w:firstLineChars="0"/>
        <w:rPr>
          <w:rFonts w:hint="eastAsia" w:ascii="宋体" w:hAnsi="宋体" w:eastAsia="宋体" w:cs="Times New Roman"/>
          <w:color w:val="auto"/>
          <w:spacing w:val="-6"/>
          <w:sz w:val="24"/>
          <w:highlight w:val="none"/>
          <w:lang w:val="en-US" w:eastAsia="zh-CN"/>
        </w:rPr>
      </w:pPr>
    </w:p>
    <w:p>
      <w:pPr>
        <w:spacing w:line="360" w:lineRule="auto"/>
        <w:rPr>
          <w:rFonts w:hint="eastAsia"/>
          <w:b/>
          <w:bCs/>
          <w:sz w:val="21"/>
          <w:szCs w:val="21"/>
        </w:rPr>
      </w:pPr>
      <w:r>
        <w:rPr>
          <w:rFonts w:hint="eastAsia" w:cs="Times New Roman"/>
          <w:b/>
          <w:bCs/>
          <w:color w:val="auto"/>
          <w:spacing w:val="-6"/>
          <w:sz w:val="21"/>
          <w:szCs w:val="21"/>
          <w:highlight w:val="none"/>
          <w:lang w:val="en-US" w:eastAsia="zh-CN"/>
        </w:rPr>
        <w:t>投标</w:t>
      </w:r>
      <w:r>
        <w:rPr>
          <w:rFonts w:hint="eastAsia" w:ascii="宋体" w:hAnsi="宋体" w:eastAsia="宋体" w:cs="Times New Roman"/>
          <w:b/>
          <w:bCs/>
          <w:color w:val="auto"/>
          <w:spacing w:val="-6"/>
          <w:sz w:val="21"/>
          <w:szCs w:val="21"/>
          <w:highlight w:val="none"/>
        </w:rPr>
        <w:t>多个标项的，</w:t>
      </w:r>
      <w:r>
        <w:rPr>
          <w:rFonts w:hint="eastAsia" w:ascii="宋体" w:hAnsi="宋体" w:eastAsia="宋体" w:cs="Times New Roman"/>
          <w:b/>
          <w:bCs/>
          <w:color w:val="auto"/>
          <w:spacing w:val="-6"/>
          <w:sz w:val="21"/>
          <w:szCs w:val="21"/>
          <w:highlight w:val="none"/>
          <w:lang w:val="en-US" w:eastAsia="zh-CN"/>
        </w:rPr>
        <w:t>成交</w:t>
      </w:r>
      <w:r>
        <w:rPr>
          <w:rFonts w:hint="eastAsia" w:ascii="宋体" w:hAnsi="宋体" w:eastAsia="宋体" w:cs="Times New Roman"/>
          <w:b/>
          <w:bCs/>
          <w:color w:val="auto"/>
          <w:spacing w:val="-6"/>
          <w:sz w:val="21"/>
          <w:szCs w:val="21"/>
          <w:highlight w:val="none"/>
        </w:rPr>
        <w:t>标项优选顺序（仅</w:t>
      </w:r>
      <w:r>
        <w:rPr>
          <w:rFonts w:hint="eastAsia" w:ascii="宋体" w:hAnsi="宋体" w:eastAsia="宋体" w:cs="Times New Roman"/>
          <w:b/>
          <w:bCs/>
          <w:color w:val="auto"/>
          <w:spacing w:val="-6"/>
          <w:sz w:val="21"/>
          <w:szCs w:val="21"/>
          <w:highlight w:val="none"/>
          <w:lang w:val="en-US" w:eastAsia="zh-CN"/>
        </w:rPr>
        <w:t>响应</w:t>
      </w:r>
      <w:r>
        <w:rPr>
          <w:rFonts w:hint="eastAsia" w:ascii="宋体" w:hAnsi="宋体" w:eastAsia="宋体" w:cs="Times New Roman"/>
          <w:b/>
          <w:bCs/>
          <w:color w:val="auto"/>
          <w:spacing w:val="-6"/>
          <w:sz w:val="21"/>
          <w:szCs w:val="21"/>
          <w:highlight w:val="none"/>
        </w:rPr>
        <w:t>一个标项的</w:t>
      </w:r>
      <w:r>
        <w:rPr>
          <w:rFonts w:hint="eastAsia" w:ascii="宋体" w:hAnsi="宋体" w:eastAsia="宋体" w:cs="Times New Roman"/>
          <w:b/>
          <w:bCs/>
          <w:color w:val="auto"/>
          <w:spacing w:val="-6"/>
          <w:sz w:val="21"/>
          <w:szCs w:val="21"/>
          <w:highlight w:val="none"/>
          <w:lang w:val="en-US" w:eastAsia="zh-CN"/>
        </w:rPr>
        <w:t>响应方</w:t>
      </w:r>
      <w:r>
        <w:rPr>
          <w:rFonts w:hint="eastAsia" w:ascii="宋体" w:hAnsi="宋体" w:eastAsia="宋体" w:cs="Times New Roman"/>
          <w:b/>
          <w:bCs/>
          <w:color w:val="auto"/>
          <w:spacing w:val="-6"/>
          <w:sz w:val="21"/>
          <w:szCs w:val="21"/>
          <w:highlight w:val="none"/>
        </w:rPr>
        <w:t>可以不填写下表）：</w:t>
      </w:r>
    </w:p>
    <w:tbl>
      <w:tblPr>
        <w:tblStyle w:val="4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2"/>
        <w:gridCol w:w="61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3512"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ascii="宋体" w:hAnsi="Times New Roman" w:eastAsia="宋体" w:cs="Times New Roman"/>
                <w:b/>
                <w:color w:val="auto"/>
                <w:spacing w:val="-6"/>
                <w:sz w:val="24"/>
                <w:highlight w:val="none"/>
              </w:rPr>
            </w:pPr>
            <w:r>
              <w:rPr>
                <w:rFonts w:hint="eastAsia" w:ascii="宋体" w:hAnsi="宋体" w:eastAsia="宋体" w:cs="Times New Roman"/>
                <w:b/>
                <w:color w:val="auto"/>
                <w:spacing w:val="-6"/>
                <w:sz w:val="24"/>
                <w:highlight w:val="none"/>
              </w:rPr>
              <w:t>优选顺序</w:t>
            </w:r>
          </w:p>
        </w:tc>
        <w:tc>
          <w:tcPr>
            <w:tcW w:w="6116"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ascii="宋体" w:hAnsi="Times New Roman" w:eastAsia="宋体" w:cs="Times New Roman"/>
                <w:b/>
                <w:color w:val="auto"/>
                <w:spacing w:val="-6"/>
                <w:sz w:val="24"/>
                <w:highlight w:val="none"/>
              </w:rPr>
            </w:pPr>
            <w:r>
              <w:rPr>
                <w:rFonts w:hint="eastAsia" w:ascii="宋体" w:hAnsi="宋体" w:eastAsia="宋体" w:cs="Times New Roman"/>
                <w:b/>
                <w:color w:val="auto"/>
                <w:spacing w:val="-6"/>
                <w:sz w:val="24"/>
                <w:highlight w:val="none"/>
              </w:rPr>
              <w:t>标项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3512"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ascii="宋体" w:hAnsi="Times New Roman" w:eastAsia="宋体" w:cs="Times New Roman"/>
                <w:color w:val="auto"/>
                <w:spacing w:val="-6"/>
                <w:sz w:val="24"/>
                <w:highlight w:val="none"/>
              </w:rPr>
            </w:pPr>
            <w:r>
              <w:rPr>
                <w:rFonts w:hint="eastAsia" w:ascii="宋体" w:hAnsi="宋体" w:eastAsia="宋体" w:cs="Times New Roman"/>
                <w:color w:val="auto"/>
                <w:spacing w:val="-6"/>
                <w:sz w:val="24"/>
                <w:highlight w:val="none"/>
              </w:rPr>
              <w:t>第一优选</w:t>
            </w:r>
          </w:p>
        </w:tc>
        <w:tc>
          <w:tcPr>
            <w:tcW w:w="6116"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ascii="宋体" w:hAnsi="Times New Roman" w:eastAsia="宋体" w:cs="Times New Roman"/>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3512"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ascii="宋体" w:hAnsi="Times New Roman" w:eastAsia="宋体" w:cs="Times New Roman"/>
                <w:color w:val="auto"/>
                <w:spacing w:val="-6"/>
                <w:sz w:val="24"/>
                <w:highlight w:val="none"/>
              </w:rPr>
            </w:pPr>
            <w:r>
              <w:rPr>
                <w:rFonts w:hint="eastAsia" w:ascii="宋体" w:hAnsi="宋体" w:eastAsia="宋体" w:cs="Times New Roman"/>
                <w:color w:val="auto"/>
                <w:spacing w:val="-6"/>
                <w:sz w:val="24"/>
                <w:highlight w:val="none"/>
              </w:rPr>
              <w:t>第二优选</w:t>
            </w:r>
          </w:p>
        </w:tc>
        <w:tc>
          <w:tcPr>
            <w:tcW w:w="6116"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ascii="宋体" w:hAnsi="Times New Roman" w:eastAsia="宋体" w:cs="Times New Roman"/>
                <w:color w:val="auto"/>
                <w:spacing w:val="-6"/>
                <w:sz w:val="24"/>
                <w:highlight w:val="none"/>
              </w:rPr>
            </w:pPr>
          </w:p>
        </w:tc>
      </w:tr>
    </w:tbl>
    <w:p>
      <w:pPr>
        <w:pStyle w:val="192"/>
        <w:ind w:left="0" w:leftChars="0" w:firstLine="0" w:firstLineChars="0"/>
        <w:rPr>
          <w:rFonts w:hint="eastAsia" w:ascii="宋体" w:hAnsi="宋体" w:eastAsia="宋体" w:cs="宋体"/>
          <w:b/>
          <w:bCs/>
          <w:highlight w:val="none"/>
        </w:rPr>
      </w:pPr>
    </w:p>
    <w:p>
      <w:pPr>
        <w:pStyle w:val="192"/>
        <w:ind w:left="0" w:leftChars="0" w:firstLine="0" w:firstLineChars="0"/>
        <w:rPr>
          <w:rFonts w:hint="eastAsia" w:ascii="宋体" w:hAnsi="宋体" w:eastAsia="宋体" w:cs="宋体"/>
          <w:b/>
          <w:bCs/>
          <w:highlight w:val="none"/>
        </w:rPr>
      </w:pPr>
      <w:r>
        <w:rPr>
          <w:rFonts w:hint="eastAsia" w:ascii="宋体" w:hAnsi="宋体" w:eastAsia="宋体" w:cs="宋体"/>
          <w:b/>
          <w:bCs/>
          <w:highlight w:val="none"/>
        </w:rPr>
        <w:t>本项目采用兼投不兼中原则（</w:t>
      </w:r>
      <w:r>
        <w:rPr>
          <w:rFonts w:hint="eastAsia" w:ascii="宋体" w:hAnsi="宋体" w:cs="宋体"/>
          <w:b/>
          <w:bCs/>
          <w:highlight w:val="none"/>
          <w:lang w:val="en-US" w:eastAsia="zh-CN"/>
        </w:rPr>
        <w:t>投标</w:t>
      </w:r>
      <w:r>
        <w:rPr>
          <w:rFonts w:hint="eastAsia" w:ascii="宋体" w:hAnsi="宋体" w:eastAsia="宋体" w:cs="宋体"/>
          <w:b/>
          <w:bCs/>
          <w:highlight w:val="none"/>
        </w:rPr>
        <w:t>方可投其中任一标项，也可两标项均投），</w:t>
      </w:r>
      <w:r>
        <w:rPr>
          <w:rFonts w:hint="eastAsia" w:ascii="宋体" w:hAnsi="宋体" w:cs="宋体"/>
          <w:b/>
          <w:bCs/>
          <w:highlight w:val="none"/>
          <w:lang w:val="en-US" w:eastAsia="zh-CN"/>
        </w:rPr>
        <w:t>投标</w:t>
      </w:r>
      <w:r>
        <w:rPr>
          <w:rFonts w:hint="eastAsia" w:ascii="宋体" w:hAnsi="宋体" w:eastAsia="宋体" w:cs="宋体"/>
          <w:b/>
          <w:bCs/>
          <w:highlight w:val="none"/>
        </w:rPr>
        <w:t>多个标项的供应商必须在</w:t>
      </w:r>
      <w:r>
        <w:rPr>
          <w:rFonts w:hint="eastAsia" w:ascii="宋体" w:hAnsi="宋体" w:cs="宋体"/>
          <w:b/>
          <w:bCs/>
          <w:highlight w:val="none"/>
          <w:lang w:val="en-US" w:eastAsia="zh-CN"/>
        </w:rPr>
        <w:t>投标</w:t>
      </w:r>
      <w:r>
        <w:rPr>
          <w:rFonts w:hint="eastAsia" w:ascii="宋体" w:hAnsi="宋体" w:eastAsia="宋体" w:cs="宋体"/>
          <w:b/>
          <w:bCs/>
          <w:highlight w:val="none"/>
        </w:rPr>
        <w:t>文件（</w:t>
      </w:r>
      <w:r>
        <w:rPr>
          <w:rFonts w:hint="eastAsia" w:ascii="宋体" w:hAnsi="宋体" w:cs="宋体"/>
          <w:b/>
          <w:bCs/>
          <w:highlight w:val="none"/>
          <w:lang w:val="en-US" w:eastAsia="zh-CN"/>
        </w:rPr>
        <w:t>开标</w:t>
      </w:r>
      <w:r>
        <w:rPr>
          <w:rFonts w:hint="eastAsia" w:ascii="宋体" w:hAnsi="宋体" w:eastAsia="宋体" w:cs="宋体"/>
          <w:b/>
          <w:bCs/>
          <w:highlight w:val="none"/>
        </w:rPr>
        <w:t>一览表）中明确其</w:t>
      </w:r>
      <w:r>
        <w:rPr>
          <w:rFonts w:hint="eastAsia" w:ascii="宋体" w:hAnsi="宋体" w:cs="宋体"/>
          <w:b/>
          <w:bCs/>
          <w:highlight w:val="none"/>
          <w:lang w:val="en-US" w:eastAsia="zh-CN"/>
        </w:rPr>
        <w:t>中标</w:t>
      </w:r>
      <w:r>
        <w:rPr>
          <w:rFonts w:hint="eastAsia" w:ascii="宋体" w:hAnsi="宋体" w:eastAsia="宋体" w:cs="宋体"/>
          <w:b/>
          <w:bCs/>
          <w:highlight w:val="none"/>
        </w:rPr>
        <w:t>标项的优选顺序，根据</w:t>
      </w:r>
      <w:r>
        <w:rPr>
          <w:rFonts w:hint="eastAsia" w:ascii="宋体" w:hAnsi="宋体" w:cs="宋体"/>
          <w:b/>
          <w:bCs/>
          <w:highlight w:val="none"/>
          <w:lang w:val="en-US" w:eastAsia="zh-CN"/>
        </w:rPr>
        <w:t>投标</w:t>
      </w:r>
      <w:r>
        <w:rPr>
          <w:rFonts w:hint="eastAsia" w:ascii="宋体" w:hAnsi="宋体" w:eastAsia="宋体" w:cs="宋体"/>
          <w:b/>
          <w:bCs/>
          <w:highlight w:val="none"/>
        </w:rPr>
        <w:t>方明确的优选顺序确定</w:t>
      </w:r>
      <w:r>
        <w:rPr>
          <w:rFonts w:hint="eastAsia" w:ascii="宋体" w:hAnsi="宋体" w:cs="宋体"/>
          <w:b/>
          <w:bCs/>
          <w:highlight w:val="none"/>
          <w:lang w:val="en-US" w:eastAsia="zh-CN"/>
        </w:rPr>
        <w:t>中标方</w:t>
      </w:r>
      <w:r>
        <w:rPr>
          <w:rFonts w:hint="eastAsia" w:ascii="宋体" w:hAnsi="宋体" w:eastAsia="宋体" w:cs="宋体"/>
          <w:b/>
          <w:bCs/>
          <w:highlight w:val="none"/>
        </w:rPr>
        <w:t>，每个</w:t>
      </w:r>
      <w:r>
        <w:rPr>
          <w:rFonts w:hint="eastAsia" w:ascii="宋体" w:hAnsi="宋体" w:cs="宋体"/>
          <w:b/>
          <w:bCs/>
          <w:highlight w:val="none"/>
          <w:lang w:val="en-US" w:eastAsia="zh-CN"/>
        </w:rPr>
        <w:t>投标</w:t>
      </w:r>
      <w:r>
        <w:rPr>
          <w:rFonts w:hint="eastAsia" w:ascii="宋体" w:hAnsi="宋体" w:eastAsia="宋体" w:cs="宋体"/>
          <w:b/>
          <w:bCs/>
          <w:highlight w:val="none"/>
        </w:rPr>
        <w:t>方只允许</w:t>
      </w:r>
      <w:r>
        <w:rPr>
          <w:rFonts w:hint="eastAsia" w:ascii="宋体" w:hAnsi="宋体" w:cs="宋体"/>
          <w:b/>
          <w:bCs/>
          <w:highlight w:val="none"/>
          <w:lang w:val="en-US" w:eastAsia="zh-CN"/>
        </w:rPr>
        <w:t>中标</w:t>
      </w:r>
      <w:r>
        <w:rPr>
          <w:rFonts w:hint="eastAsia" w:ascii="宋体" w:hAnsi="宋体" w:eastAsia="宋体" w:cs="宋体"/>
          <w:b/>
          <w:bCs/>
          <w:highlight w:val="none"/>
        </w:rPr>
        <w:t>一个标项。优选顺序是唯一的，</w:t>
      </w:r>
      <w:r>
        <w:rPr>
          <w:rFonts w:hint="eastAsia" w:ascii="宋体" w:hAnsi="宋体" w:cs="宋体"/>
          <w:b/>
          <w:bCs/>
          <w:highlight w:val="none"/>
          <w:lang w:val="en-US" w:eastAsia="zh-CN"/>
        </w:rPr>
        <w:t>投标</w:t>
      </w:r>
      <w:r>
        <w:rPr>
          <w:rFonts w:hint="eastAsia" w:ascii="宋体" w:hAnsi="宋体" w:eastAsia="宋体" w:cs="宋体"/>
          <w:b/>
          <w:bCs/>
          <w:highlight w:val="none"/>
        </w:rPr>
        <w:t>文件出现2种或2种以上优选顺序的</w:t>
      </w:r>
      <w:r>
        <w:rPr>
          <w:rFonts w:hint="eastAsia" w:ascii="宋体" w:hAnsi="宋体" w:cs="宋体"/>
          <w:b/>
          <w:bCs/>
          <w:highlight w:val="none"/>
          <w:lang w:val="en-US" w:eastAsia="zh-CN"/>
        </w:rPr>
        <w:t>投标</w:t>
      </w:r>
      <w:r>
        <w:rPr>
          <w:rFonts w:hint="eastAsia" w:ascii="宋体" w:hAnsi="宋体" w:eastAsia="宋体" w:cs="宋体"/>
          <w:b/>
          <w:bCs/>
          <w:highlight w:val="none"/>
        </w:rPr>
        <w:t>无效。</w:t>
      </w:r>
    </w:p>
    <w:p>
      <w:pPr>
        <w:rPr>
          <w:rFonts w:hint="eastAsia"/>
          <w:highlight w:val="none"/>
        </w:rPr>
      </w:pPr>
    </w:p>
    <w:p>
      <w:pPr>
        <w:pStyle w:val="192"/>
        <w:ind w:left="0"/>
        <w:rPr>
          <w:rFonts w:hint="eastAsia"/>
          <w:highlight w:val="none"/>
        </w:rPr>
      </w:pPr>
    </w:p>
    <w:p>
      <w:pPr>
        <w:spacing w:line="360" w:lineRule="auto"/>
        <w:jc w:val="right"/>
        <w:rPr>
          <w:rFonts w:hint="eastAsia" w:ascii="宋体" w:hAnsi="宋体"/>
          <w:spacing w:val="-6"/>
          <w:highlight w:val="none"/>
        </w:rPr>
      </w:pPr>
    </w:p>
    <w:p>
      <w:pPr>
        <w:spacing w:line="360" w:lineRule="auto"/>
        <w:jc w:val="left"/>
        <w:rPr>
          <w:rFonts w:hint="eastAsia"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说明:</w:t>
      </w:r>
      <w:r>
        <w:rPr>
          <w:rFonts w:hint="eastAsia" w:cs="Times New Roman"/>
          <w:b/>
          <w:color w:val="auto"/>
          <w:spacing w:val="-6"/>
          <w:sz w:val="21"/>
          <w:szCs w:val="21"/>
          <w:highlight w:val="none"/>
          <w:lang w:val="en-US" w:eastAsia="zh-CN"/>
        </w:rPr>
        <w:t>投标</w:t>
      </w:r>
      <w:r>
        <w:rPr>
          <w:rFonts w:hint="eastAsia" w:ascii="宋体" w:hAnsi="宋体" w:eastAsia="宋体" w:cs="Times New Roman"/>
          <w:b/>
          <w:color w:val="auto"/>
          <w:spacing w:val="-6"/>
          <w:sz w:val="21"/>
          <w:szCs w:val="21"/>
          <w:highlight w:val="none"/>
        </w:rPr>
        <w:t>价包括履行所有规定服务所产生的全部费用。</w:t>
      </w:r>
    </w:p>
    <w:p>
      <w:pPr>
        <w:spacing w:line="360" w:lineRule="auto"/>
        <w:ind w:right="-934" w:rightChars="-389"/>
        <w:rPr>
          <w:rFonts w:hint="eastAsia" w:ascii="宋体" w:hAnsi="宋体"/>
          <w:spacing w:val="-6"/>
          <w:highlight w:val="none"/>
        </w:rPr>
      </w:pPr>
    </w:p>
    <w:p>
      <w:pPr>
        <w:spacing w:line="360" w:lineRule="auto"/>
        <w:ind w:right="-934" w:rightChars="-389"/>
        <w:rPr>
          <w:rFonts w:hint="eastAsia" w:ascii="宋体" w:hAnsi="宋体"/>
          <w:spacing w:val="-6"/>
          <w:highlight w:val="none"/>
        </w:rPr>
      </w:pPr>
      <w:r>
        <w:rPr>
          <w:rFonts w:hint="eastAsia"/>
          <w:spacing w:val="-6"/>
          <w:highlight w:val="none"/>
          <w:lang w:val="en-US" w:eastAsia="zh-CN"/>
        </w:rPr>
        <w:t>投标</w:t>
      </w:r>
      <w:r>
        <w:rPr>
          <w:rFonts w:hint="eastAsia" w:ascii="宋体" w:hAnsi="宋体"/>
          <w:spacing w:val="-6"/>
          <w:highlight w:val="none"/>
        </w:rPr>
        <w:t>供应商名称（盖章）：</w:t>
      </w:r>
    </w:p>
    <w:p>
      <w:pPr>
        <w:spacing w:line="360" w:lineRule="auto"/>
        <w:ind w:right="-934" w:rightChars="-389"/>
        <w:rPr>
          <w:rFonts w:hint="eastAsia" w:ascii="宋体" w:hAnsi="宋体"/>
          <w:spacing w:val="-6"/>
          <w:highlight w:val="none"/>
        </w:rPr>
      </w:pPr>
      <w:r>
        <w:rPr>
          <w:rFonts w:hint="eastAsia" w:ascii="宋体" w:hAnsi="宋体"/>
          <w:spacing w:val="-6"/>
          <w:highlight w:val="none"/>
        </w:rPr>
        <w:t xml:space="preserve"> </w:t>
      </w:r>
    </w:p>
    <w:p>
      <w:pPr>
        <w:ind w:firstLine="480"/>
        <w:rPr>
          <w:color w:val="auto"/>
          <w:highlight w:val="none"/>
        </w:rPr>
      </w:pPr>
      <w:r>
        <w:rPr>
          <w:rFonts w:hint="eastAsia" w:ascii="宋体" w:hAnsi="宋体"/>
          <w:bCs/>
          <w:spacing w:val="-6"/>
          <w:highlight w:val="none"/>
        </w:rPr>
        <w:t>日期：    年  月  日</w:t>
      </w:r>
    </w:p>
    <w:p>
      <w:pPr>
        <w:ind w:firstLine="480"/>
        <w:rPr>
          <w:rFonts w:cs="宋体"/>
          <w:color w:val="auto"/>
          <w:highlight w:val="none"/>
          <w:lang w:val="zh-CN"/>
        </w:rPr>
      </w:pPr>
    </w:p>
    <w:p>
      <w:pPr>
        <w:ind w:left="0" w:leftChars="0" w:firstLine="0" w:firstLineChars="0"/>
        <w:rPr>
          <w:rFonts w:cs="宋体"/>
          <w:color w:val="auto"/>
          <w:highlight w:val="none"/>
        </w:rPr>
        <w:sectPr>
          <w:footerReference r:id="rId19" w:type="default"/>
          <w:pgSz w:w="11906" w:h="16838"/>
          <w:pgMar w:top="1440" w:right="1080" w:bottom="1440" w:left="1080" w:header="851" w:footer="992" w:gutter="0"/>
          <w:cols w:space="720" w:num="1"/>
          <w:docGrid w:linePitch="312" w:charSpace="0"/>
        </w:sectPr>
      </w:pPr>
    </w:p>
    <w:p>
      <w:pPr>
        <w:pStyle w:val="5"/>
        <w:numPr>
          <w:ilvl w:val="0"/>
          <w:numId w:val="45"/>
        </w:numPr>
        <w:rPr>
          <w:color w:val="auto"/>
          <w:highlight w:val="none"/>
        </w:rPr>
      </w:pPr>
      <w:bookmarkStart w:id="199" w:name="_Toc21349"/>
      <w:r>
        <w:rPr>
          <w:rFonts w:hint="eastAsia"/>
          <w:color w:val="auto"/>
          <w:highlight w:val="none"/>
        </w:rPr>
        <w:t>《中小企业声明函》、监狱企业资格证明材料、《残疾人福利性单位声明函》（如果有）</w:t>
      </w:r>
      <w:bookmarkEnd w:id="199"/>
    </w:p>
    <w:p>
      <w:pPr>
        <w:ind w:firstLine="480"/>
        <w:rPr>
          <w:rFonts w:cs="宋体"/>
          <w:color w:val="auto"/>
          <w:highlight w:val="none"/>
        </w:rPr>
      </w:pPr>
    </w:p>
    <w:p>
      <w:pPr>
        <w:ind w:firstLine="0" w:firstLineChars="0"/>
        <w:jc w:val="center"/>
        <w:rPr>
          <w:b/>
          <w:bCs/>
          <w:color w:val="auto"/>
          <w:sz w:val="32"/>
          <w:szCs w:val="32"/>
          <w:highlight w:val="none"/>
        </w:rPr>
      </w:pPr>
      <w:bookmarkStart w:id="200" w:name="_Toc20051"/>
      <w:r>
        <w:rPr>
          <w:rFonts w:hint="eastAsia"/>
          <w:b/>
          <w:bCs/>
          <w:color w:val="auto"/>
          <w:sz w:val="32"/>
          <w:szCs w:val="32"/>
          <w:highlight w:val="none"/>
        </w:rPr>
        <w:t>中小企业声明函</w:t>
      </w:r>
      <w:bookmarkEnd w:id="200"/>
    </w:p>
    <w:p>
      <w:pPr>
        <w:pStyle w:val="28"/>
        <w:spacing w:line="360" w:lineRule="auto"/>
        <w:ind w:left="169" w:hanging="169" w:hangingChars="74"/>
        <w:jc w:val="center"/>
        <w:rPr>
          <w:rFonts w:cs="宋体"/>
          <w:b/>
          <w:color w:val="auto"/>
          <w:spacing w:val="-6"/>
          <w:szCs w:val="24"/>
          <w:highlight w:val="none"/>
        </w:rPr>
      </w:pPr>
    </w:p>
    <w:p>
      <w:pPr>
        <w:spacing w:line="360" w:lineRule="auto"/>
        <w:ind w:firstLine="480"/>
        <w:rPr>
          <w:rFonts w:hint="eastAsia" w:ascii="宋体" w:hAnsi="宋体"/>
          <w:highlight w:val="none"/>
        </w:rPr>
      </w:pPr>
      <w:r>
        <w:rPr>
          <w:rFonts w:hint="eastAsia" w:ascii="宋体" w:hAnsi="宋体"/>
          <w:highlight w:val="none"/>
        </w:rPr>
        <w:t>本公司郑重声明，根据《政府采购促进中小企业发展管理办法》（财库﹝2020﹞46号）的规定，</w:t>
      </w:r>
      <w:r>
        <w:rPr>
          <w:rFonts w:ascii="宋体" w:hAnsi="宋体"/>
          <w:highlight w:val="none"/>
        </w:rPr>
        <w:t>本公司参加</w:t>
      </w:r>
      <w:r>
        <w:rPr>
          <w:rFonts w:ascii="宋体" w:hAnsi="宋体"/>
          <w:highlight w:val="none"/>
          <w:u w:val="single"/>
        </w:rPr>
        <w:t>（单位名称）</w:t>
      </w:r>
      <w:r>
        <w:rPr>
          <w:rFonts w:ascii="宋体" w:hAnsi="宋体"/>
          <w:highlight w:val="none"/>
        </w:rPr>
        <w:t>的</w:t>
      </w:r>
      <w:r>
        <w:rPr>
          <w:rFonts w:ascii="宋体" w:hAnsi="宋体"/>
          <w:highlight w:val="none"/>
          <w:u w:val="single"/>
        </w:rPr>
        <w:t>（项目名称）</w:t>
      </w:r>
      <w:r>
        <w:rPr>
          <w:rFonts w:ascii="宋体" w:hAnsi="宋体"/>
          <w:highlight w:val="none"/>
        </w:rPr>
        <w:t>采购活动，</w:t>
      </w:r>
      <w:r>
        <w:rPr>
          <w:rFonts w:hint="eastAsia" w:ascii="宋体" w:hAnsi="宋体"/>
          <w:b w:val="0"/>
          <w:bCs w:val="0"/>
          <w:highlight w:val="none"/>
        </w:rPr>
        <w:t>提供的</w:t>
      </w:r>
      <w:r>
        <w:rPr>
          <w:rFonts w:hint="eastAsia" w:ascii="宋体" w:hAnsi="宋体"/>
          <w:b w:val="0"/>
          <w:bCs w:val="0"/>
          <w:highlight w:val="none"/>
          <w:lang w:eastAsia="zh-CN"/>
        </w:rPr>
        <w:t>服务</w:t>
      </w:r>
      <w:r>
        <w:rPr>
          <w:rFonts w:hint="eastAsia" w:ascii="宋体" w:hAnsi="宋体"/>
          <w:b w:val="0"/>
          <w:bCs w:val="0"/>
          <w:highlight w:val="none"/>
        </w:rPr>
        <w:t>全部由符合政策要求的中小企业</w:t>
      </w:r>
      <w:r>
        <w:rPr>
          <w:rFonts w:hint="eastAsia" w:ascii="宋体" w:hAnsi="宋体"/>
          <w:b w:val="0"/>
          <w:bCs w:val="0"/>
          <w:highlight w:val="none"/>
          <w:lang w:eastAsia="zh-CN"/>
        </w:rPr>
        <w:t>服务</w:t>
      </w:r>
      <w:r>
        <w:rPr>
          <w:rFonts w:hint="eastAsia" w:ascii="宋体" w:hAnsi="宋体"/>
          <w:b w:val="0"/>
          <w:bCs w:val="0"/>
          <w:highlight w:val="none"/>
        </w:rPr>
        <w:t>。相关企业的具体情况如下：</w:t>
      </w:r>
    </w:p>
    <w:p>
      <w:pPr>
        <w:numPr>
          <w:ilvl w:val="0"/>
          <w:numId w:val="46"/>
        </w:numPr>
        <w:spacing w:line="360" w:lineRule="auto"/>
        <w:ind w:firstLine="480" w:firstLineChars="200"/>
        <w:rPr>
          <w:rFonts w:hint="eastAsia" w:ascii="宋体" w:hAnsi="宋体"/>
          <w:highlight w:val="none"/>
        </w:rPr>
      </w:pPr>
      <w:r>
        <w:rPr>
          <w:rFonts w:hint="eastAsia" w:ascii="宋体" w:hAnsi="宋体"/>
          <w:highlight w:val="none"/>
          <w:u w:val="single"/>
        </w:rPr>
        <w:t xml:space="preserve">       </w:t>
      </w:r>
      <w:r>
        <w:rPr>
          <w:rFonts w:hint="eastAsia" w:ascii="宋体" w:hAnsi="宋体"/>
          <w:highlight w:val="none"/>
        </w:rPr>
        <w:t>（</w:t>
      </w:r>
      <w:r>
        <w:rPr>
          <w:rFonts w:hint="eastAsia" w:ascii="宋体" w:hAnsi="宋体"/>
          <w:highlight w:val="none"/>
          <w:lang w:eastAsia="zh-CN"/>
        </w:rPr>
        <w:t>项目</w:t>
      </w:r>
      <w:r>
        <w:rPr>
          <w:rFonts w:hint="eastAsia" w:ascii="宋体" w:hAnsi="宋体"/>
          <w:highlight w:val="none"/>
        </w:rPr>
        <w:t>名称），属于</w:t>
      </w:r>
      <w:r>
        <w:rPr>
          <w:rFonts w:hint="eastAsia" w:ascii="宋体" w:hAnsi="宋体"/>
          <w:highlight w:val="none"/>
          <w:u w:val="single"/>
        </w:rPr>
        <w:t xml:space="preserve"> 租赁和商务服务业 </w:t>
      </w:r>
      <w:r>
        <w:rPr>
          <w:rFonts w:hint="eastAsia" w:ascii="宋体" w:hAnsi="宋体"/>
          <w:highlight w:val="none"/>
        </w:rPr>
        <w:t>（采购文件中明确的所属行业）；</w:t>
      </w:r>
      <w:r>
        <w:rPr>
          <w:rFonts w:hint="eastAsia" w:ascii="宋体" w:hAnsi="宋体"/>
          <w:highlight w:val="none"/>
          <w:lang w:eastAsia="zh-CN"/>
        </w:rPr>
        <w:t>服务</w:t>
      </w:r>
      <w:r>
        <w:rPr>
          <w:rFonts w:hint="eastAsia" w:ascii="宋体" w:hAnsi="宋体"/>
          <w:highlight w:val="none"/>
        </w:rPr>
        <w:t>商为</w:t>
      </w:r>
      <w:r>
        <w:rPr>
          <w:rFonts w:hint="eastAsia" w:ascii="宋体" w:hAnsi="宋体"/>
          <w:highlight w:val="none"/>
          <w:u w:val="single"/>
        </w:rPr>
        <w:t xml:space="preserve">          </w:t>
      </w:r>
      <w:r>
        <w:rPr>
          <w:rFonts w:hint="eastAsia" w:ascii="宋体" w:hAnsi="宋体"/>
          <w:highlight w:val="none"/>
        </w:rPr>
        <w:t>（企业名称），从业人员</w:t>
      </w:r>
      <w:r>
        <w:rPr>
          <w:rFonts w:hint="eastAsia" w:ascii="宋体" w:hAnsi="宋体"/>
          <w:highlight w:val="none"/>
          <w:u w:val="single"/>
        </w:rPr>
        <w:t xml:space="preserve">     </w:t>
      </w:r>
      <w:r>
        <w:rPr>
          <w:rFonts w:hint="eastAsia" w:ascii="宋体" w:hAnsi="宋体"/>
          <w:highlight w:val="none"/>
        </w:rPr>
        <w:t>人，营业收入为</w:t>
      </w:r>
      <w:r>
        <w:rPr>
          <w:rFonts w:hint="eastAsia" w:ascii="宋体" w:hAnsi="宋体"/>
          <w:highlight w:val="none"/>
          <w:u w:val="single"/>
        </w:rPr>
        <w:t xml:space="preserve">          </w:t>
      </w:r>
      <w:r>
        <w:rPr>
          <w:rFonts w:hint="eastAsia" w:ascii="宋体" w:hAnsi="宋体"/>
          <w:highlight w:val="none"/>
        </w:rPr>
        <w:t>万元，资产总额为</w:t>
      </w:r>
      <w:r>
        <w:rPr>
          <w:rFonts w:hint="eastAsia" w:ascii="宋体" w:hAnsi="宋体"/>
          <w:highlight w:val="none"/>
          <w:u w:val="single"/>
        </w:rPr>
        <w:t xml:space="preserve">          </w:t>
      </w:r>
      <w:r>
        <w:rPr>
          <w:rFonts w:hint="eastAsia" w:ascii="宋体" w:hAnsi="宋体"/>
          <w:highlight w:val="none"/>
        </w:rPr>
        <w:t>万元，属于</w:t>
      </w:r>
      <w:r>
        <w:rPr>
          <w:rFonts w:hint="eastAsia" w:ascii="宋体" w:hAnsi="宋体"/>
          <w:highlight w:val="none"/>
          <w:u w:val="single"/>
        </w:rPr>
        <w:t xml:space="preserve">          </w:t>
      </w:r>
      <w:r>
        <w:rPr>
          <w:rFonts w:hint="eastAsia" w:ascii="宋体" w:hAnsi="宋体"/>
          <w:highlight w:val="none"/>
        </w:rPr>
        <w:t>（中型企业、小型企业、微型企业）；</w:t>
      </w:r>
    </w:p>
    <w:p>
      <w:pPr>
        <w:spacing w:line="360" w:lineRule="auto"/>
        <w:ind w:firstLine="480" w:firstLineChars="200"/>
        <w:rPr>
          <w:rFonts w:hint="eastAsia" w:ascii="宋体" w:hAnsi="宋体"/>
          <w:highlight w:val="none"/>
        </w:rPr>
      </w:pPr>
      <w:r>
        <w:rPr>
          <w:rFonts w:hint="eastAsia" w:ascii="宋体" w:hAnsi="宋体"/>
          <w:highlight w:val="none"/>
        </w:rPr>
        <w:t>……</w:t>
      </w:r>
    </w:p>
    <w:p>
      <w:pPr>
        <w:pStyle w:val="48"/>
        <w:ind w:firstLine="480" w:firstLineChars="200"/>
        <w:rPr>
          <w:rFonts w:hint="eastAsia"/>
          <w:highlight w:val="none"/>
        </w:rPr>
      </w:pPr>
      <w:r>
        <w:rPr>
          <w:rFonts w:hint="eastAsia" w:ascii="宋体" w:hAnsi="宋体" w:eastAsia="宋体"/>
          <w:color w:val="auto"/>
          <w:highlight w:val="none"/>
        </w:rPr>
        <w:t>……</w:t>
      </w:r>
    </w:p>
    <w:p>
      <w:pPr>
        <w:spacing w:line="360" w:lineRule="auto"/>
        <w:ind w:firstLine="480" w:firstLineChars="200"/>
        <w:rPr>
          <w:rFonts w:hint="eastAsia" w:ascii="宋体" w:hAnsi="宋体"/>
          <w:highlight w:val="none"/>
        </w:rPr>
      </w:pPr>
      <w:r>
        <w:rPr>
          <w:rFonts w:hint="eastAsia" w:ascii="宋体" w:hAnsi="宋体"/>
          <w:highlight w:val="none"/>
        </w:rPr>
        <w:t>以上企业，不属于大企业的分支机构，不存在控股股东为大企业的情形，也不存在与大企业的负责人为同一人的情形。</w:t>
      </w:r>
    </w:p>
    <w:p>
      <w:pPr>
        <w:ind w:firstLine="480"/>
        <w:rPr>
          <w:rFonts w:cs="宋体"/>
          <w:color w:val="auto"/>
          <w:highlight w:val="none"/>
        </w:rPr>
      </w:pPr>
      <w:r>
        <w:rPr>
          <w:rFonts w:hint="eastAsia" w:ascii="宋体" w:hAnsi="宋体"/>
          <w:highlight w:val="none"/>
        </w:rPr>
        <w:t>本企业对上述声明内容的真实性负责。如有虚假，将依法承担相应责任。</w:t>
      </w:r>
    </w:p>
    <w:p>
      <w:pPr>
        <w:pStyle w:val="48"/>
        <w:rPr>
          <w:rFonts w:ascii="宋体" w:hAnsi="宋体" w:eastAsia="宋体" w:cs="宋体"/>
          <w:color w:val="auto"/>
          <w:highlight w:val="none"/>
        </w:rPr>
      </w:pPr>
    </w:p>
    <w:p>
      <w:pPr>
        <w:ind w:firstLine="480"/>
        <w:rPr>
          <w:color w:val="auto"/>
          <w:highlight w:val="none"/>
        </w:rPr>
      </w:pPr>
    </w:p>
    <w:p>
      <w:pPr>
        <w:ind w:firstLine="480"/>
        <w:rPr>
          <w:color w:val="auto"/>
          <w:highlight w:val="none"/>
        </w:rPr>
      </w:pPr>
      <w:r>
        <w:rPr>
          <w:rFonts w:hint="eastAsia"/>
          <w:color w:val="auto"/>
          <w:highlight w:val="none"/>
        </w:rPr>
        <w:t xml:space="preserve">企业名称（盖章）：                                 </w:t>
      </w:r>
    </w:p>
    <w:p>
      <w:pPr>
        <w:ind w:firstLine="480"/>
        <w:rPr>
          <w:color w:val="auto"/>
          <w:highlight w:val="none"/>
        </w:rPr>
      </w:pPr>
      <w:r>
        <w:rPr>
          <w:rFonts w:hint="eastAsia"/>
          <w:color w:val="auto"/>
          <w:highlight w:val="none"/>
        </w:rPr>
        <w:t xml:space="preserve">日期：     年     月   日 </w:t>
      </w:r>
    </w:p>
    <w:p>
      <w:pPr>
        <w:ind w:firstLine="482"/>
        <w:rPr>
          <w:b/>
          <w:bCs/>
          <w:color w:val="auto"/>
          <w:highlight w:val="none"/>
        </w:rPr>
      </w:pPr>
    </w:p>
    <w:p>
      <w:pPr>
        <w:ind w:firstLine="482"/>
        <w:rPr>
          <w:b/>
          <w:bCs/>
          <w:color w:val="auto"/>
          <w:highlight w:val="none"/>
        </w:rPr>
      </w:pPr>
      <w:r>
        <w:rPr>
          <w:rFonts w:hint="eastAsia"/>
          <w:b/>
          <w:bCs/>
          <w:color w:val="auto"/>
          <w:highlight w:val="none"/>
        </w:rPr>
        <w:t>说明：</w:t>
      </w:r>
    </w:p>
    <w:p>
      <w:pPr>
        <w:ind w:firstLine="482"/>
        <w:rPr>
          <w:b/>
          <w:bCs/>
          <w:color w:val="auto"/>
          <w:highlight w:val="none"/>
        </w:rPr>
      </w:pPr>
      <w:r>
        <w:rPr>
          <w:rFonts w:hint="eastAsia"/>
          <w:b/>
          <w:bCs/>
          <w:color w:val="auto"/>
          <w:highlight w:val="none"/>
        </w:rPr>
        <w:t>1.从业人员、营业收入、资产总额填报上一年度数据，无上一年度数据的新成立企业可不填报，数据未填写的视为未提供《中小企业声明函》；</w:t>
      </w:r>
    </w:p>
    <w:p>
      <w:pPr>
        <w:ind w:firstLine="482"/>
        <w:rPr>
          <w:b/>
          <w:bCs/>
          <w:color w:val="auto"/>
          <w:highlight w:val="none"/>
        </w:rPr>
      </w:pPr>
      <w:r>
        <w:rPr>
          <w:rFonts w:hint="eastAsia"/>
          <w:b/>
          <w:bCs/>
          <w:color w:val="auto"/>
          <w:highlight w:val="none"/>
        </w:rPr>
        <w:t>2.中标人为中小企业的，《中小企业声明函》随中标结果同时公告。</w:t>
      </w:r>
    </w:p>
    <w:p>
      <w:pPr>
        <w:ind w:firstLine="480"/>
        <w:rPr>
          <w:rFonts w:cs="宋体"/>
          <w:color w:val="auto"/>
          <w:highlight w:val="none"/>
        </w:rPr>
      </w:pPr>
    </w:p>
    <w:p>
      <w:pPr>
        <w:ind w:firstLine="480"/>
        <w:jc w:val="center"/>
        <w:rPr>
          <w:rFonts w:cs="宋体"/>
          <w:color w:val="auto"/>
          <w:highlight w:val="none"/>
        </w:rPr>
        <w:sectPr>
          <w:pgSz w:w="11907" w:h="16840"/>
          <w:pgMar w:top="1440" w:right="1080" w:bottom="1440" w:left="1080" w:header="850" w:footer="992" w:gutter="0"/>
          <w:cols w:space="720" w:num="1"/>
          <w:docGrid w:linePitch="286" w:charSpace="0"/>
        </w:sectPr>
      </w:pPr>
    </w:p>
    <w:tbl>
      <w:tblPr>
        <w:tblStyle w:val="40"/>
        <w:tblW w:w="4587" w:type="pct"/>
        <w:jc w:val="center"/>
        <w:tblLayout w:type="autofit"/>
        <w:tblCellMar>
          <w:top w:w="0" w:type="dxa"/>
          <w:left w:w="108" w:type="dxa"/>
          <w:bottom w:w="0" w:type="dxa"/>
          <w:right w:w="108" w:type="dxa"/>
        </w:tblCellMar>
      </w:tblPr>
      <w:tblGrid>
        <w:gridCol w:w="2118"/>
        <w:gridCol w:w="1246"/>
        <w:gridCol w:w="1495"/>
        <w:gridCol w:w="1470"/>
        <w:gridCol w:w="1101"/>
        <w:gridCol w:w="1501"/>
        <w:gridCol w:w="1498"/>
        <w:gridCol w:w="1164"/>
        <w:gridCol w:w="1017"/>
        <w:gridCol w:w="1056"/>
      </w:tblGrid>
      <w:tr>
        <w:tblPrEx>
          <w:tblCellMar>
            <w:top w:w="0" w:type="dxa"/>
            <w:left w:w="108" w:type="dxa"/>
            <w:bottom w:w="0" w:type="dxa"/>
            <w:right w:w="108" w:type="dxa"/>
          </w:tblCellMar>
        </w:tblPrEx>
        <w:trPr>
          <w:trHeight w:val="420" w:hRule="atLeast"/>
          <w:jc w:val="center"/>
        </w:trPr>
        <w:tc>
          <w:tcPr>
            <w:tcW w:w="5000" w:type="pct"/>
            <w:gridSpan w:val="10"/>
            <w:tcBorders>
              <w:top w:val="nil"/>
              <w:left w:val="nil"/>
              <w:bottom w:val="nil"/>
              <w:right w:val="nil"/>
            </w:tcBorders>
            <w:vAlign w:val="bottom"/>
          </w:tcPr>
          <w:p>
            <w:pPr>
              <w:ind w:firstLine="0" w:firstLineChars="0"/>
              <w:jc w:val="center"/>
              <w:rPr>
                <w:rFonts w:cs="宋体"/>
                <w:b/>
                <w:bCs/>
                <w:color w:val="auto"/>
                <w:sz w:val="16"/>
                <w:szCs w:val="16"/>
                <w:highlight w:val="none"/>
              </w:rPr>
            </w:pPr>
            <w:r>
              <w:rPr>
                <w:rFonts w:hint="eastAsia" w:cs="宋体"/>
                <w:b/>
                <w:bCs/>
                <w:color w:val="auto"/>
                <w:sz w:val="21"/>
                <w:szCs w:val="21"/>
                <w:highlight w:val="none"/>
              </w:rPr>
              <w:t>中小微行业划型标准规定（根据工信部联企业〔2011〕300号制定）</w:t>
            </w:r>
          </w:p>
        </w:tc>
      </w:tr>
      <w:tr>
        <w:tblPrEx>
          <w:tblCellMar>
            <w:top w:w="0" w:type="dxa"/>
            <w:left w:w="108" w:type="dxa"/>
            <w:bottom w:w="0" w:type="dxa"/>
            <w:right w:w="108" w:type="dxa"/>
          </w:tblCellMar>
        </w:tblPrEx>
        <w:trPr>
          <w:trHeight w:val="465" w:hRule="atLeast"/>
          <w:jc w:val="center"/>
        </w:trPr>
        <w:tc>
          <w:tcPr>
            <w:tcW w:w="775" w:type="pct"/>
            <w:vMerge w:val="restart"/>
            <w:tcBorders>
              <w:top w:val="single" w:color="auto" w:sz="8" w:space="0"/>
              <w:left w:val="single" w:color="auto" w:sz="8" w:space="0"/>
              <w:bottom w:val="single" w:color="000000" w:sz="4" w:space="0"/>
              <w:right w:val="single" w:color="auto" w:sz="8" w:space="0"/>
            </w:tcBorders>
            <w:vAlign w:val="center"/>
          </w:tcPr>
          <w:p>
            <w:pPr>
              <w:ind w:firstLine="0" w:firstLineChars="0"/>
              <w:jc w:val="center"/>
              <w:rPr>
                <w:rFonts w:cs="宋体"/>
                <w:b/>
                <w:bCs/>
                <w:color w:val="auto"/>
                <w:sz w:val="16"/>
                <w:szCs w:val="16"/>
                <w:highlight w:val="none"/>
              </w:rPr>
            </w:pPr>
            <w:r>
              <w:rPr>
                <w:rFonts w:hint="eastAsia" w:cs="宋体"/>
                <w:b/>
                <w:bCs/>
                <w:color w:val="auto"/>
                <w:sz w:val="16"/>
                <w:szCs w:val="16"/>
                <w:highlight w:val="none"/>
              </w:rPr>
              <w:t>行业</w:t>
            </w:r>
          </w:p>
        </w:tc>
        <w:tc>
          <w:tcPr>
            <w:tcW w:w="1541" w:type="pct"/>
            <w:gridSpan w:val="3"/>
            <w:tcBorders>
              <w:top w:val="single" w:color="auto" w:sz="8" w:space="0"/>
              <w:left w:val="nil"/>
              <w:bottom w:val="single" w:color="auto" w:sz="4" w:space="0"/>
              <w:right w:val="single" w:color="000000" w:sz="8" w:space="0"/>
            </w:tcBorders>
            <w:vAlign w:val="bottom"/>
          </w:tcPr>
          <w:p>
            <w:pPr>
              <w:ind w:firstLine="0" w:firstLineChars="0"/>
              <w:jc w:val="center"/>
              <w:rPr>
                <w:rFonts w:cs="宋体"/>
                <w:b/>
                <w:bCs/>
                <w:color w:val="auto"/>
                <w:sz w:val="16"/>
                <w:szCs w:val="16"/>
                <w:highlight w:val="none"/>
              </w:rPr>
            </w:pPr>
            <w:r>
              <w:rPr>
                <w:rFonts w:hint="eastAsia" w:cs="宋体"/>
                <w:b/>
                <w:bCs/>
                <w:color w:val="auto"/>
                <w:sz w:val="16"/>
                <w:szCs w:val="16"/>
                <w:highlight w:val="none"/>
              </w:rPr>
              <w:t>中型企业</w:t>
            </w:r>
          </w:p>
        </w:tc>
        <w:tc>
          <w:tcPr>
            <w:tcW w:w="1500" w:type="pct"/>
            <w:gridSpan w:val="3"/>
            <w:tcBorders>
              <w:top w:val="single" w:color="auto" w:sz="8" w:space="0"/>
              <w:left w:val="nil"/>
              <w:bottom w:val="single" w:color="auto" w:sz="4" w:space="0"/>
              <w:right w:val="single" w:color="000000" w:sz="8" w:space="0"/>
            </w:tcBorders>
            <w:vAlign w:val="bottom"/>
          </w:tcPr>
          <w:p>
            <w:pPr>
              <w:ind w:firstLine="0" w:firstLineChars="0"/>
              <w:jc w:val="center"/>
              <w:rPr>
                <w:rFonts w:cs="宋体"/>
                <w:b/>
                <w:bCs/>
                <w:color w:val="auto"/>
                <w:sz w:val="16"/>
                <w:szCs w:val="16"/>
                <w:highlight w:val="none"/>
              </w:rPr>
            </w:pPr>
            <w:r>
              <w:rPr>
                <w:rFonts w:hint="eastAsia" w:cs="宋体"/>
                <w:b/>
                <w:bCs/>
                <w:color w:val="auto"/>
                <w:sz w:val="16"/>
                <w:szCs w:val="16"/>
                <w:highlight w:val="none"/>
              </w:rPr>
              <w:t>小型企业</w:t>
            </w:r>
          </w:p>
        </w:tc>
        <w:tc>
          <w:tcPr>
            <w:tcW w:w="1182" w:type="pct"/>
            <w:gridSpan w:val="3"/>
            <w:tcBorders>
              <w:top w:val="single" w:color="auto" w:sz="8" w:space="0"/>
              <w:left w:val="nil"/>
              <w:bottom w:val="single" w:color="auto" w:sz="4" w:space="0"/>
              <w:right w:val="single" w:color="000000" w:sz="8" w:space="0"/>
            </w:tcBorders>
            <w:vAlign w:val="bottom"/>
          </w:tcPr>
          <w:p>
            <w:pPr>
              <w:ind w:firstLine="0" w:firstLineChars="0"/>
              <w:jc w:val="center"/>
              <w:rPr>
                <w:rFonts w:cs="宋体"/>
                <w:b/>
                <w:bCs/>
                <w:color w:val="auto"/>
                <w:sz w:val="16"/>
                <w:szCs w:val="16"/>
                <w:highlight w:val="none"/>
              </w:rPr>
            </w:pPr>
            <w:r>
              <w:rPr>
                <w:rFonts w:hint="eastAsia" w:cs="宋体"/>
                <w:b/>
                <w:bCs/>
                <w:color w:val="auto"/>
                <w:sz w:val="16"/>
                <w:szCs w:val="16"/>
                <w:highlight w:val="none"/>
              </w:rPr>
              <w:t>微型企业</w:t>
            </w:r>
          </w:p>
        </w:tc>
      </w:tr>
      <w:tr>
        <w:tblPrEx>
          <w:tblCellMar>
            <w:top w:w="0" w:type="dxa"/>
            <w:left w:w="108" w:type="dxa"/>
            <w:bottom w:w="0" w:type="dxa"/>
            <w:right w:w="108" w:type="dxa"/>
          </w:tblCellMar>
        </w:tblPrEx>
        <w:trPr>
          <w:trHeight w:val="566" w:hRule="atLeast"/>
          <w:jc w:val="center"/>
        </w:trPr>
        <w:tc>
          <w:tcPr>
            <w:tcW w:w="775" w:type="pct"/>
            <w:vMerge w:val="continue"/>
            <w:tcBorders>
              <w:top w:val="single" w:color="auto" w:sz="8" w:space="0"/>
              <w:left w:val="single" w:color="auto" w:sz="8" w:space="0"/>
              <w:bottom w:val="single" w:color="000000" w:sz="4" w:space="0"/>
              <w:right w:val="single" w:color="auto" w:sz="8" w:space="0"/>
            </w:tcBorders>
            <w:vAlign w:val="center"/>
          </w:tcPr>
          <w:p>
            <w:pPr>
              <w:ind w:firstLine="0" w:firstLineChars="0"/>
              <w:rPr>
                <w:rFonts w:cs="宋体"/>
                <w:b/>
                <w:bCs/>
                <w:color w:val="auto"/>
                <w:sz w:val="16"/>
                <w:szCs w:val="16"/>
                <w:highlight w:val="none"/>
              </w:rPr>
            </w:pPr>
          </w:p>
        </w:tc>
        <w:tc>
          <w:tcPr>
            <w:tcW w:w="45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从业人员X（人）</w:t>
            </w:r>
          </w:p>
        </w:tc>
        <w:tc>
          <w:tcPr>
            <w:tcW w:w="547"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营业收入Y</w:t>
            </w:r>
          </w:p>
          <w:p>
            <w:pPr>
              <w:ind w:firstLine="0" w:firstLineChars="0"/>
              <w:jc w:val="center"/>
              <w:rPr>
                <w:rFonts w:cs="宋体"/>
                <w:color w:val="auto"/>
                <w:sz w:val="16"/>
                <w:szCs w:val="16"/>
                <w:highlight w:val="none"/>
              </w:rPr>
            </w:pPr>
            <w:r>
              <w:rPr>
                <w:rFonts w:hint="eastAsia" w:cs="宋体"/>
                <w:color w:val="auto"/>
                <w:sz w:val="16"/>
                <w:szCs w:val="16"/>
                <w:highlight w:val="none"/>
              </w:rPr>
              <w:t>（万元）</w:t>
            </w:r>
          </w:p>
        </w:tc>
        <w:tc>
          <w:tcPr>
            <w:tcW w:w="53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资产总额Z</w:t>
            </w:r>
          </w:p>
          <w:p>
            <w:pPr>
              <w:ind w:firstLine="0" w:firstLineChars="0"/>
              <w:jc w:val="center"/>
              <w:rPr>
                <w:rFonts w:cs="宋体"/>
                <w:color w:val="auto"/>
                <w:sz w:val="16"/>
                <w:szCs w:val="16"/>
                <w:highlight w:val="none"/>
              </w:rPr>
            </w:pPr>
            <w:r>
              <w:rPr>
                <w:rFonts w:hint="eastAsia" w:cs="宋体"/>
                <w:color w:val="auto"/>
                <w:sz w:val="16"/>
                <w:szCs w:val="16"/>
                <w:highlight w:val="none"/>
              </w:rPr>
              <w:t>（万元）</w:t>
            </w:r>
          </w:p>
        </w:tc>
        <w:tc>
          <w:tcPr>
            <w:tcW w:w="403"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从业人员X（人）</w:t>
            </w:r>
          </w:p>
        </w:tc>
        <w:tc>
          <w:tcPr>
            <w:tcW w:w="549"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营业收入Y</w:t>
            </w:r>
          </w:p>
          <w:p>
            <w:pPr>
              <w:ind w:firstLine="0" w:firstLineChars="0"/>
              <w:jc w:val="center"/>
              <w:rPr>
                <w:rFonts w:cs="宋体"/>
                <w:color w:val="auto"/>
                <w:sz w:val="16"/>
                <w:szCs w:val="16"/>
                <w:highlight w:val="none"/>
              </w:rPr>
            </w:pPr>
            <w:r>
              <w:rPr>
                <w:rFonts w:hint="eastAsia" w:cs="宋体"/>
                <w:color w:val="auto"/>
                <w:sz w:val="16"/>
                <w:szCs w:val="16"/>
                <w:highlight w:val="none"/>
              </w:rPr>
              <w:t>（万元）</w:t>
            </w:r>
          </w:p>
        </w:tc>
        <w:tc>
          <w:tcPr>
            <w:tcW w:w="54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资产总额Z</w:t>
            </w:r>
          </w:p>
          <w:p>
            <w:pPr>
              <w:ind w:firstLine="0" w:firstLineChars="0"/>
              <w:jc w:val="center"/>
              <w:rPr>
                <w:rFonts w:cs="宋体"/>
                <w:color w:val="auto"/>
                <w:sz w:val="16"/>
                <w:szCs w:val="16"/>
                <w:highlight w:val="none"/>
              </w:rPr>
            </w:pPr>
            <w:r>
              <w:rPr>
                <w:rFonts w:hint="eastAsia" w:cs="宋体"/>
                <w:color w:val="auto"/>
                <w:sz w:val="16"/>
                <w:szCs w:val="16"/>
                <w:highlight w:val="none"/>
              </w:rPr>
              <w:t>（万元）</w:t>
            </w:r>
          </w:p>
        </w:tc>
        <w:tc>
          <w:tcPr>
            <w:tcW w:w="42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从业人员X（人）</w:t>
            </w:r>
          </w:p>
        </w:tc>
        <w:tc>
          <w:tcPr>
            <w:tcW w:w="372"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营业收入Y（万元）</w:t>
            </w:r>
          </w:p>
        </w:tc>
        <w:tc>
          <w:tcPr>
            <w:tcW w:w="384"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r>
      <w:tr>
        <w:tblPrEx>
          <w:tblCellMar>
            <w:top w:w="0" w:type="dxa"/>
            <w:left w:w="108" w:type="dxa"/>
            <w:bottom w:w="0" w:type="dxa"/>
            <w:right w:w="108" w:type="dxa"/>
          </w:tblCellMar>
        </w:tblPrEx>
        <w:trPr>
          <w:trHeight w:val="360" w:hRule="atLeast"/>
          <w:jc w:val="center"/>
        </w:trPr>
        <w:tc>
          <w:tcPr>
            <w:tcW w:w="775" w:type="pct"/>
            <w:tcBorders>
              <w:top w:val="nil"/>
              <w:left w:val="single" w:color="auto" w:sz="8" w:space="0"/>
              <w:bottom w:val="single" w:color="auto" w:sz="4" w:space="0"/>
              <w:right w:val="single" w:color="auto" w:sz="8" w:space="0"/>
            </w:tcBorders>
            <w:vAlign w:val="bottom"/>
          </w:tcPr>
          <w:p>
            <w:pPr>
              <w:ind w:firstLine="0" w:firstLineChars="0"/>
              <w:rPr>
                <w:rFonts w:cs="宋体"/>
                <w:color w:val="auto"/>
                <w:sz w:val="16"/>
                <w:szCs w:val="16"/>
                <w:highlight w:val="none"/>
              </w:rPr>
            </w:pPr>
            <w:r>
              <w:rPr>
                <w:rFonts w:hint="eastAsia" w:cs="宋体"/>
                <w:color w:val="auto"/>
                <w:sz w:val="16"/>
                <w:szCs w:val="16"/>
                <w:highlight w:val="none"/>
              </w:rPr>
              <w:t>1、农林牧渔业</w:t>
            </w:r>
          </w:p>
        </w:tc>
        <w:tc>
          <w:tcPr>
            <w:tcW w:w="45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p>
        </w:tc>
        <w:tc>
          <w:tcPr>
            <w:tcW w:w="547"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500≤Y＜20000</w:t>
            </w:r>
          </w:p>
        </w:tc>
        <w:tc>
          <w:tcPr>
            <w:tcW w:w="53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03"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p>
        </w:tc>
        <w:tc>
          <w:tcPr>
            <w:tcW w:w="549"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50≤Y＜500</w:t>
            </w:r>
          </w:p>
        </w:tc>
        <w:tc>
          <w:tcPr>
            <w:tcW w:w="54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2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p>
        </w:tc>
        <w:tc>
          <w:tcPr>
            <w:tcW w:w="372"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Y＜50</w:t>
            </w:r>
          </w:p>
        </w:tc>
        <w:tc>
          <w:tcPr>
            <w:tcW w:w="384"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r>
      <w:tr>
        <w:tblPrEx>
          <w:tblCellMar>
            <w:top w:w="0" w:type="dxa"/>
            <w:left w:w="108" w:type="dxa"/>
            <w:bottom w:w="0" w:type="dxa"/>
            <w:right w:w="108" w:type="dxa"/>
          </w:tblCellMar>
        </w:tblPrEx>
        <w:trPr>
          <w:trHeight w:val="360" w:hRule="atLeast"/>
          <w:jc w:val="center"/>
        </w:trPr>
        <w:tc>
          <w:tcPr>
            <w:tcW w:w="775" w:type="pct"/>
            <w:tcBorders>
              <w:top w:val="nil"/>
              <w:left w:val="single" w:color="auto" w:sz="8" w:space="0"/>
              <w:bottom w:val="single" w:color="auto" w:sz="4" w:space="0"/>
              <w:right w:val="single" w:color="auto" w:sz="8" w:space="0"/>
            </w:tcBorders>
            <w:vAlign w:val="bottom"/>
          </w:tcPr>
          <w:p>
            <w:pPr>
              <w:ind w:firstLine="0" w:firstLineChars="0"/>
              <w:rPr>
                <w:rFonts w:cs="宋体"/>
                <w:color w:val="auto"/>
                <w:sz w:val="16"/>
                <w:szCs w:val="16"/>
                <w:highlight w:val="none"/>
              </w:rPr>
            </w:pPr>
            <w:r>
              <w:rPr>
                <w:rFonts w:hint="eastAsia" w:cs="宋体"/>
                <w:color w:val="auto"/>
                <w:sz w:val="16"/>
                <w:szCs w:val="16"/>
                <w:highlight w:val="none"/>
              </w:rPr>
              <w:t>2、工业</w:t>
            </w:r>
          </w:p>
        </w:tc>
        <w:tc>
          <w:tcPr>
            <w:tcW w:w="45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300≤X＜1000</w:t>
            </w:r>
          </w:p>
        </w:tc>
        <w:tc>
          <w:tcPr>
            <w:tcW w:w="547"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2000≤Y＜40000</w:t>
            </w:r>
          </w:p>
        </w:tc>
        <w:tc>
          <w:tcPr>
            <w:tcW w:w="53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03"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20≤X＜300</w:t>
            </w:r>
          </w:p>
        </w:tc>
        <w:tc>
          <w:tcPr>
            <w:tcW w:w="549"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300≤Y＜2000</w:t>
            </w:r>
          </w:p>
        </w:tc>
        <w:tc>
          <w:tcPr>
            <w:tcW w:w="54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2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X＜20</w:t>
            </w:r>
          </w:p>
        </w:tc>
        <w:tc>
          <w:tcPr>
            <w:tcW w:w="372"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Y＜300</w:t>
            </w:r>
          </w:p>
        </w:tc>
        <w:tc>
          <w:tcPr>
            <w:tcW w:w="384"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r>
      <w:tr>
        <w:tblPrEx>
          <w:tblCellMar>
            <w:top w:w="0" w:type="dxa"/>
            <w:left w:w="108" w:type="dxa"/>
            <w:bottom w:w="0" w:type="dxa"/>
            <w:right w:w="108" w:type="dxa"/>
          </w:tblCellMar>
        </w:tblPrEx>
        <w:trPr>
          <w:trHeight w:val="360" w:hRule="atLeast"/>
          <w:jc w:val="center"/>
        </w:trPr>
        <w:tc>
          <w:tcPr>
            <w:tcW w:w="775" w:type="pct"/>
            <w:tcBorders>
              <w:top w:val="nil"/>
              <w:left w:val="single" w:color="auto" w:sz="8" w:space="0"/>
              <w:bottom w:val="single" w:color="auto" w:sz="4" w:space="0"/>
              <w:right w:val="single" w:color="auto" w:sz="8" w:space="0"/>
            </w:tcBorders>
            <w:vAlign w:val="bottom"/>
          </w:tcPr>
          <w:p>
            <w:pPr>
              <w:ind w:firstLine="0" w:firstLineChars="0"/>
              <w:rPr>
                <w:rFonts w:cs="宋体"/>
                <w:color w:val="auto"/>
                <w:sz w:val="16"/>
                <w:szCs w:val="16"/>
                <w:highlight w:val="none"/>
              </w:rPr>
            </w:pPr>
            <w:r>
              <w:rPr>
                <w:rFonts w:hint="eastAsia" w:cs="宋体"/>
                <w:color w:val="auto"/>
                <w:sz w:val="16"/>
                <w:szCs w:val="16"/>
                <w:highlight w:val="none"/>
              </w:rPr>
              <w:t>3、建筑业</w:t>
            </w:r>
          </w:p>
        </w:tc>
        <w:tc>
          <w:tcPr>
            <w:tcW w:w="45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p>
        </w:tc>
        <w:tc>
          <w:tcPr>
            <w:tcW w:w="547"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6000≤Y＜80000</w:t>
            </w:r>
          </w:p>
        </w:tc>
        <w:tc>
          <w:tcPr>
            <w:tcW w:w="53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5000≤Z＜80000</w:t>
            </w:r>
          </w:p>
        </w:tc>
        <w:tc>
          <w:tcPr>
            <w:tcW w:w="403"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p>
        </w:tc>
        <w:tc>
          <w:tcPr>
            <w:tcW w:w="549"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300≤Y＜6000</w:t>
            </w:r>
          </w:p>
        </w:tc>
        <w:tc>
          <w:tcPr>
            <w:tcW w:w="54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300≤Z＜5000</w:t>
            </w:r>
          </w:p>
        </w:tc>
        <w:tc>
          <w:tcPr>
            <w:tcW w:w="42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p>
        </w:tc>
        <w:tc>
          <w:tcPr>
            <w:tcW w:w="372"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Y＜300</w:t>
            </w:r>
          </w:p>
        </w:tc>
        <w:tc>
          <w:tcPr>
            <w:tcW w:w="384"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Z＜300</w:t>
            </w:r>
          </w:p>
        </w:tc>
      </w:tr>
      <w:tr>
        <w:tblPrEx>
          <w:tblCellMar>
            <w:top w:w="0" w:type="dxa"/>
            <w:left w:w="108" w:type="dxa"/>
            <w:bottom w:w="0" w:type="dxa"/>
            <w:right w:w="108" w:type="dxa"/>
          </w:tblCellMar>
        </w:tblPrEx>
        <w:trPr>
          <w:trHeight w:val="360" w:hRule="atLeast"/>
          <w:jc w:val="center"/>
        </w:trPr>
        <w:tc>
          <w:tcPr>
            <w:tcW w:w="775" w:type="pct"/>
            <w:tcBorders>
              <w:top w:val="nil"/>
              <w:left w:val="single" w:color="auto" w:sz="8" w:space="0"/>
              <w:bottom w:val="single" w:color="auto" w:sz="4" w:space="0"/>
              <w:right w:val="single" w:color="auto" w:sz="8" w:space="0"/>
            </w:tcBorders>
            <w:vAlign w:val="bottom"/>
          </w:tcPr>
          <w:p>
            <w:pPr>
              <w:ind w:firstLine="0" w:firstLineChars="0"/>
              <w:rPr>
                <w:rFonts w:cs="宋体"/>
                <w:color w:val="auto"/>
                <w:sz w:val="16"/>
                <w:szCs w:val="16"/>
                <w:highlight w:val="none"/>
              </w:rPr>
            </w:pPr>
            <w:r>
              <w:rPr>
                <w:rFonts w:hint="eastAsia" w:cs="宋体"/>
                <w:color w:val="auto"/>
                <w:sz w:val="16"/>
                <w:szCs w:val="16"/>
                <w:highlight w:val="none"/>
              </w:rPr>
              <w:t>4、批发业</w:t>
            </w:r>
          </w:p>
        </w:tc>
        <w:tc>
          <w:tcPr>
            <w:tcW w:w="45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20≤X＜200</w:t>
            </w:r>
          </w:p>
        </w:tc>
        <w:tc>
          <w:tcPr>
            <w:tcW w:w="547"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5000≤Y＜40000</w:t>
            </w:r>
          </w:p>
        </w:tc>
        <w:tc>
          <w:tcPr>
            <w:tcW w:w="53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03"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5≤X＜20</w:t>
            </w:r>
          </w:p>
        </w:tc>
        <w:tc>
          <w:tcPr>
            <w:tcW w:w="549"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1000≤Y＜5000</w:t>
            </w:r>
          </w:p>
        </w:tc>
        <w:tc>
          <w:tcPr>
            <w:tcW w:w="54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2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X＜5</w:t>
            </w:r>
          </w:p>
        </w:tc>
        <w:tc>
          <w:tcPr>
            <w:tcW w:w="372"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Y＜1000</w:t>
            </w:r>
          </w:p>
        </w:tc>
        <w:tc>
          <w:tcPr>
            <w:tcW w:w="384"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r>
      <w:tr>
        <w:tblPrEx>
          <w:tblCellMar>
            <w:top w:w="0" w:type="dxa"/>
            <w:left w:w="108" w:type="dxa"/>
            <w:bottom w:w="0" w:type="dxa"/>
            <w:right w:w="108" w:type="dxa"/>
          </w:tblCellMar>
        </w:tblPrEx>
        <w:trPr>
          <w:trHeight w:val="360" w:hRule="atLeast"/>
          <w:jc w:val="center"/>
        </w:trPr>
        <w:tc>
          <w:tcPr>
            <w:tcW w:w="775" w:type="pct"/>
            <w:tcBorders>
              <w:top w:val="nil"/>
              <w:left w:val="single" w:color="auto" w:sz="8" w:space="0"/>
              <w:bottom w:val="single" w:color="auto" w:sz="4" w:space="0"/>
              <w:right w:val="single" w:color="auto" w:sz="8" w:space="0"/>
            </w:tcBorders>
            <w:vAlign w:val="bottom"/>
          </w:tcPr>
          <w:p>
            <w:pPr>
              <w:ind w:firstLine="0" w:firstLineChars="0"/>
              <w:rPr>
                <w:rFonts w:cs="宋体"/>
                <w:color w:val="auto"/>
                <w:sz w:val="16"/>
                <w:szCs w:val="16"/>
                <w:highlight w:val="none"/>
              </w:rPr>
            </w:pPr>
            <w:r>
              <w:rPr>
                <w:rFonts w:hint="eastAsia" w:cs="宋体"/>
                <w:color w:val="auto"/>
                <w:sz w:val="16"/>
                <w:szCs w:val="16"/>
                <w:highlight w:val="none"/>
              </w:rPr>
              <w:t>5、零售业</w:t>
            </w:r>
          </w:p>
        </w:tc>
        <w:tc>
          <w:tcPr>
            <w:tcW w:w="45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50≤X＜300</w:t>
            </w:r>
          </w:p>
        </w:tc>
        <w:tc>
          <w:tcPr>
            <w:tcW w:w="547"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500≤Y＜20000</w:t>
            </w:r>
          </w:p>
        </w:tc>
        <w:tc>
          <w:tcPr>
            <w:tcW w:w="53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03"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10≤X＜50</w:t>
            </w:r>
          </w:p>
        </w:tc>
        <w:tc>
          <w:tcPr>
            <w:tcW w:w="549"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100≤Y＜500</w:t>
            </w:r>
          </w:p>
        </w:tc>
        <w:tc>
          <w:tcPr>
            <w:tcW w:w="54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2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X＜10</w:t>
            </w:r>
          </w:p>
        </w:tc>
        <w:tc>
          <w:tcPr>
            <w:tcW w:w="372"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Y＜100</w:t>
            </w:r>
          </w:p>
        </w:tc>
        <w:tc>
          <w:tcPr>
            <w:tcW w:w="384"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r>
      <w:tr>
        <w:tblPrEx>
          <w:tblCellMar>
            <w:top w:w="0" w:type="dxa"/>
            <w:left w:w="108" w:type="dxa"/>
            <w:bottom w:w="0" w:type="dxa"/>
            <w:right w:w="108" w:type="dxa"/>
          </w:tblCellMar>
        </w:tblPrEx>
        <w:trPr>
          <w:trHeight w:val="360" w:hRule="atLeast"/>
          <w:jc w:val="center"/>
        </w:trPr>
        <w:tc>
          <w:tcPr>
            <w:tcW w:w="775" w:type="pct"/>
            <w:tcBorders>
              <w:top w:val="nil"/>
              <w:left w:val="single" w:color="auto" w:sz="8" w:space="0"/>
              <w:bottom w:val="single" w:color="auto" w:sz="4" w:space="0"/>
              <w:right w:val="single" w:color="auto" w:sz="8" w:space="0"/>
            </w:tcBorders>
            <w:vAlign w:val="bottom"/>
          </w:tcPr>
          <w:p>
            <w:pPr>
              <w:ind w:firstLine="0" w:firstLineChars="0"/>
              <w:rPr>
                <w:rFonts w:cs="宋体"/>
                <w:color w:val="auto"/>
                <w:sz w:val="16"/>
                <w:szCs w:val="16"/>
                <w:highlight w:val="none"/>
              </w:rPr>
            </w:pPr>
            <w:r>
              <w:rPr>
                <w:rFonts w:hint="eastAsia" w:cs="宋体"/>
                <w:color w:val="auto"/>
                <w:sz w:val="16"/>
                <w:szCs w:val="16"/>
                <w:highlight w:val="none"/>
              </w:rPr>
              <w:t>6、交通运输业</w:t>
            </w:r>
          </w:p>
        </w:tc>
        <w:tc>
          <w:tcPr>
            <w:tcW w:w="45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300≤X＜1000</w:t>
            </w:r>
          </w:p>
        </w:tc>
        <w:tc>
          <w:tcPr>
            <w:tcW w:w="547"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3000≤Y＜30000</w:t>
            </w:r>
          </w:p>
        </w:tc>
        <w:tc>
          <w:tcPr>
            <w:tcW w:w="53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03"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20≤X＜300</w:t>
            </w:r>
          </w:p>
        </w:tc>
        <w:tc>
          <w:tcPr>
            <w:tcW w:w="549"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200≤Y＜3000</w:t>
            </w:r>
          </w:p>
        </w:tc>
        <w:tc>
          <w:tcPr>
            <w:tcW w:w="54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2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X＜20</w:t>
            </w:r>
          </w:p>
        </w:tc>
        <w:tc>
          <w:tcPr>
            <w:tcW w:w="372"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V＜200</w:t>
            </w:r>
          </w:p>
        </w:tc>
        <w:tc>
          <w:tcPr>
            <w:tcW w:w="384"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r>
      <w:tr>
        <w:tblPrEx>
          <w:tblCellMar>
            <w:top w:w="0" w:type="dxa"/>
            <w:left w:w="108" w:type="dxa"/>
            <w:bottom w:w="0" w:type="dxa"/>
            <w:right w:w="108" w:type="dxa"/>
          </w:tblCellMar>
        </w:tblPrEx>
        <w:trPr>
          <w:trHeight w:val="360" w:hRule="atLeast"/>
          <w:jc w:val="center"/>
        </w:trPr>
        <w:tc>
          <w:tcPr>
            <w:tcW w:w="775" w:type="pct"/>
            <w:tcBorders>
              <w:top w:val="nil"/>
              <w:left w:val="single" w:color="auto" w:sz="8" w:space="0"/>
              <w:bottom w:val="single" w:color="auto" w:sz="4" w:space="0"/>
              <w:right w:val="single" w:color="auto" w:sz="8" w:space="0"/>
            </w:tcBorders>
            <w:vAlign w:val="bottom"/>
          </w:tcPr>
          <w:p>
            <w:pPr>
              <w:ind w:firstLine="0" w:firstLineChars="0"/>
              <w:rPr>
                <w:rFonts w:cs="宋体"/>
                <w:color w:val="auto"/>
                <w:sz w:val="16"/>
                <w:szCs w:val="16"/>
                <w:highlight w:val="none"/>
              </w:rPr>
            </w:pPr>
            <w:r>
              <w:rPr>
                <w:rFonts w:hint="eastAsia" w:cs="宋体"/>
                <w:color w:val="auto"/>
                <w:sz w:val="16"/>
                <w:szCs w:val="16"/>
                <w:highlight w:val="none"/>
              </w:rPr>
              <w:t>7、仓储业</w:t>
            </w:r>
          </w:p>
        </w:tc>
        <w:tc>
          <w:tcPr>
            <w:tcW w:w="45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100≤X＜200</w:t>
            </w:r>
          </w:p>
        </w:tc>
        <w:tc>
          <w:tcPr>
            <w:tcW w:w="547"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1000≤Y＜30000</w:t>
            </w:r>
          </w:p>
        </w:tc>
        <w:tc>
          <w:tcPr>
            <w:tcW w:w="53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03"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20≤X＜100</w:t>
            </w:r>
          </w:p>
        </w:tc>
        <w:tc>
          <w:tcPr>
            <w:tcW w:w="549"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100≤Y＜1000</w:t>
            </w:r>
          </w:p>
        </w:tc>
        <w:tc>
          <w:tcPr>
            <w:tcW w:w="54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2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X＜20</w:t>
            </w:r>
          </w:p>
        </w:tc>
        <w:tc>
          <w:tcPr>
            <w:tcW w:w="372"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Y＜100</w:t>
            </w:r>
          </w:p>
        </w:tc>
        <w:tc>
          <w:tcPr>
            <w:tcW w:w="384"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r>
      <w:tr>
        <w:tblPrEx>
          <w:tblCellMar>
            <w:top w:w="0" w:type="dxa"/>
            <w:left w:w="108" w:type="dxa"/>
            <w:bottom w:w="0" w:type="dxa"/>
            <w:right w:w="108" w:type="dxa"/>
          </w:tblCellMar>
        </w:tblPrEx>
        <w:trPr>
          <w:trHeight w:val="360" w:hRule="atLeast"/>
          <w:jc w:val="center"/>
        </w:trPr>
        <w:tc>
          <w:tcPr>
            <w:tcW w:w="775" w:type="pct"/>
            <w:tcBorders>
              <w:top w:val="nil"/>
              <w:left w:val="single" w:color="auto" w:sz="8" w:space="0"/>
              <w:bottom w:val="single" w:color="auto" w:sz="4" w:space="0"/>
              <w:right w:val="single" w:color="auto" w:sz="8" w:space="0"/>
            </w:tcBorders>
            <w:vAlign w:val="bottom"/>
          </w:tcPr>
          <w:p>
            <w:pPr>
              <w:ind w:firstLine="0" w:firstLineChars="0"/>
              <w:rPr>
                <w:rFonts w:cs="宋体"/>
                <w:color w:val="auto"/>
                <w:sz w:val="16"/>
                <w:szCs w:val="16"/>
                <w:highlight w:val="none"/>
              </w:rPr>
            </w:pPr>
            <w:r>
              <w:rPr>
                <w:rFonts w:hint="eastAsia" w:cs="宋体"/>
                <w:color w:val="auto"/>
                <w:sz w:val="16"/>
                <w:szCs w:val="16"/>
                <w:highlight w:val="none"/>
              </w:rPr>
              <w:t>8、邮政业</w:t>
            </w:r>
          </w:p>
        </w:tc>
        <w:tc>
          <w:tcPr>
            <w:tcW w:w="45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300≤X＜1000</w:t>
            </w:r>
          </w:p>
        </w:tc>
        <w:tc>
          <w:tcPr>
            <w:tcW w:w="547"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2000≤Y＜30000</w:t>
            </w:r>
          </w:p>
        </w:tc>
        <w:tc>
          <w:tcPr>
            <w:tcW w:w="53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03"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20≤X＜300</w:t>
            </w:r>
          </w:p>
        </w:tc>
        <w:tc>
          <w:tcPr>
            <w:tcW w:w="549"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100≤Y＜2000</w:t>
            </w:r>
          </w:p>
        </w:tc>
        <w:tc>
          <w:tcPr>
            <w:tcW w:w="54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2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X＜20</w:t>
            </w:r>
          </w:p>
        </w:tc>
        <w:tc>
          <w:tcPr>
            <w:tcW w:w="372"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Y＜100</w:t>
            </w:r>
          </w:p>
        </w:tc>
        <w:tc>
          <w:tcPr>
            <w:tcW w:w="384"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r>
      <w:tr>
        <w:tblPrEx>
          <w:tblCellMar>
            <w:top w:w="0" w:type="dxa"/>
            <w:left w:w="108" w:type="dxa"/>
            <w:bottom w:w="0" w:type="dxa"/>
            <w:right w:w="108" w:type="dxa"/>
          </w:tblCellMar>
        </w:tblPrEx>
        <w:trPr>
          <w:trHeight w:val="360" w:hRule="atLeast"/>
          <w:jc w:val="center"/>
        </w:trPr>
        <w:tc>
          <w:tcPr>
            <w:tcW w:w="775" w:type="pct"/>
            <w:tcBorders>
              <w:top w:val="nil"/>
              <w:left w:val="single" w:color="auto" w:sz="8" w:space="0"/>
              <w:bottom w:val="single" w:color="auto" w:sz="4" w:space="0"/>
              <w:right w:val="single" w:color="auto" w:sz="8" w:space="0"/>
            </w:tcBorders>
            <w:vAlign w:val="bottom"/>
          </w:tcPr>
          <w:p>
            <w:pPr>
              <w:ind w:firstLine="0" w:firstLineChars="0"/>
              <w:rPr>
                <w:rFonts w:cs="宋体"/>
                <w:color w:val="auto"/>
                <w:sz w:val="16"/>
                <w:szCs w:val="16"/>
                <w:highlight w:val="none"/>
              </w:rPr>
            </w:pPr>
            <w:r>
              <w:rPr>
                <w:rFonts w:hint="eastAsia" w:cs="宋体"/>
                <w:color w:val="auto"/>
                <w:sz w:val="16"/>
                <w:szCs w:val="16"/>
                <w:highlight w:val="none"/>
              </w:rPr>
              <w:t>9、住宿业</w:t>
            </w:r>
          </w:p>
        </w:tc>
        <w:tc>
          <w:tcPr>
            <w:tcW w:w="45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100≤X＜300</w:t>
            </w:r>
          </w:p>
        </w:tc>
        <w:tc>
          <w:tcPr>
            <w:tcW w:w="547"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2000≤Y＜10000</w:t>
            </w:r>
          </w:p>
        </w:tc>
        <w:tc>
          <w:tcPr>
            <w:tcW w:w="53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03"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10≤X＜100</w:t>
            </w:r>
          </w:p>
        </w:tc>
        <w:tc>
          <w:tcPr>
            <w:tcW w:w="549"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100≤Y＜2000</w:t>
            </w:r>
          </w:p>
        </w:tc>
        <w:tc>
          <w:tcPr>
            <w:tcW w:w="54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2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X＜10</w:t>
            </w:r>
          </w:p>
        </w:tc>
        <w:tc>
          <w:tcPr>
            <w:tcW w:w="372"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Y＜100</w:t>
            </w:r>
          </w:p>
        </w:tc>
        <w:tc>
          <w:tcPr>
            <w:tcW w:w="384"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r>
      <w:tr>
        <w:tblPrEx>
          <w:tblCellMar>
            <w:top w:w="0" w:type="dxa"/>
            <w:left w:w="108" w:type="dxa"/>
            <w:bottom w:w="0" w:type="dxa"/>
            <w:right w:w="108" w:type="dxa"/>
          </w:tblCellMar>
        </w:tblPrEx>
        <w:trPr>
          <w:trHeight w:val="360" w:hRule="atLeast"/>
          <w:jc w:val="center"/>
        </w:trPr>
        <w:tc>
          <w:tcPr>
            <w:tcW w:w="775" w:type="pct"/>
            <w:tcBorders>
              <w:top w:val="nil"/>
              <w:left w:val="single" w:color="auto" w:sz="8" w:space="0"/>
              <w:bottom w:val="single" w:color="auto" w:sz="4" w:space="0"/>
              <w:right w:val="single" w:color="auto" w:sz="8" w:space="0"/>
            </w:tcBorders>
            <w:vAlign w:val="bottom"/>
          </w:tcPr>
          <w:p>
            <w:pPr>
              <w:ind w:firstLine="0" w:firstLineChars="0"/>
              <w:rPr>
                <w:rFonts w:cs="宋体"/>
                <w:color w:val="auto"/>
                <w:sz w:val="16"/>
                <w:szCs w:val="16"/>
                <w:highlight w:val="none"/>
              </w:rPr>
            </w:pPr>
            <w:r>
              <w:rPr>
                <w:rFonts w:hint="eastAsia" w:cs="宋体"/>
                <w:color w:val="auto"/>
                <w:sz w:val="16"/>
                <w:szCs w:val="16"/>
                <w:highlight w:val="none"/>
              </w:rPr>
              <w:t>10、餐饮业</w:t>
            </w:r>
          </w:p>
        </w:tc>
        <w:tc>
          <w:tcPr>
            <w:tcW w:w="45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100≤X＜300</w:t>
            </w:r>
          </w:p>
        </w:tc>
        <w:tc>
          <w:tcPr>
            <w:tcW w:w="547"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2000≤Y＜10000</w:t>
            </w:r>
          </w:p>
        </w:tc>
        <w:tc>
          <w:tcPr>
            <w:tcW w:w="53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03"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10≤X＜100</w:t>
            </w:r>
          </w:p>
        </w:tc>
        <w:tc>
          <w:tcPr>
            <w:tcW w:w="549"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100≤Y＜2000</w:t>
            </w:r>
          </w:p>
        </w:tc>
        <w:tc>
          <w:tcPr>
            <w:tcW w:w="54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2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X＜10</w:t>
            </w:r>
          </w:p>
        </w:tc>
        <w:tc>
          <w:tcPr>
            <w:tcW w:w="372"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V＜100</w:t>
            </w:r>
          </w:p>
        </w:tc>
        <w:tc>
          <w:tcPr>
            <w:tcW w:w="384"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r>
      <w:tr>
        <w:tblPrEx>
          <w:tblCellMar>
            <w:top w:w="0" w:type="dxa"/>
            <w:left w:w="108" w:type="dxa"/>
            <w:bottom w:w="0" w:type="dxa"/>
            <w:right w:w="108" w:type="dxa"/>
          </w:tblCellMar>
        </w:tblPrEx>
        <w:trPr>
          <w:trHeight w:val="360" w:hRule="atLeast"/>
          <w:jc w:val="center"/>
        </w:trPr>
        <w:tc>
          <w:tcPr>
            <w:tcW w:w="775" w:type="pct"/>
            <w:tcBorders>
              <w:top w:val="nil"/>
              <w:left w:val="single" w:color="auto" w:sz="8" w:space="0"/>
              <w:bottom w:val="single" w:color="auto" w:sz="4" w:space="0"/>
              <w:right w:val="single" w:color="auto" w:sz="8" w:space="0"/>
            </w:tcBorders>
            <w:vAlign w:val="bottom"/>
          </w:tcPr>
          <w:p>
            <w:pPr>
              <w:ind w:firstLine="0" w:firstLineChars="0"/>
              <w:rPr>
                <w:rFonts w:cs="宋体"/>
                <w:color w:val="auto"/>
                <w:sz w:val="16"/>
                <w:szCs w:val="16"/>
                <w:highlight w:val="none"/>
              </w:rPr>
            </w:pPr>
            <w:r>
              <w:rPr>
                <w:rFonts w:hint="eastAsia" w:cs="宋体"/>
                <w:color w:val="auto"/>
                <w:sz w:val="16"/>
                <w:szCs w:val="16"/>
                <w:highlight w:val="none"/>
              </w:rPr>
              <w:t>11、信息传输业</w:t>
            </w:r>
          </w:p>
        </w:tc>
        <w:tc>
          <w:tcPr>
            <w:tcW w:w="45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100≤X＜2000</w:t>
            </w:r>
          </w:p>
        </w:tc>
        <w:tc>
          <w:tcPr>
            <w:tcW w:w="547"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1000≤Y＜100000</w:t>
            </w:r>
          </w:p>
        </w:tc>
        <w:tc>
          <w:tcPr>
            <w:tcW w:w="53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03"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10≤X＜100</w:t>
            </w:r>
          </w:p>
        </w:tc>
        <w:tc>
          <w:tcPr>
            <w:tcW w:w="549"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100≤Y＜1000</w:t>
            </w:r>
          </w:p>
        </w:tc>
        <w:tc>
          <w:tcPr>
            <w:tcW w:w="54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2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X＜10</w:t>
            </w:r>
          </w:p>
        </w:tc>
        <w:tc>
          <w:tcPr>
            <w:tcW w:w="372"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Y＜100</w:t>
            </w:r>
          </w:p>
        </w:tc>
        <w:tc>
          <w:tcPr>
            <w:tcW w:w="384"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r>
      <w:tr>
        <w:tblPrEx>
          <w:tblCellMar>
            <w:top w:w="0" w:type="dxa"/>
            <w:left w:w="108" w:type="dxa"/>
            <w:bottom w:w="0" w:type="dxa"/>
            <w:right w:w="108" w:type="dxa"/>
          </w:tblCellMar>
        </w:tblPrEx>
        <w:trPr>
          <w:trHeight w:val="360" w:hRule="atLeast"/>
          <w:jc w:val="center"/>
        </w:trPr>
        <w:tc>
          <w:tcPr>
            <w:tcW w:w="775" w:type="pct"/>
            <w:tcBorders>
              <w:top w:val="nil"/>
              <w:left w:val="single" w:color="auto" w:sz="8" w:space="0"/>
              <w:bottom w:val="single" w:color="auto" w:sz="4" w:space="0"/>
              <w:right w:val="single" w:color="auto" w:sz="8" w:space="0"/>
            </w:tcBorders>
            <w:vAlign w:val="bottom"/>
          </w:tcPr>
          <w:p>
            <w:pPr>
              <w:ind w:firstLine="0" w:firstLineChars="0"/>
              <w:rPr>
                <w:rFonts w:cs="宋体"/>
                <w:color w:val="auto"/>
                <w:sz w:val="16"/>
                <w:szCs w:val="16"/>
                <w:highlight w:val="none"/>
              </w:rPr>
            </w:pPr>
            <w:r>
              <w:rPr>
                <w:rFonts w:hint="eastAsia" w:cs="宋体"/>
                <w:color w:val="auto"/>
                <w:sz w:val="16"/>
                <w:szCs w:val="16"/>
                <w:highlight w:val="none"/>
              </w:rPr>
              <w:t>12、软件和信息技术服务业</w:t>
            </w:r>
          </w:p>
        </w:tc>
        <w:tc>
          <w:tcPr>
            <w:tcW w:w="45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100≤X＜300</w:t>
            </w:r>
          </w:p>
        </w:tc>
        <w:tc>
          <w:tcPr>
            <w:tcW w:w="547"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1000≤Y＜10000</w:t>
            </w:r>
          </w:p>
        </w:tc>
        <w:tc>
          <w:tcPr>
            <w:tcW w:w="53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03"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10≤X＜100</w:t>
            </w:r>
          </w:p>
        </w:tc>
        <w:tc>
          <w:tcPr>
            <w:tcW w:w="549"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50≤Y＜1000</w:t>
            </w:r>
          </w:p>
        </w:tc>
        <w:tc>
          <w:tcPr>
            <w:tcW w:w="54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2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X＜10</w:t>
            </w:r>
          </w:p>
        </w:tc>
        <w:tc>
          <w:tcPr>
            <w:tcW w:w="372"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Y＜50</w:t>
            </w:r>
          </w:p>
        </w:tc>
        <w:tc>
          <w:tcPr>
            <w:tcW w:w="384"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r>
      <w:tr>
        <w:tblPrEx>
          <w:tblCellMar>
            <w:top w:w="0" w:type="dxa"/>
            <w:left w:w="108" w:type="dxa"/>
            <w:bottom w:w="0" w:type="dxa"/>
            <w:right w:w="108" w:type="dxa"/>
          </w:tblCellMar>
        </w:tblPrEx>
        <w:trPr>
          <w:trHeight w:val="360" w:hRule="atLeast"/>
          <w:jc w:val="center"/>
        </w:trPr>
        <w:tc>
          <w:tcPr>
            <w:tcW w:w="775" w:type="pct"/>
            <w:tcBorders>
              <w:top w:val="nil"/>
              <w:left w:val="single" w:color="auto" w:sz="8" w:space="0"/>
              <w:bottom w:val="single" w:color="auto" w:sz="4" w:space="0"/>
              <w:right w:val="single" w:color="auto" w:sz="8" w:space="0"/>
            </w:tcBorders>
            <w:vAlign w:val="bottom"/>
          </w:tcPr>
          <w:p>
            <w:pPr>
              <w:ind w:firstLine="0" w:firstLineChars="0"/>
              <w:rPr>
                <w:rFonts w:cs="宋体"/>
                <w:color w:val="auto"/>
                <w:sz w:val="16"/>
                <w:szCs w:val="16"/>
                <w:highlight w:val="none"/>
              </w:rPr>
            </w:pPr>
            <w:r>
              <w:rPr>
                <w:rFonts w:hint="eastAsia" w:cs="宋体"/>
                <w:color w:val="auto"/>
                <w:sz w:val="16"/>
                <w:szCs w:val="16"/>
                <w:highlight w:val="none"/>
              </w:rPr>
              <w:t>13、房地产开发经营</w:t>
            </w:r>
          </w:p>
        </w:tc>
        <w:tc>
          <w:tcPr>
            <w:tcW w:w="45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p>
        </w:tc>
        <w:tc>
          <w:tcPr>
            <w:tcW w:w="547"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1000≤Y＜200000</w:t>
            </w:r>
          </w:p>
        </w:tc>
        <w:tc>
          <w:tcPr>
            <w:tcW w:w="53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5000≤Z＜10000</w:t>
            </w:r>
          </w:p>
        </w:tc>
        <w:tc>
          <w:tcPr>
            <w:tcW w:w="403"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p>
        </w:tc>
        <w:tc>
          <w:tcPr>
            <w:tcW w:w="549"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100≤Y＜1000</w:t>
            </w:r>
          </w:p>
        </w:tc>
        <w:tc>
          <w:tcPr>
            <w:tcW w:w="54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2000≤Z＜5000</w:t>
            </w:r>
          </w:p>
        </w:tc>
        <w:tc>
          <w:tcPr>
            <w:tcW w:w="42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p>
        </w:tc>
        <w:tc>
          <w:tcPr>
            <w:tcW w:w="372"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Y＜100</w:t>
            </w:r>
          </w:p>
        </w:tc>
        <w:tc>
          <w:tcPr>
            <w:tcW w:w="384"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Z＜2000</w:t>
            </w:r>
          </w:p>
        </w:tc>
      </w:tr>
      <w:tr>
        <w:tblPrEx>
          <w:tblCellMar>
            <w:top w:w="0" w:type="dxa"/>
            <w:left w:w="108" w:type="dxa"/>
            <w:bottom w:w="0" w:type="dxa"/>
            <w:right w:w="108" w:type="dxa"/>
          </w:tblCellMar>
        </w:tblPrEx>
        <w:trPr>
          <w:trHeight w:val="360" w:hRule="atLeast"/>
          <w:jc w:val="center"/>
        </w:trPr>
        <w:tc>
          <w:tcPr>
            <w:tcW w:w="775" w:type="pct"/>
            <w:tcBorders>
              <w:top w:val="nil"/>
              <w:left w:val="single" w:color="auto" w:sz="8" w:space="0"/>
              <w:bottom w:val="single" w:color="auto" w:sz="4" w:space="0"/>
              <w:right w:val="single" w:color="auto" w:sz="8" w:space="0"/>
            </w:tcBorders>
            <w:vAlign w:val="bottom"/>
          </w:tcPr>
          <w:p>
            <w:pPr>
              <w:ind w:firstLine="0" w:firstLineChars="0"/>
              <w:rPr>
                <w:rFonts w:cs="宋体"/>
                <w:color w:val="auto"/>
                <w:sz w:val="16"/>
                <w:szCs w:val="16"/>
                <w:highlight w:val="none"/>
              </w:rPr>
            </w:pPr>
            <w:r>
              <w:rPr>
                <w:rFonts w:hint="eastAsia" w:cs="宋体"/>
                <w:color w:val="auto"/>
                <w:sz w:val="16"/>
                <w:szCs w:val="16"/>
                <w:highlight w:val="none"/>
              </w:rPr>
              <w:t>14、物业管理</w:t>
            </w:r>
          </w:p>
        </w:tc>
        <w:tc>
          <w:tcPr>
            <w:tcW w:w="45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300≤X＜1000</w:t>
            </w:r>
          </w:p>
        </w:tc>
        <w:tc>
          <w:tcPr>
            <w:tcW w:w="547"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1000≤Y＜5000</w:t>
            </w:r>
          </w:p>
        </w:tc>
        <w:tc>
          <w:tcPr>
            <w:tcW w:w="53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03"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100≤X＜300</w:t>
            </w:r>
          </w:p>
        </w:tc>
        <w:tc>
          <w:tcPr>
            <w:tcW w:w="549"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500≤Y＜1000</w:t>
            </w:r>
          </w:p>
        </w:tc>
        <w:tc>
          <w:tcPr>
            <w:tcW w:w="54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c>
          <w:tcPr>
            <w:tcW w:w="42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X＜100</w:t>
            </w:r>
          </w:p>
        </w:tc>
        <w:tc>
          <w:tcPr>
            <w:tcW w:w="372"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Y＜500</w:t>
            </w:r>
          </w:p>
        </w:tc>
        <w:tc>
          <w:tcPr>
            <w:tcW w:w="384"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p>
        </w:tc>
      </w:tr>
      <w:tr>
        <w:tblPrEx>
          <w:tblCellMar>
            <w:top w:w="0" w:type="dxa"/>
            <w:left w:w="108" w:type="dxa"/>
            <w:bottom w:w="0" w:type="dxa"/>
            <w:right w:w="108" w:type="dxa"/>
          </w:tblCellMar>
        </w:tblPrEx>
        <w:trPr>
          <w:trHeight w:val="360" w:hRule="atLeast"/>
          <w:jc w:val="center"/>
        </w:trPr>
        <w:tc>
          <w:tcPr>
            <w:tcW w:w="775" w:type="pct"/>
            <w:tcBorders>
              <w:top w:val="nil"/>
              <w:left w:val="single" w:color="auto" w:sz="8" w:space="0"/>
              <w:bottom w:val="single" w:color="auto" w:sz="4" w:space="0"/>
              <w:right w:val="single" w:color="auto" w:sz="8" w:space="0"/>
            </w:tcBorders>
            <w:vAlign w:val="bottom"/>
          </w:tcPr>
          <w:p>
            <w:pPr>
              <w:ind w:firstLine="0" w:firstLineChars="0"/>
              <w:rPr>
                <w:rFonts w:cs="宋体"/>
                <w:color w:val="auto"/>
                <w:sz w:val="16"/>
                <w:szCs w:val="16"/>
                <w:highlight w:val="none"/>
              </w:rPr>
            </w:pPr>
            <w:r>
              <w:rPr>
                <w:rFonts w:hint="eastAsia" w:cs="宋体"/>
                <w:color w:val="auto"/>
                <w:sz w:val="16"/>
                <w:szCs w:val="16"/>
                <w:highlight w:val="none"/>
              </w:rPr>
              <w:t>15、租赁和商务服务业</w:t>
            </w:r>
          </w:p>
        </w:tc>
        <w:tc>
          <w:tcPr>
            <w:tcW w:w="45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100≤X＜300</w:t>
            </w:r>
          </w:p>
        </w:tc>
        <w:tc>
          <w:tcPr>
            <w:tcW w:w="547"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p>
        </w:tc>
        <w:tc>
          <w:tcPr>
            <w:tcW w:w="53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8000≤Z＜120000</w:t>
            </w:r>
          </w:p>
        </w:tc>
        <w:tc>
          <w:tcPr>
            <w:tcW w:w="403"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10≤X＜100</w:t>
            </w:r>
          </w:p>
        </w:tc>
        <w:tc>
          <w:tcPr>
            <w:tcW w:w="549"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p>
        </w:tc>
        <w:tc>
          <w:tcPr>
            <w:tcW w:w="547"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100≤Z＜8000</w:t>
            </w:r>
          </w:p>
        </w:tc>
        <w:tc>
          <w:tcPr>
            <w:tcW w:w="426"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X＜10</w:t>
            </w:r>
          </w:p>
        </w:tc>
        <w:tc>
          <w:tcPr>
            <w:tcW w:w="372" w:type="pct"/>
            <w:tcBorders>
              <w:top w:val="nil"/>
              <w:left w:val="nil"/>
              <w:bottom w:val="single" w:color="auto" w:sz="4" w:space="0"/>
              <w:right w:val="single" w:color="auto" w:sz="4" w:space="0"/>
            </w:tcBorders>
            <w:vAlign w:val="bottom"/>
          </w:tcPr>
          <w:p>
            <w:pPr>
              <w:ind w:firstLine="0" w:firstLineChars="0"/>
              <w:jc w:val="center"/>
              <w:rPr>
                <w:rFonts w:cs="宋体"/>
                <w:color w:val="auto"/>
                <w:sz w:val="16"/>
                <w:szCs w:val="16"/>
                <w:highlight w:val="none"/>
              </w:rPr>
            </w:pPr>
          </w:p>
        </w:tc>
        <w:tc>
          <w:tcPr>
            <w:tcW w:w="384" w:type="pct"/>
            <w:tcBorders>
              <w:top w:val="nil"/>
              <w:left w:val="nil"/>
              <w:bottom w:val="single" w:color="auto" w:sz="4" w:space="0"/>
              <w:right w:val="single" w:color="auto" w:sz="8"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Z＜100</w:t>
            </w:r>
          </w:p>
        </w:tc>
      </w:tr>
      <w:tr>
        <w:tblPrEx>
          <w:tblCellMar>
            <w:top w:w="0" w:type="dxa"/>
            <w:left w:w="108" w:type="dxa"/>
            <w:bottom w:w="0" w:type="dxa"/>
            <w:right w:w="108" w:type="dxa"/>
          </w:tblCellMar>
        </w:tblPrEx>
        <w:trPr>
          <w:trHeight w:val="360" w:hRule="atLeast"/>
          <w:jc w:val="center"/>
        </w:trPr>
        <w:tc>
          <w:tcPr>
            <w:tcW w:w="775" w:type="pct"/>
            <w:tcBorders>
              <w:top w:val="nil"/>
              <w:left w:val="single" w:color="auto" w:sz="8" w:space="0"/>
              <w:bottom w:val="single" w:color="auto" w:sz="8" w:space="0"/>
              <w:right w:val="single" w:color="auto" w:sz="8" w:space="0"/>
            </w:tcBorders>
            <w:vAlign w:val="bottom"/>
          </w:tcPr>
          <w:p>
            <w:pPr>
              <w:ind w:firstLine="0" w:firstLineChars="0"/>
              <w:rPr>
                <w:rFonts w:cs="宋体"/>
                <w:color w:val="auto"/>
                <w:sz w:val="16"/>
                <w:szCs w:val="16"/>
                <w:highlight w:val="none"/>
              </w:rPr>
            </w:pPr>
            <w:r>
              <w:rPr>
                <w:rFonts w:hint="eastAsia" w:cs="宋体"/>
                <w:color w:val="auto"/>
                <w:sz w:val="16"/>
                <w:szCs w:val="16"/>
                <w:highlight w:val="none"/>
              </w:rPr>
              <w:t>16、其他未列明行业</w:t>
            </w:r>
          </w:p>
        </w:tc>
        <w:tc>
          <w:tcPr>
            <w:tcW w:w="456" w:type="pct"/>
            <w:tcBorders>
              <w:top w:val="nil"/>
              <w:left w:val="nil"/>
              <w:bottom w:val="single" w:color="auto" w:sz="8"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100≤X＜300</w:t>
            </w:r>
          </w:p>
        </w:tc>
        <w:tc>
          <w:tcPr>
            <w:tcW w:w="547" w:type="pct"/>
            <w:tcBorders>
              <w:top w:val="nil"/>
              <w:left w:val="nil"/>
              <w:bottom w:val="single" w:color="auto" w:sz="8" w:space="0"/>
              <w:right w:val="single" w:color="auto" w:sz="4" w:space="0"/>
            </w:tcBorders>
            <w:vAlign w:val="bottom"/>
          </w:tcPr>
          <w:p>
            <w:pPr>
              <w:ind w:firstLine="0" w:firstLineChars="0"/>
              <w:jc w:val="center"/>
              <w:rPr>
                <w:rFonts w:cs="宋体"/>
                <w:color w:val="auto"/>
                <w:sz w:val="16"/>
                <w:szCs w:val="16"/>
                <w:highlight w:val="none"/>
              </w:rPr>
            </w:pPr>
          </w:p>
        </w:tc>
        <w:tc>
          <w:tcPr>
            <w:tcW w:w="537" w:type="pct"/>
            <w:tcBorders>
              <w:top w:val="nil"/>
              <w:left w:val="nil"/>
              <w:bottom w:val="single" w:color="auto" w:sz="8" w:space="0"/>
              <w:right w:val="single" w:color="auto" w:sz="8" w:space="0"/>
            </w:tcBorders>
            <w:vAlign w:val="bottom"/>
          </w:tcPr>
          <w:p>
            <w:pPr>
              <w:ind w:firstLine="0" w:firstLineChars="0"/>
              <w:jc w:val="center"/>
              <w:rPr>
                <w:rFonts w:cs="宋体"/>
                <w:color w:val="auto"/>
                <w:sz w:val="16"/>
                <w:szCs w:val="16"/>
                <w:highlight w:val="none"/>
              </w:rPr>
            </w:pPr>
          </w:p>
        </w:tc>
        <w:tc>
          <w:tcPr>
            <w:tcW w:w="403" w:type="pct"/>
            <w:tcBorders>
              <w:top w:val="nil"/>
              <w:left w:val="nil"/>
              <w:bottom w:val="single" w:color="auto" w:sz="8"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10≤X＜100</w:t>
            </w:r>
          </w:p>
        </w:tc>
        <w:tc>
          <w:tcPr>
            <w:tcW w:w="549" w:type="pct"/>
            <w:tcBorders>
              <w:top w:val="nil"/>
              <w:left w:val="nil"/>
              <w:bottom w:val="single" w:color="auto" w:sz="8" w:space="0"/>
              <w:right w:val="single" w:color="auto" w:sz="4" w:space="0"/>
            </w:tcBorders>
            <w:vAlign w:val="bottom"/>
          </w:tcPr>
          <w:p>
            <w:pPr>
              <w:ind w:firstLine="0" w:firstLineChars="0"/>
              <w:jc w:val="center"/>
              <w:rPr>
                <w:rFonts w:cs="宋体"/>
                <w:color w:val="auto"/>
                <w:sz w:val="16"/>
                <w:szCs w:val="16"/>
                <w:highlight w:val="none"/>
              </w:rPr>
            </w:pPr>
          </w:p>
        </w:tc>
        <w:tc>
          <w:tcPr>
            <w:tcW w:w="547" w:type="pct"/>
            <w:tcBorders>
              <w:top w:val="nil"/>
              <w:left w:val="nil"/>
              <w:bottom w:val="single" w:color="auto" w:sz="8" w:space="0"/>
              <w:right w:val="single" w:color="auto" w:sz="8" w:space="0"/>
            </w:tcBorders>
            <w:vAlign w:val="bottom"/>
          </w:tcPr>
          <w:p>
            <w:pPr>
              <w:ind w:firstLine="0" w:firstLineChars="0"/>
              <w:jc w:val="center"/>
              <w:rPr>
                <w:rFonts w:cs="宋体"/>
                <w:color w:val="auto"/>
                <w:sz w:val="16"/>
                <w:szCs w:val="16"/>
                <w:highlight w:val="none"/>
              </w:rPr>
            </w:pPr>
          </w:p>
        </w:tc>
        <w:tc>
          <w:tcPr>
            <w:tcW w:w="426" w:type="pct"/>
            <w:tcBorders>
              <w:top w:val="nil"/>
              <w:left w:val="nil"/>
              <w:bottom w:val="single" w:color="auto" w:sz="8" w:space="0"/>
              <w:right w:val="single" w:color="auto" w:sz="4" w:space="0"/>
            </w:tcBorders>
            <w:vAlign w:val="bottom"/>
          </w:tcPr>
          <w:p>
            <w:pPr>
              <w:ind w:firstLine="0" w:firstLineChars="0"/>
              <w:jc w:val="center"/>
              <w:rPr>
                <w:rFonts w:cs="宋体"/>
                <w:color w:val="auto"/>
                <w:sz w:val="16"/>
                <w:szCs w:val="16"/>
                <w:highlight w:val="none"/>
              </w:rPr>
            </w:pPr>
            <w:r>
              <w:rPr>
                <w:rFonts w:hint="eastAsia" w:cs="宋体"/>
                <w:color w:val="auto"/>
                <w:sz w:val="16"/>
                <w:szCs w:val="16"/>
                <w:highlight w:val="none"/>
              </w:rPr>
              <w:t>X＜10</w:t>
            </w:r>
          </w:p>
        </w:tc>
        <w:tc>
          <w:tcPr>
            <w:tcW w:w="372" w:type="pct"/>
            <w:tcBorders>
              <w:top w:val="nil"/>
              <w:left w:val="nil"/>
              <w:bottom w:val="single" w:color="auto" w:sz="8" w:space="0"/>
              <w:right w:val="single" w:color="auto" w:sz="4" w:space="0"/>
            </w:tcBorders>
            <w:vAlign w:val="bottom"/>
          </w:tcPr>
          <w:p>
            <w:pPr>
              <w:ind w:firstLine="0" w:firstLineChars="0"/>
              <w:jc w:val="center"/>
              <w:rPr>
                <w:rFonts w:cs="宋体"/>
                <w:color w:val="auto"/>
                <w:sz w:val="16"/>
                <w:szCs w:val="16"/>
                <w:highlight w:val="none"/>
              </w:rPr>
            </w:pPr>
          </w:p>
        </w:tc>
        <w:tc>
          <w:tcPr>
            <w:tcW w:w="384" w:type="pct"/>
            <w:tcBorders>
              <w:top w:val="nil"/>
              <w:left w:val="nil"/>
              <w:bottom w:val="single" w:color="auto" w:sz="8" w:space="0"/>
              <w:right w:val="single" w:color="auto" w:sz="8" w:space="0"/>
            </w:tcBorders>
            <w:vAlign w:val="bottom"/>
          </w:tcPr>
          <w:p>
            <w:pPr>
              <w:ind w:firstLine="0" w:firstLineChars="0"/>
              <w:jc w:val="center"/>
              <w:rPr>
                <w:rFonts w:cs="宋体"/>
                <w:color w:val="auto"/>
                <w:sz w:val="16"/>
                <w:szCs w:val="16"/>
                <w:highlight w:val="none"/>
              </w:rPr>
            </w:pPr>
          </w:p>
        </w:tc>
      </w:tr>
      <w:tr>
        <w:tblPrEx>
          <w:tblCellMar>
            <w:top w:w="0" w:type="dxa"/>
            <w:left w:w="108" w:type="dxa"/>
            <w:bottom w:w="0" w:type="dxa"/>
            <w:right w:w="108" w:type="dxa"/>
          </w:tblCellMar>
        </w:tblPrEx>
        <w:trPr>
          <w:trHeight w:val="285" w:hRule="atLeast"/>
          <w:jc w:val="center"/>
        </w:trPr>
        <w:tc>
          <w:tcPr>
            <w:tcW w:w="5000" w:type="pct"/>
            <w:gridSpan w:val="10"/>
            <w:tcBorders>
              <w:top w:val="nil"/>
              <w:left w:val="nil"/>
              <w:bottom w:val="nil"/>
              <w:right w:val="nil"/>
            </w:tcBorders>
            <w:vAlign w:val="bottom"/>
          </w:tcPr>
          <w:p>
            <w:pPr>
              <w:ind w:firstLine="0" w:firstLineChars="0"/>
              <w:rPr>
                <w:rFonts w:cs="宋体"/>
                <w:color w:val="auto"/>
                <w:sz w:val="16"/>
                <w:szCs w:val="16"/>
                <w:highlight w:val="none"/>
              </w:rPr>
            </w:pPr>
            <w:r>
              <w:rPr>
                <w:rFonts w:hint="eastAsia" w:cs="宋体"/>
                <w:color w:val="auto"/>
                <w:sz w:val="16"/>
                <w:szCs w:val="16"/>
                <w:highlight w:val="none"/>
              </w:rPr>
              <w:t>说明：1、企业类型的划分以统计部门的统计数据为依据。</w:t>
            </w:r>
          </w:p>
          <w:p>
            <w:pPr>
              <w:numPr>
                <w:ilvl w:val="0"/>
                <w:numId w:val="47"/>
              </w:numPr>
              <w:ind w:firstLine="0" w:firstLineChars="0"/>
              <w:rPr>
                <w:rFonts w:cs="宋体"/>
                <w:color w:val="auto"/>
                <w:sz w:val="16"/>
                <w:szCs w:val="16"/>
                <w:highlight w:val="none"/>
              </w:rPr>
            </w:pPr>
            <w:r>
              <w:rPr>
                <w:rFonts w:hint="eastAsia" w:cs="宋体"/>
                <w:color w:val="auto"/>
                <w:sz w:val="16"/>
                <w:szCs w:val="16"/>
                <w:highlight w:val="none"/>
              </w:rPr>
              <w:t>个体工商户和本规定以外的行业，参照本规定进行划型。</w:t>
            </w:r>
          </w:p>
          <w:p>
            <w:pPr>
              <w:numPr>
                <w:ilvl w:val="0"/>
                <w:numId w:val="47"/>
              </w:numPr>
              <w:ind w:firstLine="0" w:firstLineChars="0"/>
              <w:rPr>
                <w:rFonts w:cs="宋体"/>
                <w:color w:val="auto"/>
                <w:sz w:val="16"/>
                <w:szCs w:val="16"/>
                <w:highlight w:val="none"/>
              </w:rPr>
            </w:pPr>
            <w:r>
              <w:rPr>
                <w:rFonts w:hint="eastAsia" w:cs="宋体"/>
                <w:color w:val="auto"/>
                <w:sz w:val="16"/>
                <w:szCs w:val="16"/>
                <w:highlight w:val="none"/>
              </w:rPr>
              <w:t>本规定的中型企业标准上限即为大型企业标准的下限。</w:t>
            </w:r>
          </w:p>
        </w:tc>
      </w:tr>
    </w:tbl>
    <w:p>
      <w:pPr>
        <w:ind w:firstLine="480"/>
        <w:rPr>
          <w:rFonts w:cs="宋体"/>
          <w:color w:val="auto"/>
          <w:highlight w:val="none"/>
        </w:rPr>
        <w:sectPr>
          <w:footerReference r:id="rId20" w:type="default"/>
          <w:pgSz w:w="16840" w:h="11907" w:orient="landscape"/>
          <w:pgMar w:top="1440" w:right="1080" w:bottom="1440" w:left="1080" w:header="850" w:footer="992" w:gutter="0"/>
          <w:cols w:space="720" w:num="1"/>
          <w:docGrid w:linePitch="286" w:charSpace="0"/>
        </w:sectPr>
      </w:pPr>
    </w:p>
    <w:p>
      <w:pPr>
        <w:pStyle w:val="5"/>
        <w:numPr>
          <w:ilvl w:val="0"/>
          <w:numId w:val="45"/>
        </w:numPr>
        <w:rPr>
          <w:color w:val="auto"/>
          <w:highlight w:val="none"/>
        </w:rPr>
      </w:pPr>
      <w:bookmarkStart w:id="201" w:name="_Toc20429"/>
      <w:r>
        <w:rPr>
          <w:rFonts w:hint="eastAsia"/>
          <w:color w:val="auto"/>
          <w:highlight w:val="none"/>
        </w:rPr>
        <w:t>监狱企业资格证明材料</w:t>
      </w:r>
      <w:bookmarkEnd w:id="201"/>
    </w:p>
    <w:p>
      <w:pPr>
        <w:ind w:firstLine="480"/>
        <w:rPr>
          <w:rFonts w:cs="宋体"/>
          <w:color w:val="auto"/>
          <w:highlight w:val="none"/>
        </w:rPr>
      </w:pPr>
      <w:r>
        <w:rPr>
          <w:rFonts w:hint="eastAsia" w:cs="宋体"/>
          <w:color w:val="auto"/>
          <w:highlight w:val="none"/>
        </w:rPr>
        <w:t>（省级以上监狱管理局、戒毒管理局（含新疆生产建设兵团）出具的属于监狱企业的证明文件）</w:t>
      </w:r>
    </w:p>
    <w:p>
      <w:pPr>
        <w:ind w:firstLine="480"/>
        <w:rPr>
          <w:rFonts w:cs="宋体"/>
          <w:color w:val="auto"/>
          <w:highlight w:val="none"/>
        </w:rPr>
      </w:pPr>
    </w:p>
    <w:p>
      <w:pPr>
        <w:ind w:firstLine="480"/>
        <w:rPr>
          <w:rFonts w:cs="宋体"/>
          <w:color w:val="auto"/>
          <w:highlight w:val="none"/>
        </w:rPr>
      </w:pPr>
      <w:r>
        <w:rPr>
          <w:rFonts w:hint="eastAsia" w:cs="宋体"/>
          <w:color w:val="auto"/>
          <w:highlight w:val="none"/>
        </w:rPr>
        <w:t>说明：监狱企业视同小型、微型企业。</w:t>
      </w:r>
    </w:p>
    <w:p>
      <w:pPr>
        <w:pStyle w:val="48"/>
        <w:rPr>
          <w:rFonts w:ascii="宋体" w:hAnsi="宋体" w:eastAsia="宋体" w:cs="宋体"/>
          <w:color w:val="auto"/>
          <w:highlight w:val="none"/>
        </w:rPr>
      </w:pPr>
    </w:p>
    <w:p>
      <w:pPr>
        <w:pStyle w:val="48"/>
        <w:rPr>
          <w:rFonts w:ascii="宋体" w:hAnsi="宋体" w:eastAsia="宋体" w:cs="宋体"/>
          <w:color w:val="auto"/>
          <w:highlight w:val="none"/>
        </w:rPr>
      </w:pPr>
    </w:p>
    <w:p>
      <w:pPr>
        <w:pStyle w:val="48"/>
        <w:rPr>
          <w:rFonts w:ascii="宋体" w:hAnsi="宋体" w:eastAsia="宋体" w:cs="宋体"/>
          <w:color w:val="auto"/>
          <w:highlight w:val="none"/>
        </w:rPr>
      </w:pPr>
    </w:p>
    <w:p>
      <w:pPr>
        <w:pStyle w:val="5"/>
        <w:numPr>
          <w:ilvl w:val="0"/>
          <w:numId w:val="45"/>
        </w:numPr>
        <w:rPr>
          <w:color w:val="auto"/>
          <w:highlight w:val="none"/>
        </w:rPr>
      </w:pPr>
      <w:bookmarkStart w:id="202" w:name="_Toc2499"/>
      <w:r>
        <w:rPr>
          <w:rFonts w:hint="eastAsia"/>
          <w:color w:val="auto"/>
          <w:highlight w:val="none"/>
        </w:rPr>
        <w:t>残疾人福利性单位声明函</w:t>
      </w:r>
      <w:bookmarkEnd w:id="202"/>
    </w:p>
    <w:p>
      <w:pPr>
        <w:ind w:firstLine="506"/>
        <w:jc w:val="center"/>
        <w:rPr>
          <w:rFonts w:cs="宋体"/>
          <w:b/>
          <w:color w:val="auto"/>
          <w:spacing w:val="6"/>
          <w:szCs w:val="21"/>
          <w:highlight w:val="none"/>
        </w:rPr>
      </w:pPr>
      <w:r>
        <w:rPr>
          <w:rFonts w:hint="eastAsia" w:cs="宋体"/>
          <w:b/>
          <w:color w:val="auto"/>
          <w:spacing w:val="6"/>
          <w:szCs w:val="21"/>
          <w:highlight w:val="none"/>
        </w:rPr>
        <w:t>（非残疾人福利性单位可不提供）</w:t>
      </w:r>
    </w:p>
    <w:p>
      <w:pPr>
        <w:ind w:firstLine="504"/>
        <w:rPr>
          <w:rFonts w:cs="宋体"/>
          <w:color w:val="auto"/>
          <w:spacing w:val="6"/>
          <w:highlight w:val="none"/>
        </w:rPr>
      </w:pPr>
      <w:r>
        <w:rPr>
          <w:rFonts w:hint="eastAsia" w:cs="宋体"/>
          <w:color w:val="auto"/>
          <w:spacing w:val="6"/>
          <w:highlight w:val="none"/>
        </w:rPr>
        <w:t>本单位郑重声明，根据《财政部 民政部 中国残疾人联合会关于促进残疾人就业政府采购政策的通知》（财库</w:t>
      </w:r>
      <w:r>
        <w:rPr>
          <w:rFonts w:hint="eastAsia" w:cs="宋体"/>
          <w:color w:val="auto"/>
          <w:highlight w:val="none"/>
        </w:rPr>
        <w:t>[2017]141</w:t>
      </w:r>
      <w:r>
        <w:rPr>
          <w:rFonts w:hint="eastAsia" w:cs="宋体"/>
          <w:color w:val="auto"/>
          <w:spacing w:val="6"/>
          <w:highlight w:val="none"/>
        </w:rPr>
        <w:t>号）的规定，本单位为符合条件的残疾人福利性单位，且本单位参加</w:t>
      </w:r>
      <w:r>
        <w:rPr>
          <w:rFonts w:hint="eastAsia" w:cs="宋体"/>
          <w:color w:val="auto"/>
          <w:highlight w:val="none"/>
        </w:rPr>
        <w:t>杭州电子科技大学</w:t>
      </w:r>
      <w:r>
        <w:rPr>
          <w:rFonts w:hint="eastAsia" w:cs="宋体"/>
          <w:color w:val="auto"/>
          <w:spacing w:val="6"/>
          <w:highlight w:val="none"/>
        </w:rPr>
        <w:t>的</w:t>
      </w:r>
      <w:r>
        <w:rPr>
          <w:rFonts w:hint="eastAsia" w:cs="宋体"/>
          <w:color w:val="auto"/>
          <w:spacing w:val="6"/>
          <w:highlight w:val="none"/>
          <w:u w:val="single"/>
        </w:rPr>
        <w:t xml:space="preserve">        </w:t>
      </w:r>
      <w:r>
        <w:rPr>
          <w:rFonts w:hint="eastAsia" w:cs="宋体"/>
          <w:color w:val="auto"/>
          <w:spacing w:val="6"/>
          <w:highlight w:val="none"/>
        </w:rPr>
        <w:t>提供本单位制造的货物，或者提供其他残疾人福利性单位制造的货物（不包括使用非残疾人福利性单位注册商标的货物）。</w:t>
      </w:r>
    </w:p>
    <w:p>
      <w:pPr>
        <w:ind w:firstLine="504"/>
        <w:rPr>
          <w:rFonts w:cs="宋体"/>
          <w:color w:val="auto"/>
          <w:spacing w:val="6"/>
          <w:highlight w:val="none"/>
        </w:rPr>
      </w:pPr>
      <w:r>
        <w:rPr>
          <w:rFonts w:hint="eastAsia" w:cs="宋体"/>
          <w:color w:val="auto"/>
          <w:spacing w:val="6"/>
          <w:highlight w:val="none"/>
        </w:rPr>
        <w:t>本单位对上述声明的真实性负责。如有虚假，将依法承担相应责任。</w:t>
      </w:r>
    </w:p>
    <w:p>
      <w:pPr>
        <w:ind w:firstLine="456"/>
        <w:rPr>
          <w:rFonts w:cs="宋体"/>
          <w:color w:val="auto"/>
          <w:spacing w:val="-6"/>
          <w:highlight w:val="none"/>
        </w:rPr>
      </w:pPr>
    </w:p>
    <w:p>
      <w:pPr>
        <w:ind w:firstLine="480"/>
        <w:rPr>
          <w:rFonts w:cs="宋体"/>
          <w:color w:val="auto"/>
          <w:highlight w:val="none"/>
        </w:rPr>
      </w:pPr>
      <w:r>
        <w:rPr>
          <w:rFonts w:hint="eastAsia" w:cs="宋体"/>
          <w:color w:val="auto"/>
          <w:highlight w:val="none"/>
        </w:rPr>
        <w:t>投标人名称（公章）：</w:t>
      </w:r>
    </w:p>
    <w:p>
      <w:pPr>
        <w:ind w:firstLine="480"/>
        <w:rPr>
          <w:rFonts w:cs="宋体"/>
          <w:color w:val="auto"/>
          <w:highlight w:val="none"/>
        </w:rPr>
      </w:pPr>
      <w:r>
        <w:rPr>
          <w:rFonts w:hint="eastAsia" w:cs="宋体"/>
          <w:color w:val="auto"/>
          <w:highlight w:val="none"/>
        </w:rPr>
        <w:t>法定代表人或其授权代表（签字或盖章）：</w:t>
      </w:r>
    </w:p>
    <w:p>
      <w:pPr>
        <w:ind w:firstLine="480"/>
        <w:rPr>
          <w:rFonts w:cs="宋体"/>
          <w:color w:val="auto"/>
          <w:highlight w:val="none"/>
        </w:rPr>
      </w:pPr>
      <w:r>
        <w:rPr>
          <w:rFonts w:hint="eastAsia" w:cs="宋体"/>
          <w:color w:val="auto"/>
          <w:highlight w:val="none"/>
        </w:rPr>
        <w:t>日期：  年   月   日</w:t>
      </w:r>
    </w:p>
    <w:p>
      <w:pPr>
        <w:spacing w:line="288" w:lineRule="auto"/>
        <w:ind w:firstLine="506"/>
        <w:rPr>
          <w:rFonts w:cs="宋体"/>
          <w:b/>
          <w:bCs/>
          <w:color w:val="auto"/>
          <w:highlight w:val="none"/>
        </w:rPr>
      </w:pPr>
      <w:r>
        <w:rPr>
          <w:rFonts w:hint="eastAsia" w:cs="宋体"/>
          <w:b/>
          <w:color w:val="auto"/>
          <w:spacing w:val="6"/>
          <w:highlight w:val="none"/>
        </w:rPr>
        <w:t>投标人不属于残疾人福利性单位的，无需提供此声明函，如提供所引起的后果由投标人承担。</w:t>
      </w:r>
    </w:p>
    <w:p>
      <w:pPr>
        <w:spacing w:line="288" w:lineRule="auto"/>
        <w:ind w:firstLine="456"/>
        <w:rPr>
          <w:rFonts w:cs="宋体"/>
          <w:color w:val="auto"/>
          <w:spacing w:val="-6"/>
          <w:highlight w:val="none"/>
        </w:rPr>
      </w:pPr>
    </w:p>
    <w:p>
      <w:pPr>
        <w:spacing w:line="288" w:lineRule="auto"/>
        <w:ind w:firstLine="482"/>
        <w:rPr>
          <w:rFonts w:cs="宋体"/>
          <w:b/>
          <w:bCs/>
          <w:color w:val="auto"/>
          <w:szCs w:val="21"/>
          <w:highlight w:val="none"/>
        </w:rPr>
      </w:pPr>
      <w:r>
        <w:rPr>
          <w:rFonts w:hint="eastAsia" w:cs="宋体"/>
          <w:b/>
          <w:bCs/>
          <w:color w:val="auto"/>
          <w:szCs w:val="21"/>
          <w:highlight w:val="none"/>
        </w:rPr>
        <w:t>说明：</w:t>
      </w:r>
    </w:p>
    <w:p>
      <w:pPr>
        <w:spacing w:line="288" w:lineRule="auto"/>
        <w:ind w:firstLine="480"/>
        <w:rPr>
          <w:rFonts w:cs="宋体"/>
          <w:color w:val="auto"/>
          <w:spacing w:val="6"/>
          <w:szCs w:val="21"/>
          <w:highlight w:val="none"/>
        </w:rPr>
      </w:pPr>
      <w:r>
        <w:rPr>
          <w:rFonts w:hint="eastAsia" w:cs="宋体"/>
          <w:bCs/>
          <w:color w:val="auto"/>
          <w:szCs w:val="21"/>
          <w:highlight w:val="none"/>
        </w:rPr>
        <w:t>1</w:t>
      </w:r>
      <w:r>
        <w:rPr>
          <w:rFonts w:hint="eastAsia" w:cs="宋体"/>
          <w:color w:val="auto"/>
          <w:spacing w:val="6"/>
          <w:szCs w:val="21"/>
          <w:highlight w:val="none"/>
        </w:rPr>
        <w:t>、若投标人同时满足以下条件，则属于依法享受政府采购支持政策的残疾人福利性单位，可提供《残疾人福利性单位声明函》，并对声明的真实性负责：</w:t>
      </w:r>
    </w:p>
    <w:p>
      <w:pPr>
        <w:spacing w:line="288" w:lineRule="auto"/>
        <w:ind w:firstLine="504"/>
        <w:rPr>
          <w:rFonts w:cs="宋体"/>
          <w:color w:val="auto"/>
          <w:spacing w:val="6"/>
          <w:szCs w:val="21"/>
          <w:highlight w:val="none"/>
        </w:rPr>
      </w:pPr>
      <w:r>
        <w:rPr>
          <w:rFonts w:hint="eastAsia" w:cs="宋体"/>
          <w:color w:val="auto"/>
          <w:spacing w:val="6"/>
          <w:szCs w:val="21"/>
          <w:highlight w:val="none"/>
        </w:rPr>
        <w:t>（一）安置的残疾人占本单位在职职工人数的比例不低于25%（含25%），并且安置的残疾人人数不少于10人（含10人）；</w:t>
      </w:r>
    </w:p>
    <w:p>
      <w:pPr>
        <w:spacing w:line="288" w:lineRule="auto"/>
        <w:ind w:firstLine="504"/>
        <w:rPr>
          <w:rFonts w:cs="宋体"/>
          <w:color w:val="auto"/>
          <w:spacing w:val="6"/>
          <w:szCs w:val="21"/>
          <w:highlight w:val="none"/>
        </w:rPr>
      </w:pPr>
      <w:r>
        <w:rPr>
          <w:rFonts w:hint="eastAsia" w:cs="宋体"/>
          <w:color w:val="auto"/>
          <w:spacing w:val="6"/>
          <w:szCs w:val="21"/>
          <w:highlight w:val="none"/>
        </w:rPr>
        <w:t>（二）依法与安置的每位残疾人签订了一年以上（含一年）的劳动合同或服务协议；</w:t>
      </w:r>
    </w:p>
    <w:p>
      <w:pPr>
        <w:spacing w:line="288" w:lineRule="auto"/>
        <w:ind w:firstLine="504"/>
        <w:rPr>
          <w:rFonts w:cs="宋体"/>
          <w:color w:val="auto"/>
          <w:spacing w:val="6"/>
          <w:szCs w:val="21"/>
          <w:highlight w:val="none"/>
        </w:rPr>
      </w:pPr>
      <w:r>
        <w:rPr>
          <w:rFonts w:hint="eastAsia" w:cs="宋体"/>
          <w:color w:val="auto"/>
          <w:spacing w:val="6"/>
          <w:szCs w:val="21"/>
          <w:highlight w:val="none"/>
        </w:rPr>
        <w:t>（三）为安置的每位残疾人按月足额缴纳了基本养老保险、基本医疗保险、失业保险、工伤保险和生育保险等社会保险费；</w:t>
      </w:r>
    </w:p>
    <w:p>
      <w:pPr>
        <w:spacing w:line="288" w:lineRule="auto"/>
        <w:ind w:firstLine="504"/>
        <w:rPr>
          <w:rFonts w:cs="宋体"/>
          <w:color w:val="auto"/>
          <w:spacing w:val="6"/>
          <w:szCs w:val="21"/>
          <w:highlight w:val="none"/>
        </w:rPr>
      </w:pPr>
      <w:r>
        <w:rPr>
          <w:rFonts w:hint="eastAsia" w:cs="宋体"/>
          <w:color w:val="auto"/>
          <w:spacing w:val="6"/>
          <w:szCs w:val="21"/>
          <w:highlight w:val="none"/>
        </w:rPr>
        <w:t>（四）通过银行等金融机构向安置的每位残疾人，按月支付了不低于单位所在区县适用的经省级人民政府批准的月最低工资标准的工资；</w:t>
      </w:r>
    </w:p>
    <w:p>
      <w:pPr>
        <w:spacing w:line="288" w:lineRule="auto"/>
        <w:ind w:firstLine="504"/>
        <w:rPr>
          <w:rFonts w:cs="宋体"/>
          <w:color w:val="auto"/>
          <w:spacing w:val="6"/>
          <w:szCs w:val="21"/>
          <w:highlight w:val="none"/>
        </w:rPr>
      </w:pPr>
      <w:r>
        <w:rPr>
          <w:rFonts w:hint="eastAsia" w:cs="宋体"/>
          <w:color w:val="auto"/>
          <w:spacing w:val="6"/>
          <w:szCs w:val="21"/>
          <w:highlight w:val="none"/>
        </w:rPr>
        <w:t>（五）提供本单位制造的货物、承担的工程或者服务（以下简称产品），或者提供其他残疾人福利性单位制造的货物（不包括使用非残疾人福利性单位注册商标的货物）。</w:t>
      </w:r>
    </w:p>
    <w:p>
      <w:pPr>
        <w:spacing w:line="288" w:lineRule="auto"/>
        <w:ind w:firstLine="504"/>
        <w:rPr>
          <w:rFonts w:cs="宋体"/>
          <w:color w:val="auto"/>
          <w:spacing w:val="6"/>
          <w:szCs w:val="21"/>
          <w:highlight w:val="none"/>
        </w:rPr>
      </w:pPr>
      <w:r>
        <w:rPr>
          <w:rFonts w:hint="eastAsia" w:cs="宋体"/>
          <w:color w:val="auto"/>
          <w:spacing w:val="6"/>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288" w:lineRule="auto"/>
        <w:ind w:firstLine="504"/>
        <w:rPr>
          <w:rFonts w:cs="宋体"/>
          <w:color w:val="auto"/>
          <w:spacing w:val="6"/>
          <w:szCs w:val="21"/>
          <w:highlight w:val="none"/>
        </w:rPr>
      </w:pPr>
      <w:r>
        <w:rPr>
          <w:rFonts w:hint="eastAsia" w:cs="宋体"/>
          <w:color w:val="auto"/>
          <w:spacing w:val="6"/>
          <w:szCs w:val="21"/>
          <w:highlight w:val="none"/>
        </w:rPr>
        <w:t>2、中标人为残疾人福利性单位的，《残疾人福利性单位声明函》随中标结果同时公告，接受社会监督。</w:t>
      </w:r>
    </w:p>
    <w:p>
      <w:pPr>
        <w:ind w:firstLine="456"/>
        <w:rPr>
          <w:rFonts w:cs="宋体"/>
          <w:bCs/>
          <w:color w:val="auto"/>
          <w:spacing w:val="-6"/>
          <w:highlight w:val="none"/>
        </w:rPr>
        <w:sectPr>
          <w:pgSz w:w="11907" w:h="16840"/>
          <w:pgMar w:top="1440" w:right="1080" w:bottom="1440" w:left="1080" w:header="850" w:footer="992" w:gutter="0"/>
          <w:cols w:space="720" w:num="1"/>
          <w:docGrid w:linePitch="286" w:charSpace="0"/>
        </w:sectPr>
      </w:pPr>
    </w:p>
    <w:p>
      <w:pPr>
        <w:pStyle w:val="4"/>
        <w:rPr>
          <w:rFonts w:cs="宋体"/>
          <w:color w:val="auto"/>
          <w:highlight w:val="none"/>
        </w:rPr>
      </w:pPr>
      <w:bookmarkStart w:id="203" w:name="_Toc9524"/>
      <w:bookmarkStart w:id="204" w:name="_Toc8480"/>
      <w:r>
        <w:rPr>
          <w:rFonts w:hint="eastAsia" w:cs="宋体"/>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4608830</wp:posOffset>
                </wp:positionH>
                <wp:positionV relativeFrom="paragraph">
                  <wp:posOffset>-50800</wp:posOffset>
                </wp:positionV>
                <wp:extent cx="1346200" cy="401955"/>
                <wp:effectExtent l="4445" t="4445" r="20955" b="12700"/>
                <wp:wrapNone/>
                <wp:docPr id="3" name="文本框 8"/>
                <wp:cNvGraphicFramePr/>
                <a:graphic xmlns:a="http://schemas.openxmlformats.org/drawingml/2006/main">
                  <a:graphicData uri="http://schemas.microsoft.com/office/word/2010/wordprocessingShape">
                    <wps:wsp>
                      <wps:cNvSpPr txBox="1"/>
                      <wps:spPr>
                        <a:xfrm>
                          <a:off x="0" y="0"/>
                          <a:ext cx="1346200" cy="4019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0" w:firstLineChars="0"/>
                              <w:rPr>
                                <w:sz w:val="32"/>
                                <w:szCs w:val="32"/>
                              </w:rPr>
                            </w:pPr>
                            <w:r>
                              <w:rPr>
                                <w:rFonts w:hint="eastAsia"/>
                                <w:sz w:val="32"/>
                                <w:szCs w:val="32"/>
                              </w:rPr>
                              <w:t>正本（</w:t>
                            </w:r>
                            <w:r>
                              <w:rPr>
                                <w:sz w:val="32"/>
                                <w:szCs w:val="32"/>
                              </w:rPr>
                              <w:t>副本）</w:t>
                            </w:r>
                          </w:p>
                        </w:txbxContent>
                      </wps:txbx>
                      <wps:bodyPr upright="1"/>
                    </wps:wsp>
                  </a:graphicData>
                </a:graphic>
              </wp:anchor>
            </w:drawing>
          </mc:Choice>
          <mc:Fallback>
            <w:pict>
              <v:shape id="文本框 8" o:spid="_x0000_s1026" o:spt="202" type="#_x0000_t202" style="position:absolute;left:0pt;margin-left:362.9pt;margin-top:-4pt;height:31.65pt;width:106pt;z-index:251663360;mso-width-relative:page;mso-height-relative:page;" fillcolor="#FFFFFF" filled="t" stroked="t" coordsize="21600,21600" o:gfxdata="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de+yw2QAAAAkBAAAPAAAAAAAAAAEAIAAA&#10;ACIAAABkcnMvZG93bnJldi54bWxQSwECFAAUAAAACACHTuJAEJtFfwsCAAA2BAAADgAAAAAAAAAB&#10;ACAAAAAoAQAAZHJzL2Uyb0RvYy54bWxQSwUGAAAAAAYABgBZAQAApQUAAAAA&#10;">
                <v:fill on="t" focussize="0,0"/>
                <v:stroke color="#000000" joinstyle="miter"/>
                <v:imagedata o:title=""/>
                <o:lock v:ext="edit" aspectratio="f"/>
                <v:textbox>
                  <w:txbxContent>
                    <w:p>
                      <w:pPr>
                        <w:ind w:firstLine="0" w:firstLineChars="0"/>
                        <w:rPr>
                          <w:sz w:val="32"/>
                          <w:szCs w:val="32"/>
                        </w:rPr>
                      </w:pPr>
                      <w:r>
                        <w:rPr>
                          <w:rFonts w:hint="eastAsia"/>
                          <w:sz w:val="32"/>
                          <w:szCs w:val="32"/>
                        </w:rPr>
                        <w:t>正本（</w:t>
                      </w:r>
                      <w:r>
                        <w:rPr>
                          <w:sz w:val="32"/>
                          <w:szCs w:val="32"/>
                        </w:rPr>
                        <w:t>副本）</w:t>
                      </w:r>
                    </w:p>
                  </w:txbxContent>
                </v:textbox>
              </v:shape>
            </w:pict>
          </mc:Fallback>
        </mc:AlternateContent>
      </w:r>
      <w:r>
        <w:rPr>
          <w:rFonts w:hint="eastAsia" w:cs="宋体"/>
          <w:color w:val="auto"/>
          <w:highlight w:val="none"/>
        </w:rPr>
        <w:t>资信</w:t>
      </w:r>
      <w:r>
        <w:rPr>
          <w:rFonts w:hint="eastAsia" w:cs="宋体"/>
          <w:color w:val="auto"/>
          <w:szCs w:val="40"/>
          <w:highlight w:val="none"/>
        </w:rPr>
        <w:t>技术文件</w:t>
      </w:r>
      <w:r>
        <w:rPr>
          <w:rFonts w:hint="eastAsia" w:cs="宋体"/>
          <w:color w:val="auto"/>
          <w:highlight w:val="none"/>
        </w:rPr>
        <w:t>封面</w:t>
      </w:r>
      <w:bookmarkEnd w:id="203"/>
      <w:bookmarkEnd w:id="204"/>
    </w:p>
    <w:p>
      <w:pPr>
        <w:spacing w:line="600" w:lineRule="auto"/>
        <w:ind w:firstLine="0" w:firstLineChars="0"/>
        <w:jc w:val="center"/>
        <w:rPr>
          <w:rFonts w:cs="宋体"/>
          <w:b/>
          <w:bCs/>
          <w:color w:val="auto"/>
          <w:sz w:val="48"/>
          <w:szCs w:val="48"/>
          <w:highlight w:val="none"/>
        </w:rPr>
      </w:pPr>
    </w:p>
    <w:p>
      <w:pPr>
        <w:spacing w:line="600" w:lineRule="auto"/>
        <w:ind w:firstLine="0" w:firstLineChars="0"/>
        <w:jc w:val="center"/>
        <w:rPr>
          <w:rFonts w:cs="宋体"/>
          <w:b/>
          <w:bCs/>
          <w:color w:val="auto"/>
          <w:sz w:val="48"/>
          <w:szCs w:val="48"/>
          <w:highlight w:val="none"/>
        </w:rPr>
      </w:pPr>
      <w:r>
        <w:rPr>
          <w:rFonts w:hint="eastAsia" w:cs="宋体"/>
          <w:b/>
          <w:bCs/>
          <w:color w:val="auto"/>
          <w:sz w:val="48"/>
          <w:szCs w:val="48"/>
          <w:highlight w:val="none"/>
        </w:rPr>
        <w:t>杭州电子科技大学</w:t>
      </w:r>
    </w:p>
    <w:p>
      <w:pPr>
        <w:spacing w:line="600" w:lineRule="auto"/>
        <w:ind w:firstLine="0" w:firstLineChars="0"/>
        <w:jc w:val="center"/>
        <w:rPr>
          <w:rFonts w:hint="eastAsia" w:eastAsia="宋体" w:cs="宋体"/>
          <w:b/>
          <w:bCs/>
          <w:color w:val="auto"/>
          <w:sz w:val="48"/>
          <w:szCs w:val="48"/>
          <w:highlight w:val="none"/>
          <w:lang w:eastAsia="zh-CN"/>
        </w:rPr>
      </w:pPr>
      <w:r>
        <w:rPr>
          <w:rFonts w:hint="eastAsia" w:cs="宋体"/>
          <w:b/>
          <w:bCs/>
          <w:color w:val="auto"/>
          <w:sz w:val="48"/>
          <w:szCs w:val="48"/>
          <w:highlight w:val="none"/>
          <w:lang w:eastAsia="zh-CN"/>
        </w:rPr>
        <w:t>研究生学位论文网络评审服务</w:t>
      </w:r>
    </w:p>
    <w:p>
      <w:pPr>
        <w:ind w:firstLine="456"/>
        <w:jc w:val="center"/>
        <w:rPr>
          <w:rFonts w:cs="宋体"/>
          <w:b/>
          <w:bCs/>
          <w:color w:val="auto"/>
          <w:sz w:val="30"/>
          <w:szCs w:val="30"/>
          <w:highlight w:val="none"/>
        </w:rPr>
      </w:pPr>
      <w:r>
        <w:rPr>
          <w:rFonts w:hint="eastAsia" w:cs="宋体"/>
          <w:b/>
          <w:bCs/>
          <w:color w:val="auto"/>
          <w:spacing w:val="-6"/>
          <w:highlight w:val="none"/>
          <w:lang w:val="en-US" w:eastAsia="zh-CN"/>
        </w:rPr>
        <w:t>标项：</w:t>
      </w:r>
    </w:p>
    <w:p>
      <w:pPr>
        <w:ind w:firstLine="602"/>
        <w:jc w:val="center"/>
        <w:rPr>
          <w:rFonts w:cs="宋体"/>
          <w:color w:val="auto"/>
          <w:sz w:val="30"/>
          <w:szCs w:val="30"/>
          <w:highlight w:val="none"/>
        </w:rPr>
      </w:pPr>
      <w:r>
        <w:rPr>
          <w:rFonts w:hint="eastAsia" w:cs="宋体"/>
          <w:b/>
          <w:bCs/>
          <w:color w:val="auto"/>
          <w:sz w:val="30"/>
          <w:szCs w:val="30"/>
          <w:highlight w:val="none"/>
        </w:rPr>
        <w:t>资信技术文件</w:t>
      </w:r>
    </w:p>
    <w:p>
      <w:pPr>
        <w:pStyle w:val="48"/>
        <w:rPr>
          <w:rFonts w:ascii="宋体" w:hAnsi="宋体" w:eastAsia="宋体" w:cs="宋体"/>
          <w:color w:val="auto"/>
          <w:sz w:val="30"/>
          <w:szCs w:val="30"/>
          <w:highlight w:val="none"/>
        </w:rPr>
      </w:pPr>
    </w:p>
    <w:p>
      <w:pPr>
        <w:pStyle w:val="48"/>
        <w:rPr>
          <w:rFonts w:ascii="宋体" w:hAnsi="宋体" w:eastAsia="宋体" w:cs="宋体"/>
          <w:color w:val="auto"/>
          <w:sz w:val="30"/>
          <w:szCs w:val="30"/>
          <w:highlight w:val="none"/>
        </w:rPr>
      </w:pPr>
    </w:p>
    <w:p>
      <w:pPr>
        <w:pStyle w:val="48"/>
        <w:rPr>
          <w:rFonts w:ascii="宋体" w:hAnsi="宋体" w:eastAsia="宋体" w:cs="宋体"/>
          <w:color w:val="auto"/>
          <w:sz w:val="30"/>
          <w:szCs w:val="30"/>
          <w:highlight w:val="none"/>
        </w:rPr>
      </w:pPr>
    </w:p>
    <w:p>
      <w:pPr>
        <w:ind w:firstLine="600"/>
        <w:rPr>
          <w:rFonts w:cs="宋体"/>
          <w:color w:val="auto"/>
          <w:sz w:val="30"/>
          <w:szCs w:val="30"/>
          <w:highlight w:val="none"/>
        </w:rPr>
      </w:pPr>
      <w:r>
        <w:rPr>
          <w:rFonts w:hint="eastAsia" w:cs="宋体"/>
          <w:color w:val="auto"/>
          <w:sz w:val="30"/>
          <w:szCs w:val="30"/>
          <w:highlight w:val="none"/>
        </w:rPr>
        <w:t>采 购 人：</w:t>
      </w:r>
    </w:p>
    <w:p>
      <w:pPr>
        <w:ind w:firstLine="600"/>
        <w:rPr>
          <w:rFonts w:cs="宋体"/>
          <w:color w:val="auto"/>
          <w:sz w:val="30"/>
          <w:szCs w:val="30"/>
          <w:highlight w:val="none"/>
        </w:rPr>
      </w:pPr>
      <w:r>
        <w:rPr>
          <w:rFonts w:hint="eastAsia" w:cs="宋体"/>
          <w:color w:val="auto"/>
          <w:sz w:val="30"/>
          <w:szCs w:val="30"/>
          <w:highlight w:val="none"/>
        </w:rPr>
        <w:t>项目名称：</w:t>
      </w:r>
    </w:p>
    <w:p>
      <w:pPr>
        <w:ind w:firstLine="600"/>
        <w:rPr>
          <w:rFonts w:cs="宋体"/>
          <w:color w:val="auto"/>
          <w:sz w:val="30"/>
          <w:szCs w:val="30"/>
          <w:highlight w:val="none"/>
        </w:rPr>
      </w:pPr>
      <w:r>
        <w:rPr>
          <w:rFonts w:hint="eastAsia" w:cs="宋体"/>
          <w:color w:val="auto"/>
          <w:sz w:val="30"/>
          <w:szCs w:val="30"/>
          <w:highlight w:val="none"/>
        </w:rPr>
        <w:t>项目编号：</w:t>
      </w:r>
    </w:p>
    <w:p>
      <w:pPr>
        <w:ind w:firstLine="600"/>
        <w:rPr>
          <w:rFonts w:cs="宋体"/>
          <w:color w:val="auto"/>
          <w:sz w:val="30"/>
          <w:szCs w:val="30"/>
          <w:highlight w:val="none"/>
        </w:rPr>
      </w:pPr>
      <w:r>
        <w:rPr>
          <w:rFonts w:hint="eastAsia" w:cs="宋体"/>
          <w:color w:val="auto"/>
          <w:sz w:val="30"/>
          <w:szCs w:val="30"/>
          <w:highlight w:val="none"/>
        </w:rPr>
        <w:t>投标人名称（盖章）：</w:t>
      </w:r>
    </w:p>
    <w:p>
      <w:pPr>
        <w:ind w:firstLine="600"/>
        <w:rPr>
          <w:rFonts w:cs="宋体"/>
          <w:color w:val="auto"/>
          <w:sz w:val="30"/>
          <w:szCs w:val="30"/>
          <w:highlight w:val="none"/>
        </w:rPr>
      </w:pPr>
      <w:r>
        <w:rPr>
          <w:rFonts w:hint="eastAsia" w:cs="宋体"/>
          <w:color w:val="auto"/>
          <w:sz w:val="30"/>
          <w:szCs w:val="30"/>
          <w:highlight w:val="none"/>
        </w:rPr>
        <w:t>投标人地址：</w:t>
      </w:r>
    </w:p>
    <w:p>
      <w:pPr>
        <w:ind w:firstLine="600"/>
        <w:rPr>
          <w:rFonts w:cs="宋体"/>
          <w:color w:val="auto"/>
          <w:sz w:val="30"/>
          <w:szCs w:val="30"/>
          <w:highlight w:val="none"/>
        </w:rPr>
      </w:pPr>
    </w:p>
    <w:p>
      <w:pPr>
        <w:ind w:firstLine="600"/>
        <w:rPr>
          <w:rFonts w:cs="宋体"/>
          <w:color w:val="auto"/>
          <w:sz w:val="30"/>
          <w:szCs w:val="30"/>
          <w:highlight w:val="none"/>
        </w:rPr>
      </w:pPr>
      <w:r>
        <w:rPr>
          <w:rFonts w:hint="eastAsia" w:cs="宋体"/>
          <w:color w:val="auto"/>
          <w:sz w:val="30"/>
          <w:szCs w:val="30"/>
          <w:highlight w:val="none"/>
        </w:rPr>
        <w:t>授权代表签字或盖章：</w:t>
      </w:r>
    </w:p>
    <w:p>
      <w:pPr>
        <w:ind w:firstLine="600"/>
        <w:rPr>
          <w:rFonts w:cs="宋体"/>
          <w:color w:val="auto"/>
          <w:sz w:val="30"/>
          <w:szCs w:val="30"/>
          <w:highlight w:val="none"/>
        </w:rPr>
        <w:sectPr>
          <w:pgSz w:w="11907" w:h="16840"/>
          <w:pgMar w:top="1440" w:right="1080" w:bottom="1440" w:left="1080" w:header="850" w:footer="992" w:gutter="0"/>
          <w:cols w:space="720" w:num="1"/>
          <w:docGrid w:linePitch="286" w:charSpace="0"/>
        </w:sectPr>
      </w:pPr>
      <w:r>
        <w:rPr>
          <w:rFonts w:hint="eastAsia" w:cs="宋体"/>
          <w:color w:val="auto"/>
          <w:sz w:val="30"/>
          <w:szCs w:val="30"/>
          <w:highlight w:val="none"/>
        </w:rPr>
        <w:t>日期：    年  月  日</w:t>
      </w:r>
    </w:p>
    <w:p>
      <w:pPr>
        <w:pStyle w:val="4"/>
        <w:rPr>
          <w:color w:val="auto"/>
          <w:highlight w:val="none"/>
        </w:rPr>
      </w:pPr>
      <w:bookmarkStart w:id="205" w:name="_Toc520"/>
      <w:bookmarkStart w:id="206" w:name="_Toc18939"/>
      <w:bookmarkStart w:id="207" w:name="_Toc7692"/>
      <w:r>
        <w:rPr>
          <w:rFonts w:hint="eastAsia"/>
          <w:color w:val="auto"/>
          <w:highlight w:val="none"/>
        </w:rPr>
        <w:t>评分索引表（请放在目录前页）</w:t>
      </w:r>
      <w:bookmarkEnd w:id="205"/>
      <w:bookmarkEnd w:id="206"/>
    </w:p>
    <w:tbl>
      <w:tblPr>
        <w:tblStyle w:val="40"/>
        <w:tblW w:w="0" w:type="auto"/>
        <w:tblInd w:w="0" w:type="dxa"/>
        <w:tblLayout w:type="fixed"/>
        <w:tblCellMar>
          <w:top w:w="0" w:type="dxa"/>
          <w:left w:w="108" w:type="dxa"/>
          <w:bottom w:w="0" w:type="dxa"/>
          <w:right w:w="108" w:type="dxa"/>
        </w:tblCellMar>
      </w:tblPr>
      <w:tblGrid>
        <w:gridCol w:w="708"/>
        <w:gridCol w:w="851"/>
        <w:gridCol w:w="6175"/>
        <w:gridCol w:w="850"/>
        <w:gridCol w:w="805"/>
      </w:tblGrid>
      <w:tr>
        <w:tblPrEx>
          <w:tblCellMar>
            <w:top w:w="0" w:type="dxa"/>
            <w:left w:w="108" w:type="dxa"/>
            <w:bottom w:w="0" w:type="dxa"/>
            <w:right w:w="108" w:type="dxa"/>
          </w:tblCellMar>
        </w:tblPrEx>
        <w:trPr>
          <w:trHeight w:val="1084" w:hRule="atLeast"/>
        </w:trPr>
        <w:tc>
          <w:tcPr>
            <w:tcW w:w="708" w:type="dxa"/>
            <w:tcBorders>
              <w:top w:val="single" w:color="auto" w:sz="8" w:space="0"/>
              <w:left w:val="single" w:color="auto" w:sz="8" w:space="0"/>
              <w:bottom w:val="nil"/>
              <w:right w:val="single" w:color="auto" w:sz="8" w:space="0"/>
            </w:tcBorders>
            <w:shd w:val="clear" w:color="000000" w:fill="FFFFFF"/>
            <w:vAlign w:val="center"/>
          </w:tcPr>
          <w:p>
            <w:pPr>
              <w:widowControl/>
              <w:ind w:firstLine="0" w:firstLineChars="0"/>
              <w:jc w:val="center"/>
              <w:rPr>
                <w:rFonts w:cs="宋体"/>
                <w:color w:val="auto"/>
                <w:kern w:val="0"/>
                <w:szCs w:val="21"/>
                <w:highlight w:val="none"/>
              </w:rPr>
            </w:pPr>
            <w:r>
              <w:rPr>
                <w:rFonts w:hint="eastAsia" w:cs="宋体"/>
                <w:color w:val="auto"/>
                <w:kern w:val="0"/>
                <w:szCs w:val="21"/>
                <w:highlight w:val="none"/>
              </w:rPr>
              <w:t>序号</w:t>
            </w:r>
          </w:p>
        </w:tc>
        <w:tc>
          <w:tcPr>
            <w:tcW w:w="851" w:type="dxa"/>
            <w:tcBorders>
              <w:top w:val="single" w:color="auto" w:sz="8" w:space="0"/>
              <w:left w:val="nil"/>
              <w:bottom w:val="nil"/>
              <w:right w:val="single" w:color="auto" w:sz="8" w:space="0"/>
            </w:tcBorders>
            <w:shd w:val="clear" w:color="000000" w:fill="FFFFFF"/>
            <w:vAlign w:val="center"/>
          </w:tcPr>
          <w:p>
            <w:pPr>
              <w:widowControl/>
              <w:ind w:firstLine="0" w:firstLineChars="0"/>
              <w:jc w:val="center"/>
              <w:rPr>
                <w:rFonts w:cs="宋体"/>
                <w:color w:val="auto"/>
                <w:kern w:val="0"/>
                <w:szCs w:val="21"/>
                <w:highlight w:val="none"/>
              </w:rPr>
            </w:pPr>
            <w:r>
              <w:rPr>
                <w:rFonts w:hint="eastAsia" w:cs="宋体"/>
                <w:color w:val="auto"/>
                <w:kern w:val="0"/>
                <w:szCs w:val="21"/>
                <w:highlight w:val="none"/>
              </w:rPr>
              <w:t>评分</w:t>
            </w:r>
          </w:p>
          <w:p>
            <w:pPr>
              <w:widowControl/>
              <w:ind w:firstLine="0" w:firstLineChars="0"/>
              <w:jc w:val="center"/>
              <w:rPr>
                <w:rFonts w:cs="宋体"/>
                <w:color w:val="auto"/>
                <w:kern w:val="0"/>
                <w:szCs w:val="21"/>
                <w:highlight w:val="none"/>
              </w:rPr>
            </w:pPr>
            <w:r>
              <w:rPr>
                <w:rFonts w:hint="eastAsia" w:cs="宋体"/>
                <w:color w:val="auto"/>
                <w:kern w:val="0"/>
                <w:szCs w:val="21"/>
                <w:highlight w:val="none"/>
              </w:rPr>
              <w:t>内容</w:t>
            </w:r>
          </w:p>
        </w:tc>
        <w:tc>
          <w:tcPr>
            <w:tcW w:w="6175" w:type="dxa"/>
            <w:tcBorders>
              <w:top w:val="single" w:color="auto" w:sz="8" w:space="0"/>
              <w:left w:val="nil"/>
              <w:bottom w:val="nil"/>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r>
              <w:rPr>
                <w:rFonts w:hint="eastAsia" w:cs="宋体"/>
                <w:color w:val="auto"/>
                <w:kern w:val="0"/>
                <w:szCs w:val="21"/>
                <w:highlight w:val="none"/>
              </w:rPr>
              <w:t>评分原则</w:t>
            </w: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r>
              <w:rPr>
                <w:rFonts w:hint="eastAsia" w:cs="宋体"/>
                <w:color w:val="auto"/>
                <w:kern w:val="0"/>
                <w:szCs w:val="21"/>
                <w:highlight w:val="none"/>
              </w:rPr>
              <w:t>自评分</w:t>
            </w: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r>
              <w:rPr>
                <w:rFonts w:hint="eastAsia" w:cs="宋体"/>
                <w:color w:val="auto"/>
                <w:kern w:val="0"/>
                <w:szCs w:val="21"/>
                <w:highlight w:val="none"/>
              </w:rPr>
              <w:t>投标文件页码</w:t>
            </w:r>
          </w:p>
        </w:tc>
      </w:tr>
      <w:tr>
        <w:tblPrEx>
          <w:tblCellMar>
            <w:top w:w="0" w:type="dxa"/>
            <w:left w:w="108" w:type="dxa"/>
            <w:bottom w:w="0" w:type="dxa"/>
            <w:right w:w="108" w:type="dxa"/>
          </w:tblCellMar>
        </w:tblPrEx>
        <w:trPr>
          <w:trHeight w:val="476" w:hRule="atLeast"/>
        </w:trPr>
        <w:tc>
          <w:tcPr>
            <w:tcW w:w="708" w:type="dxa"/>
            <w:vMerge w:val="restart"/>
            <w:tcBorders>
              <w:top w:val="single" w:color="auto" w:sz="4" w:space="0"/>
              <w:left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r>
              <w:rPr>
                <w:rFonts w:hint="eastAsia" w:cs="宋体"/>
                <w:color w:val="auto"/>
                <w:kern w:val="0"/>
                <w:szCs w:val="21"/>
                <w:highlight w:val="none"/>
              </w:rPr>
              <w:t>1</w:t>
            </w:r>
          </w:p>
        </w:tc>
        <w:tc>
          <w:tcPr>
            <w:tcW w:w="851" w:type="dxa"/>
            <w:vMerge w:val="restart"/>
            <w:tcBorders>
              <w:top w:val="single" w:color="auto" w:sz="4" w:space="0"/>
              <w:left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c>
          <w:tcPr>
            <w:tcW w:w="6175" w:type="dxa"/>
            <w:tcBorders>
              <w:top w:val="single" w:color="auto" w:sz="4" w:space="0"/>
              <w:left w:val="nil"/>
              <w:bottom w:val="single" w:color="auto" w:sz="4" w:space="0"/>
              <w:right w:val="single" w:color="auto" w:sz="4" w:space="0"/>
            </w:tcBorders>
            <w:shd w:val="clear" w:color="000000" w:fill="FFFFFF"/>
            <w:vAlign w:val="center"/>
          </w:tcPr>
          <w:p>
            <w:pPr>
              <w:widowControl/>
              <w:ind w:firstLine="0" w:firstLineChars="0"/>
              <w:rPr>
                <w:rFonts w:cs="宋体"/>
                <w:color w:val="auto"/>
                <w:kern w:val="0"/>
                <w:szCs w:val="21"/>
                <w:highlight w:val="none"/>
              </w:rPr>
            </w:pPr>
          </w:p>
        </w:tc>
        <w:tc>
          <w:tcPr>
            <w:tcW w:w="850" w:type="dxa"/>
            <w:tcBorders>
              <w:top w:val="single" w:color="auto" w:sz="4" w:space="0"/>
              <w:left w:val="nil"/>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r>
      <w:tr>
        <w:tblPrEx>
          <w:tblCellMar>
            <w:top w:w="0" w:type="dxa"/>
            <w:left w:w="108" w:type="dxa"/>
            <w:bottom w:w="0" w:type="dxa"/>
            <w:right w:w="108" w:type="dxa"/>
          </w:tblCellMar>
        </w:tblPrEx>
        <w:trPr>
          <w:trHeight w:val="476" w:hRule="atLeast"/>
        </w:trPr>
        <w:tc>
          <w:tcPr>
            <w:tcW w:w="708" w:type="dxa"/>
            <w:vMerge w:val="continue"/>
            <w:tcBorders>
              <w:left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c>
          <w:tcPr>
            <w:tcW w:w="851" w:type="dxa"/>
            <w:vMerge w:val="continue"/>
            <w:tcBorders>
              <w:left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c>
          <w:tcPr>
            <w:tcW w:w="6175" w:type="dxa"/>
            <w:tcBorders>
              <w:top w:val="single" w:color="auto" w:sz="4" w:space="0"/>
              <w:left w:val="nil"/>
              <w:bottom w:val="single" w:color="auto" w:sz="4" w:space="0"/>
              <w:right w:val="single" w:color="auto" w:sz="4" w:space="0"/>
            </w:tcBorders>
            <w:shd w:val="clear" w:color="000000" w:fill="FFFFFF"/>
            <w:vAlign w:val="center"/>
          </w:tcPr>
          <w:p>
            <w:pPr>
              <w:widowControl/>
              <w:ind w:firstLine="0" w:firstLineChars="0"/>
              <w:rPr>
                <w:rFonts w:cs="宋体"/>
                <w:color w:val="auto"/>
                <w:kern w:val="0"/>
                <w:szCs w:val="21"/>
                <w:highlight w:val="none"/>
              </w:rPr>
            </w:pPr>
          </w:p>
        </w:tc>
        <w:tc>
          <w:tcPr>
            <w:tcW w:w="850" w:type="dxa"/>
            <w:tcBorders>
              <w:top w:val="single" w:color="auto" w:sz="4" w:space="0"/>
              <w:left w:val="nil"/>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r>
      <w:tr>
        <w:tblPrEx>
          <w:tblCellMar>
            <w:top w:w="0" w:type="dxa"/>
            <w:left w:w="108" w:type="dxa"/>
            <w:bottom w:w="0" w:type="dxa"/>
            <w:right w:w="108" w:type="dxa"/>
          </w:tblCellMar>
        </w:tblPrEx>
        <w:trPr>
          <w:trHeight w:val="476" w:hRule="atLeast"/>
        </w:trPr>
        <w:tc>
          <w:tcPr>
            <w:tcW w:w="708" w:type="dxa"/>
            <w:vMerge w:val="continue"/>
            <w:tcBorders>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c>
          <w:tcPr>
            <w:tcW w:w="851" w:type="dxa"/>
            <w:vMerge w:val="continue"/>
            <w:tcBorders>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c>
          <w:tcPr>
            <w:tcW w:w="6175" w:type="dxa"/>
            <w:tcBorders>
              <w:top w:val="single" w:color="auto" w:sz="4" w:space="0"/>
              <w:left w:val="nil"/>
              <w:bottom w:val="single" w:color="auto" w:sz="4" w:space="0"/>
              <w:right w:val="single" w:color="auto" w:sz="4" w:space="0"/>
            </w:tcBorders>
            <w:shd w:val="clear" w:color="000000" w:fill="FFFFFF"/>
            <w:vAlign w:val="center"/>
          </w:tcPr>
          <w:p>
            <w:pPr>
              <w:widowControl/>
              <w:ind w:firstLine="0" w:firstLineChars="0"/>
              <w:rPr>
                <w:rFonts w:cs="宋体"/>
                <w:color w:val="auto"/>
                <w:kern w:val="0"/>
                <w:szCs w:val="21"/>
                <w:highlight w:val="none"/>
              </w:rPr>
            </w:pPr>
          </w:p>
        </w:tc>
        <w:tc>
          <w:tcPr>
            <w:tcW w:w="850" w:type="dxa"/>
            <w:tcBorders>
              <w:top w:val="single" w:color="auto" w:sz="4" w:space="0"/>
              <w:left w:val="nil"/>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r>
      <w:tr>
        <w:tblPrEx>
          <w:tblCellMar>
            <w:top w:w="0" w:type="dxa"/>
            <w:left w:w="108" w:type="dxa"/>
            <w:bottom w:w="0" w:type="dxa"/>
            <w:right w:w="108" w:type="dxa"/>
          </w:tblCellMar>
        </w:tblPrEx>
        <w:trPr>
          <w:trHeight w:val="438" w:hRule="atLeast"/>
        </w:trPr>
        <w:tc>
          <w:tcPr>
            <w:tcW w:w="708"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ind w:firstLine="0" w:firstLineChars="0"/>
              <w:jc w:val="center"/>
              <w:rPr>
                <w:rFonts w:cs="宋体"/>
                <w:color w:val="auto"/>
                <w:kern w:val="0"/>
                <w:szCs w:val="21"/>
                <w:highlight w:val="none"/>
              </w:rPr>
            </w:pPr>
            <w:r>
              <w:rPr>
                <w:rFonts w:hint="eastAsia" w:cs="宋体"/>
                <w:color w:val="auto"/>
                <w:kern w:val="0"/>
                <w:szCs w:val="21"/>
                <w:highlight w:val="none"/>
              </w:rPr>
              <w:t>2</w:t>
            </w:r>
          </w:p>
        </w:tc>
        <w:tc>
          <w:tcPr>
            <w:tcW w:w="851"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adjustRightInd w:val="0"/>
              <w:snapToGrid w:val="0"/>
              <w:spacing w:line="400" w:lineRule="atLeast"/>
              <w:ind w:firstLine="0" w:firstLineChars="0"/>
              <w:rPr>
                <w:rFonts w:cs="宋体"/>
                <w:color w:val="auto"/>
                <w:szCs w:val="32"/>
                <w:highlight w:val="none"/>
              </w:rPr>
            </w:pPr>
          </w:p>
        </w:tc>
        <w:tc>
          <w:tcPr>
            <w:tcW w:w="850" w:type="dxa"/>
            <w:vMerge w:val="restart"/>
            <w:tcBorders>
              <w:top w:val="single" w:color="auto" w:sz="4" w:space="0"/>
              <w:left w:val="single" w:color="auto" w:sz="4" w:space="0"/>
              <w:right w:val="single" w:color="auto" w:sz="4" w:space="0"/>
            </w:tcBorders>
            <w:shd w:val="clear" w:color="000000" w:fill="FFFFFF"/>
            <w:vAlign w:val="center"/>
          </w:tcPr>
          <w:p>
            <w:pPr>
              <w:ind w:firstLine="0" w:firstLineChars="0"/>
              <w:jc w:val="center"/>
              <w:rPr>
                <w:rFonts w:cs="宋体"/>
                <w:color w:val="auto"/>
                <w:kern w:val="0"/>
                <w:szCs w:val="21"/>
                <w:highlight w:val="none"/>
              </w:rPr>
            </w:pPr>
            <w:r>
              <w:rPr>
                <w:rFonts w:hint="eastAsia" w:cs="宋体"/>
                <w:color w:val="auto"/>
                <w:kern w:val="0"/>
                <w:szCs w:val="21"/>
                <w:highlight w:val="none"/>
              </w:rPr>
              <w:t>专家自主评分</w:t>
            </w: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r>
      <w:tr>
        <w:tblPrEx>
          <w:tblCellMar>
            <w:top w:w="0" w:type="dxa"/>
            <w:left w:w="108" w:type="dxa"/>
            <w:bottom w:w="0" w:type="dxa"/>
            <w:right w:w="108" w:type="dxa"/>
          </w:tblCellMar>
        </w:tblPrEx>
        <w:trPr>
          <w:trHeight w:val="544"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0" w:firstLineChars="0"/>
              <w:jc w:val="center"/>
              <w:rPr>
                <w:rFonts w:cs="宋体"/>
                <w:color w:val="auto"/>
                <w:kern w:val="0"/>
                <w:szCs w:val="21"/>
                <w:highlight w:val="none"/>
              </w:rPr>
            </w:pPr>
          </w:p>
        </w:tc>
        <w:tc>
          <w:tcPr>
            <w:tcW w:w="8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0" w:firstLineChars="0"/>
              <w:jc w:val="center"/>
              <w:rPr>
                <w:rFonts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adjustRightInd w:val="0"/>
              <w:snapToGrid w:val="0"/>
              <w:spacing w:line="400" w:lineRule="atLeast"/>
              <w:ind w:firstLine="0" w:firstLineChars="0"/>
              <w:rPr>
                <w:rFonts w:cs="宋体"/>
                <w:color w:val="auto"/>
                <w:szCs w:val="32"/>
                <w:highlight w:val="none"/>
              </w:rPr>
            </w:pPr>
          </w:p>
        </w:tc>
        <w:tc>
          <w:tcPr>
            <w:tcW w:w="850" w:type="dxa"/>
            <w:vMerge w:val="continue"/>
            <w:tcBorders>
              <w:left w:val="single" w:color="auto" w:sz="4" w:space="0"/>
              <w:right w:val="single" w:color="auto" w:sz="4" w:space="0"/>
            </w:tcBorders>
            <w:shd w:val="clear" w:color="000000" w:fill="FFFFFF"/>
            <w:vAlign w:val="center"/>
          </w:tcPr>
          <w:p>
            <w:pPr>
              <w:ind w:firstLine="0" w:firstLineChars="0"/>
              <w:jc w:val="center"/>
              <w:rPr>
                <w:rFonts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r>
      <w:tr>
        <w:tblPrEx>
          <w:tblCellMar>
            <w:top w:w="0" w:type="dxa"/>
            <w:left w:w="108" w:type="dxa"/>
            <w:bottom w:w="0" w:type="dxa"/>
            <w:right w:w="108" w:type="dxa"/>
          </w:tblCellMar>
        </w:tblPrEx>
        <w:trPr>
          <w:trHeight w:val="544"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0" w:firstLineChars="0"/>
              <w:jc w:val="center"/>
              <w:rPr>
                <w:rFonts w:cs="宋体"/>
                <w:color w:val="auto"/>
                <w:kern w:val="0"/>
                <w:szCs w:val="21"/>
                <w:highlight w:val="none"/>
              </w:rPr>
            </w:pPr>
          </w:p>
        </w:tc>
        <w:tc>
          <w:tcPr>
            <w:tcW w:w="8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0" w:firstLineChars="0"/>
              <w:jc w:val="center"/>
              <w:rPr>
                <w:rFonts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djustRightInd w:val="0"/>
              <w:snapToGrid w:val="0"/>
              <w:ind w:firstLine="0" w:firstLineChars="0"/>
              <w:rPr>
                <w:rFonts w:cs="宋体"/>
                <w:color w:val="auto"/>
                <w:highlight w:val="none"/>
              </w:rPr>
            </w:pPr>
          </w:p>
        </w:tc>
        <w:tc>
          <w:tcPr>
            <w:tcW w:w="850" w:type="dxa"/>
            <w:vMerge w:val="continue"/>
            <w:tcBorders>
              <w:left w:val="single" w:color="auto" w:sz="4" w:space="0"/>
              <w:right w:val="single" w:color="auto" w:sz="4" w:space="0"/>
            </w:tcBorders>
            <w:shd w:val="clear" w:color="000000" w:fill="FFFFFF"/>
            <w:vAlign w:val="center"/>
          </w:tcPr>
          <w:p>
            <w:pPr>
              <w:ind w:firstLine="0" w:firstLineChars="0"/>
              <w:jc w:val="center"/>
              <w:rPr>
                <w:rFonts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r>
      <w:tr>
        <w:tblPrEx>
          <w:tblCellMar>
            <w:top w:w="0" w:type="dxa"/>
            <w:left w:w="108" w:type="dxa"/>
            <w:bottom w:w="0" w:type="dxa"/>
            <w:right w:w="108" w:type="dxa"/>
          </w:tblCellMar>
        </w:tblPrEx>
        <w:trPr>
          <w:trHeight w:val="544"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0" w:firstLineChars="0"/>
              <w:jc w:val="center"/>
              <w:rPr>
                <w:rFonts w:cs="宋体"/>
                <w:color w:val="auto"/>
                <w:kern w:val="0"/>
                <w:szCs w:val="21"/>
                <w:highlight w:val="none"/>
              </w:rPr>
            </w:pPr>
          </w:p>
        </w:tc>
        <w:tc>
          <w:tcPr>
            <w:tcW w:w="8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0" w:firstLineChars="0"/>
              <w:jc w:val="center"/>
              <w:rPr>
                <w:rFonts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djustRightInd w:val="0"/>
              <w:snapToGrid w:val="0"/>
              <w:ind w:firstLine="0" w:firstLineChars="0"/>
              <w:rPr>
                <w:rFonts w:cs="宋体"/>
                <w:color w:val="auto"/>
                <w:highlight w:val="none"/>
              </w:rPr>
            </w:pPr>
          </w:p>
        </w:tc>
        <w:tc>
          <w:tcPr>
            <w:tcW w:w="850" w:type="dxa"/>
            <w:vMerge w:val="continue"/>
            <w:tcBorders>
              <w:left w:val="single" w:color="auto" w:sz="4" w:space="0"/>
              <w:right w:val="single" w:color="auto" w:sz="4" w:space="0"/>
            </w:tcBorders>
            <w:shd w:val="clear" w:color="000000" w:fill="FFFFFF"/>
            <w:vAlign w:val="center"/>
          </w:tcPr>
          <w:p>
            <w:pPr>
              <w:ind w:firstLine="0" w:firstLineChars="0"/>
              <w:jc w:val="center"/>
              <w:rPr>
                <w:rFonts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r>
      <w:tr>
        <w:tblPrEx>
          <w:tblCellMar>
            <w:top w:w="0" w:type="dxa"/>
            <w:left w:w="108" w:type="dxa"/>
            <w:bottom w:w="0" w:type="dxa"/>
            <w:right w:w="108" w:type="dxa"/>
          </w:tblCellMar>
        </w:tblPrEx>
        <w:trPr>
          <w:trHeight w:val="424"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ind w:firstLine="0" w:firstLineChars="0"/>
              <w:jc w:val="center"/>
              <w:rPr>
                <w:rFonts w:cs="宋体"/>
                <w:color w:val="auto"/>
                <w:kern w:val="0"/>
                <w:szCs w:val="21"/>
                <w:highlight w:val="none"/>
              </w:rPr>
            </w:pPr>
          </w:p>
        </w:tc>
        <w:tc>
          <w:tcPr>
            <w:tcW w:w="8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0" w:firstLineChars="0"/>
              <w:jc w:val="center"/>
              <w:rPr>
                <w:rFonts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djustRightInd w:val="0"/>
              <w:snapToGrid w:val="0"/>
              <w:ind w:firstLine="0" w:firstLineChars="0"/>
              <w:rPr>
                <w:rFonts w:cs="宋体"/>
                <w:color w:val="auto"/>
                <w:highlight w:val="none"/>
              </w:rPr>
            </w:pPr>
          </w:p>
        </w:tc>
        <w:tc>
          <w:tcPr>
            <w:tcW w:w="850" w:type="dxa"/>
            <w:vMerge w:val="continue"/>
            <w:tcBorders>
              <w:left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r>
      <w:tr>
        <w:tblPrEx>
          <w:tblCellMar>
            <w:top w:w="0" w:type="dxa"/>
            <w:left w:w="108" w:type="dxa"/>
            <w:bottom w:w="0" w:type="dxa"/>
            <w:right w:w="108" w:type="dxa"/>
          </w:tblCellMar>
        </w:tblPrEx>
        <w:trPr>
          <w:trHeight w:val="543"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ind w:firstLine="0" w:firstLineChars="0"/>
              <w:jc w:val="center"/>
              <w:rPr>
                <w:rFonts w:cs="宋体"/>
                <w:color w:val="auto"/>
                <w:kern w:val="0"/>
                <w:szCs w:val="21"/>
                <w:highlight w:val="none"/>
              </w:rPr>
            </w:pPr>
          </w:p>
        </w:tc>
        <w:tc>
          <w:tcPr>
            <w:tcW w:w="8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0" w:firstLineChars="0"/>
              <w:jc w:val="center"/>
              <w:rPr>
                <w:rFonts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djustRightInd w:val="0"/>
              <w:snapToGrid w:val="0"/>
              <w:spacing w:line="400" w:lineRule="atLeast"/>
              <w:ind w:firstLine="0" w:firstLineChars="0"/>
              <w:rPr>
                <w:rFonts w:cs="宋体"/>
                <w:color w:val="auto"/>
                <w:highlight w:val="none"/>
              </w:rPr>
            </w:pPr>
          </w:p>
        </w:tc>
        <w:tc>
          <w:tcPr>
            <w:tcW w:w="850" w:type="dxa"/>
            <w:vMerge w:val="continue"/>
            <w:tcBorders>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r>
    </w:tbl>
    <w:p>
      <w:pPr>
        <w:ind w:firstLine="482"/>
        <w:rPr>
          <w:rFonts w:cs="宋体"/>
          <w:b/>
          <w:color w:val="auto"/>
          <w:kern w:val="0"/>
          <w:szCs w:val="20"/>
          <w:highlight w:val="none"/>
        </w:rPr>
      </w:pPr>
    </w:p>
    <w:p>
      <w:pPr>
        <w:ind w:firstLine="482"/>
        <w:rPr>
          <w:rFonts w:cs="宋体"/>
          <w:b/>
          <w:color w:val="auto"/>
          <w:kern w:val="0"/>
          <w:szCs w:val="20"/>
          <w:highlight w:val="none"/>
        </w:rPr>
      </w:pPr>
      <w:r>
        <w:rPr>
          <w:rFonts w:hint="eastAsia" w:cs="宋体"/>
          <w:b/>
          <w:color w:val="auto"/>
          <w:kern w:val="0"/>
          <w:szCs w:val="20"/>
          <w:highlight w:val="none"/>
        </w:rPr>
        <w:t>根据评分标准自行调整。</w:t>
      </w:r>
    </w:p>
    <w:bookmarkEnd w:id="207"/>
    <w:p>
      <w:pPr>
        <w:pStyle w:val="2"/>
        <w:jc w:val="center"/>
        <w:rPr>
          <w:rFonts w:cs="宋体"/>
          <w:b/>
          <w:bCs/>
          <w:color w:val="auto"/>
          <w:sz w:val="36"/>
          <w:szCs w:val="24"/>
          <w:highlight w:val="none"/>
        </w:rPr>
        <w:sectPr>
          <w:pgSz w:w="11907" w:h="16840"/>
          <w:pgMar w:top="1440" w:right="1080" w:bottom="1440" w:left="1080" w:header="850" w:footer="992" w:gutter="0"/>
          <w:cols w:space="720" w:num="1"/>
          <w:docGrid w:linePitch="286" w:charSpace="0"/>
        </w:sectPr>
      </w:pPr>
    </w:p>
    <w:p>
      <w:pPr>
        <w:pStyle w:val="4"/>
        <w:jc w:val="center"/>
        <w:rPr>
          <w:color w:val="auto"/>
          <w:highlight w:val="none"/>
        </w:rPr>
      </w:pPr>
      <w:bookmarkStart w:id="208" w:name="_Toc25412"/>
      <w:r>
        <w:rPr>
          <w:rFonts w:hint="eastAsia"/>
          <w:color w:val="auto"/>
          <w:highlight w:val="none"/>
        </w:rPr>
        <w:t>资信技术文件目录</w:t>
      </w:r>
      <w:bookmarkEnd w:id="208"/>
    </w:p>
    <w:p>
      <w:pPr>
        <w:ind w:firstLine="480"/>
        <w:rPr>
          <w:rFonts w:cs="宋体"/>
          <w:color w:val="auto"/>
          <w:highlight w:val="none"/>
        </w:rPr>
      </w:pPr>
    </w:p>
    <w:p>
      <w:pPr>
        <w:numPr>
          <w:ilvl w:val="0"/>
          <w:numId w:val="48"/>
        </w:numPr>
        <w:tabs>
          <w:tab w:val="left" w:pos="312"/>
        </w:tabs>
        <w:ind w:firstLine="480"/>
        <w:rPr>
          <w:rFonts w:cs="宋体"/>
          <w:color w:val="auto"/>
          <w:highlight w:val="none"/>
        </w:rPr>
      </w:pPr>
      <w:r>
        <w:rPr>
          <w:rFonts w:hint="eastAsia" w:cs="宋体"/>
          <w:color w:val="auto"/>
          <w:highlight w:val="none"/>
        </w:rPr>
        <w:t xml:space="preserve">法定代表人资格证明书和法定代表人授权委托书 </w:t>
      </w:r>
      <w:r>
        <w:rPr>
          <w:rFonts w:hint="eastAsia" w:cs="宋体"/>
          <w:color w:val="auto"/>
          <w:kern w:val="0"/>
          <w:highlight w:val="none"/>
        </w:rPr>
        <w:t>……………………………（页码）</w:t>
      </w:r>
    </w:p>
    <w:p>
      <w:pPr>
        <w:numPr>
          <w:ilvl w:val="0"/>
          <w:numId w:val="48"/>
        </w:numPr>
        <w:ind w:firstLine="480"/>
        <w:rPr>
          <w:rFonts w:cs="宋体"/>
          <w:color w:val="auto"/>
          <w:highlight w:val="none"/>
        </w:rPr>
      </w:pPr>
      <w:r>
        <w:rPr>
          <w:rFonts w:hint="eastAsia" w:cs="宋体"/>
          <w:color w:val="auto"/>
          <w:highlight w:val="none"/>
        </w:rPr>
        <w:t xml:space="preserve">投标声明书 </w:t>
      </w:r>
      <w:r>
        <w:rPr>
          <w:rFonts w:hint="eastAsia" w:cs="宋体"/>
          <w:color w:val="auto"/>
          <w:kern w:val="0"/>
          <w:highlight w:val="none"/>
        </w:rPr>
        <w:t>………………………………………………………………………（页码）</w:t>
      </w:r>
    </w:p>
    <w:p>
      <w:pPr>
        <w:numPr>
          <w:ilvl w:val="0"/>
          <w:numId w:val="48"/>
        </w:numPr>
        <w:ind w:firstLine="480"/>
        <w:rPr>
          <w:rFonts w:cs="宋体"/>
          <w:color w:val="auto"/>
          <w:highlight w:val="none"/>
        </w:rPr>
      </w:pPr>
      <w:r>
        <w:rPr>
          <w:rFonts w:hint="eastAsia" w:cs="宋体"/>
          <w:color w:val="auto"/>
          <w:highlight w:val="none"/>
        </w:rPr>
        <w:t xml:space="preserve">廉政承诺书 </w:t>
      </w:r>
      <w:r>
        <w:rPr>
          <w:rFonts w:hint="eastAsia" w:cs="宋体"/>
          <w:color w:val="auto"/>
          <w:kern w:val="0"/>
          <w:highlight w:val="none"/>
        </w:rPr>
        <w:t>………………………………………………………………………（页码）</w:t>
      </w:r>
    </w:p>
    <w:p>
      <w:pPr>
        <w:numPr>
          <w:ilvl w:val="0"/>
          <w:numId w:val="48"/>
        </w:numPr>
        <w:ind w:firstLine="480"/>
        <w:rPr>
          <w:rFonts w:cs="宋体"/>
          <w:color w:val="auto"/>
          <w:highlight w:val="none"/>
        </w:rPr>
      </w:pPr>
      <w:r>
        <w:rPr>
          <w:rFonts w:hint="eastAsia" w:cs="宋体"/>
          <w:color w:val="auto"/>
          <w:highlight w:val="none"/>
        </w:rPr>
        <w:t>投标人情况表（附营业执照、证书复印件） …………………………………（页码）</w:t>
      </w:r>
    </w:p>
    <w:p>
      <w:pPr>
        <w:numPr>
          <w:ilvl w:val="0"/>
          <w:numId w:val="48"/>
        </w:numPr>
        <w:tabs>
          <w:tab w:val="left" w:pos="312"/>
        </w:tabs>
        <w:ind w:firstLine="480"/>
        <w:rPr>
          <w:rFonts w:hint="eastAsia" w:cs="宋体"/>
          <w:color w:val="auto"/>
          <w:highlight w:val="none"/>
        </w:rPr>
      </w:pPr>
      <w:r>
        <w:rPr>
          <w:rFonts w:hint="eastAsia" w:cs="宋体"/>
          <w:color w:val="auto"/>
          <w:highlight w:val="none"/>
        </w:rPr>
        <w:t>同类项目实施情况一览表 ………………………………………………………（页码）</w:t>
      </w:r>
    </w:p>
    <w:p>
      <w:pPr>
        <w:numPr>
          <w:ilvl w:val="0"/>
          <w:numId w:val="48"/>
        </w:numPr>
        <w:tabs>
          <w:tab w:val="left" w:pos="312"/>
        </w:tabs>
        <w:ind w:firstLine="480"/>
        <w:rPr>
          <w:rFonts w:hint="eastAsia" w:cs="宋体"/>
          <w:color w:val="auto"/>
          <w:highlight w:val="none"/>
        </w:rPr>
      </w:pPr>
      <w:r>
        <w:rPr>
          <w:rFonts w:hint="eastAsia" w:cs="宋体"/>
          <w:color w:val="auto"/>
          <w:highlight w:val="none"/>
        </w:rPr>
        <w:t>技术规范偏离表 …………………………………………………………………（页码）</w:t>
      </w:r>
    </w:p>
    <w:p>
      <w:pPr>
        <w:numPr>
          <w:ilvl w:val="0"/>
          <w:numId w:val="48"/>
        </w:numPr>
        <w:tabs>
          <w:tab w:val="left" w:pos="312"/>
        </w:tabs>
        <w:ind w:firstLine="480"/>
        <w:rPr>
          <w:rFonts w:hint="eastAsia" w:cs="宋体"/>
          <w:color w:val="auto"/>
          <w:highlight w:val="none"/>
        </w:rPr>
      </w:pPr>
      <w:r>
        <w:rPr>
          <w:rFonts w:hint="eastAsia" w:cs="宋体"/>
          <w:color w:val="auto"/>
          <w:highlight w:val="none"/>
        </w:rPr>
        <w:t>项目方案……………………………………………………………………………（页码）</w:t>
      </w:r>
    </w:p>
    <w:p>
      <w:pPr>
        <w:numPr>
          <w:ilvl w:val="0"/>
          <w:numId w:val="48"/>
        </w:numPr>
        <w:tabs>
          <w:tab w:val="left" w:pos="312"/>
        </w:tabs>
        <w:ind w:firstLine="480"/>
        <w:rPr>
          <w:rFonts w:hint="eastAsia" w:cs="宋体"/>
          <w:color w:val="auto"/>
          <w:highlight w:val="none"/>
        </w:rPr>
      </w:pPr>
      <w:r>
        <w:rPr>
          <w:rFonts w:hint="eastAsia" w:cs="宋体"/>
          <w:color w:val="auto"/>
          <w:highlight w:val="none"/>
        </w:rPr>
        <w:t>服务团队……………………………………………………………………………（页码）</w:t>
      </w:r>
    </w:p>
    <w:p>
      <w:pPr>
        <w:numPr>
          <w:ilvl w:val="0"/>
          <w:numId w:val="48"/>
        </w:numPr>
        <w:tabs>
          <w:tab w:val="left" w:pos="312"/>
        </w:tabs>
        <w:ind w:firstLine="480"/>
        <w:rPr>
          <w:rFonts w:hint="eastAsia" w:cs="宋体"/>
          <w:color w:val="auto"/>
          <w:highlight w:val="none"/>
        </w:rPr>
      </w:pPr>
      <w:r>
        <w:rPr>
          <w:rFonts w:hint="eastAsia" w:cs="宋体"/>
          <w:color w:val="auto"/>
          <w:highlight w:val="none"/>
          <w:lang w:eastAsia="zh-CN"/>
        </w:rPr>
        <w:t>自建专家库</w:t>
      </w:r>
      <w:r>
        <w:rPr>
          <w:rFonts w:hint="eastAsia" w:cs="宋体"/>
          <w:color w:val="auto"/>
          <w:highlight w:val="none"/>
        </w:rPr>
        <w:t>………………………………………………………………………（页码）</w:t>
      </w:r>
    </w:p>
    <w:p>
      <w:pPr>
        <w:numPr>
          <w:ilvl w:val="0"/>
          <w:numId w:val="48"/>
        </w:numPr>
        <w:tabs>
          <w:tab w:val="left" w:pos="312"/>
        </w:tabs>
        <w:ind w:firstLine="480"/>
        <w:rPr>
          <w:rFonts w:hint="eastAsia" w:cs="宋体"/>
          <w:color w:val="auto"/>
          <w:highlight w:val="none"/>
        </w:rPr>
      </w:pPr>
      <w:r>
        <w:rPr>
          <w:rFonts w:hint="eastAsia" w:cs="宋体"/>
          <w:color w:val="auto"/>
          <w:highlight w:val="none"/>
        </w:rPr>
        <w:t>维护计划…………………………………………………………………………（页码）</w:t>
      </w:r>
    </w:p>
    <w:p>
      <w:pPr>
        <w:numPr>
          <w:ilvl w:val="0"/>
          <w:numId w:val="48"/>
        </w:numPr>
        <w:tabs>
          <w:tab w:val="left" w:pos="312"/>
        </w:tabs>
        <w:ind w:firstLine="480"/>
        <w:rPr>
          <w:rFonts w:hint="eastAsia" w:cs="宋体"/>
          <w:color w:val="auto"/>
          <w:highlight w:val="none"/>
        </w:rPr>
      </w:pPr>
      <w:r>
        <w:rPr>
          <w:rFonts w:hint="eastAsia" w:cs="宋体"/>
          <w:color w:val="auto"/>
          <w:highlight w:val="none"/>
        </w:rPr>
        <w:t>实施计划…………………………………………………………………………（页码）</w:t>
      </w:r>
    </w:p>
    <w:p>
      <w:pPr>
        <w:numPr>
          <w:ilvl w:val="0"/>
          <w:numId w:val="48"/>
        </w:numPr>
        <w:tabs>
          <w:tab w:val="left" w:pos="312"/>
        </w:tabs>
        <w:ind w:firstLine="480"/>
        <w:rPr>
          <w:rFonts w:hint="eastAsia" w:cs="宋体"/>
          <w:color w:val="auto"/>
          <w:highlight w:val="none"/>
        </w:rPr>
      </w:pPr>
      <w:r>
        <w:rPr>
          <w:rFonts w:hint="eastAsia" w:cs="宋体"/>
          <w:color w:val="auto"/>
          <w:highlight w:val="none"/>
        </w:rPr>
        <w:t>售后服务…………………………………………………………………………（页码）</w:t>
      </w:r>
    </w:p>
    <w:p>
      <w:pPr>
        <w:numPr>
          <w:ilvl w:val="0"/>
          <w:numId w:val="48"/>
        </w:numPr>
        <w:tabs>
          <w:tab w:val="left" w:pos="312"/>
        </w:tabs>
        <w:ind w:firstLine="480"/>
        <w:rPr>
          <w:rFonts w:hint="eastAsia" w:cs="宋体"/>
          <w:color w:val="auto"/>
          <w:highlight w:val="none"/>
        </w:rPr>
      </w:pPr>
      <w:r>
        <w:rPr>
          <w:rFonts w:hint="eastAsia" w:cs="宋体"/>
          <w:color w:val="auto"/>
          <w:highlight w:val="none"/>
        </w:rPr>
        <w:t>培训方案…………………………………………………………………………（页码）</w:t>
      </w:r>
    </w:p>
    <w:p>
      <w:pPr>
        <w:numPr>
          <w:ilvl w:val="0"/>
          <w:numId w:val="48"/>
        </w:numPr>
        <w:tabs>
          <w:tab w:val="left" w:pos="312"/>
        </w:tabs>
        <w:ind w:firstLine="480"/>
        <w:rPr>
          <w:rFonts w:hint="eastAsia" w:cs="宋体"/>
          <w:color w:val="auto"/>
          <w:highlight w:val="none"/>
        </w:rPr>
      </w:pPr>
      <w:r>
        <w:rPr>
          <w:rFonts w:hint="eastAsia" w:cs="宋体"/>
          <w:color w:val="auto"/>
          <w:highlight w:val="none"/>
        </w:rPr>
        <w:t>优惠承诺…………………………………………………………………………（页码）</w:t>
      </w:r>
    </w:p>
    <w:p>
      <w:pPr>
        <w:numPr>
          <w:ilvl w:val="0"/>
          <w:numId w:val="48"/>
        </w:numPr>
        <w:tabs>
          <w:tab w:val="left" w:pos="312"/>
        </w:tabs>
        <w:ind w:firstLine="480"/>
        <w:rPr>
          <w:rFonts w:hint="eastAsia" w:cs="宋体"/>
          <w:color w:val="auto"/>
          <w:highlight w:val="none"/>
        </w:rPr>
      </w:pPr>
      <w:r>
        <w:rPr>
          <w:rFonts w:hint="eastAsia" w:cs="宋体"/>
          <w:color w:val="auto"/>
          <w:highlight w:val="none"/>
        </w:rPr>
        <w:t>其它本</w:t>
      </w:r>
      <w:r>
        <w:rPr>
          <w:rFonts w:hint="eastAsia" w:cs="宋体"/>
          <w:color w:val="auto"/>
          <w:highlight w:val="none"/>
          <w:lang w:val="en-US" w:eastAsia="zh-CN"/>
        </w:rPr>
        <w:t>招标</w:t>
      </w:r>
      <w:r>
        <w:rPr>
          <w:rFonts w:hint="eastAsia" w:cs="宋体"/>
          <w:color w:val="auto"/>
          <w:highlight w:val="none"/>
        </w:rPr>
        <w:t>文件评分表要求提供的材料或</w:t>
      </w:r>
      <w:r>
        <w:rPr>
          <w:rFonts w:hint="eastAsia" w:cs="宋体"/>
          <w:color w:val="auto"/>
          <w:highlight w:val="none"/>
          <w:lang w:val="en-US" w:eastAsia="zh-CN"/>
        </w:rPr>
        <w:t>投标</w:t>
      </w:r>
      <w:r>
        <w:rPr>
          <w:rFonts w:hint="eastAsia" w:cs="宋体"/>
          <w:color w:val="auto"/>
          <w:highlight w:val="none"/>
        </w:rPr>
        <w:t>供应商认为需要的其他技术文件资料或说明……………………………………………………………………………………（页码）</w:t>
      </w:r>
    </w:p>
    <w:p>
      <w:pPr>
        <w:pStyle w:val="48"/>
        <w:rPr>
          <w:rFonts w:ascii="宋体" w:hAnsi="宋体" w:eastAsia="宋体" w:cs="宋体"/>
          <w:color w:val="auto"/>
          <w:highlight w:val="none"/>
        </w:rPr>
      </w:pPr>
      <w:r>
        <w:rPr>
          <w:rFonts w:hint="eastAsia" w:ascii="宋体" w:hAnsi="宋体" w:eastAsia="宋体" w:cs="宋体"/>
          <w:color w:val="auto"/>
          <w:highlight w:val="none"/>
        </w:rPr>
        <w:t>（根据评分标准及招标文件要求自行调整）</w:t>
      </w:r>
    </w:p>
    <w:sdt>
      <w:sdtPr>
        <w:rPr>
          <w:rFonts w:hint="eastAsia" w:cs="宋体"/>
          <w:color w:val="auto"/>
          <w:kern w:val="2"/>
          <w:sz w:val="21"/>
          <w:szCs w:val="24"/>
          <w:highlight w:val="none"/>
        </w:rPr>
        <w:id w:val="147477178"/>
        <w:showingPlcHdr/>
        <w15:color w:val="DBDBDB"/>
        <w:docPartObj>
          <w:docPartGallery w:val="Table of Contents"/>
          <w:docPartUnique/>
        </w:docPartObj>
      </w:sdtPr>
      <w:sdtEndPr>
        <w:rPr>
          <w:rFonts w:hint="eastAsia" w:cs="宋体"/>
          <w:color w:val="auto"/>
          <w:kern w:val="2"/>
          <w:sz w:val="21"/>
          <w:szCs w:val="22"/>
          <w:highlight w:val="none"/>
        </w:rPr>
      </w:sdtEndPr>
      <w:sdtContent>
        <w:p>
          <w:pPr>
            <w:pStyle w:val="2"/>
            <w:ind w:firstLine="0"/>
            <w:rPr>
              <w:rFonts w:cs="宋体"/>
              <w:color w:val="auto"/>
              <w:highlight w:val="none"/>
            </w:rPr>
          </w:pPr>
        </w:p>
      </w:sdtContent>
    </w:sdt>
    <w:p>
      <w:pPr>
        <w:ind w:firstLine="480"/>
        <w:rPr>
          <w:rFonts w:cs="宋体"/>
          <w:iCs/>
          <w:color w:val="auto"/>
          <w:highlight w:val="none"/>
        </w:rPr>
      </w:pPr>
      <w:r>
        <w:rPr>
          <w:rFonts w:hint="eastAsia" w:cs="宋体"/>
          <w:iCs/>
          <w:color w:val="auto"/>
          <w:highlight w:val="none"/>
        </w:rPr>
        <w:br w:type="page"/>
      </w:r>
    </w:p>
    <w:p>
      <w:pPr>
        <w:pStyle w:val="5"/>
        <w:numPr>
          <w:ilvl w:val="0"/>
          <w:numId w:val="49"/>
        </w:numPr>
        <w:rPr>
          <w:color w:val="auto"/>
          <w:highlight w:val="none"/>
        </w:rPr>
      </w:pPr>
      <w:bookmarkStart w:id="209" w:name="_Toc1671"/>
      <w:r>
        <w:rPr>
          <w:rFonts w:hint="eastAsia"/>
          <w:color w:val="auto"/>
          <w:highlight w:val="none"/>
        </w:rPr>
        <w:t>法定代表人资格证明书、法定代表人授权书</w:t>
      </w:r>
      <w:bookmarkEnd w:id="209"/>
    </w:p>
    <w:p>
      <w:pPr>
        <w:ind w:firstLine="0" w:firstLineChars="0"/>
        <w:rPr>
          <w:rFonts w:cs="宋体"/>
          <w:i/>
          <w:iCs/>
          <w:color w:val="auto"/>
          <w:highlight w:val="none"/>
        </w:rPr>
      </w:pPr>
    </w:p>
    <w:p>
      <w:pPr>
        <w:snapToGrid w:val="0"/>
        <w:ind w:firstLine="0" w:firstLineChars="0"/>
        <w:jc w:val="center"/>
        <w:rPr>
          <w:rFonts w:cs="宋体"/>
          <w:b/>
          <w:color w:val="auto"/>
          <w:kern w:val="0"/>
          <w:sz w:val="32"/>
          <w:highlight w:val="none"/>
        </w:rPr>
      </w:pPr>
      <w:bookmarkStart w:id="210" w:name="_Toc24502"/>
      <w:r>
        <w:rPr>
          <w:rFonts w:hint="eastAsia" w:cs="宋体"/>
          <w:b/>
          <w:color w:val="auto"/>
          <w:kern w:val="0"/>
          <w:sz w:val="32"/>
          <w:highlight w:val="none"/>
        </w:rPr>
        <w:t>法定代表人资格证明书</w:t>
      </w:r>
      <w:bookmarkEnd w:id="210"/>
    </w:p>
    <w:p>
      <w:pPr>
        <w:ind w:firstLine="456"/>
        <w:rPr>
          <w:rFonts w:cs="宋体"/>
          <w:bCs/>
          <w:color w:val="auto"/>
          <w:spacing w:val="-6"/>
          <w:highlight w:val="none"/>
        </w:rPr>
      </w:pPr>
    </w:p>
    <w:p>
      <w:pPr>
        <w:ind w:firstLine="456"/>
        <w:rPr>
          <w:rFonts w:hint="eastAsia" w:eastAsia="宋体" w:cs="宋体"/>
          <w:bCs/>
          <w:color w:val="auto"/>
          <w:spacing w:val="-6"/>
          <w:highlight w:val="none"/>
          <w:lang w:eastAsia="zh-CN"/>
        </w:rPr>
      </w:pPr>
      <w:r>
        <w:rPr>
          <w:rFonts w:hint="eastAsia" w:cs="宋体"/>
          <w:bCs/>
          <w:color w:val="auto"/>
          <w:spacing w:val="-6"/>
          <w:highlight w:val="none"/>
        </w:rPr>
        <w:t>致：</w:t>
      </w:r>
      <w:r>
        <w:rPr>
          <w:rFonts w:hint="eastAsia" w:cs="宋体"/>
          <w:color w:val="auto"/>
          <w:spacing w:val="-6"/>
          <w:highlight w:val="none"/>
          <w:u w:val="single"/>
        </w:rPr>
        <w:t>杭州电子科技大学、</w:t>
      </w:r>
      <w:r>
        <w:rPr>
          <w:rFonts w:hint="eastAsia" w:cs="宋体"/>
          <w:color w:val="auto"/>
          <w:spacing w:val="-6"/>
          <w:highlight w:val="none"/>
          <w:u w:val="single"/>
          <w:lang w:eastAsia="zh-CN"/>
        </w:rPr>
        <w:t>浙江五石中正工程咨询有限公司</w:t>
      </w:r>
    </w:p>
    <w:p>
      <w:pPr>
        <w:ind w:firstLine="456"/>
        <w:rPr>
          <w:rFonts w:cs="宋体"/>
          <w:bCs/>
          <w:color w:val="auto"/>
          <w:spacing w:val="-6"/>
          <w:highlight w:val="none"/>
        </w:rPr>
      </w:pPr>
      <w:r>
        <w:rPr>
          <w:rFonts w:hint="eastAsia" w:cs="宋体"/>
          <w:bCs/>
          <w:color w:val="auto"/>
          <w:spacing w:val="-6"/>
          <w:highlight w:val="none"/>
        </w:rPr>
        <w:t>我</w:t>
      </w:r>
      <w:r>
        <w:rPr>
          <w:rFonts w:hint="eastAsia" w:cs="宋体"/>
          <w:color w:val="auto"/>
          <w:spacing w:val="-6"/>
          <w:highlight w:val="none"/>
        </w:rPr>
        <w:t>________________</w:t>
      </w:r>
      <w:r>
        <w:rPr>
          <w:rFonts w:hint="eastAsia" w:cs="宋体"/>
          <w:bCs/>
          <w:color w:val="auto"/>
          <w:spacing w:val="-6"/>
          <w:highlight w:val="none"/>
        </w:rPr>
        <w:t>（姓名）系_________________________投标人名称）的法定代表人，身份证号码：_________________________________。</w:t>
      </w:r>
    </w:p>
    <w:p>
      <w:pPr>
        <w:ind w:firstLine="456"/>
        <w:rPr>
          <w:rFonts w:cs="宋体"/>
          <w:bCs/>
          <w:color w:val="auto"/>
          <w:spacing w:val="-6"/>
          <w:highlight w:val="none"/>
        </w:rPr>
      </w:pPr>
      <w:r>
        <w:rPr>
          <w:rFonts w:hint="eastAsia" w:cs="宋体"/>
          <w:bCs/>
          <w:color w:val="auto"/>
          <w:spacing w:val="-6"/>
          <w:highlight w:val="none"/>
        </w:rPr>
        <w:t>特此证明。</w:t>
      </w:r>
    </w:p>
    <w:p>
      <w:pPr>
        <w:ind w:firstLine="456"/>
        <w:rPr>
          <w:rFonts w:cs="宋体"/>
          <w:bCs/>
          <w:color w:val="auto"/>
          <w:spacing w:val="-6"/>
          <w:highlight w:val="none"/>
        </w:rPr>
      </w:pPr>
    </w:p>
    <w:tbl>
      <w:tblPr>
        <w:tblStyle w:val="4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9498" w:type="dxa"/>
          </w:tcPr>
          <w:p>
            <w:pPr>
              <w:ind w:firstLine="480"/>
              <w:rPr>
                <w:rFonts w:cs="宋体"/>
                <w:color w:val="auto"/>
                <w:highlight w:val="none"/>
              </w:rPr>
            </w:pPr>
            <w:r>
              <w:rPr>
                <w:rFonts w:hint="eastAsia" w:cs="宋体"/>
                <w:color w:val="auto"/>
                <w:highlight w:val="none"/>
              </w:rPr>
              <w:t>法定代表人身份证：</w:t>
            </w:r>
          </w:p>
          <w:p>
            <w:pPr>
              <w:ind w:firstLine="480"/>
              <w:rPr>
                <w:rFonts w:cs="宋体"/>
                <w:color w:val="auto"/>
                <w:highlight w:val="none"/>
              </w:rPr>
            </w:pPr>
          </w:p>
          <w:p>
            <w:pPr>
              <w:ind w:firstLine="480"/>
              <w:rPr>
                <w:rFonts w:cs="宋体"/>
                <w:color w:val="auto"/>
                <w:highlight w:val="none"/>
              </w:rPr>
            </w:pPr>
          </w:p>
          <w:p>
            <w:pPr>
              <w:ind w:firstLine="480"/>
              <w:rPr>
                <w:rFonts w:cs="宋体"/>
                <w:color w:val="auto"/>
                <w:highlight w:val="none"/>
              </w:rPr>
            </w:pPr>
          </w:p>
          <w:p>
            <w:pPr>
              <w:ind w:firstLine="480"/>
              <w:rPr>
                <w:rFonts w:cs="宋体"/>
                <w:color w:val="auto"/>
                <w:highlight w:val="none"/>
              </w:rPr>
            </w:pPr>
          </w:p>
          <w:p>
            <w:pPr>
              <w:ind w:firstLine="480"/>
              <w:rPr>
                <w:rFonts w:cs="宋体"/>
                <w:color w:val="auto"/>
                <w:highlight w:val="none"/>
              </w:rPr>
            </w:pPr>
            <w:r>
              <w:rPr>
                <w:rFonts w:hint="eastAsia" w:cs="宋体"/>
                <w:color w:val="auto"/>
                <w:highlight w:val="none"/>
              </w:rPr>
              <w:t>复印件粘贴处</w:t>
            </w:r>
          </w:p>
          <w:p>
            <w:pPr>
              <w:ind w:firstLine="456"/>
              <w:rPr>
                <w:rFonts w:cs="宋体"/>
                <w:bCs/>
                <w:color w:val="auto"/>
                <w:spacing w:val="-6"/>
                <w:highlight w:val="none"/>
              </w:rPr>
            </w:pPr>
          </w:p>
        </w:tc>
      </w:tr>
    </w:tbl>
    <w:p>
      <w:pPr>
        <w:ind w:firstLine="456"/>
        <w:rPr>
          <w:rFonts w:cs="宋体"/>
          <w:bCs/>
          <w:color w:val="auto"/>
          <w:spacing w:val="-6"/>
          <w:highlight w:val="none"/>
        </w:rPr>
      </w:pPr>
    </w:p>
    <w:p>
      <w:pPr>
        <w:ind w:right="456" w:firstLine="458"/>
        <w:rPr>
          <w:rFonts w:cs="宋体"/>
          <w:b/>
          <w:bCs/>
          <w:color w:val="auto"/>
          <w:spacing w:val="-6"/>
          <w:highlight w:val="none"/>
        </w:rPr>
      </w:pPr>
    </w:p>
    <w:p>
      <w:pPr>
        <w:ind w:right="456" w:firstLine="458"/>
        <w:rPr>
          <w:rFonts w:cs="宋体"/>
          <w:b/>
          <w:bCs/>
          <w:color w:val="auto"/>
          <w:spacing w:val="-6"/>
          <w:highlight w:val="none"/>
        </w:rPr>
      </w:pPr>
    </w:p>
    <w:p>
      <w:pPr>
        <w:ind w:right="456" w:firstLine="458"/>
        <w:rPr>
          <w:rFonts w:cs="宋体"/>
          <w:b/>
          <w:bCs/>
          <w:color w:val="auto"/>
          <w:spacing w:val="-6"/>
          <w:highlight w:val="none"/>
        </w:rPr>
      </w:pPr>
    </w:p>
    <w:p>
      <w:pPr>
        <w:ind w:right="456" w:firstLine="458"/>
        <w:rPr>
          <w:rFonts w:cs="宋体"/>
          <w:b/>
          <w:bCs/>
          <w:color w:val="auto"/>
          <w:spacing w:val="-6"/>
          <w:highlight w:val="none"/>
        </w:rPr>
      </w:pPr>
    </w:p>
    <w:p>
      <w:pPr>
        <w:ind w:firstLine="480"/>
        <w:rPr>
          <w:rFonts w:cs="宋体"/>
          <w:color w:val="auto"/>
          <w:highlight w:val="none"/>
        </w:rPr>
      </w:pPr>
      <w:r>
        <w:rPr>
          <w:rFonts w:hint="eastAsia" w:cs="宋体"/>
          <w:color w:val="auto"/>
          <w:highlight w:val="none"/>
        </w:rPr>
        <w:t>投标人名称（公章）：</w:t>
      </w:r>
    </w:p>
    <w:p>
      <w:pPr>
        <w:ind w:firstLine="480"/>
        <w:rPr>
          <w:rFonts w:cs="宋体"/>
          <w:color w:val="auto"/>
          <w:highlight w:val="none"/>
        </w:rPr>
      </w:pPr>
      <w:r>
        <w:rPr>
          <w:rFonts w:hint="eastAsia" w:cs="宋体"/>
          <w:color w:val="auto"/>
          <w:highlight w:val="none"/>
        </w:rPr>
        <w:t>法定代表人（签字或盖章）：</w:t>
      </w:r>
    </w:p>
    <w:p>
      <w:pPr>
        <w:ind w:firstLine="480"/>
        <w:rPr>
          <w:rFonts w:cs="宋体"/>
          <w:color w:val="auto"/>
          <w:highlight w:val="none"/>
        </w:rPr>
      </w:pPr>
      <w:r>
        <w:rPr>
          <w:rFonts w:hint="eastAsia" w:cs="宋体"/>
          <w:color w:val="auto"/>
          <w:highlight w:val="none"/>
        </w:rPr>
        <w:t>日期：  年   月   日</w:t>
      </w:r>
    </w:p>
    <w:p>
      <w:pPr>
        <w:ind w:right="456" w:firstLine="456"/>
        <w:rPr>
          <w:rFonts w:cs="宋体"/>
          <w:bCs/>
          <w:color w:val="auto"/>
          <w:spacing w:val="-6"/>
          <w:highlight w:val="none"/>
        </w:rPr>
        <w:sectPr>
          <w:pgSz w:w="11907" w:h="16840"/>
          <w:pgMar w:top="1440" w:right="1080" w:bottom="1440" w:left="1080" w:header="850" w:footer="992" w:gutter="0"/>
          <w:cols w:space="720" w:num="1"/>
          <w:docGrid w:linePitch="286" w:charSpace="0"/>
        </w:sectPr>
      </w:pPr>
    </w:p>
    <w:p>
      <w:pPr>
        <w:snapToGrid w:val="0"/>
        <w:ind w:firstLine="0" w:firstLineChars="0"/>
        <w:jc w:val="center"/>
        <w:rPr>
          <w:rFonts w:cs="宋体"/>
          <w:b/>
          <w:color w:val="auto"/>
          <w:kern w:val="0"/>
          <w:sz w:val="32"/>
          <w:highlight w:val="none"/>
        </w:rPr>
      </w:pPr>
      <w:bookmarkStart w:id="211" w:name="_Toc19237"/>
      <w:r>
        <w:rPr>
          <w:rFonts w:hint="eastAsia" w:cs="宋体"/>
          <w:b/>
          <w:color w:val="auto"/>
          <w:kern w:val="0"/>
          <w:sz w:val="32"/>
          <w:highlight w:val="none"/>
        </w:rPr>
        <w:t>法定代表人授权书</w:t>
      </w:r>
      <w:bookmarkEnd w:id="211"/>
    </w:p>
    <w:p>
      <w:pPr>
        <w:ind w:firstLine="480"/>
        <w:rPr>
          <w:color w:val="auto"/>
          <w:highlight w:val="none"/>
        </w:rPr>
      </w:pPr>
    </w:p>
    <w:p>
      <w:pPr>
        <w:ind w:firstLine="0" w:firstLineChars="0"/>
        <w:rPr>
          <w:rFonts w:hint="eastAsia" w:eastAsia="宋体" w:cs="宋体"/>
          <w:color w:val="auto"/>
          <w:highlight w:val="none"/>
          <w:u w:val="single"/>
          <w:lang w:eastAsia="zh-CN"/>
        </w:rPr>
      </w:pPr>
      <w:r>
        <w:rPr>
          <w:rFonts w:hint="eastAsia" w:cs="宋体"/>
          <w:color w:val="auto"/>
          <w:highlight w:val="none"/>
        </w:rPr>
        <w:t>致：</w:t>
      </w:r>
      <w:r>
        <w:rPr>
          <w:rFonts w:hint="eastAsia" w:cs="宋体"/>
          <w:color w:val="auto"/>
          <w:spacing w:val="-6"/>
          <w:highlight w:val="none"/>
          <w:u w:val="single"/>
        </w:rPr>
        <w:t>杭州电子科技大学、</w:t>
      </w:r>
      <w:r>
        <w:rPr>
          <w:rFonts w:hint="eastAsia" w:cs="宋体"/>
          <w:color w:val="auto"/>
          <w:spacing w:val="-6"/>
          <w:highlight w:val="none"/>
          <w:u w:val="single"/>
          <w:lang w:eastAsia="zh-CN"/>
        </w:rPr>
        <w:t>浙江五石中正工程咨询有限公司</w:t>
      </w:r>
    </w:p>
    <w:p>
      <w:pPr>
        <w:ind w:firstLine="0" w:firstLineChars="0"/>
        <w:rPr>
          <w:rFonts w:cs="宋体"/>
          <w:color w:val="auto"/>
          <w:highlight w:val="none"/>
        </w:rPr>
      </w:pPr>
      <w:r>
        <w:rPr>
          <w:rFonts w:hint="eastAsia" w:cs="宋体"/>
          <w:color w:val="auto"/>
          <w:highlight w:val="none"/>
        </w:rPr>
        <w:t xml:space="preserve">    </w:t>
      </w:r>
      <w:r>
        <w:rPr>
          <w:rFonts w:hint="eastAsia" w:cs="宋体"/>
          <w:color w:val="auto"/>
          <w:highlight w:val="none"/>
          <w:u w:val="single"/>
        </w:rPr>
        <w:t xml:space="preserve">                            </w:t>
      </w:r>
      <w:r>
        <w:rPr>
          <w:rFonts w:hint="eastAsia" w:cs="宋体"/>
          <w:color w:val="auto"/>
          <w:highlight w:val="none"/>
        </w:rPr>
        <w:t>（投标人全称）法定代表人</w:t>
      </w:r>
      <w:r>
        <w:rPr>
          <w:rFonts w:hint="eastAsia" w:cs="宋体"/>
          <w:color w:val="auto"/>
          <w:highlight w:val="none"/>
          <w:u w:val="single"/>
        </w:rPr>
        <w:t xml:space="preserve">                 </w:t>
      </w:r>
    </w:p>
    <w:p>
      <w:pPr>
        <w:ind w:firstLine="0" w:firstLineChars="0"/>
        <w:rPr>
          <w:rFonts w:cs="宋体"/>
          <w:color w:val="auto"/>
          <w:highlight w:val="none"/>
        </w:rPr>
      </w:pPr>
      <w:r>
        <w:rPr>
          <w:rFonts w:hint="eastAsia" w:cs="宋体"/>
          <w:color w:val="auto"/>
          <w:highlight w:val="none"/>
        </w:rPr>
        <w:t>授权</w:t>
      </w:r>
      <w:r>
        <w:rPr>
          <w:rFonts w:hint="eastAsia" w:cs="宋体"/>
          <w:color w:val="auto"/>
          <w:highlight w:val="none"/>
          <w:u w:val="single"/>
        </w:rPr>
        <w:t xml:space="preserve">                       </w:t>
      </w:r>
      <w:r>
        <w:rPr>
          <w:rFonts w:hint="eastAsia" w:cs="宋体"/>
          <w:color w:val="auto"/>
          <w:highlight w:val="none"/>
        </w:rPr>
        <w:t>（全权代表姓名、职务）为全权代表，参加贵方组织的</w:t>
      </w:r>
    </w:p>
    <w:p>
      <w:pPr>
        <w:ind w:firstLine="0" w:firstLineChars="0"/>
        <w:rPr>
          <w:rFonts w:cs="宋体"/>
          <w:color w:val="auto"/>
          <w:highlight w:val="none"/>
        </w:rPr>
      </w:pPr>
      <w:r>
        <w:rPr>
          <w:rFonts w:hint="eastAsia" w:cs="宋体"/>
          <w:color w:val="auto"/>
          <w:highlight w:val="none"/>
        </w:rPr>
        <w:t xml:space="preserve"> </w:t>
      </w:r>
      <w:r>
        <w:rPr>
          <w:rFonts w:hint="eastAsia" w:cs="宋体"/>
          <w:color w:val="auto"/>
          <w:highlight w:val="none"/>
          <w:u w:val="single"/>
        </w:rPr>
        <w:t xml:space="preserve">                      </w:t>
      </w:r>
      <w:r>
        <w:rPr>
          <w:rFonts w:hint="eastAsia" w:cs="宋体"/>
          <w:color w:val="auto"/>
          <w:highlight w:val="none"/>
        </w:rPr>
        <w:t>项目（招标编号）采购活动，全权处理采购活动中的一切事宜。</w:t>
      </w:r>
    </w:p>
    <w:p>
      <w:pPr>
        <w:ind w:firstLine="0" w:firstLineChars="0"/>
        <w:rPr>
          <w:rFonts w:cs="宋体"/>
          <w:color w:val="auto"/>
          <w:highlight w:val="none"/>
        </w:rPr>
      </w:pPr>
      <w:r>
        <w:rPr>
          <w:rFonts w:hint="eastAsia" w:cs="宋体"/>
          <w:color w:val="auto"/>
          <w:highlight w:val="none"/>
        </w:rPr>
        <w:t xml:space="preserve">    本授权书于</w:t>
      </w:r>
      <w:r>
        <w:rPr>
          <w:rFonts w:hint="eastAsia" w:cs="宋体"/>
          <w:color w:val="auto"/>
          <w:highlight w:val="none"/>
          <w:u w:val="single"/>
        </w:rPr>
        <w:t xml:space="preserve">    </w:t>
      </w:r>
      <w:r>
        <w:rPr>
          <w:rFonts w:hint="eastAsia" w:cs="宋体"/>
          <w:color w:val="auto"/>
          <w:highlight w:val="none"/>
        </w:rPr>
        <w:t>年</w:t>
      </w:r>
      <w:r>
        <w:rPr>
          <w:rFonts w:hint="eastAsia" w:cs="宋体"/>
          <w:color w:val="auto"/>
          <w:highlight w:val="none"/>
          <w:u w:val="single"/>
        </w:rPr>
        <w:t xml:space="preserve">  </w:t>
      </w:r>
      <w:r>
        <w:rPr>
          <w:rFonts w:hint="eastAsia" w:cs="宋体"/>
          <w:color w:val="auto"/>
          <w:highlight w:val="none"/>
        </w:rPr>
        <w:t>月</w:t>
      </w:r>
      <w:r>
        <w:rPr>
          <w:rFonts w:hint="eastAsia" w:cs="宋体"/>
          <w:color w:val="auto"/>
          <w:highlight w:val="none"/>
          <w:u w:val="single"/>
        </w:rPr>
        <w:t xml:space="preserve">  </w:t>
      </w:r>
      <w:r>
        <w:rPr>
          <w:rFonts w:hint="eastAsia" w:cs="宋体"/>
          <w:color w:val="auto"/>
          <w:highlight w:val="none"/>
        </w:rPr>
        <w:t>日签署生效，特此声明。</w:t>
      </w:r>
    </w:p>
    <w:p>
      <w:pPr>
        <w:ind w:firstLine="480"/>
        <w:rPr>
          <w:rFonts w:cs="宋体"/>
          <w:color w:val="auto"/>
          <w:highlight w:val="none"/>
        </w:rPr>
      </w:pPr>
      <w:r>
        <w:rPr>
          <w:rFonts w:hint="eastAsia" w:cs="宋体"/>
          <w:color w:val="auto"/>
          <w:highlight w:val="none"/>
        </w:rPr>
        <w:t xml:space="preserve"> </w:t>
      </w:r>
      <w:bookmarkStart w:id="212" w:name="_Toc31131"/>
      <w:r>
        <w:rPr>
          <w:rFonts w:hint="eastAsia" w:cs="宋体"/>
          <w:b/>
          <w:bCs/>
          <w:color w:val="auto"/>
          <w:highlight w:val="none"/>
        </w:rPr>
        <w:t>附授权委托人身份证复印件正反面及社保证明。</w:t>
      </w:r>
      <w:bookmarkEnd w:id="212"/>
    </w:p>
    <w:p>
      <w:pPr>
        <w:ind w:firstLine="0" w:firstLineChars="0"/>
        <w:rPr>
          <w:rFonts w:cs="宋体"/>
          <w:color w:val="auto"/>
          <w:highlight w:val="none"/>
        </w:rPr>
      </w:pPr>
    </w:p>
    <w:p>
      <w:pPr>
        <w:ind w:firstLine="0" w:firstLineChars="0"/>
        <w:rPr>
          <w:rFonts w:cs="宋体"/>
          <w:color w:val="auto"/>
          <w:highlight w:val="none"/>
        </w:rPr>
      </w:pPr>
      <w:r>
        <w:rPr>
          <w:rFonts w:hint="eastAsia" w:cs="宋体"/>
          <w:color w:val="auto"/>
          <w:highlight w:val="none"/>
        </w:rPr>
        <w:t>法定代表人（签字或签章）：</w:t>
      </w:r>
    </w:p>
    <w:p>
      <w:pPr>
        <w:ind w:firstLine="0" w:firstLineChars="0"/>
        <w:rPr>
          <w:rFonts w:cs="宋体"/>
          <w:color w:val="auto"/>
          <w:highlight w:val="none"/>
        </w:rPr>
      </w:pPr>
    </w:p>
    <w:p>
      <w:pPr>
        <w:ind w:firstLine="0" w:firstLineChars="0"/>
        <w:rPr>
          <w:rFonts w:cs="宋体"/>
          <w:color w:val="auto"/>
          <w:highlight w:val="none"/>
        </w:rPr>
      </w:pPr>
      <w:r>
        <w:rPr>
          <w:rFonts w:hint="eastAsia" w:cs="宋体"/>
          <w:color w:val="auto"/>
          <w:highlight w:val="none"/>
        </w:rPr>
        <w:t>投标人名称（公章）：</w:t>
      </w:r>
    </w:p>
    <w:p>
      <w:pPr>
        <w:ind w:firstLine="0" w:firstLineChars="0"/>
        <w:rPr>
          <w:rFonts w:cs="宋体"/>
          <w:color w:val="auto"/>
          <w:highlight w:val="none"/>
        </w:rPr>
      </w:pPr>
      <w:r>
        <w:rPr>
          <w:rFonts w:hint="eastAsia" w:cs="宋体"/>
          <w:color w:val="auto"/>
          <w:highlight w:val="none"/>
        </w:rPr>
        <w:t>日期：</w:t>
      </w:r>
    </w:p>
    <w:p>
      <w:pPr>
        <w:ind w:firstLine="0" w:firstLineChars="0"/>
        <w:rPr>
          <w:rFonts w:cs="宋体"/>
          <w:color w:val="auto"/>
          <w:highlight w:val="none"/>
        </w:rPr>
      </w:pPr>
      <w:r>
        <w:rPr>
          <w:rFonts w:hint="eastAsia" w:cs="宋体"/>
          <w:color w:val="auto"/>
          <w:highlight w:val="none"/>
        </w:rPr>
        <w:t xml:space="preserve"> </w:t>
      </w:r>
    </w:p>
    <w:p>
      <w:pPr>
        <w:ind w:firstLine="0" w:firstLineChars="0"/>
        <w:rPr>
          <w:rFonts w:cs="宋体"/>
          <w:color w:val="auto"/>
          <w:highlight w:val="none"/>
        </w:rPr>
      </w:pPr>
      <w:r>
        <w:rPr>
          <w:rFonts w:hint="eastAsia" w:cs="宋体"/>
          <w:color w:val="auto"/>
          <w:highlight w:val="none"/>
        </w:rPr>
        <w:t xml:space="preserve"> 附：</w:t>
      </w:r>
    </w:p>
    <w:p>
      <w:pPr>
        <w:ind w:firstLine="0" w:firstLineChars="0"/>
        <w:rPr>
          <w:rFonts w:cs="宋体"/>
          <w:color w:val="auto"/>
          <w:highlight w:val="none"/>
        </w:rPr>
      </w:pPr>
      <w:r>
        <w:rPr>
          <w:rFonts w:hint="eastAsia" w:cs="宋体"/>
          <w:color w:val="auto"/>
          <w:highlight w:val="none"/>
        </w:rPr>
        <w:t>全权代表姓名（签字或盖章）：</w:t>
      </w:r>
    </w:p>
    <w:p>
      <w:pPr>
        <w:ind w:firstLine="0" w:firstLineChars="0"/>
        <w:rPr>
          <w:rFonts w:cs="宋体"/>
          <w:color w:val="auto"/>
          <w:highlight w:val="none"/>
        </w:rPr>
      </w:pPr>
      <w:r>
        <w:rPr>
          <w:rFonts w:hint="eastAsia" w:cs="宋体"/>
          <w:color w:val="auto"/>
          <w:highlight w:val="none"/>
        </w:rPr>
        <w:t xml:space="preserve">    职        务：</w:t>
      </w:r>
    </w:p>
    <w:p>
      <w:pPr>
        <w:ind w:firstLine="0" w:firstLineChars="0"/>
        <w:rPr>
          <w:rFonts w:cs="宋体"/>
          <w:color w:val="auto"/>
          <w:highlight w:val="none"/>
        </w:rPr>
      </w:pPr>
      <w:r>
        <w:rPr>
          <w:rFonts w:hint="eastAsia" w:cs="宋体"/>
          <w:color w:val="auto"/>
          <w:highlight w:val="none"/>
        </w:rPr>
        <w:t xml:space="preserve">    详细通讯地址：</w:t>
      </w:r>
    </w:p>
    <w:p>
      <w:pPr>
        <w:ind w:firstLine="0" w:firstLineChars="0"/>
        <w:rPr>
          <w:rFonts w:cs="宋体"/>
          <w:color w:val="auto"/>
          <w:highlight w:val="none"/>
        </w:rPr>
      </w:pPr>
      <w:r>
        <w:rPr>
          <w:rFonts w:hint="eastAsia" w:cs="宋体"/>
          <w:color w:val="auto"/>
          <w:highlight w:val="none"/>
        </w:rPr>
        <w:t xml:space="preserve">    邮 政  编 码：</w:t>
      </w:r>
    </w:p>
    <w:p>
      <w:pPr>
        <w:ind w:firstLine="0" w:firstLineChars="0"/>
        <w:rPr>
          <w:rFonts w:cs="宋体"/>
          <w:color w:val="auto"/>
          <w:highlight w:val="none"/>
        </w:rPr>
      </w:pPr>
      <w:r>
        <w:rPr>
          <w:rFonts w:hint="eastAsia" w:cs="宋体"/>
          <w:color w:val="auto"/>
          <w:highlight w:val="none"/>
        </w:rPr>
        <w:t xml:space="preserve">    传        真：</w:t>
      </w:r>
    </w:p>
    <w:p>
      <w:pPr>
        <w:ind w:firstLine="0" w:firstLineChars="0"/>
        <w:rPr>
          <w:rFonts w:cs="宋体"/>
          <w:color w:val="auto"/>
          <w:highlight w:val="none"/>
        </w:rPr>
      </w:pPr>
      <w:r>
        <w:rPr>
          <w:rFonts w:hint="eastAsia" w:cs="宋体"/>
          <w:color w:val="auto"/>
          <w:highlight w:val="none"/>
        </w:rPr>
        <w:t xml:space="preserve">    移 动  电 话：</w:t>
      </w:r>
    </w:p>
    <w:p>
      <w:pPr>
        <w:ind w:firstLine="0" w:firstLineChars="0"/>
        <w:rPr>
          <w:rFonts w:cs="宋体"/>
          <w:color w:val="auto"/>
          <w:spacing w:val="6"/>
          <w:highlight w:val="none"/>
        </w:rPr>
      </w:pPr>
    </w:p>
    <w:p>
      <w:pPr>
        <w:ind w:firstLine="0" w:firstLineChars="0"/>
        <w:rPr>
          <w:rFonts w:cs="宋体"/>
          <w:b/>
          <w:color w:val="auto"/>
          <w:highlight w:val="none"/>
        </w:rPr>
      </w:pPr>
    </w:p>
    <w:p>
      <w:pPr>
        <w:ind w:left="525" w:firstLine="0" w:firstLineChars="0"/>
        <w:jc w:val="center"/>
        <w:rPr>
          <w:rFonts w:cs="宋体"/>
          <w:b/>
          <w:color w:val="auto"/>
          <w:highlight w:val="none"/>
        </w:rPr>
      </w:pPr>
    </w:p>
    <w:p>
      <w:pPr>
        <w:pStyle w:val="19"/>
        <w:spacing w:before="120" w:after="120"/>
        <w:rPr>
          <w:rFonts w:hAnsi="宋体" w:cs="宋体"/>
          <w:b/>
          <w:color w:val="auto"/>
          <w:spacing w:val="-6"/>
          <w:sz w:val="24"/>
          <w:szCs w:val="24"/>
          <w:highlight w:val="none"/>
        </w:rPr>
      </w:pPr>
      <w:r>
        <w:rPr>
          <w:rFonts w:hint="eastAsia" w:hAnsi="宋体" w:cs="宋体"/>
          <w:b/>
          <w:color w:val="auto"/>
          <w:spacing w:val="-6"/>
          <w:sz w:val="24"/>
          <w:szCs w:val="24"/>
          <w:highlight w:val="none"/>
        </w:rPr>
        <w:t>一、法定代表人参加投标的，须在投标文件中提供：法定代表人资格证明书；</w:t>
      </w:r>
    </w:p>
    <w:p>
      <w:pPr>
        <w:pStyle w:val="19"/>
        <w:spacing w:before="120" w:after="120"/>
        <w:rPr>
          <w:rFonts w:hAnsi="宋体" w:cs="宋体"/>
          <w:b/>
          <w:color w:val="auto"/>
          <w:spacing w:val="-6"/>
          <w:sz w:val="24"/>
          <w:szCs w:val="24"/>
          <w:highlight w:val="none"/>
        </w:rPr>
      </w:pPr>
      <w:r>
        <w:rPr>
          <w:rFonts w:hint="eastAsia" w:hAnsi="宋体" w:cs="宋体"/>
          <w:b/>
          <w:color w:val="auto"/>
          <w:spacing w:val="-6"/>
          <w:sz w:val="24"/>
          <w:szCs w:val="24"/>
          <w:highlight w:val="none"/>
        </w:rPr>
        <w:t>二、</w:t>
      </w:r>
      <w:r>
        <w:rPr>
          <w:rFonts w:hint="eastAsia" w:hAnsi="宋体" w:cs="宋体"/>
          <w:color w:val="auto"/>
          <w:sz w:val="24"/>
          <w:szCs w:val="24"/>
          <w:highlight w:val="none"/>
        </w:rPr>
        <w:t>▲</w:t>
      </w:r>
      <w:r>
        <w:rPr>
          <w:rFonts w:hint="eastAsia" w:hAnsi="宋体" w:cs="宋体"/>
          <w:b/>
          <w:color w:val="auto"/>
          <w:spacing w:val="-6"/>
          <w:sz w:val="24"/>
          <w:szCs w:val="24"/>
          <w:highlight w:val="none"/>
        </w:rPr>
        <w:t>法定代表人委托授权代表参加投标，须在投标文件中提供：法定代表人资格证明书和法定代表人授权委托书及社保缴纳证明。</w:t>
      </w:r>
    </w:p>
    <w:p>
      <w:pPr>
        <w:pStyle w:val="48"/>
        <w:rPr>
          <w:rFonts w:ascii="宋体" w:hAnsi="宋体" w:eastAsia="宋体" w:cs="宋体"/>
          <w:b/>
          <w:color w:val="auto"/>
          <w:spacing w:val="-6"/>
          <w:kern w:val="2"/>
          <w:highlight w:val="none"/>
        </w:rPr>
      </w:pPr>
      <w:r>
        <w:rPr>
          <w:rFonts w:hint="eastAsia" w:ascii="宋体" w:hAnsi="宋体" w:eastAsia="宋体" w:cs="宋体"/>
          <w:b/>
          <w:color w:val="auto"/>
          <w:spacing w:val="-6"/>
          <w:kern w:val="2"/>
          <w:highlight w:val="none"/>
        </w:rPr>
        <w:t>三、</w:t>
      </w:r>
      <w:r>
        <w:rPr>
          <w:rFonts w:hint="eastAsia" w:ascii="宋体" w:hAnsi="宋体" w:eastAsia="宋体" w:cs="宋体"/>
          <w:color w:val="auto"/>
          <w:highlight w:val="none"/>
        </w:rPr>
        <w:t>▲</w:t>
      </w:r>
      <w:r>
        <w:rPr>
          <w:rFonts w:hint="eastAsia" w:ascii="宋体" w:hAnsi="宋体" w:eastAsia="宋体" w:cs="宋体"/>
          <w:b/>
          <w:color w:val="auto"/>
          <w:spacing w:val="-6"/>
          <w:kern w:val="2"/>
          <w:highlight w:val="none"/>
        </w:rPr>
        <w:t>投标人授权代表必须为投标人本单位在职职工，并提供近一年任意一月社保缴纳证明。</w:t>
      </w:r>
    </w:p>
    <w:p>
      <w:pPr>
        <w:pStyle w:val="48"/>
        <w:rPr>
          <w:rFonts w:ascii="宋体" w:hAnsi="宋体" w:eastAsia="宋体" w:cs="宋体"/>
          <w:color w:val="auto"/>
          <w:highlight w:val="none"/>
        </w:rPr>
      </w:pPr>
    </w:p>
    <w:p>
      <w:pPr>
        <w:pStyle w:val="48"/>
        <w:rPr>
          <w:rFonts w:ascii="宋体" w:hAnsi="宋体" w:eastAsia="宋体" w:cs="宋体"/>
          <w:color w:val="auto"/>
          <w:highlight w:val="none"/>
        </w:rPr>
        <w:sectPr>
          <w:pgSz w:w="11907" w:h="16840"/>
          <w:pgMar w:top="1440" w:right="1080" w:bottom="1440" w:left="1080" w:header="850" w:footer="992" w:gutter="0"/>
          <w:cols w:space="720" w:num="1"/>
          <w:docGrid w:linePitch="286" w:charSpace="0"/>
        </w:sectPr>
      </w:pPr>
    </w:p>
    <w:p>
      <w:pPr>
        <w:pStyle w:val="5"/>
        <w:numPr>
          <w:ilvl w:val="0"/>
          <w:numId w:val="49"/>
        </w:numPr>
        <w:ind w:firstLine="482" w:firstLineChars="200"/>
        <w:rPr>
          <w:color w:val="auto"/>
          <w:highlight w:val="none"/>
        </w:rPr>
      </w:pPr>
      <w:bookmarkStart w:id="213" w:name="_Toc23264"/>
      <w:r>
        <w:rPr>
          <w:rFonts w:hint="eastAsia"/>
          <w:color w:val="auto"/>
          <w:highlight w:val="none"/>
        </w:rPr>
        <w:t>投标声明书</w:t>
      </w:r>
      <w:bookmarkEnd w:id="213"/>
    </w:p>
    <w:p>
      <w:pPr>
        <w:snapToGrid w:val="0"/>
        <w:ind w:firstLine="0" w:firstLineChars="0"/>
        <w:jc w:val="center"/>
        <w:rPr>
          <w:rFonts w:cs="宋体"/>
          <w:b/>
          <w:color w:val="auto"/>
          <w:kern w:val="0"/>
          <w:sz w:val="32"/>
          <w:highlight w:val="none"/>
        </w:rPr>
      </w:pPr>
      <w:bookmarkStart w:id="214" w:name="_Toc29771"/>
      <w:r>
        <w:rPr>
          <w:rFonts w:hint="eastAsia" w:cs="宋体"/>
          <w:b/>
          <w:color w:val="auto"/>
          <w:kern w:val="0"/>
          <w:sz w:val="32"/>
          <w:highlight w:val="none"/>
        </w:rPr>
        <w:t>投标声明书</w:t>
      </w:r>
      <w:bookmarkEnd w:id="214"/>
    </w:p>
    <w:p>
      <w:pPr>
        <w:snapToGrid w:val="0"/>
        <w:ind w:firstLine="0" w:firstLineChars="0"/>
        <w:rPr>
          <w:rFonts w:cs="宋体"/>
          <w:color w:val="auto"/>
          <w:highlight w:val="none"/>
        </w:rPr>
      </w:pPr>
    </w:p>
    <w:p>
      <w:pPr>
        <w:snapToGrid w:val="0"/>
        <w:ind w:firstLine="0" w:firstLineChars="0"/>
        <w:rPr>
          <w:rFonts w:cs="宋体"/>
          <w:color w:val="auto"/>
          <w:highlight w:val="none"/>
        </w:rPr>
      </w:pPr>
      <w:r>
        <w:rPr>
          <w:rFonts w:hint="eastAsia" w:cs="宋体"/>
          <w:color w:val="auto"/>
          <w:highlight w:val="none"/>
        </w:rPr>
        <w:t>杭州电子科技大学、</w:t>
      </w:r>
      <w:r>
        <w:rPr>
          <w:rFonts w:hint="eastAsia" w:cs="宋体"/>
          <w:color w:val="auto"/>
          <w:highlight w:val="none"/>
          <w:lang w:eastAsia="zh-CN"/>
        </w:rPr>
        <w:t>浙江五石中正工程咨询有限公司</w:t>
      </w:r>
      <w:r>
        <w:rPr>
          <w:rFonts w:hint="eastAsia" w:cs="宋体"/>
          <w:color w:val="auto"/>
          <w:highlight w:val="none"/>
        </w:rPr>
        <w:t>：</w:t>
      </w:r>
    </w:p>
    <w:p>
      <w:pPr>
        <w:ind w:firstLine="480"/>
        <w:rPr>
          <w:rFonts w:cs="宋体"/>
          <w:color w:val="auto"/>
          <w:highlight w:val="none"/>
        </w:rPr>
      </w:pPr>
      <w:r>
        <w:rPr>
          <w:rFonts w:hint="eastAsia" w:cs="宋体"/>
          <w:color w:val="auto"/>
          <w:kern w:val="0"/>
          <w:highlight w:val="none"/>
          <w:lang w:val="zh-CN"/>
        </w:rPr>
        <w:t>我公司</w:t>
      </w:r>
      <w:r>
        <w:rPr>
          <w:rFonts w:hint="eastAsia" w:cs="宋体"/>
          <w:color w:val="auto"/>
          <w:highlight w:val="none"/>
        </w:rPr>
        <w:t>声明截止投标时间近三年以来，在</w:t>
      </w:r>
      <w:r>
        <w:rPr>
          <w:rFonts w:hint="eastAsia" w:cs="宋体"/>
          <w:color w:val="auto"/>
          <w:kern w:val="0"/>
          <w:highlight w:val="none"/>
        </w:rPr>
        <w:t>政府采购领域中</w:t>
      </w:r>
      <w:r>
        <w:rPr>
          <w:rFonts w:hint="eastAsia" w:cs="宋体"/>
          <w:color w:val="auto"/>
          <w:highlight w:val="none"/>
        </w:rPr>
        <w:t>，在项目招标、投标和合同履约期间无任何不良行为记录和违法、违规行为</w:t>
      </w:r>
      <w:r>
        <w:rPr>
          <w:rFonts w:hint="eastAsia" w:cs="宋体"/>
          <w:color w:val="auto"/>
          <w:kern w:val="0"/>
          <w:highlight w:val="none"/>
          <w:lang w:val="zh-CN"/>
        </w:rPr>
        <w:t>。</w:t>
      </w:r>
    </w:p>
    <w:p>
      <w:pPr>
        <w:ind w:firstLine="480"/>
        <w:rPr>
          <w:rFonts w:cs="宋体"/>
          <w:color w:val="auto"/>
          <w:highlight w:val="none"/>
        </w:rPr>
      </w:pPr>
      <w:r>
        <w:rPr>
          <w:rFonts w:hint="eastAsia" w:cs="宋体"/>
          <w:color w:val="auto"/>
          <w:highlight w:val="none"/>
        </w:rPr>
        <w:t xml:space="preserve">我公司自愿参加 </w:t>
      </w:r>
      <w:r>
        <w:rPr>
          <w:rFonts w:hint="eastAsia" w:cs="宋体"/>
          <w:color w:val="auto"/>
          <w:highlight w:val="none"/>
          <w:u w:val="single"/>
        </w:rPr>
        <w:t xml:space="preserve">       </w:t>
      </w:r>
      <w:r>
        <w:rPr>
          <w:rFonts w:hint="eastAsia" w:cs="宋体"/>
          <w:color w:val="auto"/>
          <w:highlight w:val="none"/>
        </w:rPr>
        <w:t>项目[招标编号：</w:t>
      </w:r>
      <w:r>
        <w:rPr>
          <w:rFonts w:hint="eastAsia" w:cs="宋体"/>
          <w:color w:val="auto"/>
          <w:highlight w:val="none"/>
          <w:u w:val="single"/>
        </w:rPr>
        <w:t xml:space="preserve">              </w:t>
      </w:r>
      <w:r>
        <w:rPr>
          <w:rFonts w:hint="eastAsia" w:cs="宋体"/>
          <w:color w:val="auto"/>
          <w:highlight w:val="none"/>
        </w:rPr>
        <w:t>]的投标，并保证投标文件中所列举的投标报价文件及相关资料和公司基本情况资料是真实的、合法的。</w:t>
      </w:r>
    </w:p>
    <w:p>
      <w:pPr>
        <w:ind w:firstLine="480"/>
        <w:rPr>
          <w:rFonts w:cs="宋体"/>
          <w:color w:val="auto"/>
          <w:kern w:val="0"/>
          <w:highlight w:val="none"/>
          <w:lang w:val="zh-CN"/>
        </w:rPr>
      </w:pPr>
      <w:r>
        <w:rPr>
          <w:rFonts w:hint="eastAsia" w:cs="宋体"/>
          <w:color w:val="auto"/>
          <w:kern w:val="0"/>
          <w:highlight w:val="none"/>
          <w:lang w:val="zh-CN"/>
        </w:rPr>
        <w:t>我公司已详细阅读全部“招标文件”，包括修改文件（如果有）以及全部招标资料和相关附件，并已了解我公司在招投标过程中的权利和义务。</w:t>
      </w:r>
    </w:p>
    <w:p>
      <w:pPr>
        <w:ind w:firstLine="480"/>
        <w:rPr>
          <w:rFonts w:cs="宋体"/>
          <w:color w:val="auto"/>
          <w:highlight w:val="none"/>
        </w:rPr>
      </w:pPr>
      <w:r>
        <w:rPr>
          <w:rFonts w:hint="eastAsia" w:cs="宋体"/>
          <w:color w:val="auto"/>
          <w:kern w:val="0"/>
          <w:highlight w:val="none"/>
          <w:lang w:val="zh-CN"/>
        </w:rPr>
        <w:t>我公司理解并接受招标文件的各项规定和要求，同意此次招标文件中的各项内容，</w:t>
      </w:r>
      <w:r>
        <w:rPr>
          <w:rFonts w:hint="eastAsia" w:cs="宋体"/>
          <w:color w:val="auto"/>
          <w:kern w:val="0"/>
          <w:highlight w:val="none"/>
        </w:rPr>
        <w:t>并</w:t>
      </w:r>
      <w:r>
        <w:rPr>
          <w:rFonts w:hint="eastAsia" w:cs="宋体"/>
          <w:color w:val="auto"/>
          <w:kern w:val="0"/>
          <w:highlight w:val="none"/>
          <w:lang w:val="zh-CN"/>
        </w:rPr>
        <w:t>同意提供按照贵方可能要求的与投标有关的一切数据或资料等。</w:t>
      </w:r>
    </w:p>
    <w:p>
      <w:pPr>
        <w:ind w:firstLine="480"/>
        <w:rPr>
          <w:rFonts w:cs="宋体"/>
          <w:color w:val="auto"/>
          <w:kern w:val="0"/>
          <w:highlight w:val="none"/>
          <w:lang w:val="zh-CN"/>
        </w:rPr>
      </w:pPr>
      <w:r>
        <w:rPr>
          <w:rFonts w:hint="eastAsia" w:cs="宋体"/>
          <w:color w:val="auto"/>
          <w:kern w:val="0"/>
          <w:highlight w:val="none"/>
          <w:lang w:val="zh-CN"/>
        </w:rPr>
        <w:t>本公司如中标，保证按照投标文件的承诺与贵方签订合同，保证履行合同条款并缴纳履约保证金。</w:t>
      </w:r>
    </w:p>
    <w:p>
      <w:pPr>
        <w:pStyle w:val="48"/>
        <w:rPr>
          <w:rFonts w:ascii="宋体" w:hAnsi="宋体" w:eastAsia="宋体" w:cs="宋体"/>
          <w:color w:val="auto"/>
          <w:highlight w:val="none"/>
          <w:lang w:val="zh-CN"/>
        </w:rPr>
      </w:pPr>
    </w:p>
    <w:p>
      <w:pPr>
        <w:pStyle w:val="48"/>
        <w:rPr>
          <w:rFonts w:ascii="宋体" w:hAnsi="宋体" w:eastAsia="宋体" w:cs="宋体"/>
          <w:color w:val="auto"/>
          <w:highlight w:val="none"/>
          <w:lang w:val="zh-CN"/>
        </w:rPr>
      </w:pPr>
    </w:p>
    <w:p>
      <w:pPr>
        <w:pStyle w:val="48"/>
        <w:rPr>
          <w:rFonts w:ascii="宋体" w:hAnsi="宋体" w:eastAsia="宋体" w:cs="宋体"/>
          <w:color w:val="auto"/>
          <w:highlight w:val="none"/>
          <w:lang w:val="zh-CN"/>
        </w:rPr>
      </w:pPr>
    </w:p>
    <w:p>
      <w:pPr>
        <w:ind w:firstLine="480"/>
        <w:rPr>
          <w:rFonts w:cs="宋体"/>
          <w:color w:val="auto"/>
          <w:highlight w:val="none"/>
        </w:rPr>
      </w:pPr>
      <w:r>
        <w:rPr>
          <w:rFonts w:hint="eastAsia" w:cs="宋体"/>
          <w:color w:val="auto"/>
          <w:highlight w:val="none"/>
        </w:rPr>
        <w:t>投标人名称（公章）：</w:t>
      </w:r>
    </w:p>
    <w:p>
      <w:pPr>
        <w:ind w:firstLine="480"/>
        <w:rPr>
          <w:rFonts w:cs="宋体"/>
          <w:color w:val="auto"/>
          <w:highlight w:val="none"/>
        </w:rPr>
      </w:pPr>
      <w:r>
        <w:rPr>
          <w:rFonts w:hint="eastAsia" w:cs="宋体"/>
          <w:color w:val="auto"/>
          <w:highlight w:val="none"/>
        </w:rPr>
        <w:t>日期：  年   月   日</w:t>
      </w:r>
    </w:p>
    <w:p>
      <w:pPr>
        <w:pStyle w:val="48"/>
        <w:rPr>
          <w:rFonts w:ascii="宋体" w:hAnsi="宋体" w:eastAsia="宋体" w:cs="宋体"/>
          <w:color w:val="auto"/>
          <w:highlight w:val="none"/>
        </w:rPr>
      </w:pPr>
      <w:r>
        <w:rPr>
          <w:rFonts w:hint="eastAsia" w:ascii="宋体" w:hAnsi="宋体" w:eastAsia="宋体" w:cs="宋体"/>
          <w:color w:val="auto"/>
          <w:highlight w:val="none"/>
        </w:rPr>
        <w:t xml:space="preserve">                 </w:t>
      </w:r>
    </w:p>
    <w:p>
      <w:pPr>
        <w:pStyle w:val="48"/>
        <w:rPr>
          <w:rFonts w:ascii="宋体" w:hAnsi="宋体" w:eastAsia="宋体" w:cs="宋体"/>
          <w:color w:val="auto"/>
          <w:highlight w:val="none"/>
        </w:rPr>
        <w:sectPr>
          <w:pgSz w:w="11907" w:h="16840"/>
          <w:pgMar w:top="1440" w:right="1080" w:bottom="1440" w:left="1080" w:header="850" w:footer="992" w:gutter="0"/>
          <w:cols w:space="720" w:num="1"/>
          <w:docGrid w:linePitch="286" w:charSpace="0"/>
        </w:sectPr>
      </w:pPr>
    </w:p>
    <w:p>
      <w:pPr>
        <w:pStyle w:val="5"/>
        <w:numPr>
          <w:ilvl w:val="0"/>
          <w:numId w:val="49"/>
        </w:numPr>
        <w:ind w:firstLine="482" w:firstLineChars="200"/>
        <w:rPr>
          <w:color w:val="auto"/>
          <w:highlight w:val="none"/>
        </w:rPr>
      </w:pPr>
      <w:bookmarkStart w:id="215" w:name="_Toc9927"/>
      <w:r>
        <w:rPr>
          <w:rFonts w:hint="eastAsia"/>
          <w:color w:val="auto"/>
          <w:highlight w:val="none"/>
        </w:rPr>
        <w:t>廉政承诺书</w:t>
      </w:r>
      <w:bookmarkEnd w:id="215"/>
    </w:p>
    <w:p>
      <w:pPr>
        <w:snapToGrid w:val="0"/>
        <w:ind w:firstLine="0" w:firstLineChars="0"/>
        <w:jc w:val="center"/>
        <w:rPr>
          <w:rFonts w:cs="宋体"/>
          <w:b/>
          <w:color w:val="auto"/>
          <w:kern w:val="0"/>
          <w:sz w:val="32"/>
          <w:highlight w:val="none"/>
        </w:rPr>
      </w:pPr>
      <w:r>
        <w:rPr>
          <w:rFonts w:hint="eastAsia" w:cs="宋体"/>
          <w:b/>
          <w:color w:val="auto"/>
          <w:kern w:val="0"/>
          <w:sz w:val="32"/>
          <w:highlight w:val="none"/>
        </w:rPr>
        <w:t>廉政承诺书</w:t>
      </w:r>
    </w:p>
    <w:p>
      <w:pPr>
        <w:ind w:firstLine="480"/>
        <w:rPr>
          <w:color w:val="auto"/>
          <w:highlight w:val="none"/>
        </w:rPr>
      </w:pPr>
    </w:p>
    <w:p>
      <w:pPr>
        <w:ind w:firstLine="0" w:firstLineChars="0"/>
        <w:rPr>
          <w:color w:val="auto"/>
          <w:highlight w:val="none"/>
        </w:rPr>
      </w:pPr>
      <w:r>
        <w:rPr>
          <w:rFonts w:hint="eastAsia"/>
          <w:color w:val="auto"/>
          <w:highlight w:val="none"/>
        </w:rPr>
        <w:t>杭州电子科技大学：</w:t>
      </w:r>
    </w:p>
    <w:p>
      <w:pPr>
        <w:ind w:firstLine="480"/>
        <w:rPr>
          <w:color w:val="auto"/>
          <w:highlight w:val="none"/>
        </w:rPr>
      </w:pPr>
      <w:r>
        <w:rPr>
          <w:rFonts w:hint="eastAsia"/>
          <w:color w:val="auto"/>
          <w:highlight w:val="none"/>
        </w:rPr>
        <w:t xml:space="preserve">我单位响应你单位项目招标要求参加投标。在这次投标过程中和中标后，我们将严格遵守国家法律法规要求，并郑重承诺： </w:t>
      </w:r>
    </w:p>
    <w:p>
      <w:pPr>
        <w:ind w:firstLine="480"/>
        <w:rPr>
          <w:color w:val="auto"/>
          <w:highlight w:val="none"/>
        </w:rPr>
      </w:pPr>
      <w:r>
        <w:rPr>
          <w:rFonts w:hint="eastAsia"/>
          <w:color w:val="auto"/>
          <w:highlight w:val="none"/>
        </w:rPr>
        <w:t>一、不向项目有关人员及部门赠送礼金礼物、有价证券、回扣以及中介费、介绍费、咨询费等好处费；</w:t>
      </w:r>
    </w:p>
    <w:p>
      <w:pPr>
        <w:ind w:firstLine="480"/>
        <w:rPr>
          <w:color w:val="auto"/>
          <w:highlight w:val="none"/>
        </w:rPr>
      </w:pPr>
      <w:r>
        <w:rPr>
          <w:rFonts w:hint="eastAsia"/>
          <w:color w:val="auto"/>
          <w:highlight w:val="none"/>
        </w:rPr>
        <w:t>二、不为项目有关人员及部门报销应由你方单位或个人支付的费用；</w:t>
      </w:r>
    </w:p>
    <w:p>
      <w:pPr>
        <w:ind w:firstLine="480"/>
        <w:rPr>
          <w:color w:val="auto"/>
          <w:highlight w:val="none"/>
        </w:rPr>
      </w:pPr>
      <w:r>
        <w:rPr>
          <w:rFonts w:hint="eastAsia"/>
          <w:color w:val="auto"/>
          <w:highlight w:val="none"/>
        </w:rPr>
        <w:t>三、不向项目有关人员及部门提供有可能影响公正的宴请和健身娱乐等活动；</w:t>
      </w:r>
    </w:p>
    <w:p>
      <w:pPr>
        <w:ind w:firstLine="480"/>
        <w:rPr>
          <w:color w:val="auto"/>
          <w:highlight w:val="none"/>
        </w:rPr>
      </w:pPr>
      <w:r>
        <w:rPr>
          <w:rFonts w:hint="eastAsia"/>
          <w:color w:val="auto"/>
          <w:highlight w:val="none"/>
        </w:rPr>
        <w:t>四、不为项目有关人员及部门出国（境）、旅游等提供方便；</w:t>
      </w:r>
    </w:p>
    <w:p>
      <w:pPr>
        <w:ind w:firstLine="480"/>
        <w:rPr>
          <w:color w:val="auto"/>
          <w:highlight w:val="none"/>
        </w:rPr>
      </w:pPr>
      <w:r>
        <w:rPr>
          <w:rFonts w:hint="eastAsia"/>
          <w:color w:val="auto"/>
          <w:highlight w:val="none"/>
        </w:rPr>
        <w:t>五、不为项目有关人员个人装修住房、婚丧嫁娶、配偶子女工作安排等提供好处；</w:t>
      </w:r>
    </w:p>
    <w:p>
      <w:pPr>
        <w:ind w:firstLine="480"/>
        <w:rPr>
          <w:color w:val="auto"/>
          <w:highlight w:val="none"/>
        </w:rPr>
      </w:pPr>
      <w:r>
        <w:rPr>
          <w:rFonts w:hint="eastAsia"/>
          <w:color w:val="auto"/>
          <w:highlight w:val="none"/>
        </w:rPr>
        <w:t>六、严格遵守《政府采购法》、《招标投标法》、《中华人民共和国民法典》等法律，诚实守信，合法经营，坚决抵制各种违法违纪行为。</w:t>
      </w:r>
    </w:p>
    <w:p>
      <w:pPr>
        <w:ind w:firstLine="480"/>
        <w:rPr>
          <w:color w:val="auto"/>
          <w:highlight w:val="none"/>
        </w:rPr>
      </w:pPr>
      <w:r>
        <w:rPr>
          <w:rFonts w:hint="eastAsia"/>
          <w:color w:val="auto"/>
          <w:highlight w:val="none"/>
        </w:rPr>
        <w:t>如违反上述承诺，你单位有权立即取消我单位投标、中标或在建项目的建设资格，有权拒绝我单位在一定时期内进入你单位进行工程建设或其他经营活动，并通报省采购监管处。由此引起的相应损失均由我单位承担。</w:t>
      </w:r>
    </w:p>
    <w:p>
      <w:pPr>
        <w:ind w:firstLine="480"/>
        <w:rPr>
          <w:rFonts w:cs="宋体"/>
          <w:color w:val="auto"/>
          <w:highlight w:val="none"/>
        </w:rPr>
      </w:pPr>
    </w:p>
    <w:p>
      <w:pPr>
        <w:ind w:firstLine="0" w:firstLineChars="0"/>
        <w:rPr>
          <w:rFonts w:cs="宋体"/>
          <w:color w:val="auto"/>
          <w:highlight w:val="none"/>
        </w:rPr>
      </w:pPr>
    </w:p>
    <w:p>
      <w:pPr>
        <w:ind w:firstLine="0" w:firstLineChars="0"/>
        <w:rPr>
          <w:rFonts w:cs="宋体"/>
          <w:color w:val="auto"/>
          <w:highlight w:val="none"/>
        </w:rPr>
      </w:pPr>
    </w:p>
    <w:p>
      <w:pPr>
        <w:ind w:firstLine="0" w:firstLineChars="0"/>
        <w:rPr>
          <w:rFonts w:cs="宋体"/>
          <w:color w:val="auto"/>
          <w:highlight w:val="none"/>
        </w:rPr>
      </w:pPr>
    </w:p>
    <w:p>
      <w:pPr>
        <w:ind w:firstLine="480"/>
        <w:rPr>
          <w:rFonts w:cs="宋体"/>
          <w:color w:val="auto"/>
          <w:highlight w:val="none"/>
        </w:rPr>
      </w:pPr>
      <w:r>
        <w:rPr>
          <w:rFonts w:hint="eastAsia" w:cs="宋体"/>
          <w:color w:val="auto"/>
          <w:highlight w:val="none"/>
        </w:rPr>
        <w:t>投标人名称（公章）：</w:t>
      </w:r>
    </w:p>
    <w:p>
      <w:pPr>
        <w:ind w:firstLine="480"/>
        <w:rPr>
          <w:rFonts w:cs="宋体"/>
          <w:color w:val="auto"/>
          <w:highlight w:val="none"/>
        </w:rPr>
      </w:pPr>
      <w:r>
        <w:rPr>
          <w:rFonts w:hint="eastAsia" w:cs="宋体"/>
          <w:color w:val="auto"/>
          <w:highlight w:val="none"/>
        </w:rPr>
        <w:t>日期：  年   月   日</w:t>
      </w:r>
    </w:p>
    <w:p>
      <w:pPr>
        <w:ind w:firstLine="228" w:firstLineChars="95"/>
        <w:rPr>
          <w:rFonts w:cs="宋体"/>
          <w:color w:val="auto"/>
          <w:highlight w:val="none"/>
        </w:rPr>
        <w:sectPr>
          <w:pgSz w:w="11907" w:h="16840"/>
          <w:pgMar w:top="1440" w:right="1080" w:bottom="1440" w:left="1080" w:header="850" w:footer="992" w:gutter="0"/>
          <w:cols w:space="720" w:num="1"/>
          <w:docGrid w:linePitch="286" w:charSpace="0"/>
        </w:sectPr>
      </w:pPr>
    </w:p>
    <w:p>
      <w:pPr>
        <w:pStyle w:val="5"/>
        <w:numPr>
          <w:ilvl w:val="0"/>
          <w:numId w:val="49"/>
        </w:numPr>
        <w:ind w:firstLine="482" w:firstLineChars="200"/>
        <w:rPr>
          <w:color w:val="auto"/>
          <w:highlight w:val="none"/>
        </w:rPr>
      </w:pPr>
      <w:bookmarkStart w:id="216" w:name="_Toc12230"/>
      <w:r>
        <w:rPr>
          <w:rFonts w:hint="eastAsia"/>
          <w:color w:val="auto"/>
          <w:highlight w:val="none"/>
        </w:rPr>
        <w:t>投标人情况表</w:t>
      </w:r>
      <w:bookmarkEnd w:id="216"/>
    </w:p>
    <w:p>
      <w:pPr>
        <w:spacing w:line="240" w:lineRule="auto"/>
        <w:ind w:firstLine="0" w:firstLineChars="0"/>
        <w:jc w:val="center"/>
        <w:rPr>
          <w:rFonts w:cs="宋体"/>
          <w:color w:val="auto"/>
          <w:sz w:val="28"/>
          <w:highlight w:val="none"/>
        </w:rPr>
      </w:pPr>
      <w:r>
        <w:rPr>
          <w:rFonts w:hint="eastAsia" w:cs="宋体"/>
          <w:b/>
          <w:color w:val="auto"/>
          <w:kern w:val="0"/>
          <w:sz w:val="32"/>
          <w:highlight w:val="none"/>
        </w:rPr>
        <w:t>投标人情况表</w:t>
      </w:r>
    </w:p>
    <w:p>
      <w:pPr>
        <w:ind w:firstLine="480"/>
        <w:rPr>
          <w:color w:val="auto"/>
          <w:highlight w:val="none"/>
        </w:rPr>
      </w:pPr>
    </w:p>
    <w:tbl>
      <w:tblPr>
        <w:tblStyle w:val="40"/>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ind w:firstLine="0" w:firstLineChars="0"/>
              <w:jc w:val="center"/>
              <w:rPr>
                <w:rFonts w:cs="宋体"/>
                <w:color w:val="auto"/>
                <w:spacing w:val="-6"/>
                <w:highlight w:val="none"/>
              </w:rPr>
            </w:pPr>
            <w:r>
              <w:rPr>
                <w:rFonts w:hint="eastAsia" w:cs="宋体"/>
                <w:color w:val="auto"/>
                <w:spacing w:val="-6"/>
                <w:highlight w:val="none"/>
              </w:rPr>
              <w:t>1</w:t>
            </w:r>
          </w:p>
        </w:tc>
        <w:tc>
          <w:tcPr>
            <w:tcW w:w="8868" w:type="dxa"/>
            <w:gridSpan w:val="3"/>
            <w:vAlign w:val="center"/>
          </w:tcPr>
          <w:p>
            <w:pPr>
              <w:ind w:firstLine="0" w:firstLineChars="0"/>
              <w:rPr>
                <w:rFonts w:cs="宋体"/>
                <w:color w:val="auto"/>
                <w:spacing w:val="-6"/>
                <w:highlight w:val="none"/>
              </w:rPr>
            </w:pPr>
            <w:r>
              <w:rPr>
                <w:rFonts w:hint="eastAsia" w:cs="宋体"/>
                <w:color w:val="auto"/>
                <w:spacing w:val="-6"/>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ind w:firstLine="0" w:firstLineChars="0"/>
              <w:jc w:val="center"/>
              <w:rPr>
                <w:rFonts w:cs="宋体"/>
                <w:color w:val="auto"/>
                <w:spacing w:val="-6"/>
                <w:highlight w:val="none"/>
              </w:rPr>
            </w:pPr>
            <w:r>
              <w:rPr>
                <w:rFonts w:hint="eastAsia" w:cs="宋体"/>
                <w:color w:val="auto"/>
                <w:spacing w:val="-6"/>
                <w:highlight w:val="none"/>
              </w:rPr>
              <w:t>2</w:t>
            </w:r>
          </w:p>
        </w:tc>
        <w:tc>
          <w:tcPr>
            <w:tcW w:w="8868" w:type="dxa"/>
            <w:gridSpan w:val="3"/>
            <w:vAlign w:val="center"/>
          </w:tcPr>
          <w:p>
            <w:pPr>
              <w:ind w:firstLine="0" w:firstLineChars="0"/>
              <w:rPr>
                <w:rFonts w:cs="宋体"/>
                <w:color w:val="auto"/>
                <w:spacing w:val="-6"/>
                <w:highlight w:val="none"/>
              </w:rPr>
            </w:pPr>
            <w:r>
              <w:rPr>
                <w:rFonts w:hint="eastAsia" w:cs="宋体"/>
                <w:color w:val="auto"/>
                <w:spacing w:val="-6"/>
                <w:highlight w:val="none"/>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ind w:firstLine="0" w:firstLineChars="0"/>
              <w:jc w:val="center"/>
              <w:rPr>
                <w:rFonts w:cs="宋体"/>
                <w:color w:val="auto"/>
                <w:spacing w:val="-6"/>
                <w:highlight w:val="none"/>
              </w:rPr>
            </w:pPr>
            <w:r>
              <w:rPr>
                <w:rFonts w:hint="eastAsia" w:cs="宋体"/>
                <w:color w:val="auto"/>
                <w:spacing w:val="-6"/>
                <w:highlight w:val="none"/>
              </w:rPr>
              <w:t>3</w:t>
            </w:r>
          </w:p>
        </w:tc>
        <w:tc>
          <w:tcPr>
            <w:tcW w:w="8868" w:type="dxa"/>
            <w:gridSpan w:val="3"/>
            <w:vAlign w:val="center"/>
          </w:tcPr>
          <w:p>
            <w:pPr>
              <w:ind w:firstLine="0" w:firstLineChars="0"/>
              <w:rPr>
                <w:rFonts w:cs="宋体"/>
                <w:color w:val="auto"/>
                <w:spacing w:val="-6"/>
                <w:highlight w:val="none"/>
              </w:rPr>
            </w:pPr>
            <w:r>
              <w:rPr>
                <w:rFonts w:hint="eastAsia" w:cs="宋体"/>
                <w:color w:val="auto"/>
                <w:spacing w:val="-6"/>
                <w:highlight w:val="none"/>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ind w:firstLine="0" w:firstLineChars="0"/>
              <w:jc w:val="center"/>
              <w:rPr>
                <w:rFonts w:cs="宋体"/>
                <w:color w:val="auto"/>
                <w:spacing w:val="-6"/>
                <w:highlight w:val="none"/>
              </w:rPr>
            </w:pPr>
            <w:r>
              <w:rPr>
                <w:rFonts w:hint="eastAsia" w:cs="宋体"/>
                <w:color w:val="auto"/>
                <w:spacing w:val="-6"/>
                <w:highlight w:val="none"/>
              </w:rPr>
              <w:t>4</w:t>
            </w:r>
          </w:p>
        </w:tc>
        <w:tc>
          <w:tcPr>
            <w:tcW w:w="4305" w:type="dxa"/>
            <w:gridSpan w:val="2"/>
            <w:vAlign w:val="center"/>
          </w:tcPr>
          <w:p>
            <w:pPr>
              <w:ind w:firstLine="0" w:firstLineChars="0"/>
              <w:rPr>
                <w:rFonts w:cs="宋体"/>
                <w:color w:val="auto"/>
                <w:spacing w:val="-6"/>
                <w:highlight w:val="none"/>
              </w:rPr>
            </w:pPr>
            <w:r>
              <w:rPr>
                <w:rFonts w:hint="eastAsia" w:cs="宋体"/>
                <w:color w:val="auto"/>
                <w:spacing w:val="-6"/>
                <w:highlight w:val="none"/>
              </w:rPr>
              <w:t>电话：</w:t>
            </w:r>
          </w:p>
        </w:tc>
        <w:tc>
          <w:tcPr>
            <w:tcW w:w="4563" w:type="dxa"/>
            <w:vAlign w:val="center"/>
          </w:tcPr>
          <w:p>
            <w:pPr>
              <w:ind w:firstLine="0" w:firstLineChars="0"/>
              <w:rPr>
                <w:rFonts w:cs="宋体"/>
                <w:color w:val="auto"/>
                <w:spacing w:val="-6"/>
                <w:highlight w:val="none"/>
              </w:rPr>
            </w:pPr>
            <w:r>
              <w:rPr>
                <w:rFonts w:hint="eastAsia" w:cs="宋体"/>
                <w:color w:val="auto"/>
                <w:spacing w:val="-6"/>
                <w:highlight w:val="none"/>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ind w:firstLine="0" w:firstLineChars="0"/>
              <w:jc w:val="center"/>
              <w:rPr>
                <w:rFonts w:cs="宋体"/>
                <w:color w:val="auto"/>
                <w:spacing w:val="-6"/>
                <w:highlight w:val="none"/>
              </w:rPr>
            </w:pPr>
            <w:r>
              <w:rPr>
                <w:rFonts w:hint="eastAsia" w:cs="宋体"/>
                <w:color w:val="auto"/>
                <w:spacing w:val="-6"/>
                <w:highlight w:val="none"/>
              </w:rPr>
              <w:t>5</w:t>
            </w:r>
          </w:p>
        </w:tc>
        <w:tc>
          <w:tcPr>
            <w:tcW w:w="4305" w:type="dxa"/>
            <w:gridSpan w:val="2"/>
            <w:vAlign w:val="center"/>
          </w:tcPr>
          <w:p>
            <w:pPr>
              <w:ind w:firstLine="0" w:firstLineChars="0"/>
              <w:rPr>
                <w:rFonts w:cs="宋体"/>
                <w:color w:val="auto"/>
                <w:spacing w:val="-6"/>
                <w:highlight w:val="none"/>
              </w:rPr>
            </w:pPr>
            <w:r>
              <w:rPr>
                <w:rFonts w:hint="eastAsia" w:cs="宋体"/>
                <w:color w:val="auto"/>
                <w:spacing w:val="-6"/>
                <w:highlight w:val="none"/>
              </w:rPr>
              <w:t>传真：</w:t>
            </w:r>
          </w:p>
        </w:tc>
        <w:tc>
          <w:tcPr>
            <w:tcW w:w="4563" w:type="dxa"/>
            <w:vAlign w:val="center"/>
          </w:tcPr>
          <w:p>
            <w:pPr>
              <w:ind w:firstLine="0" w:firstLineChars="0"/>
              <w:rPr>
                <w:rFonts w:cs="宋体"/>
                <w:color w:val="auto"/>
                <w:spacing w:val="-6"/>
                <w:highlight w:val="none"/>
              </w:rPr>
            </w:pPr>
            <w:r>
              <w:rPr>
                <w:rFonts w:hint="eastAsia" w:cs="宋体"/>
                <w:color w:val="auto"/>
                <w:spacing w:val="-6"/>
                <w:highlight w:val="none"/>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ind w:firstLine="0" w:firstLineChars="0"/>
              <w:jc w:val="center"/>
              <w:rPr>
                <w:rFonts w:cs="宋体"/>
                <w:color w:val="auto"/>
                <w:spacing w:val="-6"/>
                <w:highlight w:val="none"/>
              </w:rPr>
            </w:pPr>
            <w:r>
              <w:rPr>
                <w:rFonts w:hint="eastAsia" w:cs="宋体"/>
                <w:color w:val="auto"/>
                <w:spacing w:val="-6"/>
                <w:highlight w:val="none"/>
              </w:rPr>
              <w:t>6</w:t>
            </w:r>
          </w:p>
        </w:tc>
        <w:tc>
          <w:tcPr>
            <w:tcW w:w="4305" w:type="dxa"/>
            <w:gridSpan w:val="2"/>
            <w:vAlign w:val="center"/>
          </w:tcPr>
          <w:p>
            <w:pPr>
              <w:ind w:firstLine="0" w:firstLineChars="0"/>
              <w:rPr>
                <w:rFonts w:cs="宋体"/>
                <w:color w:val="auto"/>
                <w:spacing w:val="-6"/>
                <w:highlight w:val="none"/>
              </w:rPr>
            </w:pPr>
            <w:r>
              <w:rPr>
                <w:rFonts w:hint="eastAsia" w:cs="宋体"/>
                <w:color w:val="auto"/>
                <w:spacing w:val="-6"/>
                <w:highlight w:val="none"/>
              </w:rPr>
              <w:t>注册地：</w:t>
            </w:r>
          </w:p>
        </w:tc>
        <w:tc>
          <w:tcPr>
            <w:tcW w:w="4563" w:type="dxa"/>
            <w:vAlign w:val="center"/>
          </w:tcPr>
          <w:p>
            <w:pPr>
              <w:ind w:firstLine="0" w:firstLineChars="0"/>
              <w:rPr>
                <w:rFonts w:cs="宋体"/>
                <w:color w:val="auto"/>
                <w:spacing w:val="-6"/>
                <w:highlight w:val="none"/>
              </w:rPr>
            </w:pPr>
            <w:r>
              <w:rPr>
                <w:rFonts w:hint="eastAsia" w:cs="宋体"/>
                <w:color w:val="auto"/>
                <w:spacing w:val="-6"/>
                <w:highlight w:val="none"/>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ind w:firstLine="0" w:firstLineChars="0"/>
              <w:jc w:val="center"/>
              <w:rPr>
                <w:rFonts w:cs="宋体"/>
                <w:color w:val="auto"/>
                <w:spacing w:val="-6"/>
                <w:highlight w:val="none"/>
              </w:rPr>
            </w:pPr>
            <w:r>
              <w:rPr>
                <w:rFonts w:hint="eastAsia" w:cs="宋体"/>
                <w:color w:val="auto"/>
                <w:spacing w:val="-6"/>
                <w:highlight w:val="none"/>
              </w:rPr>
              <w:t>7</w:t>
            </w:r>
          </w:p>
        </w:tc>
        <w:tc>
          <w:tcPr>
            <w:tcW w:w="8868" w:type="dxa"/>
            <w:gridSpan w:val="3"/>
            <w:vAlign w:val="center"/>
          </w:tcPr>
          <w:p>
            <w:pPr>
              <w:ind w:firstLine="0" w:firstLineChars="0"/>
              <w:rPr>
                <w:rFonts w:cs="宋体"/>
                <w:color w:val="auto"/>
                <w:spacing w:val="-6"/>
                <w:highlight w:val="none"/>
              </w:rPr>
            </w:pPr>
            <w:r>
              <w:rPr>
                <w:rFonts w:hint="eastAsia" w:cs="宋体"/>
                <w:color w:val="auto"/>
                <w:spacing w:val="-6"/>
                <w:highlight w:val="none"/>
              </w:rPr>
              <w:t>公司的资质等级（请附上有关证书的复印件）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ind w:firstLine="0" w:firstLineChars="0"/>
              <w:jc w:val="center"/>
              <w:rPr>
                <w:rFonts w:cs="宋体"/>
                <w:color w:val="auto"/>
                <w:spacing w:val="-6"/>
                <w:highlight w:val="none"/>
              </w:rPr>
            </w:pPr>
            <w:r>
              <w:rPr>
                <w:rFonts w:hint="eastAsia" w:cs="宋体"/>
                <w:color w:val="auto"/>
                <w:spacing w:val="-6"/>
                <w:highlight w:val="none"/>
              </w:rPr>
              <w:t>8</w:t>
            </w:r>
          </w:p>
        </w:tc>
        <w:tc>
          <w:tcPr>
            <w:tcW w:w="8868" w:type="dxa"/>
            <w:gridSpan w:val="3"/>
            <w:vAlign w:val="center"/>
          </w:tcPr>
          <w:p>
            <w:pPr>
              <w:ind w:firstLine="0" w:firstLineChars="0"/>
              <w:rPr>
                <w:rFonts w:cs="宋体"/>
                <w:color w:val="auto"/>
                <w:spacing w:val="-6"/>
                <w:highlight w:val="none"/>
              </w:rPr>
            </w:pPr>
            <w:r>
              <w:rPr>
                <w:rFonts w:hint="eastAsia" w:cs="宋体"/>
                <w:color w:val="auto"/>
                <w:spacing w:val="-6"/>
                <w:highlight w:val="none"/>
              </w:rPr>
              <w:t>公司（是否通过，何种）质量保证体系认证（如通过请附相关证书复印件，提供认证机构年审监督报告）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ind w:firstLine="0" w:firstLineChars="0"/>
              <w:jc w:val="center"/>
              <w:rPr>
                <w:rFonts w:cs="宋体"/>
                <w:color w:val="auto"/>
                <w:spacing w:val="-6"/>
                <w:highlight w:val="none"/>
              </w:rPr>
            </w:pPr>
            <w:r>
              <w:rPr>
                <w:rFonts w:hint="eastAsia" w:cs="宋体"/>
                <w:color w:val="auto"/>
                <w:spacing w:val="-6"/>
                <w:highlight w:val="none"/>
              </w:rPr>
              <w:t>9</w:t>
            </w:r>
          </w:p>
        </w:tc>
        <w:tc>
          <w:tcPr>
            <w:tcW w:w="2520" w:type="dxa"/>
            <w:vAlign w:val="center"/>
          </w:tcPr>
          <w:p>
            <w:pPr>
              <w:ind w:firstLine="0" w:firstLineChars="0"/>
              <w:rPr>
                <w:rFonts w:cs="宋体"/>
                <w:color w:val="auto"/>
                <w:spacing w:val="-6"/>
                <w:highlight w:val="none"/>
              </w:rPr>
            </w:pPr>
            <w:r>
              <w:rPr>
                <w:rFonts w:hint="eastAsia" w:cs="宋体"/>
                <w:color w:val="auto"/>
                <w:spacing w:val="-6"/>
                <w:highlight w:val="none"/>
              </w:rPr>
              <w:t>其他需要说明的情况</w:t>
            </w:r>
          </w:p>
        </w:tc>
        <w:tc>
          <w:tcPr>
            <w:tcW w:w="6348" w:type="dxa"/>
            <w:gridSpan w:val="2"/>
            <w:vAlign w:val="center"/>
          </w:tcPr>
          <w:p>
            <w:pPr>
              <w:ind w:firstLine="0" w:firstLineChars="0"/>
              <w:rPr>
                <w:rFonts w:cs="宋体"/>
                <w:color w:val="auto"/>
                <w:spacing w:val="-6"/>
                <w:highlight w:val="none"/>
              </w:rPr>
            </w:pPr>
          </w:p>
        </w:tc>
      </w:tr>
    </w:tbl>
    <w:p>
      <w:pPr>
        <w:spacing w:line="240" w:lineRule="auto"/>
        <w:ind w:firstLine="0" w:firstLineChars="0"/>
        <w:rPr>
          <w:rFonts w:cs="宋体"/>
          <w:i/>
          <w:color w:val="auto"/>
          <w:sz w:val="22"/>
          <w:szCs w:val="22"/>
          <w:highlight w:val="none"/>
        </w:rPr>
      </w:pPr>
    </w:p>
    <w:p>
      <w:pPr>
        <w:spacing w:line="240" w:lineRule="auto"/>
        <w:ind w:firstLine="480"/>
        <w:rPr>
          <w:rFonts w:cs="宋体"/>
          <w:snapToGrid w:val="0"/>
          <w:color w:val="auto"/>
          <w:highlight w:val="none"/>
        </w:rPr>
      </w:pPr>
      <w:r>
        <w:rPr>
          <w:rFonts w:hint="eastAsia" w:cs="宋体"/>
          <w:snapToGrid w:val="0"/>
          <w:color w:val="auto"/>
          <w:highlight w:val="none"/>
        </w:rPr>
        <w:t>应附上加盖公章的营业执照副本、相关资质、各资信类证书、认证体系证书等的清晰复印件。</w:t>
      </w:r>
    </w:p>
    <w:p>
      <w:pPr>
        <w:pStyle w:val="2"/>
        <w:rPr>
          <w:rFonts w:cs="宋体"/>
          <w:color w:val="auto"/>
          <w:highlight w:val="none"/>
        </w:rPr>
      </w:pPr>
    </w:p>
    <w:p>
      <w:pPr>
        <w:spacing w:line="240" w:lineRule="auto"/>
        <w:ind w:firstLine="480"/>
        <w:rPr>
          <w:rFonts w:cs="宋体"/>
          <w:snapToGrid w:val="0"/>
          <w:color w:val="auto"/>
          <w:highlight w:val="none"/>
        </w:rPr>
      </w:pPr>
    </w:p>
    <w:p>
      <w:pPr>
        <w:ind w:firstLine="480"/>
        <w:rPr>
          <w:rFonts w:cs="宋体"/>
          <w:color w:val="auto"/>
          <w:highlight w:val="none"/>
        </w:rPr>
      </w:pPr>
      <w:r>
        <w:rPr>
          <w:rFonts w:hint="eastAsia" w:cs="宋体"/>
          <w:color w:val="auto"/>
          <w:highlight w:val="none"/>
        </w:rPr>
        <w:t>投标人名称（公章）：</w:t>
      </w:r>
    </w:p>
    <w:p>
      <w:pPr>
        <w:ind w:firstLine="480"/>
        <w:rPr>
          <w:rFonts w:cs="宋体"/>
          <w:color w:val="auto"/>
          <w:highlight w:val="none"/>
        </w:rPr>
      </w:pPr>
      <w:r>
        <w:rPr>
          <w:rFonts w:hint="eastAsia" w:cs="宋体"/>
          <w:color w:val="auto"/>
          <w:highlight w:val="none"/>
        </w:rPr>
        <w:t>日期：  年   月   日</w:t>
      </w:r>
    </w:p>
    <w:p>
      <w:pPr>
        <w:pStyle w:val="5"/>
        <w:rPr>
          <w:rFonts w:cs="宋体"/>
          <w:color w:val="auto"/>
          <w:highlight w:val="none"/>
        </w:rPr>
        <w:sectPr>
          <w:pgSz w:w="11907" w:h="16840"/>
          <w:pgMar w:top="1440" w:right="1080" w:bottom="1440" w:left="1080" w:header="850" w:footer="992" w:gutter="0"/>
          <w:cols w:space="720" w:num="1"/>
          <w:docGrid w:linePitch="286" w:charSpace="0"/>
        </w:sectPr>
      </w:pPr>
      <w:bookmarkStart w:id="217" w:name="_Toc7524"/>
    </w:p>
    <w:p>
      <w:pPr>
        <w:pStyle w:val="5"/>
        <w:numPr>
          <w:ilvl w:val="0"/>
          <w:numId w:val="49"/>
        </w:numPr>
        <w:ind w:firstLine="482" w:firstLineChars="200"/>
        <w:rPr>
          <w:rFonts w:cs="宋体"/>
          <w:color w:val="auto"/>
          <w:highlight w:val="none"/>
        </w:rPr>
      </w:pPr>
      <w:r>
        <w:rPr>
          <w:rFonts w:hint="eastAsia" w:cs="宋体"/>
          <w:color w:val="auto"/>
          <w:highlight w:val="none"/>
        </w:rPr>
        <w:t>同类项目实施情况一览表</w:t>
      </w:r>
      <w:bookmarkEnd w:id="217"/>
    </w:p>
    <w:p>
      <w:pPr>
        <w:spacing w:line="240" w:lineRule="auto"/>
        <w:ind w:firstLine="0" w:firstLineChars="0"/>
        <w:jc w:val="center"/>
        <w:rPr>
          <w:rFonts w:cs="宋体"/>
          <w:b/>
          <w:color w:val="auto"/>
          <w:kern w:val="0"/>
          <w:sz w:val="32"/>
          <w:highlight w:val="none"/>
        </w:rPr>
      </w:pPr>
      <w:r>
        <w:rPr>
          <w:rFonts w:hint="eastAsia" w:cs="宋体"/>
          <w:b/>
          <w:color w:val="auto"/>
          <w:kern w:val="0"/>
          <w:sz w:val="32"/>
          <w:highlight w:val="none"/>
        </w:rPr>
        <w:t>同类项目实施情况一览表</w:t>
      </w:r>
    </w:p>
    <w:p>
      <w:pPr>
        <w:ind w:firstLine="480"/>
        <w:rPr>
          <w:color w:val="auto"/>
          <w:highlight w:val="none"/>
        </w:rPr>
      </w:pPr>
    </w:p>
    <w:p>
      <w:pPr>
        <w:ind w:firstLine="0" w:firstLineChars="0"/>
        <w:rPr>
          <w:rFonts w:cs="宋体"/>
          <w:b/>
          <w:bCs/>
          <w:color w:val="auto"/>
          <w:highlight w:val="none"/>
          <w:lang w:val="zh-CN"/>
        </w:rPr>
      </w:pPr>
      <w:r>
        <w:rPr>
          <w:rFonts w:hint="eastAsia" w:cs="宋体"/>
          <w:color w:val="auto"/>
          <w:highlight w:val="none"/>
        </w:rPr>
        <w:t xml:space="preserve">项目名称：                   项目编号：              </w:t>
      </w:r>
    </w:p>
    <w:tbl>
      <w:tblPr>
        <w:tblStyle w:val="4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2160"/>
        <w:gridCol w:w="1440"/>
        <w:gridCol w:w="2340"/>
        <w:gridCol w:w="1676"/>
        <w:gridCol w:w="102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lang w:val="zh-CN"/>
              </w:rPr>
              <w:t>序号</w:t>
            </w:r>
          </w:p>
        </w:tc>
        <w:tc>
          <w:tcPr>
            <w:tcW w:w="21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lang w:val="zh-CN"/>
              </w:rPr>
              <w:t>项目名称</w:t>
            </w:r>
          </w:p>
        </w:tc>
        <w:tc>
          <w:tcPr>
            <w:tcW w:w="144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lang w:val="zh-CN"/>
              </w:rPr>
              <w:t>项目时间</w:t>
            </w:r>
          </w:p>
          <w:p>
            <w:pPr>
              <w:ind w:firstLine="0" w:firstLineChars="0"/>
              <w:jc w:val="center"/>
              <w:rPr>
                <w:rFonts w:cs="宋体"/>
                <w:color w:val="auto"/>
                <w:highlight w:val="none"/>
              </w:rPr>
            </w:pPr>
            <w:r>
              <w:rPr>
                <w:rFonts w:hint="eastAsia" w:cs="宋体"/>
                <w:color w:val="auto"/>
                <w:highlight w:val="none"/>
                <w:lang w:val="zh-CN"/>
              </w:rPr>
              <w:t>年/月</w:t>
            </w:r>
          </w:p>
        </w:tc>
        <w:tc>
          <w:tcPr>
            <w:tcW w:w="234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lang w:val="zh-CN"/>
              </w:rPr>
              <w:t>使用单位名称、地址及联系方式</w:t>
            </w:r>
          </w:p>
        </w:tc>
        <w:tc>
          <w:tcPr>
            <w:tcW w:w="167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lang w:val="zh-CN"/>
              </w:rPr>
              <w:t>项目合同金额（单位：万元）</w:t>
            </w:r>
          </w:p>
        </w:tc>
        <w:tc>
          <w:tcPr>
            <w:tcW w:w="1024"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lang w:val="zh-CN"/>
              </w:rPr>
              <w:t>备 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1</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2</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3</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4</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5</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6</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7</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8</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9</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bl>
    <w:p>
      <w:pPr>
        <w:ind w:firstLine="482"/>
        <w:rPr>
          <w:b/>
          <w:bCs/>
          <w:color w:val="auto"/>
          <w:highlight w:val="none"/>
        </w:rPr>
      </w:pPr>
      <w:bookmarkStart w:id="218" w:name="_Toc15594"/>
      <w:r>
        <w:rPr>
          <w:rFonts w:hint="eastAsia"/>
          <w:b/>
          <w:bCs/>
          <w:color w:val="auto"/>
          <w:highlight w:val="none"/>
        </w:rPr>
        <w:t>说明：</w:t>
      </w:r>
      <w:bookmarkEnd w:id="218"/>
    </w:p>
    <w:p>
      <w:pPr>
        <w:ind w:firstLine="482"/>
        <w:rPr>
          <w:b/>
          <w:bCs/>
          <w:color w:val="auto"/>
          <w:highlight w:val="none"/>
        </w:rPr>
      </w:pPr>
      <w:r>
        <w:rPr>
          <w:rFonts w:hint="eastAsia"/>
          <w:b/>
          <w:bCs/>
          <w:color w:val="auto"/>
          <w:highlight w:val="none"/>
        </w:rPr>
        <w:t>1、投标人须按照评分标准要求提交相应证明材料；</w:t>
      </w:r>
    </w:p>
    <w:p>
      <w:pPr>
        <w:ind w:firstLine="482"/>
        <w:rPr>
          <w:b/>
          <w:bCs/>
          <w:color w:val="auto"/>
          <w:highlight w:val="none"/>
        </w:rPr>
      </w:pPr>
      <w:r>
        <w:rPr>
          <w:rFonts w:hint="eastAsia"/>
          <w:b/>
          <w:bCs/>
          <w:color w:val="auto"/>
          <w:highlight w:val="none"/>
        </w:rPr>
        <w:t>2、所有证明材料复印件应清晰，应能体现签订时间、双方签字盖章等内容；</w:t>
      </w:r>
    </w:p>
    <w:p>
      <w:pPr>
        <w:ind w:firstLine="482"/>
        <w:rPr>
          <w:b/>
          <w:bCs/>
          <w:color w:val="auto"/>
          <w:highlight w:val="none"/>
        </w:rPr>
      </w:pPr>
      <w:r>
        <w:rPr>
          <w:rFonts w:hint="eastAsia"/>
          <w:b/>
          <w:bCs/>
          <w:color w:val="auto"/>
          <w:highlight w:val="none"/>
        </w:rPr>
        <w:t>3、投标人应在不涉及商业秘密的前提下尽可能提供详细的复印件内容。</w:t>
      </w:r>
    </w:p>
    <w:p>
      <w:pPr>
        <w:ind w:firstLine="0" w:firstLineChars="0"/>
        <w:rPr>
          <w:rFonts w:cs="宋体"/>
          <w:color w:val="auto"/>
          <w:highlight w:val="none"/>
        </w:rPr>
      </w:pPr>
    </w:p>
    <w:p>
      <w:pPr>
        <w:ind w:left="-720" w:right="-960" w:firstLine="0" w:firstLineChars="0"/>
        <w:rPr>
          <w:rFonts w:cs="宋体"/>
          <w:color w:val="auto"/>
          <w:spacing w:val="4"/>
          <w:highlight w:val="none"/>
        </w:rPr>
      </w:pPr>
    </w:p>
    <w:p>
      <w:pPr>
        <w:ind w:firstLine="480"/>
        <w:rPr>
          <w:rFonts w:cs="宋体"/>
          <w:color w:val="auto"/>
          <w:highlight w:val="none"/>
        </w:rPr>
      </w:pPr>
      <w:r>
        <w:rPr>
          <w:rFonts w:hint="eastAsia" w:cs="宋体"/>
          <w:color w:val="auto"/>
          <w:highlight w:val="none"/>
        </w:rPr>
        <w:t>投标人名称（公章）：</w:t>
      </w:r>
    </w:p>
    <w:p>
      <w:pPr>
        <w:ind w:firstLine="480"/>
        <w:rPr>
          <w:rFonts w:cs="宋体"/>
          <w:color w:val="auto"/>
          <w:highlight w:val="none"/>
        </w:rPr>
      </w:pPr>
      <w:r>
        <w:rPr>
          <w:rFonts w:hint="eastAsia" w:cs="宋体"/>
          <w:color w:val="auto"/>
          <w:highlight w:val="none"/>
        </w:rPr>
        <w:t>日期：  年   月   日</w:t>
      </w:r>
    </w:p>
    <w:p>
      <w:pPr>
        <w:pStyle w:val="2"/>
        <w:rPr>
          <w:rFonts w:cs="宋体"/>
          <w:color w:val="auto"/>
          <w:highlight w:val="none"/>
        </w:rPr>
      </w:pPr>
    </w:p>
    <w:p>
      <w:pPr>
        <w:ind w:firstLine="480"/>
        <w:rPr>
          <w:rFonts w:cs="宋体"/>
          <w:color w:val="auto"/>
          <w:highlight w:val="none"/>
        </w:rPr>
        <w:sectPr>
          <w:pgSz w:w="11907" w:h="16840"/>
          <w:pgMar w:top="1440" w:right="1080" w:bottom="1440" w:left="1080" w:header="850" w:footer="992" w:gutter="0"/>
          <w:cols w:space="720" w:num="1"/>
          <w:docGrid w:linePitch="286" w:charSpace="0"/>
        </w:sectPr>
      </w:pPr>
    </w:p>
    <w:p>
      <w:pPr>
        <w:pStyle w:val="5"/>
        <w:numPr>
          <w:ilvl w:val="0"/>
          <w:numId w:val="49"/>
        </w:numPr>
        <w:ind w:firstLine="482" w:firstLineChars="200"/>
        <w:rPr>
          <w:rFonts w:cs="宋体"/>
          <w:color w:val="auto"/>
          <w:highlight w:val="none"/>
        </w:rPr>
      </w:pPr>
      <w:bookmarkStart w:id="219" w:name="_Toc24234"/>
      <w:r>
        <w:rPr>
          <w:rFonts w:hint="eastAsia" w:cs="宋体"/>
          <w:color w:val="auto"/>
          <w:highlight w:val="none"/>
        </w:rPr>
        <w:t>技术规范偏离表</w:t>
      </w:r>
      <w:bookmarkEnd w:id="219"/>
    </w:p>
    <w:p>
      <w:pPr>
        <w:spacing w:line="240" w:lineRule="auto"/>
        <w:ind w:firstLine="0" w:firstLineChars="0"/>
        <w:jc w:val="center"/>
        <w:rPr>
          <w:rFonts w:cs="宋体"/>
          <w:b/>
          <w:color w:val="auto"/>
          <w:kern w:val="0"/>
          <w:sz w:val="32"/>
          <w:highlight w:val="none"/>
        </w:rPr>
      </w:pPr>
      <w:r>
        <w:rPr>
          <w:rFonts w:hint="eastAsia" w:cs="宋体"/>
          <w:b/>
          <w:color w:val="auto"/>
          <w:kern w:val="0"/>
          <w:sz w:val="32"/>
          <w:highlight w:val="none"/>
        </w:rPr>
        <w:t>技术规范偏离表</w:t>
      </w:r>
    </w:p>
    <w:p>
      <w:pPr>
        <w:ind w:firstLine="480"/>
        <w:rPr>
          <w:color w:val="auto"/>
          <w:highlight w:val="none"/>
        </w:rPr>
      </w:pPr>
    </w:p>
    <w:p>
      <w:pPr>
        <w:ind w:firstLine="0" w:firstLineChars="0"/>
        <w:rPr>
          <w:rFonts w:cs="宋体"/>
          <w:color w:val="auto"/>
          <w:highlight w:val="none"/>
        </w:rPr>
      </w:pPr>
      <w:r>
        <w:rPr>
          <w:rFonts w:hint="eastAsia" w:cs="宋体"/>
          <w:color w:val="auto"/>
          <w:highlight w:val="none"/>
        </w:rPr>
        <w:t xml:space="preserve">项目名称：                      项目编号：               </w:t>
      </w:r>
    </w:p>
    <w:tbl>
      <w:tblPr>
        <w:tblStyle w:val="4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2756"/>
        <w:gridCol w:w="2426"/>
        <w:gridCol w:w="1936"/>
        <w:gridCol w:w="2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60" w:type="pct"/>
            <w:vAlign w:val="center"/>
          </w:tcPr>
          <w:p>
            <w:pPr>
              <w:snapToGrid w:val="0"/>
              <w:spacing w:line="288" w:lineRule="auto"/>
              <w:ind w:firstLine="0" w:firstLineChars="0"/>
              <w:jc w:val="center"/>
              <w:rPr>
                <w:rFonts w:cs="宋体"/>
                <w:b/>
                <w:color w:val="auto"/>
                <w:spacing w:val="-6"/>
                <w:highlight w:val="none"/>
              </w:rPr>
            </w:pPr>
            <w:r>
              <w:rPr>
                <w:rFonts w:hint="eastAsia" w:cs="宋体"/>
                <w:b/>
                <w:color w:val="auto"/>
                <w:spacing w:val="-6"/>
                <w:highlight w:val="none"/>
              </w:rPr>
              <w:t>序号</w:t>
            </w:r>
          </w:p>
        </w:tc>
        <w:tc>
          <w:tcPr>
            <w:tcW w:w="1385" w:type="pct"/>
            <w:vAlign w:val="center"/>
          </w:tcPr>
          <w:p>
            <w:pPr>
              <w:snapToGrid w:val="0"/>
              <w:spacing w:line="288" w:lineRule="auto"/>
              <w:ind w:firstLine="0" w:firstLineChars="0"/>
              <w:jc w:val="center"/>
              <w:rPr>
                <w:rFonts w:cs="宋体"/>
                <w:b/>
                <w:color w:val="auto"/>
                <w:spacing w:val="-6"/>
                <w:highlight w:val="none"/>
              </w:rPr>
            </w:pPr>
            <w:r>
              <w:rPr>
                <w:rFonts w:hint="eastAsia" w:cs="宋体"/>
                <w:b/>
                <w:color w:val="auto"/>
                <w:spacing w:val="-6"/>
                <w:highlight w:val="none"/>
              </w:rPr>
              <w:t>招标文件要求</w:t>
            </w:r>
          </w:p>
        </w:tc>
        <w:tc>
          <w:tcPr>
            <w:tcW w:w="1219" w:type="pct"/>
            <w:vAlign w:val="center"/>
          </w:tcPr>
          <w:p>
            <w:pPr>
              <w:snapToGrid w:val="0"/>
              <w:spacing w:line="288" w:lineRule="auto"/>
              <w:ind w:firstLine="0" w:firstLineChars="0"/>
              <w:jc w:val="center"/>
              <w:rPr>
                <w:rFonts w:cs="宋体"/>
                <w:b/>
                <w:color w:val="auto"/>
                <w:spacing w:val="-6"/>
                <w:highlight w:val="none"/>
              </w:rPr>
            </w:pPr>
            <w:r>
              <w:rPr>
                <w:rFonts w:hint="eastAsia" w:cs="宋体"/>
                <w:b/>
                <w:color w:val="auto"/>
                <w:spacing w:val="-6"/>
                <w:highlight w:val="none"/>
              </w:rPr>
              <w:t>响应规格</w:t>
            </w:r>
          </w:p>
        </w:tc>
        <w:tc>
          <w:tcPr>
            <w:tcW w:w="972" w:type="pct"/>
            <w:vAlign w:val="center"/>
          </w:tcPr>
          <w:p>
            <w:pPr>
              <w:snapToGrid w:val="0"/>
              <w:spacing w:line="288" w:lineRule="auto"/>
              <w:ind w:firstLine="0" w:firstLineChars="0"/>
              <w:jc w:val="center"/>
              <w:rPr>
                <w:rFonts w:cs="宋体"/>
                <w:b/>
                <w:color w:val="auto"/>
                <w:spacing w:val="-6"/>
                <w:highlight w:val="none"/>
              </w:rPr>
            </w:pPr>
            <w:r>
              <w:rPr>
                <w:rFonts w:hint="eastAsia" w:cs="宋体"/>
                <w:b/>
                <w:color w:val="auto"/>
                <w:spacing w:val="-6"/>
                <w:highlight w:val="none"/>
              </w:rPr>
              <w:t>是否偏离</w:t>
            </w:r>
          </w:p>
          <w:p>
            <w:pPr>
              <w:snapToGrid w:val="0"/>
              <w:spacing w:line="288" w:lineRule="auto"/>
              <w:ind w:firstLine="0" w:firstLineChars="0"/>
              <w:jc w:val="center"/>
              <w:rPr>
                <w:rFonts w:cs="宋体"/>
                <w:b/>
                <w:color w:val="auto"/>
                <w:spacing w:val="-6"/>
                <w:highlight w:val="none"/>
              </w:rPr>
            </w:pPr>
            <w:r>
              <w:rPr>
                <w:rFonts w:hint="eastAsia" w:cs="宋体"/>
                <w:b/>
                <w:color w:val="auto"/>
                <w:spacing w:val="-6"/>
                <w:highlight w:val="none"/>
              </w:rPr>
              <w:t>（提供说明）</w:t>
            </w:r>
          </w:p>
        </w:tc>
        <w:tc>
          <w:tcPr>
            <w:tcW w:w="1062" w:type="pct"/>
            <w:vAlign w:val="center"/>
          </w:tcPr>
          <w:p>
            <w:pPr>
              <w:snapToGrid w:val="0"/>
              <w:spacing w:line="288" w:lineRule="auto"/>
              <w:ind w:firstLine="0" w:firstLineChars="0"/>
              <w:jc w:val="center"/>
              <w:rPr>
                <w:rFonts w:cs="宋体"/>
                <w:b/>
                <w:color w:val="auto"/>
                <w:spacing w:val="-6"/>
                <w:highlight w:val="none"/>
              </w:rPr>
            </w:pPr>
            <w:r>
              <w:rPr>
                <w:rFonts w:hint="eastAsia" w:cs="宋体"/>
                <w:b/>
                <w:color w:val="auto"/>
                <w:spacing w:val="-6"/>
                <w:highlight w:val="none"/>
              </w:rPr>
              <w:t>备注</w:t>
            </w:r>
          </w:p>
          <w:p>
            <w:pPr>
              <w:snapToGrid w:val="0"/>
              <w:spacing w:line="288" w:lineRule="auto"/>
              <w:ind w:firstLine="0" w:firstLineChars="0"/>
              <w:jc w:val="center"/>
              <w:rPr>
                <w:rFonts w:cs="宋体"/>
                <w:b/>
                <w:color w:val="auto"/>
                <w:spacing w:val="-6"/>
                <w:highlight w:val="none"/>
              </w:rPr>
            </w:pPr>
            <w:r>
              <w:rPr>
                <w:rFonts w:hint="eastAsia" w:cs="宋体"/>
                <w:b/>
                <w:color w:val="auto"/>
                <w:spacing w:val="-6"/>
                <w:highlight w:val="none"/>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937" w:type="pct"/>
            <w:gridSpan w:val="4"/>
            <w:vAlign w:val="center"/>
          </w:tcPr>
          <w:p>
            <w:pPr>
              <w:spacing w:line="288" w:lineRule="auto"/>
              <w:ind w:firstLine="0" w:firstLineChars="0"/>
              <w:rPr>
                <w:rFonts w:cs="宋体"/>
                <w:color w:val="auto"/>
                <w:sz w:val="21"/>
                <w:szCs w:val="21"/>
                <w:highlight w:val="none"/>
              </w:rPr>
            </w:pPr>
            <w:r>
              <w:rPr>
                <w:rFonts w:hint="eastAsia" w:cs="宋体"/>
                <w:color w:val="auto"/>
                <w:sz w:val="21"/>
                <w:szCs w:val="21"/>
                <w:highlight w:val="none"/>
              </w:rPr>
              <w:t>一、</w:t>
            </w:r>
          </w:p>
        </w:tc>
        <w:tc>
          <w:tcPr>
            <w:tcW w:w="1062" w:type="pct"/>
            <w:vAlign w:val="center"/>
          </w:tcPr>
          <w:p>
            <w:pPr>
              <w:spacing w:line="288" w:lineRule="auto"/>
              <w:ind w:firstLine="0" w:firstLineChars="0"/>
              <w:rPr>
                <w:rFonts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60" w:type="pct"/>
            <w:vAlign w:val="center"/>
          </w:tcPr>
          <w:p>
            <w:pPr>
              <w:snapToGrid w:val="0"/>
              <w:spacing w:line="288" w:lineRule="auto"/>
              <w:ind w:firstLine="0" w:firstLineChars="0"/>
              <w:jc w:val="center"/>
              <w:rPr>
                <w:rFonts w:cs="宋体"/>
                <w:color w:val="auto"/>
                <w:spacing w:val="-6"/>
                <w:sz w:val="21"/>
                <w:szCs w:val="21"/>
                <w:highlight w:val="none"/>
              </w:rPr>
            </w:pPr>
            <w:r>
              <w:rPr>
                <w:rFonts w:hint="eastAsia" w:cs="宋体"/>
                <w:color w:val="auto"/>
                <w:spacing w:val="-6"/>
                <w:sz w:val="21"/>
                <w:szCs w:val="21"/>
                <w:highlight w:val="none"/>
              </w:rPr>
              <w:t>1</w:t>
            </w:r>
          </w:p>
        </w:tc>
        <w:tc>
          <w:tcPr>
            <w:tcW w:w="1385" w:type="pct"/>
            <w:vAlign w:val="center"/>
          </w:tcPr>
          <w:p>
            <w:pPr>
              <w:spacing w:line="288" w:lineRule="auto"/>
              <w:ind w:firstLine="0" w:firstLineChars="0"/>
              <w:jc w:val="center"/>
              <w:rPr>
                <w:rFonts w:cs="宋体"/>
                <w:color w:val="auto"/>
                <w:sz w:val="21"/>
                <w:szCs w:val="21"/>
                <w:highlight w:val="none"/>
              </w:rPr>
            </w:pPr>
          </w:p>
        </w:tc>
        <w:tc>
          <w:tcPr>
            <w:tcW w:w="1219" w:type="pct"/>
            <w:vAlign w:val="center"/>
          </w:tcPr>
          <w:p>
            <w:pPr>
              <w:snapToGrid w:val="0"/>
              <w:spacing w:line="288" w:lineRule="auto"/>
              <w:ind w:firstLine="0" w:firstLineChars="0"/>
              <w:jc w:val="center"/>
              <w:rPr>
                <w:rFonts w:cs="宋体"/>
                <w:color w:val="auto"/>
                <w:spacing w:val="-6"/>
                <w:sz w:val="21"/>
                <w:szCs w:val="21"/>
                <w:highlight w:val="none"/>
              </w:rPr>
            </w:pPr>
          </w:p>
        </w:tc>
        <w:tc>
          <w:tcPr>
            <w:tcW w:w="972" w:type="pct"/>
            <w:vAlign w:val="center"/>
          </w:tcPr>
          <w:p>
            <w:pPr>
              <w:snapToGrid w:val="0"/>
              <w:spacing w:line="288" w:lineRule="auto"/>
              <w:ind w:firstLine="0" w:firstLineChars="0"/>
              <w:jc w:val="center"/>
              <w:rPr>
                <w:rFonts w:cs="宋体"/>
                <w:color w:val="auto"/>
                <w:spacing w:val="-6"/>
                <w:sz w:val="21"/>
                <w:szCs w:val="21"/>
                <w:highlight w:val="none"/>
              </w:rPr>
            </w:pPr>
          </w:p>
        </w:tc>
        <w:tc>
          <w:tcPr>
            <w:tcW w:w="1062" w:type="pct"/>
            <w:vAlign w:val="center"/>
          </w:tcPr>
          <w:p>
            <w:pPr>
              <w:snapToGrid w:val="0"/>
              <w:spacing w:line="288" w:lineRule="auto"/>
              <w:ind w:firstLine="0" w:firstLineChars="0"/>
              <w:jc w:val="center"/>
              <w:rPr>
                <w:rFonts w:cs="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60" w:type="pct"/>
            <w:vAlign w:val="center"/>
          </w:tcPr>
          <w:p>
            <w:pPr>
              <w:snapToGrid w:val="0"/>
              <w:spacing w:line="288" w:lineRule="auto"/>
              <w:ind w:firstLine="0" w:firstLineChars="0"/>
              <w:jc w:val="center"/>
              <w:rPr>
                <w:rFonts w:cs="宋体"/>
                <w:color w:val="auto"/>
                <w:spacing w:val="-6"/>
                <w:sz w:val="21"/>
                <w:szCs w:val="21"/>
                <w:highlight w:val="none"/>
              </w:rPr>
            </w:pPr>
            <w:r>
              <w:rPr>
                <w:rFonts w:hint="eastAsia" w:cs="宋体"/>
                <w:color w:val="auto"/>
                <w:spacing w:val="-6"/>
                <w:sz w:val="21"/>
                <w:szCs w:val="21"/>
                <w:highlight w:val="none"/>
              </w:rPr>
              <w:t>2</w:t>
            </w:r>
          </w:p>
        </w:tc>
        <w:tc>
          <w:tcPr>
            <w:tcW w:w="1385" w:type="pct"/>
            <w:vAlign w:val="center"/>
          </w:tcPr>
          <w:p>
            <w:pPr>
              <w:spacing w:line="288" w:lineRule="auto"/>
              <w:ind w:firstLine="0" w:firstLineChars="0"/>
              <w:jc w:val="center"/>
              <w:rPr>
                <w:rFonts w:cs="宋体"/>
                <w:color w:val="auto"/>
                <w:spacing w:val="-6"/>
                <w:sz w:val="21"/>
                <w:szCs w:val="21"/>
                <w:highlight w:val="none"/>
              </w:rPr>
            </w:pPr>
          </w:p>
        </w:tc>
        <w:tc>
          <w:tcPr>
            <w:tcW w:w="1219" w:type="pct"/>
            <w:vAlign w:val="center"/>
          </w:tcPr>
          <w:p>
            <w:pPr>
              <w:snapToGrid w:val="0"/>
              <w:spacing w:line="288" w:lineRule="auto"/>
              <w:ind w:firstLine="0" w:firstLineChars="0"/>
              <w:jc w:val="center"/>
              <w:rPr>
                <w:rFonts w:cs="宋体"/>
                <w:color w:val="auto"/>
                <w:spacing w:val="-6"/>
                <w:sz w:val="21"/>
                <w:szCs w:val="21"/>
                <w:highlight w:val="none"/>
              </w:rPr>
            </w:pPr>
          </w:p>
        </w:tc>
        <w:tc>
          <w:tcPr>
            <w:tcW w:w="972" w:type="pct"/>
            <w:vAlign w:val="center"/>
          </w:tcPr>
          <w:p>
            <w:pPr>
              <w:snapToGrid w:val="0"/>
              <w:spacing w:line="288" w:lineRule="auto"/>
              <w:ind w:firstLine="0" w:firstLineChars="0"/>
              <w:jc w:val="center"/>
              <w:rPr>
                <w:rFonts w:cs="宋体"/>
                <w:color w:val="auto"/>
                <w:spacing w:val="-6"/>
                <w:sz w:val="21"/>
                <w:szCs w:val="21"/>
                <w:highlight w:val="none"/>
              </w:rPr>
            </w:pPr>
          </w:p>
        </w:tc>
        <w:tc>
          <w:tcPr>
            <w:tcW w:w="1062" w:type="pct"/>
            <w:vAlign w:val="center"/>
          </w:tcPr>
          <w:p>
            <w:pPr>
              <w:snapToGrid w:val="0"/>
              <w:spacing w:line="288" w:lineRule="auto"/>
              <w:ind w:firstLine="0" w:firstLineChars="0"/>
              <w:jc w:val="center"/>
              <w:rPr>
                <w:rFonts w:cs="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60" w:type="pct"/>
            <w:vAlign w:val="center"/>
          </w:tcPr>
          <w:p>
            <w:pPr>
              <w:snapToGrid w:val="0"/>
              <w:spacing w:line="288" w:lineRule="auto"/>
              <w:ind w:firstLine="0" w:firstLineChars="0"/>
              <w:jc w:val="center"/>
              <w:rPr>
                <w:rFonts w:cs="宋体"/>
                <w:color w:val="auto"/>
                <w:spacing w:val="-6"/>
                <w:sz w:val="21"/>
                <w:szCs w:val="21"/>
                <w:highlight w:val="none"/>
              </w:rPr>
            </w:pPr>
            <w:r>
              <w:rPr>
                <w:rFonts w:hint="eastAsia" w:cs="宋体"/>
                <w:color w:val="auto"/>
                <w:spacing w:val="-6"/>
                <w:sz w:val="21"/>
                <w:szCs w:val="21"/>
                <w:highlight w:val="none"/>
              </w:rPr>
              <w:t>……</w:t>
            </w:r>
          </w:p>
        </w:tc>
        <w:tc>
          <w:tcPr>
            <w:tcW w:w="1385" w:type="pct"/>
            <w:vAlign w:val="center"/>
          </w:tcPr>
          <w:p>
            <w:pPr>
              <w:spacing w:line="288" w:lineRule="auto"/>
              <w:ind w:firstLine="0" w:firstLineChars="0"/>
              <w:jc w:val="center"/>
              <w:rPr>
                <w:rFonts w:cs="宋体"/>
                <w:color w:val="auto"/>
                <w:spacing w:val="-6"/>
                <w:sz w:val="21"/>
                <w:szCs w:val="21"/>
                <w:highlight w:val="none"/>
              </w:rPr>
            </w:pPr>
          </w:p>
        </w:tc>
        <w:tc>
          <w:tcPr>
            <w:tcW w:w="1219" w:type="pct"/>
            <w:vAlign w:val="center"/>
          </w:tcPr>
          <w:p>
            <w:pPr>
              <w:snapToGrid w:val="0"/>
              <w:spacing w:line="288" w:lineRule="auto"/>
              <w:ind w:firstLine="0" w:firstLineChars="0"/>
              <w:jc w:val="center"/>
              <w:rPr>
                <w:rFonts w:cs="宋体"/>
                <w:color w:val="auto"/>
                <w:spacing w:val="-6"/>
                <w:sz w:val="21"/>
                <w:szCs w:val="21"/>
                <w:highlight w:val="none"/>
              </w:rPr>
            </w:pPr>
          </w:p>
        </w:tc>
        <w:tc>
          <w:tcPr>
            <w:tcW w:w="972" w:type="pct"/>
            <w:vAlign w:val="center"/>
          </w:tcPr>
          <w:p>
            <w:pPr>
              <w:snapToGrid w:val="0"/>
              <w:spacing w:line="288" w:lineRule="auto"/>
              <w:ind w:firstLine="0" w:firstLineChars="0"/>
              <w:jc w:val="center"/>
              <w:rPr>
                <w:rFonts w:cs="宋体"/>
                <w:color w:val="auto"/>
                <w:spacing w:val="-6"/>
                <w:sz w:val="21"/>
                <w:szCs w:val="21"/>
                <w:highlight w:val="none"/>
              </w:rPr>
            </w:pPr>
          </w:p>
        </w:tc>
        <w:tc>
          <w:tcPr>
            <w:tcW w:w="1062" w:type="pct"/>
            <w:vAlign w:val="center"/>
          </w:tcPr>
          <w:p>
            <w:pPr>
              <w:snapToGrid w:val="0"/>
              <w:spacing w:line="288" w:lineRule="auto"/>
              <w:ind w:firstLine="0" w:firstLineChars="0"/>
              <w:jc w:val="center"/>
              <w:rPr>
                <w:rFonts w:cs="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937" w:type="pct"/>
            <w:gridSpan w:val="4"/>
            <w:vAlign w:val="center"/>
          </w:tcPr>
          <w:p>
            <w:pPr>
              <w:snapToGrid w:val="0"/>
              <w:spacing w:line="288" w:lineRule="auto"/>
              <w:ind w:firstLine="0" w:firstLineChars="0"/>
              <w:rPr>
                <w:rFonts w:cs="宋体"/>
                <w:color w:val="auto"/>
                <w:spacing w:val="-6"/>
                <w:sz w:val="21"/>
                <w:szCs w:val="21"/>
                <w:highlight w:val="none"/>
              </w:rPr>
            </w:pPr>
            <w:r>
              <w:rPr>
                <w:rFonts w:hint="eastAsia" w:cs="宋体"/>
                <w:color w:val="auto"/>
                <w:sz w:val="21"/>
                <w:szCs w:val="21"/>
                <w:highlight w:val="none"/>
              </w:rPr>
              <w:t>二、</w:t>
            </w:r>
          </w:p>
        </w:tc>
        <w:tc>
          <w:tcPr>
            <w:tcW w:w="1062" w:type="pct"/>
            <w:vAlign w:val="center"/>
          </w:tcPr>
          <w:p>
            <w:pPr>
              <w:snapToGrid w:val="0"/>
              <w:spacing w:line="288" w:lineRule="auto"/>
              <w:ind w:firstLine="0" w:firstLineChars="0"/>
              <w:rPr>
                <w:rFonts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60" w:type="pct"/>
            <w:vAlign w:val="center"/>
          </w:tcPr>
          <w:p>
            <w:pPr>
              <w:snapToGrid w:val="0"/>
              <w:spacing w:line="288" w:lineRule="auto"/>
              <w:ind w:firstLine="0" w:firstLineChars="0"/>
              <w:jc w:val="center"/>
              <w:rPr>
                <w:rFonts w:cs="宋体"/>
                <w:color w:val="auto"/>
                <w:spacing w:val="-6"/>
                <w:sz w:val="21"/>
                <w:szCs w:val="21"/>
                <w:highlight w:val="none"/>
              </w:rPr>
            </w:pPr>
            <w:r>
              <w:rPr>
                <w:rFonts w:hint="eastAsia" w:cs="宋体"/>
                <w:color w:val="auto"/>
                <w:spacing w:val="-6"/>
                <w:sz w:val="21"/>
                <w:szCs w:val="21"/>
                <w:highlight w:val="none"/>
              </w:rPr>
              <w:t>1</w:t>
            </w:r>
          </w:p>
        </w:tc>
        <w:tc>
          <w:tcPr>
            <w:tcW w:w="1385" w:type="pct"/>
            <w:vAlign w:val="center"/>
          </w:tcPr>
          <w:p>
            <w:pPr>
              <w:spacing w:line="288" w:lineRule="auto"/>
              <w:ind w:firstLine="0" w:firstLineChars="0"/>
              <w:jc w:val="center"/>
              <w:rPr>
                <w:rFonts w:cs="宋体"/>
                <w:color w:val="auto"/>
                <w:spacing w:val="-6"/>
                <w:sz w:val="21"/>
                <w:szCs w:val="21"/>
                <w:highlight w:val="none"/>
              </w:rPr>
            </w:pPr>
          </w:p>
        </w:tc>
        <w:tc>
          <w:tcPr>
            <w:tcW w:w="1219" w:type="pct"/>
            <w:vAlign w:val="center"/>
          </w:tcPr>
          <w:p>
            <w:pPr>
              <w:snapToGrid w:val="0"/>
              <w:spacing w:line="288" w:lineRule="auto"/>
              <w:ind w:firstLine="0" w:firstLineChars="0"/>
              <w:jc w:val="center"/>
              <w:rPr>
                <w:rFonts w:cs="宋体"/>
                <w:color w:val="auto"/>
                <w:spacing w:val="-6"/>
                <w:sz w:val="21"/>
                <w:szCs w:val="21"/>
                <w:highlight w:val="none"/>
              </w:rPr>
            </w:pPr>
          </w:p>
        </w:tc>
        <w:tc>
          <w:tcPr>
            <w:tcW w:w="972" w:type="pct"/>
            <w:vAlign w:val="center"/>
          </w:tcPr>
          <w:p>
            <w:pPr>
              <w:snapToGrid w:val="0"/>
              <w:spacing w:line="288" w:lineRule="auto"/>
              <w:ind w:firstLine="0" w:firstLineChars="0"/>
              <w:jc w:val="center"/>
              <w:rPr>
                <w:rFonts w:cs="宋体"/>
                <w:color w:val="auto"/>
                <w:spacing w:val="-6"/>
                <w:sz w:val="21"/>
                <w:szCs w:val="21"/>
                <w:highlight w:val="none"/>
              </w:rPr>
            </w:pPr>
          </w:p>
        </w:tc>
        <w:tc>
          <w:tcPr>
            <w:tcW w:w="1062" w:type="pct"/>
            <w:vAlign w:val="center"/>
          </w:tcPr>
          <w:p>
            <w:pPr>
              <w:snapToGrid w:val="0"/>
              <w:spacing w:line="288" w:lineRule="auto"/>
              <w:ind w:firstLine="0" w:firstLineChars="0"/>
              <w:jc w:val="center"/>
              <w:rPr>
                <w:rFonts w:cs="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60" w:type="pct"/>
            <w:vAlign w:val="center"/>
          </w:tcPr>
          <w:p>
            <w:pPr>
              <w:snapToGrid w:val="0"/>
              <w:spacing w:line="288" w:lineRule="auto"/>
              <w:ind w:firstLine="0" w:firstLineChars="0"/>
              <w:jc w:val="center"/>
              <w:rPr>
                <w:rFonts w:cs="宋体"/>
                <w:color w:val="auto"/>
                <w:spacing w:val="-6"/>
                <w:sz w:val="21"/>
                <w:szCs w:val="21"/>
                <w:highlight w:val="none"/>
              </w:rPr>
            </w:pPr>
            <w:r>
              <w:rPr>
                <w:rFonts w:hint="eastAsia" w:cs="宋体"/>
                <w:color w:val="auto"/>
                <w:spacing w:val="-6"/>
                <w:sz w:val="21"/>
                <w:szCs w:val="21"/>
                <w:highlight w:val="none"/>
              </w:rPr>
              <w:t>2</w:t>
            </w:r>
          </w:p>
        </w:tc>
        <w:tc>
          <w:tcPr>
            <w:tcW w:w="1385" w:type="pct"/>
            <w:vAlign w:val="center"/>
          </w:tcPr>
          <w:p>
            <w:pPr>
              <w:spacing w:line="288" w:lineRule="auto"/>
              <w:ind w:firstLine="0" w:firstLineChars="0"/>
              <w:jc w:val="center"/>
              <w:rPr>
                <w:rFonts w:cs="宋体"/>
                <w:color w:val="auto"/>
                <w:sz w:val="21"/>
                <w:szCs w:val="21"/>
                <w:highlight w:val="none"/>
              </w:rPr>
            </w:pPr>
          </w:p>
        </w:tc>
        <w:tc>
          <w:tcPr>
            <w:tcW w:w="1219" w:type="pct"/>
            <w:vAlign w:val="center"/>
          </w:tcPr>
          <w:p>
            <w:pPr>
              <w:snapToGrid w:val="0"/>
              <w:spacing w:line="288" w:lineRule="auto"/>
              <w:ind w:firstLine="0" w:firstLineChars="0"/>
              <w:jc w:val="center"/>
              <w:rPr>
                <w:rFonts w:cs="宋体"/>
                <w:color w:val="auto"/>
                <w:spacing w:val="-6"/>
                <w:sz w:val="21"/>
                <w:szCs w:val="21"/>
                <w:highlight w:val="none"/>
              </w:rPr>
            </w:pPr>
          </w:p>
        </w:tc>
        <w:tc>
          <w:tcPr>
            <w:tcW w:w="972" w:type="pct"/>
            <w:vAlign w:val="center"/>
          </w:tcPr>
          <w:p>
            <w:pPr>
              <w:snapToGrid w:val="0"/>
              <w:spacing w:line="288" w:lineRule="auto"/>
              <w:ind w:firstLine="0" w:firstLineChars="0"/>
              <w:jc w:val="center"/>
              <w:rPr>
                <w:rFonts w:cs="宋体"/>
                <w:color w:val="auto"/>
                <w:spacing w:val="-6"/>
                <w:sz w:val="21"/>
                <w:szCs w:val="21"/>
                <w:highlight w:val="none"/>
              </w:rPr>
            </w:pPr>
          </w:p>
        </w:tc>
        <w:tc>
          <w:tcPr>
            <w:tcW w:w="1062" w:type="pct"/>
            <w:vAlign w:val="center"/>
          </w:tcPr>
          <w:p>
            <w:pPr>
              <w:snapToGrid w:val="0"/>
              <w:spacing w:line="288" w:lineRule="auto"/>
              <w:ind w:firstLine="0" w:firstLineChars="0"/>
              <w:jc w:val="center"/>
              <w:rPr>
                <w:rFonts w:cs="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60" w:type="pct"/>
            <w:vAlign w:val="center"/>
          </w:tcPr>
          <w:p>
            <w:pPr>
              <w:snapToGrid w:val="0"/>
              <w:spacing w:line="288" w:lineRule="auto"/>
              <w:ind w:firstLine="0" w:firstLineChars="0"/>
              <w:jc w:val="center"/>
              <w:rPr>
                <w:rFonts w:cs="宋体"/>
                <w:color w:val="auto"/>
                <w:spacing w:val="-6"/>
                <w:sz w:val="21"/>
                <w:szCs w:val="21"/>
                <w:highlight w:val="none"/>
              </w:rPr>
            </w:pPr>
            <w:r>
              <w:rPr>
                <w:rFonts w:hint="eastAsia" w:cs="宋体"/>
                <w:color w:val="auto"/>
                <w:spacing w:val="-6"/>
                <w:sz w:val="21"/>
                <w:szCs w:val="21"/>
                <w:highlight w:val="none"/>
              </w:rPr>
              <w:t>……</w:t>
            </w:r>
          </w:p>
        </w:tc>
        <w:tc>
          <w:tcPr>
            <w:tcW w:w="1385" w:type="pct"/>
            <w:vAlign w:val="center"/>
          </w:tcPr>
          <w:p>
            <w:pPr>
              <w:spacing w:line="288" w:lineRule="auto"/>
              <w:ind w:firstLine="0" w:firstLineChars="0"/>
              <w:jc w:val="center"/>
              <w:rPr>
                <w:rFonts w:cs="宋体"/>
                <w:color w:val="auto"/>
                <w:sz w:val="21"/>
                <w:szCs w:val="21"/>
                <w:highlight w:val="none"/>
              </w:rPr>
            </w:pPr>
          </w:p>
        </w:tc>
        <w:tc>
          <w:tcPr>
            <w:tcW w:w="1219" w:type="pct"/>
            <w:vAlign w:val="center"/>
          </w:tcPr>
          <w:p>
            <w:pPr>
              <w:snapToGrid w:val="0"/>
              <w:spacing w:line="288" w:lineRule="auto"/>
              <w:ind w:firstLine="0" w:firstLineChars="0"/>
              <w:jc w:val="center"/>
              <w:rPr>
                <w:rFonts w:cs="宋体"/>
                <w:color w:val="auto"/>
                <w:spacing w:val="-6"/>
                <w:sz w:val="21"/>
                <w:szCs w:val="21"/>
                <w:highlight w:val="none"/>
              </w:rPr>
            </w:pPr>
          </w:p>
        </w:tc>
        <w:tc>
          <w:tcPr>
            <w:tcW w:w="972" w:type="pct"/>
            <w:vAlign w:val="center"/>
          </w:tcPr>
          <w:p>
            <w:pPr>
              <w:snapToGrid w:val="0"/>
              <w:spacing w:line="288" w:lineRule="auto"/>
              <w:ind w:firstLine="0" w:firstLineChars="0"/>
              <w:jc w:val="center"/>
              <w:rPr>
                <w:rFonts w:cs="宋体"/>
                <w:color w:val="auto"/>
                <w:spacing w:val="-6"/>
                <w:sz w:val="21"/>
                <w:szCs w:val="21"/>
                <w:highlight w:val="none"/>
              </w:rPr>
            </w:pPr>
          </w:p>
        </w:tc>
        <w:tc>
          <w:tcPr>
            <w:tcW w:w="1062" w:type="pct"/>
            <w:vAlign w:val="center"/>
          </w:tcPr>
          <w:p>
            <w:pPr>
              <w:snapToGrid w:val="0"/>
              <w:spacing w:line="288" w:lineRule="auto"/>
              <w:ind w:firstLine="0" w:firstLineChars="0"/>
              <w:jc w:val="center"/>
              <w:rPr>
                <w:rFonts w:cs="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937" w:type="pct"/>
            <w:gridSpan w:val="4"/>
            <w:vAlign w:val="center"/>
          </w:tcPr>
          <w:p>
            <w:pPr>
              <w:snapToGrid w:val="0"/>
              <w:spacing w:line="288" w:lineRule="auto"/>
              <w:ind w:firstLine="0" w:firstLineChars="0"/>
              <w:rPr>
                <w:rFonts w:cs="宋体"/>
                <w:color w:val="auto"/>
                <w:spacing w:val="-6"/>
                <w:sz w:val="21"/>
                <w:szCs w:val="21"/>
                <w:highlight w:val="none"/>
              </w:rPr>
            </w:pPr>
            <w:r>
              <w:rPr>
                <w:rFonts w:hint="eastAsia" w:cs="宋体"/>
                <w:color w:val="auto"/>
                <w:spacing w:val="-6"/>
                <w:sz w:val="21"/>
                <w:szCs w:val="21"/>
                <w:highlight w:val="none"/>
              </w:rPr>
              <w:t>三、</w:t>
            </w:r>
          </w:p>
        </w:tc>
        <w:tc>
          <w:tcPr>
            <w:tcW w:w="1062" w:type="pct"/>
            <w:vAlign w:val="center"/>
          </w:tcPr>
          <w:p>
            <w:pPr>
              <w:snapToGrid w:val="0"/>
              <w:spacing w:line="288" w:lineRule="auto"/>
              <w:ind w:firstLine="0" w:firstLineChars="0"/>
              <w:rPr>
                <w:rFonts w:cs="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60" w:type="pct"/>
            <w:vAlign w:val="center"/>
          </w:tcPr>
          <w:p>
            <w:pPr>
              <w:snapToGrid w:val="0"/>
              <w:spacing w:line="288" w:lineRule="auto"/>
              <w:ind w:firstLine="0" w:firstLineChars="0"/>
              <w:jc w:val="center"/>
              <w:rPr>
                <w:rFonts w:cs="宋体"/>
                <w:color w:val="auto"/>
                <w:spacing w:val="-6"/>
                <w:sz w:val="21"/>
                <w:szCs w:val="21"/>
                <w:highlight w:val="none"/>
              </w:rPr>
            </w:pPr>
            <w:r>
              <w:rPr>
                <w:rFonts w:hint="eastAsia" w:cs="宋体"/>
                <w:color w:val="auto"/>
                <w:spacing w:val="-6"/>
                <w:sz w:val="21"/>
                <w:szCs w:val="21"/>
                <w:highlight w:val="none"/>
              </w:rPr>
              <w:t>1</w:t>
            </w:r>
          </w:p>
        </w:tc>
        <w:tc>
          <w:tcPr>
            <w:tcW w:w="1385" w:type="pct"/>
            <w:vAlign w:val="center"/>
          </w:tcPr>
          <w:p>
            <w:pPr>
              <w:spacing w:line="288" w:lineRule="auto"/>
              <w:ind w:firstLine="0" w:firstLineChars="0"/>
              <w:jc w:val="center"/>
              <w:rPr>
                <w:rFonts w:cs="宋体"/>
                <w:color w:val="auto"/>
                <w:sz w:val="21"/>
                <w:szCs w:val="21"/>
                <w:highlight w:val="none"/>
              </w:rPr>
            </w:pPr>
          </w:p>
        </w:tc>
        <w:tc>
          <w:tcPr>
            <w:tcW w:w="1219" w:type="pct"/>
            <w:vAlign w:val="center"/>
          </w:tcPr>
          <w:p>
            <w:pPr>
              <w:snapToGrid w:val="0"/>
              <w:spacing w:line="288" w:lineRule="auto"/>
              <w:ind w:firstLine="0" w:firstLineChars="0"/>
              <w:jc w:val="center"/>
              <w:rPr>
                <w:rFonts w:cs="宋体"/>
                <w:color w:val="auto"/>
                <w:spacing w:val="-6"/>
                <w:sz w:val="21"/>
                <w:szCs w:val="21"/>
                <w:highlight w:val="none"/>
              </w:rPr>
            </w:pPr>
          </w:p>
        </w:tc>
        <w:tc>
          <w:tcPr>
            <w:tcW w:w="972" w:type="pct"/>
            <w:vAlign w:val="center"/>
          </w:tcPr>
          <w:p>
            <w:pPr>
              <w:snapToGrid w:val="0"/>
              <w:spacing w:line="288" w:lineRule="auto"/>
              <w:ind w:firstLine="0" w:firstLineChars="0"/>
              <w:jc w:val="center"/>
              <w:rPr>
                <w:rFonts w:cs="宋体"/>
                <w:color w:val="auto"/>
                <w:spacing w:val="-6"/>
                <w:sz w:val="21"/>
                <w:szCs w:val="21"/>
                <w:highlight w:val="none"/>
              </w:rPr>
            </w:pPr>
            <w:r>
              <w:rPr>
                <w:rFonts w:hint="eastAsia" w:cs="宋体"/>
                <w:color w:val="auto"/>
                <w:spacing w:val="-6"/>
                <w:sz w:val="21"/>
                <w:szCs w:val="21"/>
                <w:highlight w:val="none"/>
              </w:rPr>
              <w:t xml:space="preserve"> </w:t>
            </w:r>
          </w:p>
        </w:tc>
        <w:tc>
          <w:tcPr>
            <w:tcW w:w="1062" w:type="pct"/>
            <w:vAlign w:val="center"/>
          </w:tcPr>
          <w:p>
            <w:pPr>
              <w:snapToGrid w:val="0"/>
              <w:spacing w:line="288" w:lineRule="auto"/>
              <w:ind w:firstLine="0" w:firstLineChars="0"/>
              <w:jc w:val="center"/>
              <w:rPr>
                <w:rFonts w:cs="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60" w:type="pct"/>
            <w:vAlign w:val="center"/>
          </w:tcPr>
          <w:p>
            <w:pPr>
              <w:snapToGrid w:val="0"/>
              <w:spacing w:line="288" w:lineRule="auto"/>
              <w:ind w:firstLine="0" w:firstLineChars="0"/>
              <w:jc w:val="center"/>
              <w:rPr>
                <w:rFonts w:cs="宋体"/>
                <w:color w:val="auto"/>
                <w:spacing w:val="-6"/>
                <w:sz w:val="21"/>
                <w:szCs w:val="21"/>
                <w:highlight w:val="none"/>
              </w:rPr>
            </w:pPr>
            <w:r>
              <w:rPr>
                <w:rFonts w:hint="eastAsia" w:cs="宋体"/>
                <w:color w:val="auto"/>
                <w:spacing w:val="-6"/>
                <w:sz w:val="21"/>
                <w:szCs w:val="21"/>
                <w:highlight w:val="none"/>
              </w:rPr>
              <w:t>2</w:t>
            </w:r>
          </w:p>
        </w:tc>
        <w:tc>
          <w:tcPr>
            <w:tcW w:w="1385" w:type="pct"/>
            <w:vAlign w:val="center"/>
          </w:tcPr>
          <w:p>
            <w:pPr>
              <w:spacing w:line="288" w:lineRule="auto"/>
              <w:ind w:firstLine="0" w:firstLineChars="0"/>
              <w:jc w:val="center"/>
              <w:rPr>
                <w:rFonts w:cs="宋体"/>
                <w:color w:val="auto"/>
                <w:sz w:val="21"/>
                <w:szCs w:val="21"/>
                <w:highlight w:val="none"/>
              </w:rPr>
            </w:pPr>
          </w:p>
        </w:tc>
        <w:tc>
          <w:tcPr>
            <w:tcW w:w="1219" w:type="pct"/>
            <w:vAlign w:val="center"/>
          </w:tcPr>
          <w:p>
            <w:pPr>
              <w:snapToGrid w:val="0"/>
              <w:spacing w:line="288" w:lineRule="auto"/>
              <w:ind w:firstLine="0" w:firstLineChars="0"/>
              <w:jc w:val="center"/>
              <w:rPr>
                <w:rFonts w:cs="宋体"/>
                <w:color w:val="auto"/>
                <w:spacing w:val="-6"/>
                <w:sz w:val="21"/>
                <w:szCs w:val="21"/>
                <w:highlight w:val="none"/>
              </w:rPr>
            </w:pPr>
          </w:p>
        </w:tc>
        <w:tc>
          <w:tcPr>
            <w:tcW w:w="972" w:type="pct"/>
            <w:vAlign w:val="center"/>
          </w:tcPr>
          <w:p>
            <w:pPr>
              <w:snapToGrid w:val="0"/>
              <w:spacing w:line="288" w:lineRule="auto"/>
              <w:ind w:firstLine="0" w:firstLineChars="0"/>
              <w:jc w:val="center"/>
              <w:rPr>
                <w:rFonts w:cs="宋体"/>
                <w:color w:val="auto"/>
                <w:spacing w:val="-6"/>
                <w:sz w:val="21"/>
                <w:szCs w:val="21"/>
                <w:highlight w:val="none"/>
              </w:rPr>
            </w:pPr>
          </w:p>
        </w:tc>
        <w:tc>
          <w:tcPr>
            <w:tcW w:w="1062" w:type="pct"/>
            <w:vAlign w:val="center"/>
          </w:tcPr>
          <w:p>
            <w:pPr>
              <w:snapToGrid w:val="0"/>
              <w:spacing w:line="288" w:lineRule="auto"/>
              <w:ind w:firstLine="0" w:firstLineChars="0"/>
              <w:jc w:val="center"/>
              <w:rPr>
                <w:rFonts w:cs="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60" w:type="pct"/>
            <w:vAlign w:val="center"/>
          </w:tcPr>
          <w:p>
            <w:pPr>
              <w:snapToGrid w:val="0"/>
              <w:spacing w:line="288" w:lineRule="auto"/>
              <w:ind w:firstLine="0" w:firstLineChars="0"/>
              <w:jc w:val="center"/>
              <w:rPr>
                <w:rFonts w:cs="宋体"/>
                <w:color w:val="auto"/>
                <w:spacing w:val="-6"/>
                <w:sz w:val="21"/>
                <w:szCs w:val="21"/>
                <w:highlight w:val="none"/>
              </w:rPr>
            </w:pPr>
            <w:r>
              <w:rPr>
                <w:rFonts w:hint="eastAsia" w:cs="宋体"/>
                <w:color w:val="auto"/>
                <w:spacing w:val="-6"/>
                <w:sz w:val="21"/>
                <w:szCs w:val="21"/>
                <w:highlight w:val="none"/>
              </w:rPr>
              <w:t>……</w:t>
            </w:r>
          </w:p>
        </w:tc>
        <w:tc>
          <w:tcPr>
            <w:tcW w:w="1385" w:type="pct"/>
            <w:vAlign w:val="center"/>
          </w:tcPr>
          <w:p>
            <w:pPr>
              <w:spacing w:line="288" w:lineRule="auto"/>
              <w:ind w:firstLine="0" w:firstLineChars="0"/>
              <w:jc w:val="center"/>
              <w:rPr>
                <w:rFonts w:cs="宋体"/>
                <w:color w:val="auto"/>
                <w:sz w:val="21"/>
                <w:szCs w:val="21"/>
                <w:highlight w:val="none"/>
              </w:rPr>
            </w:pPr>
          </w:p>
        </w:tc>
        <w:tc>
          <w:tcPr>
            <w:tcW w:w="1219" w:type="pct"/>
            <w:vAlign w:val="center"/>
          </w:tcPr>
          <w:p>
            <w:pPr>
              <w:snapToGrid w:val="0"/>
              <w:spacing w:line="288" w:lineRule="auto"/>
              <w:ind w:firstLine="0" w:firstLineChars="0"/>
              <w:jc w:val="center"/>
              <w:rPr>
                <w:rFonts w:cs="宋体"/>
                <w:color w:val="auto"/>
                <w:spacing w:val="-6"/>
                <w:sz w:val="21"/>
                <w:szCs w:val="21"/>
                <w:highlight w:val="none"/>
              </w:rPr>
            </w:pPr>
          </w:p>
        </w:tc>
        <w:tc>
          <w:tcPr>
            <w:tcW w:w="972" w:type="pct"/>
            <w:vAlign w:val="center"/>
          </w:tcPr>
          <w:p>
            <w:pPr>
              <w:snapToGrid w:val="0"/>
              <w:spacing w:line="288" w:lineRule="auto"/>
              <w:ind w:firstLine="0" w:firstLineChars="0"/>
              <w:jc w:val="center"/>
              <w:rPr>
                <w:rFonts w:cs="宋体"/>
                <w:color w:val="auto"/>
                <w:spacing w:val="-6"/>
                <w:sz w:val="21"/>
                <w:szCs w:val="21"/>
                <w:highlight w:val="none"/>
              </w:rPr>
            </w:pPr>
          </w:p>
        </w:tc>
        <w:tc>
          <w:tcPr>
            <w:tcW w:w="1062" w:type="pct"/>
            <w:vAlign w:val="center"/>
          </w:tcPr>
          <w:p>
            <w:pPr>
              <w:snapToGrid w:val="0"/>
              <w:spacing w:line="288" w:lineRule="auto"/>
              <w:ind w:firstLine="0" w:firstLineChars="0"/>
              <w:jc w:val="center"/>
              <w:rPr>
                <w:rFonts w:cs="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000" w:type="pct"/>
            <w:gridSpan w:val="5"/>
            <w:vAlign w:val="center"/>
          </w:tcPr>
          <w:p>
            <w:pPr>
              <w:snapToGrid w:val="0"/>
              <w:spacing w:line="288" w:lineRule="auto"/>
              <w:ind w:firstLine="0" w:firstLineChars="0"/>
              <w:rPr>
                <w:rFonts w:cs="宋体"/>
                <w:color w:val="auto"/>
                <w:spacing w:val="-6"/>
                <w:sz w:val="21"/>
                <w:szCs w:val="21"/>
                <w:highlight w:val="none"/>
              </w:rPr>
            </w:pPr>
            <w:r>
              <w:rPr>
                <w:rFonts w:hint="eastAsia" w:cs="宋体"/>
                <w:color w:val="auto"/>
                <w:spacing w:val="-6"/>
                <w:sz w:val="21"/>
                <w:szCs w:val="21"/>
                <w:highlight w:val="none"/>
              </w:rPr>
              <w:t>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60" w:type="pct"/>
            <w:vAlign w:val="center"/>
          </w:tcPr>
          <w:p>
            <w:pPr>
              <w:snapToGrid w:val="0"/>
              <w:spacing w:line="288" w:lineRule="auto"/>
              <w:ind w:firstLine="0" w:firstLineChars="0"/>
              <w:jc w:val="center"/>
              <w:rPr>
                <w:rFonts w:cs="宋体"/>
                <w:color w:val="auto"/>
                <w:spacing w:val="-6"/>
                <w:sz w:val="21"/>
                <w:szCs w:val="21"/>
                <w:highlight w:val="none"/>
              </w:rPr>
            </w:pPr>
          </w:p>
        </w:tc>
        <w:tc>
          <w:tcPr>
            <w:tcW w:w="1385" w:type="pct"/>
            <w:vAlign w:val="center"/>
          </w:tcPr>
          <w:p>
            <w:pPr>
              <w:spacing w:line="288" w:lineRule="auto"/>
              <w:ind w:firstLine="0" w:firstLineChars="0"/>
              <w:jc w:val="center"/>
              <w:rPr>
                <w:rFonts w:cs="宋体"/>
                <w:color w:val="auto"/>
                <w:sz w:val="21"/>
                <w:szCs w:val="21"/>
                <w:highlight w:val="none"/>
              </w:rPr>
            </w:pPr>
          </w:p>
        </w:tc>
        <w:tc>
          <w:tcPr>
            <w:tcW w:w="1219" w:type="pct"/>
            <w:vAlign w:val="center"/>
          </w:tcPr>
          <w:p>
            <w:pPr>
              <w:snapToGrid w:val="0"/>
              <w:spacing w:line="288" w:lineRule="auto"/>
              <w:ind w:firstLine="0" w:firstLineChars="0"/>
              <w:jc w:val="center"/>
              <w:rPr>
                <w:rFonts w:cs="宋体"/>
                <w:color w:val="auto"/>
                <w:spacing w:val="-6"/>
                <w:sz w:val="21"/>
                <w:szCs w:val="21"/>
                <w:highlight w:val="none"/>
              </w:rPr>
            </w:pPr>
          </w:p>
        </w:tc>
        <w:tc>
          <w:tcPr>
            <w:tcW w:w="972" w:type="pct"/>
            <w:vAlign w:val="center"/>
          </w:tcPr>
          <w:p>
            <w:pPr>
              <w:snapToGrid w:val="0"/>
              <w:spacing w:line="288" w:lineRule="auto"/>
              <w:ind w:firstLine="0" w:firstLineChars="0"/>
              <w:jc w:val="center"/>
              <w:rPr>
                <w:rFonts w:cs="宋体"/>
                <w:color w:val="auto"/>
                <w:spacing w:val="-6"/>
                <w:sz w:val="21"/>
                <w:szCs w:val="21"/>
                <w:highlight w:val="none"/>
              </w:rPr>
            </w:pPr>
          </w:p>
        </w:tc>
        <w:tc>
          <w:tcPr>
            <w:tcW w:w="1062" w:type="pct"/>
            <w:vAlign w:val="center"/>
          </w:tcPr>
          <w:p>
            <w:pPr>
              <w:snapToGrid w:val="0"/>
              <w:spacing w:line="288" w:lineRule="auto"/>
              <w:ind w:firstLine="0" w:firstLineChars="0"/>
              <w:jc w:val="center"/>
              <w:rPr>
                <w:rFonts w:cs="宋体"/>
                <w:color w:val="auto"/>
                <w:spacing w:val="-6"/>
                <w:sz w:val="21"/>
                <w:szCs w:val="21"/>
                <w:highlight w:val="none"/>
              </w:rPr>
            </w:pPr>
          </w:p>
        </w:tc>
      </w:tr>
    </w:tbl>
    <w:p>
      <w:pPr>
        <w:ind w:firstLine="480"/>
        <w:rPr>
          <w:rFonts w:cs="宋体"/>
          <w:color w:val="auto"/>
          <w:highlight w:val="none"/>
        </w:rPr>
      </w:pPr>
    </w:p>
    <w:p>
      <w:pPr>
        <w:ind w:firstLine="480"/>
        <w:rPr>
          <w:rFonts w:cs="宋体"/>
          <w:color w:val="auto"/>
          <w:highlight w:val="none"/>
        </w:rPr>
      </w:pPr>
    </w:p>
    <w:p>
      <w:pPr>
        <w:ind w:firstLine="480"/>
        <w:rPr>
          <w:color w:val="auto"/>
          <w:highlight w:val="none"/>
        </w:rPr>
      </w:pPr>
      <w:bookmarkStart w:id="220" w:name="_Toc20588"/>
      <w:r>
        <w:rPr>
          <w:rFonts w:hint="eastAsia"/>
          <w:color w:val="auto"/>
          <w:highlight w:val="none"/>
        </w:rPr>
        <w:t>注：1.逐项按照招标文件要求填写响应规格；</w:t>
      </w:r>
      <w:bookmarkEnd w:id="220"/>
    </w:p>
    <w:p>
      <w:pPr>
        <w:ind w:firstLine="480"/>
        <w:rPr>
          <w:color w:val="auto"/>
          <w:highlight w:val="none"/>
        </w:rPr>
      </w:pPr>
      <w:r>
        <w:rPr>
          <w:rFonts w:hint="eastAsia"/>
          <w:color w:val="auto"/>
          <w:highlight w:val="none"/>
        </w:rPr>
        <w:t>2.表后需提供技术支持资料以证明其对技术指标的应答。若对技术指标的应答无技术支持资料证明，评标委员会可不予承认，并可认为该应答不符合招标文件要求，将作出不利于投标人的技术评审，其后果将由投标人自行承担；</w:t>
      </w:r>
    </w:p>
    <w:p>
      <w:pPr>
        <w:ind w:firstLine="480"/>
        <w:rPr>
          <w:color w:val="auto"/>
          <w:highlight w:val="none"/>
        </w:rPr>
      </w:pPr>
      <w:r>
        <w:rPr>
          <w:rFonts w:hint="eastAsia"/>
          <w:color w:val="auto"/>
          <w:highlight w:val="none"/>
        </w:rPr>
        <w:t>3.投标人可提供同等于或优于招标文件要求的设备和服务。</w:t>
      </w:r>
    </w:p>
    <w:p>
      <w:pPr>
        <w:pStyle w:val="48"/>
        <w:rPr>
          <w:rFonts w:ascii="宋体" w:hAnsi="宋体" w:eastAsia="宋体" w:cs="宋体"/>
          <w:color w:val="auto"/>
          <w:highlight w:val="none"/>
        </w:rPr>
      </w:pPr>
    </w:p>
    <w:p>
      <w:pPr>
        <w:pStyle w:val="48"/>
        <w:rPr>
          <w:rFonts w:ascii="宋体" w:hAnsi="宋体" w:eastAsia="宋体" w:cs="宋体"/>
          <w:color w:val="auto"/>
          <w:highlight w:val="none"/>
        </w:rPr>
      </w:pPr>
    </w:p>
    <w:p>
      <w:pPr>
        <w:pStyle w:val="48"/>
        <w:rPr>
          <w:rFonts w:ascii="宋体" w:hAnsi="宋体" w:eastAsia="宋体" w:cs="宋体"/>
          <w:color w:val="auto"/>
          <w:highlight w:val="none"/>
        </w:rPr>
      </w:pPr>
    </w:p>
    <w:p>
      <w:pPr>
        <w:ind w:firstLine="480"/>
        <w:rPr>
          <w:rFonts w:cs="宋体"/>
          <w:color w:val="auto"/>
          <w:highlight w:val="none"/>
        </w:rPr>
      </w:pPr>
      <w:r>
        <w:rPr>
          <w:rFonts w:hint="eastAsia" w:cs="宋体"/>
          <w:color w:val="auto"/>
          <w:highlight w:val="none"/>
        </w:rPr>
        <w:t>投标人名称（公章）：</w:t>
      </w:r>
    </w:p>
    <w:p>
      <w:pPr>
        <w:ind w:firstLine="480"/>
        <w:rPr>
          <w:rFonts w:cs="宋体"/>
          <w:color w:val="auto"/>
          <w:highlight w:val="none"/>
        </w:rPr>
      </w:pPr>
      <w:r>
        <w:rPr>
          <w:rFonts w:hint="eastAsia" w:cs="宋体"/>
          <w:color w:val="auto"/>
          <w:highlight w:val="none"/>
        </w:rPr>
        <w:t>日期：  年   月   日</w:t>
      </w:r>
    </w:p>
    <w:p>
      <w:pPr>
        <w:ind w:firstLine="480"/>
        <w:rPr>
          <w:rFonts w:cs="宋体"/>
          <w:color w:val="auto"/>
          <w:highlight w:val="none"/>
        </w:rPr>
        <w:sectPr>
          <w:pgSz w:w="11907" w:h="16840"/>
          <w:pgMar w:top="1440" w:right="1080" w:bottom="1440" w:left="1080" w:header="850" w:footer="992" w:gutter="0"/>
          <w:cols w:space="720" w:num="1"/>
          <w:docGrid w:linePitch="286" w:charSpace="0"/>
        </w:sectPr>
      </w:pPr>
    </w:p>
    <w:p>
      <w:pPr>
        <w:pStyle w:val="5"/>
        <w:numPr>
          <w:ilvl w:val="0"/>
          <w:numId w:val="49"/>
        </w:numPr>
        <w:ind w:firstLine="482" w:firstLineChars="200"/>
        <w:rPr>
          <w:color w:val="auto"/>
          <w:highlight w:val="none"/>
        </w:rPr>
      </w:pPr>
      <w:r>
        <w:rPr>
          <w:rFonts w:hint="eastAsia" w:cs="宋体"/>
          <w:color w:val="auto"/>
          <w:highlight w:val="none"/>
          <w:lang w:val="en-US" w:eastAsia="zh-CN"/>
        </w:rPr>
        <w:t>项目</w:t>
      </w:r>
      <w:r>
        <w:rPr>
          <w:rFonts w:hint="eastAsia" w:cs="宋体"/>
          <w:color w:val="auto"/>
          <w:highlight w:val="none"/>
        </w:rPr>
        <w:t>方案</w:t>
      </w:r>
    </w:p>
    <w:p>
      <w:pPr>
        <w:ind w:firstLine="480"/>
        <w:rPr>
          <w:color w:val="auto"/>
          <w:highlight w:val="none"/>
        </w:rPr>
      </w:pPr>
      <w:r>
        <w:rPr>
          <w:rFonts w:hint="eastAsia"/>
          <w:color w:val="auto"/>
          <w:highlight w:val="none"/>
        </w:rPr>
        <w:t>说明：投标人须按照评分标准要求编写并提交相应证明材料</w:t>
      </w:r>
    </w:p>
    <w:p>
      <w:pPr>
        <w:ind w:firstLine="480"/>
        <w:rPr>
          <w:color w:val="auto"/>
          <w:highlight w:val="none"/>
        </w:rPr>
      </w:pPr>
    </w:p>
    <w:p>
      <w:pPr>
        <w:pStyle w:val="5"/>
        <w:numPr>
          <w:ilvl w:val="0"/>
          <w:numId w:val="49"/>
        </w:numPr>
        <w:ind w:firstLine="482" w:firstLineChars="200"/>
        <w:rPr>
          <w:rFonts w:cs="宋体"/>
          <w:color w:val="auto"/>
          <w:highlight w:val="none"/>
        </w:rPr>
      </w:pPr>
      <w:r>
        <w:rPr>
          <w:rFonts w:hint="eastAsia" w:cs="宋体"/>
          <w:color w:val="auto"/>
          <w:highlight w:val="none"/>
        </w:rPr>
        <w:t>服务团队</w:t>
      </w:r>
    </w:p>
    <w:p>
      <w:pPr>
        <w:ind w:firstLine="480"/>
        <w:rPr>
          <w:color w:val="auto"/>
          <w:highlight w:val="none"/>
        </w:rPr>
      </w:pPr>
      <w:r>
        <w:rPr>
          <w:rFonts w:hint="eastAsia"/>
          <w:color w:val="auto"/>
          <w:highlight w:val="none"/>
        </w:rPr>
        <w:t>说明：投标人须按照评分标准要求编写并提交相应证明材料；</w:t>
      </w:r>
    </w:p>
    <w:p>
      <w:pPr>
        <w:ind w:firstLine="480"/>
        <w:rPr>
          <w:color w:val="auto"/>
          <w:highlight w:val="none"/>
        </w:rPr>
      </w:pPr>
    </w:p>
    <w:p>
      <w:pPr>
        <w:pStyle w:val="5"/>
        <w:numPr>
          <w:ilvl w:val="0"/>
          <w:numId w:val="49"/>
        </w:numPr>
        <w:ind w:firstLine="482" w:firstLineChars="200"/>
        <w:rPr>
          <w:rFonts w:cs="宋体"/>
          <w:color w:val="auto"/>
          <w:highlight w:val="none"/>
        </w:rPr>
      </w:pPr>
      <w:r>
        <w:rPr>
          <w:rFonts w:hint="eastAsia" w:ascii="宋体" w:hAnsi="宋体" w:eastAsia="宋体"/>
          <w:highlight w:val="none"/>
          <w:lang w:eastAsia="zh-CN"/>
        </w:rPr>
        <w:t>自建专家库</w:t>
      </w:r>
    </w:p>
    <w:p>
      <w:pPr>
        <w:ind w:firstLine="480"/>
        <w:rPr>
          <w:color w:val="auto"/>
          <w:highlight w:val="none"/>
        </w:rPr>
      </w:pPr>
      <w:r>
        <w:rPr>
          <w:rFonts w:hint="eastAsia"/>
          <w:color w:val="auto"/>
          <w:highlight w:val="none"/>
        </w:rPr>
        <w:t>说明：投标人须按照评分标准要求编写并提交相应证明材料；</w:t>
      </w:r>
    </w:p>
    <w:p>
      <w:pPr>
        <w:ind w:firstLine="480"/>
        <w:rPr>
          <w:color w:val="auto"/>
          <w:highlight w:val="none"/>
        </w:rPr>
      </w:pPr>
    </w:p>
    <w:p>
      <w:pPr>
        <w:pStyle w:val="5"/>
        <w:numPr>
          <w:ilvl w:val="0"/>
          <w:numId w:val="49"/>
        </w:numPr>
        <w:ind w:firstLine="482" w:firstLineChars="200"/>
        <w:rPr>
          <w:rFonts w:cs="宋体"/>
          <w:color w:val="auto"/>
          <w:highlight w:val="none"/>
        </w:rPr>
      </w:pPr>
      <w:r>
        <w:rPr>
          <w:rFonts w:hint="eastAsia" w:ascii="宋体" w:hAnsi="宋体" w:eastAsia="宋体"/>
          <w:highlight w:val="none"/>
        </w:rPr>
        <w:t>维护计划</w:t>
      </w:r>
    </w:p>
    <w:p>
      <w:pPr>
        <w:ind w:firstLine="480"/>
        <w:rPr>
          <w:color w:val="auto"/>
          <w:highlight w:val="none"/>
        </w:rPr>
      </w:pPr>
      <w:r>
        <w:rPr>
          <w:rFonts w:hint="eastAsia"/>
          <w:color w:val="auto"/>
          <w:highlight w:val="none"/>
        </w:rPr>
        <w:t>说明：投标人须按照评分标准要求编写并提交相应证明材料；</w:t>
      </w:r>
    </w:p>
    <w:p>
      <w:pPr>
        <w:numPr>
          <w:ilvl w:val="0"/>
          <w:numId w:val="0"/>
        </w:numPr>
        <w:ind w:leftChars="200"/>
        <w:outlineLvl w:val="9"/>
        <w:rPr>
          <w:rFonts w:cs="宋体"/>
          <w:color w:val="auto"/>
          <w:highlight w:val="none"/>
        </w:rPr>
      </w:pPr>
    </w:p>
    <w:p>
      <w:pPr>
        <w:pStyle w:val="5"/>
        <w:numPr>
          <w:ilvl w:val="0"/>
          <w:numId w:val="49"/>
        </w:numPr>
        <w:ind w:firstLine="482" w:firstLineChars="200"/>
        <w:rPr>
          <w:rFonts w:cs="宋体"/>
          <w:color w:val="auto"/>
          <w:highlight w:val="none"/>
        </w:rPr>
      </w:pPr>
      <w:r>
        <w:rPr>
          <w:rFonts w:hint="eastAsia" w:ascii="宋体" w:hAnsi="宋体" w:eastAsia="宋体"/>
          <w:highlight w:val="none"/>
        </w:rPr>
        <w:t>实施计划</w:t>
      </w:r>
    </w:p>
    <w:p>
      <w:pPr>
        <w:rPr>
          <w:rFonts w:hint="eastAsia"/>
          <w:color w:val="auto"/>
          <w:highlight w:val="none"/>
        </w:rPr>
      </w:pPr>
      <w:r>
        <w:rPr>
          <w:rFonts w:hint="eastAsia"/>
          <w:color w:val="auto"/>
          <w:highlight w:val="none"/>
        </w:rPr>
        <w:t>说明：投标人须按照评分标准要求编写并提交相应证明材料；</w:t>
      </w:r>
    </w:p>
    <w:p>
      <w:pPr>
        <w:pStyle w:val="2"/>
      </w:pPr>
    </w:p>
    <w:p>
      <w:pPr>
        <w:pStyle w:val="5"/>
        <w:numPr>
          <w:ilvl w:val="0"/>
          <w:numId w:val="49"/>
        </w:numPr>
        <w:ind w:firstLine="482" w:firstLineChars="200"/>
        <w:rPr>
          <w:rFonts w:hint="eastAsia" w:ascii="宋体" w:hAnsi="宋体" w:eastAsia="宋体" w:cs="Times New Roman"/>
          <w:highlight w:val="none"/>
        </w:rPr>
      </w:pPr>
      <w:r>
        <w:rPr>
          <w:rFonts w:hint="eastAsia" w:ascii="宋体" w:hAnsi="宋体" w:eastAsia="宋体" w:cs="Times New Roman"/>
          <w:highlight w:val="none"/>
        </w:rPr>
        <w:t>售后服务</w:t>
      </w:r>
    </w:p>
    <w:p>
      <w:pPr>
        <w:rPr>
          <w:rFonts w:hint="eastAsia"/>
          <w:color w:val="auto"/>
          <w:highlight w:val="none"/>
        </w:rPr>
      </w:pPr>
      <w:r>
        <w:rPr>
          <w:rFonts w:hint="eastAsia"/>
          <w:color w:val="auto"/>
          <w:highlight w:val="none"/>
        </w:rPr>
        <w:t>说明：投标人须按照评分标准要求编写并提交相应证明材料；</w:t>
      </w:r>
    </w:p>
    <w:p>
      <w:pPr>
        <w:pStyle w:val="2"/>
      </w:pPr>
    </w:p>
    <w:p>
      <w:pPr>
        <w:pStyle w:val="5"/>
        <w:numPr>
          <w:ilvl w:val="0"/>
          <w:numId w:val="49"/>
        </w:numPr>
        <w:ind w:firstLine="482" w:firstLineChars="200"/>
        <w:rPr>
          <w:rFonts w:cs="宋体"/>
          <w:color w:val="auto"/>
          <w:highlight w:val="none"/>
        </w:rPr>
      </w:pPr>
      <w:r>
        <w:rPr>
          <w:rFonts w:hint="eastAsia" w:cs="宋体"/>
          <w:color w:val="auto"/>
          <w:highlight w:val="none"/>
        </w:rPr>
        <w:t>培训方案</w:t>
      </w:r>
    </w:p>
    <w:p>
      <w:pPr>
        <w:ind w:firstLine="480"/>
        <w:rPr>
          <w:color w:val="auto"/>
          <w:highlight w:val="none"/>
        </w:rPr>
      </w:pPr>
      <w:r>
        <w:rPr>
          <w:rFonts w:hint="eastAsia"/>
          <w:color w:val="auto"/>
          <w:highlight w:val="none"/>
        </w:rPr>
        <w:t>说明：投标人须按照评分标准要求编写并提交相应证明材料；</w:t>
      </w:r>
    </w:p>
    <w:p>
      <w:pPr>
        <w:ind w:firstLine="0" w:firstLineChars="0"/>
        <w:rPr>
          <w:color w:val="auto"/>
          <w:highlight w:val="none"/>
        </w:rPr>
      </w:pPr>
    </w:p>
    <w:p>
      <w:pPr>
        <w:pStyle w:val="5"/>
        <w:numPr>
          <w:ilvl w:val="0"/>
          <w:numId w:val="49"/>
        </w:numPr>
        <w:ind w:firstLine="482" w:firstLineChars="200"/>
        <w:rPr>
          <w:rFonts w:cs="宋体"/>
          <w:color w:val="auto"/>
          <w:highlight w:val="none"/>
        </w:rPr>
      </w:pPr>
      <w:bookmarkStart w:id="221" w:name="_Toc14838"/>
      <w:r>
        <w:rPr>
          <w:rFonts w:hint="eastAsia" w:cs="宋体"/>
          <w:color w:val="auto"/>
          <w:highlight w:val="none"/>
        </w:rPr>
        <w:t>优惠承诺</w:t>
      </w:r>
      <w:bookmarkEnd w:id="221"/>
    </w:p>
    <w:p>
      <w:pPr>
        <w:ind w:firstLine="480"/>
        <w:rPr>
          <w:color w:val="auto"/>
          <w:highlight w:val="none"/>
        </w:rPr>
      </w:pPr>
      <w:r>
        <w:rPr>
          <w:rFonts w:hint="eastAsia"/>
          <w:color w:val="auto"/>
          <w:highlight w:val="none"/>
        </w:rPr>
        <w:t>说明：投标人须按照评分标准要求编写并提交相应证明材料；</w:t>
      </w:r>
    </w:p>
    <w:p>
      <w:pPr>
        <w:ind w:firstLine="480"/>
        <w:rPr>
          <w:rFonts w:cs="宋体"/>
          <w:color w:val="auto"/>
          <w:highlight w:val="none"/>
        </w:rPr>
      </w:pPr>
    </w:p>
    <w:p>
      <w:pPr>
        <w:pStyle w:val="5"/>
        <w:numPr>
          <w:ilvl w:val="0"/>
          <w:numId w:val="49"/>
        </w:numPr>
        <w:ind w:firstLine="482" w:firstLineChars="200"/>
        <w:rPr>
          <w:rFonts w:cs="宋体"/>
          <w:color w:val="auto"/>
          <w:highlight w:val="none"/>
        </w:rPr>
      </w:pPr>
      <w:bookmarkStart w:id="222" w:name="_Toc25327"/>
      <w:r>
        <w:rPr>
          <w:rFonts w:hint="eastAsia" w:cs="宋体"/>
          <w:color w:val="auto"/>
          <w:highlight w:val="none"/>
        </w:rPr>
        <w:t>其他</w:t>
      </w:r>
      <w:bookmarkEnd w:id="222"/>
    </w:p>
    <w:p>
      <w:pPr>
        <w:ind w:firstLine="480"/>
        <w:rPr>
          <w:color w:val="auto"/>
          <w:highlight w:val="none"/>
        </w:rPr>
      </w:pPr>
      <w:r>
        <w:rPr>
          <w:rFonts w:hint="eastAsia"/>
          <w:color w:val="auto"/>
          <w:highlight w:val="none"/>
        </w:rPr>
        <w:t>说明：其它本招标文件评分表要求提供的材料或投标人认为需要的其他技术文件资料或说明</w:t>
      </w:r>
    </w:p>
    <w:p>
      <w:pPr>
        <w:ind w:left="-720" w:right="-958" w:firstLine="0" w:firstLineChars="0"/>
        <w:rPr>
          <w:rFonts w:cs="宋体"/>
          <w:color w:val="auto"/>
          <w:szCs w:val="32"/>
          <w:highlight w:val="none"/>
        </w:rPr>
      </w:pPr>
      <w:r>
        <w:rPr>
          <w:rFonts w:hint="eastAsia" w:cs="宋体"/>
          <w:color w:val="auto"/>
          <w:szCs w:val="32"/>
          <w:highlight w:val="none"/>
        </w:rPr>
        <w:t xml:space="preserve"> </w:t>
      </w:r>
    </w:p>
    <w:p>
      <w:pPr>
        <w:pStyle w:val="5"/>
        <w:rPr>
          <w:rFonts w:cs="宋体"/>
          <w:color w:val="auto"/>
          <w:highlight w:val="none"/>
        </w:rPr>
        <w:sectPr>
          <w:pgSz w:w="11907" w:h="16840"/>
          <w:pgMar w:top="1440" w:right="1080" w:bottom="1440" w:left="1080" w:header="850" w:footer="992" w:gutter="0"/>
          <w:cols w:space="720" w:num="1"/>
          <w:docGrid w:linePitch="286" w:charSpace="0"/>
        </w:sectPr>
      </w:pPr>
    </w:p>
    <w:p>
      <w:pPr>
        <w:pStyle w:val="48"/>
      </w:pPr>
      <w:bookmarkStart w:id="223" w:name="_Toc5562"/>
    </w:p>
    <w:p>
      <w:pPr>
        <w:pStyle w:val="5"/>
        <w:numPr>
          <w:ilvl w:val="0"/>
          <w:numId w:val="0"/>
        </w:numPr>
        <w:ind w:leftChars="200"/>
        <w:rPr>
          <w:rFonts w:cs="宋体"/>
          <w:color w:val="auto"/>
          <w:highlight w:val="none"/>
        </w:rPr>
      </w:pPr>
      <w:r>
        <w:rPr>
          <w:rFonts w:hint="eastAsia" w:cs="宋体"/>
          <w:color w:val="auto"/>
          <w:highlight w:val="none"/>
          <w:lang w:val="en-US" w:eastAsia="zh-CN"/>
        </w:rPr>
        <w:t xml:space="preserve">16. </w:t>
      </w:r>
      <w:r>
        <w:rPr>
          <w:rFonts w:hint="eastAsia" w:cs="宋体"/>
          <w:color w:val="auto"/>
          <w:highlight w:val="none"/>
        </w:rPr>
        <w:t>弃标函</w:t>
      </w:r>
      <w:bookmarkEnd w:id="223"/>
    </w:p>
    <w:p>
      <w:pPr>
        <w:spacing w:line="240" w:lineRule="auto"/>
        <w:ind w:firstLine="0" w:firstLineChars="0"/>
        <w:jc w:val="center"/>
        <w:rPr>
          <w:rFonts w:cs="宋体"/>
          <w:b/>
          <w:color w:val="auto"/>
          <w:kern w:val="0"/>
          <w:sz w:val="32"/>
          <w:highlight w:val="none"/>
        </w:rPr>
      </w:pPr>
      <w:bookmarkStart w:id="224" w:name="_Toc22183"/>
      <w:r>
        <w:rPr>
          <w:rFonts w:hint="eastAsia" w:cs="宋体"/>
          <w:b/>
          <w:color w:val="auto"/>
          <w:kern w:val="0"/>
          <w:sz w:val="32"/>
          <w:highlight w:val="none"/>
        </w:rPr>
        <w:t>弃标函</w:t>
      </w:r>
      <w:bookmarkEnd w:id="224"/>
    </w:p>
    <w:p>
      <w:pPr>
        <w:ind w:firstLine="480"/>
        <w:rPr>
          <w:color w:val="auto"/>
          <w:highlight w:val="none"/>
        </w:rPr>
      </w:pPr>
    </w:p>
    <w:p>
      <w:pPr>
        <w:ind w:firstLine="480"/>
        <w:rPr>
          <w:rFonts w:cs="宋体"/>
          <w:b/>
          <w:color w:val="auto"/>
          <w:highlight w:val="none"/>
        </w:rPr>
      </w:pPr>
      <w:r>
        <w:rPr>
          <w:rFonts w:hint="eastAsia" w:cs="宋体"/>
          <w:color w:val="auto"/>
          <w:highlight w:val="none"/>
          <w:lang w:eastAsia="zh-CN"/>
        </w:rPr>
        <w:t>浙江五石中正工程咨询有限公司</w:t>
      </w:r>
      <w:r>
        <w:rPr>
          <w:rFonts w:hint="eastAsia" w:cs="宋体"/>
          <w:color w:val="auto"/>
          <w:highlight w:val="none"/>
        </w:rPr>
        <w:t>：</w:t>
      </w:r>
    </w:p>
    <w:p>
      <w:pPr>
        <w:ind w:firstLine="480"/>
        <w:rPr>
          <w:rFonts w:cs="宋体"/>
          <w:color w:val="auto"/>
          <w:szCs w:val="32"/>
          <w:highlight w:val="none"/>
        </w:rPr>
      </w:pPr>
    </w:p>
    <w:p>
      <w:pPr>
        <w:pStyle w:val="34"/>
        <w:shd w:val="clear" w:color="auto" w:fill="FFFFFF"/>
        <w:spacing w:after="270" w:line="360" w:lineRule="auto"/>
        <w:ind w:firstLine="720" w:firstLineChars="3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我公司</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，于</w:t>
      </w:r>
      <w:r>
        <w:rPr>
          <w:rFonts w:hint="eastAsia" w:ascii="宋体" w:hAnsi="宋体" w:eastAsia="宋体" w:cs="宋体"/>
          <w:color w:val="auto"/>
          <w:sz w:val="24"/>
          <w:szCs w:val="24"/>
          <w:highlight w:val="none"/>
          <w:u w:val="single"/>
          <w:shd w:val="clear" w:color="auto" w:fill="FFFFFF"/>
        </w:rPr>
        <w:t xml:space="preserve">  2021</w:t>
      </w:r>
      <w:r>
        <w:rPr>
          <w:rFonts w:hint="eastAsia" w:ascii="宋体" w:hAnsi="宋体" w:eastAsia="宋体" w:cs="宋体"/>
          <w:color w:val="auto"/>
          <w:sz w:val="24"/>
          <w:szCs w:val="24"/>
          <w:highlight w:val="none"/>
          <w:shd w:val="clear" w:color="auto" w:fill="FFFFFF"/>
        </w:rPr>
        <w:t>年</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月</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日报名参与</w:t>
      </w:r>
      <w:r>
        <w:rPr>
          <w:rFonts w:hint="eastAsia" w:ascii="宋体" w:hAnsi="宋体" w:eastAsia="宋体" w:cs="宋体"/>
          <w:color w:val="auto"/>
          <w:sz w:val="24"/>
          <w:szCs w:val="24"/>
          <w:highlight w:val="none"/>
          <w:u w:val="single"/>
          <w:shd w:val="clear" w:color="auto" w:fill="FFFFFF"/>
        </w:rPr>
        <w:t xml:space="preserve">  （项目名称）     </w:t>
      </w:r>
      <w:r>
        <w:rPr>
          <w:rFonts w:hint="eastAsia" w:ascii="宋体" w:hAnsi="宋体" w:eastAsia="宋体" w:cs="宋体"/>
          <w:color w:val="auto"/>
          <w:sz w:val="24"/>
          <w:szCs w:val="24"/>
          <w:highlight w:val="none"/>
          <w:shd w:val="clear" w:color="auto" w:fill="FFFFFF"/>
        </w:rPr>
        <w:t>项目，由于</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原因，经研究决定放弃投标。特此声明。</w:t>
      </w:r>
    </w:p>
    <w:p>
      <w:pPr>
        <w:ind w:firstLine="480"/>
        <w:rPr>
          <w:rFonts w:cs="宋体"/>
          <w:color w:val="auto"/>
          <w:szCs w:val="40"/>
          <w:highlight w:val="none"/>
        </w:rPr>
      </w:pPr>
    </w:p>
    <w:p>
      <w:pPr>
        <w:ind w:firstLine="480"/>
        <w:rPr>
          <w:rFonts w:cs="宋体"/>
          <w:color w:val="auto"/>
          <w:szCs w:val="40"/>
          <w:highlight w:val="none"/>
        </w:rPr>
      </w:pPr>
    </w:p>
    <w:p>
      <w:pPr>
        <w:ind w:firstLine="480"/>
        <w:rPr>
          <w:rFonts w:cs="宋体"/>
          <w:color w:val="auto"/>
          <w:szCs w:val="40"/>
          <w:highlight w:val="none"/>
        </w:rPr>
      </w:pPr>
    </w:p>
    <w:p>
      <w:pPr>
        <w:ind w:firstLine="480"/>
        <w:rPr>
          <w:rFonts w:cs="宋体"/>
          <w:color w:val="auto"/>
          <w:szCs w:val="40"/>
          <w:highlight w:val="none"/>
        </w:rPr>
      </w:pPr>
    </w:p>
    <w:p>
      <w:pPr>
        <w:ind w:firstLine="480"/>
        <w:rPr>
          <w:rFonts w:cs="宋体"/>
          <w:color w:val="auto"/>
          <w:szCs w:val="40"/>
          <w:highlight w:val="none"/>
        </w:rPr>
      </w:pPr>
    </w:p>
    <w:p>
      <w:pPr>
        <w:ind w:firstLine="480"/>
        <w:rPr>
          <w:rFonts w:cs="宋体"/>
          <w:color w:val="auto"/>
          <w:highlight w:val="none"/>
        </w:rPr>
      </w:pPr>
      <w:r>
        <w:rPr>
          <w:rFonts w:hint="eastAsia" w:cs="宋体"/>
          <w:color w:val="auto"/>
          <w:highlight w:val="none"/>
        </w:rPr>
        <w:t>投标人名称（公章）：</w:t>
      </w:r>
    </w:p>
    <w:p>
      <w:pPr>
        <w:ind w:firstLine="480"/>
        <w:rPr>
          <w:rFonts w:cs="宋体"/>
          <w:color w:val="auto"/>
          <w:highlight w:val="none"/>
        </w:rPr>
      </w:pPr>
      <w:r>
        <w:rPr>
          <w:rFonts w:hint="eastAsia" w:cs="宋体"/>
          <w:color w:val="auto"/>
          <w:highlight w:val="none"/>
        </w:rPr>
        <w:t>日期：  年   月   日</w:t>
      </w:r>
    </w:p>
    <w:p>
      <w:pPr>
        <w:ind w:firstLine="480"/>
        <w:rPr>
          <w:rFonts w:cs="宋体"/>
          <w:color w:val="auto"/>
          <w:szCs w:val="40"/>
          <w:highlight w:val="none"/>
        </w:rPr>
      </w:pPr>
    </w:p>
    <w:p>
      <w:pPr>
        <w:ind w:firstLine="480"/>
        <w:rPr>
          <w:rFonts w:cs="宋体"/>
          <w:color w:val="auto"/>
          <w:szCs w:val="40"/>
          <w:highlight w:val="none"/>
        </w:rPr>
      </w:pPr>
    </w:p>
    <w:p>
      <w:pPr>
        <w:ind w:firstLine="480"/>
        <w:rPr>
          <w:rStyle w:val="46"/>
          <w:rFonts w:cs="宋体"/>
          <w:color w:val="auto"/>
          <w:szCs w:val="40"/>
          <w:highlight w:val="none"/>
        </w:rPr>
      </w:pPr>
      <w:r>
        <w:rPr>
          <w:rFonts w:hint="eastAsia" w:cs="宋体"/>
          <w:color w:val="auto"/>
          <w:highlight w:val="none"/>
        </w:rPr>
        <w:t>注：报名单位若不参与该项目的投标，请于开标截止前3个工作日将弃标函盖章发送至我公司邮箱。</w:t>
      </w:r>
      <w:r>
        <w:rPr>
          <w:rFonts w:hint="eastAsia" w:cs="宋体"/>
          <w:color w:val="auto"/>
          <w:highlight w:val="none"/>
        </w:rPr>
        <w:fldChar w:fldCharType="begin"/>
      </w:r>
      <w:r>
        <w:rPr>
          <w:rFonts w:hint="eastAsia" w:cs="宋体"/>
          <w:color w:val="auto"/>
          <w:highlight w:val="none"/>
        </w:rPr>
        <w:instrText xml:space="preserve"> HYPERLINK "mailto:2810140286@qq.com。" </w:instrText>
      </w:r>
      <w:r>
        <w:rPr>
          <w:rFonts w:hint="eastAsia" w:cs="宋体"/>
          <w:color w:val="auto"/>
          <w:highlight w:val="none"/>
        </w:rPr>
        <w:fldChar w:fldCharType="separate"/>
      </w:r>
      <w:r>
        <w:rPr>
          <w:rFonts w:hint="eastAsia" w:cs="宋体"/>
          <w:color w:val="auto"/>
          <w:highlight w:val="none"/>
        </w:rPr>
        <w:t>邮箱：</w:t>
      </w:r>
      <w:r>
        <w:rPr>
          <w:rFonts w:hint="eastAsia" w:cs="宋体"/>
          <w:color w:val="auto"/>
          <w:highlight w:val="none"/>
        </w:rPr>
        <w:fldChar w:fldCharType="begin"/>
      </w:r>
      <w:r>
        <w:rPr>
          <w:rFonts w:hint="eastAsia" w:cs="宋体"/>
          <w:color w:val="auto"/>
          <w:highlight w:val="none"/>
        </w:rPr>
        <w:instrText xml:space="preserve"> HYPERLINK "mailto:2810140286@qq.com。" </w:instrText>
      </w:r>
      <w:r>
        <w:rPr>
          <w:rFonts w:hint="eastAsia" w:cs="宋体"/>
          <w:color w:val="auto"/>
          <w:highlight w:val="none"/>
        </w:rPr>
        <w:fldChar w:fldCharType="separate"/>
      </w:r>
      <w:r>
        <w:rPr>
          <w:rFonts w:hint="eastAsia"/>
          <w:snapToGrid w:val="0"/>
          <w:color w:val="auto"/>
          <w:kern w:val="0"/>
          <w:highlight w:val="none"/>
          <w:lang w:eastAsia="zh-CN"/>
        </w:rPr>
        <w:t>1289258668</w:t>
      </w:r>
      <w:r>
        <w:rPr>
          <w:rFonts w:hint="eastAsia"/>
          <w:snapToGrid w:val="0"/>
          <w:color w:val="auto"/>
          <w:kern w:val="0"/>
          <w:highlight w:val="none"/>
        </w:rPr>
        <w:t>@qq.com</w:t>
      </w:r>
      <w:r>
        <w:rPr>
          <w:rFonts w:hint="eastAsia" w:cs="宋体"/>
          <w:color w:val="auto"/>
          <w:highlight w:val="none"/>
        </w:rPr>
        <w:t>。</w:t>
      </w:r>
    </w:p>
    <w:p>
      <w:pPr>
        <w:ind w:firstLine="480"/>
        <w:rPr>
          <w:rStyle w:val="46"/>
          <w:rFonts w:cs="宋体"/>
          <w:color w:val="auto"/>
          <w:szCs w:val="40"/>
          <w:highlight w:val="none"/>
        </w:rPr>
      </w:pPr>
    </w:p>
    <w:p>
      <w:pPr>
        <w:ind w:firstLine="480"/>
        <w:rPr>
          <w:rFonts w:cs="宋体"/>
          <w:color w:val="auto"/>
          <w:highlight w:val="none"/>
        </w:rPr>
        <w:sectPr>
          <w:footerReference r:id="rId21" w:type="default"/>
          <w:pgSz w:w="11906" w:h="16838"/>
          <w:pgMar w:top="1440" w:right="1080" w:bottom="1440" w:left="1080" w:header="851" w:footer="992" w:gutter="0"/>
          <w:cols w:space="720" w:num="1"/>
          <w:docGrid w:type="lines" w:linePitch="312" w:charSpace="0"/>
        </w:sectPr>
      </w:pPr>
    </w:p>
    <w:p>
      <w:pPr>
        <w:pStyle w:val="5"/>
        <w:numPr>
          <w:ilvl w:val="0"/>
          <w:numId w:val="0"/>
        </w:numPr>
        <w:ind w:leftChars="200"/>
        <w:rPr>
          <w:rFonts w:cs="宋体"/>
          <w:color w:val="auto"/>
          <w:highlight w:val="none"/>
        </w:rPr>
      </w:pPr>
      <w:r>
        <w:rPr>
          <w:rFonts w:hint="eastAsia" w:cs="宋体"/>
          <w:color w:val="auto"/>
          <w:highlight w:val="none"/>
        </w:rPr>
        <w:fldChar w:fldCharType="end"/>
      </w:r>
      <w:r>
        <w:rPr>
          <w:rFonts w:hint="eastAsia" w:cs="宋体"/>
          <w:color w:val="auto"/>
          <w:highlight w:val="none"/>
        </w:rPr>
        <w:fldChar w:fldCharType="end"/>
      </w:r>
      <w:bookmarkEnd w:id="77"/>
      <w:bookmarkEnd w:id="78"/>
      <w:bookmarkEnd w:id="79"/>
      <w:bookmarkEnd w:id="80"/>
      <w:bookmarkEnd w:id="81"/>
      <w:bookmarkEnd w:id="82"/>
      <w:bookmarkEnd w:id="83"/>
      <w:bookmarkEnd w:id="84"/>
      <w:bookmarkStart w:id="225" w:name="_Toc8358"/>
      <w:r>
        <w:rPr>
          <w:rFonts w:hint="eastAsia" w:cs="宋体"/>
          <w:color w:val="auto"/>
          <w:highlight w:val="none"/>
          <w:lang w:val="en-US" w:eastAsia="zh-CN"/>
        </w:rPr>
        <w:t xml:space="preserve">17. </w:t>
      </w:r>
      <w:r>
        <w:rPr>
          <w:rFonts w:hint="eastAsia" w:cs="宋体"/>
          <w:color w:val="auto"/>
          <w:highlight w:val="none"/>
        </w:rPr>
        <w:t>质疑函</w:t>
      </w:r>
      <w:bookmarkEnd w:id="225"/>
    </w:p>
    <w:p>
      <w:pPr>
        <w:spacing w:line="240" w:lineRule="auto"/>
        <w:ind w:firstLine="0" w:firstLineChars="0"/>
        <w:jc w:val="center"/>
        <w:rPr>
          <w:rFonts w:cs="宋体"/>
          <w:b/>
          <w:color w:val="auto"/>
          <w:kern w:val="0"/>
          <w:sz w:val="32"/>
          <w:highlight w:val="none"/>
        </w:rPr>
      </w:pPr>
      <w:bookmarkStart w:id="226" w:name="_Toc4682"/>
      <w:r>
        <w:rPr>
          <w:rFonts w:hint="eastAsia" w:cs="宋体"/>
          <w:b/>
          <w:color w:val="auto"/>
          <w:kern w:val="0"/>
          <w:sz w:val="32"/>
          <w:highlight w:val="none"/>
        </w:rPr>
        <w:t>质疑函</w:t>
      </w:r>
      <w:bookmarkEnd w:id="226"/>
    </w:p>
    <w:p>
      <w:pPr>
        <w:ind w:firstLine="480"/>
        <w:rPr>
          <w:color w:val="auto"/>
          <w:highlight w:val="none"/>
        </w:rPr>
      </w:pPr>
    </w:p>
    <w:p>
      <w:pPr>
        <w:ind w:firstLine="482"/>
        <w:rPr>
          <w:b/>
          <w:bCs/>
          <w:color w:val="auto"/>
          <w:highlight w:val="none"/>
        </w:rPr>
      </w:pPr>
      <w:bookmarkStart w:id="227" w:name="_Toc11431"/>
      <w:r>
        <w:rPr>
          <w:rFonts w:hint="eastAsia"/>
          <w:b/>
          <w:bCs/>
          <w:color w:val="auto"/>
          <w:highlight w:val="none"/>
        </w:rPr>
        <w:t>一、质疑供应商基本信息</w:t>
      </w:r>
      <w:bookmarkEnd w:id="227"/>
    </w:p>
    <w:p>
      <w:pPr>
        <w:ind w:firstLine="480"/>
        <w:rPr>
          <w:rFonts w:cs="宋体"/>
          <w:color w:val="auto"/>
          <w:highlight w:val="none"/>
          <w:u w:val="dotted"/>
        </w:rPr>
      </w:pPr>
      <w:r>
        <w:rPr>
          <w:rFonts w:hint="eastAsia" w:cs="宋体"/>
          <w:color w:val="auto"/>
          <w:highlight w:val="none"/>
        </w:rPr>
        <w:t>质疑供应商：</w:t>
      </w:r>
      <w:r>
        <w:rPr>
          <w:rFonts w:hint="eastAsia" w:cs="宋体"/>
          <w:color w:val="auto"/>
          <w:highlight w:val="none"/>
          <w:u w:val="dotted"/>
        </w:rPr>
        <w:t xml:space="preserve">                                        </w:t>
      </w:r>
    </w:p>
    <w:p>
      <w:pPr>
        <w:ind w:firstLine="480"/>
        <w:rPr>
          <w:rFonts w:cs="宋体"/>
          <w:color w:val="auto"/>
          <w:highlight w:val="none"/>
        </w:rPr>
      </w:pPr>
      <w:r>
        <w:rPr>
          <w:rFonts w:hint="eastAsia" w:cs="宋体"/>
          <w:color w:val="auto"/>
          <w:highlight w:val="none"/>
        </w:rPr>
        <w:t>地址：                          邮编：</w:t>
      </w:r>
      <w:r>
        <w:rPr>
          <w:rFonts w:hint="eastAsia" w:cs="宋体"/>
          <w:color w:val="auto"/>
          <w:highlight w:val="none"/>
          <w:u w:val="dotted"/>
        </w:rPr>
        <w:t xml:space="preserve">                                                   </w:t>
      </w:r>
    </w:p>
    <w:p>
      <w:pPr>
        <w:ind w:firstLine="480"/>
        <w:rPr>
          <w:rFonts w:cs="宋体"/>
          <w:color w:val="auto"/>
          <w:highlight w:val="none"/>
        </w:rPr>
      </w:pPr>
      <w:r>
        <w:rPr>
          <w:rFonts w:hint="eastAsia" w:cs="宋体"/>
          <w:color w:val="auto"/>
          <w:highlight w:val="none"/>
        </w:rPr>
        <w:t>联系人：                        联系电话：</w:t>
      </w:r>
      <w:r>
        <w:rPr>
          <w:rFonts w:hint="eastAsia" w:cs="宋体"/>
          <w:color w:val="auto"/>
          <w:highlight w:val="none"/>
          <w:u w:val="dotted"/>
        </w:rPr>
        <w:t xml:space="preserve">                              </w:t>
      </w:r>
    </w:p>
    <w:p>
      <w:pPr>
        <w:ind w:firstLine="480"/>
        <w:rPr>
          <w:rFonts w:cs="宋体"/>
          <w:color w:val="auto"/>
          <w:highlight w:val="none"/>
          <w:u w:val="dotted"/>
        </w:rPr>
      </w:pPr>
      <w:r>
        <w:rPr>
          <w:rFonts w:hint="eastAsia" w:cs="宋体"/>
          <w:color w:val="auto"/>
          <w:highlight w:val="none"/>
        </w:rPr>
        <w:t>授权代表：</w:t>
      </w:r>
      <w:r>
        <w:rPr>
          <w:rFonts w:hint="eastAsia" w:cs="宋体"/>
          <w:color w:val="auto"/>
          <w:highlight w:val="none"/>
          <w:u w:val="dotted"/>
        </w:rPr>
        <w:t xml:space="preserve">                                          </w:t>
      </w:r>
    </w:p>
    <w:p>
      <w:pPr>
        <w:ind w:firstLine="480"/>
        <w:rPr>
          <w:rFonts w:cs="宋体"/>
          <w:color w:val="auto"/>
          <w:highlight w:val="none"/>
        </w:rPr>
      </w:pPr>
      <w:r>
        <w:rPr>
          <w:rFonts w:hint="eastAsia" w:cs="宋体"/>
          <w:color w:val="auto"/>
          <w:highlight w:val="none"/>
        </w:rPr>
        <w:t>联系电话：</w:t>
      </w:r>
      <w:r>
        <w:rPr>
          <w:rFonts w:hint="eastAsia" w:cs="宋体"/>
          <w:color w:val="auto"/>
          <w:highlight w:val="none"/>
          <w:u w:val="dotted"/>
        </w:rPr>
        <w:t xml:space="preserve">                                           </w:t>
      </w:r>
      <w:r>
        <w:rPr>
          <w:rFonts w:hint="eastAsia" w:cs="宋体"/>
          <w:color w:val="auto"/>
          <w:highlight w:val="none"/>
        </w:rPr>
        <w:t xml:space="preserve"> </w:t>
      </w:r>
    </w:p>
    <w:p>
      <w:pPr>
        <w:ind w:firstLine="480"/>
        <w:rPr>
          <w:rFonts w:cs="宋体"/>
          <w:color w:val="auto"/>
          <w:highlight w:val="none"/>
        </w:rPr>
      </w:pPr>
      <w:r>
        <w:rPr>
          <w:rFonts w:hint="eastAsia" w:cs="宋体"/>
          <w:color w:val="auto"/>
          <w:highlight w:val="none"/>
        </w:rPr>
        <w:t>地址：                          邮编：</w:t>
      </w:r>
      <w:r>
        <w:rPr>
          <w:rFonts w:hint="eastAsia" w:cs="宋体"/>
          <w:color w:val="auto"/>
          <w:highlight w:val="none"/>
          <w:u w:val="dotted"/>
        </w:rPr>
        <w:t xml:space="preserve">                                                </w:t>
      </w:r>
    </w:p>
    <w:p>
      <w:pPr>
        <w:ind w:firstLine="482"/>
        <w:rPr>
          <w:b/>
          <w:bCs/>
          <w:color w:val="auto"/>
          <w:highlight w:val="none"/>
        </w:rPr>
      </w:pPr>
      <w:bookmarkStart w:id="228" w:name="_Toc13602"/>
      <w:r>
        <w:rPr>
          <w:rFonts w:hint="eastAsia"/>
          <w:b/>
          <w:bCs/>
          <w:color w:val="auto"/>
          <w:highlight w:val="none"/>
        </w:rPr>
        <w:t>二、质疑项目基本情况</w:t>
      </w:r>
      <w:bookmarkEnd w:id="228"/>
    </w:p>
    <w:p>
      <w:pPr>
        <w:ind w:firstLine="480"/>
        <w:rPr>
          <w:rFonts w:cs="宋体"/>
          <w:color w:val="auto"/>
          <w:highlight w:val="none"/>
        </w:rPr>
      </w:pPr>
      <w:r>
        <w:rPr>
          <w:rFonts w:hint="eastAsia" w:cs="宋体"/>
          <w:color w:val="auto"/>
          <w:highlight w:val="none"/>
        </w:rPr>
        <w:t>质疑项目的名称：</w:t>
      </w:r>
      <w:r>
        <w:rPr>
          <w:rFonts w:hint="eastAsia" w:cs="宋体"/>
          <w:color w:val="auto"/>
          <w:highlight w:val="none"/>
          <w:u w:val="dotted"/>
        </w:rPr>
        <w:t xml:space="preserve">                                      </w:t>
      </w:r>
    </w:p>
    <w:p>
      <w:pPr>
        <w:ind w:firstLine="480"/>
        <w:rPr>
          <w:rFonts w:cs="宋体"/>
          <w:color w:val="auto"/>
          <w:highlight w:val="none"/>
        </w:rPr>
      </w:pPr>
      <w:r>
        <w:rPr>
          <w:rFonts w:hint="eastAsia" w:cs="宋体"/>
          <w:color w:val="auto"/>
          <w:highlight w:val="none"/>
        </w:rPr>
        <w:t>质疑项目的编号：                包号：</w:t>
      </w:r>
      <w:r>
        <w:rPr>
          <w:rFonts w:hint="eastAsia" w:cs="宋体"/>
          <w:color w:val="auto"/>
          <w:highlight w:val="none"/>
          <w:u w:val="dotted"/>
        </w:rPr>
        <w:t xml:space="preserve">                 </w:t>
      </w:r>
    </w:p>
    <w:p>
      <w:pPr>
        <w:ind w:firstLine="480"/>
        <w:rPr>
          <w:rFonts w:cs="宋体"/>
          <w:color w:val="auto"/>
          <w:highlight w:val="none"/>
          <w:u w:val="dotted"/>
        </w:rPr>
      </w:pPr>
      <w:r>
        <w:rPr>
          <w:rFonts w:hint="eastAsia" w:cs="宋体"/>
          <w:color w:val="auto"/>
          <w:highlight w:val="none"/>
        </w:rPr>
        <w:t>采购人名称：</w:t>
      </w:r>
      <w:r>
        <w:rPr>
          <w:rFonts w:hint="eastAsia" w:cs="宋体"/>
          <w:color w:val="auto"/>
          <w:highlight w:val="none"/>
          <w:u w:val="dotted"/>
        </w:rPr>
        <w:t xml:space="preserve">                                         </w:t>
      </w:r>
    </w:p>
    <w:p>
      <w:pPr>
        <w:ind w:firstLine="480"/>
        <w:rPr>
          <w:rFonts w:cs="宋体"/>
          <w:color w:val="auto"/>
          <w:highlight w:val="none"/>
        </w:rPr>
      </w:pPr>
      <w:r>
        <w:rPr>
          <w:rFonts w:hint="eastAsia" w:cs="宋体"/>
          <w:color w:val="auto"/>
          <w:highlight w:val="none"/>
        </w:rPr>
        <w:t>采购文件获取日期：</w:t>
      </w:r>
      <w:r>
        <w:rPr>
          <w:rFonts w:hint="eastAsia" w:cs="宋体"/>
          <w:color w:val="auto"/>
          <w:highlight w:val="none"/>
          <w:u w:val="dotted"/>
        </w:rPr>
        <w:t xml:space="preserve">                                           </w:t>
      </w:r>
    </w:p>
    <w:p>
      <w:pPr>
        <w:ind w:firstLine="482"/>
        <w:rPr>
          <w:b/>
          <w:bCs/>
          <w:color w:val="auto"/>
          <w:highlight w:val="none"/>
        </w:rPr>
      </w:pPr>
      <w:bookmarkStart w:id="229" w:name="_Toc25776"/>
      <w:r>
        <w:rPr>
          <w:rFonts w:hint="eastAsia"/>
          <w:b/>
          <w:bCs/>
          <w:color w:val="auto"/>
          <w:highlight w:val="none"/>
        </w:rPr>
        <w:t>三、质疑事项具体内容</w:t>
      </w:r>
      <w:bookmarkEnd w:id="229"/>
    </w:p>
    <w:p>
      <w:pPr>
        <w:ind w:firstLine="480"/>
        <w:rPr>
          <w:rFonts w:cs="宋体"/>
          <w:color w:val="auto"/>
          <w:highlight w:val="none"/>
          <w:u w:val="single"/>
        </w:rPr>
      </w:pPr>
      <w:r>
        <w:rPr>
          <w:rFonts w:hint="eastAsia" w:cs="宋体"/>
          <w:color w:val="auto"/>
          <w:highlight w:val="none"/>
        </w:rPr>
        <w:t>质疑事项1：</w:t>
      </w:r>
      <w:r>
        <w:rPr>
          <w:rFonts w:hint="eastAsia" w:cs="宋体"/>
          <w:color w:val="auto"/>
          <w:highlight w:val="none"/>
          <w:u w:val="single"/>
        </w:rPr>
        <w:t xml:space="preserve">                     </w:t>
      </w:r>
    </w:p>
    <w:p>
      <w:pPr>
        <w:ind w:firstLine="480"/>
        <w:rPr>
          <w:rFonts w:cs="宋体"/>
          <w:color w:val="auto"/>
          <w:highlight w:val="none"/>
          <w:u w:val="dotted"/>
        </w:rPr>
      </w:pPr>
      <w:r>
        <w:rPr>
          <w:rFonts w:hint="eastAsia" w:cs="宋体"/>
          <w:color w:val="auto"/>
          <w:highlight w:val="none"/>
        </w:rPr>
        <w:t>事实依据：</w:t>
      </w:r>
      <w:r>
        <w:rPr>
          <w:rFonts w:hint="eastAsia" w:cs="宋体"/>
          <w:color w:val="auto"/>
          <w:highlight w:val="none"/>
          <w:u w:val="dotted"/>
        </w:rPr>
        <w:t xml:space="preserve">                                          </w:t>
      </w:r>
    </w:p>
    <w:p>
      <w:pPr>
        <w:ind w:firstLine="480"/>
        <w:rPr>
          <w:rFonts w:cs="宋体"/>
          <w:color w:val="auto"/>
          <w:highlight w:val="none"/>
          <w:u w:val="dotted"/>
        </w:rPr>
      </w:pPr>
      <w:r>
        <w:rPr>
          <w:rFonts w:hint="eastAsia" w:cs="宋体"/>
          <w:color w:val="auto"/>
          <w:highlight w:val="none"/>
        </w:rPr>
        <w:t>法律依据：</w:t>
      </w:r>
      <w:r>
        <w:rPr>
          <w:rFonts w:hint="eastAsia" w:cs="宋体"/>
          <w:color w:val="auto"/>
          <w:highlight w:val="none"/>
          <w:u w:val="dotted"/>
        </w:rPr>
        <w:t xml:space="preserve">                                                                                               </w:t>
      </w:r>
    </w:p>
    <w:p>
      <w:pPr>
        <w:ind w:firstLine="480"/>
        <w:rPr>
          <w:color w:val="auto"/>
          <w:highlight w:val="none"/>
        </w:rPr>
      </w:pPr>
      <w:r>
        <w:rPr>
          <w:rFonts w:hint="eastAsia"/>
          <w:color w:val="auto"/>
          <w:highlight w:val="none"/>
        </w:rPr>
        <w:t>质疑事项2</w:t>
      </w:r>
    </w:p>
    <w:p>
      <w:pPr>
        <w:ind w:firstLine="480"/>
        <w:rPr>
          <w:color w:val="auto"/>
          <w:highlight w:val="none"/>
        </w:rPr>
      </w:pPr>
      <w:r>
        <w:rPr>
          <w:rFonts w:hint="eastAsia"/>
          <w:color w:val="auto"/>
          <w:highlight w:val="none"/>
        </w:rPr>
        <w:t>……</w:t>
      </w:r>
    </w:p>
    <w:p>
      <w:pPr>
        <w:ind w:firstLine="482"/>
        <w:rPr>
          <w:b/>
          <w:bCs/>
          <w:color w:val="auto"/>
          <w:highlight w:val="none"/>
        </w:rPr>
      </w:pPr>
      <w:bookmarkStart w:id="230" w:name="_Toc19446"/>
      <w:r>
        <w:rPr>
          <w:rFonts w:hint="eastAsia"/>
          <w:b/>
          <w:bCs/>
          <w:color w:val="auto"/>
          <w:highlight w:val="none"/>
        </w:rPr>
        <w:t>四、与质疑事项相关的质疑请求</w:t>
      </w:r>
      <w:bookmarkEnd w:id="230"/>
    </w:p>
    <w:p>
      <w:pPr>
        <w:ind w:firstLine="480"/>
        <w:rPr>
          <w:rFonts w:cs="宋体"/>
          <w:color w:val="auto"/>
          <w:highlight w:val="none"/>
          <w:u w:val="dotted"/>
        </w:rPr>
      </w:pPr>
      <w:r>
        <w:rPr>
          <w:rFonts w:hint="eastAsia" w:cs="宋体"/>
          <w:color w:val="auto"/>
          <w:highlight w:val="none"/>
        </w:rPr>
        <w:t>请求：</w:t>
      </w:r>
      <w:r>
        <w:rPr>
          <w:rFonts w:hint="eastAsia" w:cs="宋体"/>
          <w:color w:val="auto"/>
          <w:highlight w:val="none"/>
          <w:u w:val="dotted"/>
        </w:rPr>
        <w:t xml:space="preserve">                                               </w:t>
      </w:r>
    </w:p>
    <w:p>
      <w:pPr>
        <w:ind w:firstLine="480"/>
        <w:rPr>
          <w:color w:val="auto"/>
          <w:highlight w:val="none"/>
        </w:rPr>
      </w:pPr>
      <w:r>
        <w:rPr>
          <w:rFonts w:hint="eastAsia"/>
          <w:color w:val="auto"/>
          <w:highlight w:val="none"/>
        </w:rPr>
        <w:t xml:space="preserve">签字(签章)：                    公章：                      </w:t>
      </w:r>
    </w:p>
    <w:p>
      <w:pPr>
        <w:ind w:firstLine="480"/>
        <w:rPr>
          <w:color w:val="auto"/>
          <w:highlight w:val="none"/>
        </w:rPr>
      </w:pPr>
      <w:r>
        <w:rPr>
          <w:rFonts w:hint="eastAsia"/>
          <w:color w:val="auto"/>
          <w:highlight w:val="none"/>
        </w:rPr>
        <w:t xml:space="preserve">日期：     </w:t>
      </w:r>
    </w:p>
    <w:p>
      <w:pPr>
        <w:ind w:firstLine="643"/>
        <w:rPr>
          <w:rFonts w:cs="宋体"/>
          <w:b/>
          <w:color w:val="auto"/>
          <w:sz w:val="32"/>
          <w:highlight w:val="none"/>
        </w:rPr>
      </w:pPr>
    </w:p>
    <w:p>
      <w:pPr>
        <w:ind w:firstLine="440"/>
        <w:rPr>
          <w:i/>
          <w:iCs/>
          <w:color w:val="auto"/>
          <w:sz w:val="22"/>
          <w:szCs w:val="22"/>
          <w:highlight w:val="none"/>
        </w:rPr>
      </w:pPr>
      <w:bookmarkStart w:id="231" w:name="_Toc386"/>
      <w:r>
        <w:rPr>
          <w:rFonts w:hint="eastAsia"/>
          <w:i/>
          <w:iCs/>
          <w:color w:val="auto"/>
          <w:sz w:val="22"/>
          <w:szCs w:val="22"/>
          <w:highlight w:val="none"/>
        </w:rPr>
        <w:t>质疑函制作说明：</w:t>
      </w:r>
      <w:bookmarkEnd w:id="231"/>
    </w:p>
    <w:p>
      <w:pPr>
        <w:ind w:firstLine="440"/>
        <w:rPr>
          <w:i/>
          <w:iCs/>
          <w:color w:val="auto"/>
          <w:sz w:val="22"/>
          <w:szCs w:val="22"/>
          <w:highlight w:val="none"/>
        </w:rPr>
      </w:pPr>
      <w:r>
        <w:rPr>
          <w:rFonts w:hint="eastAsia"/>
          <w:i/>
          <w:iCs/>
          <w:color w:val="auto"/>
          <w:sz w:val="22"/>
          <w:szCs w:val="22"/>
          <w:highlight w:val="none"/>
        </w:rPr>
        <w:t>1.供应商提出质疑时，应提交质疑函和必要的证明材料。</w:t>
      </w:r>
    </w:p>
    <w:p>
      <w:pPr>
        <w:ind w:firstLine="440"/>
        <w:rPr>
          <w:i/>
          <w:iCs/>
          <w:color w:val="auto"/>
          <w:sz w:val="22"/>
          <w:szCs w:val="22"/>
          <w:highlight w:val="none"/>
        </w:rPr>
      </w:pPr>
      <w:r>
        <w:rPr>
          <w:rFonts w:hint="eastAsia"/>
          <w:i/>
          <w:iCs/>
          <w:color w:val="auto"/>
          <w:sz w:val="22"/>
          <w:szCs w:val="2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ind w:firstLine="440"/>
        <w:rPr>
          <w:i/>
          <w:iCs/>
          <w:color w:val="auto"/>
          <w:sz w:val="22"/>
          <w:szCs w:val="22"/>
          <w:highlight w:val="none"/>
        </w:rPr>
      </w:pPr>
      <w:r>
        <w:rPr>
          <w:rFonts w:hint="eastAsia"/>
          <w:i/>
          <w:iCs/>
          <w:color w:val="auto"/>
          <w:sz w:val="22"/>
          <w:szCs w:val="22"/>
          <w:highlight w:val="none"/>
        </w:rPr>
        <w:t>3.质疑供应商若对项目的某一分包进行质疑，质疑函中应列明具体分包号。</w:t>
      </w:r>
    </w:p>
    <w:p>
      <w:pPr>
        <w:ind w:firstLine="440"/>
        <w:rPr>
          <w:i/>
          <w:iCs/>
          <w:color w:val="auto"/>
          <w:sz w:val="22"/>
          <w:szCs w:val="22"/>
          <w:highlight w:val="none"/>
        </w:rPr>
      </w:pPr>
      <w:r>
        <w:rPr>
          <w:rFonts w:hint="eastAsia"/>
          <w:i/>
          <w:iCs/>
          <w:color w:val="auto"/>
          <w:sz w:val="22"/>
          <w:szCs w:val="22"/>
          <w:highlight w:val="none"/>
        </w:rPr>
        <w:t>4.质疑函的质疑事项应具体、明确，并有必要的事实依据和法律依据。</w:t>
      </w:r>
    </w:p>
    <w:p>
      <w:pPr>
        <w:ind w:firstLine="440"/>
        <w:rPr>
          <w:i/>
          <w:iCs/>
          <w:color w:val="auto"/>
          <w:sz w:val="22"/>
          <w:szCs w:val="22"/>
          <w:highlight w:val="none"/>
        </w:rPr>
      </w:pPr>
      <w:r>
        <w:rPr>
          <w:rFonts w:hint="eastAsia"/>
          <w:i/>
          <w:iCs/>
          <w:color w:val="auto"/>
          <w:sz w:val="22"/>
          <w:szCs w:val="22"/>
          <w:highlight w:val="none"/>
        </w:rPr>
        <w:t>5.质疑函的质疑请求应与质疑事项相关。</w:t>
      </w:r>
    </w:p>
    <w:p>
      <w:pPr>
        <w:ind w:firstLine="440"/>
        <w:rPr>
          <w:i/>
          <w:iCs/>
          <w:color w:val="auto"/>
          <w:sz w:val="22"/>
          <w:szCs w:val="22"/>
          <w:highlight w:val="none"/>
        </w:rPr>
      </w:pPr>
      <w:r>
        <w:rPr>
          <w:rFonts w:hint="eastAsia"/>
          <w:i/>
          <w:iCs/>
          <w:color w:val="auto"/>
          <w:sz w:val="22"/>
          <w:szCs w:val="22"/>
          <w:highlight w:val="none"/>
        </w:rPr>
        <w:t>6.质疑供应商为自然人的，质疑函应由本人签字；质疑供应商为法人或者其他组织的，质疑函应由法定代表人、主要负责人，或者其授权代表签字或者盖章，并加盖公章。</w:t>
      </w:r>
    </w:p>
    <w:p>
      <w:pPr>
        <w:ind w:firstLine="0" w:firstLineChars="0"/>
        <w:rPr>
          <w:rFonts w:cs="宋体"/>
          <w:color w:val="auto"/>
          <w:highlight w:val="none"/>
        </w:rPr>
      </w:pPr>
    </w:p>
    <w:sectPr>
      <w:pgSz w:w="11906" w:h="16838"/>
      <w:pgMar w:top="1440" w:right="1080" w:bottom="1440" w:left="108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roman"/>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MT Extra">
    <w:panose1 w:val="05050102010205020202"/>
    <w:charset w:val="02"/>
    <w:family w:val="roman"/>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ScalaSansLF-Regular">
    <w:altName w:val="Trebuchet MS"/>
    <w:panose1 w:val="00000000000000000000"/>
    <w:charset w:val="00"/>
    <w:family w:val="auto"/>
    <w:pitch w:val="default"/>
    <w:sig w:usb0="00000000" w:usb1="00000000" w:usb2="00000000" w:usb3="00000000" w:csb0="00000001" w:csb1="00000000"/>
  </w:font>
  <w:font w:name="Trebuchet MS">
    <w:panose1 w:val="020B0603020202020204"/>
    <w:charset w:val="00"/>
    <w:family w:val="auto"/>
    <w:pitch w:val="default"/>
    <w:sig w:usb0="00000687" w:usb1="00000000" w:usb2="00000000" w:usb3="00000000" w:csb0="2000009F" w:csb1="00000000"/>
  </w:font>
  <w:font w:name="长城仿宋">
    <w:altName w:val="仿宋"/>
    <w:panose1 w:val="00000000000000000000"/>
    <w:charset w:val="86"/>
    <w:family w:val="modern"/>
    <w:pitch w:val="default"/>
    <w:sig w:usb0="00000000" w:usb1="00000000" w:usb2="00000010" w:usb3="00000000" w:csb0="00040000" w:csb1="00000000"/>
  </w:font>
  <w:font w:name="Wingdings 2">
    <w:panose1 w:val="05020102010507070707"/>
    <w:charset w:val="00"/>
    <w:family w:val="auto"/>
    <w:pitch w:val="default"/>
    <w:sig w:usb0="00000000" w:usb1="00000000" w:usb2="00000000" w:usb3="00000000" w:csb0="80000000" w:csb1="00000000"/>
  </w:font>
  <w:font w:name="Segoe UI">
    <w:panose1 w:val="020B0502040204020203"/>
    <w:charset w:val="00"/>
    <w:family w:val="swiss"/>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pPr>
    <w:r>
      <w:fldChar w:fldCharType="begin"/>
    </w:r>
    <w:r>
      <w:instrText xml:space="preserve"> PAGE   \* MERGEFORMAT </w:instrText>
    </w:r>
    <w:r>
      <w:fldChar w:fldCharType="separate"/>
    </w:r>
    <w:r>
      <w:rPr>
        <w:lang w:val="zh-CN"/>
      </w:rPr>
      <w:t>2</w:t>
    </w:r>
    <w:r>
      <w:rPr>
        <w:lang w:val="zh-CN"/>
      </w:rPr>
      <w:fldChar w:fldCharType="end"/>
    </w:r>
    <w:r>
      <w:tab/>
    </w:r>
    <w:r>
      <w:rPr>
        <w:rFonts w:hint="eastAsia"/>
        <w:lang w:eastAsia="zh-CN"/>
      </w:rPr>
      <w:t>浙江五石中正工程咨询有限公司</w:t>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-20734020</wp:posOffset>
              </wp:positionV>
              <wp:extent cx="1828800" cy="1828800"/>
              <wp:effectExtent l="0" t="0" r="0" b="0"/>
              <wp:wrapNone/>
              <wp:docPr id="4"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4"/>
                            <w:ind w:firstLine="360"/>
                          </w:pPr>
                          <w:r>
                            <w:rPr>
                              <w:rFonts w:hint="eastAsia"/>
                            </w:rPr>
                            <w:t xml:space="preserve">第 </w:t>
                          </w:r>
                          <w:r>
                            <w:fldChar w:fldCharType="begin"/>
                          </w:r>
                          <w:r>
                            <w:instrText xml:space="preserve"> PAGE  \* MERGEFORMAT </w:instrText>
                          </w:r>
                          <w:r>
                            <w:fldChar w:fldCharType="separate"/>
                          </w:r>
                          <w:r>
                            <w:t>2</w:t>
                          </w:r>
                          <w:r>
                            <w:fldChar w:fldCharType="end"/>
                          </w:r>
                          <w:r>
                            <w:rPr>
                              <w:rFonts w:hint="eastAsia"/>
                            </w:rPr>
                            <w:t xml:space="preserve"> 页</w:t>
                          </w:r>
                        </w:p>
                      </w:txbxContent>
                    </wps:txbx>
                    <wps:bodyPr wrap="none" lIns="0" tIns="0" rIns="0" bIns="0" upright="1">
                      <a:spAutoFit/>
                    </wps:bodyPr>
                  </wps:wsp>
                </a:graphicData>
              </a:graphic>
            </wp:anchor>
          </w:drawing>
        </mc:Choice>
        <mc:Fallback>
          <w:pict>
            <v:shape id="文本框 22" o:spid="_x0000_s1026" o:spt="202" type="#_x0000_t202" style="position:absolute;left:0pt;margin-top:-1632.6pt;height:144pt;width:144pt;mso-position-horizontal:outside;mso-position-horizontal-relative:margin;mso-wrap-style:none;z-index:251659264;mso-width-relative:page;mso-height-relative:page;" filled="f" stroked="f" coordsize="21600,21600" o:gfxdata="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pNtLt2AAAAAwBAAAPAAAAAAAAAAEAIAAAACIAAABkcnMv&#10;ZG93bnJldi54bWxQSwECFAAUAAAACACHTuJA7FiZJsoBAACaAwAADgAAAAAAAAABACAAAAAnAQAA&#10;ZHJzL2Uyb0RvYy54bWxQSwUGAAAAAAYABgBZAQAAYwUAAAAA&#10;">
              <v:fill on="f" focussize="0,0"/>
              <v:stroke on="f"/>
              <v:imagedata o:title=""/>
              <o:lock v:ext="edit" aspectratio="f"/>
              <v:textbox inset="0mm,0mm,0mm,0mm" style="mso-fit-shape-to-text:t;">
                <w:txbxContent>
                  <w:p>
                    <w:pPr>
                      <w:pStyle w:val="24"/>
                      <w:ind w:firstLine="360"/>
                    </w:pPr>
                    <w:r>
                      <w:rPr>
                        <w:rFonts w:hint="eastAsia"/>
                      </w:rPr>
                      <w:t xml:space="preserve">第 </w:t>
                    </w:r>
                    <w:r>
                      <w:fldChar w:fldCharType="begin"/>
                    </w:r>
                    <w:r>
                      <w:instrText xml:space="preserve"> PAGE  \* MERGEFORMAT </w:instrText>
                    </w:r>
                    <w:r>
                      <w:fldChar w:fldCharType="separate"/>
                    </w:r>
                    <w:r>
                      <w:t>2</w:t>
                    </w:r>
                    <w:r>
                      <w:fldChar w:fldCharType="end"/>
                    </w:r>
                    <w:r>
                      <w:rPr>
                        <w:rFonts w:hint="eastAsia"/>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pPr>
    <w:r>
      <w:fldChar w:fldCharType="begin"/>
    </w:r>
    <w:r>
      <w:instrText xml:space="preserve"> PAGE   \* MERGEFORMAT </w:instrText>
    </w:r>
    <w:r>
      <w:fldChar w:fldCharType="separate"/>
    </w:r>
    <w:r>
      <w:rPr>
        <w:lang w:val="zh-CN"/>
      </w:rPr>
      <w:t>10</w:t>
    </w:r>
    <w:r>
      <w:rPr>
        <w:lang w:val="zh-CN"/>
      </w:rPr>
      <w:fldChar w:fldCharType="end"/>
    </w:r>
    <w:r>
      <w:tab/>
    </w:r>
    <w:r>
      <w:t xml:space="preserve">                   </w:t>
    </w:r>
    <w:r>
      <w:rPr>
        <w:rFonts w:hint="eastAsia"/>
        <w:i/>
        <w:color w:val="0000FF"/>
        <w:sz w:val="28"/>
      </w:rPr>
      <w:t>精细 专业 高效</w:t>
    </w:r>
    <w: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4"/>
                            <w:ind w:firstLine="360"/>
                          </w:pPr>
                          <w:r>
                            <w:rPr>
                              <w:rFonts w:hint="eastAsia"/>
                            </w:rPr>
                            <w:t xml:space="preserve">第 </w:t>
                          </w:r>
                          <w:r>
                            <w:fldChar w:fldCharType="begin"/>
                          </w:r>
                          <w:r>
                            <w:instrText xml:space="preserve"> PAGE  \* MERGEFORMAT </w:instrText>
                          </w:r>
                          <w:r>
                            <w:fldChar w:fldCharType="separate"/>
                          </w:r>
                          <w:r>
                            <w:t>3</w:t>
                          </w:r>
                          <w:r>
                            <w:fldChar w:fldCharType="end"/>
                          </w:r>
                          <w:r>
                            <w:rPr>
                              <w:rFonts w:hint="eastAsia"/>
                            </w:rPr>
                            <w:t xml:space="preserve"> 页</w:t>
                          </w:r>
                        </w:p>
                      </w:txbxContent>
                    </wps:txbx>
                    <wps:bodyPr wrap="none" lIns="0" tIns="0" rIns="0" bIns="0" upright="1">
                      <a:spAutoFit/>
                    </wps:bodyPr>
                  </wps:wsp>
                </a:graphicData>
              </a:graphic>
            </wp:anchor>
          </w:drawing>
        </mc:Choice>
        <mc:Fallback>
          <w:pict>
            <v:shape id="文本框 15"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wGTNcoBAACaAwAADgAAAGRycy9lMm9Eb2MueG1srVPNjtMwEL4j8Q6W&#10;79RppUV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Hl&#10;Te5PH6DGtPuAiWl46wfcmtkP6MyyBxVt/qIggnHs7vnaXTkkIvKj9Wq9rjAkMDZfEJ89PA8R0jvp&#10;LclGQyOOr3SVnz5AGlPnlFzN+TttTBmhcX85EDN7WOY+csxWGvbDJGjv2zPq6XHyDXW46JSY9w4b&#10;m5dkNuJs7GfjGKI+dEhtWXhBeHNMSKJwyxVG2Kkwjqyom9Yr78Tje8l6+KW2f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NwGTNcoBAACaAwAADgAAAAAAAAABACAAAAAeAQAAZHJzL2Uyb0Rv&#10;Yy54bWxQSwUGAAAAAAYABgBZAQAAWgUAAAAA&#10;">
              <v:fill on="f" focussize="0,0"/>
              <v:stroke on="f"/>
              <v:imagedata o:title=""/>
              <o:lock v:ext="edit" aspectratio="f"/>
              <v:textbox inset="0mm,0mm,0mm,0mm" style="mso-fit-shape-to-text:t;">
                <w:txbxContent>
                  <w:p>
                    <w:pPr>
                      <w:pStyle w:val="24"/>
                      <w:ind w:firstLine="360"/>
                    </w:pPr>
                    <w:r>
                      <w:rPr>
                        <w:rFonts w:hint="eastAsia"/>
                      </w:rPr>
                      <w:t xml:space="preserve">第 </w:t>
                    </w:r>
                    <w:r>
                      <w:fldChar w:fldCharType="begin"/>
                    </w:r>
                    <w:r>
                      <w:instrText xml:space="preserve"> PAGE  \* MERGEFORMAT </w:instrText>
                    </w:r>
                    <w:r>
                      <w:fldChar w:fldCharType="separate"/>
                    </w:r>
                    <w:r>
                      <w:t>3</w:t>
                    </w:r>
                    <w:r>
                      <w:fldChar w:fldCharType="end"/>
                    </w:r>
                    <w:r>
                      <w:rPr>
                        <w:rFonts w:hint="eastAsia"/>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tabs>
        <w:tab w:val="clear" w:pos="4153"/>
      </w:tabs>
      <w:ind w:right="360" w:firstLine="0" w:firstLineChars="0"/>
    </w:pPr>
    <w: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4"/>
                            <w:ind w:firstLine="360"/>
                          </w:pPr>
                          <w:r>
                            <w:rPr>
                              <w:rFonts w:hint="eastAsia"/>
                            </w:rPr>
                            <w:t xml:space="preserve">第 </w:t>
                          </w:r>
                          <w:r>
                            <w:fldChar w:fldCharType="begin"/>
                          </w:r>
                          <w:r>
                            <w:instrText xml:space="preserve"> PAGE  \* MERGEFORMAT </w:instrText>
                          </w:r>
                          <w:r>
                            <w:fldChar w:fldCharType="separate"/>
                          </w:r>
                          <w:r>
                            <w:t>10</w:t>
                          </w:r>
                          <w:r>
                            <w:fldChar w:fldCharType="end"/>
                          </w:r>
                          <w:r>
                            <w:rPr>
                              <w:rFonts w:hint="eastAsia"/>
                            </w:rPr>
                            <w:t xml:space="preserve"> 页</w:t>
                          </w:r>
                        </w:p>
                      </w:txbxContent>
                    </wps:txbx>
                    <wps:bodyPr wrap="none" lIns="0" tIns="0" rIns="0" bIns="0" upright="1">
                      <a:spAutoFit/>
                    </wps:bodyPr>
                  </wps:wsp>
                </a:graphicData>
              </a:graphic>
            </wp:anchor>
          </w:drawing>
        </mc:Choice>
        <mc:Fallback>
          <w:pict>
            <v:shape id="文本框 17"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P5v6HyQEAAJoDAAAOAAAAAAAAAAEAIAAAAB4BAABkcnMvZTJvRG9j&#10;LnhtbFBLBQYAAAAABgAGAFkBAABZBQAAAAA=&#10;">
              <v:fill on="f" focussize="0,0"/>
              <v:stroke on="f"/>
              <v:imagedata o:title=""/>
              <o:lock v:ext="edit" aspectratio="f"/>
              <v:textbox inset="0mm,0mm,0mm,0mm" style="mso-fit-shape-to-text:t;">
                <w:txbxContent>
                  <w:p>
                    <w:pPr>
                      <w:pStyle w:val="24"/>
                      <w:ind w:firstLine="360"/>
                    </w:pPr>
                    <w:r>
                      <w:rPr>
                        <w:rFonts w:hint="eastAsia"/>
                      </w:rPr>
                      <w:t xml:space="preserve">第 </w:t>
                    </w:r>
                    <w:r>
                      <w:fldChar w:fldCharType="begin"/>
                    </w:r>
                    <w:r>
                      <w:instrText xml:space="preserve"> PAGE  \* MERGEFORMAT </w:instrText>
                    </w:r>
                    <w:r>
                      <w:fldChar w:fldCharType="separate"/>
                    </w:r>
                    <w:r>
                      <w:t>10</w:t>
                    </w:r>
                    <w:r>
                      <w:fldChar w:fldCharType="end"/>
                    </w:r>
                    <w:r>
                      <w:rPr>
                        <w:rFonts w:hint="eastAsia"/>
                      </w:rP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pPr>
    <w: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4"/>
                            <w:ind w:firstLine="360"/>
                          </w:pPr>
                          <w:r>
                            <w:rPr>
                              <w:rFonts w:hint="eastAsia"/>
                            </w:rPr>
                            <w:t xml:space="preserve">第 </w:t>
                          </w:r>
                          <w:r>
                            <w:fldChar w:fldCharType="begin"/>
                          </w:r>
                          <w:r>
                            <w:instrText xml:space="preserve"> PAGE  \* MERGEFORMAT </w:instrText>
                          </w:r>
                          <w:r>
                            <w:fldChar w:fldCharType="separate"/>
                          </w:r>
                          <w:r>
                            <w:t>55</w:t>
                          </w:r>
                          <w:r>
                            <w:fldChar w:fldCharType="end"/>
                          </w:r>
                          <w:r>
                            <w:rPr>
                              <w:rFonts w:hint="eastAsia"/>
                            </w:rPr>
                            <w:t xml:space="preserve"> 页</w:t>
                          </w:r>
                        </w:p>
                      </w:txbxContent>
                    </wps:txbx>
                    <wps:bodyPr wrap="none" lIns="0" tIns="0" rIns="0" bIns="0" upright="1">
                      <a:spAutoFit/>
                    </wps:bodyPr>
                  </wps:wsp>
                </a:graphicData>
              </a:graphic>
            </wp:anchor>
          </w:drawing>
        </mc:Choice>
        <mc:Fallback>
          <w:pict>
            <v:shape id="文本框 18"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KTNK18oBAACaAwAADgAAAAAAAAABACAAAAAeAQAAZHJzL2Uyb0Rv&#10;Yy54bWxQSwUGAAAAAAYABgBZAQAAWgUAAAAA&#10;">
              <v:fill on="f" focussize="0,0"/>
              <v:stroke on="f"/>
              <v:imagedata o:title=""/>
              <o:lock v:ext="edit" aspectratio="f"/>
              <v:textbox inset="0mm,0mm,0mm,0mm" style="mso-fit-shape-to-text:t;">
                <w:txbxContent>
                  <w:p>
                    <w:pPr>
                      <w:pStyle w:val="24"/>
                      <w:ind w:firstLine="360"/>
                    </w:pPr>
                    <w:r>
                      <w:rPr>
                        <w:rFonts w:hint="eastAsia"/>
                      </w:rPr>
                      <w:t xml:space="preserve">第 </w:t>
                    </w:r>
                    <w:r>
                      <w:fldChar w:fldCharType="begin"/>
                    </w:r>
                    <w:r>
                      <w:instrText xml:space="preserve"> PAGE  \* MERGEFORMAT </w:instrText>
                    </w:r>
                    <w:r>
                      <w:fldChar w:fldCharType="separate"/>
                    </w:r>
                    <w:r>
                      <w:t>55</w:t>
                    </w:r>
                    <w:r>
                      <w:fldChar w:fldCharType="end"/>
                    </w:r>
                    <w:r>
                      <w:rPr>
                        <w:rFonts w:hint="eastAsia"/>
                      </w:rP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pPr>
    <w:r>
      <mc:AlternateContent>
        <mc:Choice Requires="wps">
          <w:drawing>
            <wp:anchor distT="0" distB="0" distL="114300" distR="114300" simplePos="0" relativeHeight="25166643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2"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pStyle w:val="24"/>
                            <w:ind w:firstLine="360"/>
                          </w:pPr>
                          <w:r>
                            <w:rPr>
                              <w:rFonts w:hint="eastAsia"/>
                            </w:rPr>
                            <w:t xml:space="preserve">第 </w:t>
                          </w:r>
                          <w:r>
                            <w:fldChar w:fldCharType="begin"/>
                          </w:r>
                          <w:r>
                            <w:instrText xml:space="preserve"> PAGE  \* MERGEFORMAT </w:instrText>
                          </w:r>
                          <w:r>
                            <w:fldChar w:fldCharType="separate"/>
                          </w:r>
                          <w:r>
                            <w:t>56</w:t>
                          </w:r>
                          <w:r>
                            <w:fldChar w:fldCharType="end"/>
                          </w:r>
                          <w:r>
                            <w:rPr>
                              <w:rFonts w:hint="eastAsia"/>
                            </w:rPr>
                            <w:t xml:space="preserve"> 页</w:t>
                          </w:r>
                        </w:p>
                      </w:txbxContent>
                    </wps:txbx>
                    <wps:bodyPr wrap="none" lIns="0" tIns="0" rIns="0" bIns="0" upright="1">
                      <a:spAutoFit/>
                    </wps:bodyPr>
                  </wps:wsp>
                </a:graphicData>
              </a:graphic>
            </wp:anchor>
          </w:drawing>
        </mc:Choice>
        <mc:Fallback>
          <w:pict>
            <v:shape id="文本框 14" o:spid="_x0000_s1026" o:spt="202" type="#_x0000_t202" style="position:absolute;left:0pt;margin-top:0pt;height:144pt;width:144pt;mso-position-horizontal:outside;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zSVju0AAAAAUBAAAPAAAAAAAAAAEAIAAAACIAAABkcnMv&#10;ZG93bnJldi54bWxQSwECFAAUAAAACACHTuJA4+U+MdIBAACkAwAADgAAAAAAAAABACAAAAAfAQAA&#10;ZHJzL2Uyb0RvYy54bWxQSwUGAAAAAAYABgBZAQAAYwUAAAAA&#10;">
              <v:fill on="f" focussize="0,0"/>
              <v:stroke on="f" weight="0.5pt"/>
              <v:imagedata o:title=""/>
              <o:lock v:ext="edit" aspectratio="f"/>
              <v:textbox inset="0mm,0mm,0mm,0mm" style="mso-fit-shape-to-text:t;">
                <w:txbxContent>
                  <w:p>
                    <w:pPr>
                      <w:pStyle w:val="24"/>
                      <w:ind w:firstLine="360"/>
                    </w:pPr>
                    <w:r>
                      <w:rPr>
                        <w:rFonts w:hint="eastAsia"/>
                      </w:rPr>
                      <w:t xml:space="preserve">第 </w:t>
                    </w:r>
                    <w:r>
                      <w:fldChar w:fldCharType="begin"/>
                    </w:r>
                    <w:r>
                      <w:instrText xml:space="preserve"> PAGE  \* MERGEFORMAT </w:instrText>
                    </w:r>
                    <w:r>
                      <w:fldChar w:fldCharType="separate"/>
                    </w:r>
                    <w:r>
                      <w:t>56</w:t>
                    </w:r>
                    <w:r>
                      <w:fldChar w:fldCharType="end"/>
                    </w:r>
                    <w:r>
                      <w:rPr>
                        <w:rFonts w:hint="eastAsia"/>
                      </w:rP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pPr>
    <w:r>
      <mc:AlternateContent>
        <mc:Choice Requires="wps">
          <w:drawing>
            <wp:anchor distT="0" distB="0" distL="114300" distR="114300" simplePos="0" relativeHeight="25166438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pStyle w:val="24"/>
                            <w:ind w:firstLine="360"/>
                          </w:pPr>
                          <w:r>
                            <w:rPr>
                              <w:rFonts w:hint="eastAsia"/>
                            </w:rPr>
                            <w:t xml:space="preserve">第 </w:t>
                          </w:r>
                          <w:r>
                            <w:fldChar w:fldCharType="begin"/>
                          </w:r>
                          <w:r>
                            <w:instrText xml:space="preserve"> PAGE  \* MERGEFORMAT </w:instrText>
                          </w:r>
                          <w:r>
                            <w:fldChar w:fldCharType="separate"/>
                          </w:r>
                          <w:r>
                            <w:t>59</w:t>
                          </w:r>
                          <w:r>
                            <w:fldChar w:fldCharType="end"/>
                          </w:r>
                          <w:r>
                            <w:rPr>
                              <w:rFonts w:hint="eastAsia"/>
                            </w:rPr>
                            <w:t xml:space="preserve"> 页</w:t>
                          </w:r>
                        </w:p>
                      </w:txbxContent>
                    </wps:txbx>
                    <wps:bodyPr wrap="none" lIns="0" tIns="0" rIns="0" bIns="0" upright="1">
                      <a:spAutoFit/>
                    </wps:bodyPr>
                  </wps:wsp>
                </a:graphicData>
              </a:graphic>
            </wp:anchor>
          </w:drawing>
        </mc:Choice>
        <mc:Fallback>
          <w:pict>
            <v:shape id="文本框 12" o:spid="_x0000_s1026" o:spt="202" type="#_x0000_t202" style="position:absolute;left:0pt;margin-top:0pt;height:144pt;width:144pt;mso-position-horizontal:outside;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zSVju0AAAAAUBAAAPAAAAAAAAAAEAIAAAACIAAABkcnMv&#10;ZG93bnJldi54bWxQSwECFAAUAAAACACHTuJAF3MqidIBAACkAwAADgAAAAAAAAABACAAAAAfAQAA&#10;ZHJzL2Uyb0RvYy54bWxQSwUGAAAAAAYABgBZAQAAYwUAAAAA&#10;">
              <v:fill on="f" focussize="0,0"/>
              <v:stroke on="f" weight="0.5pt"/>
              <v:imagedata o:title=""/>
              <o:lock v:ext="edit" aspectratio="f"/>
              <v:textbox inset="0mm,0mm,0mm,0mm" style="mso-fit-shape-to-text:t;">
                <w:txbxContent>
                  <w:p>
                    <w:pPr>
                      <w:pStyle w:val="24"/>
                      <w:ind w:firstLine="360"/>
                    </w:pPr>
                    <w:r>
                      <w:rPr>
                        <w:rFonts w:hint="eastAsia"/>
                      </w:rPr>
                      <w:t xml:space="preserve">第 </w:t>
                    </w:r>
                    <w:r>
                      <w:fldChar w:fldCharType="begin"/>
                    </w:r>
                    <w:r>
                      <w:instrText xml:space="preserve"> PAGE  \* MERGEFORMAT </w:instrText>
                    </w:r>
                    <w:r>
                      <w:fldChar w:fldCharType="separate"/>
                    </w:r>
                    <w:r>
                      <w:t>59</w:t>
                    </w:r>
                    <w:r>
                      <w:fldChar w:fldCharType="end"/>
                    </w:r>
                    <w:r>
                      <w:rPr>
                        <w:rFonts w:hint="eastAsia"/>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jc w:val="center"/>
    </w:pPr>
    <w: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4"/>
                            <w:ind w:firstLine="360"/>
                          </w:pPr>
                          <w:r>
                            <w:rPr>
                              <w:rFonts w:hint="eastAsia"/>
                            </w:rPr>
                            <w:t xml:space="preserve">第 </w:t>
                          </w:r>
                          <w:r>
                            <w:fldChar w:fldCharType="begin"/>
                          </w:r>
                          <w:r>
                            <w:instrText xml:space="preserve"> PAGE  \* MERGEFORMAT </w:instrText>
                          </w:r>
                          <w:r>
                            <w:fldChar w:fldCharType="separate"/>
                          </w:r>
                          <w:r>
                            <w:t>61</w:t>
                          </w:r>
                          <w:r>
                            <w:fldChar w:fldCharType="end"/>
                          </w:r>
                          <w:r>
                            <w:rPr>
                              <w:rFonts w:hint="eastAsia"/>
                            </w:rPr>
                            <w:t xml:space="preserve"> 页</w:t>
                          </w:r>
                        </w:p>
                      </w:txbxContent>
                    </wps:txbx>
                    <wps:bodyPr wrap="none" lIns="0" tIns="0" rIns="0" bIns="0" upright="1">
                      <a:spAutoFit/>
                    </wps:bodyPr>
                  </wps:wsp>
                </a:graphicData>
              </a:graphic>
            </wp:anchor>
          </w:drawing>
        </mc:Choice>
        <mc:Fallback>
          <w:pict>
            <v:shape id="文本框 19"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5p2w2yQEAAJoDAAAOAAAAAAAAAAEAIAAAAB4BAABkcnMvZTJvRG9j&#10;LnhtbFBLBQYAAAAABgAGAFkBAABZBQAAAAA=&#10;">
              <v:fill on="f" focussize="0,0"/>
              <v:stroke on="f"/>
              <v:imagedata o:title=""/>
              <o:lock v:ext="edit" aspectratio="f"/>
              <v:textbox inset="0mm,0mm,0mm,0mm" style="mso-fit-shape-to-text:t;">
                <w:txbxContent>
                  <w:p>
                    <w:pPr>
                      <w:pStyle w:val="24"/>
                      <w:ind w:firstLine="360"/>
                    </w:pPr>
                    <w:r>
                      <w:rPr>
                        <w:rFonts w:hint="eastAsia"/>
                      </w:rPr>
                      <w:t xml:space="preserve">第 </w:t>
                    </w:r>
                    <w:r>
                      <w:fldChar w:fldCharType="begin"/>
                    </w:r>
                    <w:r>
                      <w:instrText xml:space="preserve"> PAGE  \* MERGEFORMAT </w:instrText>
                    </w:r>
                    <w:r>
                      <w:fldChar w:fldCharType="separate"/>
                    </w:r>
                    <w:r>
                      <w:t>61</w:t>
                    </w:r>
                    <w:r>
                      <w:fldChar w:fldCharType="end"/>
                    </w:r>
                    <w:r>
                      <w:rPr>
                        <w:rFonts w:hint="eastAsia"/>
                      </w:rP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pPr>
    <w: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1"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pStyle w:val="24"/>
                            <w:ind w:firstLine="360"/>
                          </w:pPr>
                          <w:r>
                            <w:rPr>
                              <w:rFonts w:hint="eastAsia"/>
                            </w:rPr>
                            <w:t xml:space="preserve">第 </w:t>
                          </w:r>
                          <w:r>
                            <w:fldChar w:fldCharType="begin"/>
                          </w:r>
                          <w:r>
                            <w:instrText xml:space="preserve"> PAGE  \* MERGEFORMAT </w:instrText>
                          </w:r>
                          <w:r>
                            <w:fldChar w:fldCharType="separate"/>
                          </w:r>
                          <w:r>
                            <w:t>75</w:t>
                          </w:r>
                          <w:r>
                            <w:fldChar w:fldCharType="end"/>
                          </w:r>
                          <w:r>
                            <w:rPr>
                              <w:rFonts w:hint="eastAsia"/>
                            </w:rPr>
                            <w:t xml:space="preserve"> 页</w:t>
                          </w:r>
                        </w:p>
                      </w:txbxContent>
                    </wps:txbx>
                    <wps:bodyPr wrap="none" lIns="0" tIns="0" rIns="0" bIns="0" upright="1">
                      <a:spAutoFit/>
                    </wps:bodyPr>
                  </wps:wsp>
                </a:graphicData>
              </a:graphic>
            </wp:anchor>
          </w:drawing>
        </mc:Choice>
        <mc:Fallback>
          <w:pict>
            <v:shape id="文本框 13"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s0lY7tAAAAAFAQAADwAAAAAAAAABACAAAAAiAAAAZHJz&#10;L2Rvd25yZXYueG1sUEsBAhQAFAAAAAgAh07iQB2Ldc/TAQAApAMAAA4AAAAAAAAAAQAgAAAAHwEA&#10;AGRycy9lMm9Eb2MueG1sUEsFBgAAAAAGAAYAWQEAAGQFAAAAAA==&#10;">
              <v:fill on="f" focussize="0,0"/>
              <v:stroke on="f" weight="0.5pt"/>
              <v:imagedata o:title=""/>
              <o:lock v:ext="edit" aspectratio="f"/>
              <v:textbox inset="0mm,0mm,0mm,0mm" style="mso-fit-shape-to-text:t;">
                <w:txbxContent>
                  <w:p>
                    <w:pPr>
                      <w:pStyle w:val="24"/>
                      <w:ind w:firstLine="360"/>
                    </w:pPr>
                    <w:r>
                      <w:rPr>
                        <w:rFonts w:hint="eastAsia"/>
                      </w:rPr>
                      <w:t xml:space="preserve">第 </w:t>
                    </w:r>
                    <w:r>
                      <w:fldChar w:fldCharType="begin"/>
                    </w:r>
                    <w:r>
                      <w:instrText xml:space="preserve"> PAGE  \* MERGEFORMAT </w:instrText>
                    </w:r>
                    <w:r>
                      <w:fldChar w:fldCharType="separate"/>
                    </w:r>
                    <w:r>
                      <w:t>75</w:t>
                    </w:r>
                    <w:r>
                      <w:fldChar w:fldCharType="end"/>
                    </w:r>
                    <w:r>
                      <w:rPr>
                        <w:rFonts w:hint="eastAsia"/>
                      </w:rP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jc w:val="center"/>
    </w:pPr>
    <w: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4"/>
                            <w:ind w:firstLine="360"/>
                          </w:pPr>
                          <w:r>
                            <w:rPr>
                              <w:rFonts w:hint="eastAsia"/>
                            </w:rPr>
                            <w:t xml:space="preserve">第 </w:t>
                          </w:r>
                          <w:r>
                            <w:fldChar w:fldCharType="begin"/>
                          </w:r>
                          <w:r>
                            <w:instrText xml:space="preserve"> PAGE  \* MERGEFORMAT </w:instrText>
                          </w:r>
                          <w:r>
                            <w:fldChar w:fldCharType="separate"/>
                          </w:r>
                          <w:r>
                            <w:t>78</w:t>
                          </w:r>
                          <w:r>
                            <w:fldChar w:fldCharType="end"/>
                          </w:r>
                          <w:r>
                            <w:rPr>
                              <w:rFonts w:hint="eastAsia"/>
                            </w:rPr>
                            <w:t xml:space="preserve"> 页</w:t>
                          </w:r>
                        </w:p>
                      </w:txbxContent>
                    </wps:txbx>
                    <wps:bodyPr wrap="none" lIns="0" tIns="0" rIns="0" bIns="0" upright="1">
                      <a:spAutoFit/>
                    </wps:bodyPr>
                  </wps:wsp>
                </a:graphicData>
              </a:graphic>
            </wp:anchor>
          </w:drawing>
        </mc:Choice>
        <mc:Fallback>
          <w:pict>
            <v:shape id="文本框 20"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GxIF6TIAQAAmgMAAA4AAAAAAAAAAQAgAAAAHgEAAGRycy9lMm9Eb2Mu&#10;eG1sUEsFBgAAAAAGAAYAWQEAAFgFAAAAAA==&#10;">
              <v:fill on="f" focussize="0,0"/>
              <v:stroke on="f"/>
              <v:imagedata o:title=""/>
              <o:lock v:ext="edit" aspectratio="f"/>
              <v:textbox inset="0mm,0mm,0mm,0mm" style="mso-fit-shape-to-text:t;">
                <w:txbxContent>
                  <w:p>
                    <w:pPr>
                      <w:pStyle w:val="24"/>
                      <w:ind w:firstLine="360"/>
                    </w:pPr>
                    <w:r>
                      <w:rPr>
                        <w:rFonts w:hint="eastAsia"/>
                      </w:rPr>
                      <w:t xml:space="preserve">第 </w:t>
                    </w:r>
                    <w:r>
                      <w:fldChar w:fldCharType="begin"/>
                    </w:r>
                    <w:r>
                      <w:instrText xml:space="preserve"> PAGE  \* MERGEFORMAT </w:instrText>
                    </w:r>
                    <w:r>
                      <w:fldChar w:fldCharType="separate"/>
                    </w:r>
                    <w:r>
                      <w:t>78</w:t>
                    </w:r>
                    <w:r>
                      <w:fldChar w:fldCharType="end"/>
                    </w:r>
                    <w:r>
                      <w:rPr>
                        <w:rFonts w:hint="eastAsia"/>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0" w:firstLineChars="0"/>
      <w:rPr>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0" w:firstLineChars="0"/>
      <w:jc w:val="both"/>
    </w:pPr>
    <w:r>
      <w:rPr>
        <w:rFonts w:hint="eastAsia"/>
      </w:rPr>
      <w:t>杭州电子科技大学</w:t>
    </w:r>
    <w:r>
      <w:rPr>
        <w:rFonts w:hint="eastAsia"/>
      </w:rPr>
      <w:tab/>
    </w:r>
    <w:r>
      <w:rPr>
        <w:rFonts w:hint="eastAsia"/>
      </w:rPr>
      <w:t>文创中心脑电采集分析系统项目</w:t>
    </w:r>
    <w:r>
      <w:rPr>
        <w:rFonts w:hint="eastAsia"/>
      </w:rPr>
      <w:tab/>
    </w:r>
    <w:r>
      <w:rPr>
        <w:rFonts w:hint="eastAsia"/>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0" w:firstLineChars="0"/>
      <w:jc w:val="right"/>
    </w:pPr>
    <w:r>
      <w:rPr>
        <w:rFonts w:hint="eastAsia"/>
        <w:lang w:eastAsia="zh-CN"/>
      </w:rPr>
      <w:t>浙江五石中正工程咨询有限公司</w:t>
    </w:r>
    <w:r>
      <w:rPr>
        <w:rFonts w:hint="eastAsia"/>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ED294E"/>
    <w:multiLevelType w:val="singleLevel"/>
    <w:tmpl w:val="8EED294E"/>
    <w:lvl w:ilvl="0" w:tentative="0">
      <w:start w:val="1"/>
      <w:numFmt w:val="decimal"/>
      <w:suff w:val="nothing"/>
      <w:lvlText w:val="%1．"/>
      <w:lvlJc w:val="left"/>
      <w:pPr>
        <w:ind w:left="0" w:firstLine="400"/>
      </w:pPr>
      <w:rPr>
        <w:rFonts w:hint="default"/>
      </w:rPr>
    </w:lvl>
  </w:abstractNum>
  <w:abstractNum w:abstractNumId="1">
    <w:nsid w:val="9833499A"/>
    <w:multiLevelType w:val="singleLevel"/>
    <w:tmpl w:val="9833499A"/>
    <w:lvl w:ilvl="0" w:tentative="0">
      <w:start w:val="1"/>
      <w:numFmt w:val="decimal"/>
      <w:suff w:val="nothing"/>
      <w:lvlText w:val="%1．"/>
      <w:lvlJc w:val="left"/>
      <w:pPr>
        <w:ind w:left="0" w:firstLine="400"/>
      </w:pPr>
      <w:rPr>
        <w:rFonts w:hint="default"/>
      </w:rPr>
    </w:lvl>
  </w:abstractNum>
  <w:abstractNum w:abstractNumId="2">
    <w:nsid w:val="985158F9"/>
    <w:multiLevelType w:val="singleLevel"/>
    <w:tmpl w:val="985158F9"/>
    <w:lvl w:ilvl="0" w:tentative="0">
      <w:start w:val="1"/>
      <w:numFmt w:val="decimal"/>
      <w:suff w:val="nothing"/>
      <w:lvlText w:val="%1．"/>
      <w:lvlJc w:val="left"/>
      <w:pPr>
        <w:ind w:left="0" w:firstLine="400"/>
      </w:pPr>
      <w:rPr>
        <w:rFonts w:hint="default"/>
      </w:rPr>
    </w:lvl>
  </w:abstractNum>
  <w:abstractNum w:abstractNumId="3">
    <w:nsid w:val="9E4EA1EC"/>
    <w:multiLevelType w:val="singleLevel"/>
    <w:tmpl w:val="9E4EA1EC"/>
    <w:lvl w:ilvl="0" w:tentative="0">
      <w:start w:val="1"/>
      <w:numFmt w:val="decimal"/>
      <w:lvlText w:val="(%1)"/>
      <w:lvlJc w:val="left"/>
      <w:pPr>
        <w:tabs>
          <w:tab w:val="left" w:pos="420"/>
        </w:tabs>
        <w:ind w:left="845" w:hanging="425"/>
      </w:pPr>
      <w:rPr>
        <w:rFonts w:hint="default"/>
      </w:rPr>
    </w:lvl>
  </w:abstractNum>
  <w:abstractNum w:abstractNumId="4">
    <w:nsid w:val="A1F02041"/>
    <w:multiLevelType w:val="singleLevel"/>
    <w:tmpl w:val="A1F02041"/>
    <w:lvl w:ilvl="0" w:tentative="0">
      <w:start w:val="1"/>
      <w:numFmt w:val="decimal"/>
      <w:suff w:val="nothing"/>
      <w:lvlText w:val="%1．"/>
      <w:lvlJc w:val="left"/>
      <w:pPr>
        <w:ind w:left="0" w:firstLine="400"/>
      </w:pPr>
      <w:rPr>
        <w:rFonts w:hint="default"/>
      </w:rPr>
    </w:lvl>
  </w:abstractNum>
  <w:abstractNum w:abstractNumId="5">
    <w:nsid w:val="A334E80E"/>
    <w:multiLevelType w:val="singleLevel"/>
    <w:tmpl w:val="A334E80E"/>
    <w:lvl w:ilvl="0" w:tentative="0">
      <w:start w:val="1"/>
      <w:numFmt w:val="decimal"/>
      <w:suff w:val="nothing"/>
      <w:lvlText w:val="%1．"/>
      <w:lvlJc w:val="left"/>
      <w:pPr>
        <w:ind w:left="0" w:firstLine="400"/>
      </w:pPr>
      <w:rPr>
        <w:rFonts w:hint="default"/>
      </w:rPr>
    </w:lvl>
  </w:abstractNum>
  <w:abstractNum w:abstractNumId="6">
    <w:nsid w:val="A6320B38"/>
    <w:multiLevelType w:val="singleLevel"/>
    <w:tmpl w:val="A6320B38"/>
    <w:lvl w:ilvl="0" w:tentative="0">
      <w:start w:val="1"/>
      <w:numFmt w:val="decimal"/>
      <w:suff w:val="nothing"/>
      <w:lvlText w:val="%1．"/>
      <w:lvlJc w:val="left"/>
      <w:pPr>
        <w:ind w:left="0" w:firstLine="403"/>
      </w:pPr>
      <w:rPr>
        <w:rFonts w:hint="default"/>
      </w:rPr>
    </w:lvl>
  </w:abstractNum>
  <w:abstractNum w:abstractNumId="7">
    <w:nsid w:val="ADA5A042"/>
    <w:multiLevelType w:val="singleLevel"/>
    <w:tmpl w:val="ADA5A042"/>
    <w:lvl w:ilvl="0" w:tentative="0">
      <w:start w:val="1"/>
      <w:numFmt w:val="decimal"/>
      <w:lvlText w:val="(%1)"/>
      <w:lvlJc w:val="left"/>
      <w:pPr>
        <w:tabs>
          <w:tab w:val="left" w:pos="420"/>
        </w:tabs>
        <w:ind w:left="845" w:hanging="425"/>
      </w:pPr>
      <w:rPr>
        <w:rFonts w:hint="default"/>
      </w:rPr>
    </w:lvl>
  </w:abstractNum>
  <w:abstractNum w:abstractNumId="8">
    <w:nsid w:val="B2441094"/>
    <w:multiLevelType w:val="singleLevel"/>
    <w:tmpl w:val="B2441094"/>
    <w:lvl w:ilvl="0" w:tentative="0">
      <w:start w:val="1"/>
      <w:numFmt w:val="decimal"/>
      <w:suff w:val="nothing"/>
      <w:lvlText w:val="%1．"/>
      <w:lvlJc w:val="left"/>
      <w:pPr>
        <w:ind w:left="0" w:firstLine="400"/>
      </w:pPr>
      <w:rPr>
        <w:rFonts w:hint="default"/>
      </w:rPr>
    </w:lvl>
  </w:abstractNum>
  <w:abstractNum w:abstractNumId="9">
    <w:nsid w:val="B6926B02"/>
    <w:multiLevelType w:val="singleLevel"/>
    <w:tmpl w:val="B6926B02"/>
    <w:lvl w:ilvl="0" w:tentative="0">
      <w:start w:val="1"/>
      <w:numFmt w:val="decimal"/>
      <w:suff w:val="nothing"/>
      <w:lvlText w:val="%1．"/>
      <w:lvlJc w:val="left"/>
      <w:pPr>
        <w:ind w:left="0" w:firstLine="400"/>
      </w:pPr>
      <w:rPr>
        <w:rFonts w:hint="default"/>
      </w:rPr>
    </w:lvl>
  </w:abstractNum>
  <w:abstractNum w:abstractNumId="10">
    <w:nsid w:val="CD1B4928"/>
    <w:multiLevelType w:val="singleLevel"/>
    <w:tmpl w:val="CD1B4928"/>
    <w:lvl w:ilvl="0" w:tentative="0">
      <w:start w:val="1"/>
      <w:numFmt w:val="decimal"/>
      <w:suff w:val="nothing"/>
      <w:lvlText w:val="%1．"/>
      <w:lvlJc w:val="left"/>
      <w:pPr>
        <w:ind w:left="0" w:firstLine="400"/>
      </w:pPr>
      <w:rPr>
        <w:rFonts w:hint="default"/>
      </w:rPr>
    </w:lvl>
  </w:abstractNum>
  <w:abstractNum w:abstractNumId="11">
    <w:nsid w:val="CF30F046"/>
    <w:multiLevelType w:val="singleLevel"/>
    <w:tmpl w:val="CF30F046"/>
    <w:lvl w:ilvl="0" w:tentative="0">
      <w:start w:val="1"/>
      <w:numFmt w:val="decimal"/>
      <w:suff w:val="nothing"/>
      <w:lvlText w:val="%1．"/>
      <w:lvlJc w:val="left"/>
      <w:pPr>
        <w:ind w:left="0" w:firstLine="400"/>
      </w:pPr>
      <w:rPr>
        <w:rFonts w:hint="default"/>
      </w:rPr>
    </w:lvl>
  </w:abstractNum>
  <w:abstractNum w:abstractNumId="12">
    <w:nsid w:val="D1CE6ABE"/>
    <w:multiLevelType w:val="singleLevel"/>
    <w:tmpl w:val="D1CE6ABE"/>
    <w:lvl w:ilvl="0" w:tentative="0">
      <w:start w:val="1"/>
      <w:numFmt w:val="decimal"/>
      <w:lvlText w:val="(%1)"/>
      <w:lvlJc w:val="left"/>
      <w:pPr>
        <w:tabs>
          <w:tab w:val="left" w:pos="420"/>
        </w:tabs>
        <w:ind w:left="845" w:hanging="425"/>
      </w:pPr>
      <w:rPr>
        <w:rFonts w:hint="default"/>
      </w:rPr>
    </w:lvl>
  </w:abstractNum>
  <w:abstractNum w:abstractNumId="13">
    <w:nsid w:val="D3756543"/>
    <w:multiLevelType w:val="singleLevel"/>
    <w:tmpl w:val="D3756543"/>
    <w:lvl w:ilvl="0" w:tentative="0">
      <w:start w:val="1"/>
      <w:numFmt w:val="decimal"/>
      <w:suff w:val="nothing"/>
      <w:lvlText w:val="%1．"/>
      <w:lvlJc w:val="left"/>
      <w:pPr>
        <w:ind w:left="0" w:firstLine="400"/>
      </w:pPr>
      <w:rPr>
        <w:rFonts w:hint="default"/>
      </w:rPr>
    </w:lvl>
  </w:abstractNum>
  <w:abstractNum w:abstractNumId="14">
    <w:nsid w:val="DF67F3A8"/>
    <w:multiLevelType w:val="singleLevel"/>
    <w:tmpl w:val="DF67F3A8"/>
    <w:lvl w:ilvl="0" w:tentative="0">
      <w:start w:val="1"/>
      <w:numFmt w:val="decimal"/>
      <w:suff w:val="nothing"/>
      <w:lvlText w:val="%1．"/>
      <w:lvlJc w:val="left"/>
      <w:pPr>
        <w:ind w:left="0" w:firstLine="400"/>
      </w:pPr>
      <w:rPr>
        <w:rFonts w:hint="default"/>
      </w:rPr>
    </w:lvl>
  </w:abstractNum>
  <w:abstractNum w:abstractNumId="15">
    <w:nsid w:val="E5229268"/>
    <w:multiLevelType w:val="singleLevel"/>
    <w:tmpl w:val="E5229268"/>
    <w:lvl w:ilvl="0" w:tentative="0">
      <w:start w:val="2"/>
      <w:numFmt w:val="chineseCounting"/>
      <w:suff w:val="nothing"/>
      <w:lvlText w:val="%1、"/>
      <w:lvlJc w:val="left"/>
      <w:rPr>
        <w:rFonts w:hint="eastAsia"/>
      </w:rPr>
    </w:lvl>
  </w:abstractNum>
  <w:abstractNum w:abstractNumId="16">
    <w:nsid w:val="E7B51C48"/>
    <w:multiLevelType w:val="singleLevel"/>
    <w:tmpl w:val="E7B51C48"/>
    <w:lvl w:ilvl="0" w:tentative="0">
      <w:start w:val="1"/>
      <w:numFmt w:val="decimal"/>
      <w:suff w:val="space"/>
      <w:lvlText w:val="%1."/>
      <w:lvlJc w:val="left"/>
    </w:lvl>
  </w:abstractNum>
  <w:abstractNum w:abstractNumId="17">
    <w:nsid w:val="E9A1B0F0"/>
    <w:multiLevelType w:val="singleLevel"/>
    <w:tmpl w:val="E9A1B0F0"/>
    <w:lvl w:ilvl="0" w:tentative="0">
      <w:start w:val="1"/>
      <w:numFmt w:val="decimal"/>
      <w:suff w:val="nothing"/>
      <w:lvlText w:val="%1．"/>
      <w:lvlJc w:val="left"/>
      <w:pPr>
        <w:ind w:left="0" w:firstLine="400"/>
      </w:pPr>
      <w:rPr>
        <w:rFonts w:hint="default"/>
      </w:rPr>
    </w:lvl>
  </w:abstractNum>
  <w:abstractNum w:abstractNumId="18">
    <w:nsid w:val="EC35841A"/>
    <w:multiLevelType w:val="singleLevel"/>
    <w:tmpl w:val="EC35841A"/>
    <w:lvl w:ilvl="0" w:tentative="0">
      <w:start w:val="1"/>
      <w:numFmt w:val="decimal"/>
      <w:suff w:val="nothing"/>
      <w:lvlText w:val="%1．"/>
      <w:lvlJc w:val="left"/>
      <w:pPr>
        <w:ind w:left="0" w:firstLine="400"/>
      </w:pPr>
      <w:rPr>
        <w:rFonts w:hint="default"/>
      </w:rPr>
    </w:lvl>
  </w:abstractNum>
  <w:abstractNum w:abstractNumId="19">
    <w:nsid w:val="029CA94B"/>
    <w:multiLevelType w:val="singleLevel"/>
    <w:tmpl w:val="029CA94B"/>
    <w:lvl w:ilvl="0" w:tentative="0">
      <w:start w:val="1"/>
      <w:numFmt w:val="decimal"/>
      <w:suff w:val="nothing"/>
      <w:lvlText w:val="%1．"/>
      <w:lvlJc w:val="left"/>
      <w:pPr>
        <w:ind w:left="0" w:firstLine="400"/>
      </w:pPr>
      <w:rPr>
        <w:rFonts w:hint="default"/>
      </w:rPr>
    </w:lvl>
  </w:abstractNum>
  <w:abstractNum w:abstractNumId="20">
    <w:nsid w:val="043C503A"/>
    <w:multiLevelType w:val="singleLevel"/>
    <w:tmpl w:val="043C503A"/>
    <w:lvl w:ilvl="0" w:tentative="0">
      <w:start w:val="1"/>
      <w:numFmt w:val="decimal"/>
      <w:suff w:val="nothing"/>
      <w:lvlText w:val="%1．"/>
      <w:lvlJc w:val="left"/>
      <w:pPr>
        <w:ind w:left="0" w:firstLine="400"/>
      </w:pPr>
      <w:rPr>
        <w:rFonts w:hint="default"/>
      </w:rPr>
    </w:lvl>
  </w:abstractNum>
  <w:abstractNum w:abstractNumId="21">
    <w:nsid w:val="095227C7"/>
    <w:multiLevelType w:val="singleLevel"/>
    <w:tmpl w:val="095227C7"/>
    <w:lvl w:ilvl="0" w:tentative="0">
      <w:start w:val="1"/>
      <w:numFmt w:val="decimal"/>
      <w:suff w:val="nothing"/>
      <w:lvlText w:val="%1．"/>
      <w:lvlJc w:val="left"/>
      <w:pPr>
        <w:ind w:left="0" w:firstLine="400"/>
      </w:pPr>
      <w:rPr>
        <w:rFonts w:hint="default"/>
      </w:rPr>
    </w:lvl>
  </w:abstractNum>
  <w:abstractNum w:abstractNumId="22">
    <w:nsid w:val="0C4C1B99"/>
    <w:multiLevelType w:val="singleLevel"/>
    <w:tmpl w:val="0C4C1B99"/>
    <w:lvl w:ilvl="0" w:tentative="0">
      <w:start w:val="1"/>
      <w:numFmt w:val="decimal"/>
      <w:suff w:val="nothing"/>
      <w:lvlText w:val="%1．"/>
      <w:lvlJc w:val="left"/>
      <w:pPr>
        <w:ind w:left="0" w:firstLine="400"/>
      </w:pPr>
      <w:rPr>
        <w:rFonts w:hint="default"/>
      </w:rPr>
    </w:lvl>
  </w:abstractNum>
  <w:abstractNum w:abstractNumId="23">
    <w:nsid w:val="0FEB57A1"/>
    <w:multiLevelType w:val="singleLevel"/>
    <w:tmpl w:val="0FEB57A1"/>
    <w:lvl w:ilvl="0" w:tentative="0">
      <w:start w:val="1"/>
      <w:numFmt w:val="decimal"/>
      <w:suff w:val="nothing"/>
      <w:lvlText w:val="%1．"/>
      <w:lvlJc w:val="left"/>
      <w:pPr>
        <w:ind w:left="0" w:firstLine="400"/>
      </w:pPr>
      <w:rPr>
        <w:rFonts w:hint="default"/>
      </w:rPr>
    </w:lvl>
  </w:abstractNum>
  <w:abstractNum w:abstractNumId="24">
    <w:nsid w:val="1038D7D2"/>
    <w:multiLevelType w:val="singleLevel"/>
    <w:tmpl w:val="1038D7D2"/>
    <w:lvl w:ilvl="0" w:tentative="0">
      <w:start w:val="1"/>
      <w:numFmt w:val="decimal"/>
      <w:suff w:val="nothing"/>
      <w:lvlText w:val="%1．"/>
      <w:lvlJc w:val="left"/>
      <w:pPr>
        <w:ind w:left="0" w:firstLine="400"/>
      </w:pPr>
      <w:rPr>
        <w:rFonts w:hint="default"/>
      </w:rPr>
    </w:lvl>
  </w:abstractNum>
  <w:abstractNum w:abstractNumId="25">
    <w:nsid w:val="1326DEBE"/>
    <w:multiLevelType w:val="singleLevel"/>
    <w:tmpl w:val="1326DEBE"/>
    <w:lvl w:ilvl="0" w:tentative="0">
      <w:start w:val="3"/>
      <w:numFmt w:val="chineseCounting"/>
      <w:suff w:val="nothing"/>
      <w:lvlText w:val="（%1）"/>
      <w:lvlJc w:val="left"/>
      <w:rPr>
        <w:rFonts w:hint="eastAsia"/>
      </w:rPr>
    </w:lvl>
  </w:abstractNum>
  <w:abstractNum w:abstractNumId="26">
    <w:nsid w:val="16B8311A"/>
    <w:multiLevelType w:val="singleLevel"/>
    <w:tmpl w:val="16B8311A"/>
    <w:lvl w:ilvl="0" w:tentative="0">
      <w:start w:val="1"/>
      <w:numFmt w:val="decimal"/>
      <w:suff w:val="nothing"/>
      <w:lvlText w:val="%1．"/>
      <w:lvlJc w:val="left"/>
      <w:pPr>
        <w:ind w:left="0" w:firstLine="400"/>
      </w:pPr>
      <w:rPr>
        <w:rFonts w:hint="default"/>
      </w:rPr>
    </w:lvl>
  </w:abstractNum>
  <w:abstractNum w:abstractNumId="27">
    <w:nsid w:val="1E3F7A24"/>
    <w:multiLevelType w:val="singleLevel"/>
    <w:tmpl w:val="1E3F7A24"/>
    <w:lvl w:ilvl="0" w:tentative="0">
      <w:start w:val="1"/>
      <w:numFmt w:val="decimal"/>
      <w:suff w:val="nothing"/>
      <w:lvlText w:val="%1．"/>
      <w:lvlJc w:val="left"/>
      <w:pPr>
        <w:ind w:left="0" w:firstLine="400"/>
      </w:pPr>
      <w:rPr>
        <w:rFonts w:hint="default"/>
      </w:rPr>
    </w:lvl>
  </w:abstractNum>
  <w:abstractNum w:abstractNumId="28">
    <w:nsid w:val="29C68634"/>
    <w:multiLevelType w:val="singleLevel"/>
    <w:tmpl w:val="29C68634"/>
    <w:lvl w:ilvl="0" w:tentative="0">
      <w:start w:val="1"/>
      <w:numFmt w:val="decimal"/>
      <w:suff w:val="nothing"/>
      <w:lvlText w:val="%1．"/>
      <w:lvlJc w:val="left"/>
      <w:pPr>
        <w:ind w:left="0" w:firstLine="400"/>
      </w:pPr>
      <w:rPr>
        <w:rFonts w:hint="default"/>
      </w:rPr>
    </w:lvl>
  </w:abstractNum>
  <w:abstractNum w:abstractNumId="29">
    <w:nsid w:val="2B1A34EB"/>
    <w:multiLevelType w:val="multilevel"/>
    <w:tmpl w:val="2B1A34EB"/>
    <w:lvl w:ilvl="0" w:tentative="0">
      <w:start w:val="1"/>
      <w:numFmt w:val="decimal"/>
      <w:lvlText w:val="%1."/>
      <w:lvlJc w:val="left"/>
      <w:pPr>
        <w:ind w:left="420" w:hanging="420"/>
      </w:pPr>
    </w:lvl>
    <w:lvl w:ilvl="1" w:tentative="0">
      <w:start w:val="1"/>
      <w:numFmt w:val="lowerLetter"/>
      <w:pStyle w:val="170"/>
      <w:lvlText w:val="%2)"/>
      <w:lvlJc w:val="left"/>
      <w:pPr>
        <w:ind w:left="840" w:hanging="420"/>
      </w:pPr>
    </w:lvl>
    <w:lvl w:ilvl="2" w:tentative="0">
      <w:start w:val="1"/>
      <w:numFmt w:val="lowerRoman"/>
      <w:pStyle w:val="172"/>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392A48AC"/>
    <w:multiLevelType w:val="singleLevel"/>
    <w:tmpl w:val="392A48AC"/>
    <w:lvl w:ilvl="0" w:tentative="0">
      <w:start w:val="1"/>
      <w:numFmt w:val="decimal"/>
      <w:suff w:val="nothing"/>
      <w:lvlText w:val="%1．"/>
      <w:lvlJc w:val="left"/>
      <w:pPr>
        <w:ind w:left="0" w:firstLine="400"/>
      </w:pPr>
      <w:rPr>
        <w:rFonts w:hint="default"/>
      </w:rPr>
    </w:lvl>
  </w:abstractNum>
  <w:abstractNum w:abstractNumId="31">
    <w:nsid w:val="3B43ED24"/>
    <w:multiLevelType w:val="singleLevel"/>
    <w:tmpl w:val="3B43ED24"/>
    <w:lvl w:ilvl="0" w:tentative="0">
      <w:start w:val="1"/>
      <w:numFmt w:val="decimal"/>
      <w:suff w:val="nothing"/>
      <w:lvlText w:val="%1．"/>
      <w:lvlJc w:val="left"/>
      <w:pPr>
        <w:ind w:left="0" w:firstLine="400"/>
      </w:pPr>
      <w:rPr>
        <w:rFonts w:hint="default"/>
      </w:rPr>
    </w:lvl>
  </w:abstractNum>
  <w:abstractNum w:abstractNumId="32">
    <w:nsid w:val="3CAC5BEC"/>
    <w:multiLevelType w:val="singleLevel"/>
    <w:tmpl w:val="3CAC5BEC"/>
    <w:lvl w:ilvl="0" w:tentative="0">
      <w:start w:val="1"/>
      <w:numFmt w:val="decimal"/>
      <w:suff w:val="nothing"/>
      <w:lvlText w:val="%1．"/>
      <w:lvlJc w:val="left"/>
      <w:pPr>
        <w:ind w:left="0" w:firstLine="400"/>
      </w:pPr>
      <w:rPr>
        <w:rFonts w:hint="default"/>
      </w:rPr>
    </w:lvl>
  </w:abstractNum>
  <w:abstractNum w:abstractNumId="33">
    <w:nsid w:val="40C92B7B"/>
    <w:multiLevelType w:val="singleLevel"/>
    <w:tmpl w:val="40C92B7B"/>
    <w:lvl w:ilvl="0" w:tentative="0">
      <w:start w:val="1"/>
      <w:numFmt w:val="decimal"/>
      <w:suff w:val="nothing"/>
      <w:lvlText w:val="%1．"/>
      <w:lvlJc w:val="left"/>
      <w:pPr>
        <w:ind w:left="0" w:firstLine="400"/>
      </w:pPr>
      <w:rPr>
        <w:rFonts w:hint="default"/>
      </w:rPr>
    </w:lvl>
  </w:abstractNum>
  <w:abstractNum w:abstractNumId="34">
    <w:nsid w:val="41986F26"/>
    <w:multiLevelType w:val="singleLevel"/>
    <w:tmpl w:val="41986F26"/>
    <w:lvl w:ilvl="0" w:tentative="0">
      <w:start w:val="1"/>
      <w:numFmt w:val="decimal"/>
      <w:suff w:val="nothing"/>
      <w:lvlText w:val="%1．"/>
      <w:lvlJc w:val="left"/>
      <w:pPr>
        <w:ind w:left="0" w:firstLine="400"/>
      </w:pPr>
      <w:rPr>
        <w:rFonts w:hint="default"/>
      </w:rPr>
    </w:lvl>
  </w:abstractNum>
  <w:abstractNum w:abstractNumId="35">
    <w:nsid w:val="430BD2FA"/>
    <w:multiLevelType w:val="singleLevel"/>
    <w:tmpl w:val="430BD2FA"/>
    <w:lvl w:ilvl="0" w:tentative="0">
      <w:start w:val="1"/>
      <w:numFmt w:val="decimal"/>
      <w:suff w:val="nothing"/>
      <w:lvlText w:val="%1．"/>
      <w:lvlJc w:val="left"/>
      <w:pPr>
        <w:ind w:left="0" w:firstLine="400"/>
      </w:pPr>
      <w:rPr>
        <w:rFonts w:hint="default"/>
      </w:rPr>
    </w:lvl>
  </w:abstractNum>
  <w:abstractNum w:abstractNumId="36">
    <w:nsid w:val="4B1D6676"/>
    <w:multiLevelType w:val="multilevel"/>
    <w:tmpl w:val="4B1D667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7">
    <w:nsid w:val="5046D9A5"/>
    <w:multiLevelType w:val="singleLevel"/>
    <w:tmpl w:val="5046D9A5"/>
    <w:lvl w:ilvl="0" w:tentative="0">
      <w:start w:val="1"/>
      <w:numFmt w:val="decimal"/>
      <w:suff w:val="nothing"/>
      <w:lvlText w:val="%1．"/>
      <w:lvlJc w:val="left"/>
      <w:pPr>
        <w:ind w:left="0" w:firstLine="400"/>
      </w:pPr>
      <w:rPr>
        <w:rFonts w:hint="default"/>
      </w:rPr>
    </w:lvl>
  </w:abstractNum>
  <w:abstractNum w:abstractNumId="38">
    <w:nsid w:val="52DB6F75"/>
    <w:multiLevelType w:val="singleLevel"/>
    <w:tmpl w:val="52DB6F75"/>
    <w:lvl w:ilvl="0" w:tentative="0">
      <w:start w:val="1"/>
      <w:numFmt w:val="decimal"/>
      <w:suff w:val="nothing"/>
      <w:lvlText w:val="%1．"/>
      <w:lvlJc w:val="left"/>
      <w:pPr>
        <w:ind w:left="0" w:firstLine="400"/>
      </w:pPr>
      <w:rPr>
        <w:rFonts w:hint="default"/>
      </w:rPr>
    </w:lvl>
  </w:abstractNum>
  <w:abstractNum w:abstractNumId="39">
    <w:nsid w:val="541F2365"/>
    <w:multiLevelType w:val="singleLevel"/>
    <w:tmpl w:val="541F2365"/>
    <w:lvl w:ilvl="0" w:tentative="0">
      <w:start w:val="1"/>
      <w:numFmt w:val="decimal"/>
      <w:suff w:val="nothing"/>
      <w:lvlText w:val="%1．"/>
      <w:lvlJc w:val="left"/>
      <w:pPr>
        <w:ind w:left="0" w:firstLine="400"/>
      </w:pPr>
      <w:rPr>
        <w:rFonts w:hint="default"/>
      </w:rPr>
    </w:lvl>
  </w:abstractNum>
  <w:abstractNum w:abstractNumId="40">
    <w:nsid w:val="5B4DA1BC"/>
    <w:multiLevelType w:val="singleLevel"/>
    <w:tmpl w:val="5B4DA1BC"/>
    <w:lvl w:ilvl="0" w:tentative="0">
      <w:start w:val="2"/>
      <w:numFmt w:val="decimal"/>
      <w:suff w:val="nothing"/>
      <w:lvlText w:val="%1、"/>
      <w:lvlJc w:val="left"/>
    </w:lvl>
  </w:abstractNum>
  <w:abstractNum w:abstractNumId="41">
    <w:nsid w:val="5F1EB943"/>
    <w:multiLevelType w:val="singleLevel"/>
    <w:tmpl w:val="5F1EB943"/>
    <w:lvl w:ilvl="0" w:tentative="0">
      <w:start w:val="1"/>
      <w:numFmt w:val="decimal"/>
      <w:suff w:val="nothing"/>
      <w:lvlText w:val="%1．"/>
      <w:lvlJc w:val="left"/>
      <w:pPr>
        <w:ind w:left="0" w:firstLine="400"/>
      </w:pPr>
      <w:rPr>
        <w:rFonts w:hint="default"/>
      </w:rPr>
    </w:lvl>
  </w:abstractNum>
  <w:abstractNum w:abstractNumId="42">
    <w:nsid w:val="641723FF"/>
    <w:multiLevelType w:val="multilevel"/>
    <w:tmpl w:val="641723FF"/>
    <w:lvl w:ilvl="0" w:tentative="0">
      <w:start w:val="1"/>
      <w:numFmt w:val="decimal"/>
      <w:pStyle w:val="13"/>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3">
    <w:nsid w:val="65DFCA2E"/>
    <w:multiLevelType w:val="singleLevel"/>
    <w:tmpl w:val="65DFCA2E"/>
    <w:lvl w:ilvl="0" w:tentative="0">
      <w:start w:val="1"/>
      <w:numFmt w:val="decimal"/>
      <w:suff w:val="nothing"/>
      <w:lvlText w:val="%1．"/>
      <w:lvlJc w:val="left"/>
      <w:pPr>
        <w:ind w:left="0" w:firstLine="400"/>
      </w:pPr>
      <w:rPr>
        <w:rFonts w:hint="default"/>
      </w:rPr>
    </w:lvl>
  </w:abstractNum>
  <w:abstractNum w:abstractNumId="44">
    <w:nsid w:val="6D82DFDB"/>
    <w:multiLevelType w:val="singleLevel"/>
    <w:tmpl w:val="6D82DFDB"/>
    <w:lvl w:ilvl="0" w:tentative="0">
      <w:start w:val="1"/>
      <w:numFmt w:val="decimal"/>
      <w:suff w:val="nothing"/>
      <w:lvlText w:val="%1．"/>
      <w:lvlJc w:val="left"/>
      <w:pPr>
        <w:ind w:left="0" w:firstLine="400"/>
      </w:pPr>
      <w:rPr>
        <w:rFonts w:hint="default"/>
      </w:rPr>
    </w:lvl>
  </w:abstractNum>
  <w:abstractNum w:abstractNumId="45">
    <w:nsid w:val="6DE11870"/>
    <w:multiLevelType w:val="multilevel"/>
    <w:tmpl w:val="6DE11870"/>
    <w:lvl w:ilvl="0" w:tentative="0">
      <w:start w:val="1"/>
      <w:numFmt w:val="decimal"/>
      <w:pStyle w:val="16"/>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6">
    <w:nsid w:val="6FA69AE3"/>
    <w:multiLevelType w:val="singleLevel"/>
    <w:tmpl w:val="6FA69AE3"/>
    <w:lvl w:ilvl="0" w:tentative="0">
      <w:start w:val="1"/>
      <w:numFmt w:val="decimal"/>
      <w:suff w:val="nothing"/>
      <w:lvlText w:val="%1．"/>
      <w:lvlJc w:val="left"/>
      <w:pPr>
        <w:ind w:left="0" w:firstLine="400"/>
      </w:pPr>
      <w:rPr>
        <w:rFonts w:hint="default"/>
      </w:rPr>
    </w:lvl>
  </w:abstractNum>
  <w:abstractNum w:abstractNumId="47">
    <w:nsid w:val="7B69D95F"/>
    <w:multiLevelType w:val="singleLevel"/>
    <w:tmpl w:val="7B69D95F"/>
    <w:lvl w:ilvl="0" w:tentative="0">
      <w:start w:val="1"/>
      <w:numFmt w:val="bullet"/>
      <w:lvlText w:val=""/>
      <w:lvlJc w:val="left"/>
      <w:pPr>
        <w:ind w:left="420" w:hanging="420"/>
      </w:pPr>
      <w:rPr>
        <w:rFonts w:hint="default" w:ascii="Wingdings" w:hAnsi="Wingdings"/>
      </w:rPr>
    </w:lvl>
  </w:abstractNum>
  <w:abstractNum w:abstractNumId="48">
    <w:nsid w:val="7E34C879"/>
    <w:multiLevelType w:val="singleLevel"/>
    <w:tmpl w:val="7E34C879"/>
    <w:lvl w:ilvl="0" w:tentative="0">
      <w:start w:val="1"/>
      <w:numFmt w:val="decimal"/>
      <w:lvlText w:val="(%1)"/>
      <w:lvlJc w:val="left"/>
      <w:pPr>
        <w:tabs>
          <w:tab w:val="left" w:pos="420"/>
        </w:tabs>
        <w:ind w:left="845" w:hanging="425"/>
      </w:pPr>
      <w:rPr>
        <w:rFonts w:hint="default"/>
      </w:rPr>
    </w:lvl>
  </w:abstractNum>
  <w:num w:numId="1">
    <w:abstractNumId w:val="42"/>
  </w:num>
  <w:num w:numId="2">
    <w:abstractNumId w:val="45"/>
  </w:num>
  <w:num w:numId="3">
    <w:abstractNumId w:val="29"/>
  </w:num>
  <w:num w:numId="4">
    <w:abstractNumId w:val="15"/>
  </w:num>
  <w:num w:numId="5">
    <w:abstractNumId w:val="21"/>
  </w:num>
  <w:num w:numId="6">
    <w:abstractNumId w:val="5"/>
  </w:num>
  <w:num w:numId="7">
    <w:abstractNumId w:val="18"/>
  </w:num>
  <w:num w:numId="8">
    <w:abstractNumId w:val="25"/>
  </w:num>
  <w:num w:numId="9">
    <w:abstractNumId w:val="6"/>
  </w:num>
  <w:num w:numId="10">
    <w:abstractNumId w:val="30"/>
  </w:num>
  <w:num w:numId="11">
    <w:abstractNumId w:val="48"/>
  </w:num>
  <w:num w:numId="12">
    <w:abstractNumId w:val="0"/>
  </w:num>
  <w:num w:numId="13">
    <w:abstractNumId w:val="24"/>
  </w:num>
  <w:num w:numId="14">
    <w:abstractNumId w:val="34"/>
  </w:num>
  <w:num w:numId="15">
    <w:abstractNumId w:val="47"/>
  </w:num>
  <w:num w:numId="16">
    <w:abstractNumId w:val="4"/>
  </w:num>
  <w:num w:numId="17">
    <w:abstractNumId w:val="44"/>
  </w:num>
  <w:num w:numId="18">
    <w:abstractNumId w:val="13"/>
  </w:num>
  <w:num w:numId="19">
    <w:abstractNumId w:val="43"/>
  </w:num>
  <w:num w:numId="20">
    <w:abstractNumId w:val="22"/>
  </w:num>
  <w:num w:numId="21">
    <w:abstractNumId w:val="33"/>
  </w:num>
  <w:num w:numId="22">
    <w:abstractNumId w:val="14"/>
  </w:num>
  <w:num w:numId="23">
    <w:abstractNumId w:val="37"/>
  </w:num>
  <w:num w:numId="24">
    <w:abstractNumId w:val="39"/>
  </w:num>
  <w:num w:numId="25">
    <w:abstractNumId w:val="12"/>
  </w:num>
  <w:num w:numId="26">
    <w:abstractNumId w:val="3"/>
  </w:num>
  <w:num w:numId="27">
    <w:abstractNumId w:val="31"/>
  </w:num>
  <w:num w:numId="28">
    <w:abstractNumId w:val="7"/>
  </w:num>
  <w:num w:numId="29">
    <w:abstractNumId w:val="11"/>
  </w:num>
  <w:num w:numId="30">
    <w:abstractNumId w:val="9"/>
  </w:num>
  <w:num w:numId="31">
    <w:abstractNumId w:val="32"/>
  </w:num>
  <w:num w:numId="32">
    <w:abstractNumId w:val="19"/>
  </w:num>
  <w:num w:numId="33">
    <w:abstractNumId w:val="28"/>
  </w:num>
  <w:num w:numId="34">
    <w:abstractNumId w:val="10"/>
  </w:num>
  <w:num w:numId="35">
    <w:abstractNumId w:val="35"/>
  </w:num>
  <w:num w:numId="36">
    <w:abstractNumId w:val="1"/>
  </w:num>
  <w:num w:numId="37">
    <w:abstractNumId w:val="23"/>
  </w:num>
  <w:num w:numId="38">
    <w:abstractNumId w:val="20"/>
  </w:num>
  <w:num w:numId="39">
    <w:abstractNumId w:val="27"/>
  </w:num>
  <w:num w:numId="40">
    <w:abstractNumId w:val="26"/>
  </w:num>
  <w:num w:numId="41">
    <w:abstractNumId w:val="36"/>
  </w:num>
  <w:num w:numId="42">
    <w:abstractNumId w:val="38"/>
  </w:num>
  <w:num w:numId="43">
    <w:abstractNumId w:val="46"/>
  </w:num>
  <w:num w:numId="44">
    <w:abstractNumId w:val="41"/>
  </w:num>
  <w:num w:numId="45">
    <w:abstractNumId w:val="17"/>
  </w:num>
  <w:num w:numId="46">
    <w:abstractNumId w:val="16"/>
  </w:num>
  <w:num w:numId="47">
    <w:abstractNumId w:val="40"/>
  </w:num>
  <w:num w:numId="48">
    <w:abstractNumId w:val="2"/>
  </w:num>
  <w:num w:numId="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FBE"/>
    <w:rsid w:val="0000025A"/>
    <w:rsid w:val="00001CC1"/>
    <w:rsid w:val="000035F4"/>
    <w:rsid w:val="000037F0"/>
    <w:rsid w:val="00011721"/>
    <w:rsid w:val="000138E8"/>
    <w:rsid w:val="00015136"/>
    <w:rsid w:val="0001591E"/>
    <w:rsid w:val="00015D46"/>
    <w:rsid w:val="00017060"/>
    <w:rsid w:val="000202BD"/>
    <w:rsid w:val="00025F4A"/>
    <w:rsid w:val="00026A02"/>
    <w:rsid w:val="00030E74"/>
    <w:rsid w:val="00031467"/>
    <w:rsid w:val="0003254D"/>
    <w:rsid w:val="00032E39"/>
    <w:rsid w:val="00034AF2"/>
    <w:rsid w:val="00036D69"/>
    <w:rsid w:val="000404A4"/>
    <w:rsid w:val="00041C10"/>
    <w:rsid w:val="00042B4E"/>
    <w:rsid w:val="00042EB3"/>
    <w:rsid w:val="00045487"/>
    <w:rsid w:val="0004607A"/>
    <w:rsid w:val="000501FA"/>
    <w:rsid w:val="00050C78"/>
    <w:rsid w:val="000522E6"/>
    <w:rsid w:val="0005297E"/>
    <w:rsid w:val="00055443"/>
    <w:rsid w:val="000559D6"/>
    <w:rsid w:val="00055E6D"/>
    <w:rsid w:val="00056173"/>
    <w:rsid w:val="0005637F"/>
    <w:rsid w:val="00057D5B"/>
    <w:rsid w:val="000604C8"/>
    <w:rsid w:val="00060F38"/>
    <w:rsid w:val="000613C9"/>
    <w:rsid w:val="00061709"/>
    <w:rsid w:val="00061751"/>
    <w:rsid w:val="0006421C"/>
    <w:rsid w:val="00064331"/>
    <w:rsid w:val="0006488C"/>
    <w:rsid w:val="00066FF5"/>
    <w:rsid w:val="00071D0C"/>
    <w:rsid w:val="00073925"/>
    <w:rsid w:val="000745F6"/>
    <w:rsid w:val="0007498A"/>
    <w:rsid w:val="00080A0E"/>
    <w:rsid w:val="000839F9"/>
    <w:rsid w:val="00084E75"/>
    <w:rsid w:val="00085C83"/>
    <w:rsid w:val="00087CAA"/>
    <w:rsid w:val="00090D1F"/>
    <w:rsid w:val="00090FF6"/>
    <w:rsid w:val="0009249B"/>
    <w:rsid w:val="00092B40"/>
    <w:rsid w:val="00093E97"/>
    <w:rsid w:val="000943A3"/>
    <w:rsid w:val="00094405"/>
    <w:rsid w:val="00094BA4"/>
    <w:rsid w:val="00097898"/>
    <w:rsid w:val="000979EB"/>
    <w:rsid w:val="000A06EB"/>
    <w:rsid w:val="000A1C87"/>
    <w:rsid w:val="000A1CDE"/>
    <w:rsid w:val="000A1D3B"/>
    <w:rsid w:val="000A2B27"/>
    <w:rsid w:val="000A5003"/>
    <w:rsid w:val="000A587C"/>
    <w:rsid w:val="000A7A8F"/>
    <w:rsid w:val="000B1739"/>
    <w:rsid w:val="000B18F5"/>
    <w:rsid w:val="000B46DF"/>
    <w:rsid w:val="000B58E3"/>
    <w:rsid w:val="000C250F"/>
    <w:rsid w:val="000C2DAF"/>
    <w:rsid w:val="000C30E1"/>
    <w:rsid w:val="000C37C9"/>
    <w:rsid w:val="000C5DBD"/>
    <w:rsid w:val="000D2071"/>
    <w:rsid w:val="000D331A"/>
    <w:rsid w:val="000D4D96"/>
    <w:rsid w:val="000D57D1"/>
    <w:rsid w:val="000D788C"/>
    <w:rsid w:val="000D7C23"/>
    <w:rsid w:val="000D7FEC"/>
    <w:rsid w:val="000E1050"/>
    <w:rsid w:val="000E1852"/>
    <w:rsid w:val="000E1EAA"/>
    <w:rsid w:val="000E1EEA"/>
    <w:rsid w:val="000E3154"/>
    <w:rsid w:val="000E77D9"/>
    <w:rsid w:val="000F12CA"/>
    <w:rsid w:val="000F3297"/>
    <w:rsid w:val="000F444F"/>
    <w:rsid w:val="000F4473"/>
    <w:rsid w:val="000F58E0"/>
    <w:rsid w:val="000F6102"/>
    <w:rsid w:val="000F64D5"/>
    <w:rsid w:val="0010080A"/>
    <w:rsid w:val="0010157A"/>
    <w:rsid w:val="00105903"/>
    <w:rsid w:val="0011181B"/>
    <w:rsid w:val="0011211A"/>
    <w:rsid w:val="00112B47"/>
    <w:rsid w:val="001148C6"/>
    <w:rsid w:val="00115094"/>
    <w:rsid w:val="001200F0"/>
    <w:rsid w:val="0012516A"/>
    <w:rsid w:val="001266F7"/>
    <w:rsid w:val="00127E3B"/>
    <w:rsid w:val="0013455A"/>
    <w:rsid w:val="00134E45"/>
    <w:rsid w:val="0013792B"/>
    <w:rsid w:val="00140519"/>
    <w:rsid w:val="00144132"/>
    <w:rsid w:val="001443A3"/>
    <w:rsid w:val="0014477F"/>
    <w:rsid w:val="00144E22"/>
    <w:rsid w:val="00145FC1"/>
    <w:rsid w:val="00153938"/>
    <w:rsid w:val="00154FA3"/>
    <w:rsid w:val="001568D6"/>
    <w:rsid w:val="001603BB"/>
    <w:rsid w:val="00160F1A"/>
    <w:rsid w:val="001613F6"/>
    <w:rsid w:val="00161742"/>
    <w:rsid w:val="00162AC7"/>
    <w:rsid w:val="00163C6B"/>
    <w:rsid w:val="00163CF5"/>
    <w:rsid w:val="00163D3F"/>
    <w:rsid w:val="00164038"/>
    <w:rsid w:val="0016454E"/>
    <w:rsid w:val="00164B17"/>
    <w:rsid w:val="00166F73"/>
    <w:rsid w:val="0017056C"/>
    <w:rsid w:val="001719C5"/>
    <w:rsid w:val="0017260C"/>
    <w:rsid w:val="0017509E"/>
    <w:rsid w:val="00176C19"/>
    <w:rsid w:val="00181D19"/>
    <w:rsid w:val="00182B31"/>
    <w:rsid w:val="0018410D"/>
    <w:rsid w:val="001843C6"/>
    <w:rsid w:val="00184735"/>
    <w:rsid w:val="00184FB7"/>
    <w:rsid w:val="001858A6"/>
    <w:rsid w:val="00186FFB"/>
    <w:rsid w:val="00187352"/>
    <w:rsid w:val="00187590"/>
    <w:rsid w:val="00187674"/>
    <w:rsid w:val="00190477"/>
    <w:rsid w:val="00194B73"/>
    <w:rsid w:val="00195532"/>
    <w:rsid w:val="00195F5B"/>
    <w:rsid w:val="001967ED"/>
    <w:rsid w:val="001A0A45"/>
    <w:rsid w:val="001A1F36"/>
    <w:rsid w:val="001A24A9"/>
    <w:rsid w:val="001A5AD8"/>
    <w:rsid w:val="001A6304"/>
    <w:rsid w:val="001B0AEC"/>
    <w:rsid w:val="001B4607"/>
    <w:rsid w:val="001B51FE"/>
    <w:rsid w:val="001B6084"/>
    <w:rsid w:val="001B68D8"/>
    <w:rsid w:val="001C031F"/>
    <w:rsid w:val="001C09CF"/>
    <w:rsid w:val="001C42CD"/>
    <w:rsid w:val="001C441C"/>
    <w:rsid w:val="001C4DD1"/>
    <w:rsid w:val="001C4DE4"/>
    <w:rsid w:val="001C6E99"/>
    <w:rsid w:val="001C78A7"/>
    <w:rsid w:val="001D25B6"/>
    <w:rsid w:val="001D2793"/>
    <w:rsid w:val="001D6435"/>
    <w:rsid w:val="001D67D5"/>
    <w:rsid w:val="001E4700"/>
    <w:rsid w:val="001E6BA1"/>
    <w:rsid w:val="001F1D58"/>
    <w:rsid w:val="001F2B86"/>
    <w:rsid w:val="001F4CF7"/>
    <w:rsid w:val="001F6B29"/>
    <w:rsid w:val="001F72A2"/>
    <w:rsid w:val="001F7AB6"/>
    <w:rsid w:val="001F7C4A"/>
    <w:rsid w:val="00200224"/>
    <w:rsid w:val="00201004"/>
    <w:rsid w:val="00202DB8"/>
    <w:rsid w:val="00204B71"/>
    <w:rsid w:val="00207178"/>
    <w:rsid w:val="002122DB"/>
    <w:rsid w:val="00213994"/>
    <w:rsid w:val="00213B07"/>
    <w:rsid w:val="002152F0"/>
    <w:rsid w:val="00216EB4"/>
    <w:rsid w:val="00221913"/>
    <w:rsid w:val="00221953"/>
    <w:rsid w:val="00226E86"/>
    <w:rsid w:val="00226F50"/>
    <w:rsid w:val="00230A4E"/>
    <w:rsid w:val="00232602"/>
    <w:rsid w:val="00232F13"/>
    <w:rsid w:val="00233085"/>
    <w:rsid w:val="0023344E"/>
    <w:rsid w:val="00234F46"/>
    <w:rsid w:val="00237051"/>
    <w:rsid w:val="002372E3"/>
    <w:rsid w:val="002408C8"/>
    <w:rsid w:val="0024232D"/>
    <w:rsid w:val="00242A24"/>
    <w:rsid w:val="002434B6"/>
    <w:rsid w:val="002447B7"/>
    <w:rsid w:val="002452ED"/>
    <w:rsid w:val="002510A9"/>
    <w:rsid w:val="0025343D"/>
    <w:rsid w:val="002539A2"/>
    <w:rsid w:val="00254E25"/>
    <w:rsid w:val="0026022B"/>
    <w:rsid w:val="002662A3"/>
    <w:rsid w:val="0026685D"/>
    <w:rsid w:val="0026688A"/>
    <w:rsid w:val="00266937"/>
    <w:rsid w:val="00267608"/>
    <w:rsid w:val="00267CCE"/>
    <w:rsid w:val="00270528"/>
    <w:rsid w:val="0027327B"/>
    <w:rsid w:val="00277B3D"/>
    <w:rsid w:val="00280DA6"/>
    <w:rsid w:val="00281B19"/>
    <w:rsid w:val="00282430"/>
    <w:rsid w:val="00283762"/>
    <w:rsid w:val="00283A95"/>
    <w:rsid w:val="00283DBA"/>
    <w:rsid w:val="00287043"/>
    <w:rsid w:val="002A0D60"/>
    <w:rsid w:val="002A1458"/>
    <w:rsid w:val="002A2966"/>
    <w:rsid w:val="002A2D74"/>
    <w:rsid w:val="002A350A"/>
    <w:rsid w:val="002A5605"/>
    <w:rsid w:val="002A75FF"/>
    <w:rsid w:val="002B0321"/>
    <w:rsid w:val="002B1E3C"/>
    <w:rsid w:val="002B4EEF"/>
    <w:rsid w:val="002B510A"/>
    <w:rsid w:val="002B5196"/>
    <w:rsid w:val="002B5982"/>
    <w:rsid w:val="002B6139"/>
    <w:rsid w:val="002C1486"/>
    <w:rsid w:val="002C549E"/>
    <w:rsid w:val="002C55D2"/>
    <w:rsid w:val="002D39A3"/>
    <w:rsid w:val="002D3BB1"/>
    <w:rsid w:val="002D4566"/>
    <w:rsid w:val="002D4C27"/>
    <w:rsid w:val="002D4D08"/>
    <w:rsid w:val="002D6292"/>
    <w:rsid w:val="002D6B47"/>
    <w:rsid w:val="002D73CD"/>
    <w:rsid w:val="002E272E"/>
    <w:rsid w:val="002E2BEE"/>
    <w:rsid w:val="002E3121"/>
    <w:rsid w:val="002E3D90"/>
    <w:rsid w:val="002E41DB"/>
    <w:rsid w:val="002E5D7F"/>
    <w:rsid w:val="002F3D28"/>
    <w:rsid w:val="002F603A"/>
    <w:rsid w:val="003032C9"/>
    <w:rsid w:val="003034D2"/>
    <w:rsid w:val="00305221"/>
    <w:rsid w:val="00306305"/>
    <w:rsid w:val="0030784B"/>
    <w:rsid w:val="00311320"/>
    <w:rsid w:val="00312109"/>
    <w:rsid w:val="00313655"/>
    <w:rsid w:val="00313C6B"/>
    <w:rsid w:val="00314DA9"/>
    <w:rsid w:val="00317FBE"/>
    <w:rsid w:val="0032495C"/>
    <w:rsid w:val="00325B6A"/>
    <w:rsid w:val="0032613D"/>
    <w:rsid w:val="00327F94"/>
    <w:rsid w:val="00330393"/>
    <w:rsid w:val="0033149C"/>
    <w:rsid w:val="00335987"/>
    <w:rsid w:val="00345C73"/>
    <w:rsid w:val="00345F39"/>
    <w:rsid w:val="0034601A"/>
    <w:rsid w:val="00347C07"/>
    <w:rsid w:val="00350C68"/>
    <w:rsid w:val="00353396"/>
    <w:rsid w:val="00354041"/>
    <w:rsid w:val="00356AA8"/>
    <w:rsid w:val="003618CD"/>
    <w:rsid w:val="003630D0"/>
    <w:rsid w:val="00366D40"/>
    <w:rsid w:val="00367C72"/>
    <w:rsid w:val="00367ED7"/>
    <w:rsid w:val="00371962"/>
    <w:rsid w:val="003751EF"/>
    <w:rsid w:val="00375E93"/>
    <w:rsid w:val="00392253"/>
    <w:rsid w:val="003977AF"/>
    <w:rsid w:val="00397B28"/>
    <w:rsid w:val="00397FCB"/>
    <w:rsid w:val="003A118C"/>
    <w:rsid w:val="003A17D7"/>
    <w:rsid w:val="003A21C4"/>
    <w:rsid w:val="003A3CE9"/>
    <w:rsid w:val="003A52B2"/>
    <w:rsid w:val="003B0382"/>
    <w:rsid w:val="003C0650"/>
    <w:rsid w:val="003C0693"/>
    <w:rsid w:val="003C430F"/>
    <w:rsid w:val="003C6FB6"/>
    <w:rsid w:val="003C70A4"/>
    <w:rsid w:val="003D111D"/>
    <w:rsid w:val="003D1A1D"/>
    <w:rsid w:val="003D441F"/>
    <w:rsid w:val="003D655A"/>
    <w:rsid w:val="003D71E5"/>
    <w:rsid w:val="003D79E7"/>
    <w:rsid w:val="003E284D"/>
    <w:rsid w:val="003E2AB8"/>
    <w:rsid w:val="003E5143"/>
    <w:rsid w:val="003E69EF"/>
    <w:rsid w:val="003E7AC3"/>
    <w:rsid w:val="003F281F"/>
    <w:rsid w:val="003F310F"/>
    <w:rsid w:val="003F34D7"/>
    <w:rsid w:val="003F440F"/>
    <w:rsid w:val="003F491A"/>
    <w:rsid w:val="003F6B3A"/>
    <w:rsid w:val="003F7C56"/>
    <w:rsid w:val="00403094"/>
    <w:rsid w:val="00405EBF"/>
    <w:rsid w:val="004076A6"/>
    <w:rsid w:val="00407BB7"/>
    <w:rsid w:val="004105ED"/>
    <w:rsid w:val="004120D4"/>
    <w:rsid w:val="00412FF5"/>
    <w:rsid w:val="004137FE"/>
    <w:rsid w:val="0041720E"/>
    <w:rsid w:val="00417342"/>
    <w:rsid w:val="0043001F"/>
    <w:rsid w:val="004307A3"/>
    <w:rsid w:val="004341AA"/>
    <w:rsid w:val="00434685"/>
    <w:rsid w:val="00434C28"/>
    <w:rsid w:val="0043524F"/>
    <w:rsid w:val="00437350"/>
    <w:rsid w:val="0043763D"/>
    <w:rsid w:val="00440896"/>
    <w:rsid w:val="00445CFD"/>
    <w:rsid w:val="004468DE"/>
    <w:rsid w:val="00447A63"/>
    <w:rsid w:val="0045047B"/>
    <w:rsid w:val="004537CA"/>
    <w:rsid w:val="0045693A"/>
    <w:rsid w:val="004574CF"/>
    <w:rsid w:val="00460B52"/>
    <w:rsid w:val="0046116C"/>
    <w:rsid w:val="00461887"/>
    <w:rsid w:val="0046220A"/>
    <w:rsid w:val="00462D41"/>
    <w:rsid w:val="00462EDE"/>
    <w:rsid w:val="00464FB5"/>
    <w:rsid w:val="00465A03"/>
    <w:rsid w:val="00465C7B"/>
    <w:rsid w:val="004673A3"/>
    <w:rsid w:val="004700E2"/>
    <w:rsid w:val="00470586"/>
    <w:rsid w:val="00470BCA"/>
    <w:rsid w:val="00471405"/>
    <w:rsid w:val="004725F2"/>
    <w:rsid w:val="00475E8A"/>
    <w:rsid w:val="00477053"/>
    <w:rsid w:val="00477109"/>
    <w:rsid w:val="0048641F"/>
    <w:rsid w:val="00486775"/>
    <w:rsid w:val="0049040C"/>
    <w:rsid w:val="00492413"/>
    <w:rsid w:val="00492B7F"/>
    <w:rsid w:val="00492C6B"/>
    <w:rsid w:val="00492E09"/>
    <w:rsid w:val="00493CA6"/>
    <w:rsid w:val="004943E8"/>
    <w:rsid w:val="00495E2B"/>
    <w:rsid w:val="00495E3C"/>
    <w:rsid w:val="004A020F"/>
    <w:rsid w:val="004A2044"/>
    <w:rsid w:val="004B067B"/>
    <w:rsid w:val="004B2E62"/>
    <w:rsid w:val="004B5EC6"/>
    <w:rsid w:val="004B6762"/>
    <w:rsid w:val="004B6CFF"/>
    <w:rsid w:val="004B7F6E"/>
    <w:rsid w:val="004C16D5"/>
    <w:rsid w:val="004C1B9D"/>
    <w:rsid w:val="004C216A"/>
    <w:rsid w:val="004C32D6"/>
    <w:rsid w:val="004C3684"/>
    <w:rsid w:val="004C60E9"/>
    <w:rsid w:val="004D0206"/>
    <w:rsid w:val="004D048E"/>
    <w:rsid w:val="004D0C51"/>
    <w:rsid w:val="004D0DD6"/>
    <w:rsid w:val="004D13B1"/>
    <w:rsid w:val="004D150A"/>
    <w:rsid w:val="004D29FF"/>
    <w:rsid w:val="004D626B"/>
    <w:rsid w:val="004D6905"/>
    <w:rsid w:val="004D6F27"/>
    <w:rsid w:val="004D7553"/>
    <w:rsid w:val="004D7C4C"/>
    <w:rsid w:val="004E0302"/>
    <w:rsid w:val="004E0F9A"/>
    <w:rsid w:val="004E21F5"/>
    <w:rsid w:val="004E4CB6"/>
    <w:rsid w:val="004E6BA4"/>
    <w:rsid w:val="004E7787"/>
    <w:rsid w:val="004F0B26"/>
    <w:rsid w:val="004F0FCE"/>
    <w:rsid w:val="004F1662"/>
    <w:rsid w:val="004F202B"/>
    <w:rsid w:val="004F3507"/>
    <w:rsid w:val="004F3EE4"/>
    <w:rsid w:val="004F42C4"/>
    <w:rsid w:val="004F5477"/>
    <w:rsid w:val="004F7E99"/>
    <w:rsid w:val="004F7FE8"/>
    <w:rsid w:val="0050000D"/>
    <w:rsid w:val="00500645"/>
    <w:rsid w:val="005019B3"/>
    <w:rsid w:val="00503042"/>
    <w:rsid w:val="00503AA5"/>
    <w:rsid w:val="00504E09"/>
    <w:rsid w:val="00516B63"/>
    <w:rsid w:val="005206C3"/>
    <w:rsid w:val="00521C7F"/>
    <w:rsid w:val="00522CAF"/>
    <w:rsid w:val="00526755"/>
    <w:rsid w:val="00526C59"/>
    <w:rsid w:val="00530109"/>
    <w:rsid w:val="00530BB1"/>
    <w:rsid w:val="0053248E"/>
    <w:rsid w:val="00532B43"/>
    <w:rsid w:val="00533248"/>
    <w:rsid w:val="005345B3"/>
    <w:rsid w:val="00537959"/>
    <w:rsid w:val="00537FA7"/>
    <w:rsid w:val="00541249"/>
    <w:rsid w:val="00541A28"/>
    <w:rsid w:val="00543072"/>
    <w:rsid w:val="005507B7"/>
    <w:rsid w:val="0055158F"/>
    <w:rsid w:val="005527B8"/>
    <w:rsid w:val="00557FFD"/>
    <w:rsid w:val="005618A8"/>
    <w:rsid w:val="00561DC5"/>
    <w:rsid w:val="005630BA"/>
    <w:rsid w:val="00565484"/>
    <w:rsid w:val="005661C0"/>
    <w:rsid w:val="00566AE5"/>
    <w:rsid w:val="00566D88"/>
    <w:rsid w:val="005701DE"/>
    <w:rsid w:val="0057111D"/>
    <w:rsid w:val="00574EF9"/>
    <w:rsid w:val="00574FBB"/>
    <w:rsid w:val="00576E2C"/>
    <w:rsid w:val="005770DF"/>
    <w:rsid w:val="00577127"/>
    <w:rsid w:val="00580F00"/>
    <w:rsid w:val="005827EF"/>
    <w:rsid w:val="00583761"/>
    <w:rsid w:val="0058503E"/>
    <w:rsid w:val="0058622B"/>
    <w:rsid w:val="00587A9A"/>
    <w:rsid w:val="005964EA"/>
    <w:rsid w:val="005A002A"/>
    <w:rsid w:val="005A010C"/>
    <w:rsid w:val="005A130D"/>
    <w:rsid w:val="005A1ACF"/>
    <w:rsid w:val="005A1B31"/>
    <w:rsid w:val="005A7C49"/>
    <w:rsid w:val="005B06FB"/>
    <w:rsid w:val="005B350D"/>
    <w:rsid w:val="005B6142"/>
    <w:rsid w:val="005B681E"/>
    <w:rsid w:val="005C0C63"/>
    <w:rsid w:val="005C0E04"/>
    <w:rsid w:val="005C19C0"/>
    <w:rsid w:val="005C6B3F"/>
    <w:rsid w:val="005D46CD"/>
    <w:rsid w:val="005D4A96"/>
    <w:rsid w:val="005D5E1B"/>
    <w:rsid w:val="005D7FC7"/>
    <w:rsid w:val="005E32BA"/>
    <w:rsid w:val="005E654C"/>
    <w:rsid w:val="005E7132"/>
    <w:rsid w:val="005F26B4"/>
    <w:rsid w:val="005F2D62"/>
    <w:rsid w:val="005F2D88"/>
    <w:rsid w:val="005F4D1B"/>
    <w:rsid w:val="005F4FB8"/>
    <w:rsid w:val="005F6C39"/>
    <w:rsid w:val="005F79FD"/>
    <w:rsid w:val="00600060"/>
    <w:rsid w:val="00600341"/>
    <w:rsid w:val="00602E21"/>
    <w:rsid w:val="00603612"/>
    <w:rsid w:val="0060380C"/>
    <w:rsid w:val="00603FC0"/>
    <w:rsid w:val="0060545C"/>
    <w:rsid w:val="00605AF4"/>
    <w:rsid w:val="00606E06"/>
    <w:rsid w:val="00607AAE"/>
    <w:rsid w:val="00613372"/>
    <w:rsid w:val="0062425C"/>
    <w:rsid w:val="00624392"/>
    <w:rsid w:val="006262D0"/>
    <w:rsid w:val="00626C87"/>
    <w:rsid w:val="006270E1"/>
    <w:rsid w:val="00633F76"/>
    <w:rsid w:val="00635A21"/>
    <w:rsid w:val="006371A6"/>
    <w:rsid w:val="00640C70"/>
    <w:rsid w:val="006411C0"/>
    <w:rsid w:val="006444C5"/>
    <w:rsid w:val="00644AED"/>
    <w:rsid w:val="006457E3"/>
    <w:rsid w:val="00646067"/>
    <w:rsid w:val="00647592"/>
    <w:rsid w:val="0065067F"/>
    <w:rsid w:val="006506AA"/>
    <w:rsid w:val="00652FD2"/>
    <w:rsid w:val="006531B2"/>
    <w:rsid w:val="006542CD"/>
    <w:rsid w:val="006544E3"/>
    <w:rsid w:val="00654780"/>
    <w:rsid w:val="00655B0E"/>
    <w:rsid w:val="006566B1"/>
    <w:rsid w:val="0065776D"/>
    <w:rsid w:val="0066048B"/>
    <w:rsid w:val="006607A7"/>
    <w:rsid w:val="00664BDC"/>
    <w:rsid w:val="00665DFD"/>
    <w:rsid w:val="00682742"/>
    <w:rsid w:val="0068504F"/>
    <w:rsid w:val="00690CFF"/>
    <w:rsid w:val="00690F83"/>
    <w:rsid w:val="0069131A"/>
    <w:rsid w:val="006923E4"/>
    <w:rsid w:val="00693444"/>
    <w:rsid w:val="006938F3"/>
    <w:rsid w:val="006A06BA"/>
    <w:rsid w:val="006A31FD"/>
    <w:rsid w:val="006A482E"/>
    <w:rsid w:val="006A68D0"/>
    <w:rsid w:val="006A7262"/>
    <w:rsid w:val="006A778E"/>
    <w:rsid w:val="006B1CA2"/>
    <w:rsid w:val="006B5B1F"/>
    <w:rsid w:val="006B608F"/>
    <w:rsid w:val="006B6A8F"/>
    <w:rsid w:val="006C059F"/>
    <w:rsid w:val="006C0C12"/>
    <w:rsid w:val="006C3BD9"/>
    <w:rsid w:val="006C5238"/>
    <w:rsid w:val="006C641F"/>
    <w:rsid w:val="006D0972"/>
    <w:rsid w:val="006D09C6"/>
    <w:rsid w:val="006D3640"/>
    <w:rsid w:val="006D64A1"/>
    <w:rsid w:val="006D65A8"/>
    <w:rsid w:val="006D73CA"/>
    <w:rsid w:val="006E086A"/>
    <w:rsid w:val="006E2A3C"/>
    <w:rsid w:val="006E4E59"/>
    <w:rsid w:val="006E5367"/>
    <w:rsid w:val="006E67C2"/>
    <w:rsid w:val="006F033A"/>
    <w:rsid w:val="006F4513"/>
    <w:rsid w:val="006F5547"/>
    <w:rsid w:val="00701BD2"/>
    <w:rsid w:val="00703DFE"/>
    <w:rsid w:val="0070413B"/>
    <w:rsid w:val="007066D4"/>
    <w:rsid w:val="00706F94"/>
    <w:rsid w:val="00711281"/>
    <w:rsid w:val="0071168F"/>
    <w:rsid w:val="007133A7"/>
    <w:rsid w:val="00714D40"/>
    <w:rsid w:val="0071607F"/>
    <w:rsid w:val="00716992"/>
    <w:rsid w:val="00717FBE"/>
    <w:rsid w:val="00720A4F"/>
    <w:rsid w:val="00721700"/>
    <w:rsid w:val="00722CCB"/>
    <w:rsid w:val="007238B9"/>
    <w:rsid w:val="00723E53"/>
    <w:rsid w:val="007256CA"/>
    <w:rsid w:val="00731786"/>
    <w:rsid w:val="00740830"/>
    <w:rsid w:val="00741369"/>
    <w:rsid w:val="007420A7"/>
    <w:rsid w:val="00742819"/>
    <w:rsid w:val="00742F45"/>
    <w:rsid w:val="007454AA"/>
    <w:rsid w:val="00746398"/>
    <w:rsid w:val="00746A57"/>
    <w:rsid w:val="00747674"/>
    <w:rsid w:val="00747F36"/>
    <w:rsid w:val="00751D07"/>
    <w:rsid w:val="00751D77"/>
    <w:rsid w:val="00754AB3"/>
    <w:rsid w:val="00756186"/>
    <w:rsid w:val="007647EC"/>
    <w:rsid w:val="00765AAB"/>
    <w:rsid w:val="00770034"/>
    <w:rsid w:val="00771DDD"/>
    <w:rsid w:val="0077232D"/>
    <w:rsid w:val="00772782"/>
    <w:rsid w:val="00772943"/>
    <w:rsid w:val="00772DBD"/>
    <w:rsid w:val="0077469F"/>
    <w:rsid w:val="00774992"/>
    <w:rsid w:val="007805C7"/>
    <w:rsid w:val="00781678"/>
    <w:rsid w:val="0078362A"/>
    <w:rsid w:val="00790F04"/>
    <w:rsid w:val="0079359D"/>
    <w:rsid w:val="007941ED"/>
    <w:rsid w:val="00794800"/>
    <w:rsid w:val="007949C9"/>
    <w:rsid w:val="007A02ED"/>
    <w:rsid w:val="007A0B2E"/>
    <w:rsid w:val="007A117E"/>
    <w:rsid w:val="007A1406"/>
    <w:rsid w:val="007A17EB"/>
    <w:rsid w:val="007A1D06"/>
    <w:rsid w:val="007A1E93"/>
    <w:rsid w:val="007A2211"/>
    <w:rsid w:val="007A3CB2"/>
    <w:rsid w:val="007A4BE9"/>
    <w:rsid w:val="007A4DCD"/>
    <w:rsid w:val="007A4FBC"/>
    <w:rsid w:val="007A5E90"/>
    <w:rsid w:val="007A7FF2"/>
    <w:rsid w:val="007B0B00"/>
    <w:rsid w:val="007C15BB"/>
    <w:rsid w:val="007C2C88"/>
    <w:rsid w:val="007C39DB"/>
    <w:rsid w:val="007C3B8F"/>
    <w:rsid w:val="007C4D0F"/>
    <w:rsid w:val="007C505D"/>
    <w:rsid w:val="007C5D39"/>
    <w:rsid w:val="007C6A54"/>
    <w:rsid w:val="007C6DEE"/>
    <w:rsid w:val="007C797E"/>
    <w:rsid w:val="007D0365"/>
    <w:rsid w:val="007D3F32"/>
    <w:rsid w:val="007D40E3"/>
    <w:rsid w:val="007D42D4"/>
    <w:rsid w:val="007D6B9C"/>
    <w:rsid w:val="007E0CC3"/>
    <w:rsid w:val="007E1506"/>
    <w:rsid w:val="007E1B9A"/>
    <w:rsid w:val="007E410D"/>
    <w:rsid w:val="007E4DF5"/>
    <w:rsid w:val="007E59B5"/>
    <w:rsid w:val="007E6600"/>
    <w:rsid w:val="007E752E"/>
    <w:rsid w:val="007F215E"/>
    <w:rsid w:val="007F622F"/>
    <w:rsid w:val="007F7FBD"/>
    <w:rsid w:val="00800DE7"/>
    <w:rsid w:val="0080561C"/>
    <w:rsid w:val="00806B0F"/>
    <w:rsid w:val="00812188"/>
    <w:rsid w:val="00813D5B"/>
    <w:rsid w:val="008143A5"/>
    <w:rsid w:val="008153C6"/>
    <w:rsid w:val="00816D37"/>
    <w:rsid w:val="00817EFC"/>
    <w:rsid w:val="00820225"/>
    <w:rsid w:val="00824507"/>
    <w:rsid w:val="00824D2A"/>
    <w:rsid w:val="00825638"/>
    <w:rsid w:val="00831D3E"/>
    <w:rsid w:val="00834967"/>
    <w:rsid w:val="00834AB9"/>
    <w:rsid w:val="00835A5B"/>
    <w:rsid w:val="00836D1E"/>
    <w:rsid w:val="00837C31"/>
    <w:rsid w:val="0084192B"/>
    <w:rsid w:val="00841B4E"/>
    <w:rsid w:val="00841F1F"/>
    <w:rsid w:val="008447E2"/>
    <w:rsid w:val="00845A18"/>
    <w:rsid w:val="0084601B"/>
    <w:rsid w:val="00850352"/>
    <w:rsid w:val="00850D6C"/>
    <w:rsid w:val="00852693"/>
    <w:rsid w:val="008527E2"/>
    <w:rsid w:val="00852A18"/>
    <w:rsid w:val="00853B02"/>
    <w:rsid w:val="008540D8"/>
    <w:rsid w:val="00854DBF"/>
    <w:rsid w:val="00854F0A"/>
    <w:rsid w:val="00856D3F"/>
    <w:rsid w:val="008571D4"/>
    <w:rsid w:val="00860099"/>
    <w:rsid w:val="00860F92"/>
    <w:rsid w:val="00862E74"/>
    <w:rsid w:val="008630CF"/>
    <w:rsid w:val="00863205"/>
    <w:rsid w:val="00863AA6"/>
    <w:rsid w:val="0086405A"/>
    <w:rsid w:val="00865708"/>
    <w:rsid w:val="00866030"/>
    <w:rsid w:val="0086685B"/>
    <w:rsid w:val="00873F7F"/>
    <w:rsid w:val="00875802"/>
    <w:rsid w:val="008767C2"/>
    <w:rsid w:val="00876FE0"/>
    <w:rsid w:val="00881677"/>
    <w:rsid w:val="00881B22"/>
    <w:rsid w:val="00883AF0"/>
    <w:rsid w:val="00884CE1"/>
    <w:rsid w:val="00885632"/>
    <w:rsid w:val="008863D7"/>
    <w:rsid w:val="0088691B"/>
    <w:rsid w:val="008879E8"/>
    <w:rsid w:val="00887D37"/>
    <w:rsid w:val="00892D18"/>
    <w:rsid w:val="00895CE2"/>
    <w:rsid w:val="008A35CC"/>
    <w:rsid w:val="008A389F"/>
    <w:rsid w:val="008A52F9"/>
    <w:rsid w:val="008B0EAE"/>
    <w:rsid w:val="008B14D4"/>
    <w:rsid w:val="008B1740"/>
    <w:rsid w:val="008B36B7"/>
    <w:rsid w:val="008B3A60"/>
    <w:rsid w:val="008B3DCC"/>
    <w:rsid w:val="008B3EE4"/>
    <w:rsid w:val="008B4E9D"/>
    <w:rsid w:val="008B5CE5"/>
    <w:rsid w:val="008B5DE4"/>
    <w:rsid w:val="008B63ED"/>
    <w:rsid w:val="008B72F5"/>
    <w:rsid w:val="008B7CD5"/>
    <w:rsid w:val="008B7DC8"/>
    <w:rsid w:val="008C3CCF"/>
    <w:rsid w:val="008C63E2"/>
    <w:rsid w:val="008D0DFF"/>
    <w:rsid w:val="008D11C5"/>
    <w:rsid w:val="008D1CA5"/>
    <w:rsid w:val="008D2B04"/>
    <w:rsid w:val="008D3DC8"/>
    <w:rsid w:val="008D4A85"/>
    <w:rsid w:val="008D761B"/>
    <w:rsid w:val="008D7DB6"/>
    <w:rsid w:val="008E071B"/>
    <w:rsid w:val="008E0F66"/>
    <w:rsid w:val="008E1797"/>
    <w:rsid w:val="008E62C8"/>
    <w:rsid w:val="008F0A38"/>
    <w:rsid w:val="008F2CC1"/>
    <w:rsid w:val="008F488E"/>
    <w:rsid w:val="008F5610"/>
    <w:rsid w:val="008F7594"/>
    <w:rsid w:val="0090119A"/>
    <w:rsid w:val="00901E6E"/>
    <w:rsid w:val="0090228C"/>
    <w:rsid w:val="00902733"/>
    <w:rsid w:val="00903B2E"/>
    <w:rsid w:val="0090571D"/>
    <w:rsid w:val="00906DFB"/>
    <w:rsid w:val="009073FB"/>
    <w:rsid w:val="009145A2"/>
    <w:rsid w:val="009153BC"/>
    <w:rsid w:val="00915E4E"/>
    <w:rsid w:val="00916BB0"/>
    <w:rsid w:val="0091775E"/>
    <w:rsid w:val="009178D0"/>
    <w:rsid w:val="00917E73"/>
    <w:rsid w:val="00917EF0"/>
    <w:rsid w:val="00921EB3"/>
    <w:rsid w:val="0092282C"/>
    <w:rsid w:val="00923A58"/>
    <w:rsid w:val="009249F8"/>
    <w:rsid w:val="00930BA8"/>
    <w:rsid w:val="0093281F"/>
    <w:rsid w:val="0093785D"/>
    <w:rsid w:val="00940BBF"/>
    <w:rsid w:val="00943BC8"/>
    <w:rsid w:val="00944741"/>
    <w:rsid w:val="00946A18"/>
    <w:rsid w:val="00950FF3"/>
    <w:rsid w:val="00951580"/>
    <w:rsid w:val="009539A2"/>
    <w:rsid w:val="009539F3"/>
    <w:rsid w:val="009550F2"/>
    <w:rsid w:val="0095737E"/>
    <w:rsid w:val="00957BA4"/>
    <w:rsid w:val="00957F04"/>
    <w:rsid w:val="00960D9D"/>
    <w:rsid w:val="00962F90"/>
    <w:rsid w:val="00965393"/>
    <w:rsid w:val="00965885"/>
    <w:rsid w:val="00965F40"/>
    <w:rsid w:val="00966CEF"/>
    <w:rsid w:val="00971572"/>
    <w:rsid w:val="00973266"/>
    <w:rsid w:val="009743FD"/>
    <w:rsid w:val="00974FBE"/>
    <w:rsid w:val="00975A8E"/>
    <w:rsid w:val="0097668C"/>
    <w:rsid w:val="009766A1"/>
    <w:rsid w:val="00976A77"/>
    <w:rsid w:val="0097746C"/>
    <w:rsid w:val="00977776"/>
    <w:rsid w:val="00980747"/>
    <w:rsid w:val="00980C44"/>
    <w:rsid w:val="00983278"/>
    <w:rsid w:val="0098366F"/>
    <w:rsid w:val="00984782"/>
    <w:rsid w:val="00984E74"/>
    <w:rsid w:val="00986CB3"/>
    <w:rsid w:val="0099174A"/>
    <w:rsid w:val="009946C9"/>
    <w:rsid w:val="00994B9D"/>
    <w:rsid w:val="00995EBC"/>
    <w:rsid w:val="00997A29"/>
    <w:rsid w:val="009A0068"/>
    <w:rsid w:val="009A1381"/>
    <w:rsid w:val="009A22B8"/>
    <w:rsid w:val="009A3005"/>
    <w:rsid w:val="009A5355"/>
    <w:rsid w:val="009A627B"/>
    <w:rsid w:val="009A6797"/>
    <w:rsid w:val="009A6D84"/>
    <w:rsid w:val="009A7882"/>
    <w:rsid w:val="009B22B7"/>
    <w:rsid w:val="009B3A51"/>
    <w:rsid w:val="009B7465"/>
    <w:rsid w:val="009C6164"/>
    <w:rsid w:val="009C6AB8"/>
    <w:rsid w:val="009C761C"/>
    <w:rsid w:val="009D0232"/>
    <w:rsid w:val="009D0EC8"/>
    <w:rsid w:val="009D34ED"/>
    <w:rsid w:val="009D436A"/>
    <w:rsid w:val="009D7FCF"/>
    <w:rsid w:val="009E09CB"/>
    <w:rsid w:val="009E22E7"/>
    <w:rsid w:val="009E25ED"/>
    <w:rsid w:val="009E3BB3"/>
    <w:rsid w:val="009E4587"/>
    <w:rsid w:val="009E5E84"/>
    <w:rsid w:val="009E6073"/>
    <w:rsid w:val="009F1945"/>
    <w:rsid w:val="009F1FBA"/>
    <w:rsid w:val="009F2A5C"/>
    <w:rsid w:val="009F4B23"/>
    <w:rsid w:val="009F4DCC"/>
    <w:rsid w:val="009F51EC"/>
    <w:rsid w:val="009F5A70"/>
    <w:rsid w:val="009F636D"/>
    <w:rsid w:val="00A02599"/>
    <w:rsid w:val="00A0280C"/>
    <w:rsid w:val="00A03400"/>
    <w:rsid w:val="00A06D5A"/>
    <w:rsid w:val="00A07964"/>
    <w:rsid w:val="00A1043F"/>
    <w:rsid w:val="00A12827"/>
    <w:rsid w:val="00A15FDB"/>
    <w:rsid w:val="00A208F6"/>
    <w:rsid w:val="00A220E2"/>
    <w:rsid w:val="00A26FA5"/>
    <w:rsid w:val="00A27D3E"/>
    <w:rsid w:val="00A27F2E"/>
    <w:rsid w:val="00A31392"/>
    <w:rsid w:val="00A35E28"/>
    <w:rsid w:val="00A416A5"/>
    <w:rsid w:val="00A41CDC"/>
    <w:rsid w:val="00A44F9F"/>
    <w:rsid w:val="00A4648E"/>
    <w:rsid w:val="00A4744B"/>
    <w:rsid w:val="00A47B0E"/>
    <w:rsid w:val="00A52FA5"/>
    <w:rsid w:val="00A558DC"/>
    <w:rsid w:val="00A6086B"/>
    <w:rsid w:val="00A60970"/>
    <w:rsid w:val="00A61171"/>
    <w:rsid w:val="00A6337F"/>
    <w:rsid w:val="00A64FF4"/>
    <w:rsid w:val="00A71092"/>
    <w:rsid w:val="00A72D91"/>
    <w:rsid w:val="00A767E4"/>
    <w:rsid w:val="00A775F2"/>
    <w:rsid w:val="00A7767F"/>
    <w:rsid w:val="00A825C8"/>
    <w:rsid w:val="00A82E91"/>
    <w:rsid w:val="00A82F39"/>
    <w:rsid w:val="00A83F86"/>
    <w:rsid w:val="00A851FF"/>
    <w:rsid w:val="00A852A7"/>
    <w:rsid w:val="00A8622E"/>
    <w:rsid w:val="00A869A9"/>
    <w:rsid w:val="00A90B85"/>
    <w:rsid w:val="00A92DEE"/>
    <w:rsid w:val="00A93771"/>
    <w:rsid w:val="00A941EE"/>
    <w:rsid w:val="00A97026"/>
    <w:rsid w:val="00AA0F8D"/>
    <w:rsid w:val="00AA36B8"/>
    <w:rsid w:val="00AA587A"/>
    <w:rsid w:val="00AB202E"/>
    <w:rsid w:val="00AB20E9"/>
    <w:rsid w:val="00AB590A"/>
    <w:rsid w:val="00AB6F47"/>
    <w:rsid w:val="00AC0B0F"/>
    <w:rsid w:val="00AC194F"/>
    <w:rsid w:val="00AC2070"/>
    <w:rsid w:val="00AC44A1"/>
    <w:rsid w:val="00AC44F6"/>
    <w:rsid w:val="00AC4A05"/>
    <w:rsid w:val="00AC5F87"/>
    <w:rsid w:val="00AC6830"/>
    <w:rsid w:val="00AC7DFE"/>
    <w:rsid w:val="00AD14B2"/>
    <w:rsid w:val="00AD1EAD"/>
    <w:rsid w:val="00AD2938"/>
    <w:rsid w:val="00AD5ADE"/>
    <w:rsid w:val="00AD6AD1"/>
    <w:rsid w:val="00AD71F6"/>
    <w:rsid w:val="00AE169A"/>
    <w:rsid w:val="00AE4371"/>
    <w:rsid w:val="00AE44AF"/>
    <w:rsid w:val="00AE45F5"/>
    <w:rsid w:val="00AE5BFD"/>
    <w:rsid w:val="00AE6075"/>
    <w:rsid w:val="00AE6F8F"/>
    <w:rsid w:val="00AE73AD"/>
    <w:rsid w:val="00AE755A"/>
    <w:rsid w:val="00AF2013"/>
    <w:rsid w:val="00AF3DB1"/>
    <w:rsid w:val="00AF3E73"/>
    <w:rsid w:val="00AF4BAE"/>
    <w:rsid w:val="00AF6D01"/>
    <w:rsid w:val="00AF70AD"/>
    <w:rsid w:val="00B00312"/>
    <w:rsid w:val="00B01703"/>
    <w:rsid w:val="00B04D98"/>
    <w:rsid w:val="00B05578"/>
    <w:rsid w:val="00B06906"/>
    <w:rsid w:val="00B06B5E"/>
    <w:rsid w:val="00B06F67"/>
    <w:rsid w:val="00B07230"/>
    <w:rsid w:val="00B076F8"/>
    <w:rsid w:val="00B10FCB"/>
    <w:rsid w:val="00B11F97"/>
    <w:rsid w:val="00B16BAF"/>
    <w:rsid w:val="00B21805"/>
    <w:rsid w:val="00B234F6"/>
    <w:rsid w:val="00B24D66"/>
    <w:rsid w:val="00B25010"/>
    <w:rsid w:val="00B25637"/>
    <w:rsid w:val="00B26DF0"/>
    <w:rsid w:val="00B273CA"/>
    <w:rsid w:val="00B27E1C"/>
    <w:rsid w:val="00B27E49"/>
    <w:rsid w:val="00B303E7"/>
    <w:rsid w:val="00B333BE"/>
    <w:rsid w:val="00B3632A"/>
    <w:rsid w:val="00B4367A"/>
    <w:rsid w:val="00B440A3"/>
    <w:rsid w:val="00B45C49"/>
    <w:rsid w:val="00B46ACC"/>
    <w:rsid w:val="00B47A71"/>
    <w:rsid w:val="00B51B99"/>
    <w:rsid w:val="00B53BCC"/>
    <w:rsid w:val="00B56F8E"/>
    <w:rsid w:val="00B57506"/>
    <w:rsid w:val="00B601B8"/>
    <w:rsid w:val="00B613C7"/>
    <w:rsid w:val="00B627FD"/>
    <w:rsid w:val="00B72636"/>
    <w:rsid w:val="00B72B6B"/>
    <w:rsid w:val="00B734A3"/>
    <w:rsid w:val="00B74E07"/>
    <w:rsid w:val="00B757B0"/>
    <w:rsid w:val="00B774DD"/>
    <w:rsid w:val="00B7754F"/>
    <w:rsid w:val="00B81E5E"/>
    <w:rsid w:val="00B8205F"/>
    <w:rsid w:val="00B83A8F"/>
    <w:rsid w:val="00B84D2E"/>
    <w:rsid w:val="00B87A61"/>
    <w:rsid w:val="00B939AC"/>
    <w:rsid w:val="00B948A0"/>
    <w:rsid w:val="00B954D6"/>
    <w:rsid w:val="00B972D7"/>
    <w:rsid w:val="00B97E4A"/>
    <w:rsid w:val="00BA1774"/>
    <w:rsid w:val="00BA31C9"/>
    <w:rsid w:val="00BA5BA6"/>
    <w:rsid w:val="00BB033B"/>
    <w:rsid w:val="00BB2CD1"/>
    <w:rsid w:val="00BB3FF1"/>
    <w:rsid w:val="00BB4E29"/>
    <w:rsid w:val="00BB534A"/>
    <w:rsid w:val="00BB6D81"/>
    <w:rsid w:val="00BC0B4A"/>
    <w:rsid w:val="00BC3172"/>
    <w:rsid w:val="00BC588C"/>
    <w:rsid w:val="00BC710C"/>
    <w:rsid w:val="00BD054F"/>
    <w:rsid w:val="00BD224C"/>
    <w:rsid w:val="00BD23F2"/>
    <w:rsid w:val="00BD4341"/>
    <w:rsid w:val="00BD6EF0"/>
    <w:rsid w:val="00BE073B"/>
    <w:rsid w:val="00BE1E83"/>
    <w:rsid w:val="00BE2CD7"/>
    <w:rsid w:val="00BE30C3"/>
    <w:rsid w:val="00BE3E96"/>
    <w:rsid w:val="00BE4293"/>
    <w:rsid w:val="00BF3167"/>
    <w:rsid w:val="00BF4E44"/>
    <w:rsid w:val="00BF5EF7"/>
    <w:rsid w:val="00C028CC"/>
    <w:rsid w:val="00C02E8B"/>
    <w:rsid w:val="00C12049"/>
    <w:rsid w:val="00C1235B"/>
    <w:rsid w:val="00C13BEA"/>
    <w:rsid w:val="00C1406E"/>
    <w:rsid w:val="00C1483A"/>
    <w:rsid w:val="00C14A02"/>
    <w:rsid w:val="00C15DA0"/>
    <w:rsid w:val="00C16FE9"/>
    <w:rsid w:val="00C178DB"/>
    <w:rsid w:val="00C201E6"/>
    <w:rsid w:val="00C22097"/>
    <w:rsid w:val="00C228FA"/>
    <w:rsid w:val="00C25B05"/>
    <w:rsid w:val="00C26519"/>
    <w:rsid w:val="00C26FC4"/>
    <w:rsid w:val="00C2766D"/>
    <w:rsid w:val="00C27CFE"/>
    <w:rsid w:val="00C30EEC"/>
    <w:rsid w:val="00C3196C"/>
    <w:rsid w:val="00C34B63"/>
    <w:rsid w:val="00C369E9"/>
    <w:rsid w:val="00C376AD"/>
    <w:rsid w:val="00C37E7D"/>
    <w:rsid w:val="00C416C2"/>
    <w:rsid w:val="00C423A8"/>
    <w:rsid w:val="00C426AE"/>
    <w:rsid w:val="00C43374"/>
    <w:rsid w:val="00C433DB"/>
    <w:rsid w:val="00C438F0"/>
    <w:rsid w:val="00C44887"/>
    <w:rsid w:val="00C45722"/>
    <w:rsid w:val="00C47B02"/>
    <w:rsid w:val="00C5040F"/>
    <w:rsid w:val="00C53349"/>
    <w:rsid w:val="00C54AAD"/>
    <w:rsid w:val="00C564FA"/>
    <w:rsid w:val="00C5747E"/>
    <w:rsid w:val="00C57981"/>
    <w:rsid w:val="00C62C73"/>
    <w:rsid w:val="00C6573F"/>
    <w:rsid w:val="00C6688C"/>
    <w:rsid w:val="00C66F21"/>
    <w:rsid w:val="00C713DA"/>
    <w:rsid w:val="00C72AF5"/>
    <w:rsid w:val="00C75619"/>
    <w:rsid w:val="00C75EF1"/>
    <w:rsid w:val="00C7782D"/>
    <w:rsid w:val="00C82B0E"/>
    <w:rsid w:val="00C82F96"/>
    <w:rsid w:val="00C8440C"/>
    <w:rsid w:val="00C8580C"/>
    <w:rsid w:val="00C860FF"/>
    <w:rsid w:val="00C90A69"/>
    <w:rsid w:val="00C91706"/>
    <w:rsid w:val="00C92EBB"/>
    <w:rsid w:val="00C94CCC"/>
    <w:rsid w:val="00C951F9"/>
    <w:rsid w:val="00C96BA0"/>
    <w:rsid w:val="00C96C28"/>
    <w:rsid w:val="00C97DD4"/>
    <w:rsid w:val="00C97FDC"/>
    <w:rsid w:val="00CA15E8"/>
    <w:rsid w:val="00CA2440"/>
    <w:rsid w:val="00CA3316"/>
    <w:rsid w:val="00CA621E"/>
    <w:rsid w:val="00CA6E64"/>
    <w:rsid w:val="00CA7433"/>
    <w:rsid w:val="00CB0E34"/>
    <w:rsid w:val="00CB15A0"/>
    <w:rsid w:val="00CB1F87"/>
    <w:rsid w:val="00CB3300"/>
    <w:rsid w:val="00CB6D94"/>
    <w:rsid w:val="00CB6F74"/>
    <w:rsid w:val="00CB716F"/>
    <w:rsid w:val="00CC1016"/>
    <w:rsid w:val="00CC1641"/>
    <w:rsid w:val="00CC1A04"/>
    <w:rsid w:val="00CC1B34"/>
    <w:rsid w:val="00CC1B6E"/>
    <w:rsid w:val="00CC38DF"/>
    <w:rsid w:val="00CC3E73"/>
    <w:rsid w:val="00CC4133"/>
    <w:rsid w:val="00CC51B0"/>
    <w:rsid w:val="00CC5980"/>
    <w:rsid w:val="00CC5CB8"/>
    <w:rsid w:val="00CC6722"/>
    <w:rsid w:val="00CC6FE4"/>
    <w:rsid w:val="00CC70BF"/>
    <w:rsid w:val="00CD134A"/>
    <w:rsid w:val="00CD1628"/>
    <w:rsid w:val="00CD2193"/>
    <w:rsid w:val="00CD269D"/>
    <w:rsid w:val="00CE068C"/>
    <w:rsid w:val="00CE144F"/>
    <w:rsid w:val="00CE2597"/>
    <w:rsid w:val="00CE2A93"/>
    <w:rsid w:val="00CE359D"/>
    <w:rsid w:val="00CE3795"/>
    <w:rsid w:val="00CE4D92"/>
    <w:rsid w:val="00CE61FB"/>
    <w:rsid w:val="00CF1033"/>
    <w:rsid w:val="00CF1865"/>
    <w:rsid w:val="00CF393D"/>
    <w:rsid w:val="00CF393E"/>
    <w:rsid w:val="00CF4448"/>
    <w:rsid w:val="00CF4526"/>
    <w:rsid w:val="00CF5760"/>
    <w:rsid w:val="00CF7C79"/>
    <w:rsid w:val="00D00BCA"/>
    <w:rsid w:val="00D00FE8"/>
    <w:rsid w:val="00D026AE"/>
    <w:rsid w:val="00D0412A"/>
    <w:rsid w:val="00D044BD"/>
    <w:rsid w:val="00D05127"/>
    <w:rsid w:val="00D0616B"/>
    <w:rsid w:val="00D10DE4"/>
    <w:rsid w:val="00D115A1"/>
    <w:rsid w:val="00D116A9"/>
    <w:rsid w:val="00D1591F"/>
    <w:rsid w:val="00D16044"/>
    <w:rsid w:val="00D1689A"/>
    <w:rsid w:val="00D2256C"/>
    <w:rsid w:val="00D259BA"/>
    <w:rsid w:val="00D25AC3"/>
    <w:rsid w:val="00D27E7B"/>
    <w:rsid w:val="00D3031A"/>
    <w:rsid w:val="00D32582"/>
    <w:rsid w:val="00D32FF1"/>
    <w:rsid w:val="00D33AEF"/>
    <w:rsid w:val="00D374F5"/>
    <w:rsid w:val="00D37542"/>
    <w:rsid w:val="00D37D1D"/>
    <w:rsid w:val="00D405B7"/>
    <w:rsid w:val="00D40CB0"/>
    <w:rsid w:val="00D42FF4"/>
    <w:rsid w:val="00D438DD"/>
    <w:rsid w:val="00D45B1C"/>
    <w:rsid w:val="00D45F49"/>
    <w:rsid w:val="00D46B36"/>
    <w:rsid w:val="00D477C1"/>
    <w:rsid w:val="00D47DE8"/>
    <w:rsid w:val="00D50258"/>
    <w:rsid w:val="00D51912"/>
    <w:rsid w:val="00D51D81"/>
    <w:rsid w:val="00D5294D"/>
    <w:rsid w:val="00D551C7"/>
    <w:rsid w:val="00D56D8B"/>
    <w:rsid w:val="00D57109"/>
    <w:rsid w:val="00D57421"/>
    <w:rsid w:val="00D575E6"/>
    <w:rsid w:val="00D61D10"/>
    <w:rsid w:val="00D62454"/>
    <w:rsid w:val="00D70AC4"/>
    <w:rsid w:val="00D74CF3"/>
    <w:rsid w:val="00D75DB5"/>
    <w:rsid w:val="00D77E6B"/>
    <w:rsid w:val="00D818E5"/>
    <w:rsid w:val="00D822A3"/>
    <w:rsid w:val="00D8342B"/>
    <w:rsid w:val="00D83B39"/>
    <w:rsid w:val="00D84923"/>
    <w:rsid w:val="00D865C6"/>
    <w:rsid w:val="00D870D4"/>
    <w:rsid w:val="00D9046D"/>
    <w:rsid w:val="00D93B3F"/>
    <w:rsid w:val="00D9574A"/>
    <w:rsid w:val="00D979A1"/>
    <w:rsid w:val="00DA2CF3"/>
    <w:rsid w:val="00DA5D97"/>
    <w:rsid w:val="00DB082A"/>
    <w:rsid w:val="00DB28BD"/>
    <w:rsid w:val="00DB3344"/>
    <w:rsid w:val="00DB34B5"/>
    <w:rsid w:val="00DB45A5"/>
    <w:rsid w:val="00DB4CA6"/>
    <w:rsid w:val="00DB5C8D"/>
    <w:rsid w:val="00DB65A0"/>
    <w:rsid w:val="00DC1397"/>
    <w:rsid w:val="00DC3403"/>
    <w:rsid w:val="00DC4019"/>
    <w:rsid w:val="00DC78F1"/>
    <w:rsid w:val="00DD0004"/>
    <w:rsid w:val="00DD07CE"/>
    <w:rsid w:val="00DD53ED"/>
    <w:rsid w:val="00DD5C78"/>
    <w:rsid w:val="00DD6A80"/>
    <w:rsid w:val="00DD7428"/>
    <w:rsid w:val="00DE0130"/>
    <w:rsid w:val="00DE0DB4"/>
    <w:rsid w:val="00DE2D30"/>
    <w:rsid w:val="00DE3012"/>
    <w:rsid w:val="00DE338A"/>
    <w:rsid w:val="00DE3636"/>
    <w:rsid w:val="00DE49AD"/>
    <w:rsid w:val="00DE4CFC"/>
    <w:rsid w:val="00DE5E1C"/>
    <w:rsid w:val="00DE6680"/>
    <w:rsid w:val="00DE7EBE"/>
    <w:rsid w:val="00DF2D86"/>
    <w:rsid w:val="00DF4044"/>
    <w:rsid w:val="00DF48EE"/>
    <w:rsid w:val="00DF6A10"/>
    <w:rsid w:val="00E00EA5"/>
    <w:rsid w:val="00E0462E"/>
    <w:rsid w:val="00E059D1"/>
    <w:rsid w:val="00E061C1"/>
    <w:rsid w:val="00E06CCA"/>
    <w:rsid w:val="00E116B6"/>
    <w:rsid w:val="00E127AF"/>
    <w:rsid w:val="00E1516B"/>
    <w:rsid w:val="00E16DE7"/>
    <w:rsid w:val="00E16F67"/>
    <w:rsid w:val="00E20612"/>
    <w:rsid w:val="00E221EF"/>
    <w:rsid w:val="00E27ED1"/>
    <w:rsid w:val="00E30ACB"/>
    <w:rsid w:val="00E32B9F"/>
    <w:rsid w:val="00E33708"/>
    <w:rsid w:val="00E33F4B"/>
    <w:rsid w:val="00E35027"/>
    <w:rsid w:val="00E36879"/>
    <w:rsid w:val="00E36B29"/>
    <w:rsid w:val="00E37772"/>
    <w:rsid w:val="00E37FA9"/>
    <w:rsid w:val="00E40758"/>
    <w:rsid w:val="00E40F88"/>
    <w:rsid w:val="00E45E27"/>
    <w:rsid w:val="00E46FF9"/>
    <w:rsid w:val="00E479F6"/>
    <w:rsid w:val="00E50C26"/>
    <w:rsid w:val="00E51177"/>
    <w:rsid w:val="00E521C8"/>
    <w:rsid w:val="00E544B2"/>
    <w:rsid w:val="00E57012"/>
    <w:rsid w:val="00E666C3"/>
    <w:rsid w:val="00E66AD8"/>
    <w:rsid w:val="00E67979"/>
    <w:rsid w:val="00E714B1"/>
    <w:rsid w:val="00E721E4"/>
    <w:rsid w:val="00E74F68"/>
    <w:rsid w:val="00E755D8"/>
    <w:rsid w:val="00E75727"/>
    <w:rsid w:val="00E80206"/>
    <w:rsid w:val="00E8068A"/>
    <w:rsid w:val="00E8172F"/>
    <w:rsid w:val="00E830B3"/>
    <w:rsid w:val="00E84C31"/>
    <w:rsid w:val="00E8502D"/>
    <w:rsid w:val="00E8545D"/>
    <w:rsid w:val="00E864DD"/>
    <w:rsid w:val="00E86E4B"/>
    <w:rsid w:val="00E873D5"/>
    <w:rsid w:val="00E90B0A"/>
    <w:rsid w:val="00E926BB"/>
    <w:rsid w:val="00E93C39"/>
    <w:rsid w:val="00E945CE"/>
    <w:rsid w:val="00E946AD"/>
    <w:rsid w:val="00E9697F"/>
    <w:rsid w:val="00E96E50"/>
    <w:rsid w:val="00E97BB5"/>
    <w:rsid w:val="00EA3335"/>
    <w:rsid w:val="00EA33AB"/>
    <w:rsid w:val="00EA3A6C"/>
    <w:rsid w:val="00EA773C"/>
    <w:rsid w:val="00EA78B6"/>
    <w:rsid w:val="00EA7950"/>
    <w:rsid w:val="00EA79AF"/>
    <w:rsid w:val="00EA7F50"/>
    <w:rsid w:val="00EB16A5"/>
    <w:rsid w:val="00EB20B1"/>
    <w:rsid w:val="00EB713F"/>
    <w:rsid w:val="00EC00ED"/>
    <w:rsid w:val="00EC1034"/>
    <w:rsid w:val="00EC1F1A"/>
    <w:rsid w:val="00EC5011"/>
    <w:rsid w:val="00EC5F12"/>
    <w:rsid w:val="00ED25DF"/>
    <w:rsid w:val="00ED315D"/>
    <w:rsid w:val="00EE08B0"/>
    <w:rsid w:val="00EE265E"/>
    <w:rsid w:val="00EE4578"/>
    <w:rsid w:val="00EE47DC"/>
    <w:rsid w:val="00EF0786"/>
    <w:rsid w:val="00EF0B21"/>
    <w:rsid w:val="00EF2236"/>
    <w:rsid w:val="00EF34D3"/>
    <w:rsid w:val="00EF3E8B"/>
    <w:rsid w:val="00EF4F5D"/>
    <w:rsid w:val="00EF7453"/>
    <w:rsid w:val="00EF78A8"/>
    <w:rsid w:val="00F000C6"/>
    <w:rsid w:val="00F006BD"/>
    <w:rsid w:val="00F013B5"/>
    <w:rsid w:val="00F01936"/>
    <w:rsid w:val="00F05EC5"/>
    <w:rsid w:val="00F10401"/>
    <w:rsid w:val="00F15BDE"/>
    <w:rsid w:val="00F16CB9"/>
    <w:rsid w:val="00F17DAE"/>
    <w:rsid w:val="00F20EFD"/>
    <w:rsid w:val="00F25157"/>
    <w:rsid w:val="00F266D4"/>
    <w:rsid w:val="00F31F60"/>
    <w:rsid w:val="00F33890"/>
    <w:rsid w:val="00F33B48"/>
    <w:rsid w:val="00F34962"/>
    <w:rsid w:val="00F40F18"/>
    <w:rsid w:val="00F4120E"/>
    <w:rsid w:val="00F41536"/>
    <w:rsid w:val="00F418DF"/>
    <w:rsid w:val="00F43AF6"/>
    <w:rsid w:val="00F44001"/>
    <w:rsid w:val="00F46C8C"/>
    <w:rsid w:val="00F46F3A"/>
    <w:rsid w:val="00F47E49"/>
    <w:rsid w:val="00F51A4B"/>
    <w:rsid w:val="00F524F2"/>
    <w:rsid w:val="00F5419A"/>
    <w:rsid w:val="00F5451B"/>
    <w:rsid w:val="00F54B05"/>
    <w:rsid w:val="00F54B6A"/>
    <w:rsid w:val="00F555FF"/>
    <w:rsid w:val="00F57BC7"/>
    <w:rsid w:val="00F57ED1"/>
    <w:rsid w:val="00F609CD"/>
    <w:rsid w:val="00F61148"/>
    <w:rsid w:val="00F61C38"/>
    <w:rsid w:val="00F627DC"/>
    <w:rsid w:val="00F629C7"/>
    <w:rsid w:val="00F63C23"/>
    <w:rsid w:val="00F655E3"/>
    <w:rsid w:val="00F715F2"/>
    <w:rsid w:val="00F721E7"/>
    <w:rsid w:val="00F73D12"/>
    <w:rsid w:val="00F756C6"/>
    <w:rsid w:val="00F77980"/>
    <w:rsid w:val="00F779AA"/>
    <w:rsid w:val="00F82AF1"/>
    <w:rsid w:val="00F83187"/>
    <w:rsid w:val="00F84082"/>
    <w:rsid w:val="00F86BA5"/>
    <w:rsid w:val="00F87C39"/>
    <w:rsid w:val="00F902D3"/>
    <w:rsid w:val="00F905B6"/>
    <w:rsid w:val="00F92AF7"/>
    <w:rsid w:val="00F93D63"/>
    <w:rsid w:val="00F93DBA"/>
    <w:rsid w:val="00F954E4"/>
    <w:rsid w:val="00F95872"/>
    <w:rsid w:val="00F95F2A"/>
    <w:rsid w:val="00F96C4E"/>
    <w:rsid w:val="00F97D52"/>
    <w:rsid w:val="00FA0F8B"/>
    <w:rsid w:val="00FA262F"/>
    <w:rsid w:val="00FA3492"/>
    <w:rsid w:val="00FA3AE1"/>
    <w:rsid w:val="00FA49C0"/>
    <w:rsid w:val="00FA5B10"/>
    <w:rsid w:val="00FA5CD7"/>
    <w:rsid w:val="00FA688C"/>
    <w:rsid w:val="00FB08B6"/>
    <w:rsid w:val="00FB1CC5"/>
    <w:rsid w:val="00FB43F1"/>
    <w:rsid w:val="00FB5216"/>
    <w:rsid w:val="00FB76D3"/>
    <w:rsid w:val="00FC0FE8"/>
    <w:rsid w:val="00FC206D"/>
    <w:rsid w:val="00FC2217"/>
    <w:rsid w:val="00FC25B9"/>
    <w:rsid w:val="00FC2CE1"/>
    <w:rsid w:val="00FC3A91"/>
    <w:rsid w:val="00FC3F8F"/>
    <w:rsid w:val="00FC7C01"/>
    <w:rsid w:val="00FD0855"/>
    <w:rsid w:val="00FD0ED0"/>
    <w:rsid w:val="00FD1990"/>
    <w:rsid w:val="00FD1EC4"/>
    <w:rsid w:val="00FD5B33"/>
    <w:rsid w:val="00FD76AE"/>
    <w:rsid w:val="00FE166B"/>
    <w:rsid w:val="00FE1A60"/>
    <w:rsid w:val="00FE34AF"/>
    <w:rsid w:val="00FE6CE4"/>
    <w:rsid w:val="00FF1927"/>
    <w:rsid w:val="00FF1B75"/>
    <w:rsid w:val="00FF2A23"/>
    <w:rsid w:val="00FF2EAE"/>
    <w:rsid w:val="00FF3154"/>
    <w:rsid w:val="00FF5002"/>
    <w:rsid w:val="00FF60BC"/>
    <w:rsid w:val="00FF6519"/>
    <w:rsid w:val="010B6B80"/>
    <w:rsid w:val="01604E80"/>
    <w:rsid w:val="01A01AFA"/>
    <w:rsid w:val="01A9153E"/>
    <w:rsid w:val="01C64642"/>
    <w:rsid w:val="01CB5453"/>
    <w:rsid w:val="01E27923"/>
    <w:rsid w:val="0204567E"/>
    <w:rsid w:val="02062B58"/>
    <w:rsid w:val="02132159"/>
    <w:rsid w:val="02546A97"/>
    <w:rsid w:val="025D08EA"/>
    <w:rsid w:val="025F5776"/>
    <w:rsid w:val="02644C33"/>
    <w:rsid w:val="0269067C"/>
    <w:rsid w:val="02751313"/>
    <w:rsid w:val="02857F1F"/>
    <w:rsid w:val="02B779DA"/>
    <w:rsid w:val="02C741EC"/>
    <w:rsid w:val="02CB255D"/>
    <w:rsid w:val="02D70676"/>
    <w:rsid w:val="02F01C71"/>
    <w:rsid w:val="02F04BCE"/>
    <w:rsid w:val="02F95629"/>
    <w:rsid w:val="03137D7E"/>
    <w:rsid w:val="03210061"/>
    <w:rsid w:val="034657EF"/>
    <w:rsid w:val="034F488B"/>
    <w:rsid w:val="03640CE7"/>
    <w:rsid w:val="03A92A2C"/>
    <w:rsid w:val="03BD6858"/>
    <w:rsid w:val="03C26658"/>
    <w:rsid w:val="03D21196"/>
    <w:rsid w:val="03D52124"/>
    <w:rsid w:val="043B11C4"/>
    <w:rsid w:val="04415EE3"/>
    <w:rsid w:val="04642403"/>
    <w:rsid w:val="046B6B89"/>
    <w:rsid w:val="04707F81"/>
    <w:rsid w:val="0476275B"/>
    <w:rsid w:val="047775AF"/>
    <w:rsid w:val="04805806"/>
    <w:rsid w:val="0492451B"/>
    <w:rsid w:val="04960FA1"/>
    <w:rsid w:val="04CE27B5"/>
    <w:rsid w:val="04D12AAC"/>
    <w:rsid w:val="04DB3BDB"/>
    <w:rsid w:val="04DD2267"/>
    <w:rsid w:val="04DF68DD"/>
    <w:rsid w:val="04F02C74"/>
    <w:rsid w:val="050A4816"/>
    <w:rsid w:val="05242276"/>
    <w:rsid w:val="05273450"/>
    <w:rsid w:val="053E5083"/>
    <w:rsid w:val="05407F0F"/>
    <w:rsid w:val="054B15E0"/>
    <w:rsid w:val="056F500B"/>
    <w:rsid w:val="05AC2718"/>
    <w:rsid w:val="05B01605"/>
    <w:rsid w:val="06362A67"/>
    <w:rsid w:val="063F7978"/>
    <w:rsid w:val="066A7233"/>
    <w:rsid w:val="067C248B"/>
    <w:rsid w:val="06872211"/>
    <w:rsid w:val="0690677F"/>
    <w:rsid w:val="069F4357"/>
    <w:rsid w:val="06AF039D"/>
    <w:rsid w:val="06C705E9"/>
    <w:rsid w:val="06CB2A63"/>
    <w:rsid w:val="06D909EF"/>
    <w:rsid w:val="06E6032A"/>
    <w:rsid w:val="06F32C4C"/>
    <w:rsid w:val="07221759"/>
    <w:rsid w:val="072C1DB9"/>
    <w:rsid w:val="072E5B90"/>
    <w:rsid w:val="0755005F"/>
    <w:rsid w:val="07845EBA"/>
    <w:rsid w:val="078A58ED"/>
    <w:rsid w:val="078B11F7"/>
    <w:rsid w:val="078E7909"/>
    <w:rsid w:val="07996EB4"/>
    <w:rsid w:val="079E733B"/>
    <w:rsid w:val="07A36F1B"/>
    <w:rsid w:val="07A94598"/>
    <w:rsid w:val="07D945DC"/>
    <w:rsid w:val="07DB537C"/>
    <w:rsid w:val="08107785"/>
    <w:rsid w:val="082825E5"/>
    <w:rsid w:val="082D669C"/>
    <w:rsid w:val="088912F7"/>
    <w:rsid w:val="08B057F3"/>
    <w:rsid w:val="08BA6E3E"/>
    <w:rsid w:val="08D35F71"/>
    <w:rsid w:val="08FD503D"/>
    <w:rsid w:val="09293151"/>
    <w:rsid w:val="092D4ADB"/>
    <w:rsid w:val="093247D0"/>
    <w:rsid w:val="094445B2"/>
    <w:rsid w:val="094B0040"/>
    <w:rsid w:val="096B7ED1"/>
    <w:rsid w:val="096D0679"/>
    <w:rsid w:val="09874ADA"/>
    <w:rsid w:val="09A13A7B"/>
    <w:rsid w:val="09BB15AB"/>
    <w:rsid w:val="09C02513"/>
    <w:rsid w:val="09C943AD"/>
    <w:rsid w:val="09D51869"/>
    <w:rsid w:val="09E06DF4"/>
    <w:rsid w:val="0A0B4470"/>
    <w:rsid w:val="0A1B07A8"/>
    <w:rsid w:val="0A255C76"/>
    <w:rsid w:val="0A5A0A93"/>
    <w:rsid w:val="0A676977"/>
    <w:rsid w:val="0A6952B7"/>
    <w:rsid w:val="0A7E19BC"/>
    <w:rsid w:val="0A801E5D"/>
    <w:rsid w:val="0A9500F7"/>
    <w:rsid w:val="0AA07475"/>
    <w:rsid w:val="0AA07603"/>
    <w:rsid w:val="0ACF7D96"/>
    <w:rsid w:val="0ADB794D"/>
    <w:rsid w:val="0ADF300F"/>
    <w:rsid w:val="0AE36BBE"/>
    <w:rsid w:val="0AEB2A60"/>
    <w:rsid w:val="0AED2268"/>
    <w:rsid w:val="0AF461CA"/>
    <w:rsid w:val="0AFE662A"/>
    <w:rsid w:val="0B2769D5"/>
    <w:rsid w:val="0B3A136F"/>
    <w:rsid w:val="0B504A69"/>
    <w:rsid w:val="0B5673B8"/>
    <w:rsid w:val="0B656F36"/>
    <w:rsid w:val="0B6C28C5"/>
    <w:rsid w:val="0B955563"/>
    <w:rsid w:val="0B9C4FEC"/>
    <w:rsid w:val="0BA33880"/>
    <w:rsid w:val="0BA81580"/>
    <w:rsid w:val="0BF243BC"/>
    <w:rsid w:val="0C317937"/>
    <w:rsid w:val="0C3B2575"/>
    <w:rsid w:val="0C5F1564"/>
    <w:rsid w:val="0C68672E"/>
    <w:rsid w:val="0C7737E5"/>
    <w:rsid w:val="0C7C407F"/>
    <w:rsid w:val="0C94198B"/>
    <w:rsid w:val="0C974616"/>
    <w:rsid w:val="0C986D75"/>
    <w:rsid w:val="0CA8083B"/>
    <w:rsid w:val="0CA83953"/>
    <w:rsid w:val="0CD26A47"/>
    <w:rsid w:val="0CE64047"/>
    <w:rsid w:val="0D0431A0"/>
    <w:rsid w:val="0D105CC0"/>
    <w:rsid w:val="0D387753"/>
    <w:rsid w:val="0D684C0C"/>
    <w:rsid w:val="0D705975"/>
    <w:rsid w:val="0D7B4EC7"/>
    <w:rsid w:val="0D8D0D41"/>
    <w:rsid w:val="0DA11273"/>
    <w:rsid w:val="0DA30FAE"/>
    <w:rsid w:val="0DA424D8"/>
    <w:rsid w:val="0DDE177A"/>
    <w:rsid w:val="0DDE6170"/>
    <w:rsid w:val="0E1359FA"/>
    <w:rsid w:val="0E1B53A5"/>
    <w:rsid w:val="0E274777"/>
    <w:rsid w:val="0E305776"/>
    <w:rsid w:val="0E3777BE"/>
    <w:rsid w:val="0E3B795C"/>
    <w:rsid w:val="0E6827C3"/>
    <w:rsid w:val="0E6E1C90"/>
    <w:rsid w:val="0E8A4737"/>
    <w:rsid w:val="0E933D26"/>
    <w:rsid w:val="0EB05D52"/>
    <w:rsid w:val="0EB9303E"/>
    <w:rsid w:val="0EE43718"/>
    <w:rsid w:val="0EE90B68"/>
    <w:rsid w:val="0EEC50BC"/>
    <w:rsid w:val="0F223A71"/>
    <w:rsid w:val="0F333C8A"/>
    <w:rsid w:val="0F441053"/>
    <w:rsid w:val="0F6415F3"/>
    <w:rsid w:val="0F6D01FB"/>
    <w:rsid w:val="0F7B6DCF"/>
    <w:rsid w:val="0F80584B"/>
    <w:rsid w:val="0F9124E8"/>
    <w:rsid w:val="0F9470D3"/>
    <w:rsid w:val="0FB324F4"/>
    <w:rsid w:val="0FB622BB"/>
    <w:rsid w:val="0FBC0D1A"/>
    <w:rsid w:val="102927A5"/>
    <w:rsid w:val="102942B6"/>
    <w:rsid w:val="10377139"/>
    <w:rsid w:val="10475F34"/>
    <w:rsid w:val="104C58A2"/>
    <w:rsid w:val="10620D5D"/>
    <w:rsid w:val="10671982"/>
    <w:rsid w:val="10910D2D"/>
    <w:rsid w:val="10AE2011"/>
    <w:rsid w:val="10B95459"/>
    <w:rsid w:val="10C770AD"/>
    <w:rsid w:val="10CB2801"/>
    <w:rsid w:val="10D23EDD"/>
    <w:rsid w:val="10EC6D9B"/>
    <w:rsid w:val="11260209"/>
    <w:rsid w:val="114138F4"/>
    <w:rsid w:val="117F1B35"/>
    <w:rsid w:val="11970C71"/>
    <w:rsid w:val="11A842FF"/>
    <w:rsid w:val="11A84BDA"/>
    <w:rsid w:val="11BA4DA3"/>
    <w:rsid w:val="11C03118"/>
    <w:rsid w:val="11E5015A"/>
    <w:rsid w:val="120B1F32"/>
    <w:rsid w:val="120E0E48"/>
    <w:rsid w:val="123F4C14"/>
    <w:rsid w:val="12567E7B"/>
    <w:rsid w:val="126A132E"/>
    <w:rsid w:val="1276067B"/>
    <w:rsid w:val="12B1627A"/>
    <w:rsid w:val="12C36FD4"/>
    <w:rsid w:val="12CB1F54"/>
    <w:rsid w:val="12F12AA5"/>
    <w:rsid w:val="13094C4A"/>
    <w:rsid w:val="132450B4"/>
    <w:rsid w:val="13416B2E"/>
    <w:rsid w:val="13525B1D"/>
    <w:rsid w:val="136F32AE"/>
    <w:rsid w:val="13934DF1"/>
    <w:rsid w:val="13953125"/>
    <w:rsid w:val="13B8461E"/>
    <w:rsid w:val="13C0517C"/>
    <w:rsid w:val="13D70739"/>
    <w:rsid w:val="13F61959"/>
    <w:rsid w:val="1402655C"/>
    <w:rsid w:val="140734F7"/>
    <w:rsid w:val="14173CB8"/>
    <w:rsid w:val="141A42B8"/>
    <w:rsid w:val="14211693"/>
    <w:rsid w:val="14376E43"/>
    <w:rsid w:val="14541696"/>
    <w:rsid w:val="145F7E28"/>
    <w:rsid w:val="14780D27"/>
    <w:rsid w:val="147A2410"/>
    <w:rsid w:val="14852C6F"/>
    <w:rsid w:val="1488358C"/>
    <w:rsid w:val="148F2F85"/>
    <w:rsid w:val="14A502EF"/>
    <w:rsid w:val="14AF54DA"/>
    <w:rsid w:val="14C64C59"/>
    <w:rsid w:val="14F740A3"/>
    <w:rsid w:val="150724B3"/>
    <w:rsid w:val="15074434"/>
    <w:rsid w:val="15227A32"/>
    <w:rsid w:val="152B4D84"/>
    <w:rsid w:val="153769F7"/>
    <w:rsid w:val="15494825"/>
    <w:rsid w:val="155301FE"/>
    <w:rsid w:val="15871E93"/>
    <w:rsid w:val="15930009"/>
    <w:rsid w:val="159B0D62"/>
    <w:rsid w:val="159E521A"/>
    <w:rsid w:val="15C91F5E"/>
    <w:rsid w:val="15DF3010"/>
    <w:rsid w:val="15F003C1"/>
    <w:rsid w:val="15F61009"/>
    <w:rsid w:val="15FC3115"/>
    <w:rsid w:val="164A49E5"/>
    <w:rsid w:val="16883A58"/>
    <w:rsid w:val="168A004B"/>
    <w:rsid w:val="168C48D6"/>
    <w:rsid w:val="169F6B0D"/>
    <w:rsid w:val="16A27000"/>
    <w:rsid w:val="16A705A2"/>
    <w:rsid w:val="16AF0E7C"/>
    <w:rsid w:val="16B20B12"/>
    <w:rsid w:val="16C83D17"/>
    <w:rsid w:val="16E311A5"/>
    <w:rsid w:val="16E3518A"/>
    <w:rsid w:val="16E35BAB"/>
    <w:rsid w:val="16E952DD"/>
    <w:rsid w:val="17252E73"/>
    <w:rsid w:val="172E63EE"/>
    <w:rsid w:val="173D752B"/>
    <w:rsid w:val="173E3BF5"/>
    <w:rsid w:val="17435E46"/>
    <w:rsid w:val="17441767"/>
    <w:rsid w:val="17445402"/>
    <w:rsid w:val="17714319"/>
    <w:rsid w:val="17721C8E"/>
    <w:rsid w:val="178E71CD"/>
    <w:rsid w:val="17912574"/>
    <w:rsid w:val="17955AF0"/>
    <w:rsid w:val="179A05A8"/>
    <w:rsid w:val="179D7FD7"/>
    <w:rsid w:val="179E173F"/>
    <w:rsid w:val="17A650FC"/>
    <w:rsid w:val="17AB40AE"/>
    <w:rsid w:val="17BA677B"/>
    <w:rsid w:val="17CA2B8F"/>
    <w:rsid w:val="17D82FD7"/>
    <w:rsid w:val="17E65EE9"/>
    <w:rsid w:val="17F405EB"/>
    <w:rsid w:val="180339A2"/>
    <w:rsid w:val="18967A84"/>
    <w:rsid w:val="189B09C9"/>
    <w:rsid w:val="18B00122"/>
    <w:rsid w:val="18B20BDD"/>
    <w:rsid w:val="18B951B3"/>
    <w:rsid w:val="18C35170"/>
    <w:rsid w:val="18D21A5A"/>
    <w:rsid w:val="18E00489"/>
    <w:rsid w:val="18FB5A21"/>
    <w:rsid w:val="19282791"/>
    <w:rsid w:val="192C2D7A"/>
    <w:rsid w:val="19353DEC"/>
    <w:rsid w:val="194172E0"/>
    <w:rsid w:val="19810432"/>
    <w:rsid w:val="19AB0349"/>
    <w:rsid w:val="19BA2109"/>
    <w:rsid w:val="19BE3086"/>
    <w:rsid w:val="19C3541C"/>
    <w:rsid w:val="19E21D1C"/>
    <w:rsid w:val="19E92539"/>
    <w:rsid w:val="19EB3CD8"/>
    <w:rsid w:val="19F45009"/>
    <w:rsid w:val="1A093B60"/>
    <w:rsid w:val="1A0B3846"/>
    <w:rsid w:val="1A135EB3"/>
    <w:rsid w:val="1A26575C"/>
    <w:rsid w:val="1A4C0E92"/>
    <w:rsid w:val="1A5E1863"/>
    <w:rsid w:val="1A7F3A58"/>
    <w:rsid w:val="1A84474A"/>
    <w:rsid w:val="1A8B60FB"/>
    <w:rsid w:val="1AB83062"/>
    <w:rsid w:val="1AC502CF"/>
    <w:rsid w:val="1AD05C11"/>
    <w:rsid w:val="1B187A1B"/>
    <w:rsid w:val="1B200375"/>
    <w:rsid w:val="1B2F2124"/>
    <w:rsid w:val="1B3419FD"/>
    <w:rsid w:val="1B52032C"/>
    <w:rsid w:val="1B87118E"/>
    <w:rsid w:val="1BBB6955"/>
    <w:rsid w:val="1BD20383"/>
    <w:rsid w:val="1BE06630"/>
    <w:rsid w:val="1BEC5FB9"/>
    <w:rsid w:val="1BF90E89"/>
    <w:rsid w:val="1BFF3FFC"/>
    <w:rsid w:val="1C1B161C"/>
    <w:rsid w:val="1C69354A"/>
    <w:rsid w:val="1C6A6D50"/>
    <w:rsid w:val="1C7C1550"/>
    <w:rsid w:val="1C7F50C5"/>
    <w:rsid w:val="1C903BEA"/>
    <w:rsid w:val="1C9A6C63"/>
    <w:rsid w:val="1CBF63C3"/>
    <w:rsid w:val="1CC13EB1"/>
    <w:rsid w:val="1D2C4F1B"/>
    <w:rsid w:val="1D47273F"/>
    <w:rsid w:val="1D492F27"/>
    <w:rsid w:val="1D7C153E"/>
    <w:rsid w:val="1D7C22EC"/>
    <w:rsid w:val="1D7F48E1"/>
    <w:rsid w:val="1D866B79"/>
    <w:rsid w:val="1D99014B"/>
    <w:rsid w:val="1DA65B4D"/>
    <w:rsid w:val="1DE35CF5"/>
    <w:rsid w:val="1DE42E39"/>
    <w:rsid w:val="1DE5415D"/>
    <w:rsid w:val="1E055C9E"/>
    <w:rsid w:val="1E3646C2"/>
    <w:rsid w:val="1E3C0371"/>
    <w:rsid w:val="1E404244"/>
    <w:rsid w:val="1E646060"/>
    <w:rsid w:val="1E6E033F"/>
    <w:rsid w:val="1E895CEE"/>
    <w:rsid w:val="1E8D072E"/>
    <w:rsid w:val="1EB76F1A"/>
    <w:rsid w:val="1EDF3101"/>
    <w:rsid w:val="1EE47B86"/>
    <w:rsid w:val="1F0136F8"/>
    <w:rsid w:val="1F0565C7"/>
    <w:rsid w:val="1F1C1A13"/>
    <w:rsid w:val="1F1E2A08"/>
    <w:rsid w:val="1F1F54B2"/>
    <w:rsid w:val="1F1F564E"/>
    <w:rsid w:val="1F4A727D"/>
    <w:rsid w:val="1F51638C"/>
    <w:rsid w:val="1F8A0112"/>
    <w:rsid w:val="1FE63033"/>
    <w:rsid w:val="20015A6D"/>
    <w:rsid w:val="200C3AA1"/>
    <w:rsid w:val="20191E9C"/>
    <w:rsid w:val="201E455F"/>
    <w:rsid w:val="20211C45"/>
    <w:rsid w:val="202911D7"/>
    <w:rsid w:val="20580C17"/>
    <w:rsid w:val="20654C19"/>
    <w:rsid w:val="206B546A"/>
    <w:rsid w:val="206C2DEB"/>
    <w:rsid w:val="20847C38"/>
    <w:rsid w:val="20974516"/>
    <w:rsid w:val="20AE211E"/>
    <w:rsid w:val="20AE24D5"/>
    <w:rsid w:val="20B34AC6"/>
    <w:rsid w:val="20CB3924"/>
    <w:rsid w:val="20CD5726"/>
    <w:rsid w:val="20E22BD6"/>
    <w:rsid w:val="20E32D7B"/>
    <w:rsid w:val="20ED63C9"/>
    <w:rsid w:val="20F12941"/>
    <w:rsid w:val="21220D3E"/>
    <w:rsid w:val="213C1A3B"/>
    <w:rsid w:val="214A3DCF"/>
    <w:rsid w:val="215E76DF"/>
    <w:rsid w:val="216D7B97"/>
    <w:rsid w:val="217C182D"/>
    <w:rsid w:val="2189394D"/>
    <w:rsid w:val="21944711"/>
    <w:rsid w:val="21B53A1F"/>
    <w:rsid w:val="21BF72A1"/>
    <w:rsid w:val="21C25BFD"/>
    <w:rsid w:val="21C3592D"/>
    <w:rsid w:val="21C55F53"/>
    <w:rsid w:val="21C60013"/>
    <w:rsid w:val="21C76285"/>
    <w:rsid w:val="21E166C7"/>
    <w:rsid w:val="21FB6F9B"/>
    <w:rsid w:val="21FC530F"/>
    <w:rsid w:val="22080498"/>
    <w:rsid w:val="22430EB2"/>
    <w:rsid w:val="224F077B"/>
    <w:rsid w:val="225A2932"/>
    <w:rsid w:val="226A25E4"/>
    <w:rsid w:val="22740558"/>
    <w:rsid w:val="228A54AE"/>
    <w:rsid w:val="22955C48"/>
    <w:rsid w:val="22A84E37"/>
    <w:rsid w:val="22AC4EAC"/>
    <w:rsid w:val="22B4304D"/>
    <w:rsid w:val="22BC6A0C"/>
    <w:rsid w:val="2318643B"/>
    <w:rsid w:val="232E4270"/>
    <w:rsid w:val="23356F82"/>
    <w:rsid w:val="233A2E59"/>
    <w:rsid w:val="23420192"/>
    <w:rsid w:val="234828AB"/>
    <w:rsid w:val="23594B35"/>
    <w:rsid w:val="23655DFC"/>
    <w:rsid w:val="2379757D"/>
    <w:rsid w:val="23812232"/>
    <w:rsid w:val="23815AAD"/>
    <w:rsid w:val="23B534DB"/>
    <w:rsid w:val="23C27A95"/>
    <w:rsid w:val="23C515B0"/>
    <w:rsid w:val="23EA5690"/>
    <w:rsid w:val="23FB5BA9"/>
    <w:rsid w:val="23FC0AA0"/>
    <w:rsid w:val="240F127A"/>
    <w:rsid w:val="24222A24"/>
    <w:rsid w:val="24405FFB"/>
    <w:rsid w:val="244157BB"/>
    <w:rsid w:val="24523398"/>
    <w:rsid w:val="247240E4"/>
    <w:rsid w:val="249027F9"/>
    <w:rsid w:val="24923112"/>
    <w:rsid w:val="24AE43E7"/>
    <w:rsid w:val="24BC0B8C"/>
    <w:rsid w:val="24C745BD"/>
    <w:rsid w:val="24D54DB0"/>
    <w:rsid w:val="24DD44A9"/>
    <w:rsid w:val="24E625D6"/>
    <w:rsid w:val="24E77CF4"/>
    <w:rsid w:val="24F82B87"/>
    <w:rsid w:val="251E6CB6"/>
    <w:rsid w:val="2530104D"/>
    <w:rsid w:val="25471A46"/>
    <w:rsid w:val="25890EA6"/>
    <w:rsid w:val="259879AE"/>
    <w:rsid w:val="259A751F"/>
    <w:rsid w:val="25A328BE"/>
    <w:rsid w:val="25A34005"/>
    <w:rsid w:val="25A66195"/>
    <w:rsid w:val="25D27E7B"/>
    <w:rsid w:val="25E20F3C"/>
    <w:rsid w:val="25E777B3"/>
    <w:rsid w:val="25FE59B1"/>
    <w:rsid w:val="26061971"/>
    <w:rsid w:val="26111D68"/>
    <w:rsid w:val="26307E6E"/>
    <w:rsid w:val="264008E8"/>
    <w:rsid w:val="26433F7F"/>
    <w:rsid w:val="26700C16"/>
    <w:rsid w:val="267F4830"/>
    <w:rsid w:val="269A4D60"/>
    <w:rsid w:val="26BD493E"/>
    <w:rsid w:val="270F5095"/>
    <w:rsid w:val="27144105"/>
    <w:rsid w:val="271C5FC6"/>
    <w:rsid w:val="27362009"/>
    <w:rsid w:val="27484D00"/>
    <w:rsid w:val="274F2171"/>
    <w:rsid w:val="275D6367"/>
    <w:rsid w:val="275E0F3C"/>
    <w:rsid w:val="2760568F"/>
    <w:rsid w:val="27610A07"/>
    <w:rsid w:val="27797DE0"/>
    <w:rsid w:val="27965B8B"/>
    <w:rsid w:val="27992D09"/>
    <w:rsid w:val="27D00352"/>
    <w:rsid w:val="27FD025A"/>
    <w:rsid w:val="282657F7"/>
    <w:rsid w:val="2856652E"/>
    <w:rsid w:val="2867494D"/>
    <w:rsid w:val="287E2C12"/>
    <w:rsid w:val="287F59EE"/>
    <w:rsid w:val="28FC2B68"/>
    <w:rsid w:val="29147CD7"/>
    <w:rsid w:val="29172B11"/>
    <w:rsid w:val="29223179"/>
    <w:rsid w:val="294A4308"/>
    <w:rsid w:val="29523F82"/>
    <w:rsid w:val="297728FC"/>
    <w:rsid w:val="297F63E2"/>
    <w:rsid w:val="298860BA"/>
    <w:rsid w:val="298D40D9"/>
    <w:rsid w:val="299346DB"/>
    <w:rsid w:val="29AA4023"/>
    <w:rsid w:val="29B73304"/>
    <w:rsid w:val="29D506B9"/>
    <w:rsid w:val="29FF498C"/>
    <w:rsid w:val="2A155A4E"/>
    <w:rsid w:val="2A307C1D"/>
    <w:rsid w:val="2A3B1864"/>
    <w:rsid w:val="2A3F1647"/>
    <w:rsid w:val="2A456589"/>
    <w:rsid w:val="2A475E62"/>
    <w:rsid w:val="2A4B2DEC"/>
    <w:rsid w:val="2A5B4807"/>
    <w:rsid w:val="2A837B23"/>
    <w:rsid w:val="2A8B619D"/>
    <w:rsid w:val="2A981F0C"/>
    <w:rsid w:val="2AC46B39"/>
    <w:rsid w:val="2AD311B2"/>
    <w:rsid w:val="2ADE0C2E"/>
    <w:rsid w:val="2B0717DF"/>
    <w:rsid w:val="2B16314B"/>
    <w:rsid w:val="2B1745E1"/>
    <w:rsid w:val="2B314EE4"/>
    <w:rsid w:val="2B53670E"/>
    <w:rsid w:val="2B5678C6"/>
    <w:rsid w:val="2B7B1662"/>
    <w:rsid w:val="2B8C17C6"/>
    <w:rsid w:val="2B8E3C1B"/>
    <w:rsid w:val="2B8E7455"/>
    <w:rsid w:val="2BFF3A07"/>
    <w:rsid w:val="2C010002"/>
    <w:rsid w:val="2C0E274C"/>
    <w:rsid w:val="2C1864B9"/>
    <w:rsid w:val="2C3042EA"/>
    <w:rsid w:val="2C5466FC"/>
    <w:rsid w:val="2C9F349F"/>
    <w:rsid w:val="2CAC0753"/>
    <w:rsid w:val="2CD441D3"/>
    <w:rsid w:val="2CDA7A1A"/>
    <w:rsid w:val="2D0779A7"/>
    <w:rsid w:val="2D2F5557"/>
    <w:rsid w:val="2D4477EE"/>
    <w:rsid w:val="2D7E2FF7"/>
    <w:rsid w:val="2D7E7EA2"/>
    <w:rsid w:val="2D8A7EEE"/>
    <w:rsid w:val="2DAC120D"/>
    <w:rsid w:val="2DAE6D54"/>
    <w:rsid w:val="2DB51D8C"/>
    <w:rsid w:val="2DB80F46"/>
    <w:rsid w:val="2DC41DAC"/>
    <w:rsid w:val="2DD4300E"/>
    <w:rsid w:val="2DE31F3E"/>
    <w:rsid w:val="2DEA4E78"/>
    <w:rsid w:val="2DFF5078"/>
    <w:rsid w:val="2E0E55F8"/>
    <w:rsid w:val="2E175D83"/>
    <w:rsid w:val="2E413F38"/>
    <w:rsid w:val="2E5E191E"/>
    <w:rsid w:val="2E6E0A25"/>
    <w:rsid w:val="2E720553"/>
    <w:rsid w:val="2EA00055"/>
    <w:rsid w:val="2EC14611"/>
    <w:rsid w:val="2ED63019"/>
    <w:rsid w:val="2EF6340A"/>
    <w:rsid w:val="2F1F63D3"/>
    <w:rsid w:val="2F507973"/>
    <w:rsid w:val="2F635B17"/>
    <w:rsid w:val="2F883C62"/>
    <w:rsid w:val="2FA13846"/>
    <w:rsid w:val="2FC11C09"/>
    <w:rsid w:val="2FC16D53"/>
    <w:rsid w:val="2FDE3293"/>
    <w:rsid w:val="2FDF5C9D"/>
    <w:rsid w:val="3009331C"/>
    <w:rsid w:val="301D5C97"/>
    <w:rsid w:val="30277C8E"/>
    <w:rsid w:val="30300320"/>
    <w:rsid w:val="30381F9E"/>
    <w:rsid w:val="30402949"/>
    <w:rsid w:val="305E4CC4"/>
    <w:rsid w:val="308640EB"/>
    <w:rsid w:val="309F49B3"/>
    <w:rsid w:val="30CC6C94"/>
    <w:rsid w:val="30D61929"/>
    <w:rsid w:val="30D77E04"/>
    <w:rsid w:val="30DA7426"/>
    <w:rsid w:val="30DD52EE"/>
    <w:rsid w:val="30E36619"/>
    <w:rsid w:val="30E44E75"/>
    <w:rsid w:val="31070840"/>
    <w:rsid w:val="311753BD"/>
    <w:rsid w:val="311A734D"/>
    <w:rsid w:val="312B7B5C"/>
    <w:rsid w:val="31394AA3"/>
    <w:rsid w:val="31421613"/>
    <w:rsid w:val="314B5255"/>
    <w:rsid w:val="3157644A"/>
    <w:rsid w:val="315B6D60"/>
    <w:rsid w:val="3174505E"/>
    <w:rsid w:val="318A347D"/>
    <w:rsid w:val="318C4F08"/>
    <w:rsid w:val="31914894"/>
    <w:rsid w:val="31956A66"/>
    <w:rsid w:val="31C072B8"/>
    <w:rsid w:val="31DA45C8"/>
    <w:rsid w:val="31E4797E"/>
    <w:rsid w:val="31EE4BAA"/>
    <w:rsid w:val="31F521F6"/>
    <w:rsid w:val="31F5436E"/>
    <w:rsid w:val="31F857BF"/>
    <w:rsid w:val="320107D3"/>
    <w:rsid w:val="32243194"/>
    <w:rsid w:val="3224417B"/>
    <w:rsid w:val="324662CB"/>
    <w:rsid w:val="324C3A59"/>
    <w:rsid w:val="3263631F"/>
    <w:rsid w:val="32687D16"/>
    <w:rsid w:val="327331BC"/>
    <w:rsid w:val="32864611"/>
    <w:rsid w:val="32877675"/>
    <w:rsid w:val="329A5FA7"/>
    <w:rsid w:val="32A355BC"/>
    <w:rsid w:val="32C00D78"/>
    <w:rsid w:val="32DA49E4"/>
    <w:rsid w:val="32F653B6"/>
    <w:rsid w:val="33033068"/>
    <w:rsid w:val="331550E0"/>
    <w:rsid w:val="331D36BE"/>
    <w:rsid w:val="33222A9A"/>
    <w:rsid w:val="33273336"/>
    <w:rsid w:val="332D1CBE"/>
    <w:rsid w:val="33385D65"/>
    <w:rsid w:val="33480719"/>
    <w:rsid w:val="335F1874"/>
    <w:rsid w:val="336D05B7"/>
    <w:rsid w:val="3370375F"/>
    <w:rsid w:val="337D3E97"/>
    <w:rsid w:val="33805A44"/>
    <w:rsid w:val="338D6656"/>
    <w:rsid w:val="339D5261"/>
    <w:rsid w:val="339F59B9"/>
    <w:rsid w:val="341374B8"/>
    <w:rsid w:val="3474243E"/>
    <w:rsid w:val="34802C16"/>
    <w:rsid w:val="34955EDA"/>
    <w:rsid w:val="349A334C"/>
    <w:rsid w:val="34B61A0B"/>
    <w:rsid w:val="34C21BC2"/>
    <w:rsid w:val="34CA78C0"/>
    <w:rsid w:val="34E7352B"/>
    <w:rsid w:val="34E94C24"/>
    <w:rsid w:val="34FC01FE"/>
    <w:rsid w:val="353D61D5"/>
    <w:rsid w:val="35491DE7"/>
    <w:rsid w:val="354D799B"/>
    <w:rsid w:val="35586223"/>
    <w:rsid w:val="35A418C4"/>
    <w:rsid w:val="35C43DE3"/>
    <w:rsid w:val="35D55562"/>
    <w:rsid w:val="35E55B5D"/>
    <w:rsid w:val="35E7527E"/>
    <w:rsid w:val="35EF33C5"/>
    <w:rsid w:val="36127C2E"/>
    <w:rsid w:val="36130454"/>
    <w:rsid w:val="361325D6"/>
    <w:rsid w:val="361C7D06"/>
    <w:rsid w:val="36253B84"/>
    <w:rsid w:val="36401A4A"/>
    <w:rsid w:val="36706DD9"/>
    <w:rsid w:val="368920CF"/>
    <w:rsid w:val="36FE5573"/>
    <w:rsid w:val="37412D5B"/>
    <w:rsid w:val="37424084"/>
    <w:rsid w:val="376533BD"/>
    <w:rsid w:val="378B2E6F"/>
    <w:rsid w:val="37D078F7"/>
    <w:rsid w:val="37F76452"/>
    <w:rsid w:val="37FB7082"/>
    <w:rsid w:val="380E52E1"/>
    <w:rsid w:val="384F744A"/>
    <w:rsid w:val="38735C94"/>
    <w:rsid w:val="38A87CD8"/>
    <w:rsid w:val="38AB7652"/>
    <w:rsid w:val="38CC58A6"/>
    <w:rsid w:val="38CE707C"/>
    <w:rsid w:val="38DD2EEF"/>
    <w:rsid w:val="38E93272"/>
    <w:rsid w:val="38FB4AF5"/>
    <w:rsid w:val="39072EC2"/>
    <w:rsid w:val="39104B12"/>
    <w:rsid w:val="39150974"/>
    <w:rsid w:val="398F11DA"/>
    <w:rsid w:val="39985420"/>
    <w:rsid w:val="39A33546"/>
    <w:rsid w:val="39C01D61"/>
    <w:rsid w:val="39C16CB7"/>
    <w:rsid w:val="39CF16AB"/>
    <w:rsid w:val="39E502D1"/>
    <w:rsid w:val="3A1B760C"/>
    <w:rsid w:val="3A34051D"/>
    <w:rsid w:val="3A3B1E69"/>
    <w:rsid w:val="3A541B4B"/>
    <w:rsid w:val="3A60333A"/>
    <w:rsid w:val="3A7D171B"/>
    <w:rsid w:val="3A7E7A19"/>
    <w:rsid w:val="3A844F15"/>
    <w:rsid w:val="3A891563"/>
    <w:rsid w:val="3A920D31"/>
    <w:rsid w:val="3ACD10F0"/>
    <w:rsid w:val="3AF0613B"/>
    <w:rsid w:val="3B03762C"/>
    <w:rsid w:val="3B216441"/>
    <w:rsid w:val="3B2C0F24"/>
    <w:rsid w:val="3B334458"/>
    <w:rsid w:val="3B35199F"/>
    <w:rsid w:val="3B4E7C42"/>
    <w:rsid w:val="3B594BC0"/>
    <w:rsid w:val="3B644769"/>
    <w:rsid w:val="3B663E14"/>
    <w:rsid w:val="3B866206"/>
    <w:rsid w:val="3B8845D7"/>
    <w:rsid w:val="3B8B6665"/>
    <w:rsid w:val="3B917707"/>
    <w:rsid w:val="3BA15D36"/>
    <w:rsid w:val="3BC15D5C"/>
    <w:rsid w:val="3BDF17BD"/>
    <w:rsid w:val="3BE060F4"/>
    <w:rsid w:val="3BFB42C7"/>
    <w:rsid w:val="3C21682D"/>
    <w:rsid w:val="3C277DFD"/>
    <w:rsid w:val="3C2D6E50"/>
    <w:rsid w:val="3C3079FF"/>
    <w:rsid w:val="3C513234"/>
    <w:rsid w:val="3C7556F3"/>
    <w:rsid w:val="3C9A6465"/>
    <w:rsid w:val="3CAA46F7"/>
    <w:rsid w:val="3CC96375"/>
    <w:rsid w:val="3CCB77E5"/>
    <w:rsid w:val="3CD25CFD"/>
    <w:rsid w:val="3CE57D2D"/>
    <w:rsid w:val="3CE77BA9"/>
    <w:rsid w:val="3D024C8D"/>
    <w:rsid w:val="3D07311F"/>
    <w:rsid w:val="3D0B19D3"/>
    <w:rsid w:val="3D106628"/>
    <w:rsid w:val="3D1E133E"/>
    <w:rsid w:val="3D5170E9"/>
    <w:rsid w:val="3D8E3347"/>
    <w:rsid w:val="3DA64913"/>
    <w:rsid w:val="3DB1756E"/>
    <w:rsid w:val="3DFF04CC"/>
    <w:rsid w:val="3E091CA6"/>
    <w:rsid w:val="3E0E02DB"/>
    <w:rsid w:val="3E217459"/>
    <w:rsid w:val="3E2230B8"/>
    <w:rsid w:val="3E263650"/>
    <w:rsid w:val="3E2805F5"/>
    <w:rsid w:val="3E2A4E15"/>
    <w:rsid w:val="3E3B4014"/>
    <w:rsid w:val="3E757CF8"/>
    <w:rsid w:val="3EA24223"/>
    <w:rsid w:val="3EED7585"/>
    <w:rsid w:val="3F055097"/>
    <w:rsid w:val="3F161199"/>
    <w:rsid w:val="3F1A2BCD"/>
    <w:rsid w:val="3F255D56"/>
    <w:rsid w:val="3F416A26"/>
    <w:rsid w:val="3F4A3E88"/>
    <w:rsid w:val="3F761504"/>
    <w:rsid w:val="3F892D8A"/>
    <w:rsid w:val="3FA54CBA"/>
    <w:rsid w:val="3FB26EF8"/>
    <w:rsid w:val="3FD0776A"/>
    <w:rsid w:val="3FE2553A"/>
    <w:rsid w:val="3FFF7676"/>
    <w:rsid w:val="401E7C74"/>
    <w:rsid w:val="40223FBC"/>
    <w:rsid w:val="404F40EA"/>
    <w:rsid w:val="40775629"/>
    <w:rsid w:val="4082593F"/>
    <w:rsid w:val="40843549"/>
    <w:rsid w:val="40A72F7F"/>
    <w:rsid w:val="41300039"/>
    <w:rsid w:val="41474308"/>
    <w:rsid w:val="41681941"/>
    <w:rsid w:val="416E4242"/>
    <w:rsid w:val="417C534F"/>
    <w:rsid w:val="41815287"/>
    <w:rsid w:val="418F3223"/>
    <w:rsid w:val="41A46743"/>
    <w:rsid w:val="41BA6E38"/>
    <w:rsid w:val="41CF22D5"/>
    <w:rsid w:val="41E06904"/>
    <w:rsid w:val="41E47D60"/>
    <w:rsid w:val="41FB3940"/>
    <w:rsid w:val="41FE4EBD"/>
    <w:rsid w:val="421B0517"/>
    <w:rsid w:val="421C002D"/>
    <w:rsid w:val="421E7906"/>
    <w:rsid w:val="422024E8"/>
    <w:rsid w:val="422E6A18"/>
    <w:rsid w:val="42313AD0"/>
    <w:rsid w:val="423D6569"/>
    <w:rsid w:val="424E1A22"/>
    <w:rsid w:val="42666D6B"/>
    <w:rsid w:val="42762B0E"/>
    <w:rsid w:val="42796D6D"/>
    <w:rsid w:val="42965151"/>
    <w:rsid w:val="42B8066C"/>
    <w:rsid w:val="42C16DEC"/>
    <w:rsid w:val="42D50F2A"/>
    <w:rsid w:val="43410AEC"/>
    <w:rsid w:val="43440507"/>
    <w:rsid w:val="43606A91"/>
    <w:rsid w:val="437468EC"/>
    <w:rsid w:val="437635E3"/>
    <w:rsid w:val="43796B27"/>
    <w:rsid w:val="437B3C36"/>
    <w:rsid w:val="43A56EBD"/>
    <w:rsid w:val="43A6733A"/>
    <w:rsid w:val="43AA4FC3"/>
    <w:rsid w:val="43C85A23"/>
    <w:rsid w:val="43DB21A0"/>
    <w:rsid w:val="43F14D5A"/>
    <w:rsid w:val="44191691"/>
    <w:rsid w:val="444C4862"/>
    <w:rsid w:val="44560F40"/>
    <w:rsid w:val="446B1522"/>
    <w:rsid w:val="44720E16"/>
    <w:rsid w:val="44B40707"/>
    <w:rsid w:val="44BF37DC"/>
    <w:rsid w:val="44C41913"/>
    <w:rsid w:val="44CE1408"/>
    <w:rsid w:val="44D619FA"/>
    <w:rsid w:val="44F4553C"/>
    <w:rsid w:val="450874FC"/>
    <w:rsid w:val="450A7A4F"/>
    <w:rsid w:val="453A6E98"/>
    <w:rsid w:val="45476EA5"/>
    <w:rsid w:val="459F2609"/>
    <w:rsid w:val="45C33C42"/>
    <w:rsid w:val="45CC2621"/>
    <w:rsid w:val="45D10164"/>
    <w:rsid w:val="45E54860"/>
    <w:rsid w:val="461203B6"/>
    <w:rsid w:val="4627075D"/>
    <w:rsid w:val="466C6EAA"/>
    <w:rsid w:val="469D0412"/>
    <w:rsid w:val="469D53BB"/>
    <w:rsid w:val="469F108B"/>
    <w:rsid w:val="46CF5EFF"/>
    <w:rsid w:val="46FB2F42"/>
    <w:rsid w:val="46FB4409"/>
    <w:rsid w:val="47103637"/>
    <w:rsid w:val="471C603E"/>
    <w:rsid w:val="473D6B0A"/>
    <w:rsid w:val="476E4CA0"/>
    <w:rsid w:val="478148E6"/>
    <w:rsid w:val="47821C82"/>
    <w:rsid w:val="4784369C"/>
    <w:rsid w:val="479B5966"/>
    <w:rsid w:val="47AD7740"/>
    <w:rsid w:val="47C453BB"/>
    <w:rsid w:val="480D10C9"/>
    <w:rsid w:val="481F428B"/>
    <w:rsid w:val="48216BFC"/>
    <w:rsid w:val="482B2304"/>
    <w:rsid w:val="4853715D"/>
    <w:rsid w:val="485C724A"/>
    <w:rsid w:val="485F31E9"/>
    <w:rsid w:val="48857FBF"/>
    <w:rsid w:val="48981C64"/>
    <w:rsid w:val="48AB513B"/>
    <w:rsid w:val="48B828AA"/>
    <w:rsid w:val="48BE652C"/>
    <w:rsid w:val="48C21E3A"/>
    <w:rsid w:val="48DE11B8"/>
    <w:rsid w:val="48F112AB"/>
    <w:rsid w:val="48F36F3B"/>
    <w:rsid w:val="48F7696E"/>
    <w:rsid w:val="490D4FEC"/>
    <w:rsid w:val="49186926"/>
    <w:rsid w:val="491A3B93"/>
    <w:rsid w:val="49205619"/>
    <w:rsid w:val="4922547B"/>
    <w:rsid w:val="4923483E"/>
    <w:rsid w:val="49280E7A"/>
    <w:rsid w:val="49336412"/>
    <w:rsid w:val="49382343"/>
    <w:rsid w:val="493F0195"/>
    <w:rsid w:val="495113FA"/>
    <w:rsid w:val="4969085B"/>
    <w:rsid w:val="4969756D"/>
    <w:rsid w:val="49777618"/>
    <w:rsid w:val="497A1477"/>
    <w:rsid w:val="49862A25"/>
    <w:rsid w:val="49893CAB"/>
    <w:rsid w:val="49AE4A8C"/>
    <w:rsid w:val="49D54F3C"/>
    <w:rsid w:val="4A1F67CA"/>
    <w:rsid w:val="4A3100F0"/>
    <w:rsid w:val="4A5E0E3F"/>
    <w:rsid w:val="4A620A37"/>
    <w:rsid w:val="4A7B772D"/>
    <w:rsid w:val="4AAE265D"/>
    <w:rsid w:val="4AB7573A"/>
    <w:rsid w:val="4AC63524"/>
    <w:rsid w:val="4AC97099"/>
    <w:rsid w:val="4ACC0576"/>
    <w:rsid w:val="4AE051E1"/>
    <w:rsid w:val="4AE3407E"/>
    <w:rsid w:val="4AE81506"/>
    <w:rsid w:val="4AF02574"/>
    <w:rsid w:val="4B1E70A8"/>
    <w:rsid w:val="4B2A2B69"/>
    <w:rsid w:val="4B3512FE"/>
    <w:rsid w:val="4B373D3C"/>
    <w:rsid w:val="4B3E7C24"/>
    <w:rsid w:val="4B505EFA"/>
    <w:rsid w:val="4B5D411B"/>
    <w:rsid w:val="4B74669C"/>
    <w:rsid w:val="4B7859E7"/>
    <w:rsid w:val="4B7F3A41"/>
    <w:rsid w:val="4B860513"/>
    <w:rsid w:val="4B8A72CF"/>
    <w:rsid w:val="4B972445"/>
    <w:rsid w:val="4BB70AA8"/>
    <w:rsid w:val="4BC74904"/>
    <w:rsid w:val="4BCF396B"/>
    <w:rsid w:val="4BED66CC"/>
    <w:rsid w:val="4C003D8D"/>
    <w:rsid w:val="4C1065B5"/>
    <w:rsid w:val="4C217E66"/>
    <w:rsid w:val="4C3A49DA"/>
    <w:rsid w:val="4C6C4B2C"/>
    <w:rsid w:val="4C6D3334"/>
    <w:rsid w:val="4C70027F"/>
    <w:rsid w:val="4C8937D3"/>
    <w:rsid w:val="4C92636C"/>
    <w:rsid w:val="4C987B90"/>
    <w:rsid w:val="4CAE2139"/>
    <w:rsid w:val="4CB3686B"/>
    <w:rsid w:val="4CB56C63"/>
    <w:rsid w:val="4CC51258"/>
    <w:rsid w:val="4CDD791C"/>
    <w:rsid w:val="4CE92D4E"/>
    <w:rsid w:val="4D094E39"/>
    <w:rsid w:val="4D0E5386"/>
    <w:rsid w:val="4D1E6158"/>
    <w:rsid w:val="4D527A3F"/>
    <w:rsid w:val="4D6D5854"/>
    <w:rsid w:val="4D834573"/>
    <w:rsid w:val="4D943011"/>
    <w:rsid w:val="4DCB3EE4"/>
    <w:rsid w:val="4DDF3F73"/>
    <w:rsid w:val="4DE01E40"/>
    <w:rsid w:val="4E1C1B71"/>
    <w:rsid w:val="4E361A67"/>
    <w:rsid w:val="4EB0535F"/>
    <w:rsid w:val="4EDC13F9"/>
    <w:rsid w:val="4F3E4EE5"/>
    <w:rsid w:val="4F522D7B"/>
    <w:rsid w:val="4F8046F1"/>
    <w:rsid w:val="4F8119B1"/>
    <w:rsid w:val="4F92238A"/>
    <w:rsid w:val="4FC7629C"/>
    <w:rsid w:val="4FE062A3"/>
    <w:rsid w:val="4FE45773"/>
    <w:rsid w:val="4FFD0A59"/>
    <w:rsid w:val="4FFF755C"/>
    <w:rsid w:val="50223E9C"/>
    <w:rsid w:val="502D6DB0"/>
    <w:rsid w:val="5043798C"/>
    <w:rsid w:val="506F22A9"/>
    <w:rsid w:val="50720862"/>
    <w:rsid w:val="50731BAF"/>
    <w:rsid w:val="50892AE1"/>
    <w:rsid w:val="508A28EA"/>
    <w:rsid w:val="509C598C"/>
    <w:rsid w:val="50A05FBD"/>
    <w:rsid w:val="50A56264"/>
    <w:rsid w:val="50D310E7"/>
    <w:rsid w:val="51074EDB"/>
    <w:rsid w:val="510E0E2A"/>
    <w:rsid w:val="510E6480"/>
    <w:rsid w:val="511931FB"/>
    <w:rsid w:val="51197F18"/>
    <w:rsid w:val="512A357B"/>
    <w:rsid w:val="51547ADE"/>
    <w:rsid w:val="51570B9A"/>
    <w:rsid w:val="515B5BAE"/>
    <w:rsid w:val="517A494B"/>
    <w:rsid w:val="518A04D2"/>
    <w:rsid w:val="51B8400A"/>
    <w:rsid w:val="51C25525"/>
    <w:rsid w:val="51F5627A"/>
    <w:rsid w:val="52107F84"/>
    <w:rsid w:val="52264C68"/>
    <w:rsid w:val="522C4211"/>
    <w:rsid w:val="52586942"/>
    <w:rsid w:val="525B0F7E"/>
    <w:rsid w:val="527252B8"/>
    <w:rsid w:val="527511EB"/>
    <w:rsid w:val="5298489A"/>
    <w:rsid w:val="52CD2457"/>
    <w:rsid w:val="52E223AA"/>
    <w:rsid w:val="5305770A"/>
    <w:rsid w:val="533774EB"/>
    <w:rsid w:val="537C1E5C"/>
    <w:rsid w:val="537F7C8D"/>
    <w:rsid w:val="53B25B95"/>
    <w:rsid w:val="53BC65C2"/>
    <w:rsid w:val="53C24FBF"/>
    <w:rsid w:val="53E91DA0"/>
    <w:rsid w:val="53FD089E"/>
    <w:rsid w:val="540508D6"/>
    <w:rsid w:val="54321EEE"/>
    <w:rsid w:val="54453B17"/>
    <w:rsid w:val="544A03D8"/>
    <w:rsid w:val="54707003"/>
    <w:rsid w:val="54765614"/>
    <w:rsid w:val="548536F4"/>
    <w:rsid w:val="548765BF"/>
    <w:rsid w:val="54934A30"/>
    <w:rsid w:val="54963849"/>
    <w:rsid w:val="54B2488E"/>
    <w:rsid w:val="54BA7426"/>
    <w:rsid w:val="54D653A0"/>
    <w:rsid w:val="54DD61CF"/>
    <w:rsid w:val="54DF2E0B"/>
    <w:rsid w:val="54E76C3E"/>
    <w:rsid w:val="54EF4663"/>
    <w:rsid w:val="550F5286"/>
    <w:rsid w:val="55151EA0"/>
    <w:rsid w:val="5518177A"/>
    <w:rsid w:val="55323649"/>
    <w:rsid w:val="556A2FD5"/>
    <w:rsid w:val="557668CE"/>
    <w:rsid w:val="5593631B"/>
    <w:rsid w:val="55946AD4"/>
    <w:rsid w:val="559C1301"/>
    <w:rsid w:val="55A21A11"/>
    <w:rsid w:val="55CA3EEC"/>
    <w:rsid w:val="55D634ED"/>
    <w:rsid w:val="55E62651"/>
    <w:rsid w:val="564C06F4"/>
    <w:rsid w:val="567910F3"/>
    <w:rsid w:val="568E7A95"/>
    <w:rsid w:val="569A13D1"/>
    <w:rsid w:val="56A331CD"/>
    <w:rsid w:val="56B332E9"/>
    <w:rsid w:val="56CA16A1"/>
    <w:rsid w:val="56EA6035"/>
    <w:rsid w:val="56F0146F"/>
    <w:rsid w:val="56F25C5D"/>
    <w:rsid w:val="571826D1"/>
    <w:rsid w:val="57436AF9"/>
    <w:rsid w:val="57585B9F"/>
    <w:rsid w:val="577F25EF"/>
    <w:rsid w:val="578204BE"/>
    <w:rsid w:val="5785395A"/>
    <w:rsid w:val="57A1541B"/>
    <w:rsid w:val="57C62622"/>
    <w:rsid w:val="57DA3EA0"/>
    <w:rsid w:val="57E435FE"/>
    <w:rsid w:val="580D088A"/>
    <w:rsid w:val="580E26C4"/>
    <w:rsid w:val="5829224E"/>
    <w:rsid w:val="5834256D"/>
    <w:rsid w:val="585C04F2"/>
    <w:rsid w:val="585D5FB5"/>
    <w:rsid w:val="58790B40"/>
    <w:rsid w:val="58805921"/>
    <w:rsid w:val="58B15802"/>
    <w:rsid w:val="58D74C96"/>
    <w:rsid w:val="58E12CBB"/>
    <w:rsid w:val="58FA6822"/>
    <w:rsid w:val="593B0594"/>
    <w:rsid w:val="594B38A6"/>
    <w:rsid w:val="5953365B"/>
    <w:rsid w:val="5961766F"/>
    <w:rsid w:val="596F4A58"/>
    <w:rsid w:val="597074BB"/>
    <w:rsid w:val="59781953"/>
    <w:rsid w:val="599020E6"/>
    <w:rsid w:val="59950669"/>
    <w:rsid w:val="59AD3357"/>
    <w:rsid w:val="59BF3C49"/>
    <w:rsid w:val="59C373D1"/>
    <w:rsid w:val="59CC4FBD"/>
    <w:rsid w:val="59CC52AE"/>
    <w:rsid w:val="59E15D3D"/>
    <w:rsid w:val="59F51CED"/>
    <w:rsid w:val="5A1222DD"/>
    <w:rsid w:val="5A190F77"/>
    <w:rsid w:val="5A1F08E3"/>
    <w:rsid w:val="5A284D2A"/>
    <w:rsid w:val="5A3A0457"/>
    <w:rsid w:val="5A437242"/>
    <w:rsid w:val="5A911489"/>
    <w:rsid w:val="5A9F0C15"/>
    <w:rsid w:val="5AD311F6"/>
    <w:rsid w:val="5AF968C7"/>
    <w:rsid w:val="5B0C31E8"/>
    <w:rsid w:val="5B252510"/>
    <w:rsid w:val="5B9106C3"/>
    <w:rsid w:val="5BC14505"/>
    <w:rsid w:val="5BC270D8"/>
    <w:rsid w:val="5BD72738"/>
    <w:rsid w:val="5BD76AB6"/>
    <w:rsid w:val="5BE24E20"/>
    <w:rsid w:val="5BFF7AE6"/>
    <w:rsid w:val="5C0B789C"/>
    <w:rsid w:val="5C372F37"/>
    <w:rsid w:val="5C3A48B6"/>
    <w:rsid w:val="5C410A77"/>
    <w:rsid w:val="5C761E49"/>
    <w:rsid w:val="5CA95EEB"/>
    <w:rsid w:val="5CAB7727"/>
    <w:rsid w:val="5CBE6758"/>
    <w:rsid w:val="5CC441E1"/>
    <w:rsid w:val="5CE760ED"/>
    <w:rsid w:val="5CF854AC"/>
    <w:rsid w:val="5D2113E8"/>
    <w:rsid w:val="5D3C033E"/>
    <w:rsid w:val="5D673A5A"/>
    <w:rsid w:val="5D6B1009"/>
    <w:rsid w:val="5D6F2B20"/>
    <w:rsid w:val="5D836428"/>
    <w:rsid w:val="5D8D5661"/>
    <w:rsid w:val="5DAA473B"/>
    <w:rsid w:val="5DBD32BE"/>
    <w:rsid w:val="5DBF5D4F"/>
    <w:rsid w:val="5DCB4D6D"/>
    <w:rsid w:val="5DD97AD5"/>
    <w:rsid w:val="5E2A7441"/>
    <w:rsid w:val="5E2E2912"/>
    <w:rsid w:val="5E567403"/>
    <w:rsid w:val="5E813DB6"/>
    <w:rsid w:val="5E851E72"/>
    <w:rsid w:val="5E8972BA"/>
    <w:rsid w:val="5EA62EF7"/>
    <w:rsid w:val="5EB441A9"/>
    <w:rsid w:val="5EBA517D"/>
    <w:rsid w:val="5EBD202B"/>
    <w:rsid w:val="5EE412EC"/>
    <w:rsid w:val="5EE43E9B"/>
    <w:rsid w:val="5EE822FC"/>
    <w:rsid w:val="5EEC4DA1"/>
    <w:rsid w:val="5EF442CA"/>
    <w:rsid w:val="5EF715EB"/>
    <w:rsid w:val="5EFC796F"/>
    <w:rsid w:val="5F281498"/>
    <w:rsid w:val="5F4C13E6"/>
    <w:rsid w:val="5F4C71F9"/>
    <w:rsid w:val="5F530F9F"/>
    <w:rsid w:val="5F544D91"/>
    <w:rsid w:val="5FA81A4B"/>
    <w:rsid w:val="5FC42AD9"/>
    <w:rsid w:val="5FFA1888"/>
    <w:rsid w:val="5FFB56DE"/>
    <w:rsid w:val="600960AF"/>
    <w:rsid w:val="60486347"/>
    <w:rsid w:val="60566B33"/>
    <w:rsid w:val="60BF3DA2"/>
    <w:rsid w:val="60BF626C"/>
    <w:rsid w:val="60C56EFB"/>
    <w:rsid w:val="60E92F0A"/>
    <w:rsid w:val="60EB09BA"/>
    <w:rsid w:val="60F41E9F"/>
    <w:rsid w:val="61072CD2"/>
    <w:rsid w:val="611D59EE"/>
    <w:rsid w:val="611D7C5B"/>
    <w:rsid w:val="61454633"/>
    <w:rsid w:val="617B0BB5"/>
    <w:rsid w:val="61910762"/>
    <w:rsid w:val="61A27F8E"/>
    <w:rsid w:val="61B05D45"/>
    <w:rsid w:val="61BE7D2A"/>
    <w:rsid w:val="623449FC"/>
    <w:rsid w:val="623F08B8"/>
    <w:rsid w:val="62595EC7"/>
    <w:rsid w:val="627511AF"/>
    <w:rsid w:val="62770624"/>
    <w:rsid w:val="62814A14"/>
    <w:rsid w:val="62CE0974"/>
    <w:rsid w:val="62D54B71"/>
    <w:rsid w:val="62E0024A"/>
    <w:rsid w:val="62E02E1C"/>
    <w:rsid w:val="631D2AC7"/>
    <w:rsid w:val="633F1142"/>
    <w:rsid w:val="63463232"/>
    <w:rsid w:val="634D48DE"/>
    <w:rsid w:val="636B19CD"/>
    <w:rsid w:val="63780F55"/>
    <w:rsid w:val="63A22ADD"/>
    <w:rsid w:val="63BA5239"/>
    <w:rsid w:val="63F71532"/>
    <w:rsid w:val="63F769F2"/>
    <w:rsid w:val="64045B83"/>
    <w:rsid w:val="641724DD"/>
    <w:rsid w:val="64287ECD"/>
    <w:rsid w:val="642C33B8"/>
    <w:rsid w:val="64416899"/>
    <w:rsid w:val="644F09B6"/>
    <w:rsid w:val="64516D3E"/>
    <w:rsid w:val="64867737"/>
    <w:rsid w:val="648D4DC3"/>
    <w:rsid w:val="64937B40"/>
    <w:rsid w:val="64951845"/>
    <w:rsid w:val="64A7189D"/>
    <w:rsid w:val="64C10B7B"/>
    <w:rsid w:val="64C72A0B"/>
    <w:rsid w:val="64E36660"/>
    <w:rsid w:val="64E414E0"/>
    <w:rsid w:val="64F81386"/>
    <w:rsid w:val="652524D0"/>
    <w:rsid w:val="652A3F85"/>
    <w:rsid w:val="652C15E3"/>
    <w:rsid w:val="656B25DE"/>
    <w:rsid w:val="656E0AFF"/>
    <w:rsid w:val="65744A67"/>
    <w:rsid w:val="657D496C"/>
    <w:rsid w:val="65965311"/>
    <w:rsid w:val="65991807"/>
    <w:rsid w:val="65A0142C"/>
    <w:rsid w:val="65AF0E5A"/>
    <w:rsid w:val="65EA707A"/>
    <w:rsid w:val="663228BD"/>
    <w:rsid w:val="66560D21"/>
    <w:rsid w:val="665C7E71"/>
    <w:rsid w:val="665F1C74"/>
    <w:rsid w:val="66722C55"/>
    <w:rsid w:val="66730C34"/>
    <w:rsid w:val="668E5827"/>
    <w:rsid w:val="66A43656"/>
    <w:rsid w:val="66AD46B9"/>
    <w:rsid w:val="66AD4ED5"/>
    <w:rsid w:val="66B3502D"/>
    <w:rsid w:val="66C64759"/>
    <w:rsid w:val="66C806BD"/>
    <w:rsid w:val="66C873FE"/>
    <w:rsid w:val="66D55138"/>
    <w:rsid w:val="66EF7312"/>
    <w:rsid w:val="66F44D63"/>
    <w:rsid w:val="67013D42"/>
    <w:rsid w:val="67173F59"/>
    <w:rsid w:val="67256520"/>
    <w:rsid w:val="67267A59"/>
    <w:rsid w:val="67520F7A"/>
    <w:rsid w:val="675378E9"/>
    <w:rsid w:val="67822F4A"/>
    <w:rsid w:val="67A04650"/>
    <w:rsid w:val="67BD40AA"/>
    <w:rsid w:val="67D544FF"/>
    <w:rsid w:val="67F50961"/>
    <w:rsid w:val="68014D26"/>
    <w:rsid w:val="680F0D3C"/>
    <w:rsid w:val="68297331"/>
    <w:rsid w:val="683A43E2"/>
    <w:rsid w:val="68631F9E"/>
    <w:rsid w:val="6864123C"/>
    <w:rsid w:val="68E85E7D"/>
    <w:rsid w:val="68F212CB"/>
    <w:rsid w:val="68F63773"/>
    <w:rsid w:val="68FB41B1"/>
    <w:rsid w:val="69010518"/>
    <w:rsid w:val="69272D88"/>
    <w:rsid w:val="69274894"/>
    <w:rsid w:val="69331F88"/>
    <w:rsid w:val="693F120E"/>
    <w:rsid w:val="69440073"/>
    <w:rsid w:val="6954065E"/>
    <w:rsid w:val="695C41D8"/>
    <w:rsid w:val="6980463C"/>
    <w:rsid w:val="69B6146E"/>
    <w:rsid w:val="69BA6CE6"/>
    <w:rsid w:val="69C81951"/>
    <w:rsid w:val="69E1043D"/>
    <w:rsid w:val="69E105C7"/>
    <w:rsid w:val="69E67861"/>
    <w:rsid w:val="69ED7FCE"/>
    <w:rsid w:val="69F603A4"/>
    <w:rsid w:val="69F677D1"/>
    <w:rsid w:val="6A122522"/>
    <w:rsid w:val="6A225BCB"/>
    <w:rsid w:val="6A5945EB"/>
    <w:rsid w:val="6A5B554E"/>
    <w:rsid w:val="6A6019CC"/>
    <w:rsid w:val="6A6F0C2B"/>
    <w:rsid w:val="6A7C687C"/>
    <w:rsid w:val="6A8E441C"/>
    <w:rsid w:val="6A9834B2"/>
    <w:rsid w:val="6AA07311"/>
    <w:rsid w:val="6AA3203F"/>
    <w:rsid w:val="6AAC6B9E"/>
    <w:rsid w:val="6AC068D2"/>
    <w:rsid w:val="6AC2507F"/>
    <w:rsid w:val="6B0D754B"/>
    <w:rsid w:val="6B161984"/>
    <w:rsid w:val="6B287EA8"/>
    <w:rsid w:val="6B2B5BD2"/>
    <w:rsid w:val="6B2F2DA6"/>
    <w:rsid w:val="6B556307"/>
    <w:rsid w:val="6B6712DB"/>
    <w:rsid w:val="6B865118"/>
    <w:rsid w:val="6B871777"/>
    <w:rsid w:val="6B8C65AF"/>
    <w:rsid w:val="6BA33D7F"/>
    <w:rsid w:val="6BC703C0"/>
    <w:rsid w:val="6BCB7818"/>
    <w:rsid w:val="6BF23043"/>
    <w:rsid w:val="6BF32268"/>
    <w:rsid w:val="6BFB7D72"/>
    <w:rsid w:val="6BFC2786"/>
    <w:rsid w:val="6C0D5A20"/>
    <w:rsid w:val="6C1E03F6"/>
    <w:rsid w:val="6C2C2459"/>
    <w:rsid w:val="6C3867D3"/>
    <w:rsid w:val="6C3D3F2D"/>
    <w:rsid w:val="6C3F0B24"/>
    <w:rsid w:val="6C4B7810"/>
    <w:rsid w:val="6C887360"/>
    <w:rsid w:val="6C8D1696"/>
    <w:rsid w:val="6C941171"/>
    <w:rsid w:val="6CA218CA"/>
    <w:rsid w:val="6CD27CEA"/>
    <w:rsid w:val="6CD57E78"/>
    <w:rsid w:val="6D1A4E80"/>
    <w:rsid w:val="6D3343BE"/>
    <w:rsid w:val="6D46263C"/>
    <w:rsid w:val="6D476454"/>
    <w:rsid w:val="6D484037"/>
    <w:rsid w:val="6D5A55A1"/>
    <w:rsid w:val="6D710B57"/>
    <w:rsid w:val="6D8F6200"/>
    <w:rsid w:val="6DB07064"/>
    <w:rsid w:val="6DC45C8A"/>
    <w:rsid w:val="6E2C05BA"/>
    <w:rsid w:val="6E39307B"/>
    <w:rsid w:val="6E3F2CCE"/>
    <w:rsid w:val="6E405F4A"/>
    <w:rsid w:val="6E704D3B"/>
    <w:rsid w:val="6E875598"/>
    <w:rsid w:val="6E8E28B2"/>
    <w:rsid w:val="6EB25336"/>
    <w:rsid w:val="6EBC51F3"/>
    <w:rsid w:val="6ECB2092"/>
    <w:rsid w:val="6ECB75C0"/>
    <w:rsid w:val="6ECD2F7C"/>
    <w:rsid w:val="6EF9226B"/>
    <w:rsid w:val="6F0247A4"/>
    <w:rsid w:val="6F094974"/>
    <w:rsid w:val="6F0C2BFB"/>
    <w:rsid w:val="6F17672B"/>
    <w:rsid w:val="6F1B2BD3"/>
    <w:rsid w:val="6F2C13F5"/>
    <w:rsid w:val="6F2C770E"/>
    <w:rsid w:val="6F593630"/>
    <w:rsid w:val="6F9C5F4F"/>
    <w:rsid w:val="6FB8455F"/>
    <w:rsid w:val="6FB91458"/>
    <w:rsid w:val="6FCB62BA"/>
    <w:rsid w:val="6FFA1703"/>
    <w:rsid w:val="70151F71"/>
    <w:rsid w:val="70206BB3"/>
    <w:rsid w:val="702D243B"/>
    <w:rsid w:val="703644CA"/>
    <w:rsid w:val="70556F3F"/>
    <w:rsid w:val="70730315"/>
    <w:rsid w:val="70784492"/>
    <w:rsid w:val="709A551D"/>
    <w:rsid w:val="70B10BBB"/>
    <w:rsid w:val="70B34E7A"/>
    <w:rsid w:val="70CB12D9"/>
    <w:rsid w:val="70CF1289"/>
    <w:rsid w:val="70D079F5"/>
    <w:rsid w:val="70EB6B99"/>
    <w:rsid w:val="70EC036D"/>
    <w:rsid w:val="70FF4E43"/>
    <w:rsid w:val="70FF5B11"/>
    <w:rsid w:val="71000A51"/>
    <w:rsid w:val="71137217"/>
    <w:rsid w:val="712F58B4"/>
    <w:rsid w:val="714149A1"/>
    <w:rsid w:val="715D41FB"/>
    <w:rsid w:val="71687318"/>
    <w:rsid w:val="71A3547D"/>
    <w:rsid w:val="71CD678B"/>
    <w:rsid w:val="71E963C9"/>
    <w:rsid w:val="71F372EB"/>
    <w:rsid w:val="71F97AA3"/>
    <w:rsid w:val="71FB2F3F"/>
    <w:rsid w:val="7242273F"/>
    <w:rsid w:val="72524DC3"/>
    <w:rsid w:val="72574340"/>
    <w:rsid w:val="727C1491"/>
    <w:rsid w:val="72967050"/>
    <w:rsid w:val="72A031B5"/>
    <w:rsid w:val="72B240BE"/>
    <w:rsid w:val="72B27DED"/>
    <w:rsid w:val="72B566B1"/>
    <w:rsid w:val="72BC0BF9"/>
    <w:rsid w:val="72C9415F"/>
    <w:rsid w:val="72D14842"/>
    <w:rsid w:val="72D37761"/>
    <w:rsid w:val="72D717C0"/>
    <w:rsid w:val="72F45438"/>
    <w:rsid w:val="730456BB"/>
    <w:rsid w:val="73177AF3"/>
    <w:rsid w:val="732B7092"/>
    <w:rsid w:val="7330204A"/>
    <w:rsid w:val="735220C5"/>
    <w:rsid w:val="7362125E"/>
    <w:rsid w:val="736A47A3"/>
    <w:rsid w:val="73853395"/>
    <w:rsid w:val="73863414"/>
    <w:rsid w:val="73A078A8"/>
    <w:rsid w:val="73A7045C"/>
    <w:rsid w:val="73CA51E6"/>
    <w:rsid w:val="73CE6911"/>
    <w:rsid w:val="73CF5E6E"/>
    <w:rsid w:val="73EF6AF6"/>
    <w:rsid w:val="742413AD"/>
    <w:rsid w:val="74245699"/>
    <w:rsid w:val="742837D4"/>
    <w:rsid w:val="74425093"/>
    <w:rsid w:val="74672F69"/>
    <w:rsid w:val="746A2482"/>
    <w:rsid w:val="746D17A9"/>
    <w:rsid w:val="747576EC"/>
    <w:rsid w:val="74870825"/>
    <w:rsid w:val="748A490D"/>
    <w:rsid w:val="74C55558"/>
    <w:rsid w:val="74D85AC7"/>
    <w:rsid w:val="74F060ED"/>
    <w:rsid w:val="7507690E"/>
    <w:rsid w:val="750C4CA1"/>
    <w:rsid w:val="75101554"/>
    <w:rsid w:val="751D2BEE"/>
    <w:rsid w:val="755D3BE5"/>
    <w:rsid w:val="7562116D"/>
    <w:rsid w:val="757C7A9C"/>
    <w:rsid w:val="757D33CC"/>
    <w:rsid w:val="758461E8"/>
    <w:rsid w:val="758A6551"/>
    <w:rsid w:val="759A19ED"/>
    <w:rsid w:val="75A042AA"/>
    <w:rsid w:val="75C36B26"/>
    <w:rsid w:val="75CD37C6"/>
    <w:rsid w:val="75DC2DB7"/>
    <w:rsid w:val="75E32B1D"/>
    <w:rsid w:val="75EC2E8A"/>
    <w:rsid w:val="76032837"/>
    <w:rsid w:val="76125315"/>
    <w:rsid w:val="7638520B"/>
    <w:rsid w:val="765066A5"/>
    <w:rsid w:val="766E3BB5"/>
    <w:rsid w:val="76897870"/>
    <w:rsid w:val="76AA37AA"/>
    <w:rsid w:val="76C67EF9"/>
    <w:rsid w:val="76C84CCD"/>
    <w:rsid w:val="76F01E2B"/>
    <w:rsid w:val="76F22868"/>
    <w:rsid w:val="77045D62"/>
    <w:rsid w:val="770A2942"/>
    <w:rsid w:val="77384072"/>
    <w:rsid w:val="77410D37"/>
    <w:rsid w:val="774F0625"/>
    <w:rsid w:val="77672932"/>
    <w:rsid w:val="7782776C"/>
    <w:rsid w:val="77C60B09"/>
    <w:rsid w:val="77E047BF"/>
    <w:rsid w:val="77E3110A"/>
    <w:rsid w:val="78087C0A"/>
    <w:rsid w:val="783402FB"/>
    <w:rsid w:val="783B409E"/>
    <w:rsid w:val="78595B08"/>
    <w:rsid w:val="787852A2"/>
    <w:rsid w:val="7892463D"/>
    <w:rsid w:val="78A12D04"/>
    <w:rsid w:val="78A82F32"/>
    <w:rsid w:val="78B44EA8"/>
    <w:rsid w:val="78CF67C4"/>
    <w:rsid w:val="78DA641E"/>
    <w:rsid w:val="78E131DA"/>
    <w:rsid w:val="78E81464"/>
    <w:rsid w:val="79026409"/>
    <w:rsid w:val="79076B57"/>
    <w:rsid w:val="791B26B4"/>
    <w:rsid w:val="794B56E6"/>
    <w:rsid w:val="795D5ACB"/>
    <w:rsid w:val="795F5CCF"/>
    <w:rsid w:val="79A96F62"/>
    <w:rsid w:val="79DA536E"/>
    <w:rsid w:val="79F124F2"/>
    <w:rsid w:val="79F532FD"/>
    <w:rsid w:val="7A3610CC"/>
    <w:rsid w:val="7A60697D"/>
    <w:rsid w:val="7A7D43E3"/>
    <w:rsid w:val="7A9651DE"/>
    <w:rsid w:val="7A9E1199"/>
    <w:rsid w:val="7AA01F48"/>
    <w:rsid w:val="7AA37705"/>
    <w:rsid w:val="7ABA4D69"/>
    <w:rsid w:val="7AC469E9"/>
    <w:rsid w:val="7AD2020C"/>
    <w:rsid w:val="7ADB1D8A"/>
    <w:rsid w:val="7AE1116D"/>
    <w:rsid w:val="7AF62569"/>
    <w:rsid w:val="7B0A05EE"/>
    <w:rsid w:val="7B1D7382"/>
    <w:rsid w:val="7B271B05"/>
    <w:rsid w:val="7B3F01F5"/>
    <w:rsid w:val="7B7F7CAC"/>
    <w:rsid w:val="7B835C42"/>
    <w:rsid w:val="7BDA6932"/>
    <w:rsid w:val="7BE121BC"/>
    <w:rsid w:val="7BF25336"/>
    <w:rsid w:val="7BF81ADB"/>
    <w:rsid w:val="7BFB40BE"/>
    <w:rsid w:val="7BFC10C4"/>
    <w:rsid w:val="7C053EEA"/>
    <w:rsid w:val="7C303DC7"/>
    <w:rsid w:val="7C3B39C7"/>
    <w:rsid w:val="7C4D5033"/>
    <w:rsid w:val="7C660A57"/>
    <w:rsid w:val="7C6B6D07"/>
    <w:rsid w:val="7C8B5068"/>
    <w:rsid w:val="7C8C2CA4"/>
    <w:rsid w:val="7CC21E81"/>
    <w:rsid w:val="7CDE1C69"/>
    <w:rsid w:val="7D082E8B"/>
    <w:rsid w:val="7D2F14F1"/>
    <w:rsid w:val="7D761851"/>
    <w:rsid w:val="7D7E530B"/>
    <w:rsid w:val="7D8442D2"/>
    <w:rsid w:val="7D95465E"/>
    <w:rsid w:val="7D9A6D7A"/>
    <w:rsid w:val="7DA5350B"/>
    <w:rsid w:val="7DB75509"/>
    <w:rsid w:val="7DD124DB"/>
    <w:rsid w:val="7DD961C4"/>
    <w:rsid w:val="7E100392"/>
    <w:rsid w:val="7E1846B6"/>
    <w:rsid w:val="7E192C83"/>
    <w:rsid w:val="7E2A13A3"/>
    <w:rsid w:val="7E4176C5"/>
    <w:rsid w:val="7E560423"/>
    <w:rsid w:val="7E5B281F"/>
    <w:rsid w:val="7E9C52E7"/>
    <w:rsid w:val="7E9C7095"/>
    <w:rsid w:val="7EAB487A"/>
    <w:rsid w:val="7EB4068F"/>
    <w:rsid w:val="7EBE12A4"/>
    <w:rsid w:val="7EC77481"/>
    <w:rsid w:val="7F29120C"/>
    <w:rsid w:val="7F3B7177"/>
    <w:rsid w:val="7F3C493D"/>
    <w:rsid w:val="7F3D0996"/>
    <w:rsid w:val="7F4D6B12"/>
    <w:rsid w:val="7F5D2459"/>
    <w:rsid w:val="7F6711ED"/>
    <w:rsid w:val="7F753532"/>
    <w:rsid w:val="7F9A11A0"/>
    <w:rsid w:val="7FCD59AE"/>
    <w:rsid w:val="7FE27484"/>
    <w:rsid w:val="7FF31F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0" w:semiHidden="0" w:name="List"/>
    <w:lsdException w:uiPriority="99" w:name="List Bullet"/>
    <w:lsdException w:uiPriority="99" w:name="List Number"/>
    <w:lsdException w:qFormat="1" w:uiPriority="0" w:semiHidden="0" w:name="List 2"/>
    <w:lsdException w:uiPriority="99" w:name="List 3"/>
    <w:lsdException w:uiPriority="99" w:name="List 4"/>
    <w:lsdException w:uiPriority="99" w:name="List 5"/>
    <w:lsdException w:qFormat="1" w:uiPriority="0" w:semiHidden="0" w:name="List Bullet 2"/>
    <w:lsdException w:qFormat="1" w:uiPriority="0" w:semiHidden="0"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iPriority="0" w:semiHidden="0" w:name="Body Text 2"/>
    <w:lsdException w:qFormat="1" w:uiPriority="0" w:semiHidden="0" w:name="Body Text 3"/>
    <w:lsdException w:qFormat="1" w:uiPriority="0" w:semiHidden="0" w:name="Body Text Indent 2"/>
    <w:lsdException w:qFormat="1" w:uiPriority="0" w:semiHidden="0" w:name="Body Text Indent 3"/>
    <w:lsdException w:uiPriority="99" w:name="Block Text"/>
    <w:lsdException w:qFormat="1" w:uiPriority="99" w:semiHidden="0" w:name="Hyperlink"/>
    <w:lsdException w:qFormat="1" w:uiPriority="0"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pPr>
    <w:rPr>
      <w:rFonts w:ascii="宋体" w:hAnsi="宋体" w:eastAsia="宋体" w:cs="Times New Roman"/>
      <w:kern w:val="2"/>
      <w:sz w:val="24"/>
      <w:szCs w:val="24"/>
      <w:lang w:val="en-US" w:eastAsia="zh-CN" w:bidi="ar-SA"/>
    </w:rPr>
  </w:style>
  <w:style w:type="paragraph" w:styleId="3">
    <w:name w:val="heading 1"/>
    <w:basedOn w:val="1"/>
    <w:next w:val="1"/>
    <w:link w:val="51"/>
    <w:qFormat/>
    <w:uiPriority w:val="0"/>
    <w:pPr>
      <w:keepNext/>
      <w:keepLines/>
      <w:adjustRightInd w:val="0"/>
      <w:snapToGrid w:val="0"/>
      <w:ind w:firstLine="0" w:firstLineChars="0"/>
      <w:jc w:val="center"/>
      <w:outlineLvl w:val="0"/>
    </w:pPr>
    <w:rPr>
      <w:b/>
      <w:bCs/>
      <w:kern w:val="44"/>
      <w:sz w:val="32"/>
      <w:szCs w:val="52"/>
    </w:rPr>
  </w:style>
  <w:style w:type="paragraph" w:styleId="4">
    <w:name w:val="heading 2"/>
    <w:basedOn w:val="1"/>
    <w:next w:val="1"/>
    <w:link w:val="108"/>
    <w:qFormat/>
    <w:uiPriority w:val="0"/>
    <w:pPr>
      <w:keepNext/>
      <w:keepLines/>
      <w:adjustRightInd w:val="0"/>
      <w:snapToGrid w:val="0"/>
      <w:ind w:firstLine="0" w:firstLineChars="0"/>
      <w:outlineLvl w:val="1"/>
    </w:pPr>
    <w:rPr>
      <w:b/>
      <w:bCs/>
      <w:sz w:val="28"/>
      <w:szCs w:val="32"/>
    </w:rPr>
  </w:style>
  <w:style w:type="paragraph" w:styleId="5">
    <w:name w:val="heading 3"/>
    <w:basedOn w:val="1"/>
    <w:next w:val="1"/>
    <w:link w:val="52"/>
    <w:qFormat/>
    <w:uiPriority w:val="0"/>
    <w:pPr>
      <w:keepNext/>
      <w:keepLines/>
      <w:adjustRightInd w:val="0"/>
      <w:snapToGrid w:val="0"/>
      <w:ind w:firstLine="0" w:firstLineChars="0"/>
      <w:outlineLvl w:val="2"/>
    </w:pPr>
    <w:rPr>
      <w:b/>
      <w:bCs/>
      <w:szCs w:val="32"/>
    </w:rPr>
  </w:style>
  <w:style w:type="paragraph" w:styleId="6">
    <w:name w:val="heading 4"/>
    <w:basedOn w:val="1"/>
    <w:next w:val="1"/>
    <w:link w:val="95"/>
    <w:qFormat/>
    <w:uiPriority w:val="9"/>
    <w:pPr>
      <w:keepNext/>
      <w:keepLines/>
      <w:adjustRightInd w:val="0"/>
      <w:snapToGrid w:val="0"/>
      <w:outlineLvl w:val="3"/>
    </w:pPr>
    <w:rPr>
      <w:rFonts w:ascii="Cambria" w:hAnsi="Cambria"/>
      <w:b/>
      <w:bCs/>
      <w:sz w:val="21"/>
      <w:szCs w:val="28"/>
    </w:rPr>
  </w:style>
  <w:style w:type="paragraph" w:styleId="7">
    <w:name w:val="heading 5"/>
    <w:basedOn w:val="1"/>
    <w:next w:val="1"/>
    <w:unhideWhenUsed/>
    <w:qFormat/>
    <w:uiPriority w:val="9"/>
    <w:pPr>
      <w:keepNext/>
      <w:keepLines/>
      <w:spacing w:before="280" w:after="290" w:line="372" w:lineRule="auto"/>
      <w:outlineLvl w:val="4"/>
    </w:pPr>
    <w:rPr>
      <w:b/>
      <w:sz w:val="28"/>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1"/>
    <w:link w:val="59"/>
    <w:unhideWhenUsed/>
    <w:qFormat/>
    <w:uiPriority w:val="0"/>
    <w:pPr>
      <w:widowControl/>
      <w:autoSpaceDE w:val="0"/>
      <w:autoSpaceDN w:val="0"/>
      <w:snapToGrid w:val="0"/>
      <w:spacing w:before="120" w:line="400" w:lineRule="atLeast"/>
      <w:ind w:firstLine="570" w:firstLineChars="0"/>
    </w:pPr>
    <w:rPr>
      <w:kern w:val="0"/>
      <w:szCs w:val="20"/>
    </w:rPr>
  </w:style>
  <w:style w:type="paragraph" w:styleId="8">
    <w:name w:val="toc 7"/>
    <w:basedOn w:val="1"/>
    <w:next w:val="1"/>
    <w:unhideWhenUsed/>
    <w:qFormat/>
    <w:uiPriority w:val="39"/>
    <w:pPr>
      <w:spacing w:line="240" w:lineRule="auto"/>
      <w:ind w:left="1260" w:firstLine="0" w:firstLineChars="0"/>
    </w:pPr>
    <w:rPr>
      <w:szCs w:val="21"/>
    </w:rPr>
  </w:style>
  <w:style w:type="paragraph" w:styleId="9">
    <w:name w:val="Normal Indent"/>
    <w:basedOn w:val="1"/>
    <w:link w:val="80"/>
    <w:unhideWhenUsed/>
    <w:qFormat/>
    <w:uiPriority w:val="0"/>
    <w:pPr>
      <w:spacing w:line="240" w:lineRule="auto"/>
      <w:ind w:firstLine="420" w:firstLineChars="0"/>
    </w:pPr>
    <w:rPr>
      <w:sz w:val="21"/>
    </w:rPr>
  </w:style>
  <w:style w:type="paragraph" w:styleId="10">
    <w:name w:val="Document Map"/>
    <w:basedOn w:val="1"/>
    <w:link w:val="103"/>
    <w:unhideWhenUsed/>
    <w:qFormat/>
    <w:uiPriority w:val="0"/>
    <w:rPr>
      <w:kern w:val="0"/>
      <w:sz w:val="18"/>
      <w:szCs w:val="18"/>
    </w:rPr>
  </w:style>
  <w:style w:type="paragraph" w:styleId="11">
    <w:name w:val="annotation text"/>
    <w:basedOn w:val="1"/>
    <w:link w:val="58"/>
    <w:unhideWhenUsed/>
    <w:qFormat/>
    <w:uiPriority w:val="0"/>
    <w:pPr>
      <w:spacing w:line="240" w:lineRule="auto"/>
      <w:ind w:firstLine="0" w:firstLineChars="0"/>
    </w:pPr>
    <w:rPr>
      <w:sz w:val="21"/>
    </w:rPr>
  </w:style>
  <w:style w:type="paragraph" w:styleId="12">
    <w:name w:val="Body Text 3"/>
    <w:basedOn w:val="1"/>
    <w:link w:val="107"/>
    <w:unhideWhenUsed/>
    <w:qFormat/>
    <w:uiPriority w:val="0"/>
    <w:pPr>
      <w:spacing w:line="440" w:lineRule="atLeast"/>
      <w:ind w:firstLine="0" w:firstLineChars="0"/>
      <w:jc w:val="center"/>
    </w:pPr>
    <w:rPr>
      <w:rFonts w:ascii="楷体_GB2312" w:eastAsia="楷体_GB2312"/>
      <w:b/>
      <w:color w:val="000000"/>
      <w:sz w:val="30"/>
    </w:rPr>
  </w:style>
  <w:style w:type="paragraph" w:styleId="13">
    <w:name w:val="List Bullet 3"/>
    <w:basedOn w:val="1"/>
    <w:unhideWhenUsed/>
    <w:qFormat/>
    <w:uiPriority w:val="0"/>
    <w:pPr>
      <w:numPr>
        <w:ilvl w:val="0"/>
        <w:numId w:val="1"/>
      </w:numPr>
      <w:tabs>
        <w:tab w:val="left" w:pos="720"/>
      </w:tabs>
      <w:spacing w:line="240" w:lineRule="auto"/>
      <w:ind w:firstLine="0" w:firstLineChars="0"/>
    </w:pPr>
  </w:style>
  <w:style w:type="paragraph" w:styleId="14">
    <w:name w:val="Body Text"/>
    <w:basedOn w:val="1"/>
    <w:next w:val="1"/>
    <w:link w:val="53"/>
    <w:unhideWhenUsed/>
    <w:qFormat/>
    <w:uiPriority w:val="0"/>
    <w:pPr>
      <w:adjustRightInd w:val="0"/>
      <w:spacing w:line="315" w:lineRule="atLeast"/>
      <w:ind w:firstLine="0" w:firstLineChars="0"/>
    </w:pPr>
    <w:rPr>
      <w:rFonts w:ascii="仿宋_GB2312" w:eastAsia="仿宋_GB2312"/>
      <w:kern w:val="0"/>
      <w:sz w:val="28"/>
      <w:szCs w:val="20"/>
    </w:rPr>
  </w:style>
  <w:style w:type="paragraph" w:styleId="15">
    <w:name w:val="List 2"/>
    <w:basedOn w:val="1"/>
    <w:unhideWhenUsed/>
    <w:qFormat/>
    <w:uiPriority w:val="0"/>
    <w:pPr>
      <w:spacing w:line="240" w:lineRule="auto"/>
      <w:ind w:left="100" w:leftChars="200" w:hanging="200" w:hangingChars="200"/>
    </w:pPr>
  </w:style>
  <w:style w:type="paragraph" w:styleId="16">
    <w:name w:val="List Bullet 2"/>
    <w:basedOn w:val="1"/>
    <w:next w:val="13"/>
    <w:unhideWhenUsed/>
    <w:qFormat/>
    <w:uiPriority w:val="0"/>
    <w:pPr>
      <w:numPr>
        <w:ilvl w:val="0"/>
        <w:numId w:val="2"/>
      </w:numPr>
      <w:tabs>
        <w:tab w:val="left" w:pos="780"/>
      </w:tabs>
      <w:spacing w:after="100" w:afterAutospacing="1" w:line="240" w:lineRule="auto"/>
      <w:ind w:firstLine="0" w:firstLineChars="0"/>
    </w:pPr>
    <w:rPr>
      <w:rFonts w:eastAsia="仿宋_GB2312"/>
    </w:rPr>
  </w:style>
  <w:style w:type="paragraph" w:styleId="17">
    <w:name w:val="toc 5"/>
    <w:basedOn w:val="1"/>
    <w:next w:val="1"/>
    <w:unhideWhenUsed/>
    <w:qFormat/>
    <w:uiPriority w:val="39"/>
    <w:pPr>
      <w:spacing w:line="240" w:lineRule="auto"/>
      <w:ind w:left="840" w:firstLine="0" w:firstLineChars="0"/>
    </w:pPr>
    <w:rPr>
      <w:szCs w:val="21"/>
    </w:rPr>
  </w:style>
  <w:style w:type="paragraph" w:styleId="18">
    <w:name w:val="toc 3"/>
    <w:basedOn w:val="1"/>
    <w:next w:val="1"/>
    <w:unhideWhenUsed/>
    <w:qFormat/>
    <w:uiPriority w:val="39"/>
    <w:pPr>
      <w:spacing w:line="240" w:lineRule="auto"/>
      <w:ind w:left="420" w:firstLine="0" w:firstLineChars="0"/>
    </w:pPr>
    <w:rPr>
      <w:i/>
      <w:iCs/>
    </w:rPr>
  </w:style>
  <w:style w:type="paragraph" w:styleId="19">
    <w:name w:val="Plain Text"/>
    <w:basedOn w:val="1"/>
    <w:link w:val="64"/>
    <w:unhideWhenUsed/>
    <w:qFormat/>
    <w:uiPriority w:val="0"/>
    <w:pPr>
      <w:spacing w:line="240" w:lineRule="auto"/>
      <w:ind w:firstLine="0" w:firstLineChars="0"/>
    </w:pPr>
    <w:rPr>
      <w:rFonts w:hAnsi="Courier New"/>
      <w:sz w:val="21"/>
      <w:szCs w:val="20"/>
    </w:rPr>
  </w:style>
  <w:style w:type="paragraph" w:styleId="20">
    <w:name w:val="toc 8"/>
    <w:basedOn w:val="1"/>
    <w:next w:val="1"/>
    <w:unhideWhenUsed/>
    <w:qFormat/>
    <w:uiPriority w:val="39"/>
    <w:pPr>
      <w:spacing w:line="240" w:lineRule="auto"/>
      <w:ind w:left="1470" w:firstLine="0" w:firstLineChars="0"/>
    </w:pPr>
    <w:rPr>
      <w:szCs w:val="21"/>
    </w:rPr>
  </w:style>
  <w:style w:type="paragraph" w:styleId="21">
    <w:name w:val="Date"/>
    <w:basedOn w:val="1"/>
    <w:next w:val="1"/>
    <w:link w:val="68"/>
    <w:unhideWhenUsed/>
    <w:qFormat/>
    <w:uiPriority w:val="0"/>
    <w:pPr>
      <w:spacing w:line="240" w:lineRule="auto"/>
      <w:ind w:left="100" w:leftChars="2500" w:firstLine="0" w:firstLineChars="0"/>
    </w:pPr>
    <w:rPr>
      <w:color w:val="000000"/>
    </w:rPr>
  </w:style>
  <w:style w:type="paragraph" w:styleId="22">
    <w:name w:val="Body Text Indent 2"/>
    <w:basedOn w:val="1"/>
    <w:link w:val="56"/>
    <w:unhideWhenUsed/>
    <w:qFormat/>
    <w:uiPriority w:val="0"/>
    <w:pPr>
      <w:widowControl/>
      <w:spacing w:line="480" w:lineRule="atLeast"/>
      <w:ind w:firstLine="480" w:firstLineChars="0"/>
    </w:pPr>
    <w:rPr>
      <w:kern w:val="0"/>
      <w:szCs w:val="20"/>
    </w:rPr>
  </w:style>
  <w:style w:type="paragraph" w:styleId="23">
    <w:name w:val="Balloon Text"/>
    <w:basedOn w:val="1"/>
    <w:link w:val="85"/>
    <w:unhideWhenUsed/>
    <w:qFormat/>
    <w:uiPriority w:val="0"/>
    <w:rPr>
      <w:kern w:val="0"/>
      <w:sz w:val="18"/>
      <w:szCs w:val="18"/>
    </w:rPr>
  </w:style>
  <w:style w:type="paragraph" w:styleId="24">
    <w:name w:val="footer"/>
    <w:basedOn w:val="1"/>
    <w:link w:val="93"/>
    <w:unhideWhenUsed/>
    <w:qFormat/>
    <w:uiPriority w:val="99"/>
    <w:pPr>
      <w:tabs>
        <w:tab w:val="center" w:pos="4153"/>
        <w:tab w:val="right" w:pos="8306"/>
      </w:tabs>
      <w:snapToGrid w:val="0"/>
    </w:pPr>
    <w:rPr>
      <w:kern w:val="0"/>
      <w:sz w:val="18"/>
      <w:szCs w:val="18"/>
    </w:rPr>
  </w:style>
  <w:style w:type="paragraph" w:styleId="25">
    <w:name w:val="header"/>
    <w:basedOn w:val="1"/>
    <w:link w:val="90"/>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26">
    <w:name w:val="toc 1"/>
    <w:basedOn w:val="1"/>
    <w:next w:val="1"/>
    <w:unhideWhenUsed/>
    <w:qFormat/>
    <w:uiPriority w:val="39"/>
    <w:pPr>
      <w:tabs>
        <w:tab w:val="right" w:leader="dot" w:pos="8296"/>
      </w:tabs>
      <w:ind w:firstLine="0" w:firstLineChars="0"/>
    </w:pPr>
  </w:style>
  <w:style w:type="paragraph" w:styleId="27">
    <w:name w:val="toc 4"/>
    <w:basedOn w:val="1"/>
    <w:next w:val="1"/>
    <w:unhideWhenUsed/>
    <w:qFormat/>
    <w:uiPriority w:val="39"/>
    <w:pPr>
      <w:spacing w:line="240" w:lineRule="auto"/>
      <w:ind w:left="630" w:firstLine="0" w:firstLineChars="0"/>
    </w:pPr>
    <w:rPr>
      <w:szCs w:val="21"/>
    </w:rPr>
  </w:style>
  <w:style w:type="paragraph" w:styleId="28">
    <w:name w:val="List"/>
    <w:basedOn w:val="1"/>
    <w:unhideWhenUsed/>
    <w:qFormat/>
    <w:uiPriority w:val="0"/>
    <w:pPr>
      <w:spacing w:line="240" w:lineRule="auto"/>
      <w:ind w:left="420" w:hanging="420" w:firstLineChars="0"/>
    </w:pPr>
    <w:rPr>
      <w:szCs w:val="20"/>
    </w:rPr>
  </w:style>
  <w:style w:type="paragraph" w:styleId="29">
    <w:name w:val="toc 6"/>
    <w:basedOn w:val="1"/>
    <w:next w:val="1"/>
    <w:unhideWhenUsed/>
    <w:qFormat/>
    <w:uiPriority w:val="39"/>
    <w:pPr>
      <w:spacing w:line="240" w:lineRule="auto"/>
      <w:ind w:left="1050" w:firstLine="0" w:firstLineChars="0"/>
    </w:pPr>
    <w:rPr>
      <w:szCs w:val="21"/>
    </w:rPr>
  </w:style>
  <w:style w:type="paragraph" w:styleId="30">
    <w:name w:val="Body Text Indent 3"/>
    <w:basedOn w:val="1"/>
    <w:link w:val="94"/>
    <w:unhideWhenUsed/>
    <w:qFormat/>
    <w:uiPriority w:val="0"/>
    <w:pPr>
      <w:autoSpaceDE w:val="0"/>
      <w:autoSpaceDN w:val="0"/>
      <w:spacing w:line="400" w:lineRule="atLeast"/>
      <w:ind w:firstLine="443"/>
    </w:pPr>
    <w:rPr>
      <w:rFonts w:eastAsia="黑体"/>
      <w:color w:val="000000"/>
    </w:rPr>
  </w:style>
  <w:style w:type="paragraph" w:styleId="31">
    <w:name w:val="toc 2"/>
    <w:basedOn w:val="1"/>
    <w:next w:val="1"/>
    <w:unhideWhenUsed/>
    <w:qFormat/>
    <w:uiPriority w:val="39"/>
    <w:pPr>
      <w:tabs>
        <w:tab w:val="right" w:leader="dot" w:pos="8296"/>
      </w:tabs>
      <w:ind w:left="420" w:leftChars="200" w:firstLine="0" w:firstLineChars="0"/>
    </w:pPr>
  </w:style>
  <w:style w:type="paragraph" w:styleId="32">
    <w:name w:val="toc 9"/>
    <w:basedOn w:val="1"/>
    <w:next w:val="1"/>
    <w:unhideWhenUsed/>
    <w:qFormat/>
    <w:uiPriority w:val="39"/>
    <w:pPr>
      <w:spacing w:line="240" w:lineRule="auto"/>
      <w:ind w:left="1680" w:firstLine="0" w:firstLineChars="0"/>
    </w:pPr>
    <w:rPr>
      <w:szCs w:val="21"/>
    </w:rPr>
  </w:style>
  <w:style w:type="paragraph" w:styleId="33">
    <w:name w:val="Body Text 2"/>
    <w:basedOn w:val="1"/>
    <w:link w:val="101"/>
    <w:unhideWhenUsed/>
    <w:qFormat/>
    <w:uiPriority w:val="0"/>
    <w:pPr>
      <w:spacing w:line="240" w:lineRule="auto"/>
      <w:ind w:firstLine="0" w:firstLineChars="0"/>
    </w:pPr>
    <w:rPr>
      <w:b/>
      <w:bCs/>
      <w:color w:val="000000"/>
      <w:sz w:val="28"/>
    </w:rPr>
  </w:style>
  <w:style w:type="paragraph" w:styleId="34">
    <w:name w:val="HTML Preformatted"/>
    <w:basedOn w:val="1"/>
    <w:link w:val="66"/>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pPr>
    <w:rPr>
      <w:rFonts w:ascii="Arial Unicode MS" w:hAnsi="Arial Unicode MS" w:eastAsia="Arial Unicode MS"/>
      <w:kern w:val="0"/>
      <w:sz w:val="20"/>
      <w:szCs w:val="20"/>
    </w:rPr>
  </w:style>
  <w:style w:type="paragraph" w:styleId="35">
    <w:name w:val="Normal (Web)"/>
    <w:basedOn w:val="1"/>
    <w:unhideWhenUsed/>
    <w:qFormat/>
    <w:uiPriority w:val="0"/>
    <w:pPr>
      <w:widowControl/>
      <w:spacing w:before="100" w:beforeAutospacing="1" w:after="100" w:afterAutospacing="1" w:line="240" w:lineRule="auto"/>
      <w:ind w:firstLine="0" w:firstLineChars="0"/>
    </w:pPr>
    <w:rPr>
      <w:kern w:val="0"/>
    </w:rPr>
  </w:style>
  <w:style w:type="paragraph" w:styleId="36">
    <w:name w:val="Title"/>
    <w:basedOn w:val="1"/>
    <w:link w:val="88"/>
    <w:qFormat/>
    <w:uiPriority w:val="0"/>
    <w:pPr>
      <w:spacing w:line="240" w:lineRule="auto"/>
      <w:ind w:firstLine="0" w:firstLineChars="0"/>
      <w:jc w:val="center"/>
    </w:pPr>
    <w:rPr>
      <w:sz w:val="30"/>
    </w:rPr>
  </w:style>
  <w:style w:type="paragraph" w:styleId="37">
    <w:name w:val="annotation subject"/>
    <w:basedOn w:val="11"/>
    <w:next w:val="11"/>
    <w:link w:val="104"/>
    <w:unhideWhenUsed/>
    <w:qFormat/>
    <w:uiPriority w:val="0"/>
    <w:rPr>
      <w:b/>
      <w:bCs/>
    </w:rPr>
  </w:style>
  <w:style w:type="paragraph" w:styleId="38">
    <w:name w:val="Body Text First Indent"/>
    <w:basedOn w:val="14"/>
    <w:unhideWhenUsed/>
    <w:qFormat/>
    <w:uiPriority w:val="99"/>
    <w:pPr>
      <w:ind w:firstLine="420" w:firstLineChars="100"/>
    </w:pPr>
  </w:style>
  <w:style w:type="paragraph" w:styleId="39">
    <w:name w:val="Body Text First Indent 2"/>
    <w:basedOn w:val="2"/>
    <w:qFormat/>
    <w:uiPriority w:val="0"/>
    <w:pPr>
      <w:ind w:firstLine="420" w:firstLineChars="200"/>
    </w:pPr>
  </w:style>
  <w:style w:type="table" w:styleId="41">
    <w:name w:val="Table Grid"/>
    <w:basedOn w:val="4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22"/>
    <w:rPr>
      <w:b/>
    </w:rPr>
  </w:style>
  <w:style w:type="character" w:styleId="44">
    <w:name w:val="page number"/>
    <w:basedOn w:val="42"/>
    <w:qFormat/>
    <w:uiPriority w:val="0"/>
  </w:style>
  <w:style w:type="character" w:styleId="45">
    <w:name w:val="FollowedHyperlink"/>
    <w:unhideWhenUsed/>
    <w:qFormat/>
    <w:uiPriority w:val="0"/>
    <w:rPr>
      <w:color w:val="800080"/>
      <w:u w:val="single"/>
    </w:rPr>
  </w:style>
  <w:style w:type="character" w:styleId="46">
    <w:name w:val="Hyperlink"/>
    <w:unhideWhenUsed/>
    <w:qFormat/>
    <w:uiPriority w:val="99"/>
    <w:rPr>
      <w:color w:val="0000FF"/>
      <w:u w:val="single"/>
    </w:rPr>
  </w:style>
  <w:style w:type="character" w:styleId="47">
    <w:name w:val="annotation reference"/>
    <w:unhideWhenUsed/>
    <w:qFormat/>
    <w:uiPriority w:val="0"/>
    <w:rPr>
      <w:sz w:val="21"/>
      <w:szCs w:val="21"/>
    </w:rPr>
  </w:style>
  <w:style w:type="paragraph" w:customStyle="1" w:styleId="48">
    <w:name w:val="Default"/>
    <w:next w:val="49"/>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49">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50">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51">
    <w:name w:val="标题 1 字符"/>
    <w:link w:val="3"/>
    <w:qFormat/>
    <w:uiPriority w:val="0"/>
    <w:rPr>
      <w:rFonts w:ascii="宋体" w:hAnsi="宋体" w:eastAsia="宋体" w:cs="宋体"/>
      <w:b/>
      <w:bCs/>
      <w:kern w:val="44"/>
      <w:sz w:val="32"/>
      <w:szCs w:val="52"/>
    </w:rPr>
  </w:style>
  <w:style w:type="character" w:customStyle="1" w:styleId="52">
    <w:name w:val="标题 3 字符1"/>
    <w:link w:val="5"/>
    <w:qFormat/>
    <w:uiPriority w:val="0"/>
    <w:rPr>
      <w:rFonts w:ascii="宋体" w:hAnsi="宋体" w:eastAsia="宋体"/>
      <w:b/>
      <w:bCs/>
      <w:kern w:val="2"/>
      <w:sz w:val="24"/>
      <w:szCs w:val="32"/>
    </w:rPr>
  </w:style>
  <w:style w:type="character" w:customStyle="1" w:styleId="53">
    <w:name w:val="正文文本 字符"/>
    <w:link w:val="14"/>
    <w:semiHidden/>
    <w:qFormat/>
    <w:uiPriority w:val="0"/>
    <w:rPr>
      <w:rFonts w:ascii="仿宋_GB2312" w:hAnsi="Times New Roman" w:eastAsia="仿宋_GB2312"/>
      <w:sz w:val="28"/>
    </w:rPr>
  </w:style>
  <w:style w:type="character" w:customStyle="1" w:styleId="54">
    <w:name w:val="Char Char2"/>
    <w:qFormat/>
    <w:uiPriority w:val="0"/>
    <w:rPr>
      <w:rFonts w:hint="eastAsia" w:ascii="宋体" w:hAnsi="Courier New" w:eastAsia="宋体"/>
      <w:kern w:val="2"/>
      <w:sz w:val="21"/>
    </w:rPr>
  </w:style>
  <w:style w:type="character" w:customStyle="1" w:styleId="55">
    <w:name w:val="页脚 字符"/>
    <w:qFormat/>
    <w:uiPriority w:val="99"/>
    <w:rPr>
      <w:rFonts w:eastAsia="宋体"/>
      <w:kern w:val="2"/>
      <w:sz w:val="18"/>
      <w:lang w:val="en-US" w:eastAsia="zh-CN" w:bidi="ar-SA"/>
    </w:rPr>
  </w:style>
  <w:style w:type="character" w:customStyle="1" w:styleId="56">
    <w:name w:val="正文文本缩进 2 字符"/>
    <w:link w:val="22"/>
    <w:semiHidden/>
    <w:qFormat/>
    <w:uiPriority w:val="0"/>
    <w:rPr>
      <w:rFonts w:ascii="宋体" w:hAnsi="Times New Roman"/>
      <w:sz w:val="24"/>
    </w:rPr>
  </w:style>
  <w:style w:type="character" w:customStyle="1" w:styleId="57">
    <w:name w:val="unnamed51"/>
    <w:qFormat/>
    <w:uiPriority w:val="0"/>
    <w:rPr>
      <w:sz w:val="22"/>
      <w:szCs w:val="22"/>
    </w:rPr>
  </w:style>
  <w:style w:type="character" w:customStyle="1" w:styleId="58">
    <w:name w:val="批注文字 字符"/>
    <w:link w:val="11"/>
    <w:semiHidden/>
    <w:qFormat/>
    <w:uiPriority w:val="0"/>
    <w:rPr>
      <w:rFonts w:ascii="Times New Roman" w:hAnsi="Times New Roman"/>
      <w:kern w:val="2"/>
      <w:sz w:val="21"/>
      <w:szCs w:val="24"/>
    </w:rPr>
  </w:style>
  <w:style w:type="character" w:customStyle="1" w:styleId="59">
    <w:name w:val="正文文本缩进 字符1"/>
    <w:link w:val="2"/>
    <w:semiHidden/>
    <w:qFormat/>
    <w:uiPriority w:val="0"/>
    <w:rPr>
      <w:rFonts w:ascii="宋体" w:hAnsi="Times New Roman"/>
      <w:sz w:val="24"/>
    </w:rPr>
  </w:style>
  <w:style w:type="character" w:customStyle="1" w:styleId="60">
    <w:name w:val="纯文本 Char"/>
    <w:qFormat/>
    <w:uiPriority w:val="0"/>
    <w:rPr>
      <w:rFonts w:ascii="宋体" w:hAnsi="Courier New" w:cs="Courier New"/>
      <w:kern w:val="2"/>
      <w:sz w:val="21"/>
      <w:szCs w:val="21"/>
    </w:rPr>
  </w:style>
  <w:style w:type="character" w:customStyle="1" w:styleId="61">
    <w:name w:val="author-p-368601"/>
    <w:qFormat/>
    <w:uiPriority w:val="0"/>
  </w:style>
  <w:style w:type="character" w:customStyle="1" w:styleId="62">
    <w:name w:val="Char Char"/>
    <w:qFormat/>
    <w:uiPriority w:val="0"/>
    <w:rPr>
      <w:rFonts w:hint="eastAsia" w:ascii="宋体" w:hAnsi="Courier New" w:eastAsia="宋体"/>
      <w:kern w:val="2"/>
      <w:sz w:val="21"/>
      <w:lang w:val="en-US" w:eastAsia="zh-CN" w:bidi="ar-SA"/>
    </w:rPr>
  </w:style>
  <w:style w:type="character" w:customStyle="1" w:styleId="63">
    <w:name w:val="font01"/>
    <w:qFormat/>
    <w:uiPriority w:val="0"/>
    <w:rPr>
      <w:rFonts w:hint="eastAsia" w:ascii="宋体" w:hAnsi="宋体" w:eastAsia="宋体" w:cs="宋体"/>
      <w:b/>
      <w:color w:val="333333"/>
      <w:sz w:val="20"/>
      <w:szCs w:val="20"/>
      <w:u w:val="none"/>
    </w:rPr>
  </w:style>
  <w:style w:type="character" w:customStyle="1" w:styleId="64">
    <w:name w:val="纯文本 字符1"/>
    <w:link w:val="19"/>
    <w:qFormat/>
    <w:locked/>
    <w:uiPriority w:val="0"/>
    <w:rPr>
      <w:rFonts w:ascii="宋体" w:hAnsi="Courier New"/>
      <w:kern w:val="2"/>
      <w:sz w:val="21"/>
    </w:rPr>
  </w:style>
  <w:style w:type="character" w:customStyle="1" w:styleId="65">
    <w:name w:val="button1"/>
    <w:qFormat/>
    <w:uiPriority w:val="0"/>
    <w:rPr>
      <w:rFonts w:hint="default" w:ascii="Verdana" w:hAnsi="Verdana"/>
      <w:b/>
      <w:bCs/>
      <w:sz w:val="20"/>
      <w:szCs w:val="20"/>
    </w:rPr>
  </w:style>
  <w:style w:type="character" w:customStyle="1" w:styleId="66">
    <w:name w:val="HTML 预设格式 字符"/>
    <w:link w:val="34"/>
    <w:semiHidden/>
    <w:qFormat/>
    <w:uiPriority w:val="0"/>
    <w:rPr>
      <w:rFonts w:ascii="Arial Unicode MS" w:hAnsi="Arial Unicode MS" w:eastAsia="Arial Unicode MS" w:cs="Arial Unicode MS"/>
    </w:rPr>
  </w:style>
  <w:style w:type="character" w:customStyle="1" w:styleId="67">
    <w:name w:val="search_content1"/>
    <w:qFormat/>
    <w:uiPriority w:val="0"/>
    <w:rPr>
      <w:sz w:val="20"/>
      <w:szCs w:val="20"/>
    </w:rPr>
  </w:style>
  <w:style w:type="character" w:customStyle="1" w:styleId="68">
    <w:name w:val="日期 字符"/>
    <w:link w:val="21"/>
    <w:semiHidden/>
    <w:qFormat/>
    <w:uiPriority w:val="0"/>
    <w:rPr>
      <w:rFonts w:ascii="Times New Roman" w:hAnsi="Times New Roman"/>
      <w:color w:val="000000"/>
      <w:kern w:val="2"/>
      <w:sz w:val="24"/>
      <w:szCs w:val="24"/>
    </w:rPr>
  </w:style>
  <w:style w:type="character" w:customStyle="1" w:styleId="69">
    <w:name w:val="标题 4 Char"/>
    <w:qFormat/>
    <w:uiPriority w:val="9"/>
    <w:rPr>
      <w:rFonts w:ascii="Cambria" w:hAnsi="Cambria" w:eastAsia="宋体" w:cs="Times New Roman"/>
      <w:b/>
      <w:bCs/>
      <w:kern w:val="2"/>
      <w:sz w:val="21"/>
      <w:szCs w:val="28"/>
    </w:rPr>
  </w:style>
  <w:style w:type="character" w:customStyle="1" w:styleId="70">
    <w:name w:val="纯文本 字符"/>
    <w:qFormat/>
    <w:uiPriority w:val="0"/>
    <w:rPr>
      <w:rFonts w:ascii="宋体" w:hAnsi="Courier New" w:eastAsia="宋体" w:cs="Courier New"/>
      <w:kern w:val="2"/>
      <w:sz w:val="21"/>
      <w:szCs w:val="21"/>
      <w:lang w:val="en-US" w:eastAsia="zh-CN" w:bidi="ar-SA"/>
    </w:rPr>
  </w:style>
  <w:style w:type="character" w:customStyle="1" w:styleId="71">
    <w:name w:val="不明显强调1"/>
    <w:qFormat/>
    <w:uiPriority w:val="0"/>
    <w:rPr>
      <w:i/>
      <w:iCs/>
      <w:color w:val="808080"/>
    </w:rPr>
  </w:style>
  <w:style w:type="character" w:customStyle="1" w:styleId="72">
    <w:name w:val="font101"/>
    <w:qFormat/>
    <w:uiPriority w:val="0"/>
    <w:rPr>
      <w:rFonts w:hint="eastAsia" w:ascii="宋体" w:hAnsi="宋体" w:eastAsia="宋体" w:cs="宋体"/>
      <w:color w:val="000000"/>
      <w:sz w:val="18"/>
      <w:szCs w:val="18"/>
      <w:u w:val="none"/>
    </w:rPr>
  </w:style>
  <w:style w:type="character" w:customStyle="1" w:styleId="73">
    <w:name w:val="font11"/>
    <w:qFormat/>
    <w:uiPriority w:val="0"/>
    <w:rPr>
      <w:rFonts w:hint="eastAsia" w:ascii="宋体" w:hAnsi="宋体" w:eastAsia="宋体" w:cs="宋体"/>
      <w:color w:val="000000"/>
      <w:sz w:val="40"/>
      <w:szCs w:val="40"/>
      <w:u w:val="none"/>
    </w:rPr>
  </w:style>
  <w:style w:type="character" w:customStyle="1" w:styleId="74">
    <w:name w:val="style8"/>
    <w:basedOn w:val="42"/>
    <w:qFormat/>
    <w:uiPriority w:val="0"/>
  </w:style>
  <w:style w:type="character" w:customStyle="1" w:styleId="75">
    <w:name w:val="hei16b1"/>
    <w:qFormat/>
    <w:uiPriority w:val="0"/>
    <w:rPr>
      <w:rFonts w:hint="default" w:ascii="Arial" w:hAnsi="Arial" w:cs="Arial"/>
      <w:b/>
      <w:bCs/>
      <w:color w:val="000000"/>
      <w:sz w:val="24"/>
      <w:szCs w:val="24"/>
    </w:rPr>
  </w:style>
  <w:style w:type="character" w:customStyle="1" w:styleId="76">
    <w:name w:val="无间隔 字符"/>
    <w:link w:val="77"/>
    <w:qFormat/>
    <w:locked/>
    <w:uiPriority w:val="0"/>
    <w:rPr>
      <w:rFonts w:cs="Calibri"/>
      <w:kern w:val="2"/>
      <w:sz w:val="21"/>
      <w:szCs w:val="22"/>
      <w:lang w:val="en-US" w:eastAsia="zh-CN" w:bidi="ar-SA"/>
    </w:rPr>
  </w:style>
  <w:style w:type="paragraph" w:styleId="77">
    <w:name w:val="No Spacing"/>
    <w:link w:val="76"/>
    <w:qFormat/>
    <w:uiPriority w:val="0"/>
    <w:pPr>
      <w:widowControl w:val="0"/>
      <w:jc w:val="both"/>
    </w:pPr>
    <w:rPr>
      <w:rFonts w:ascii="Times New Roman" w:hAnsi="Times New Roman" w:eastAsia="宋体" w:cs="Calibri"/>
      <w:kern w:val="2"/>
      <w:sz w:val="21"/>
      <w:szCs w:val="22"/>
      <w:lang w:val="en-US" w:eastAsia="zh-CN" w:bidi="ar-SA"/>
    </w:rPr>
  </w:style>
  <w:style w:type="character" w:customStyle="1" w:styleId="78">
    <w:name w:val="s"/>
    <w:basedOn w:val="42"/>
    <w:qFormat/>
    <w:uiPriority w:val="0"/>
  </w:style>
  <w:style w:type="character" w:customStyle="1" w:styleId="79">
    <w:name w:val="font71"/>
    <w:qFormat/>
    <w:uiPriority w:val="0"/>
    <w:rPr>
      <w:rFonts w:ascii="Arial" w:hAnsi="Arial" w:cs="Arial"/>
      <w:b/>
      <w:color w:val="333333"/>
      <w:sz w:val="20"/>
      <w:szCs w:val="20"/>
      <w:u w:val="none"/>
    </w:rPr>
  </w:style>
  <w:style w:type="character" w:customStyle="1" w:styleId="80">
    <w:name w:val="正文缩进 字符"/>
    <w:link w:val="9"/>
    <w:semiHidden/>
    <w:qFormat/>
    <w:locked/>
    <w:uiPriority w:val="0"/>
    <w:rPr>
      <w:kern w:val="2"/>
      <w:sz w:val="21"/>
      <w:szCs w:val="24"/>
    </w:rPr>
  </w:style>
  <w:style w:type="character" w:customStyle="1" w:styleId="81">
    <w:name w:val="标题 Char"/>
    <w:qFormat/>
    <w:uiPriority w:val="0"/>
    <w:rPr>
      <w:rFonts w:ascii="Cambria" w:hAnsi="Cambria" w:cs="Times New Roman"/>
      <w:b/>
      <w:bCs/>
      <w:kern w:val="2"/>
      <w:sz w:val="32"/>
      <w:szCs w:val="32"/>
    </w:rPr>
  </w:style>
  <w:style w:type="character" w:customStyle="1" w:styleId="82">
    <w:name w:val="正文文本首行缩进 字符"/>
    <w:link w:val="83"/>
    <w:semiHidden/>
    <w:qFormat/>
    <w:uiPriority w:val="0"/>
    <w:rPr>
      <w:rFonts w:ascii="Times New Roman" w:hAnsi="Times New Roman" w:eastAsia="仿宋_GB2312"/>
      <w:kern w:val="2"/>
      <w:sz w:val="21"/>
      <w:szCs w:val="24"/>
    </w:rPr>
  </w:style>
  <w:style w:type="paragraph" w:customStyle="1" w:styleId="83">
    <w:name w:val="正文文本首行缩进1"/>
    <w:basedOn w:val="14"/>
    <w:link w:val="82"/>
    <w:unhideWhenUsed/>
    <w:qFormat/>
    <w:uiPriority w:val="0"/>
    <w:pPr>
      <w:adjustRightInd/>
      <w:spacing w:after="120" w:line="240" w:lineRule="auto"/>
      <w:ind w:firstLine="420" w:firstLineChars="100"/>
      <w:jc w:val="both"/>
    </w:pPr>
    <w:rPr>
      <w:rFonts w:ascii="Times New Roman"/>
      <w:kern w:val="2"/>
      <w:sz w:val="21"/>
      <w:szCs w:val="24"/>
    </w:rPr>
  </w:style>
  <w:style w:type="character" w:customStyle="1" w:styleId="84">
    <w:name w:val="正文文本缩进 字符"/>
    <w:qFormat/>
    <w:uiPriority w:val="0"/>
    <w:rPr>
      <w:rFonts w:ascii="仿宋_GB2312" w:eastAsia="仿宋_GB2312"/>
      <w:kern w:val="2"/>
      <w:sz w:val="28"/>
      <w:lang w:val="en-US" w:eastAsia="zh-CN" w:bidi="ar-SA"/>
    </w:rPr>
  </w:style>
  <w:style w:type="character" w:customStyle="1" w:styleId="85">
    <w:name w:val="批注框文本 字符"/>
    <w:link w:val="23"/>
    <w:semiHidden/>
    <w:qFormat/>
    <w:uiPriority w:val="0"/>
    <w:rPr>
      <w:rFonts w:ascii="Times New Roman" w:hAnsi="Times New Roman" w:eastAsia="宋体" w:cs="Times New Roman"/>
      <w:sz w:val="18"/>
      <w:szCs w:val="18"/>
    </w:rPr>
  </w:style>
  <w:style w:type="character" w:customStyle="1" w:styleId="86">
    <w:name w:val="body001"/>
    <w:qFormat/>
    <w:uiPriority w:val="0"/>
    <w:rPr>
      <w:rFonts w:hint="default" w:ascii="ˎ̥" w:hAnsi="ˎ̥"/>
      <w:color w:val="333333"/>
      <w:sz w:val="18"/>
      <w:szCs w:val="18"/>
    </w:rPr>
  </w:style>
  <w:style w:type="character" w:customStyle="1" w:styleId="87">
    <w:name w:val="Char Char3"/>
    <w:qFormat/>
    <w:uiPriority w:val="0"/>
    <w:rPr>
      <w:rFonts w:hint="eastAsia" w:ascii="宋体" w:hAnsi="Courier New" w:eastAsia="宋体"/>
      <w:kern w:val="2"/>
      <w:sz w:val="21"/>
      <w:lang w:val="en-US" w:eastAsia="zh-CN" w:bidi="ar-SA"/>
    </w:rPr>
  </w:style>
  <w:style w:type="character" w:customStyle="1" w:styleId="88">
    <w:name w:val="标题 字符"/>
    <w:link w:val="36"/>
    <w:qFormat/>
    <w:locked/>
    <w:uiPriority w:val="0"/>
    <w:rPr>
      <w:rFonts w:ascii="Times New Roman" w:hAnsi="Times New Roman"/>
      <w:kern w:val="2"/>
      <w:sz w:val="30"/>
      <w:szCs w:val="24"/>
    </w:rPr>
  </w:style>
  <w:style w:type="character" w:customStyle="1" w:styleId="89">
    <w:name w:val="l17"/>
    <w:basedOn w:val="42"/>
    <w:qFormat/>
    <w:uiPriority w:val="0"/>
  </w:style>
  <w:style w:type="character" w:customStyle="1" w:styleId="90">
    <w:name w:val="页眉 字符1"/>
    <w:link w:val="25"/>
    <w:qFormat/>
    <w:uiPriority w:val="99"/>
    <w:rPr>
      <w:sz w:val="18"/>
      <w:szCs w:val="18"/>
    </w:rPr>
  </w:style>
  <w:style w:type="character" w:customStyle="1" w:styleId="91">
    <w:name w:val="style1"/>
    <w:basedOn w:val="42"/>
    <w:qFormat/>
    <w:uiPriority w:val="0"/>
  </w:style>
  <w:style w:type="character" w:customStyle="1" w:styleId="92">
    <w:name w:val="huei12b1"/>
    <w:qFormat/>
    <w:uiPriority w:val="0"/>
    <w:rPr>
      <w:b/>
      <w:bCs/>
      <w:color w:val="333333"/>
      <w:sz w:val="20"/>
      <w:szCs w:val="20"/>
    </w:rPr>
  </w:style>
  <w:style w:type="character" w:customStyle="1" w:styleId="93">
    <w:name w:val="页脚 字符1"/>
    <w:link w:val="24"/>
    <w:qFormat/>
    <w:uiPriority w:val="99"/>
    <w:rPr>
      <w:sz w:val="18"/>
      <w:szCs w:val="18"/>
    </w:rPr>
  </w:style>
  <w:style w:type="character" w:customStyle="1" w:styleId="94">
    <w:name w:val="正文文本缩进 3 字符"/>
    <w:link w:val="30"/>
    <w:semiHidden/>
    <w:qFormat/>
    <w:uiPriority w:val="0"/>
    <w:rPr>
      <w:rFonts w:ascii="Times New Roman" w:hAnsi="Times New Roman" w:eastAsia="黑体"/>
      <w:color w:val="000000"/>
      <w:kern w:val="2"/>
      <w:sz w:val="24"/>
      <w:szCs w:val="24"/>
    </w:rPr>
  </w:style>
  <w:style w:type="character" w:customStyle="1" w:styleId="95">
    <w:name w:val="标题 4 字符"/>
    <w:link w:val="6"/>
    <w:qFormat/>
    <w:uiPriority w:val="9"/>
    <w:rPr>
      <w:rFonts w:ascii="Cambria" w:hAnsi="Cambria" w:eastAsia="宋体" w:cs="Times New Roman"/>
      <w:b/>
      <w:bCs/>
      <w:kern w:val="2"/>
      <w:sz w:val="21"/>
      <w:szCs w:val="28"/>
    </w:rPr>
  </w:style>
  <w:style w:type="character" w:customStyle="1" w:styleId="96">
    <w:name w:val="wz1"/>
    <w:basedOn w:val="42"/>
    <w:qFormat/>
    <w:uiPriority w:val="0"/>
  </w:style>
  <w:style w:type="character" w:customStyle="1" w:styleId="97">
    <w:name w:val="标题 3 字符"/>
    <w:qFormat/>
    <w:uiPriority w:val="0"/>
    <w:rPr>
      <w:b/>
      <w:bCs/>
      <w:kern w:val="2"/>
      <w:sz w:val="24"/>
      <w:szCs w:val="32"/>
    </w:rPr>
  </w:style>
  <w:style w:type="character" w:customStyle="1" w:styleId="98">
    <w:name w:val="unnamed1"/>
    <w:basedOn w:val="42"/>
    <w:qFormat/>
    <w:uiPriority w:val="0"/>
  </w:style>
  <w:style w:type="character" w:customStyle="1" w:styleId="99">
    <w:name w:val="(aNormal) + 宋体 Char"/>
    <w:link w:val="100"/>
    <w:qFormat/>
    <w:locked/>
    <w:uiPriority w:val="0"/>
    <w:rPr>
      <w:rFonts w:ascii="宋体" w:hAnsi="宋体"/>
      <w:lang w:val="en-GB"/>
    </w:rPr>
  </w:style>
  <w:style w:type="paragraph" w:customStyle="1" w:styleId="100">
    <w:name w:val="(aNormal) + 宋体"/>
    <w:basedOn w:val="1"/>
    <w:link w:val="99"/>
    <w:qFormat/>
    <w:uiPriority w:val="0"/>
    <w:pPr>
      <w:widowControl/>
      <w:spacing w:before="240" w:after="120" w:line="240" w:lineRule="auto"/>
      <w:ind w:firstLine="0" w:firstLineChars="0"/>
    </w:pPr>
    <w:rPr>
      <w:kern w:val="0"/>
      <w:sz w:val="20"/>
      <w:szCs w:val="20"/>
      <w:lang w:val="en-GB"/>
    </w:rPr>
  </w:style>
  <w:style w:type="character" w:customStyle="1" w:styleId="101">
    <w:name w:val="正文文本 2 字符"/>
    <w:link w:val="33"/>
    <w:semiHidden/>
    <w:qFormat/>
    <w:uiPriority w:val="0"/>
    <w:rPr>
      <w:rFonts w:ascii="Times New Roman" w:hAnsi="Times New Roman"/>
      <w:b/>
      <w:bCs/>
      <w:color w:val="000000"/>
      <w:kern w:val="2"/>
      <w:sz w:val="28"/>
      <w:szCs w:val="24"/>
    </w:rPr>
  </w:style>
  <w:style w:type="character" w:customStyle="1" w:styleId="102">
    <w:name w:val="页眉 字符"/>
    <w:qFormat/>
    <w:locked/>
    <w:uiPriority w:val="0"/>
    <w:rPr>
      <w:rFonts w:eastAsia="宋体"/>
      <w:kern w:val="2"/>
      <w:sz w:val="18"/>
      <w:lang w:val="en-US" w:eastAsia="zh-CN" w:bidi="ar-SA"/>
    </w:rPr>
  </w:style>
  <w:style w:type="character" w:customStyle="1" w:styleId="103">
    <w:name w:val="文档结构图 字符"/>
    <w:link w:val="10"/>
    <w:semiHidden/>
    <w:qFormat/>
    <w:uiPriority w:val="0"/>
    <w:rPr>
      <w:rFonts w:ascii="宋体" w:hAnsi="Times New Roman" w:eastAsia="宋体" w:cs="Times New Roman"/>
      <w:sz w:val="18"/>
      <w:szCs w:val="18"/>
    </w:rPr>
  </w:style>
  <w:style w:type="character" w:customStyle="1" w:styleId="104">
    <w:name w:val="批注主题 字符"/>
    <w:link w:val="37"/>
    <w:semiHidden/>
    <w:qFormat/>
    <w:uiPriority w:val="0"/>
    <w:rPr>
      <w:rFonts w:ascii="Times New Roman" w:hAnsi="Times New Roman"/>
      <w:b/>
      <w:bCs/>
      <w:kern w:val="2"/>
      <w:sz w:val="21"/>
      <w:szCs w:val="24"/>
    </w:rPr>
  </w:style>
  <w:style w:type="character" w:customStyle="1" w:styleId="105">
    <w:name w:val="apple-converted-space"/>
    <w:basedOn w:val="42"/>
    <w:qFormat/>
    <w:uiPriority w:val="0"/>
  </w:style>
  <w:style w:type="character" w:customStyle="1" w:styleId="106">
    <w:name w:val="标题 3 Char"/>
    <w:qFormat/>
    <w:uiPriority w:val="0"/>
    <w:rPr>
      <w:rFonts w:ascii="Times New Roman" w:hAnsi="Times New Roman"/>
      <w:b/>
      <w:bCs/>
      <w:kern w:val="2"/>
      <w:sz w:val="21"/>
      <w:szCs w:val="32"/>
    </w:rPr>
  </w:style>
  <w:style w:type="character" w:customStyle="1" w:styleId="107">
    <w:name w:val="正文文本 3 字符"/>
    <w:link w:val="12"/>
    <w:semiHidden/>
    <w:qFormat/>
    <w:uiPriority w:val="0"/>
    <w:rPr>
      <w:rFonts w:ascii="楷体_GB2312" w:hAnsi="Times New Roman" w:eastAsia="楷体_GB2312"/>
      <w:b/>
      <w:color w:val="000000"/>
      <w:kern w:val="2"/>
      <w:sz w:val="30"/>
      <w:szCs w:val="24"/>
    </w:rPr>
  </w:style>
  <w:style w:type="character" w:customStyle="1" w:styleId="108">
    <w:name w:val="标题 2 字符"/>
    <w:link w:val="4"/>
    <w:qFormat/>
    <w:uiPriority w:val="0"/>
    <w:rPr>
      <w:rFonts w:ascii="宋体" w:hAnsi="宋体" w:eastAsia="宋体"/>
      <w:b/>
      <w:bCs/>
      <w:kern w:val="2"/>
      <w:sz w:val="28"/>
      <w:szCs w:val="32"/>
    </w:rPr>
  </w:style>
  <w:style w:type="character" w:customStyle="1" w:styleId="109">
    <w:name w:val="content"/>
    <w:basedOn w:val="42"/>
    <w:qFormat/>
    <w:uiPriority w:val="0"/>
  </w:style>
  <w:style w:type="character" w:customStyle="1" w:styleId="110">
    <w:name w:val="search_result_snap1"/>
    <w:qFormat/>
    <w:uiPriority w:val="0"/>
    <w:rPr>
      <w:sz w:val="21"/>
      <w:szCs w:val="21"/>
    </w:rPr>
  </w:style>
  <w:style w:type="character" w:customStyle="1" w:styleId="111">
    <w:name w:val="批注文字 Char"/>
    <w:semiHidden/>
    <w:qFormat/>
    <w:uiPriority w:val="0"/>
    <w:rPr>
      <w:rFonts w:ascii="Times New Roman" w:hAnsi="Times New Roman"/>
      <w:kern w:val="2"/>
      <w:sz w:val="21"/>
      <w:szCs w:val="24"/>
    </w:rPr>
  </w:style>
  <w:style w:type="paragraph" w:customStyle="1" w:styleId="112">
    <w:name w:val="_Style 40"/>
    <w:basedOn w:val="1"/>
    <w:qFormat/>
    <w:uiPriority w:val="0"/>
    <w:pPr>
      <w:spacing w:line="240" w:lineRule="auto"/>
      <w:ind w:firstLine="0" w:firstLineChars="0"/>
    </w:pPr>
  </w:style>
  <w:style w:type="paragraph" w:customStyle="1" w:styleId="113">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rFonts w:cs="宋体"/>
      <w:color w:val="000000"/>
      <w:kern w:val="0"/>
      <w:sz w:val="18"/>
      <w:szCs w:val="18"/>
    </w:rPr>
  </w:style>
  <w:style w:type="paragraph" w:customStyle="1" w:styleId="114">
    <w:name w:val="标题3"/>
    <w:basedOn w:val="5"/>
    <w:qFormat/>
    <w:uiPriority w:val="0"/>
    <w:pPr>
      <w:spacing w:before="260" w:after="260" w:line="415" w:lineRule="auto"/>
    </w:pPr>
    <w:rPr>
      <w:sz w:val="28"/>
      <w:szCs w:val="28"/>
    </w:rPr>
  </w:style>
  <w:style w:type="paragraph" w:customStyle="1" w:styleId="115">
    <w:name w:val="TOC 标题1"/>
    <w:basedOn w:val="4"/>
    <w:next w:val="1"/>
    <w:qFormat/>
    <w:uiPriority w:val="39"/>
    <w:pPr>
      <w:widowControl/>
      <w:spacing w:line="240" w:lineRule="auto"/>
      <w:outlineLvl w:val="9"/>
    </w:pPr>
    <w:rPr>
      <w:kern w:val="0"/>
      <w:sz w:val="21"/>
      <w:szCs w:val="28"/>
    </w:rPr>
  </w:style>
  <w:style w:type="paragraph" w:customStyle="1" w:styleId="116">
    <w:name w:val="列出段落1"/>
    <w:basedOn w:val="1"/>
    <w:qFormat/>
    <w:uiPriority w:val="0"/>
    <w:pPr>
      <w:spacing w:line="240" w:lineRule="auto"/>
      <w:ind w:firstLine="420"/>
    </w:pPr>
  </w:style>
  <w:style w:type="paragraph" w:customStyle="1" w:styleId="11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color w:val="000000"/>
      <w:kern w:val="0"/>
      <w:sz w:val="18"/>
      <w:szCs w:val="18"/>
    </w:rPr>
  </w:style>
  <w:style w:type="paragraph" w:customStyle="1" w:styleId="118">
    <w:name w:val="正文2"/>
    <w:basedOn w:val="1"/>
    <w:qFormat/>
    <w:uiPriority w:val="0"/>
    <w:pPr>
      <w:spacing w:before="156"/>
      <w:ind w:firstLine="510"/>
    </w:pPr>
    <w:rPr>
      <w:rFonts w:ascii="MT Extra" w:hAnsi="MT Extra" w:cs="MT Extra"/>
    </w:rPr>
  </w:style>
  <w:style w:type="paragraph" w:customStyle="1" w:styleId="119">
    <w:name w:val="Char Char Char Char"/>
    <w:basedOn w:val="1"/>
    <w:qFormat/>
    <w:uiPriority w:val="0"/>
    <w:pPr>
      <w:widowControl/>
      <w:spacing w:after="160" w:line="240" w:lineRule="exact"/>
      <w:ind w:firstLine="0" w:firstLineChars="0"/>
    </w:pPr>
    <w:rPr>
      <w:rFonts w:ascii="Arial" w:hAnsi="Arial" w:eastAsia="Times New Roman" w:cs="Verdana"/>
      <w:b/>
      <w:kern w:val="0"/>
      <w:szCs w:val="20"/>
      <w:lang w:eastAsia="en-US"/>
    </w:rPr>
  </w:style>
  <w:style w:type="paragraph" w:customStyle="1" w:styleId="120">
    <w:name w:val="样式1"/>
    <w:basedOn w:val="1"/>
    <w:qFormat/>
    <w:uiPriority w:val="0"/>
    <w:pPr>
      <w:spacing w:line="360" w:lineRule="exact"/>
    </w:pPr>
    <w:rPr>
      <w:rFonts w:ascii="Arial" w:hAnsi="Arial"/>
      <w:sz w:val="21"/>
    </w:rPr>
  </w:style>
  <w:style w:type="paragraph" w:customStyle="1" w:styleId="121">
    <w:name w:val="Char Char Char Char Char Char Char"/>
    <w:basedOn w:val="1"/>
    <w:qFormat/>
    <w:uiPriority w:val="0"/>
    <w:pPr>
      <w:tabs>
        <w:tab w:val="left" w:pos="432"/>
      </w:tabs>
      <w:spacing w:line="240" w:lineRule="auto"/>
      <w:ind w:left="432" w:hanging="432" w:firstLineChars="0"/>
    </w:pPr>
    <w:rPr>
      <w:rFonts w:ascii="Tahoma" w:hAnsi="Tahoma"/>
      <w:szCs w:val="20"/>
    </w:rPr>
  </w:style>
  <w:style w:type="paragraph" w:customStyle="1" w:styleId="122">
    <w:name w:val="正文缩进1"/>
    <w:basedOn w:val="1"/>
    <w:next w:val="2"/>
    <w:qFormat/>
    <w:uiPriority w:val="0"/>
    <w:pPr>
      <w:autoSpaceDE w:val="0"/>
      <w:autoSpaceDN w:val="0"/>
      <w:adjustRightInd w:val="0"/>
      <w:snapToGrid w:val="0"/>
      <w:spacing w:after="120"/>
      <w:ind w:left="420" w:firstLine="480" w:firstLineChars="0"/>
    </w:pPr>
    <w:rPr>
      <w:szCs w:val="20"/>
    </w:rPr>
  </w:style>
  <w:style w:type="paragraph" w:customStyle="1" w:styleId="123">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color w:val="000000"/>
      <w:kern w:val="0"/>
      <w:sz w:val="18"/>
      <w:szCs w:val="18"/>
    </w:rPr>
  </w:style>
  <w:style w:type="paragraph" w:customStyle="1" w:styleId="124">
    <w:name w:val="xl82"/>
    <w:basedOn w:val="1"/>
    <w:qFormat/>
    <w:uiPriority w:val="0"/>
    <w:pPr>
      <w:widowControl/>
      <w:spacing w:before="100" w:beforeAutospacing="1" w:after="100" w:afterAutospacing="1" w:line="240" w:lineRule="auto"/>
      <w:ind w:firstLine="0" w:firstLineChars="0"/>
    </w:pPr>
    <w:rPr>
      <w:rFonts w:cs="宋体"/>
      <w:color w:val="000000"/>
      <w:kern w:val="0"/>
      <w:sz w:val="18"/>
      <w:szCs w:val="18"/>
    </w:rPr>
  </w:style>
  <w:style w:type="paragraph" w:customStyle="1" w:styleId="125">
    <w:name w:val="font5"/>
    <w:basedOn w:val="1"/>
    <w:qFormat/>
    <w:uiPriority w:val="0"/>
    <w:pPr>
      <w:widowControl/>
      <w:spacing w:before="100" w:beforeAutospacing="1" w:after="100" w:afterAutospacing="1" w:line="240" w:lineRule="auto"/>
      <w:ind w:firstLine="0" w:firstLineChars="0"/>
    </w:pPr>
    <w:rPr>
      <w:rFonts w:cs="宋体"/>
      <w:kern w:val="0"/>
      <w:sz w:val="18"/>
      <w:szCs w:val="18"/>
    </w:rPr>
  </w:style>
  <w:style w:type="paragraph" w:customStyle="1" w:styleId="126">
    <w:name w:val="_Style 54"/>
    <w:basedOn w:val="1"/>
    <w:qFormat/>
    <w:uiPriority w:val="0"/>
    <w:pPr>
      <w:spacing w:line="240" w:lineRule="auto"/>
      <w:ind w:firstLine="0" w:firstLineChars="0"/>
    </w:pPr>
  </w:style>
  <w:style w:type="paragraph" w:customStyle="1" w:styleId="12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rFonts w:cs="宋体"/>
      <w:color w:val="000000"/>
      <w:kern w:val="0"/>
      <w:sz w:val="18"/>
      <w:szCs w:val="18"/>
    </w:rPr>
  </w:style>
  <w:style w:type="paragraph" w:customStyle="1" w:styleId="128">
    <w:name w:val="四级目录 Char Char Char Char Char"/>
    <w:next w:val="1"/>
    <w:qFormat/>
    <w:uiPriority w:val="0"/>
    <w:pPr>
      <w:spacing w:line="360" w:lineRule="auto"/>
      <w:ind w:left="200" w:leftChars="200"/>
    </w:pPr>
    <w:rPr>
      <w:rFonts w:ascii="Times New Roman" w:hAnsi="Times New Roman" w:eastAsia="仿宋_GB2312" w:cs="Times New Roman"/>
      <w:sz w:val="30"/>
      <w:lang w:val="en-US" w:eastAsia="en-US" w:bidi="ar-SA"/>
    </w:rPr>
  </w:style>
  <w:style w:type="paragraph" w:styleId="129">
    <w:name w:val="List Paragraph"/>
    <w:basedOn w:val="1"/>
    <w:qFormat/>
    <w:uiPriority w:val="34"/>
    <w:pPr>
      <w:ind w:firstLine="420"/>
    </w:pPr>
    <w:rPr>
      <w:szCs w:val="22"/>
    </w:rPr>
  </w:style>
  <w:style w:type="paragraph" w:customStyle="1" w:styleId="130">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rFonts w:cs="宋体"/>
      <w:color w:val="000000"/>
      <w:kern w:val="0"/>
      <w:sz w:val="18"/>
      <w:szCs w:val="18"/>
    </w:rPr>
  </w:style>
  <w:style w:type="paragraph" w:customStyle="1" w:styleId="131">
    <w:name w:val="正文 A"/>
    <w:qFormat/>
    <w:uiPriority w:val="0"/>
    <w:pPr>
      <w:widowControl w:val="0"/>
      <w:jc w:val="both"/>
    </w:pPr>
    <w:rPr>
      <w:rFonts w:ascii="Times New Roman" w:hAnsi="Times New Roman" w:eastAsia="Arial Unicode MS" w:cs="Arial Unicode MS"/>
      <w:color w:val="000000"/>
      <w:kern w:val="2"/>
      <w:sz w:val="21"/>
      <w:szCs w:val="21"/>
      <w:lang w:val="en-US" w:eastAsia="zh-CN" w:bidi="ar-SA"/>
    </w:rPr>
  </w:style>
  <w:style w:type="paragraph" w:customStyle="1" w:styleId="132">
    <w:name w:val="表格"/>
    <w:basedOn w:val="14"/>
    <w:next w:val="1"/>
    <w:qFormat/>
    <w:uiPriority w:val="0"/>
    <w:pPr>
      <w:spacing w:line="240" w:lineRule="auto"/>
      <w:jc w:val="center"/>
    </w:pPr>
    <w:rPr>
      <w:rFonts w:ascii="Times New Roman"/>
    </w:rPr>
  </w:style>
  <w:style w:type="paragraph" w:customStyle="1" w:styleId="133">
    <w:name w:val="修订1"/>
    <w:unhideWhenUsed/>
    <w:qFormat/>
    <w:uiPriority w:val="99"/>
    <w:rPr>
      <w:rFonts w:ascii="Times New Roman" w:hAnsi="Times New Roman" w:eastAsia="宋体" w:cs="Times New Roman"/>
      <w:kern w:val="2"/>
      <w:sz w:val="24"/>
      <w:szCs w:val="24"/>
      <w:lang w:val="en-US" w:eastAsia="zh-CN" w:bidi="ar-SA"/>
    </w:rPr>
  </w:style>
  <w:style w:type="paragraph" w:customStyle="1" w:styleId="13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cs="宋体"/>
      <w:color w:val="000000"/>
      <w:kern w:val="0"/>
      <w:sz w:val="18"/>
      <w:szCs w:val="18"/>
    </w:rPr>
  </w:style>
  <w:style w:type="paragraph" w:customStyle="1" w:styleId="135">
    <w:name w:val="font7"/>
    <w:basedOn w:val="1"/>
    <w:qFormat/>
    <w:uiPriority w:val="0"/>
    <w:pPr>
      <w:widowControl/>
      <w:spacing w:before="100" w:beforeAutospacing="1" w:after="100" w:afterAutospacing="1" w:line="240" w:lineRule="auto"/>
      <w:ind w:firstLine="0" w:firstLineChars="0"/>
    </w:pPr>
    <w:rPr>
      <w:color w:val="000000"/>
      <w:kern w:val="0"/>
      <w:sz w:val="18"/>
      <w:szCs w:val="18"/>
    </w:rPr>
  </w:style>
  <w:style w:type="paragraph" w:customStyle="1" w:styleId="136">
    <w:name w:val="trs_editor"/>
    <w:basedOn w:val="1"/>
    <w:qFormat/>
    <w:uiPriority w:val="0"/>
    <w:pPr>
      <w:widowControl/>
      <w:spacing w:before="100" w:beforeAutospacing="1" w:after="100" w:afterAutospacing="1"/>
    </w:pPr>
    <w:rPr>
      <w:rFonts w:cs="宋体"/>
      <w:kern w:val="0"/>
    </w:rPr>
  </w:style>
  <w:style w:type="paragraph" w:customStyle="1" w:styleId="137">
    <w:name w:val="Char"/>
    <w:basedOn w:val="1"/>
    <w:qFormat/>
    <w:uiPriority w:val="0"/>
    <w:pPr>
      <w:spacing w:line="240" w:lineRule="auto"/>
      <w:ind w:firstLine="0" w:firstLineChars="0"/>
    </w:pPr>
    <w:rPr>
      <w:rFonts w:ascii="仿宋_GB2312" w:eastAsia="仿宋_GB2312"/>
      <w:b/>
      <w:sz w:val="32"/>
      <w:szCs w:val="32"/>
    </w:rPr>
  </w:style>
  <w:style w:type="paragraph" w:customStyle="1" w:styleId="138">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cs="宋体"/>
      <w:b/>
      <w:bCs/>
      <w:color w:val="000000"/>
      <w:kern w:val="0"/>
      <w:sz w:val="18"/>
      <w:szCs w:val="18"/>
    </w:rPr>
  </w:style>
  <w:style w:type="paragraph" w:customStyle="1" w:styleId="139">
    <w:name w:val="_Style 3"/>
    <w:basedOn w:val="1"/>
    <w:next w:val="129"/>
    <w:qFormat/>
    <w:uiPriority w:val="34"/>
    <w:pPr>
      <w:ind w:firstLine="420"/>
    </w:pPr>
    <w:rPr>
      <w:szCs w:val="22"/>
    </w:rPr>
  </w:style>
  <w:style w:type="paragraph" w:customStyle="1" w:styleId="140">
    <w:name w:val="默认段落字体 Para Char"/>
    <w:basedOn w:val="1"/>
    <w:qFormat/>
    <w:uiPriority w:val="0"/>
    <w:pPr>
      <w:spacing w:line="240" w:lineRule="auto"/>
      <w:ind w:firstLine="0" w:firstLineChars="0"/>
    </w:pPr>
  </w:style>
  <w:style w:type="paragraph" w:customStyle="1" w:styleId="141">
    <w:name w:val="部分1"/>
    <w:basedOn w:val="1"/>
    <w:qFormat/>
    <w:uiPriority w:val="99"/>
    <w:pPr>
      <w:keepNext/>
      <w:pageBreakBefore/>
      <w:tabs>
        <w:tab w:val="left" w:pos="720"/>
      </w:tabs>
      <w:jc w:val="center"/>
      <w:outlineLvl w:val="0"/>
    </w:pPr>
    <w:rPr>
      <w:rFonts w:eastAsia="黑体"/>
      <w:b/>
      <w:kern w:val="44"/>
      <w:sz w:val="36"/>
    </w:rPr>
  </w:style>
  <w:style w:type="paragraph" w:customStyle="1" w:styleId="142">
    <w:name w:val="table_lines"/>
    <w:basedOn w:val="1"/>
    <w:qFormat/>
    <w:uiPriority w:val="0"/>
    <w:pPr>
      <w:widowControl/>
      <w:spacing w:line="240" w:lineRule="auto"/>
      <w:ind w:firstLine="0" w:firstLineChars="0"/>
    </w:pPr>
    <w:rPr>
      <w:kern w:val="0"/>
      <w:sz w:val="20"/>
      <w:szCs w:val="20"/>
      <w:lang w:val="de-DE" w:eastAsia="de-DE"/>
    </w:rPr>
  </w:style>
  <w:style w:type="paragraph" w:customStyle="1" w:styleId="143">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rFonts w:cs="宋体"/>
      <w:color w:val="000000"/>
      <w:kern w:val="0"/>
      <w:sz w:val="18"/>
      <w:szCs w:val="18"/>
    </w:rPr>
  </w:style>
  <w:style w:type="paragraph" w:customStyle="1" w:styleId="144">
    <w:name w:val="font6"/>
    <w:basedOn w:val="1"/>
    <w:qFormat/>
    <w:uiPriority w:val="0"/>
    <w:pPr>
      <w:widowControl/>
      <w:spacing w:before="100" w:beforeAutospacing="1" w:after="100" w:afterAutospacing="1" w:line="240" w:lineRule="auto"/>
      <w:ind w:firstLine="0" w:firstLineChars="0"/>
    </w:pPr>
    <w:rPr>
      <w:rFonts w:cs="宋体"/>
      <w:color w:val="000000"/>
      <w:kern w:val="0"/>
      <w:sz w:val="18"/>
      <w:szCs w:val="18"/>
    </w:rPr>
  </w:style>
  <w:style w:type="paragraph" w:customStyle="1" w:styleId="145">
    <w:name w:val="font9"/>
    <w:basedOn w:val="1"/>
    <w:qFormat/>
    <w:uiPriority w:val="0"/>
    <w:pPr>
      <w:widowControl/>
      <w:spacing w:before="100" w:beforeAutospacing="1" w:after="100" w:afterAutospacing="1" w:line="240" w:lineRule="auto"/>
      <w:ind w:firstLine="0" w:firstLineChars="0"/>
    </w:pPr>
    <w:rPr>
      <w:rFonts w:ascii="Symbol" w:hAnsi="Symbol" w:cs="宋体"/>
      <w:color w:val="000000"/>
      <w:kern w:val="0"/>
      <w:sz w:val="18"/>
      <w:szCs w:val="18"/>
    </w:rPr>
  </w:style>
  <w:style w:type="paragraph" w:customStyle="1" w:styleId="146">
    <w:name w:val="小标题2"/>
    <w:basedOn w:val="1"/>
    <w:next w:val="1"/>
    <w:qFormat/>
    <w:uiPriority w:val="0"/>
    <w:pPr>
      <w:spacing w:beforeLines="20" w:afterLines="20" w:line="400" w:lineRule="exact"/>
    </w:pPr>
    <w:rPr>
      <w:rFonts w:eastAsia="楷体_GB2312"/>
    </w:rPr>
  </w:style>
  <w:style w:type="paragraph" w:customStyle="1" w:styleId="14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rFonts w:ascii="Arial Unicode MS" w:hAnsi="Arial Unicode MS" w:eastAsia="Arial Unicode MS" w:cs="Arial Unicode MS"/>
      <w:color w:val="000000"/>
      <w:kern w:val="0"/>
      <w:sz w:val="16"/>
      <w:szCs w:val="16"/>
    </w:rPr>
  </w:style>
  <w:style w:type="paragraph" w:customStyle="1" w:styleId="148">
    <w:name w:val="Blockquote"/>
    <w:basedOn w:val="1"/>
    <w:qFormat/>
    <w:uiPriority w:val="0"/>
    <w:pPr>
      <w:autoSpaceDE w:val="0"/>
      <w:autoSpaceDN w:val="0"/>
      <w:adjustRightInd w:val="0"/>
      <w:spacing w:before="100" w:after="100"/>
      <w:ind w:left="360" w:right="360"/>
    </w:pPr>
    <w:rPr>
      <w:kern w:val="0"/>
    </w:rPr>
  </w:style>
  <w:style w:type="paragraph" w:customStyle="1" w:styleId="149">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color w:val="000000"/>
      <w:kern w:val="0"/>
      <w:sz w:val="18"/>
      <w:szCs w:val="18"/>
    </w:rPr>
  </w:style>
  <w:style w:type="paragraph" w:customStyle="1" w:styleId="150">
    <w:name w:val="p16"/>
    <w:basedOn w:val="1"/>
    <w:qFormat/>
    <w:uiPriority w:val="0"/>
    <w:pPr>
      <w:widowControl/>
      <w:spacing w:line="240" w:lineRule="auto"/>
      <w:ind w:left="420" w:hanging="420" w:firstLineChars="0"/>
    </w:pPr>
    <w:rPr>
      <w:kern w:val="0"/>
      <w:szCs w:val="21"/>
    </w:rPr>
  </w:style>
  <w:style w:type="paragraph" w:customStyle="1" w:styleId="151">
    <w:name w:val="Proposals body"/>
    <w:basedOn w:val="1"/>
    <w:next w:val="1"/>
    <w:qFormat/>
    <w:uiPriority w:val="0"/>
    <w:pPr>
      <w:widowControl/>
      <w:snapToGrid w:val="0"/>
      <w:ind w:firstLine="0" w:firstLineChars="0"/>
    </w:pPr>
    <w:rPr>
      <w:color w:val="000000"/>
      <w:kern w:val="0"/>
      <w:szCs w:val="20"/>
    </w:rPr>
  </w:style>
  <w:style w:type="paragraph" w:customStyle="1" w:styleId="152">
    <w:name w:val="Horizontal Bar"/>
    <w:basedOn w:val="1"/>
    <w:qFormat/>
    <w:uiPriority w:val="0"/>
    <w:pPr>
      <w:kinsoku w:val="0"/>
      <w:overflowPunct w:val="0"/>
      <w:topLinePunct/>
      <w:spacing w:line="0" w:lineRule="atLeast"/>
      <w:ind w:firstLine="0" w:firstLineChars="0"/>
    </w:pPr>
    <w:rPr>
      <w:rFonts w:ascii="ScalaSansLF-Regular" w:hAnsi="ScalaSansLF-Regular" w:eastAsia="ScalaSansLF-Regular" w:cs="ScalaSansLF-Regular"/>
      <w:bCs/>
      <w:sz w:val="16"/>
      <w:szCs w:val="16"/>
      <w:lang w:eastAsia="ja-JP"/>
    </w:rPr>
  </w:style>
  <w:style w:type="paragraph" w:customStyle="1" w:styleId="153">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color w:val="000000"/>
      <w:kern w:val="0"/>
      <w:sz w:val="18"/>
      <w:szCs w:val="18"/>
    </w:rPr>
  </w:style>
  <w:style w:type="paragraph" w:customStyle="1" w:styleId="154">
    <w:name w:val="p0"/>
    <w:basedOn w:val="1"/>
    <w:qFormat/>
    <w:uiPriority w:val="0"/>
    <w:pPr>
      <w:widowControl/>
      <w:spacing w:line="240" w:lineRule="auto"/>
      <w:ind w:firstLine="0" w:firstLineChars="0"/>
    </w:pPr>
    <w:rPr>
      <w:kern w:val="0"/>
      <w:szCs w:val="21"/>
    </w:rPr>
  </w:style>
  <w:style w:type="paragraph" w:customStyle="1" w:styleId="155">
    <w:name w:val="彩色列表 - 强调文字颜色 11"/>
    <w:basedOn w:val="1"/>
    <w:qFormat/>
    <w:uiPriority w:val="34"/>
    <w:pPr>
      <w:ind w:firstLine="420"/>
    </w:pPr>
  </w:style>
  <w:style w:type="paragraph" w:customStyle="1" w:styleId="156">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rFonts w:cs="宋体"/>
      <w:color w:val="000000"/>
      <w:kern w:val="0"/>
      <w:sz w:val="18"/>
      <w:szCs w:val="18"/>
    </w:rPr>
  </w:style>
  <w:style w:type="paragraph" w:customStyle="1" w:styleId="157">
    <w:name w:val="Char Char Char Char Char Char Char Char"/>
    <w:basedOn w:val="1"/>
    <w:qFormat/>
    <w:uiPriority w:val="0"/>
    <w:pPr>
      <w:tabs>
        <w:tab w:val="left" w:pos="360"/>
      </w:tabs>
      <w:spacing w:line="240" w:lineRule="auto"/>
      <w:ind w:firstLine="0" w:firstLineChars="0"/>
    </w:pPr>
    <w:rPr>
      <w:szCs w:val="20"/>
    </w:rPr>
  </w:style>
  <w:style w:type="paragraph" w:customStyle="1" w:styleId="158">
    <w:name w:val="文字"/>
    <w:basedOn w:val="1"/>
    <w:qFormat/>
    <w:uiPriority w:val="0"/>
    <w:pPr>
      <w:tabs>
        <w:tab w:val="left" w:pos="8520"/>
      </w:tabs>
      <w:spacing w:line="312" w:lineRule="auto"/>
      <w:ind w:right="-210" w:firstLine="556" w:firstLineChars="0"/>
    </w:pPr>
    <w:rPr>
      <w:rFonts w:ascii="楷体_GB2312" w:eastAsia="楷体_GB2312"/>
      <w:sz w:val="28"/>
      <w:szCs w:val="20"/>
    </w:rPr>
  </w:style>
  <w:style w:type="paragraph" w:customStyle="1" w:styleId="159">
    <w:name w:val="Char Char Char Char Char Char Char Char Char Char"/>
    <w:basedOn w:val="10"/>
    <w:qFormat/>
    <w:uiPriority w:val="0"/>
    <w:pPr>
      <w:shd w:val="clear" w:color="auto" w:fill="000080"/>
      <w:spacing w:line="240" w:lineRule="auto"/>
      <w:ind w:firstLine="0" w:firstLineChars="0"/>
    </w:pPr>
    <w:rPr>
      <w:rFonts w:ascii="Tahoma" w:hAnsi="Tahoma"/>
      <w:sz w:val="24"/>
      <w:szCs w:val="24"/>
    </w:rPr>
  </w:style>
  <w:style w:type="paragraph" w:customStyle="1" w:styleId="160">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b/>
      <w:bCs/>
      <w:color w:val="000000"/>
      <w:kern w:val="0"/>
      <w:sz w:val="18"/>
      <w:szCs w:val="18"/>
    </w:rPr>
  </w:style>
  <w:style w:type="paragraph" w:customStyle="1" w:styleId="161">
    <w:name w:val="1"/>
    <w:basedOn w:val="1"/>
    <w:next w:val="35"/>
    <w:qFormat/>
    <w:uiPriority w:val="0"/>
    <w:pPr>
      <w:widowControl/>
      <w:spacing w:before="100" w:beforeAutospacing="1" w:after="100" w:afterAutospacing="1" w:line="240" w:lineRule="auto"/>
      <w:ind w:firstLine="0" w:firstLineChars="0"/>
    </w:pPr>
    <w:rPr>
      <w:kern w:val="0"/>
    </w:rPr>
  </w:style>
  <w:style w:type="paragraph" w:customStyle="1" w:styleId="162">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rFonts w:cs="宋体"/>
      <w:color w:val="000000"/>
      <w:kern w:val="0"/>
      <w:sz w:val="18"/>
      <w:szCs w:val="18"/>
    </w:rPr>
  </w:style>
  <w:style w:type="paragraph" w:customStyle="1" w:styleId="163">
    <w:name w:val="正文1"/>
    <w:basedOn w:val="1"/>
    <w:qFormat/>
    <w:uiPriority w:val="0"/>
    <w:pPr>
      <w:widowControl/>
      <w:spacing w:after="200" w:line="300" w:lineRule="atLeast"/>
    </w:pPr>
    <w:rPr>
      <w:rFonts w:cs="宋体"/>
      <w:kern w:val="0"/>
      <w:sz w:val="22"/>
      <w:szCs w:val="22"/>
    </w:rPr>
  </w:style>
  <w:style w:type="paragraph" w:customStyle="1" w:styleId="164">
    <w:name w:val="正文－恩普"/>
    <w:basedOn w:val="9"/>
    <w:qFormat/>
    <w:uiPriority w:val="0"/>
    <w:pPr>
      <w:widowControl/>
      <w:spacing w:afterLines="50" w:line="360" w:lineRule="auto"/>
      <w:ind w:firstLine="480" w:firstLineChars="200"/>
    </w:pPr>
  </w:style>
  <w:style w:type="paragraph" w:customStyle="1" w:styleId="165">
    <w:name w:val="Char Char Char"/>
    <w:basedOn w:val="1"/>
    <w:qFormat/>
    <w:uiPriority w:val="0"/>
    <w:pPr>
      <w:spacing w:line="240" w:lineRule="auto"/>
      <w:ind w:firstLine="0" w:firstLineChars="0"/>
    </w:pPr>
    <w:rPr>
      <w:rFonts w:ascii="Tahoma" w:hAnsi="Tahoma"/>
      <w:szCs w:val="20"/>
    </w:rPr>
  </w:style>
  <w:style w:type="paragraph" w:customStyle="1" w:styleId="16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color w:val="000000"/>
      <w:kern w:val="0"/>
      <w:sz w:val="18"/>
      <w:szCs w:val="18"/>
    </w:rPr>
  </w:style>
  <w:style w:type="paragraph" w:customStyle="1" w:styleId="16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color w:val="000000"/>
      <w:kern w:val="0"/>
      <w:sz w:val="18"/>
      <w:szCs w:val="18"/>
    </w:rPr>
  </w:style>
  <w:style w:type="paragraph" w:customStyle="1" w:styleId="168">
    <w:name w:val="列表段落1"/>
    <w:basedOn w:val="1"/>
    <w:qFormat/>
    <w:uiPriority w:val="0"/>
    <w:pPr>
      <w:ind w:firstLine="420"/>
    </w:pPr>
  </w:style>
  <w:style w:type="paragraph" w:customStyle="1" w:styleId="169">
    <w:name w:val="正文格式"/>
    <w:basedOn w:val="1"/>
    <w:qFormat/>
    <w:uiPriority w:val="0"/>
    <w:pPr>
      <w:widowControl/>
      <w:adjustRightInd w:val="0"/>
      <w:snapToGrid w:val="0"/>
      <w:ind w:firstLine="482" w:firstLineChars="0"/>
    </w:pPr>
    <w:rPr>
      <w:kern w:val="0"/>
      <w:szCs w:val="20"/>
    </w:rPr>
  </w:style>
  <w:style w:type="paragraph" w:customStyle="1" w:styleId="170">
    <w:name w:val="head 1.1"/>
    <w:basedOn w:val="168"/>
    <w:qFormat/>
    <w:uiPriority w:val="0"/>
    <w:pPr>
      <w:numPr>
        <w:ilvl w:val="1"/>
        <w:numId w:val="3"/>
      </w:numPr>
      <w:spacing w:before="260" w:after="260" w:line="240" w:lineRule="auto"/>
      <w:ind w:firstLine="0" w:firstLineChars="0"/>
    </w:pPr>
    <w:rPr>
      <w:bCs/>
      <w:szCs w:val="22"/>
    </w:rPr>
  </w:style>
  <w:style w:type="paragraph" w:customStyle="1" w:styleId="171">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b/>
      <w:bCs/>
      <w:color w:val="000000"/>
      <w:kern w:val="0"/>
      <w:sz w:val="18"/>
      <w:szCs w:val="18"/>
    </w:rPr>
  </w:style>
  <w:style w:type="paragraph" w:customStyle="1" w:styleId="172">
    <w:name w:val="head 1.1.1"/>
    <w:basedOn w:val="168"/>
    <w:qFormat/>
    <w:uiPriority w:val="0"/>
    <w:pPr>
      <w:numPr>
        <w:ilvl w:val="2"/>
        <w:numId w:val="3"/>
      </w:numPr>
      <w:spacing w:line="240" w:lineRule="auto"/>
      <w:ind w:firstLine="0" w:firstLineChars="0"/>
    </w:pPr>
    <w:rPr>
      <w:bCs/>
      <w:szCs w:val="22"/>
    </w:rPr>
  </w:style>
  <w:style w:type="paragraph" w:customStyle="1" w:styleId="173">
    <w:name w:val="默认段落字体 Para Char Char Char Char Char Char Char Char Char1 Char Char Char Char"/>
    <w:basedOn w:val="1"/>
    <w:qFormat/>
    <w:uiPriority w:val="0"/>
    <w:rPr>
      <w:rFonts w:ascii="Tahoma" w:hAnsi="Tahoma"/>
      <w:szCs w:val="20"/>
    </w:rPr>
  </w:style>
  <w:style w:type="paragraph" w:customStyle="1" w:styleId="174">
    <w:name w:val="Char1 Char Char"/>
    <w:basedOn w:val="1"/>
    <w:qFormat/>
    <w:uiPriority w:val="0"/>
    <w:pPr>
      <w:widowControl/>
      <w:spacing w:after="160"/>
    </w:pPr>
    <w:rPr>
      <w:rFonts w:ascii="Verdana" w:hAnsi="Verdana" w:eastAsia="黑体"/>
      <w:kern w:val="0"/>
      <w:szCs w:val="20"/>
      <w:lang w:eastAsia="en-US"/>
    </w:rPr>
  </w:style>
  <w:style w:type="paragraph" w:customStyle="1" w:styleId="175">
    <w:name w:val="Char1"/>
    <w:basedOn w:val="1"/>
    <w:qFormat/>
    <w:uiPriority w:val="0"/>
    <w:rPr>
      <w:rFonts w:ascii="Tahoma" w:hAnsi="Tahoma"/>
      <w:szCs w:val="20"/>
    </w:rPr>
  </w:style>
  <w:style w:type="paragraph" w:customStyle="1" w:styleId="176">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rFonts w:cs="宋体"/>
      <w:b/>
      <w:bCs/>
      <w:color w:val="000000"/>
      <w:kern w:val="0"/>
      <w:sz w:val="18"/>
      <w:szCs w:val="18"/>
    </w:rPr>
  </w:style>
  <w:style w:type="paragraph" w:customStyle="1" w:styleId="17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cs="宋体"/>
      <w:b/>
      <w:bCs/>
      <w:color w:val="000000"/>
      <w:kern w:val="0"/>
      <w:sz w:val="18"/>
      <w:szCs w:val="18"/>
    </w:rPr>
  </w:style>
  <w:style w:type="paragraph" w:customStyle="1" w:styleId="178">
    <w:name w:val="表内文字"/>
    <w:basedOn w:val="1"/>
    <w:qFormat/>
    <w:uiPriority w:val="0"/>
    <w:pPr>
      <w:tabs>
        <w:tab w:val="left" w:pos="1418"/>
      </w:tabs>
      <w:ind w:firstLine="0" w:firstLineChars="0"/>
      <w:jc w:val="center"/>
    </w:pPr>
    <w:rPr>
      <w:rFonts w:ascii="仿宋_GB2312" w:eastAsia="仿宋_GB2312"/>
      <w:spacing w:val="-20"/>
      <w:kern w:val="0"/>
    </w:rPr>
  </w:style>
  <w:style w:type="paragraph" w:customStyle="1" w:styleId="179">
    <w:name w:val="Char2"/>
    <w:basedOn w:val="1"/>
    <w:qFormat/>
    <w:uiPriority w:val="0"/>
    <w:pPr>
      <w:spacing w:line="240" w:lineRule="auto"/>
      <w:ind w:firstLine="0" w:firstLineChars="0"/>
    </w:pPr>
    <w:rPr>
      <w:rFonts w:ascii="仿宋_GB2312" w:eastAsia="仿宋_GB2312"/>
      <w:b/>
      <w:sz w:val="32"/>
      <w:szCs w:val="32"/>
    </w:rPr>
  </w:style>
  <w:style w:type="paragraph" w:customStyle="1" w:styleId="180">
    <w:name w:val="小标题"/>
    <w:basedOn w:val="1"/>
    <w:qFormat/>
    <w:uiPriority w:val="0"/>
    <w:pPr>
      <w:autoSpaceDE w:val="0"/>
      <w:autoSpaceDN w:val="0"/>
      <w:spacing w:before="240" w:line="300" w:lineRule="auto"/>
      <w:ind w:firstLine="480"/>
      <w:textAlignment w:val="center"/>
    </w:pPr>
    <w:rPr>
      <w:rFonts w:ascii="仿宋" w:hAnsi="仿宋" w:eastAsia="仿宋" w:cs="宋体"/>
      <w:b/>
      <w:bCs/>
      <w:szCs w:val="20"/>
    </w:rPr>
  </w:style>
  <w:style w:type="paragraph" w:customStyle="1" w:styleId="181">
    <w:name w:val="xl25"/>
    <w:basedOn w:val="1"/>
    <w:qFormat/>
    <w:uiPriority w:val="0"/>
    <w:pPr>
      <w:widowControl/>
      <w:spacing w:before="100" w:beforeAutospacing="1" w:after="100" w:afterAutospacing="1" w:line="240" w:lineRule="auto"/>
      <w:ind w:firstLine="0" w:firstLineChars="0"/>
      <w:jc w:val="center"/>
      <w:textAlignment w:val="center"/>
    </w:pPr>
    <w:rPr>
      <w:rFonts w:hint="eastAsia" w:ascii="楷体_GB2312" w:eastAsia="楷体_GB2312"/>
      <w:kern w:val="0"/>
    </w:rPr>
  </w:style>
  <w:style w:type="paragraph" w:customStyle="1" w:styleId="182">
    <w:name w:val="Char Char Char Char Char Char"/>
    <w:basedOn w:val="1"/>
    <w:qFormat/>
    <w:uiPriority w:val="0"/>
    <w:pPr>
      <w:spacing w:line="240" w:lineRule="auto"/>
    </w:pPr>
    <w:rPr>
      <w:rFonts w:ascii="Tahoma" w:hAnsi="Tahoma"/>
      <w:szCs w:val="20"/>
    </w:rPr>
  </w:style>
  <w:style w:type="paragraph" w:customStyle="1" w:styleId="183">
    <w:name w:val="正文段"/>
    <w:basedOn w:val="1"/>
    <w:qFormat/>
    <w:uiPriority w:val="0"/>
    <w:pPr>
      <w:widowControl/>
      <w:snapToGrid w:val="0"/>
      <w:spacing w:afterLines="50"/>
    </w:pPr>
    <w:rPr>
      <w:kern w:val="0"/>
    </w:rPr>
  </w:style>
  <w:style w:type="paragraph" w:customStyle="1" w:styleId="184">
    <w:name w:val="Char Char Char Char Char Char Char Char Char Char Char Char Char"/>
    <w:basedOn w:val="1"/>
    <w:qFormat/>
    <w:uiPriority w:val="0"/>
    <w:pPr>
      <w:spacing w:line="240" w:lineRule="auto"/>
      <w:ind w:firstLine="0" w:firstLineChars="0"/>
    </w:pPr>
    <w:rPr>
      <w:rFonts w:ascii="Tahoma" w:hAnsi="Tahoma"/>
      <w:szCs w:val="20"/>
    </w:rPr>
  </w:style>
  <w:style w:type="paragraph" w:customStyle="1" w:styleId="18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rFonts w:cs="宋体"/>
      <w:color w:val="000000"/>
      <w:kern w:val="0"/>
      <w:sz w:val="18"/>
      <w:szCs w:val="18"/>
    </w:rPr>
  </w:style>
  <w:style w:type="paragraph" w:customStyle="1" w:styleId="186">
    <w:name w:val="font8"/>
    <w:basedOn w:val="1"/>
    <w:qFormat/>
    <w:uiPriority w:val="0"/>
    <w:pPr>
      <w:widowControl/>
      <w:spacing w:before="100" w:beforeAutospacing="1" w:after="100" w:afterAutospacing="1" w:line="240" w:lineRule="auto"/>
      <w:ind w:firstLine="0" w:firstLineChars="0"/>
    </w:pPr>
    <w:rPr>
      <w:rFonts w:cs="宋体"/>
      <w:color w:val="000000"/>
      <w:kern w:val="0"/>
      <w:sz w:val="18"/>
      <w:szCs w:val="18"/>
    </w:rPr>
  </w:style>
  <w:style w:type="paragraph" w:customStyle="1" w:styleId="187">
    <w:name w:val="WPSOffice手动目录 1"/>
    <w:qFormat/>
    <w:uiPriority w:val="0"/>
    <w:rPr>
      <w:rFonts w:ascii="Times New Roman" w:hAnsi="Times New Roman" w:eastAsia="宋体" w:cs="Times New Roman"/>
      <w:lang w:val="en-US" w:eastAsia="zh-CN" w:bidi="ar-SA"/>
    </w:rPr>
  </w:style>
  <w:style w:type="paragraph" w:customStyle="1" w:styleId="188">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89">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190">
    <w:name w:val="文档正文"/>
    <w:basedOn w:val="1"/>
    <w:qFormat/>
    <w:uiPriority w:val="0"/>
    <w:pPr>
      <w:adjustRightInd w:val="0"/>
      <w:spacing w:line="480" w:lineRule="atLeast"/>
      <w:ind w:firstLine="567"/>
      <w:textAlignment w:val="baseline"/>
    </w:pPr>
    <w:rPr>
      <w:rFonts w:ascii="长城仿宋"/>
      <w:kern w:val="0"/>
      <w:szCs w:val="20"/>
    </w:rPr>
  </w:style>
  <w:style w:type="paragraph" w:customStyle="1" w:styleId="191">
    <w:name w:val="纯文本1"/>
    <w:basedOn w:val="1"/>
    <w:qFormat/>
    <w:uiPriority w:val="0"/>
    <w:rPr>
      <w:rFonts w:hAnsi="Courier New" w:cs="宋体"/>
      <w:kern w:val="0"/>
      <w:sz w:val="20"/>
      <w:szCs w:val="20"/>
    </w:rPr>
  </w:style>
  <w:style w:type="paragraph" w:customStyle="1" w:styleId="192">
    <w:name w:val="toc 7"/>
    <w:next w:val="1"/>
    <w:qFormat/>
    <w:uiPriority w:val="0"/>
    <w:pPr>
      <w:wordWrap w:val="0"/>
      <w:ind w:left="2550"/>
      <w:jc w:val="both"/>
    </w:pPr>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3.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80</Pages>
  <Words>7182</Words>
  <Characters>40944</Characters>
  <Lines>341</Lines>
  <Paragraphs>96</Paragraphs>
  <TotalTime>0</TotalTime>
  <ScaleCrop>false</ScaleCrop>
  <LinksUpToDate>false</LinksUpToDate>
  <CharactersWithSpaces>48030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2021-04-02T06:35:00Z</dcterms:created>
  <dc:creator>Administrator</dc:creator>
  <cp:lastModifiedBy>ws</cp:lastModifiedBy>
  <cp:lastPrinted>2019-08-14T12:21:00Z</cp:lastPrinted>
  <dcterms:modified xsi:type="dcterms:W3CDTF">2021-11-24T05:36:06Z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6B37AB17D735450F912D0F3A8C7357CB</vt:lpwstr>
  </property>
</Properties>
</file>