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360" w:lineRule="auto"/>
        <w:jc w:val="center"/>
        <w:rPr>
          <w:rFonts w:ascii="楷体" w:hAnsi="楷体" w:eastAsia="楷体" w:cs="楷体"/>
          <w:b/>
          <w:bCs/>
          <w:color w:val="auto"/>
          <w:sz w:val="72"/>
          <w:szCs w:val="72"/>
          <w:highlight w:val="none"/>
        </w:rPr>
      </w:pPr>
    </w:p>
    <w:p>
      <w:pPr>
        <w:adjustRightInd w:val="0"/>
        <w:snapToGrid w:val="0"/>
        <w:spacing w:line="360" w:lineRule="auto"/>
        <w:jc w:val="center"/>
        <w:rPr>
          <w:rFonts w:ascii="楷体" w:hAnsi="楷体" w:eastAsia="楷体" w:cs="楷体"/>
          <w:b/>
          <w:bCs/>
          <w:color w:val="auto"/>
          <w:sz w:val="48"/>
          <w:szCs w:val="48"/>
          <w:highlight w:val="none"/>
        </w:rPr>
      </w:pPr>
      <w:r>
        <w:rPr>
          <w:rFonts w:hint="eastAsia" w:ascii="楷体" w:hAnsi="楷体" w:eastAsia="楷体" w:cs="楷体"/>
          <w:b/>
          <w:bCs/>
          <w:color w:val="auto"/>
          <w:sz w:val="48"/>
          <w:szCs w:val="48"/>
          <w:highlight w:val="none"/>
        </w:rPr>
        <w:t>浙江求是招标代理有限公司关于</w:t>
      </w:r>
    </w:p>
    <w:p>
      <w:pPr>
        <w:adjustRightInd w:val="0"/>
        <w:snapToGrid w:val="0"/>
        <w:spacing w:line="360" w:lineRule="auto"/>
        <w:jc w:val="center"/>
        <w:rPr>
          <w:rFonts w:ascii="楷体" w:hAnsi="楷体" w:eastAsia="楷体" w:cs="楷体"/>
          <w:b/>
          <w:bCs/>
          <w:color w:val="auto"/>
          <w:sz w:val="48"/>
          <w:szCs w:val="48"/>
          <w:highlight w:val="none"/>
        </w:rPr>
      </w:pPr>
      <w:r>
        <w:rPr>
          <w:rFonts w:hint="eastAsia" w:ascii="楷体" w:hAnsi="楷体" w:eastAsia="楷体" w:cs="楷体"/>
          <w:b/>
          <w:bCs/>
          <w:color w:val="auto"/>
          <w:sz w:val="48"/>
          <w:szCs w:val="48"/>
          <w:highlight w:val="none"/>
        </w:rPr>
        <w:t>杭州电子科技大学</w:t>
      </w:r>
    </w:p>
    <w:p>
      <w:pPr>
        <w:adjustRightInd w:val="0"/>
        <w:snapToGrid w:val="0"/>
        <w:spacing w:line="360" w:lineRule="auto"/>
        <w:jc w:val="center"/>
        <w:rPr>
          <w:rFonts w:ascii="楷体" w:hAnsi="楷体" w:eastAsia="楷体" w:cs="楷体"/>
          <w:b/>
          <w:bCs/>
          <w:color w:val="auto"/>
          <w:sz w:val="48"/>
          <w:szCs w:val="48"/>
          <w:highlight w:val="none"/>
        </w:rPr>
      </w:pPr>
      <w:r>
        <w:rPr>
          <w:rFonts w:hint="eastAsia" w:ascii="楷体" w:hAnsi="楷体" w:eastAsia="楷体" w:cs="楷体"/>
          <w:b/>
          <w:bCs/>
          <w:color w:val="auto"/>
          <w:sz w:val="48"/>
          <w:szCs w:val="48"/>
          <w:highlight w:val="none"/>
        </w:rPr>
        <w:t>示波器、数据处理卡等</w:t>
      </w:r>
    </w:p>
    <w:p>
      <w:pPr>
        <w:adjustRightInd w:val="0"/>
        <w:snapToGrid w:val="0"/>
        <w:spacing w:line="360" w:lineRule="auto"/>
        <w:jc w:val="center"/>
        <w:rPr>
          <w:rFonts w:ascii="楷体" w:hAnsi="楷体" w:eastAsia="楷体" w:cs="楷体"/>
          <w:b/>
          <w:bCs/>
          <w:color w:val="auto"/>
          <w:sz w:val="72"/>
          <w:szCs w:val="72"/>
          <w:highlight w:val="none"/>
        </w:rPr>
      </w:pPr>
    </w:p>
    <w:p>
      <w:pPr>
        <w:adjustRightInd w:val="0"/>
        <w:snapToGrid w:val="0"/>
        <w:spacing w:line="360" w:lineRule="auto"/>
        <w:jc w:val="center"/>
        <w:rPr>
          <w:rFonts w:ascii="楷体" w:hAnsi="楷体" w:eastAsia="楷体" w:cs="楷体"/>
          <w:b/>
          <w:bCs/>
          <w:color w:val="auto"/>
          <w:sz w:val="72"/>
          <w:szCs w:val="72"/>
          <w:highlight w:val="none"/>
        </w:rPr>
      </w:pPr>
      <w:r>
        <w:rPr>
          <w:rFonts w:hint="eastAsia" w:ascii="楷体" w:hAnsi="楷体" w:eastAsia="楷体" w:cs="楷体"/>
          <w:b/>
          <w:bCs/>
          <w:color w:val="auto"/>
          <w:sz w:val="72"/>
          <w:szCs w:val="72"/>
          <w:highlight w:val="none"/>
        </w:rPr>
        <w:t>磋商文件</w:t>
      </w:r>
    </w:p>
    <w:p>
      <w:pPr>
        <w:adjustRightInd w:val="0"/>
        <w:snapToGrid w:val="0"/>
        <w:spacing w:line="360" w:lineRule="auto"/>
        <w:jc w:val="center"/>
        <w:rPr>
          <w:rFonts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t>（线上电子交易）</w:t>
      </w:r>
    </w:p>
    <w:p>
      <w:pPr>
        <w:adjustRightInd w:val="0"/>
        <w:snapToGrid w:val="0"/>
        <w:spacing w:line="360" w:lineRule="auto"/>
        <w:jc w:val="center"/>
        <w:rPr>
          <w:color w:val="auto"/>
          <w:sz w:val="72"/>
          <w:szCs w:val="72"/>
          <w:highlight w:val="none"/>
        </w:rPr>
      </w:pPr>
    </w:p>
    <w:p>
      <w:pPr>
        <w:adjustRightInd w:val="0"/>
        <w:snapToGrid w:val="0"/>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采 购 人：杭州电子科技大学</w:t>
      </w:r>
    </w:p>
    <w:p>
      <w:pPr>
        <w:adjustRightInd w:val="0"/>
        <w:snapToGrid w:val="0"/>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项目名称：示波器、数据处理卡等</w:t>
      </w:r>
    </w:p>
    <w:p>
      <w:pPr>
        <w:adjustRightInd w:val="0"/>
        <w:snapToGrid w:val="0"/>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项目编号：QSZB-Z(H)-B21352(CS)</w:t>
      </w:r>
    </w:p>
    <w:p>
      <w:pPr>
        <w:adjustRightInd w:val="0"/>
        <w:snapToGrid w:val="0"/>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采购代理机构：浙江求是招标代理有限公司</w:t>
      </w:r>
    </w:p>
    <w:p>
      <w:pPr>
        <w:adjustRightInd w:val="0"/>
        <w:snapToGrid w:val="0"/>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采购计划文号：[2021]61430号、[2021]</w:t>
      </w:r>
      <w:r>
        <w:rPr>
          <w:rFonts w:hint="eastAsia" w:ascii="楷体" w:hAnsi="楷体" w:eastAsia="楷体" w:cs="楷体"/>
          <w:b/>
          <w:bCs/>
          <w:color w:val="auto"/>
          <w:sz w:val="30"/>
          <w:szCs w:val="30"/>
          <w:highlight w:val="none"/>
          <w:lang w:eastAsia="zh-CN"/>
        </w:rPr>
        <w:t>61431号-002</w:t>
      </w:r>
      <w:r>
        <w:rPr>
          <w:rFonts w:hint="eastAsia" w:ascii="楷体" w:hAnsi="楷体" w:eastAsia="楷体" w:cs="楷体"/>
          <w:b/>
          <w:bCs/>
          <w:color w:val="auto"/>
          <w:sz w:val="30"/>
          <w:szCs w:val="30"/>
          <w:highlight w:val="none"/>
        </w:rPr>
        <w:t>、[2021]65607号</w:t>
      </w:r>
    </w:p>
    <w:p>
      <w:pPr>
        <w:widowControl/>
        <w:jc w:val="left"/>
        <w:rPr>
          <w:rFonts w:ascii="楷体" w:hAnsi="楷体" w:eastAsia="楷体" w:cs="楷体"/>
          <w:b/>
          <w:bCs/>
          <w:color w:val="auto"/>
          <w:sz w:val="30"/>
          <w:szCs w:val="30"/>
          <w:highlight w:val="none"/>
        </w:rPr>
      </w:pPr>
      <w:r>
        <w:rPr>
          <w:rFonts w:ascii="楷体" w:hAnsi="楷体" w:eastAsia="楷体" w:cs="楷体"/>
          <w:b/>
          <w:bCs/>
          <w:color w:val="auto"/>
          <w:sz w:val="30"/>
          <w:szCs w:val="30"/>
          <w:highlight w:val="none"/>
        </w:rPr>
        <w:br w:type="page"/>
      </w:r>
    </w:p>
    <w:p>
      <w:pPr>
        <w:adjustRightInd w:val="0"/>
        <w:snapToGrid w:val="0"/>
        <w:spacing w:line="360" w:lineRule="auto"/>
        <w:rPr>
          <w:rFonts w:ascii="楷体" w:hAnsi="楷体" w:eastAsia="楷体" w:cs="楷体"/>
          <w:b/>
          <w:bCs/>
          <w:color w:val="auto"/>
          <w:sz w:val="30"/>
          <w:szCs w:val="30"/>
          <w:highlight w:val="none"/>
        </w:rPr>
      </w:pPr>
    </w:p>
    <w:p>
      <w:pPr>
        <w:adjustRightInd w:val="0"/>
        <w:snapToGrid w:val="0"/>
        <w:spacing w:line="360" w:lineRule="auto"/>
        <w:jc w:val="center"/>
        <w:outlineLvl w:val="0"/>
        <w:rPr>
          <w:rFonts w:ascii="楷体" w:hAnsi="楷体" w:eastAsia="楷体" w:cs="楷体"/>
          <w:b/>
          <w:bCs/>
          <w:color w:val="auto"/>
          <w:sz w:val="48"/>
          <w:szCs w:val="48"/>
          <w:highlight w:val="none"/>
        </w:rPr>
      </w:pPr>
      <w:r>
        <w:rPr>
          <w:rFonts w:hint="eastAsia" w:ascii="楷体" w:hAnsi="楷体" w:eastAsia="楷体" w:cs="楷体"/>
          <w:b/>
          <w:bCs/>
          <w:color w:val="auto"/>
          <w:sz w:val="48"/>
          <w:szCs w:val="48"/>
          <w:highlight w:val="none"/>
        </w:rPr>
        <w:t>目录</w:t>
      </w:r>
    </w:p>
    <w:p>
      <w:pPr>
        <w:adjustRightInd w:val="0"/>
        <w:snapToGrid w:val="0"/>
        <w:spacing w:line="360" w:lineRule="auto"/>
        <w:rPr>
          <w:rFonts w:ascii="楷体" w:hAnsi="楷体" w:eastAsia="楷体" w:cs="楷体"/>
          <w:b/>
          <w:bCs/>
          <w:color w:val="auto"/>
          <w:sz w:val="30"/>
          <w:szCs w:val="30"/>
          <w:highlight w:val="none"/>
        </w:rPr>
      </w:pPr>
    </w:p>
    <w:p>
      <w:pPr>
        <w:adjustRightInd w:val="0"/>
        <w:snapToGrid w:val="0"/>
        <w:spacing w:line="360" w:lineRule="auto"/>
        <w:ind w:firstLine="1205" w:firstLineChars="400"/>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第一章  采购邀请</w:t>
      </w:r>
    </w:p>
    <w:p>
      <w:pPr>
        <w:adjustRightInd w:val="0"/>
        <w:snapToGrid w:val="0"/>
        <w:spacing w:line="360" w:lineRule="auto"/>
        <w:ind w:firstLine="1205" w:firstLineChars="400"/>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第二章  采购需求</w:t>
      </w:r>
    </w:p>
    <w:p>
      <w:pPr>
        <w:adjustRightInd w:val="0"/>
        <w:snapToGrid w:val="0"/>
        <w:spacing w:line="360" w:lineRule="auto"/>
        <w:ind w:firstLine="1205" w:firstLineChars="400"/>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第三章  供应商须知</w:t>
      </w:r>
    </w:p>
    <w:p>
      <w:pPr>
        <w:adjustRightInd w:val="0"/>
        <w:snapToGrid w:val="0"/>
        <w:spacing w:line="360" w:lineRule="auto"/>
        <w:ind w:firstLine="1205" w:firstLineChars="400"/>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第四章  评审办法及评分标准</w:t>
      </w:r>
    </w:p>
    <w:p>
      <w:pPr>
        <w:adjustRightInd w:val="0"/>
        <w:snapToGrid w:val="0"/>
        <w:spacing w:line="360" w:lineRule="auto"/>
        <w:ind w:firstLine="1205" w:firstLineChars="400"/>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第五章  拟签订的合同文本</w:t>
      </w:r>
    </w:p>
    <w:p>
      <w:pPr>
        <w:adjustRightInd w:val="0"/>
        <w:snapToGrid w:val="0"/>
        <w:spacing w:line="360" w:lineRule="auto"/>
        <w:ind w:firstLine="1205" w:firstLineChars="400"/>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第六章  响应文件格式</w:t>
      </w:r>
    </w:p>
    <w:p>
      <w:pPr>
        <w:adjustRightInd w:val="0"/>
        <w:snapToGrid w:val="0"/>
        <w:spacing w:line="360" w:lineRule="auto"/>
        <w:rPr>
          <w:rFonts w:ascii="楷体" w:hAnsi="楷体" w:eastAsia="楷体" w:cs="楷体"/>
          <w:b/>
          <w:bCs/>
          <w:color w:val="auto"/>
          <w:sz w:val="30"/>
          <w:szCs w:val="30"/>
          <w:highlight w:val="none"/>
        </w:rPr>
      </w:pPr>
    </w:p>
    <w:p>
      <w:pPr>
        <w:ind w:firstLine="602" w:firstLineChars="200"/>
        <w:rPr>
          <w:rFonts w:ascii="楷体" w:hAnsi="楷体" w:eastAsia="楷体" w:cs="楷体"/>
          <w:b/>
          <w:bCs/>
          <w:color w:val="auto"/>
          <w:sz w:val="30"/>
          <w:szCs w:val="30"/>
          <w:highlight w:val="none"/>
        </w:rPr>
        <w:sectPr>
          <w:headerReference r:id="rId3" w:type="default"/>
          <w:pgSz w:w="11906" w:h="16838"/>
          <w:pgMar w:top="1247" w:right="1247" w:bottom="1247" w:left="1247" w:header="85" w:footer="992" w:gutter="0"/>
          <w:cols w:space="425" w:num="1"/>
          <w:docGrid w:type="lines" w:linePitch="312" w:charSpace="0"/>
        </w:sectPr>
      </w:pPr>
    </w:p>
    <w:p>
      <w:pPr>
        <w:adjustRightInd w:val="0"/>
        <w:snapToGrid w:val="0"/>
        <w:spacing w:line="288" w:lineRule="auto"/>
        <w:jc w:val="center"/>
        <w:outlineLvl w:val="0"/>
        <w:rPr>
          <w:rFonts w:ascii="楷体" w:hAnsi="楷体" w:eastAsia="楷体" w:cs="楷体"/>
          <w:color w:val="auto"/>
          <w:sz w:val="21"/>
          <w:szCs w:val="21"/>
          <w:highlight w:val="none"/>
        </w:rPr>
      </w:pPr>
      <w:r>
        <w:rPr>
          <w:rFonts w:hint="eastAsia"/>
          <w:b/>
          <w:bCs/>
          <w:color w:val="auto"/>
          <w:sz w:val="32"/>
          <w:szCs w:val="32"/>
          <w:highlight w:val="none"/>
        </w:rPr>
        <w:t xml:space="preserve">第一章 </w:t>
      </w:r>
      <w:r>
        <w:rPr>
          <w:b/>
          <w:bCs/>
          <w:color w:val="auto"/>
          <w:sz w:val="32"/>
          <w:szCs w:val="32"/>
          <w:highlight w:val="none"/>
        </w:rPr>
        <w:t xml:space="preserve"> </w:t>
      </w:r>
      <w:r>
        <w:rPr>
          <w:rFonts w:hint="eastAsia"/>
          <w:b/>
          <w:bCs/>
          <w:color w:val="auto"/>
          <w:sz w:val="32"/>
          <w:szCs w:val="32"/>
          <w:highlight w:val="none"/>
        </w:rPr>
        <w:t>采购邀请</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rFonts w:cs="Times New Roman"/>
          <w:b/>
          <w:color w:val="auto"/>
          <w:sz w:val="21"/>
          <w:szCs w:val="21"/>
          <w:highlight w:val="none"/>
        </w:rPr>
      </w:pPr>
      <w:r>
        <w:rPr>
          <w:rFonts w:hint="eastAsia" w:cs="Times New Roman"/>
          <w:b/>
          <w:color w:val="auto"/>
          <w:sz w:val="21"/>
          <w:szCs w:val="21"/>
          <w:highlight w:val="none"/>
        </w:rPr>
        <w:t>项目概况</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b/>
          <w:color w:val="auto"/>
          <w:sz w:val="21"/>
          <w:szCs w:val="21"/>
          <w:highlight w:val="none"/>
        </w:rPr>
      </w:pPr>
      <w:r>
        <w:rPr>
          <w:rFonts w:hint="eastAsia" w:cs="Times New Roman"/>
          <w:b/>
          <w:color w:val="auto"/>
          <w:sz w:val="21"/>
          <w:szCs w:val="21"/>
          <w:highlight w:val="none"/>
          <w:u w:val="single"/>
        </w:rPr>
        <w:t xml:space="preserve"> 示波器、数据处理卡等 </w:t>
      </w:r>
      <w:r>
        <w:rPr>
          <w:rFonts w:hint="eastAsia" w:cs="Times New Roman"/>
          <w:b/>
          <w:color w:val="auto"/>
          <w:sz w:val="21"/>
          <w:szCs w:val="21"/>
          <w:highlight w:val="none"/>
        </w:rPr>
        <w:t>招标项目的潜在投标人应在</w:t>
      </w:r>
      <w:r>
        <w:rPr>
          <w:rFonts w:hint="eastAsia" w:cs="Times New Roman"/>
          <w:b/>
          <w:color w:val="auto"/>
          <w:sz w:val="21"/>
          <w:szCs w:val="21"/>
          <w:highlight w:val="none"/>
          <w:u w:val="single"/>
        </w:rPr>
        <w:t xml:space="preserve"> 政府采购云平台（https://login.zcygov.cn）</w:t>
      </w:r>
      <w:r>
        <w:rPr>
          <w:rFonts w:hint="eastAsia" w:cs="Times New Roman"/>
          <w:b/>
          <w:color w:val="auto"/>
          <w:sz w:val="21"/>
          <w:szCs w:val="21"/>
          <w:highlight w:val="none"/>
        </w:rPr>
        <w:t>获取（下载）招标文件，并于</w:t>
      </w:r>
      <w:r>
        <w:rPr>
          <w:rFonts w:hint="eastAsia" w:cs="Times New Roman"/>
          <w:b/>
          <w:color w:val="auto"/>
          <w:sz w:val="21"/>
          <w:szCs w:val="21"/>
          <w:highlight w:val="none"/>
          <w:u w:val="single"/>
        </w:rPr>
        <w:t>2021年</w:t>
      </w:r>
      <w:r>
        <w:rPr>
          <w:rFonts w:hint="eastAsia" w:cs="Times New Roman"/>
          <w:b/>
          <w:color w:val="auto"/>
          <w:sz w:val="21"/>
          <w:szCs w:val="21"/>
          <w:highlight w:val="none"/>
          <w:u w:val="single"/>
          <w:lang w:eastAsia="zh-CN"/>
        </w:rPr>
        <w:t>11月1日下午14:00:00</w:t>
      </w:r>
      <w:r>
        <w:rPr>
          <w:rFonts w:hint="eastAsia" w:cs="Times New Roman"/>
          <w:b/>
          <w:color w:val="auto"/>
          <w:sz w:val="21"/>
          <w:szCs w:val="21"/>
          <w:highlight w:val="none"/>
          <w:u w:val="single"/>
        </w:rPr>
        <w:t>（北京时间）</w:t>
      </w:r>
      <w:r>
        <w:rPr>
          <w:rFonts w:hint="eastAsia" w:cs="Times New Roman"/>
          <w:b/>
          <w:bCs/>
          <w:color w:val="auto"/>
          <w:sz w:val="21"/>
          <w:szCs w:val="21"/>
          <w:highlight w:val="none"/>
        </w:rPr>
        <w:t>前递交（上传）投标</w:t>
      </w:r>
      <w:r>
        <w:rPr>
          <w:rFonts w:cs="Times New Roman"/>
          <w:b/>
          <w:bCs/>
          <w:color w:val="auto"/>
          <w:sz w:val="21"/>
          <w:szCs w:val="21"/>
          <w:highlight w:val="none"/>
        </w:rPr>
        <w:t>文件</w:t>
      </w:r>
      <w:r>
        <w:rPr>
          <w:rFonts w:hint="eastAsia" w:cs="Times New Roman"/>
          <w:b/>
          <w:color w:val="auto"/>
          <w:sz w:val="21"/>
          <w:szCs w:val="21"/>
          <w:highlight w:val="none"/>
        </w:rPr>
        <w:t>。</w:t>
      </w:r>
    </w:p>
    <w:p>
      <w:pPr>
        <w:adjustRightInd w:val="0"/>
        <w:snapToGrid w:val="0"/>
        <w:spacing w:line="288" w:lineRule="auto"/>
        <w:ind w:firstLine="200"/>
        <w:rPr>
          <w:b/>
          <w:color w:val="auto"/>
          <w:sz w:val="21"/>
          <w:szCs w:val="21"/>
          <w:highlight w:val="none"/>
        </w:rPr>
      </w:pPr>
      <w:bookmarkStart w:id="0" w:name="_Toc28359079"/>
      <w:bookmarkStart w:id="1" w:name="_Toc35393621"/>
      <w:bookmarkStart w:id="2" w:name="_Toc35393790"/>
      <w:bookmarkStart w:id="3" w:name="_Toc28359002"/>
      <w:bookmarkStart w:id="4" w:name="_Hlk24379207"/>
      <w:r>
        <w:rPr>
          <w:rFonts w:hint="eastAsia"/>
          <w:b/>
          <w:color w:val="auto"/>
          <w:sz w:val="21"/>
          <w:szCs w:val="21"/>
          <w:highlight w:val="none"/>
        </w:rPr>
        <w:t>一、项目基本情况</w:t>
      </w:r>
      <w:bookmarkEnd w:id="0"/>
      <w:bookmarkEnd w:id="1"/>
      <w:bookmarkEnd w:id="2"/>
      <w:bookmarkEnd w:id="3"/>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w:t>
      </w:r>
      <w:r>
        <w:rPr>
          <w:color w:val="auto"/>
          <w:sz w:val="21"/>
          <w:szCs w:val="21"/>
          <w:highlight w:val="none"/>
        </w:rPr>
        <w:t>.</w:t>
      </w:r>
      <w:r>
        <w:rPr>
          <w:rFonts w:hint="eastAsia"/>
          <w:color w:val="auto"/>
          <w:sz w:val="21"/>
          <w:szCs w:val="21"/>
          <w:highlight w:val="none"/>
        </w:rPr>
        <w:t>项目编号：</w:t>
      </w:r>
      <w:r>
        <w:rPr>
          <w:rFonts w:hint="eastAsia"/>
          <w:b/>
          <w:color w:val="auto"/>
          <w:sz w:val="21"/>
          <w:szCs w:val="21"/>
          <w:highlight w:val="none"/>
        </w:rPr>
        <w:t>QSZB-Z(H)-B21352(CS)</w:t>
      </w:r>
    </w:p>
    <w:p>
      <w:pPr>
        <w:adjustRightInd w:val="0"/>
        <w:snapToGrid w:val="0"/>
        <w:spacing w:line="288" w:lineRule="auto"/>
        <w:ind w:firstLine="420" w:firstLineChars="200"/>
        <w:rPr>
          <w:color w:val="auto"/>
          <w:sz w:val="21"/>
          <w:szCs w:val="21"/>
          <w:highlight w:val="none"/>
        </w:rPr>
      </w:pPr>
      <w:r>
        <w:rPr>
          <w:color w:val="auto"/>
          <w:sz w:val="21"/>
          <w:szCs w:val="21"/>
          <w:highlight w:val="none"/>
        </w:rPr>
        <w:t>2.</w:t>
      </w:r>
      <w:r>
        <w:rPr>
          <w:rFonts w:hint="eastAsia"/>
          <w:color w:val="auto"/>
          <w:sz w:val="21"/>
          <w:szCs w:val="21"/>
          <w:highlight w:val="none"/>
        </w:rPr>
        <w:t>项目名称：示波器、数据处理卡等</w:t>
      </w:r>
    </w:p>
    <w:p>
      <w:pPr>
        <w:adjustRightInd w:val="0"/>
        <w:snapToGrid w:val="0"/>
        <w:spacing w:line="288" w:lineRule="auto"/>
        <w:ind w:firstLine="420" w:firstLineChars="200"/>
        <w:rPr>
          <w:color w:val="auto"/>
          <w:sz w:val="21"/>
          <w:szCs w:val="21"/>
          <w:highlight w:val="none"/>
        </w:rPr>
      </w:pPr>
      <w:r>
        <w:rPr>
          <w:color w:val="auto"/>
          <w:sz w:val="21"/>
          <w:szCs w:val="21"/>
          <w:highlight w:val="none"/>
        </w:rPr>
        <w:t>3.</w:t>
      </w:r>
      <w:r>
        <w:rPr>
          <w:rFonts w:hint="eastAsia"/>
          <w:color w:val="auto"/>
          <w:sz w:val="21"/>
          <w:szCs w:val="21"/>
          <w:highlight w:val="none"/>
        </w:rPr>
        <w:t>采购方式：竞争性磋商</w:t>
      </w:r>
    </w:p>
    <w:bookmarkEnd w:id="4"/>
    <w:p>
      <w:pPr>
        <w:adjustRightInd w:val="0"/>
        <w:snapToGrid w:val="0"/>
        <w:spacing w:line="288" w:lineRule="auto"/>
        <w:ind w:firstLine="420" w:firstLineChars="200"/>
        <w:rPr>
          <w:color w:val="auto"/>
          <w:sz w:val="21"/>
          <w:szCs w:val="21"/>
          <w:highlight w:val="none"/>
        </w:rPr>
      </w:pPr>
      <w:r>
        <w:rPr>
          <w:color w:val="auto"/>
          <w:sz w:val="21"/>
          <w:szCs w:val="21"/>
          <w:highlight w:val="none"/>
        </w:rPr>
        <w:t>4.</w:t>
      </w:r>
      <w:r>
        <w:rPr>
          <w:rFonts w:hint="eastAsia"/>
          <w:color w:val="auto"/>
          <w:sz w:val="21"/>
          <w:szCs w:val="21"/>
          <w:highlight w:val="none"/>
        </w:rPr>
        <w:t>预算金额：1430000</w:t>
      </w:r>
    </w:p>
    <w:p>
      <w:pPr>
        <w:adjustRightInd w:val="0"/>
        <w:snapToGrid w:val="0"/>
        <w:spacing w:line="288" w:lineRule="auto"/>
        <w:ind w:firstLine="420" w:firstLineChars="200"/>
        <w:rPr>
          <w:color w:val="auto"/>
          <w:sz w:val="21"/>
          <w:szCs w:val="21"/>
          <w:highlight w:val="none"/>
        </w:rPr>
      </w:pPr>
      <w:r>
        <w:rPr>
          <w:color w:val="auto"/>
          <w:sz w:val="21"/>
          <w:szCs w:val="21"/>
          <w:highlight w:val="none"/>
        </w:rPr>
        <w:t>5.</w:t>
      </w:r>
      <w:r>
        <w:rPr>
          <w:rFonts w:hint="eastAsia"/>
          <w:color w:val="auto"/>
          <w:sz w:val="21"/>
          <w:szCs w:val="21"/>
          <w:highlight w:val="none"/>
        </w:rPr>
        <w:t>最高限价：1430000，其中允许采购进口产品部分：380000，不允许采购进口产品部分：1050000</w:t>
      </w:r>
    </w:p>
    <w:p>
      <w:pPr>
        <w:adjustRightInd w:val="0"/>
        <w:snapToGrid w:val="0"/>
        <w:spacing w:line="288" w:lineRule="auto"/>
        <w:ind w:firstLine="420" w:firstLineChars="200"/>
        <w:rPr>
          <w:color w:val="auto"/>
          <w:spacing w:val="-6"/>
          <w:sz w:val="21"/>
          <w:szCs w:val="21"/>
          <w:highlight w:val="none"/>
        </w:rPr>
      </w:pPr>
      <w:r>
        <w:rPr>
          <w:color w:val="auto"/>
          <w:sz w:val="21"/>
          <w:szCs w:val="21"/>
          <w:highlight w:val="none"/>
        </w:rPr>
        <w:t>6.</w:t>
      </w:r>
      <w:r>
        <w:rPr>
          <w:rFonts w:hint="eastAsia"/>
          <w:color w:val="auto"/>
          <w:sz w:val="21"/>
          <w:szCs w:val="21"/>
          <w:highlight w:val="none"/>
        </w:rPr>
        <w:t>合同履行期限：</w:t>
      </w:r>
      <w:r>
        <w:rPr>
          <w:rFonts w:hint="eastAsia"/>
          <w:color w:val="auto"/>
          <w:spacing w:val="-6"/>
          <w:sz w:val="21"/>
          <w:szCs w:val="21"/>
          <w:highlight w:val="none"/>
        </w:rPr>
        <w:t>自合同签订后90日内示波器交付并安装完毕，其余设备自30日内交付并安装完毕。</w:t>
      </w:r>
    </w:p>
    <w:p>
      <w:pPr>
        <w:adjustRightInd w:val="0"/>
        <w:snapToGrid w:val="0"/>
        <w:spacing w:line="288" w:lineRule="auto"/>
        <w:ind w:firstLine="420" w:firstLineChars="200"/>
        <w:rPr>
          <w:color w:val="auto"/>
          <w:sz w:val="21"/>
          <w:szCs w:val="21"/>
          <w:highlight w:val="none"/>
        </w:rPr>
      </w:pPr>
      <w:r>
        <w:rPr>
          <w:color w:val="auto"/>
          <w:sz w:val="21"/>
          <w:szCs w:val="21"/>
          <w:highlight w:val="none"/>
        </w:rPr>
        <w:t>7.</w:t>
      </w:r>
      <w:r>
        <w:rPr>
          <w:rFonts w:hint="eastAsia"/>
          <w:color w:val="auto"/>
          <w:sz w:val="21"/>
          <w:szCs w:val="21"/>
          <w:highlight w:val="none"/>
        </w:rPr>
        <w:t>本项目不接受联合体响应。</w:t>
      </w:r>
    </w:p>
    <w:p>
      <w:pPr>
        <w:adjustRightInd w:val="0"/>
        <w:snapToGrid w:val="0"/>
        <w:spacing w:line="288" w:lineRule="auto"/>
        <w:ind w:firstLine="420" w:firstLineChars="200"/>
        <w:rPr>
          <w:color w:val="auto"/>
          <w:sz w:val="21"/>
          <w:szCs w:val="21"/>
          <w:highlight w:val="none"/>
        </w:rPr>
      </w:pPr>
      <w:r>
        <w:rPr>
          <w:color w:val="auto"/>
          <w:sz w:val="21"/>
          <w:szCs w:val="21"/>
          <w:highlight w:val="none"/>
        </w:rPr>
        <w:t>8.</w:t>
      </w:r>
      <w:r>
        <w:rPr>
          <w:rFonts w:hint="eastAsia"/>
          <w:color w:val="auto"/>
          <w:sz w:val="21"/>
          <w:szCs w:val="21"/>
          <w:highlight w:val="none"/>
        </w:rPr>
        <w:t>采购需求：</w:t>
      </w:r>
    </w:p>
    <w:tbl>
      <w:tblPr>
        <w:tblStyle w:val="9"/>
        <w:tblW w:w="94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3006"/>
        <w:gridCol w:w="708"/>
        <w:gridCol w:w="709"/>
        <w:gridCol w:w="3119"/>
        <w:gridCol w:w="12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19" w:hRule="atLeast"/>
        </w:trPr>
        <w:tc>
          <w:tcPr>
            <w:tcW w:w="675" w:type="dxa"/>
            <w:tcBorders>
              <w:tl2br w:val="nil"/>
              <w:tr2bl w:val="nil"/>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序号</w:t>
            </w:r>
          </w:p>
        </w:tc>
        <w:tc>
          <w:tcPr>
            <w:tcW w:w="3006" w:type="dxa"/>
            <w:tcBorders>
              <w:right w:val="single" w:color="auto" w:sz="4" w:space="0"/>
              <w:tl2br w:val="nil"/>
              <w:tr2bl w:val="nil"/>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名称</w:t>
            </w:r>
          </w:p>
        </w:tc>
        <w:tc>
          <w:tcPr>
            <w:tcW w:w="708" w:type="dxa"/>
            <w:tcBorders>
              <w:tl2br w:val="nil"/>
              <w:tr2bl w:val="nil"/>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数量</w:t>
            </w:r>
          </w:p>
        </w:tc>
        <w:tc>
          <w:tcPr>
            <w:tcW w:w="709" w:type="dxa"/>
            <w:tcBorders>
              <w:tl2br w:val="nil"/>
              <w:tr2bl w:val="nil"/>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单位</w:t>
            </w:r>
          </w:p>
        </w:tc>
        <w:tc>
          <w:tcPr>
            <w:tcW w:w="3119" w:type="dxa"/>
            <w:tcBorders>
              <w:right w:val="single" w:color="auto" w:sz="4" w:space="0"/>
              <w:tl2br w:val="nil"/>
              <w:tr2bl w:val="nil"/>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简要技术需求或服务要求</w:t>
            </w:r>
          </w:p>
        </w:tc>
        <w:tc>
          <w:tcPr>
            <w:tcW w:w="1276" w:type="dxa"/>
            <w:tcBorders>
              <w:right w:val="single" w:color="auto" w:sz="4" w:space="0"/>
              <w:tl2br w:val="nil"/>
              <w:tr2bl w:val="nil"/>
            </w:tcBorders>
            <w:vAlign w:val="center"/>
          </w:tcPr>
          <w:p>
            <w:pPr>
              <w:adjustRightInd w:val="0"/>
              <w:snapToGrid w:val="0"/>
              <w:spacing w:line="288" w:lineRule="auto"/>
              <w:jc w:val="center"/>
              <w:rPr>
                <w:b/>
                <w:bCs/>
                <w:color w:val="auto"/>
                <w:sz w:val="21"/>
                <w:szCs w:val="21"/>
                <w:highlight w:val="none"/>
              </w:rPr>
            </w:pPr>
            <w:r>
              <w:rPr>
                <w:rFonts w:hint="eastAsia"/>
                <w:b/>
                <w:color w:val="auto"/>
                <w:sz w:val="21"/>
                <w:szCs w:val="21"/>
                <w:highlight w:val="none"/>
              </w:rPr>
              <w:t>是否允许采购进口产品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40" w:hRule="atLeast"/>
        </w:trPr>
        <w:tc>
          <w:tcPr>
            <w:tcW w:w="675" w:type="dxa"/>
            <w:tcBorders>
              <w:tl2br w:val="nil"/>
              <w:tr2bl w:val="nil"/>
            </w:tcBorders>
            <w:vAlign w:val="center"/>
          </w:tcPr>
          <w:p>
            <w:pPr>
              <w:adjustRightInd w:val="0"/>
              <w:snapToGrid w:val="0"/>
              <w:spacing w:line="288" w:lineRule="auto"/>
              <w:jc w:val="center"/>
              <w:rPr>
                <w:bCs/>
                <w:color w:val="auto"/>
                <w:sz w:val="21"/>
                <w:szCs w:val="21"/>
                <w:highlight w:val="none"/>
              </w:rPr>
            </w:pPr>
            <w:r>
              <w:rPr>
                <w:rFonts w:hint="eastAsia"/>
                <w:bCs/>
                <w:color w:val="auto"/>
                <w:sz w:val="21"/>
                <w:szCs w:val="21"/>
                <w:highlight w:val="none"/>
              </w:rPr>
              <w:t>1</w:t>
            </w:r>
          </w:p>
        </w:tc>
        <w:tc>
          <w:tcPr>
            <w:tcW w:w="3006" w:type="dxa"/>
            <w:tcBorders>
              <w:right w:val="single" w:color="auto" w:sz="4" w:space="0"/>
              <w:tl2br w:val="nil"/>
              <w:tr2bl w:val="nil"/>
            </w:tcBorders>
            <w:vAlign w:val="center"/>
          </w:tcPr>
          <w:p>
            <w:pPr>
              <w:adjustRightInd w:val="0"/>
              <w:snapToGrid w:val="0"/>
              <w:spacing w:line="288" w:lineRule="auto"/>
              <w:jc w:val="center"/>
              <w:rPr>
                <w:bCs/>
                <w:color w:val="auto"/>
                <w:sz w:val="21"/>
                <w:szCs w:val="21"/>
                <w:highlight w:val="none"/>
              </w:rPr>
            </w:pPr>
            <w:r>
              <w:rPr>
                <w:rFonts w:hint="eastAsia"/>
                <w:bCs/>
                <w:color w:val="auto"/>
                <w:sz w:val="21"/>
                <w:szCs w:val="21"/>
                <w:highlight w:val="none"/>
              </w:rPr>
              <w:t>示波器、数据处理卡等</w:t>
            </w:r>
          </w:p>
        </w:tc>
        <w:tc>
          <w:tcPr>
            <w:tcW w:w="708" w:type="dxa"/>
            <w:tcBorders>
              <w:tl2br w:val="nil"/>
              <w:tr2bl w:val="nil"/>
            </w:tcBorders>
            <w:vAlign w:val="center"/>
          </w:tcPr>
          <w:p>
            <w:pPr>
              <w:adjustRightInd w:val="0"/>
              <w:snapToGrid w:val="0"/>
              <w:spacing w:line="288" w:lineRule="auto"/>
              <w:jc w:val="center"/>
              <w:rPr>
                <w:bCs/>
                <w:color w:val="auto"/>
                <w:sz w:val="21"/>
                <w:szCs w:val="21"/>
                <w:highlight w:val="none"/>
              </w:rPr>
            </w:pPr>
            <w:r>
              <w:rPr>
                <w:rFonts w:hint="eastAsia"/>
                <w:bCs/>
                <w:color w:val="auto"/>
                <w:sz w:val="21"/>
                <w:szCs w:val="21"/>
                <w:highlight w:val="none"/>
              </w:rPr>
              <w:t>1</w:t>
            </w:r>
          </w:p>
        </w:tc>
        <w:tc>
          <w:tcPr>
            <w:tcW w:w="709" w:type="dxa"/>
            <w:tcBorders>
              <w:tl2br w:val="nil"/>
              <w:tr2bl w:val="nil"/>
            </w:tcBorders>
            <w:vAlign w:val="center"/>
          </w:tcPr>
          <w:p>
            <w:pPr>
              <w:adjustRightInd w:val="0"/>
              <w:snapToGrid w:val="0"/>
              <w:spacing w:line="288" w:lineRule="auto"/>
              <w:jc w:val="center"/>
              <w:rPr>
                <w:bCs/>
                <w:color w:val="auto"/>
                <w:sz w:val="21"/>
                <w:szCs w:val="21"/>
                <w:highlight w:val="none"/>
              </w:rPr>
            </w:pPr>
            <w:r>
              <w:rPr>
                <w:rFonts w:hint="eastAsia"/>
                <w:bCs/>
                <w:color w:val="auto"/>
                <w:sz w:val="21"/>
                <w:szCs w:val="21"/>
                <w:highlight w:val="none"/>
              </w:rPr>
              <w:t>批</w:t>
            </w:r>
          </w:p>
        </w:tc>
        <w:tc>
          <w:tcPr>
            <w:tcW w:w="3119" w:type="dxa"/>
            <w:tcBorders>
              <w:right w:val="single" w:color="auto" w:sz="4" w:space="0"/>
              <w:tl2br w:val="nil"/>
              <w:tr2bl w:val="nil"/>
            </w:tcBorders>
            <w:vAlign w:val="center"/>
          </w:tcPr>
          <w:p>
            <w:pPr>
              <w:adjustRightInd w:val="0"/>
              <w:snapToGrid w:val="0"/>
              <w:spacing w:line="288" w:lineRule="auto"/>
              <w:jc w:val="center"/>
              <w:rPr>
                <w:bCs/>
                <w:color w:val="auto"/>
                <w:sz w:val="21"/>
                <w:szCs w:val="21"/>
                <w:highlight w:val="none"/>
              </w:rPr>
            </w:pPr>
            <w:r>
              <w:rPr>
                <w:rFonts w:hint="eastAsia"/>
                <w:bCs/>
                <w:color w:val="auto"/>
                <w:sz w:val="21"/>
                <w:szCs w:val="21"/>
                <w:highlight w:val="none"/>
              </w:rPr>
              <w:t>详见采购文件</w:t>
            </w:r>
          </w:p>
        </w:tc>
        <w:tc>
          <w:tcPr>
            <w:tcW w:w="1276" w:type="dxa"/>
            <w:tcBorders>
              <w:right w:val="single" w:color="auto" w:sz="4" w:space="0"/>
              <w:tl2br w:val="nil"/>
              <w:tr2bl w:val="nil"/>
            </w:tcBorders>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部分允许</w:t>
            </w:r>
          </w:p>
        </w:tc>
      </w:tr>
    </w:tbl>
    <w:p>
      <w:pPr>
        <w:adjustRightInd w:val="0"/>
        <w:snapToGrid w:val="0"/>
        <w:spacing w:line="288" w:lineRule="auto"/>
        <w:ind w:firstLine="200"/>
        <w:rPr>
          <w:b/>
          <w:color w:val="auto"/>
          <w:sz w:val="21"/>
          <w:szCs w:val="21"/>
          <w:highlight w:val="none"/>
        </w:rPr>
      </w:pPr>
      <w:bookmarkStart w:id="5" w:name="_Toc35393622"/>
      <w:bookmarkStart w:id="6" w:name="_Toc28359080"/>
      <w:bookmarkStart w:id="7" w:name="_Toc35393791"/>
      <w:bookmarkStart w:id="8" w:name="_Toc28359003"/>
      <w:r>
        <w:rPr>
          <w:rFonts w:hint="eastAsia"/>
          <w:b/>
          <w:color w:val="auto"/>
          <w:sz w:val="21"/>
          <w:szCs w:val="21"/>
          <w:highlight w:val="none"/>
        </w:rPr>
        <w:t>二、申请人的资格要求：</w:t>
      </w:r>
      <w:bookmarkEnd w:id="5"/>
      <w:bookmarkEnd w:id="6"/>
      <w:bookmarkEnd w:id="7"/>
      <w:bookmarkEnd w:id="8"/>
    </w:p>
    <w:p>
      <w:pPr>
        <w:adjustRightInd w:val="0"/>
        <w:snapToGrid w:val="0"/>
        <w:spacing w:line="288" w:lineRule="auto"/>
        <w:ind w:firstLine="420" w:firstLineChars="200"/>
        <w:jc w:val="left"/>
        <w:rPr>
          <w:color w:val="auto"/>
          <w:sz w:val="21"/>
          <w:szCs w:val="21"/>
          <w:highlight w:val="none"/>
        </w:rPr>
      </w:pPr>
      <w:bookmarkStart w:id="9" w:name="_Toc28359081"/>
      <w:bookmarkStart w:id="10" w:name="_Toc28359004"/>
      <w:r>
        <w:rPr>
          <w:rFonts w:hint="eastAsia"/>
          <w:color w:val="auto"/>
          <w:sz w:val="21"/>
          <w:szCs w:val="21"/>
          <w:highlight w:val="none"/>
        </w:rPr>
        <w:t>1.满足《中华人民共和国政府采购法》第二十二条规定，且未被“信用中国”（www.creditchina.gov.cn)、中国政府采购网（www.ccgp.gov.cn）列入失信被执行人、重大税收违法案件当事人名单、政府采购严重违法失信行为记录名单。</w:t>
      </w:r>
    </w:p>
    <w:p>
      <w:pPr>
        <w:adjustRightInd w:val="0"/>
        <w:snapToGrid w:val="0"/>
        <w:spacing w:line="288" w:lineRule="auto"/>
        <w:ind w:firstLine="420" w:firstLineChars="200"/>
        <w:rPr>
          <w:rFonts w:cs="Times New Roman"/>
          <w:color w:val="auto"/>
          <w:sz w:val="21"/>
          <w:szCs w:val="21"/>
          <w:highlight w:val="none"/>
        </w:rPr>
      </w:pPr>
      <w:r>
        <w:rPr>
          <w:rFonts w:hint="eastAsia" w:cs="Times New Roman"/>
          <w:color w:val="auto"/>
          <w:sz w:val="21"/>
          <w:szCs w:val="21"/>
          <w:highlight w:val="none"/>
        </w:rPr>
        <w:t>2.落实政府采购政策需满足的资格要求：无。</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3.本项目的特定资格要求：无。</w:t>
      </w:r>
    </w:p>
    <w:p>
      <w:pPr>
        <w:adjustRightInd w:val="0"/>
        <w:snapToGrid w:val="0"/>
        <w:spacing w:line="288" w:lineRule="auto"/>
        <w:ind w:firstLine="200"/>
        <w:rPr>
          <w:b/>
          <w:color w:val="auto"/>
          <w:sz w:val="21"/>
          <w:szCs w:val="21"/>
          <w:highlight w:val="none"/>
        </w:rPr>
      </w:pPr>
      <w:bookmarkStart w:id="11" w:name="_Toc35393792"/>
      <w:bookmarkStart w:id="12" w:name="_Toc35393623"/>
      <w:r>
        <w:rPr>
          <w:rFonts w:hint="eastAsia"/>
          <w:b/>
          <w:color w:val="auto"/>
          <w:sz w:val="21"/>
          <w:szCs w:val="21"/>
          <w:highlight w:val="none"/>
        </w:rPr>
        <w:t>三、获取（下载）采购文件</w:t>
      </w:r>
      <w:bookmarkEnd w:id="9"/>
      <w:bookmarkEnd w:id="10"/>
      <w:bookmarkEnd w:id="11"/>
      <w:bookmarkEnd w:id="12"/>
    </w:p>
    <w:p>
      <w:pPr>
        <w:adjustRightInd w:val="0"/>
        <w:snapToGrid w:val="0"/>
        <w:spacing w:line="288" w:lineRule="auto"/>
        <w:ind w:firstLine="420" w:firstLineChars="200"/>
        <w:rPr>
          <w:color w:val="auto"/>
          <w:sz w:val="21"/>
          <w:szCs w:val="21"/>
          <w:highlight w:val="none"/>
        </w:rPr>
      </w:pPr>
      <w:bookmarkStart w:id="13" w:name="_Toc35393624"/>
      <w:bookmarkStart w:id="14" w:name="_Toc35393793"/>
      <w:bookmarkStart w:id="15" w:name="_Toc28359082"/>
      <w:bookmarkStart w:id="16" w:name="_Toc28359005"/>
      <w:r>
        <w:rPr>
          <w:rFonts w:hint="eastAsia"/>
          <w:color w:val="auto"/>
          <w:sz w:val="21"/>
          <w:szCs w:val="21"/>
          <w:highlight w:val="none"/>
        </w:rPr>
        <w:t>时间：2021年</w:t>
      </w:r>
      <w:r>
        <w:rPr>
          <w:rFonts w:hint="eastAsia"/>
          <w:color w:val="auto"/>
          <w:sz w:val="21"/>
          <w:szCs w:val="21"/>
          <w:highlight w:val="none"/>
          <w:lang w:val="en-US" w:eastAsia="zh-CN"/>
        </w:rPr>
        <w:t>10</w:t>
      </w:r>
      <w:r>
        <w:rPr>
          <w:rFonts w:hint="eastAsia"/>
          <w:color w:val="auto"/>
          <w:sz w:val="21"/>
          <w:szCs w:val="21"/>
          <w:highlight w:val="none"/>
        </w:rPr>
        <w:t>月</w:t>
      </w:r>
      <w:r>
        <w:rPr>
          <w:rFonts w:hint="eastAsia"/>
          <w:color w:val="auto"/>
          <w:sz w:val="21"/>
          <w:szCs w:val="21"/>
          <w:highlight w:val="none"/>
          <w:lang w:val="en-US" w:eastAsia="zh-CN"/>
        </w:rPr>
        <w:t>19</w:t>
      </w:r>
      <w:r>
        <w:rPr>
          <w:rFonts w:hint="eastAsia"/>
          <w:color w:val="auto"/>
          <w:sz w:val="21"/>
          <w:szCs w:val="21"/>
          <w:highlight w:val="none"/>
        </w:rPr>
        <w:t>日至2021年</w:t>
      </w:r>
      <w:r>
        <w:rPr>
          <w:rFonts w:hint="eastAsia"/>
          <w:color w:val="auto"/>
          <w:sz w:val="21"/>
          <w:szCs w:val="21"/>
          <w:highlight w:val="none"/>
          <w:lang w:eastAsia="zh-CN"/>
        </w:rPr>
        <w:t>11月1日</w:t>
      </w:r>
      <w:r>
        <w:rPr>
          <w:rFonts w:hint="eastAsia"/>
          <w:color w:val="auto"/>
          <w:sz w:val="21"/>
          <w:szCs w:val="21"/>
          <w:highlight w:val="none"/>
        </w:rPr>
        <w:t>，每天上午00:00至12:00，下午12:00至23:59（北京时间，线上获取法定节假日均可，线下获取文件法定节假日除外）</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地点（网址）：政府采购云平台（https://login.zcygov.cn）</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方式：在线获取（潜在供应商登陆政府采购云平台，进入“项目采购”，在“获取采购文件”菜单中选择项目后“申请获取采购文件”）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售价（元）：0</w:t>
      </w:r>
    </w:p>
    <w:bookmarkEnd w:id="13"/>
    <w:bookmarkEnd w:id="14"/>
    <w:bookmarkEnd w:id="15"/>
    <w:bookmarkEnd w:id="16"/>
    <w:p>
      <w:pPr>
        <w:adjustRightInd w:val="0"/>
        <w:snapToGrid w:val="0"/>
        <w:spacing w:line="288" w:lineRule="auto"/>
        <w:ind w:firstLine="200"/>
        <w:rPr>
          <w:b/>
          <w:color w:val="auto"/>
          <w:sz w:val="21"/>
          <w:szCs w:val="21"/>
          <w:highlight w:val="none"/>
        </w:rPr>
      </w:pPr>
      <w:bookmarkStart w:id="17" w:name="_Toc35393794"/>
      <w:bookmarkStart w:id="18" w:name="_Toc35393625"/>
      <w:bookmarkStart w:id="19" w:name="_Toc28359007"/>
      <w:bookmarkStart w:id="20" w:name="_Toc28359084"/>
      <w:r>
        <w:rPr>
          <w:rFonts w:hint="eastAsia"/>
          <w:b/>
          <w:color w:val="auto"/>
          <w:sz w:val="21"/>
          <w:szCs w:val="21"/>
          <w:highlight w:val="none"/>
        </w:rPr>
        <w:t>四、响应文件提交（上传）</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截止时间：2021年</w:t>
      </w:r>
      <w:r>
        <w:rPr>
          <w:rFonts w:hint="eastAsia"/>
          <w:bCs/>
          <w:color w:val="auto"/>
          <w:sz w:val="21"/>
          <w:szCs w:val="21"/>
          <w:highlight w:val="none"/>
          <w:lang w:eastAsia="zh-CN"/>
        </w:rPr>
        <w:t>11月1日14:00:00</w:t>
      </w:r>
      <w:r>
        <w:rPr>
          <w:rFonts w:hint="eastAsia"/>
          <w:bCs/>
          <w:color w:val="auto"/>
          <w:sz w:val="21"/>
          <w:szCs w:val="21"/>
          <w:highlight w:val="none"/>
        </w:rPr>
        <w:t>（北京时间）</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地点</w:t>
      </w:r>
      <w:r>
        <w:rPr>
          <w:rFonts w:hint="eastAsia"/>
          <w:color w:val="auto"/>
          <w:sz w:val="21"/>
          <w:szCs w:val="21"/>
          <w:highlight w:val="none"/>
        </w:rPr>
        <w:t>（网址）：政府采购云平台（https://login.zcygov.cn）</w:t>
      </w:r>
    </w:p>
    <w:p>
      <w:pPr>
        <w:adjustRightInd w:val="0"/>
        <w:snapToGrid w:val="0"/>
        <w:spacing w:line="288" w:lineRule="auto"/>
        <w:ind w:firstLine="200"/>
        <w:rPr>
          <w:b/>
          <w:color w:val="auto"/>
          <w:sz w:val="21"/>
          <w:szCs w:val="21"/>
          <w:highlight w:val="none"/>
        </w:rPr>
      </w:pPr>
      <w:r>
        <w:rPr>
          <w:rFonts w:hint="eastAsia"/>
          <w:b/>
          <w:color w:val="auto"/>
          <w:sz w:val="21"/>
          <w:szCs w:val="21"/>
          <w:highlight w:val="none"/>
        </w:rPr>
        <w:t>五、响应文件开启</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开启时间：2021年</w:t>
      </w:r>
      <w:r>
        <w:rPr>
          <w:rFonts w:hint="eastAsia"/>
          <w:bCs/>
          <w:color w:val="auto"/>
          <w:sz w:val="21"/>
          <w:szCs w:val="21"/>
          <w:highlight w:val="none"/>
          <w:lang w:eastAsia="zh-CN"/>
        </w:rPr>
        <w:t>11月1日14:00:00</w:t>
      </w:r>
      <w:r>
        <w:rPr>
          <w:rFonts w:hint="eastAsia"/>
          <w:bCs/>
          <w:color w:val="auto"/>
          <w:sz w:val="21"/>
          <w:szCs w:val="21"/>
          <w:highlight w:val="none"/>
        </w:rPr>
        <w:t>（北京时间）</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地点</w:t>
      </w:r>
      <w:r>
        <w:rPr>
          <w:rFonts w:hint="eastAsia"/>
          <w:color w:val="auto"/>
          <w:sz w:val="21"/>
          <w:szCs w:val="21"/>
          <w:highlight w:val="none"/>
        </w:rPr>
        <w:t>（网址）：政府采购云平台（https://login.zcygov.cn）</w:t>
      </w:r>
      <w:r>
        <w:rPr>
          <w:rFonts w:hint="eastAsia" w:cs="Times New Roman"/>
          <w:color w:val="auto"/>
          <w:sz w:val="21"/>
          <w:szCs w:val="21"/>
          <w:highlight w:val="none"/>
        </w:rPr>
        <w:t>/杭州市西湖区玉古路173号中田大厦1</w:t>
      </w:r>
      <w:r>
        <w:rPr>
          <w:rFonts w:hint="eastAsia" w:cs="Times New Roman"/>
          <w:color w:val="auto"/>
          <w:sz w:val="21"/>
          <w:szCs w:val="21"/>
          <w:highlight w:val="none"/>
          <w:lang w:val="en-US" w:eastAsia="zh-CN"/>
        </w:rPr>
        <w:t>6</w:t>
      </w:r>
      <w:r>
        <w:rPr>
          <w:rFonts w:hint="eastAsia" w:cs="Times New Roman"/>
          <w:color w:val="auto"/>
          <w:sz w:val="21"/>
          <w:szCs w:val="21"/>
          <w:highlight w:val="none"/>
        </w:rPr>
        <w:t>楼（求是招标会议室</w:t>
      </w:r>
      <w:r>
        <w:rPr>
          <w:rFonts w:hint="eastAsia" w:cs="Times New Roman"/>
          <w:color w:val="auto"/>
          <w:sz w:val="21"/>
          <w:szCs w:val="21"/>
          <w:highlight w:val="none"/>
          <w:lang w:val="en-US" w:eastAsia="zh-CN"/>
        </w:rPr>
        <w:t>5</w:t>
      </w:r>
      <w:r>
        <w:rPr>
          <w:rFonts w:hint="eastAsia" w:cs="Times New Roman"/>
          <w:color w:val="auto"/>
          <w:sz w:val="21"/>
          <w:szCs w:val="21"/>
          <w:highlight w:val="none"/>
        </w:rPr>
        <w:t>）</w:t>
      </w:r>
      <w:bookmarkStart w:id="39" w:name="_GoBack"/>
      <w:bookmarkEnd w:id="39"/>
    </w:p>
    <w:p>
      <w:pPr>
        <w:adjustRightInd w:val="0"/>
        <w:snapToGrid w:val="0"/>
        <w:spacing w:line="288" w:lineRule="auto"/>
        <w:ind w:firstLine="200"/>
        <w:rPr>
          <w:b/>
          <w:color w:val="auto"/>
          <w:sz w:val="21"/>
          <w:szCs w:val="21"/>
          <w:highlight w:val="none"/>
        </w:rPr>
      </w:pPr>
      <w:r>
        <w:rPr>
          <w:rFonts w:hint="eastAsia"/>
          <w:b/>
          <w:color w:val="auto"/>
          <w:sz w:val="21"/>
          <w:szCs w:val="21"/>
          <w:highlight w:val="none"/>
        </w:rPr>
        <w:t>六、公告期限</w:t>
      </w:r>
      <w:bookmarkEnd w:id="17"/>
      <w:bookmarkEnd w:id="18"/>
      <w:bookmarkEnd w:id="19"/>
      <w:bookmarkEnd w:id="20"/>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自本公告发布之日起3个工作日。</w:t>
      </w:r>
    </w:p>
    <w:p>
      <w:pPr>
        <w:adjustRightInd w:val="0"/>
        <w:snapToGrid w:val="0"/>
        <w:spacing w:line="288" w:lineRule="auto"/>
        <w:ind w:firstLine="211" w:firstLineChars="100"/>
        <w:rPr>
          <w:b/>
          <w:color w:val="auto"/>
          <w:sz w:val="21"/>
          <w:szCs w:val="21"/>
          <w:highlight w:val="none"/>
        </w:rPr>
      </w:pPr>
      <w:bookmarkStart w:id="21" w:name="_Toc35393626"/>
      <w:bookmarkStart w:id="22" w:name="_Toc35393795"/>
      <w:r>
        <w:rPr>
          <w:rFonts w:hint="eastAsia"/>
          <w:b/>
          <w:color w:val="auto"/>
          <w:sz w:val="21"/>
          <w:szCs w:val="21"/>
          <w:highlight w:val="none"/>
        </w:rPr>
        <w:t>七、其他补充事宜</w:t>
      </w:r>
      <w:bookmarkEnd w:id="21"/>
      <w:bookmarkEnd w:id="22"/>
    </w:p>
    <w:p>
      <w:pPr>
        <w:adjustRightInd w:val="0"/>
        <w:snapToGrid w:val="0"/>
        <w:spacing w:line="288" w:lineRule="auto"/>
        <w:ind w:firstLine="396" w:firstLineChars="200"/>
        <w:rPr>
          <w:bCs/>
          <w:color w:val="auto"/>
          <w:sz w:val="21"/>
          <w:szCs w:val="21"/>
          <w:highlight w:val="none"/>
        </w:rPr>
      </w:pPr>
      <w:bookmarkStart w:id="23" w:name="_Toc35393796"/>
      <w:bookmarkStart w:id="24" w:name="_Toc28359008"/>
      <w:bookmarkStart w:id="25" w:name="_Toc35393627"/>
      <w:bookmarkStart w:id="26" w:name="_Toc28359085"/>
      <w:r>
        <w:rPr>
          <w:rFonts w:hint="eastAsia"/>
          <w:color w:val="auto"/>
          <w:spacing w:val="-6"/>
          <w:sz w:val="21"/>
          <w:szCs w:val="21"/>
          <w:highlight w:val="none"/>
        </w:rPr>
        <w:t>供应商认为采购文件使自己的权益受到损害的，可以提出质疑。对采购文件提出质疑的，应当在获取采购文件或者采购文件公告期限届满之日（公告期限届满后获取采购文件的，以公告期限届满之日为准）起7个工作日内以书面形式向采购人、采购代理机构提出。质疑供应商对采购人、采购代理机构的答复不满意或者采购人、采购代理机构未在规定的时间内作出答复的，可以在答复期满后十五个工作日内向同级政府采购监督管理部门投诉。</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质疑函范本、投诉书范本请到浙江政府采购网下载专区下载。</w:t>
      </w:r>
    </w:p>
    <w:p>
      <w:pPr>
        <w:adjustRightInd w:val="0"/>
        <w:snapToGrid w:val="0"/>
        <w:spacing w:line="288" w:lineRule="auto"/>
        <w:ind w:firstLine="422" w:firstLineChars="200"/>
        <w:rPr>
          <w:b/>
          <w:bCs/>
          <w:color w:val="auto"/>
          <w:kern w:val="0"/>
          <w:sz w:val="21"/>
          <w:szCs w:val="21"/>
          <w:highlight w:val="none"/>
        </w:rPr>
      </w:pPr>
      <w:r>
        <w:rPr>
          <w:b/>
          <w:bCs/>
          <w:color w:val="auto"/>
          <w:kern w:val="0"/>
          <w:sz w:val="21"/>
          <w:szCs w:val="21"/>
          <w:highlight w:val="none"/>
        </w:rPr>
        <w:t>政采云</w:t>
      </w:r>
      <w:r>
        <w:rPr>
          <w:rFonts w:hint="eastAsia"/>
          <w:b/>
          <w:bCs/>
          <w:color w:val="auto"/>
          <w:kern w:val="0"/>
          <w:sz w:val="21"/>
          <w:szCs w:val="21"/>
          <w:highlight w:val="none"/>
        </w:rPr>
        <w:t>电子交易系统咨询</w:t>
      </w:r>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若对项目采购电子交易系统操作有疑问，可登录政采云（</w:t>
      </w:r>
      <w:r>
        <w:rPr>
          <w:color w:val="auto"/>
          <w:kern w:val="0"/>
          <w:sz w:val="21"/>
          <w:szCs w:val="21"/>
          <w:highlight w:val="none"/>
        </w:rPr>
        <w:t>https://www.zcygov.cn/），点击右侧咨询小采，获取采小蜜智能服务管家帮助，或拨打政采云服务热线400-881-7190获取热线服务帮助。</w:t>
      </w:r>
    </w:p>
    <w:p>
      <w:pPr>
        <w:adjustRightInd w:val="0"/>
        <w:snapToGrid w:val="0"/>
        <w:spacing w:line="288" w:lineRule="auto"/>
        <w:ind w:firstLine="420" w:firstLineChars="200"/>
        <w:rPr>
          <w:color w:val="auto"/>
          <w:kern w:val="0"/>
          <w:sz w:val="21"/>
          <w:szCs w:val="21"/>
          <w:highlight w:val="none"/>
        </w:rPr>
      </w:pPr>
      <w:r>
        <w:rPr>
          <w:color w:val="auto"/>
          <w:kern w:val="0"/>
          <w:sz w:val="21"/>
          <w:szCs w:val="21"/>
          <w:highlight w:val="none"/>
        </w:rPr>
        <w:t>CA问题联系电话（人工）：汇信CA 400-888-4636；天谷CA 400-087-8198。</w:t>
      </w:r>
    </w:p>
    <w:p>
      <w:pPr>
        <w:adjustRightInd w:val="0"/>
        <w:snapToGrid w:val="0"/>
        <w:spacing w:line="288" w:lineRule="auto"/>
        <w:ind w:firstLine="200"/>
        <w:rPr>
          <w:b/>
          <w:color w:val="auto"/>
          <w:sz w:val="21"/>
          <w:szCs w:val="21"/>
          <w:highlight w:val="none"/>
        </w:rPr>
      </w:pPr>
      <w:r>
        <w:rPr>
          <w:rFonts w:hint="eastAsia"/>
          <w:b/>
          <w:color w:val="auto"/>
          <w:sz w:val="21"/>
          <w:szCs w:val="21"/>
          <w:highlight w:val="none"/>
        </w:rPr>
        <w:t>八、凡对本次采购提出询问、质疑、投诉请按以下方式联系</w:t>
      </w:r>
      <w:bookmarkEnd w:id="23"/>
      <w:bookmarkEnd w:id="24"/>
      <w:bookmarkEnd w:id="25"/>
      <w:bookmarkEnd w:id="26"/>
    </w:p>
    <w:p>
      <w:pPr>
        <w:adjustRightInd w:val="0"/>
        <w:snapToGrid w:val="0"/>
        <w:spacing w:line="288" w:lineRule="auto"/>
        <w:ind w:firstLine="283" w:firstLineChars="135"/>
        <w:rPr>
          <w:color w:val="auto"/>
          <w:sz w:val="21"/>
          <w:szCs w:val="21"/>
          <w:highlight w:val="none"/>
        </w:rPr>
      </w:pPr>
      <w:r>
        <w:rPr>
          <w:color w:val="auto"/>
          <w:sz w:val="21"/>
          <w:szCs w:val="21"/>
          <w:highlight w:val="none"/>
        </w:rPr>
        <w:t>1.采购人信息</w:t>
      </w:r>
    </w:p>
    <w:p>
      <w:pPr>
        <w:adjustRightInd w:val="0"/>
        <w:snapToGrid w:val="0"/>
        <w:spacing w:line="288" w:lineRule="auto"/>
        <w:ind w:firstLine="283" w:firstLineChars="135"/>
        <w:rPr>
          <w:color w:val="auto"/>
          <w:sz w:val="21"/>
          <w:szCs w:val="21"/>
          <w:highlight w:val="none"/>
        </w:rPr>
      </w:pPr>
      <w:r>
        <w:rPr>
          <w:rFonts w:hint="eastAsia"/>
          <w:color w:val="auto"/>
          <w:sz w:val="21"/>
          <w:szCs w:val="21"/>
          <w:highlight w:val="none"/>
        </w:rPr>
        <w:t>名称：杭州电子科技大学</w:t>
      </w:r>
    </w:p>
    <w:p>
      <w:pPr>
        <w:adjustRightInd w:val="0"/>
        <w:snapToGrid w:val="0"/>
        <w:spacing w:line="288" w:lineRule="auto"/>
        <w:ind w:firstLine="283" w:firstLineChars="135"/>
        <w:rPr>
          <w:rFonts w:cs="Times New Roman"/>
          <w:color w:val="auto"/>
          <w:sz w:val="21"/>
          <w:szCs w:val="21"/>
          <w:highlight w:val="none"/>
        </w:rPr>
      </w:pPr>
      <w:r>
        <w:rPr>
          <w:rFonts w:hint="eastAsia" w:cs="Times New Roman"/>
          <w:color w:val="auto"/>
          <w:sz w:val="21"/>
          <w:szCs w:val="21"/>
          <w:highlight w:val="none"/>
        </w:rPr>
        <w:t>地址：浙江省杭州市钱塘区白杨街道2号大街1158号</w:t>
      </w:r>
    </w:p>
    <w:p>
      <w:pPr>
        <w:adjustRightInd w:val="0"/>
        <w:snapToGrid w:val="0"/>
        <w:spacing w:line="288" w:lineRule="auto"/>
        <w:ind w:firstLine="283" w:firstLineChars="135"/>
        <w:rPr>
          <w:rFonts w:cs="Times New Roman"/>
          <w:color w:val="auto"/>
          <w:sz w:val="21"/>
          <w:szCs w:val="21"/>
          <w:highlight w:val="none"/>
        </w:rPr>
      </w:pPr>
      <w:r>
        <w:rPr>
          <w:rFonts w:hint="eastAsia" w:cs="Times New Roman"/>
          <w:color w:val="auto"/>
          <w:sz w:val="21"/>
          <w:szCs w:val="21"/>
          <w:highlight w:val="none"/>
        </w:rPr>
        <w:t>采购人联系人：崔老师</w:t>
      </w:r>
    </w:p>
    <w:p>
      <w:pPr>
        <w:adjustRightInd w:val="0"/>
        <w:snapToGrid w:val="0"/>
        <w:spacing w:line="288" w:lineRule="auto"/>
        <w:ind w:firstLine="283" w:firstLineChars="135"/>
        <w:rPr>
          <w:rFonts w:cs="Times New Roman"/>
          <w:color w:val="auto"/>
          <w:sz w:val="21"/>
          <w:szCs w:val="21"/>
          <w:highlight w:val="none"/>
        </w:rPr>
      </w:pPr>
      <w:r>
        <w:rPr>
          <w:rFonts w:hint="eastAsia" w:cs="Times New Roman"/>
          <w:color w:val="auto"/>
          <w:sz w:val="21"/>
          <w:szCs w:val="21"/>
          <w:highlight w:val="none"/>
        </w:rPr>
        <w:t>采购人联系方式：0571-86878697</w:t>
      </w:r>
    </w:p>
    <w:p>
      <w:pPr>
        <w:adjustRightInd w:val="0"/>
        <w:snapToGrid w:val="0"/>
        <w:spacing w:line="288" w:lineRule="auto"/>
        <w:ind w:firstLine="283" w:firstLineChars="135"/>
        <w:rPr>
          <w:rFonts w:cs="Times New Roman"/>
          <w:color w:val="auto"/>
          <w:sz w:val="21"/>
          <w:szCs w:val="21"/>
          <w:highlight w:val="none"/>
        </w:rPr>
      </w:pPr>
      <w:r>
        <w:rPr>
          <w:rFonts w:hint="eastAsia" w:cs="Times New Roman"/>
          <w:color w:val="auto"/>
          <w:sz w:val="21"/>
          <w:szCs w:val="21"/>
          <w:highlight w:val="none"/>
        </w:rPr>
        <w:t>项目联系人（询问）：宗老师</w:t>
      </w:r>
    </w:p>
    <w:p>
      <w:pPr>
        <w:adjustRightInd w:val="0"/>
        <w:snapToGrid w:val="0"/>
        <w:spacing w:line="288" w:lineRule="auto"/>
        <w:ind w:firstLine="283" w:firstLineChars="135"/>
        <w:rPr>
          <w:rFonts w:cs="Times New Roman"/>
          <w:color w:val="auto"/>
          <w:sz w:val="21"/>
          <w:szCs w:val="21"/>
          <w:highlight w:val="none"/>
        </w:rPr>
      </w:pPr>
      <w:r>
        <w:rPr>
          <w:rFonts w:hint="eastAsia" w:cs="Times New Roman"/>
          <w:color w:val="auto"/>
          <w:sz w:val="21"/>
          <w:szCs w:val="21"/>
          <w:highlight w:val="none"/>
        </w:rPr>
        <w:t>项目联系方式（询问）：15268802631</w:t>
      </w:r>
    </w:p>
    <w:p>
      <w:pPr>
        <w:adjustRightInd w:val="0"/>
        <w:snapToGrid w:val="0"/>
        <w:spacing w:line="288" w:lineRule="auto"/>
        <w:ind w:firstLine="283" w:firstLineChars="135"/>
        <w:rPr>
          <w:rFonts w:cs="Times New Roman"/>
          <w:color w:val="auto"/>
          <w:sz w:val="21"/>
          <w:szCs w:val="21"/>
          <w:highlight w:val="none"/>
        </w:rPr>
      </w:pPr>
      <w:r>
        <w:rPr>
          <w:rFonts w:hint="eastAsia" w:cs="Times New Roman"/>
          <w:color w:val="auto"/>
          <w:sz w:val="21"/>
          <w:szCs w:val="21"/>
          <w:highlight w:val="none"/>
        </w:rPr>
        <w:t>质疑联系人：李老师</w:t>
      </w:r>
    </w:p>
    <w:p>
      <w:pPr>
        <w:adjustRightInd w:val="0"/>
        <w:snapToGrid w:val="0"/>
        <w:spacing w:line="288" w:lineRule="auto"/>
        <w:ind w:firstLine="283" w:firstLineChars="135"/>
        <w:rPr>
          <w:rFonts w:cs="Times New Roman"/>
          <w:color w:val="auto"/>
          <w:sz w:val="21"/>
          <w:szCs w:val="21"/>
          <w:highlight w:val="none"/>
        </w:rPr>
      </w:pPr>
      <w:r>
        <w:rPr>
          <w:rFonts w:hint="eastAsia" w:cs="Times New Roman"/>
          <w:color w:val="auto"/>
          <w:sz w:val="21"/>
          <w:szCs w:val="21"/>
          <w:highlight w:val="none"/>
        </w:rPr>
        <w:t>质疑联系方式：0571-86878697</w:t>
      </w:r>
    </w:p>
    <w:p>
      <w:pPr>
        <w:adjustRightInd w:val="0"/>
        <w:snapToGrid w:val="0"/>
        <w:spacing w:line="288" w:lineRule="auto"/>
        <w:ind w:firstLine="283" w:firstLineChars="135"/>
        <w:rPr>
          <w:color w:val="auto"/>
          <w:sz w:val="21"/>
          <w:szCs w:val="21"/>
          <w:highlight w:val="none"/>
        </w:rPr>
      </w:pPr>
    </w:p>
    <w:p>
      <w:pPr>
        <w:adjustRightInd w:val="0"/>
        <w:snapToGrid w:val="0"/>
        <w:spacing w:line="288" w:lineRule="auto"/>
        <w:ind w:firstLine="283" w:firstLineChars="135"/>
        <w:rPr>
          <w:color w:val="auto"/>
          <w:sz w:val="21"/>
          <w:szCs w:val="21"/>
          <w:highlight w:val="none"/>
        </w:rPr>
      </w:pPr>
      <w:r>
        <w:rPr>
          <w:color w:val="auto"/>
          <w:sz w:val="21"/>
          <w:szCs w:val="21"/>
          <w:highlight w:val="none"/>
        </w:rPr>
        <w:t>2.采购代理机构信息</w:t>
      </w:r>
    </w:p>
    <w:p>
      <w:pPr>
        <w:adjustRightInd w:val="0"/>
        <w:snapToGrid w:val="0"/>
        <w:spacing w:line="288" w:lineRule="auto"/>
        <w:ind w:firstLine="283" w:firstLineChars="135"/>
        <w:rPr>
          <w:color w:val="auto"/>
          <w:sz w:val="21"/>
          <w:szCs w:val="21"/>
          <w:highlight w:val="none"/>
        </w:rPr>
      </w:pPr>
      <w:r>
        <w:rPr>
          <w:rFonts w:hint="eastAsia"/>
          <w:color w:val="auto"/>
          <w:sz w:val="21"/>
          <w:szCs w:val="21"/>
          <w:highlight w:val="none"/>
        </w:rPr>
        <w:t>名称：浙江求是招标代理有限公司</w:t>
      </w:r>
    </w:p>
    <w:p>
      <w:pPr>
        <w:adjustRightInd w:val="0"/>
        <w:snapToGrid w:val="0"/>
        <w:spacing w:line="288" w:lineRule="auto"/>
        <w:ind w:firstLine="283" w:firstLineChars="135"/>
        <w:rPr>
          <w:color w:val="auto"/>
          <w:sz w:val="21"/>
          <w:szCs w:val="21"/>
          <w:highlight w:val="none"/>
        </w:rPr>
      </w:pPr>
      <w:r>
        <w:rPr>
          <w:rFonts w:hint="eastAsia"/>
          <w:color w:val="auto"/>
          <w:sz w:val="21"/>
          <w:szCs w:val="21"/>
          <w:highlight w:val="none"/>
        </w:rPr>
        <w:t>地址：杭州市西湖区玉古路</w:t>
      </w:r>
      <w:r>
        <w:rPr>
          <w:color w:val="auto"/>
          <w:sz w:val="21"/>
          <w:szCs w:val="21"/>
          <w:highlight w:val="none"/>
        </w:rPr>
        <w:t>173号中田大厦11楼</w:t>
      </w:r>
    </w:p>
    <w:p>
      <w:pPr>
        <w:adjustRightInd w:val="0"/>
        <w:snapToGrid w:val="0"/>
        <w:spacing w:line="288" w:lineRule="auto"/>
        <w:ind w:firstLine="283" w:firstLineChars="135"/>
        <w:rPr>
          <w:color w:val="auto"/>
          <w:sz w:val="21"/>
          <w:szCs w:val="21"/>
          <w:highlight w:val="none"/>
        </w:rPr>
      </w:pPr>
      <w:r>
        <w:rPr>
          <w:rFonts w:hint="eastAsia"/>
          <w:color w:val="auto"/>
          <w:sz w:val="21"/>
          <w:szCs w:val="21"/>
          <w:highlight w:val="none"/>
        </w:rPr>
        <w:t>项目联系人（询问）：陈应俭、俞炳</w:t>
      </w:r>
    </w:p>
    <w:p>
      <w:pPr>
        <w:adjustRightInd w:val="0"/>
        <w:snapToGrid w:val="0"/>
        <w:spacing w:line="288" w:lineRule="auto"/>
        <w:ind w:firstLine="283" w:firstLineChars="135"/>
        <w:rPr>
          <w:color w:val="auto"/>
          <w:sz w:val="21"/>
          <w:szCs w:val="21"/>
          <w:highlight w:val="none"/>
        </w:rPr>
      </w:pPr>
      <w:r>
        <w:rPr>
          <w:rFonts w:hint="eastAsia"/>
          <w:color w:val="auto"/>
          <w:sz w:val="21"/>
          <w:szCs w:val="21"/>
          <w:highlight w:val="none"/>
        </w:rPr>
        <w:t>项目联系方式（询问）：0571-87670302</w:t>
      </w:r>
    </w:p>
    <w:p>
      <w:pPr>
        <w:adjustRightInd w:val="0"/>
        <w:snapToGrid w:val="0"/>
        <w:spacing w:line="288" w:lineRule="auto"/>
        <w:ind w:firstLine="283" w:firstLineChars="135"/>
        <w:rPr>
          <w:color w:val="auto"/>
          <w:sz w:val="21"/>
          <w:szCs w:val="21"/>
          <w:highlight w:val="none"/>
        </w:rPr>
      </w:pPr>
      <w:r>
        <w:rPr>
          <w:rFonts w:hint="eastAsia"/>
          <w:color w:val="auto"/>
          <w:sz w:val="21"/>
          <w:szCs w:val="21"/>
          <w:highlight w:val="none"/>
        </w:rPr>
        <w:t>质疑联系人：余水星</w:t>
      </w:r>
    </w:p>
    <w:p>
      <w:pPr>
        <w:adjustRightInd w:val="0"/>
        <w:snapToGrid w:val="0"/>
        <w:spacing w:line="288" w:lineRule="auto"/>
        <w:ind w:firstLine="283" w:firstLineChars="135"/>
        <w:rPr>
          <w:color w:val="auto"/>
          <w:sz w:val="21"/>
          <w:szCs w:val="21"/>
          <w:highlight w:val="none"/>
        </w:rPr>
      </w:pPr>
      <w:r>
        <w:rPr>
          <w:rFonts w:hint="eastAsia"/>
          <w:color w:val="auto"/>
          <w:sz w:val="21"/>
          <w:szCs w:val="21"/>
          <w:highlight w:val="none"/>
        </w:rPr>
        <w:t>质疑联系方式：</w:t>
      </w:r>
      <w:r>
        <w:rPr>
          <w:color w:val="auto"/>
          <w:sz w:val="21"/>
          <w:szCs w:val="21"/>
          <w:highlight w:val="none"/>
        </w:rPr>
        <w:t>0571-81110356</w:t>
      </w:r>
    </w:p>
    <w:p>
      <w:pPr>
        <w:adjustRightInd w:val="0"/>
        <w:snapToGrid w:val="0"/>
        <w:spacing w:line="288" w:lineRule="auto"/>
        <w:ind w:firstLine="283" w:firstLineChars="135"/>
        <w:rPr>
          <w:color w:val="auto"/>
          <w:sz w:val="21"/>
          <w:szCs w:val="21"/>
          <w:highlight w:val="none"/>
        </w:rPr>
      </w:pPr>
      <w:r>
        <w:rPr>
          <w:rFonts w:hint="eastAsia"/>
          <w:color w:val="auto"/>
          <w:sz w:val="21"/>
          <w:szCs w:val="21"/>
          <w:highlight w:val="none"/>
        </w:rPr>
        <w:t>质疑邮箱：</w:t>
      </w:r>
      <w:r>
        <w:rPr>
          <w:color w:val="auto"/>
          <w:sz w:val="21"/>
          <w:szCs w:val="21"/>
          <w:highlight w:val="none"/>
        </w:rPr>
        <w:t>jdkh@qszb.net</w:t>
      </w:r>
    </w:p>
    <w:p>
      <w:pPr>
        <w:adjustRightInd w:val="0"/>
        <w:snapToGrid w:val="0"/>
        <w:spacing w:line="288" w:lineRule="auto"/>
        <w:ind w:firstLine="283" w:firstLineChars="135"/>
        <w:rPr>
          <w:color w:val="auto"/>
          <w:sz w:val="21"/>
          <w:szCs w:val="21"/>
          <w:highlight w:val="none"/>
        </w:rPr>
      </w:pPr>
    </w:p>
    <w:p>
      <w:pPr>
        <w:adjustRightInd w:val="0"/>
        <w:snapToGrid w:val="0"/>
        <w:spacing w:line="288" w:lineRule="auto"/>
        <w:ind w:firstLine="283" w:firstLineChars="135"/>
        <w:rPr>
          <w:color w:val="auto"/>
          <w:sz w:val="21"/>
          <w:szCs w:val="21"/>
          <w:highlight w:val="none"/>
        </w:rPr>
      </w:pPr>
      <w:r>
        <w:rPr>
          <w:color w:val="auto"/>
          <w:sz w:val="21"/>
          <w:szCs w:val="21"/>
          <w:highlight w:val="none"/>
        </w:rPr>
        <w:t>3.同级政府采购监督管理部门</w:t>
      </w:r>
    </w:p>
    <w:p>
      <w:pPr>
        <w:adjustRightInd w:val="0"/>
        <w:snapToGrid w:val="0"/>
        <w:spacing w:line="288" w:lineRule="auto"/>
        <w:ind w:firstLine="283" w:firstLineChars="135"/>
        <w:rPr>
          <w:color w:val="auto"/>
          <w:sz w:val="21"/>
          <w:szCs w:val="21"/>
          <w:highlight w:val="none"/>
        </w:rPr>
      </w:pPr>
      <w:r>
        <w:rPr>
          <w:rFonts w:hint="eastAsia"/>
          <w:color w:val="auto"/>
          <w:sz w:val="21"/>
          <w:szCs w:val="21"/>
          <w:highlight w:val="none"/>
        </w:rPr>
        <w:t>名称：浙江省财政厅政府采购监管处</w:t>
      </w:r>
    </w:p>
    <w:p>
      <w:pPr>
        <w:adjustRightInd w:val="0"/>
        <w:snapToGrid w:val="0"/>
        <w:spacing w:line="288" w:lineRule="auto"/>
        <w:ind w:firstLine="283" w:firstLineChars="135"/>
        <w:rPr>
          <w:color w:val="auto"/>
          <w:sz w:val="21"/>
          <w:szCs w:val="21"/>
          <w:highlight w:val="none"/>
        </w:rPr>
      </w:pPr>
      <w:r>
        <w:rPr>
          <w:rFonts w:hint="eastAsia"/>
          <w:color w:val="auto"/>
          <w:sz w:val="21"/>
          <w:szCs w:val="21"/>
          <w:highlight w:val="none"/>
        </w:rPr>
        <w:t>地址：杭州市环城西路</w:t>
      </w:r>
      <w:r>
        <w:rPr>
          <w:color w:val="auto"/>
          <w:sz w:val="21"/>
          <w:szCs w:val="21"/>
          <w:highlight w:val="none"/>
        </w:rPr>
        <w:t>37号</w:t>
      </w:r>
    </w:p>
    <w:p>
      <w:pPr>
        <w:adjustRightInd w:val="0"/>
        <w:snapToGrid w:val="0"/>
        <w:spacing w:line="288" w:lineRule="auto"/>
        <w:ind w:firstLine="283" w:firstLineChars="135"/>
        <w:rPr>
          <w:color w:val="auto"/>
          <w:sz w:val="21"/>
          <w:szCs w:val="21"/>
          <w:highlight w:val="none"/>
        </w:rPr>
      </w:pPr>
      <w:r>
        <w:rPr>
          <w:rFonts w:hint="eastAsia"/>
          <w:color w:val="auto"/>
          <w:sz w:val="21"/>
          <w:szCs w:val="21"/>
          <w:highlight w:val="none"/>
        </w:rPr>
        <w:t>传真：</w:t>
      </w:r>
      <w:r>
        <w:rPr>
          <w:color w:val="auto"/>
          <w:sz w:val="21"/>
          <w:szCs w:val="21"/>
          <w:highlight w:val="none"/>
        </w:rPr>
        <w:t>/</w:t>
      </w:r>
    </w:p>
    <w:p>
      <w:pPr>
        <w:adjustRightInd w:val="0"/>
        <w:snapToGrid w:val="0"/>
        <w:spacing w:line="288" w:lineRule="auto"/>
        <w:ind w:firstLine="283" w:firstLineChars="135"/>
        <w:rPr>
          <w:color w:val="auto"/>
          <w:sz w:val="21"/>
          <w:szCs w:val="21"/>
          <w:highlight w:val="none"/>
        </w:rPr>
      </w:pPr>
      <w:r>
        <w:rPr>
          <w:rFonts w:hint="eastAsia"/>
          <w:color w:val="auto"/>
          <w:sz w:val="21"/>
          <w:szCs w:val="21"/>
          <w:highlight w:val="none"/>
        </w:rPr>
        <w:t>联系人：倪文良、吴聪瑜</w:t>
      </w:r>
    </w:p>
    <w:p>
      <w:pPr>
        <w:adjustRightInd w:val="0"/>
        <w:snapToGrid w:val="0"/>
        <w:spacing w:line="288" w:lineRule="auto"/>
        <w:ind w:firstLine="283" w:firstLineChars="135"/>
        <w:rPr>
          <w:color w:val="auto"/>
          <w:sz w:val="21"/>
          <w:szCs w:val="21"/>
          <w:highlight w:val="none"/>
        </w:rPr>
      </w:pPr>
      <w:r>
        <w:rPr>
          <w:rFonts w:hint="eastAsia"/>
          <w:color w:val="auto"/>
          <w:sz w:val="21"/>
          <w:szCs w:val="21"/>
          <w:highlight w:val="none"/>
        </w:rPr>
        <w:t>监督投诉电话：</w:t>
      </w:r>
      <w:r>
        <w:rPr>
          <w:color w:val="auto"/>
          <w:sz w:val="21"/>
          <w:szCs w:val="21"/>
          <w:highlight w:val="none"/>
        </w:rPr>
        <w:t>0571-87057615、87058489</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第二章  采购需求</w:t>
      </w: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一、为落实政府采购政策需满足的要求：</w:t>
      </w:r>
    </w:p>
    <w:tbl>
      <w:tblPr>
        <w:tblStyle w:val="10"/>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2977"/>
        <w:gridCol w:w="58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817"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序号</w:t>
            </w:r>
          </w:p>
        </w:tc>
        <w:tc>
          <w:tcPr>
            <w:tcW w:w="2977"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政策名称</w:t>
            </w:r>
          </w:p>
        </w:tc>
        <w:tc>
          <w:tcPr>
            <w:tcW w:w="5834"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817"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1</w:t>
            </w:r>
          </w:p>
        </w:tc>
        <w:tc>
          <w:tcPr>
            <w:tcW w:w="2977"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政府采购促进中小企业发展</w:t>
            </w:r>
          </w:p>
        </w:tc>
        <w:tc>
          <w:tcPr>
            <w:tcW w:w="583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提供材料详见磋商文件第六章“报价文件</w:t>
            </w:r>
            <w:r>
              <w:rPr>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817"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2</w:t>
            </w:r>
          </w:p>
        </w:tc>
        <w:tc>
          <w:tcPr>
            <w:tcW w:w="2977"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政府采购支持监狱企业发展</w:t>
            </w:r>
          </w:p>
        </w:tc>
        <w:tc>
          <w:tcPr>
            <w:tcW w:w="583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提供材料详见磋商文件第六章“报价文件</w:t>
            </w:r>
            <w:r>
              <w:rPr>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817"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3</w:t>
            </w:r>
          </w:p>
        </w:tc>
        <w:tc>
          <w:tcPr>
            <w:tcW w:w="2977"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政府采购促进残疾人就业</w:t>
            </w:r>
          </w:p>
        </w:tc>
        <w:tc>
          <w:tcPr>
            <w:tcW w:w="583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提供材料详见磋商文件第六章“报价文件</w:t>
            </w:r>
            <w:r>
              <w:rPr>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817"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4</w:t>
            </w:r>
          </w:p>
        </w:tc>
        <w:tc>
          <w:tcPr>
            <w:tcW w:w="2977"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政府强制采购节能产品</w:t>
            </w:r>
          </w:p>
        </w:tc>
        <w:tc>
          <w:tcPr>
            <w:tcW w:w="583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817"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5</w:t>
            </w:r>
          </w:p>
        </w:tc>
        <w:tc>
          <w:tcPr>
            <w:tcW w:w="2977"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政府优先采购节能、环保产品</w:t>
            </w:r>
          </w:p>
        </w:tc>
        <w:tc>
          <w:tcPr>
            <w:tcW w:w="583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提供材料详见磋商文件第六章“商务和技术文件”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817"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6</w:t>
            </w:r>
          </w:p>
        </w:tc>
        <w:tc>
          <w:tcPr>
            <w:tcW w:w="2977"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政府采购进口产品</w:t>
            </w:r>
          </w:p>
        </w:tc>
        <w:tc>
          <w:tcPr>
            <w:tcW w:w="583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部分允许采购进口产品</w:t>
            </w:r>
          </w:p>
        </w:tc>
      </w:tr>
    </w:tbl>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采购标的对应的中小企业划分标准所属行业：工业</w:t>
      </w:r>
    </w:p>
    <w:p>
      <w:pPr>
        <w:adjustRightInd w:val="0"/>
        <w:snapToGrid w:val="0"/>
        <w:spacing w:line="288" w:lineRule="auto"/>
        <w:rPr>
          <w:b/>
          <w:bCs/>
          <w:color w:val="auto"/>
          <w:sz w:val="21"/>
          <w:szCs w:val="21"/>
          <w:highlight w:val="none"/>
        </w:rPr>
      </w:pPr>
      <w:r>
        <w:rPr>
          <w:rFonts w:hint="eastAsia"/>
          <w:b/>
          <w:bCs/>
          <w:color w:val="auto"/>
          <w:sz w:val="21"/>
          <w:szCs w:val="21"/>
          <w:highlight w:val="none"/>
        </w:rPr>
        <w:t>中小企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pPr>
        <w:adjustRightInd w:val="0"/>
        <w:snapToGrid w:val="0"/>
        <w:spacing w:line="288" w:lineRule="auto"/>
        <w:rPr>
          <w:color w:val="auto"/>
          <w:sz w:val="21"/>
          <w:szCs w:val="21"/>
          <w:highlight w:val="none"/>
        </w:rPr>
      </w:pP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二、采购资金的支付方式、时间、条件：</w:t>
      </w:r>
    </w:p>
    <w:tbl>
      <w:tblPr>
        <w:tblStyle w:val="9"/>
        <w:tblW w:w="9640" w:type="dxa"/>
        <w:jc w:val="center"/>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797"/>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jc w:val="center"/>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cs="Times New Roman"/>
                <w:b/>
                <w:color w:val="auto"/>
                <w:spacing w:val="-6"/>
                <w:sz w:val="21"/>
                <w:szCs w:val="21"/>
                <w:highlight w:val="none"/>
              </w:rPr>
            </w:pPr>
            <w:bookmarkStart w:id="27" w:name="_Hlk45005608"/>
            <w:r>
              <w:rPr>
                <w:rFonts w:hint="eastAsia" w:cs="Times New Roman"/>
                <w:b/>
                <w:color w:val="auto"/>
                <w:spacing w:val="-6"/>
                <w:sz w:val="21"/>
                <w:szCs w:val="21"/>
                <w:highlight w:val="none"/>
              </w:rPr>
              <w:t>▲履约保证金</w:t>
            </w:r>
          </w:p>
        </w:tc>
        <w:tc>
          <w:tcPr>
            <w:tcW w:w="779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pacing w:val="-6"/>
                <w:kern w:val="0"/>
                <w:sz w:val="21"/>
                <w:szCs w:val="21"/>
                <w:highlight w:val="none"/>
              </w:rPr>
            </w:pPr>
            <w:r>
              <w:rPr>
                <w:rFonts w:hint="eastAsia"/>
                <w:color w:val="auto"/>
                <w:spacing w:val="-6"/>
                <w:kern w:val="0"/>
                <w:sz w:val="21"/>
                <w:szCs w:val="21"/>
                <w:highlight w:val="none"/>
              </w:rPr>
              <w:t>1.合同签订后一周内，成交方向采购人提交合同总价5%的履约保证金，履约保证金在质保期内无质量问题和维护问题，质保期满后，于一周内退还（不计息）；</w:t>
            </w:r>
          </w:p>
          <w:p>
            <w:pPr>
              <w:adjustRightInd w:val="0"/>
              <w:snapToGrid w:val="0"/>
              <w:spacing w:line="288" w:lineRule="auto"/>
              <w:rPr>
                <w:color w:val="auto"/>
                <w:spacing w:val="-6"/>
                <w:kern w:val="0"/>
                <w:sz w:val="21"/>
                <w:szCs w:val="21"/>
                <w:highlight w:val="none"/>
              </w:rPr>
            </w:pPr>
            <w:r>
              <w:rPr>
                <w:rFonts w:hint="eastAsia"/>
                <w:color w:val="auto"/>
                <w:spacing w:val="-6"/>
                <w:kern w:val="0"/>
                <w:sz w:val="21"/>
                <w:szCs w:val="21"/>
                <w:highlight w:val="none"/>
              </w:rPr>
              <w:t>2.转账信息如下：</w:t>
            </w:r>
          </w:p>
          <w:p>
            <w:pPr>
              <w:adjustRightInd w:val="0"/>
              <w:snapToGrid w:val="0"/>
              <w:spacing w:line="288" w:lineRule="auto"/>
              <w:rPr>
                <w:color w:val="auto"/>
                <w:spacing w:val="-6"/>
                <w:kern w:val="0"/>
                <w:sz w:val="21"/>
                <w:szCs w:val="21"/>
                <w:highlight w:val="none"/>
              </w:rPr>
            </w:pPr>
            <w:r>
              <w:rPr>
                <w:rFonts w:hint="eastAsia"/>
                <w:color w:val="auto"/>
                <w:spacing w:val="-6"/>
                <w:kern w:val="0"/>
                <w:sz w:val="21"/>
                <w:szCs w:val="21"/>
                <w:highlight w:val="none"/>
              </w:rPr>
              <w:t>收款单位（户名）:杭州电子科技大学</w:t>
            </w:r>
          </w:p>
          <w:p>
            <w:pPr>
              <w:adjustRightInd w:val="0"/>
              <w:snapToGrid w:val="0"/>
              <w:spacing w:line="288" w:lineRule="auto"/>
              <w:rPr>
                <w:color w:val="auto"/>
                <w:spacing w:val="-6"/>
                <w:kern w:val="0"/>
                <w:sz w:val="21"/>
                <w:szCs w:val="21"/>
                <w:highlight w:val="none"/>
              </w:rPr>
            </w:pPr>
            <w:r>
              <w:rPr>
                <w:rFonts w:hint="eastAsia"/>
                <w:color w:val="auto"/>
                <w:spacing w:val="-6"/>
                <w:kern w:val="0"/>
                <w:sz w:val="21"/>
                <w:szCs w:val="21"/>
                <w:highlight w:val="none"/>
              </w:rPr>
              <w:t>开户银行：工行高新支行</w:t>
            </w:r>
          </w:p>
          <w:p>
            <w:pPr>
              <w:adjustRightInd w:val="0"/>
              <w:snapToGrid w:val="0"/>
              <w:spacing w:line="288" w:lineRule="auto"/>
              <w:rPr>
                <w:color w:val="auto"/>
                <w:spacing w:val="-6"/>
                <w:kern w:val="0"/>
                <w:sz w:val="21"/>
                <w:szCs w:val="21"/>
                <w:highlight w:val="none"/>
              </w:rPr>
            </w:pPr>
            <w:r>
              <w:rPr>
                <w:rFonts w:hint="eastAsia"/>
                <w:color w:val="auto"/>
                <w:spacing w:val="-6"/>
                <w:kern w:val="0"/>
                <w:sz w:val="21"/>
                <w:szCs w:val="21"/>
                <w:highlight w:val="none"/>
              </w:rPr>
              <w:t>银行账号：1202026209008806216</w:t>
            </w:r>
          </w:p>
          <w:p>
            <w:pPr>
              <w:adjustRightInd w:val="0"/>
              <w:snapToGrid w:val="0"/>
              <w:spacing w:line="288" w:lineRule="auto"/>
              <w:rPr>
                <w:color w:val="auto"/>
                <w:spacing w:val="-6"/>
                <w:kern w:val="0"/>
                <w:sz w:val="21"/>
                <w:szCs w:val="21"/>
                <w:highlight w:val="none"/>
              </w:rPr>
            </w:pPr>
            <w:r>
              <w:rPr>
                <w:rFonts w:hint="eastAsia"/>
                <w:color w:val="auto"/>
                <w:spacing w:val="-6"/>
                <w:kern w:val="0"/>
                <w:sz w:val="21"/>
                <w:szCs w:val="21"/>
                <w:highlight w:val="none"/>
              </w:rPr>
              <w:t>发票开票信息</w:t>
            </w:r>
          </w:p>
          <w:p>
            <w:pPr>
              <w:adjustRightInd w:val="0"/>
              <w:snapToGrid w:val="0"/>
              <w:spacing w:line="288" w:lineRule="auto"/>
              <w:rPr>
                <w:color w:val="auto"/>
                <w:spacing w:val="-6"/>
                <w:kern w:val="0"/>
                <w:sz w:val="21"/>
                <w:szCs w:val="21"/>
                <w:highlight w:val="none"/>
              </w:rPr>
            </w:pPr>
            <w:r>
              <w:rPr>
                <w:rFonts w:hint="eastAsia"/>
                <w:color w:val="auto"/>
                <w:spacing w:val="-6"/>
                <w:kern w:val="0"/>
                <w:sz w:val="21"/>
                <w:szCs w:val="21"/>
                <w:highlight w:val="none"/>
              </w:rPr>
              <w:t>抬头：杭州电子科技大学</w:t>
            </w:r>
          </w:p>
          <w:p>
            <w:pPr>
              <w:adjustRightInd w:val="0"/>
              <w:snapToGrid w:val="0"/>
              <w:spacing w:line="288" w:lineRule="auto"/>
              <w:rPr>
                <w:color w:val="auto"/>
                <w:spacing w:val="-6"/>
                <w:kern w:val="0"/>
                <w:sz w:val="21"/>
                <w:szCs w:val="21"/>
                <w:highlight w:val="none"/>
              </w:rPr>
            </w:pPr>
            <w:r>
              <w:rPr>
                <w:rFonts w:hint="eastAsia"/>
                <w:color w:val="auto"/>
                <w:spacing w:val="-6"/>
                <w:kern w:val="0"/>
                <w:sz w:val="21"/>
                <w:szCs w:val="21"/>
                <w:highlight w:val="none"/>
              </w:rPr>
              <w:t>税号：12330000470009026T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jc w:val="center"/>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cs="Times New Roman"/>
                <w:b/>
                <w:color w:val="auto"/>
                <w:spacing w:val="-6"/>
                <w:sz w:val="21"/>
                <w:szCs w:val="21"/>
                <w:highlight w:val="none"/>
              </w:rPr>
            </w:pPr>
            <w:r>
              <w:rPr>
                <w:rFonts w:hint="eastAsia" w:cs="Times New Roman"/>
                <w:b/>
                <w:color w:val="auto"/>
                <w:spacing w:val="-6"/>
                <w:sz w:val="21"/>
                <w:szCs w:val="21"/>
                <w:highlight w:val="none"/>
              </w:rPr>
              <w:t>预付款</w:t>
            </w:r>
          </w:p>
        </w:tc>
        <w:tc>
          <w:tcPr>
            <w:tcW w:w="779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pacing w:val="-6"/>
                <w:kern w:val="0"/>
                <w:sz w:val="21"/>
                <w:szCs w:val="21"/>
                <w:highlight w:val="none"/>
              </w:rPr>
            </w:pPr>
            <w:r>
              <w:rPr>
                <w:rFonts w:hint="eastAsia"/>
                <w:color w:val="auto"/>
                <w:spacing w:val="-6"/>
                <w:kern w:val="0"/>
                <w:sz w:val="21"/>
                <w:szCs w:val="21"/>
                <w:highlight w:val="none"/>
              </w:rPr>
              <w:t>1.支付条件：供应商提交银行、保险公司等金融机构出具的预付款保函；</w:t>
            </w:r>
          </w:p>
          <w:p>
            <w:pPr>
              <w:adjustRightInd w:val="0"/>
              <w:snapToGrid w:val="0"/>
              <w:spacing w:line="288" w:lineRule="auto"/>
              <w:rPr>
                <w:color w:val="auto"/>
                <w:spacing w:val="-6"/>
                <w:kern w:val="0"/>
                <w:sz w:val="21"/>
                <w:szCs w:val="21"/>
                <w:highlight w:val="none"/>
              </w:rPr>
            </w:pPr>
            <w:r>
              <w:rPr>
                <w:rFonts w:hint="eastAsia"/>
                <w:color w:val="auto"/>
                <w:spacing w:val="-6"/>
                <w:kern w:val="0"/>
                <w:sz w:val="21"/>
                <w:szCs w:val="21"/>
                <w:highlight w:val="none"/>
              </w:rPr>
              <w:t>2.支付时间、数额：合同生效并具备实施条件后15日内，采购人向成交方支付合同金额30%的预付款。</w:t>
            </w:r>
          </w:p>
          <w:p>
            <w:pPr>
              <w:adjustRightInd w:val="0"/>
              <w:snapToGrid w:val="0"/>
              <w:spacing w:line="288" w:lineRule="auto"/>
              <w:rPr>
                <w:color w:val="auto"/>
                <w:spacing w:val="-6"/>
                <w:kern w:val="0"/>
                <w:sz w:val="21"/>
                <w:szCs w:val="21"/>
                <w:highlight w:val="none"/>
              </w:rPr>
            </w:pPr>
            <w:r>
              <w:rPr>
                <w:rFonts w:hint="eastAsia"/>
                <w:color w:val="auto"/>
                <w:spacing w:val="-6"/>
                <w:kern w:val="0"/>
                <w:sz w:val="21"/>
                <w:szCs w:val="21"/>
                <w:highlight w:val="none"/>
              </w:rPr>
              <w:t>备注：签订合同时，供应商明确表示无需预付款或者主动要求降低预付款比例的，采购单位可不适用前述规定。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jc w:val="center"/>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cs="Times New Roman"/>
                <w:b/>
                <w:color w:val="auto"/>
                <w:spacing w:val="-6"/>
                <w:sz w:val="21"/>
                <w:szCs w:val="21"/>
                <w:highlight w:val="none"/>
              </w:rPr>
            </w:pPr>
            <w:r>
              <w:rPr>
                <w:rFonts w:hint="eastAsia" w:cs="Times New Roman"/>
                <w:b/>
                <w:color w:val="auto"/>
                <w:spacing w:val="-6"/>
                <w:sz w:val="21"/>
                <w:szCs w:val="21"/>
                <w:highlight w:val="none"/>
              </w:rPr>
              <w:t>▲付款方式</w:t>
            </w:r>
          </w:p>
        </w:tc>
        <w:tc>
          <w:tcPr>
            <w:tcW w:w="7797"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1.国产产品支付方式：</w:t>
            </w:r>
          </w:p>
          <w:p>
            <w:pPr>
              <w:pStyle w:val="22"/>
              <w:autoSpaceDE w:val="0"/>
              <w:autoSpaceDN w:val="0"/>
              <w:adjustRightInd w:val="0"/>
              <w:snapToGrid w:val="0"/>
              <w:spacing w:line="288" w:lineRule="auto"/>
              <w:ind w:firstLine="0" w:firstLineChars="0"/>
              <w:jc w:val="left"/>
              <w:rPr>
                <w:color w:val="auto"/>
                <w:spacing w:val="-6"/>
                <w:kern w:val="0"/>
                <w:sz w:val="21"/>
                <w:szCs w:val="21"/>
                <w:highlight w:val="none"/>
              </w:rPr>
            </w:pPr>
            <w:r>
              <w:rPr>
                <w:rFonts w:hint="eastAsia"/>
                <w:color w:val="auto"/>
                <w:spacing w:val="-6"/>
                <w:kern w:val="0"/>
                <w:sz w:val="21"/>
                <w:szCs w:val="21"/>
                <w:highlight w:val="none"/>
              </w:rPr>
              <w:t>1.1 货物送达并经采购人初步验收后，5个工作日内由采购人向成交方支付至货物总价的75%；货物在成交方安装调试完毕并经采购人验收合格后，支付至货物总价的100%（供应商投标的国产产品不含“示波器”）。</w:t>
            </w:r>
          </w:p>
          <w:p>
            <w:pPr>
              <w:pStyle w:val="22"/>
              <w:autoSpaceDE w:val="0"/>
              <w:autoSpaceDN w:val="0"/>
              <w:adjustRightInd w:val="0"/>
              <w:snapToGrid w:val="0"/>
              <w:spacing w:line="288" w:lineRule="auto"/>
              <w:ind w:firstLine="0" w:firstLineChars="0"/>
              <w:jc w:val="left"/>
              <w:rPr>
                <w:color w:val="auto"/>
                <w:spacing w:val="-6"/>
                <w:kern w:val="0"/>
                <w:sz w:val="21"/>
                <w:szCs w:val="21"/>
                <w:highlight w:val="none"/>
              </w:rPr>
            </w:pPr>
            <w:r>
              <w:rPr>
                <w:rFonts w:hint="eastAsia"/>
                <w:color w:val="auto"/>
                <w:spacing w:val="-6"/>
                <w:kern w:val="0"/>
                <w:sz w:val="21"/>
                <w:szCs w:val="21"/>
                <w:highlight w:val="none"/>
              </w:rPr>
              <w:t>1.2 除示波器外的其他设备送达并经采购人初步验收后，5个工作日内由采购人向成交方支付至该部分货物总价的75%；示波器送达并经采购人初步验收后，5个工作日内由采购人向成交方支付至示波器总价的75%；全部货物在成交方安装调试完毕并经采购人验收合格后，支付至货物总价的100%（供应商投标的国产产品含“示波器”）。</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2.进口产品支付方式：对外合同一经生效，采购人凭借外贸代理公司开具的20%收款收据向外贸代理公司支付合同总价的20%作为货物的预付款，外贸代理公司对外开具100%的即期不可撤销信用证；货物抵达港口后，采购人凭借外贸代理公司开具的收款数据、到货通知书和运单，向外贸代理公司支付至合同总价的90%；外贸代理公司按照采购人要求，将货物送至各个使用点后，凭借收单采购人向外贸代理公司支付合同总价的10%。</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注：成交方需提供增值税专用发票，开票信息如下：</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抬头：杭州电子科技大学</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税号：12330000470009026T</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地址：杭州市下沙高教园区杭州电子科技大学</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电话：0571-86915020</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开户银行：工行高新支行</w:t>
            </w:r>
          </w:p>
          <w:p>
            <w:pPr>
              <w:autoSpaceDE w:val="0"/>
              <w:autoSpaceDN w:val="0"/>
              <w:adjustRightInd w:val="0"/>
              <w:snapToGrid w:val="0"/>
              <w:spacing w:line="288" w:lineRule="auto"/>
              <w:jc w:val="left"/>
              <w:rPr>
                <w:rFonts w:cs="Arial"/>
                <w:color w:val="auto"/>
                <w:kern w:val="0"/>
                <w:sz w:val="21"/>
                <w:szCs w:val="21"/>
                <w:highlight w:val="none"/>
              </w:rPr>
            </w:pPr>
            <w:r>
              <w:rPr>
                <w:rFonts w:hint="eastAsia"/>
                <w:color w:val="auto"/>
                <w:spacing w:val="-6"/>
                <w:kern w:val="0"/>
                <w:sz w:val="21"/>
                <w:szCs w:val="21"/>
                <w:highlight w:val="none"/>
              </w:rPr>
              <w:t>银行账号：1202026209008806216</w:t>
            </w:r>
          </w:p>
        </w:tc>
      </w:tr>
      <w:bookmarkEnd w:id="27"/>
    </w:tbl>
    <w:p>
      <w:pPr>
        <w:adjustRightInd w:val="0"/>
        <w:snapToGrid w:val="0"/>
        <w:spacing w:line="288" w:lineRule="auto"/>
        <w:rPr>
          <w:color w:val="auto"/>
          <w:sz w:val="21"/>
          <w:szCs w:val="21"/>
          <w:highlight w:val="none"/>
        </w:rPr>
      </w:pP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三、服务要求（技术要求里另有注明的以技术要求为准）：</w:t>
      </w:r>
    </w:p>
    <w:tbl>
      <w:tblPr>
        <w:tblStyle w:val="9"/>
        <w:tblW w:w="9498"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交付时间</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highlight w:val="none"/>
              </w:rPr>
            </w:pPr>
            <w:r>
              <w:rPr>
                <w:rFonts w:hint="eastAsia"/>
                <w:color w:val="auto"/>
                <w:sz w:val="21"/>
                <w:szCs w:val="21"/>
                <w:highlight w:val="none"/>
              </w:rPr>
              <w:t>自合同签订后90日内示波器交付并安装完毕，其余设备自30日内交付并安装完毕。</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交付地点</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21"/>
                <w:szCs w:val="21"/>
                <w:highlight w:val="none"/>
              </w:rPr>
            </w:pPr>
            <w:r>
              <w:rPr>
                <w:rFonts w:hint="eastAsia"/>
                <w:color w:val="auto"/>
                <w:sz w:val="21"/>
                <w:szCs w:val="21"/>
                <w:highlight w:val="none"/>
              </w:rPr>
              <w:t>采购人指定地点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质保期</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21"/>
                <w:szCs w:val="21"/>
                <w:highlight w:val="none"/>
              </w:rPr>
            </w:pPr>
            <w:r>
              <w:rPr>
                <w:rFonts w:hint="eastAsia"/>
                <w:color w:val="auto"/>
                <w:sz w:val="21"/>
                <w:szCs w:val="21"/>
                <w:highlight w:val="none"/>
              </w:rPr>
              <w:t>UPS电源、FPGA开发套件1、FPGA开发套件2、FPGA开发套件3质保期为1年，其它设备质保期为3年，项目验收合格后开始计算</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服务标准、期限、效率</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21"/>
                <w:szCs w:val="21"/>
                <w:highlight w:val="none"/>
              </w:rPr>
            </w:pPr>
            <w:r>
              <w:rPr>
                <w:color w:val="auto"/>
                <w:sz w:val="21"/>
                <w:szCs w:val="21"/>
                <w:highlight w:val="none"/>
              </w:rPr>
              <w:t>1</w:t>
            </w:r>
            <w:r>
              <w:rPr>
                <w:rFonts w:hint="eastAsia"/>
                <w:color w:val="auto"/>
                <w:sz w:val="21"/>
                <w:szCs w:val="21"/>
                <w:highlight w:val="none"/>
              </w:rPr>
              <w:t>.在质保期内，供应商应对货物出现的质量及安全问题负责处理解决并承担一切费用。</w:t>
            </w:r>
          </w:p>
          <w:p>
            <w:pPr>
              <w:adjustRightInd w:val="0"/>
              <w:snapToGrid w:val="0"/>
              <w:spacing w:line="288" w:lineRule="auto"/>
              <w:rPr>
                <w:color w:val="auto"/>
                <w:sz w:val="21"/>
                <w:szCs w:val="21"/>
                <w:highlight w:val="none"/>
              </w:rPr>
            </w:pPr>
            <w:r>
              <w:rPr>
                <w:color w:val="auto"/>
                <w:sz w:val="21"/>
                <w:szCs w:val="21"/>
                <w:highlight w:val="none"/>
              </w:rPr>
              <w:t>2.</w:t>
            </w:r>
            <w:r>
              <w:rPr>
                <w:rFonts w:hint="eastAsia"/>
                <w:color w:val="auto"/>
                <w:sz w:val="21"/>
                <w:szCs w:val="21"/>
                <w:highlight w:val="none"/>
              </w:rPr>
              <w:t>质保期内出现无法排除的故障，供应商需无条件更换同型号产品。</w:t>
            </w:r>
          </w:p>
          <w:p>
            <w:pPr>
              <w:adjustRightInd w:val="0"/>
              <w:snapToGrid w:val="0"/>
              <w:spacing w:line="288" w:lineRule="auto"/>
              <w:rPr>
                <w:color w:val="auto"/>
                <w:sz w:val="21"/>
                <w:szCs w:val="21"/>
                <w:highlight w:val="none"/>
              </w:rPr>
            </w:pPr>
            <w:r>
              <w:rPr>
                <w:color w:val="auto"/>
                <w:sz w:val="21"/>
                <w:szCs w:val="21"/>
                <w:highlight w:val="none"/>
              </w:rPr>
              <w:t>3.</w:t>
            </w:r>
            <w:r>
              <w:rPr>
                <w:rFonts w:hint="eastAsia"/>
                <w:color w:val="auto"/>
                <w:sz w:val="21"/>
                <w:szCs w:val="21"/>
                <w:highlight w:val="none"/>
              </w:rPr>
              <w:t>质保期满后，供应商继续为采购人服务，仅收取零配件成本费。</w:t>
            </w:r>
          </w:p>
          <w:p>
            <w:pPr>
              <w:adjustRightInd w:val="0"/>
              <w:snapToGrid w:val="0"/>
              <w:spacing w:line="288" w:lineRule="auto"/>
              <w:rPr>
                <w:color w:val="auto"/>
                <w:sz w:val="21"/>
                <w:szCs w:val="21"/>
                <w:highlight w:val="none"/>
              </w:rPr>
            </w:pPr>
            <w:r>
              <w:rPr>
                <w:color w:val="auto"/>
                <w:sz w:val="21"/>
                <w:szCs w:val="21"/>
                <w:highlight w:val="none"/>
              </w:rPr>
              <w:t>4.</w:t>
            </w:r>
            <w:r>
              <w:rPr>
                <w:rFonts w:hint="eastAsia"/>
                <w:color w:val="auto"/>
                <w:sz w:val="21"/>
                <w:szCs w:val="21"/>
                <w:highlight w:val="none"/>
              </w:rPr>
              <w:t>因人为因素出现的故障不在免费保修范围内。</w:t>
            </w:r>
          </w:p>
          <w:p>
            <w:pPr>
              <w:adjustRightInd w:val="0"/>
              <w:snapToGrid w:val="0"/>
              <w:spacing w:line="288" w:lineRule="auto"/>
              <w:rPr>
                <w:color w:val="auto"/>
                <w:sz w:val="21"/>
                <w:szCs w:val="21"/>
                <w:highlight w:val="none"/>
                <w:u w:val="single"/>
              </w:rPr>
            </w:pPr>
            <w:r>
              <w:rPr>
                <w:color w:val="auto"/>
                <w:sz w:val="21"/>
                <w:szCs w:val="21"/>
                <w:highlight w:val="none"/>
              </w:rPr>
              <w:t>5</w:t>
            </w:r>
            <w:r>
              <w:rPr>
                <w:rFonts w:hint="eastAsia"/>
                <w:color w:val="auto"/>
                <w:sz w:val="21"/>
                <w:szCs w:val="21"/>
                <w:highlight w:val="none"/>
              </w:rPr>
              <w:t>.</w:t>
            </w:r>
            <w:r>
              <w:rPr>
                <w:rFonts w:hint="eastAsia"/>
                <w:color w:val="auto"/>
                <w:sz w:val="21"/>
                <w:szCs w:val="21"/>
                <w:highlight w:val="none"/>
                <w:u w:val="single"/>
              </w:rPr>
              <w:t>如在使用过程中发生质量问题，供应商维修响应时间：2小时以内；</w:t>
            </w:r>
          </w:p>
          <w:p>
            <w:pPr>
              <w:adjustRightInd w:val="0"/>
              <w:snapToGrid w:val="0"/>
              <w:spacing w:line="288" w:lineRule="auto"/>
              <w:rPr>
                <w:color w:val="auto"/>
                <w:sz w:val="21"/>
                <w:szCs w:val="21"/>
                <w:highlight w:val="none"/>
                <w:u w:val="single"/>
              </w:rPr>
            </w:pPr>
            <w:r>
              <w:rPr>
                <w:rFonts w:hint="eastAsia"/>
                <w:color w:val="auto"/>
                <w:sz w:val="21"/>
                <w:szCs w:val="21"/>
                <w:highlight w:val="none"/>
                <w:u w:val="single"/>
              </w:rPr>
              <w:t>电话技术支持时间：24小时以内；</w:t>
            </w:r>
          </w:p>
          <w:p>
            <w:pPr>
              <w:adjustRightInd w:val="0"/>
              <w:snapToGrid w:val="0"/>
              <w:spacing w:line="288" w:lineRule="auto"/>
              <w:rPr>
                <w:color w:val="auto"/>
                <w:sz w:val="21"/>
                <w:szCs w:val="21"/>
                <w:highlight w:val="none"/>
                <w:u w:val="single"/>
              </w:rPr>
            </w:pPr>
            <w:r>
              <w:rPr>
                <w:rFonts w:hint="eastAsia"/>
                <w:color w:val="auto"/>
                <w:sz w:val="21"/>
                <w:szCs w:val="21"/>
                <w:highlight w:val="none"/>
                <w:u w:val="single"/>
              </w:rPr>
              <w:t>若需上门维修，则在：48小时内到达现场并进行维修；不超过2个工作日解决故障。</w:t>
            </w:r>
          </w:p>
          <w:p>
            <w:pPr>
              <w:adjustRightInd w:val="0"/>
              <w:snapToGrid w:val="0"/>
              <w:spacing w:line="288" w:lineRule="auto"/>
              <w:rPr>
                <w:color w:val="auto"/>
                <w:sz w:val="21"/>
                <w:szCs w:val="21"/>
                <w:highlight w:val="none"/>
              </w:rPr>
            </w:pPr>
            <w:r>
              <w:rPr>
                <w:color w:val="auto"/>
                <w:sz w:val="21"/>
                <w:szCs w:val="21"/>
                <w:highlight w:val="none"/>
              </w:rPr>
              <w:t>6</w:t>
            </w:r>
            <w:r>
              <w:rPr>
                <w:rFonts w:hint="eastAsia"/>
                <w:color w:val="auto"/>
                <w:sz w:val="21"/>
                <w:szCs w:val="21"/>
                <w:highlight w:val="none"/>
              </w:rPr>
              <w:t>.需提供7*24小时上门服务。</w:t>
            </w:r>
          </w:p>
          <w:p>
            <w:pPr>
              <w:adjustRightInd w:val="0"/>
              <w:snapToGrid w:val="0"/>
              <w:spacing w:line="288" w:lineRule="auto"/>
              <w:rPr>
                <w:color w:val="auto"/>
                <w:sz w:val="21"/>
                <w:szCs w:val="21"/>
                <w:highlight w:val="none"/>
              </w:rPr>
            </w:pPr>
            <w:r>
              <w:rPr>
                <w:rFonts w:hint="eastAsia"/>
                <w:color w:val="auto"/>
                <w:sz w:val="21"/>
                <w:szCs w:val="21"/>
                <w:highlight w:val="none"/>
              </w:rPr>
              <w:t>7.培训：（若需要培训）</w:t>
            </w:r>
          </w:p>
          <w:p>
            <w:pPr>
              <w:adjustRightInd w:val="0"/>
              <w:snapToGrid w:val="0"/>
              <w:spacing w:line="288" w:lineRule="auto"/>
              <w:rPr>
                <w:color w:val="auto"/>
                <w:sz w:val="21"/>
                <w:szCs w:val="21"/>
                <w:highlight w:val="none"/>
              </w:rPr>
            </w:pPr>
            <w:r>
              <w:rPr>
                <w:rFonts w:hint="eastAsia"/>
                <w:color w:val="auto"/>
                <w:sz w:val="21"/>
                <w:szCs w:val="21"/>
                <w:highlight w:val="none"/>
              </w:rPr>
              <w:t>供应商应对采购人的操作人员、维修人员免费进行培训；</w:t>
            </w:r>
          </w:p>
          <w:p>
            <w:pPr>
              <w:adjustRightInd w:val="0"/>
              <w:snapToGrid w:val="0"/>
              <w:spacing w:line="288" w:lineRule="auto"/>
              <w:rPr>
                <w:color w:val="auto"/>
                <w:sz w:val="21"/>
                <w:szCs w:val="21"/>
                <w:highlight w:val="none"/>
              </w:rPr>
            </w:pPr>
            <w:r>
              <w:rPr>
                <w:rFonts w:hint="eastAsia"/>
                <w:color w:val="auto"/>
                <w:sz w:val="21"/>
                <w:szCs w:val="21"/>
                <w:highlight w:val="none"/>
              </w:rPr>
              <w:t>供应商应提供相应的培训计划；</w:t>
            </w:r>
          </w:p>
          <w:p>
            <w:pPr>
              <w:adjustRightInd w:val="0"/>
              <w:snapToGrid w:val="0"/>
              <w:spacing w:line="288" w:lineRule="auto"/>
              <w:rPr>
                <w:color w:val="auto"/>
                <w:sz w:val="21"/>
                <w:szCs w:val="21"/>
                <w:highlight w:val="none"/>
              </w:rPr>
            </w:pPr>
            <w:r>
              <w:rPr>
                <w:rFonts w:hint="eastAsia"/>
                <w:color w:val="auto"/>
                <w:sz w:val="21"/>
                <w:szCs w:val="21"/>
                <w:highlight w:val="none"/>
              </w:rPr>
              <w:t>上述内容的实现方式、时间、地点、人数应在响应文件中详细说明。</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其他技术、服务要求</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21"/>
                <w:szCs w:val="21"/>
                <w:highlight w:val="none"/>
              </w:rPr>
            </w:pPr>
            <w:r>
              <w:rPr>
                <w:rFonts w:hint="eastAsia"/>
                <w:color w:val="auto"/>
                <w:sz w:val="21"/>
                <w:szCs w:val="21"/>
                <w:highlight w:val="none"/>
              </w:rPr>
              <w:t>1</w:t>
            </w:r>
            <w:r>
              <w:rPr>
                <w:color w:val="auto"/>
                <w:sz w:val="21"/>
                <w:szCs w:val="21"/>
                <w:highlight w:val="none"/>
              </w:rPr>
              <w:t>.</w:t>
            </w:r>
            <w:r>
              <w:rPr>
                <w:rFonts w:hint="eastAsia"/>
                <w:color w:val="auto"/>
                <w:sz w:val="21"/>
                <w:szCs w:val="21"/>
                <w:highlight w:val="none"/>
              </w:rPr>
              <w:t>供应商应按磋商文件规定的货物性能、技术要求、质量标准向采购人提供未经使用的全新产品，符合国家法律规定和技术规格、质量标准的出厂原装合格产品。</w:t>
            </w:r>
          </w:p>
          <w:p>
            <w:pPr>
              <w:adjustRightInd w:val="0"/>
              <w:snapToGrid w:val="0"/>
              <w:spacing w:line="288" w:lineRule="auto"/>
              <w:rPr>
                <w:color w:val="auto"/>
                <w:sz w:val="21"/>
                <w:szCs w:val="21"/>
                <w:highlight w:val="none"/>
              </w:rPr>
            </w:pPr>
            <w:r>
              <w:rPr>
                <w:color w:val="auto"/>
                <w:sz w:val="21"/>
                <w:szCs w:val="21"/>
                <w:highlight w:val="none"/>
              </w:rPr>
              <w:t>2</w:t>
            </w:r>
            <w:r>
              <w:rPr>
                <w:rFonts w:hint="eastAsia"/>
                <w:color w:val="auto"/>
                <w:sz w:val="21"/>
                <w:szCs w:val="21"/>
                <w:highlight w:val="none"/>
              </w:rPr>
              <w:t>.技术支持：</w:t>
            </w:r>
          </w:p>
          <w:p>
            <w:pPr>
              <w:adjustRightInd w:val="0"/>
              <w:snapToGrid w:val="0"/>
              <w:spacing w:line="288" w:lineRule="auto"/>
              <w:rPr>
                <w:color w:val="auto"/>
                <w:sz w:val="21"/>
                <w:szCs w:val="21"/>
                <w:highlight w:val="none"/>
              </w:rPr>
            </w:pPr>
            <w:r>
              <w:rPr>
                <w:rFonts w:hint="eastAsia"/>
                <w:color w:val="auto"/>
                <w:sz w:val="21"/>
                <w:szCs w:val="21"/>
                <w:highlight w:val="none"/>
              </w:rPr>
              <w:t>供应商应及时免费提供合同货物软件的升级，免费提供合同货物新功能和应用的资料。</w:t>
            </w:r>
          </w:p>
          <w:p>
            <w:pPr>
              <w:adjustRightInd w:val="0"/>
              <w:snapToGrid w:val="0"/>
              <w:spacing w:line="288" w:lineRule="auto"/>
              <w:rPr>
                <w:color w:val="auto"/>
                <w:sz w:val="21"/>
                <w:szCs w:val="21"/>
                <w:highlight w:val="none"/>
              </w:rPr>
            </w:pPr>
            <w:r>
              <w:rPr>
                <w:color w:val="auto"/>
                <w:sz w:val="21"/>
                <w:szCs w:val="21"/>
                <w:highlight w:val="none"/>
              </w:rPr>
              <w:t>3</w:t>
            </w:r>
            <w:r>
              <w:rPr>
                <w:rFonts w:hint="eastAsia"/>
                <w:color w:val="auto"/>
                <w:sz w:val="21"/>
                <w:szCs w:val="21"/>
                <w:highlight w:val="none"/>
              </w:rPr>
              <w:t>.安装调试：（若需要安装调试）</w:t>
            </w:r>
          </w:p>
          <w:p>
            <w:pPr>
              <w:adjustRightInd w:val="0"/>
              <w:snapToGrid w:val="0"/>
              <w:spacing w:line="288" w:lineRule="auto"/>
              <w:rPr>
                <w:color w:val="auto"/>
                <w:sz w:val="21"/>
                <w:szCs w:val="21"/>
                <w:highlight w:val="none"/>
              </w:rPr>
            </w:pPr>
            <w:r>
              <w:rPr>
                <w:color w:val="auto"/>
                <w:sz w:val="21"/>
                <w:szCs w:val="21"/>
                <w:highlight w:val="none"/>
              </w:rPr>
              <w:t>3</w:t>
            </w:r>
            <w:r>
              <w:rPr>
                <w:rFonts w:hint="eastAsia"/>
                <w:color w:val="auto"/>
                <w:sz w:val="21"/>
                <w:szCs w:val="21"/>
                <w:highlight w:val="none"/>
              </w:rPr>
              <w:t>.1安装地点：采购人指定地点；</w:t>
            </w:r>
          </w:p>
          <w:p>
            <w:pPr>
              <w:adjustRightInd w:val="0"/>
              <w:snapToGrid w:val="0"/>
              <w:spacing w:line="288" w:lineRule="auto"/>
              <w:rPr>
                <w:color w:val="auto"/>
                <w:sz w:val="21"/>
                <w:szCs w:val="21"/>
                <w:highlight w:val="none"/>
              </w:rPr>
            </w:pPr>
            <w:r>
              <w:rPr>
                <w:color w:val="auto"/>
                <w:sz w:val="21"/>
                <w:szCs w:val="21"/>
                <w:highlight w:val="none"/>
              </w:rPr>
              <w:t>3</w:t>
            </w:r>
            <w:r>
              <w:rPr>
                <w:rFonts w:hint="eastAsia"/>
                <w:color w:val="auto"/>
                <w:sz w:val="21"/>
                <w:szCs w:val="21"/>
                <w:highlight w:val="none"/>
              </w:rPr>
              <w:t>.2安装完成时间：接到采购人通知后在规定时间内完成安装和调试，如在规定的时间内由于供应商的原因不能完成安装和调试，供应商应承担由此给采购人造成的损失；</w:t>
            </w:r>
          </w:p>
          <w:p>
            <w:pPr>
              <w:adjustRightInd w:val="0"/>
              <w:snapToGrid w:val="0"/>
              <w:spacing w:line="288" w:lineRule="auto"/>
              <w:rPr>
                <w:color w:val="auto"/>
                <w:sz w:val="21"/>
                <w:szCs w:val="21"/>
                <w:highlight w:val="none"/>
              </w:rPr>
            </w:pPr>
            <w:r>
              <w:rPr>
                <w:color w:val="auto"/>
                <w:sz w:val="21"/>
                <w:szCs w:val="21"/>
                <w:highlight w:val="none"/>
              </w:rPr>
              <w:t>3</w:t>
            </w:r>
            <w:r>
              <w:rPr>
                <w:rFonts w:hint="eastAsia"/>
                <w:color w:val="auto"/>
                <w:sz w:val="21"/>
                <w:szCs w:val="21"/>
                <w:highlight w:val="none"/>
              </w:rPr>
              <w:t>.3如供应商委托国内代理（或其他机构）负责安装或配合安装应在签约时指明，但供应商仍要对合同货物及其安装质量负全部责任；</w:t>
            </w:r>
          </w:p>
          <w:p>
            <w:pPr>
              <w:adjustRightInd w:val="0"/>
              <w:snapToGrid w:val="0"/>
              <w:spacing w:line="288" w:lineRule="auto"/>
              <w:rPr>
                <w:color w:val="auto"/>
                <w:sz w:val="21"/>
                <w:szCs w:val="21"/>
                <w:highlight w:val="none"/>
              </w:rPr>
            </w:pPr>
            <w:r>
              <w:rPr>
                <w:color w:val="auto"/>
                <w:sz w:val="21"/>
                <w:szCs w:val="21"/>
                <w:highlight w:val="none"/>
              </w:rPr>
              <w:t>3</w:t>
            </w:r>
            <w:r>
              <w:rPr>
                <w:rFonts w:hint="eastAsia"/>
                <w:color w:val="auto"/>
                <w:sz w:val="21"/>
                <w:szCs w:val="21"/>
                <w:highlight w:val="none"/>
              </w:rPr>
              <w:t>.4安装标准：符合我国国家有关技术规范要求和技术标准，所有的软件和硬件必须保证同时安装到位；</w:t>
            </w:r>
          </w:p>
          <w:p>
            <w:pPr>
              <w:adjustRightInd w:val="0"/>
              <w:snapToGrid w:val="0"/>
              <w:spacing w:line="288" w:lineRule="auto"/>
              <w:rPr>
                <w:color w:val="auto"/>
                <w:sz w:val="21"/>
                <w:szCs w:val="21"/>
                <w:highlight w:val="none"/>
              </w:rPr>
            </w:pPr>
            <w:r>
              <w:rPr>
                <w:color w:val="auto"/>
                <w:sz w:val="21"/>
                <w:szCs w:val="21"/>
                <w:highlight w:val="none"/>
              </w:rPr>
              <w:t>3</w:t>
            </w:r>
            <w:r>
              <w:rPr>
                <w:rFonts w:hint="eastAsia"/>
                <w:color w:val="auto"/>
                <w:sz w:val="21"/>
                <w:szCs w:val="21"/>
                <w:highlight w:val="none"/>
              </w:rPr>
              <w:t>.5供应商免费提供合同货物的安装服务；</w:t>
            </w:r>
          </w:p>
          <w:p>
            <w:pPr>
              <w:adjustRightInd w:val="0"/>
              <w:snapToGrid w:val="0"/>
              <w:spacing w:line="288" w:lineRule="auto"/>
              <w:rPr>
                <w:color w:val="auto"/>
                <w:sz w:val="21"/>
                <w:szCs w:val="21"/>
                <w:highlight w:val="none"/>
              </w:rPr>
            </w:pPr>
            <w:r>
              <w:rPr>
                <w:color w:val="auto"/>
                <w:sz w:val="21"/>
                <w:szCs w:val="21"/>
                <w:highlight w:val="none"/>
              </w:rPr>
              <w:t>3</w:t>
            </w:r>
            <w:r>
              <w:rPr>
                <w:rFonts w:hint="eastAsia"/>
                <w:color w:val="auto"/>
                <w:sz w:val="21"/>
                <w:szCs w:val="21"/>
                <w:highlight w:val="none"/>
              </w:rPr>
              <w:t>.6供应商在响应文件中应提供安装调试计划、对安装场地和环境的要求。</w:t>
            </w:r>
          </w:p>
          <w:p>
            <w:pPr>
              <w:adjustRightInd w:val="0"/>
              <w:snapToGrid w:val="0"/>
              <w:spacing w:line="288" w:lineRule="auto"/>
              <w:rPr>
                <w:color w:val="auto"/>
                <w:sz w:val="21"/>
                <w:szCs w:val="21"/>
                <w:highlight w:val="none"/>
              </w:rPr>
            </w:pPr>
            <w:r>
              <w:rPr>
                <w:color w:val="auto"/>
                <w:sz w:val="21"/>
                <w:szCs w:val="21"/>
                <w:highlight w:val="none"/>
              </w:rPr>
              <w:t>4</w:t>
            </w:r>
            <w:r>
              <w:rPr>
                <w:rFonts w:hint="eastAsia"/>
                <w:color w:val="auto"/>
                <w:sz w:val="21"/>
                <w:szCs w:val="21"/>
                <w:highlight w:val="none"/>
              </w:rPr>
              <w:t>.供应商应提供质保期满后主要零部件报价单、质保期满后维护费、软件升级及其相关服务内容；</w:t>
            </w:r>
          </w:p>
          <w:p>
            <w:pPr>
              <w:adjustRightInd w:val="0"/>
              <w:snapToGrid w:val="0"/>
              <w:spacing w:line="288" w:lineRule="auto"/>
              <w:rPr>
                <w:color w:val="auto"/>
                <w:sz w:val="21"/>
                <w:szCs w:val="21"/>
                <w:highlight w:val="none"/>
              </w:rPr>
            </w:pPr>
            <w:r>
              <w:rPr>
                <w:color w:val="auto"/>
                <w:sz w:val="21"/>
                <w:szCs w:val="21"/>
                <w:highlight w:val="none"/>
              </w:rPr>
              <w:t>5</w:t>
            </w:r>
            <w:r>
              <w:rPr>
                <w:rFonts w:hint="eastAsia"/>
                <w:color w:val="auto"/>
                <w:sz w:val="21"/>
                <w:szCs w:val="21"/>
                <w:highlight w:val="none"/>
              </w:rPr>
              <w:t>.供货时提供有关的全套技术文件。</w:t>
            </w:r>
          </w:p>
          <w:p>
            <w:pPr>
              <w:adjustRightInd w:val="0"/>
              <w:snapToGrid w:val="0"/>
              <w:spacing w:line="288" w:lineRule="auto"/>
              <w:rPr>
                <w:color w:val="auto"/>
                <w:sz w:val="21"/>
                <w:szCs w:val="21"/>
                <w:highlight w:val="none"/>
              </w:rPr>
            </w:pPr>
            <w:r>
              <w:rPr>
                <w:rFonts w:hint="eastAsia"/>
                <w:color w:val="auto"/>
                <w:sz w:val="21"/>
                <w:szCs w:val="21"/>
                <w:highlight w:val="none"/>
              </w:rPr>
              <w:t>6</w:t>
            </w:r>
            <w:r>
              <w:rPr>
                <w:color w:val="auto"/>
                <w:sz w:val="21"/>
                <w:szCs w:val="21"/>
                <w:highlight w:val="none"/>
              </w:rPr>
              <w:t>.</w:t>
            </w:r>
            <w:r>
              <w:rPr>
                <w:rFonts w:hint="eastAsia" w:cs="Times New Roman"/>
                <w:color w:val="auto"/>
                <w:spacing w:val="-6"/>
                <w:sz w:val="21"/>
                <w:szCs w:val="21"/>
                <w:highlight w:val="none"/>
              </w:rPr>
              <w:t>供应商应保证所提供的货物或其中任何一部分均不会侵犯第三方的知识产权。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验收标准</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21"/>
                <w:szCs w:val="21"/>
                <w:highlight w:val="none"/>
              </w:rPr>
            </w:pPr>
            <w:r>
              <w:rPr>
                <w:rFonts w:hint="eastAsia"/>
                <w:color w:val="auto"/>
                <w:sz w:val="21"/>
                <w:szCs w:val="21"/>
                <w:highlight w:val="none"/>
              </w:rPr>
              <w:t>1.验收由采购人负责实施；</w:t>
            </w:r>
          </w:p>
          <w:p>
            <w:pPr>
              <w:adjustRightInd w:val="0"/>
              <w:snapToGrid w:val="0"/>
              <w:spacing w:line="288" w:lineRule="auto"/>
              <w:rPr>
                <w:color w:val="auto"/>
                <w:sz w:val="21"/>
                <w:szCs w:val="21"/>
                <w:highlight w:val="none"/>
              </w:rPr>
            </w:pPr>
            <w:r>
              <w:rPr>
                <w:rFonts w:hint="eastAsia"/>
                <w:color w:val="auto"/>
                <w:sz w:val="21"/>
                <w:szCs w:val="21"/>
                <w:highlight w:val="none"/>
              </w:rPr>
              <w:t>2.验收依据：</w:t>
            </w:r>
          </w:p>
          <w:p>
            <w:pPr>
              <w:adjustRightInd w:val="0"/>
              <w:snapToGrid w:val="0"/>
              <w:spacing w:line="288" w:lineRule="auto"/>
              <w:rPr>
                <w:color w:val="auto"/>
                <w:sz w:val="21"/>
                <w:szCs w:val="21"/>
                <w:highlight w:val="none"/>
              </w:rPr>
            </w:pPr>
            <w:r>
              <w:rPr>
                <w:rFonts w:hint="eastAsia"/>
                <w:color w:val="auto"/>
                <w:sz w:val="21"/>
                <w:szCs w:val="21"/>
                <w:highlight w:val="none"/>
              </w:rPr>
              <w:t>2.1合同、磋商文件、响应文件；</w:t>
            </w:r>
          </w:p>
          <w:p>
            <w:pPr>
              <w:adjustRightInd w:val="0"/>
              <w:snapToGrid w:val="0"/>
              <w:spacing w:line="288" w:lineRule="auto"/>
              <w:rPr>
                <w:color w:val="auto"/>
                <w:sz w:val="21"/>
                <w:szCs w:val="21"/>
                <w:highlight w:val="none"/>
              </w:rPr>
            </w:pPr>
            <w:r>
              <w:rPr>
                <w:rFonts w:hint="eastAsia"/>
                <w:color w:val="auto"/>
                <w:sz w:val="21"/>
                <w:szCs w:val="21"/>
                <w:highlight w:val="none"/>
              </w:rPr>
              <w:t>2.2供应商提供的技术规格、经采购人认可的合同货物的有效检验文件；</w:t>
            </w:r>
          </w:p>
          <w:p>
            <w:pPr>
              <w:adjustRightInd w:val="0"/>
              <w:snapToGrid w:val="0"/>
              <w:spacing w:line="288" w:lineRule="auto"/>
              <w:rPr>
                <w:color w:val="auto"/>
                <w:sz w:val="21"/>
                <w:szCs w:val="21"/>
                <w:highlight w:val="none"/>
              </w:rPr>
            </w:pPr>
            <w:r>
              <w:rPr>
                <w:rFonts w:hint="eastAsia"/>
                <w:color w:val="auto"/>
                <w:sz w:val="21"/>
                <w:szCs w:val="21"/>
                <w:highlight w:val="none"/>
              </w:rPr>
              <w:t>2.3供应商响应文件中提供的经采购人认可的合同货物的验收标准（符合中国有关的国家、地方、行业标准）和检测办法及相应检测手段。</w:t>
            </w:r>
          </w:p>
          <w:p>
            <w:pPr>
              <w:adjustRightInd w:val="0"/>
              <w:snapToGrid w:val="0"/>
              <w:spacing w:line="288" w:lineRule="auto"/>
              <w:rPr>
                <w:color w:val="auto"/>
                <w:sz w:val="21"/>
                <w:szCs w:val="21"/>
                <w:highlight w:val="none"/>
              </w:rPr>
            </w:pPr>
            <w:r>
              <w:rPr>
                <w:rFonts w:hint="eastAsia"/>
                <w:color w:val="auto"/>
                <w:sz w:val="21"/>
                <w:szCs w:val="21"/>
                <w:highlight w:val="none"/>
              </w:rPr>
              <w:t>3.供应商应派员在所供货物到采购人处时进行到货验收，有需要时能联系产品制造商到场共同验收，若发现任何损坏及质量问题，供应商负责妥善处理直至采购人满意，由此产生的费用由供应商承担。</w:t>
            </w:r>
          </w:p>
          <w:p>
            <w:pPr>
              <w:adjustRightInd w:val="0"/>
              <w:snapToGrid w:val="0"/>
              <w:spacing w:line="288" w:lineRule="auto"/>
              <w:rPr>
                <w:color w:val="auto"/>
                <w:sz w:val="21"/>
                <w:szCs w:val="21"/>
                <w:highlight w:val="none"/>
              </w:rPr>
            </w:pPr>
            <w:r>
              <w:rPr>
                <w:rFonts w:hint="eastAsia"/>
                <w:color w:val="auto"/>
                <w:sz w:val="21"/>
                <w:szCs w:val="21"/>
                <w:highlight w:val="none"/>
              </w:rPr>
              <w:t>4.验收合格的条件：</w:t>
            </w:r>
          </w:p>
          <w:p>
            <w:pPr>
              <w:adjustRightInd w:val="0"/>
              <w:snapToGrid w:val="0"/>
              <w:spacing w:line="288" w:lineRule="auto"/>
              <w:rPr>
                <w:color w:val="auto"/>
                <w:sz w:val="21"/>
                <w:szCs w:val="21"/>
                <w:highlight w:val="none"/>
              </w:rPr>
            </w:pPr>
            <w:r>
              <w:rPr>
                <w:rFonts w:hint="eastAsia"/>
                <w:color w:val="auto"/>
                <w:sz w:val="21"/>
                <w:szCs w:val="21"/>
                <w:highlight w:val="none"/>
              </w:rPr>
              <w:t>4.1所供货物符合产品标准和及合同的要求；</w:t>
            </w:r>
          </w:p>
          <w:p>
            <w:pPr>
              <w:adjustRightInd w:val="0"/>
              <w:snapToGrid w:val="0"/>
              <w:spacing w:line="288" w:lineRule="auto"/>
              <w:rPr>
                <w:color w:val="auto"/>
                <w:sz w:val="21"/>
                <w:szCs w:val="21"/>
                <w:highlight w:val="none"/>
              </w:rPr>
            </w:pPr>
            <w:r>
              <w:rPr>
                <w:rFonts w:hint="eastAsia"/>
                <w:color w:val="auto"/>
                <w:sz w:val="21"/>
                <w:szCs w:val="21"/>
                <w:highlight w:val="none"/>
              </w:rPr>
              <w:t>4.2在进行测试和验收过程中发现的问题已被解决并得到采购人的认可；</w:t>
            </w:r>
          </w:p>
          <w:p>
            <w:pPr>
              <w:adjustRightInd w:val="0"/>
              <w:snapToGrid w:val="0"/>
              <w:spacing w:line="288" w:lineRule="auto"/>
              <w:rPr>
                <w:color w:val="auto"/>
                <w:sz w:val="21"/>
                <w:szCs w:val="21"/>
                <w:highlight w:val="none"/>
              </w:rPr>
            </w:pPr>
            <w:r>
              <w:rPr>
                <w:rFonts w:hint="eastAsia"/>
                <w:color w:val="auto"/>
                <w:sz w:val="21"/>
                <w:szCs w:val="21"/>
                <w:highlight w:val="none"/>
              </w:rPr>
              <w:t>4.3合同中规定的所有货物和材料均已交付；</w:t>
            </w:r>
          </w:p>
          <w:p>
            <w:pPr>
              <w:adjustRightInd w:val="0"/>
              <w:snapToGrid w:val="0"/>
              <w:spacing w:line="288" w:lineRule="auto"/>
              <w:rPr>
                <w:color w:val="auto"/>
                <w:sz w:val="21"/>
                <w:szCs w:val="21"/>
                <w:highlight w:val="none"/>
              </w:rPr>
            </w:pPr>
            <w:r>
              <w:rPr>
                <w:rFonts w:hint="eastAsia"/>
                <w:color w:val="auto"/>
                <w:sz w:val="21"/>
                <w:szCs w:val="21"/>
                <w:highlight w:val="none"/>
              </w:rPr>
              <w:t>4.4所供货物已通过使用单位组织的验收；</w:t>
            </w:r>
          </w:p>
          <w:p>
            <w:pPr>
              <w:adjustRightInd w:val="0"/>
              <w:snapToGrid w:val="0"/>
              <w:spacing w:line="288" w:lineRule="auto"/>
              <w:rPr>
                <w:color w:val="auto"/>
                <w:sz w:val="21"/>
                <w:szCs w:val="21"/>
                <w:highlight w:val="none"/>
              </w:rPr>
            </w:pPr>
            <w:r>
              <w:rPr>
                <w:rFonts w:hint="eastAsia"/>
                <w:color w:val="auto"/>
                <w:sz w:val="21"/>
                <w:szCs w:val="21"/>
                <w:highlight w:val="none"/>
              </w:rPr>
              <w:t>4.5所有相关的技术文件及资料均已提交并得到接受。</w:t>
            </w:r>
          </w:p>
        </w:tc>
      </w:tr>
    </w:tbl>
    <w:p>
      <w:pPr>
        <w:adjustRightInd w:val="0"/>
        <w:snapToGrid w:val="0"/>
        <w:spacing w:line="288" w:lineRule="auto"/>
        <w:rPr>
          <w:color w:val="auto"/>
          <w:sz w:val="21"/>
          <w:szCs w:val="21"/>
          <w:highlight w:val="none"/>
        </w:rPr>
      </w:pPr>
    </w:p>
    <w:p>
      <w:pPr>
        <w:adjustRightInd w:val="0"/>
        <w:snapToGrid w:val="0"/>
        <w:spacing w:line="288" w:lineRule="auto"/>
        <w:outlineLvl w:val="1"/>
        <w:rPr>
          <w:b/>
          <w:bCs/>
          <w:color w:val="auto"/>
          <w:sz w:val="21"/>
          <w:szCs w:val="21"/>
          <w:highlight w:val="none"/>
        </w:rPr>
      </w:pPr>
      <w:r>
        <w:rPr>
          <w:b/>
          <w:bCs/>
          <w:color w:val="auto"/>
          <w:sz w:val="21"/>
          <w:szCs w:val="21"/>
          <w:highlight w:val="none"/>
        </w:rPr>
        <w:t>四、技术要求</w:t>
      </w:r>
      <w:r>
        <w:rPr>
          <w:rFonts w:hint="eastAsia"/>
          <w:b/>
          <w:bCs/>
          <w:color w:val="auto"/>
          <w:sz w:val="21"/>
          <w:szCs w:val="21"/>
          <w:highlight w:val="none"/>
        </w:rPr>
        <w:t>：</w:t>
      </w:r>
    </w:p>
    <w:p>
      <w:pPr>
        <w:adjustRightInd w:val="0"/>
        <w:snapToGrid w:val="0"/>
        <w:spacing w:line="288" w:lineRule="auto"/>
        <w:rPr>
          <w:b/>
          <w:bCs/>
          <w:color w:val="auto"/>
          <w:sz w:val="21"/>
          <w:szCs w:val="21"/>
          <w:highlight w:val="none"/>
        </w:rPr>
      </w:pPr>
      <w:r>
        <w:rPr>
          <w:rFonts w:hint="eastAsia"/>
          <w:b/>
          <w:bCs/>
          <w:color w:val="auto"/>
          <w:sz w:val="21"/>
          <w:szCs w:val="21"/>
          <w:highlight w:val="none"/>
        </w:rPr>
        <w:t>1.需实现的功能或者目标：满足示波器、数据处理卡等的相关使用要求</w:t>
      </w:r>
    </w:p>
    <w:p>
      <w:pPr>
        <w:adjustRightInd w:val="0"/>
        <w:snapToGrid w:val="0"/>
        <w:spacing w:line="288" w:lineRule="auto"/>
        <w:rPr>
          <w:rFonts w:cs="Times New Roman"/>
          <w:b/>
          <w:bCs/>
          <w:color w:val="auto"/>
          <w:spacing w:val="-4"/>
          <w:sz w:val="21"/>
          <w:szCs w:val="21"/>
          <w:highlight w:val="none"/>
        </w:rPr>
      </w:pPr>
      <w:r>
        <w:rPr>
          <w:rFonts w:hint="eastAsia" w:cs="Times New Roman"/>
          <w:b/>
          <w:bCs/>
          <w:color w:val="auto"/>
          <w:spacing w:val="-4"/>
          <w:sz w:val="21"/>
          <w:szCs w:val="21"/>
          <w:highlight w:val="none"/>
        </w:rPr>
        <w:t>2</w:t>
      </w:r>
      <w:r>
        <w:rPr>
          <w:rFonts w:cs="Times New Roman"/>
          <w:b/>
          <w:bCs/>
          <w:color w:val="auto"/>
          <w:spacing w:val="-4"/>
          <w:sz w:val="21"/>
          <w:szCs w:val="21"/>
          <w:highlight w:val="none"/>
        </w:rPr>
        <w:t>.</w:t>
      </w:r>
      <w:r>
        <w:rPr>
          <w:rFonts w:hint="eastAsia" w:cs="Times New Roman"/>
          <w:b/>
          <w:bCs/>
          <w:color w:val="auto"/>
          <w:spacing w:val="-4"/>
          <w:sz w:val="21"/>
          <w:szCs w:val="21"/>
          <w:highlight w:val="none"/>
        </w:rPr>
        <w:t>需满足的质量、安全、技术规格、物理特性等要求：</w:t>
      </w:r>
    </w:p>
    <w:tbl>
      <w:tblPr>
        <w:tblStyle w:val="9"/>
        <w:tblW w:w="1006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6"/>
        <w:gridCol w:w="2444"/>
        <w:gridCol w:w="495"/>
        <w:gridCol w:w="461"/>
        <w:gridCol w:w="62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446"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序号</w:t>
            </w:r>
          </w:p>
        </w:tc>
        <w:tc>
          <w:tcPr>
            <w:tcW w:w="2444"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名称</w:t>
            </w:r>
          </w:p>
        </w:tc>
        <w:tc>
          <w:tcPr>
            <w:tcW w:w="495"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数量</w:t>
            </w:r>
          </w:p>
        </w:tc>
        <w:tc>
          <w:tcPr>
            <w:tcW w:w="461"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单位</w:t>
            </w:r>
          </w:p>
        </w:tc>
        <w:tc>
          <w:tcPr>
            <w:tcW w:w="6214"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（功能或者目标）、质量、安全、技术规格、物理特性等要求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446"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1</w:t>
            </w:r>
          </w:p>
        </w:tc>
        <w:tc>
          <w:tcPr>
            <w:tcW w:w="2444" w:type="dxa"/>
            <w:vAlign w:val="center"/>
          </w:tcPr>
          <w:p>
            <w:pPr>
              <w:widowControl/>
              <w:jc w:val="center"/>
              <w:textAlignment w:val="center"/>
              <w:rPr>
                <w:b/>
                <w:bCs/>
                <w:color w:val="auto"/>
                <w:kern w:val="0"/>
                <w:sz w:val="21"/>
                <w:szCs w:val="21"/>
                <w:highlight w:val="none"/>
                <w:lang w:bidi="ar"/>
              </w:rPr>
            </w:pPr>
            <w:r>
              <w:rPr>
                <w:rFonts w:hint="eastAsia"/>
                <w:b/>
                <w:bCs/>
                <w:color w:val="auto"/>
                <w:kern w:val="0"/>
                <w:sz w:val="21"/>
                <w:szCs w:val="21"/>
                <w:highlight w:val="none"/>
                <w:lang w:bidi="ar"/>
              </w:rPr>
              <w:t>数据处理卡</w:t>
            </w:r>
          </w:p>
          <w:p>
            <w:pPr>
              <w:widowControl/>
              <w:jc w:val="center"/>
              <w:textAlignment w:val="center"/>
              <w:rPr>
                <w:b/>
                <w:bCs/>
                <w:color w:val="auto"/>
                <w:sz w:val="21"/>
                <w:szCs w:val="21"/>
                <w:highlight w:val="none"/>
              </w:rPr>
            </w:pPr>
            <w:r>
              <w:rPr>
                <w:rFonts w:hint="eastAsia"/>
                <w:b/>
                <w:bCs/>
                <w:color w:val="auto"/>
                <w:kern w:val="0"/>
                <w:sz w:val="21"/>
                <w:szCs w:val="21"/>
                <w:highlight w:val="none"/>
                <w:lang w:bidi="ar"/>
              </w:rPr>
              <w:t>（不允许采购进口产品）</w:t>
            </w:r>
          </w:p>
        </w:tc>
        <w:tc>
          <w:tcPr>
            <w:tcW w:w="495" w:type="dxa"/>
            <w:vAlign w:val="center"/>
          </w:tcPr>
          <w:p>
            <w:pPr>
              <w:widowControl/>
              <w:jc w:val="center"/>
              <w:textAlignment w:val="center"/>
              <w:rPr>
                <w:b/>
                <w:bCs/>
                <w:color w:val="auto"/>
                <w:sz w:val="21"/>
                <w:szCs w:val="21"/>
                <w:highlight w:val="none"/>
              </w:rPr>
            </w:pPr>
            <w:r>
              <w:rPr>
                <w:rFonts w:hint="eastAsia"/>
                <w:b/>
                <w:bCs/>
                <w:color w:val="auto"/>
                <w:kern w:val="0"/>
                <w:sz w:val="21"/>
                <w:szCs w:val="21"/>
                <w:highlight w:val="none"/>
                <w:lang w:bidi="ar"/>
              </w:rPr>
              <w:t>2</w:t>
            </w:r>
          </w:p>
        </w:tc>
        <w:tc>
          <w:tcPr>
            <w:tcW w:w="461"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套</w:t>
            </w:r>
          </w:p>
        </w:tc>
        <w:tc>
          <w:tcPr>
            <w:tcW w:w="6214" w:type="dxa"/>
            <w:vAlign w:val="center"/>
          </w:tcPr>
          <w:p>
            <w:pPr>
              <w:pStyle w:val="22"/>
              <w:widowControl/>
              <w:ind w:firstLine="0" w:firstLineChars="0"/>
              <w:jc w:val="left"/>
              <w:textAlignment w:val="center"/>
              <w:rPr>
                <w:rFonts w:ascii="Times New Roman" w:hAnsi="Times New Roman" w:cs="Times New Roman"/>
                <w:color w:val="auto"/>
                <w:kern w:val="0"/>
                <w:sz w:val="21"/>
                <w:szCs w:val="21"/>
                <w:highlight w:val="none"/>
                <w:lang w:bidi="ar"/>
              </w:rPr>
            </w:pPr>
            <w:r>
              <w:rPr>
                <w:rFonts w:hint="eastAsia" w:ascii="Times New Roman" w:hAnsi="Times New Roman" w:cs="Times New Roman"/>
                <w:color w:val="auto"/>
                <w:kern w:val="0"/>
                <w:sz w:val="21"/>
                <w:szCs w:val="21"/>
                <w:highlight w:val="none"/>
                <w:lang w:bidi="ar"/>
              </w:rPr>
              <w:t>1.</w:t>
            </w:r>
            <w:r>
              <w:rPr>
                <w:rFonts w:ascii="Times New Roman" w:hAnsi="Times New Roman" w:cs="Times New Roman"/>
                <w:color w:val="auto"/>
                <w:kern w:val="0"/>
                <w:sz w:val="21"/>
                <w:szCs w:val="21"/>
                <w:highlight w:val="none"/>
                <w:lang w:bidi="ar"/>
              </w:rPr>
              <w:t>双CPU，CPU</w:t>
            </w:r>
            <w:r>
              <w:rPr>
                <w:rFonts w:hint="eastAsia" w:ascii="Times New Roman" w:hAnsi="Times New Roman" w:cs="Times New Roman"/>
                <w:color w:val="auto"/>
                <w:kern w:val="0"/>
                <w:sz w:val="21"/>
                <w:szCs w:val="21"/>
                <w:highlight w:val="none"/>
                <w:lang w:bidi="ar"/>
              </w:rPr>
              <w:t>性能</w:t>
            </w:r>
            <w:r>
              <w:rPr>
                <w:rFonts w:ascii="Times New Roman" w:hAnsi="Times New Roman" w:cs="Times New Roman"/>
                <w:color w:val="auto"/>
                <w:kern w:val="0"/>
                <w:sz w:val="21"/>
                <w:szCs w:val="21"/>
                <w:highlight w:val="none"/>
                <w:lang w:bidi="ar"/>
              </w:rPr>
              <w:t>不低于AMD 7543（2.8GHz, 32C/64T, 256M, 225W, 共64核128线程）；</w:t>
            </w:r>
          </w:p>
          <w:p>
            <w:pPr>
              <w:pStyle w:val="22"/>
              <w:widowControl/>
              <w:ind w:firstLine="0" w:firstLineChars="0"/>
              <w:jc w:val="left"/>
              <w:textAlignment w:val="center"/>
              <w:rPr>
                <w:rFonts w:ascii="Times New Roman" w:hAnsi="Times New Roman" w:cs="Times New Roman"/>
                <w:color w:val="auto"/>
                <w:kern w:val="0"/>
                <w:sz w:val="21"/>
                <w:szCs w:val="21"/>
                <w:highlight w:val="none"/>
                <w:lang w:bidi="ar"/>
              </w:rPr>
            </w:pPr>
            <w:r>
              <w:rPr>
                <w:rFonts w:hint="eastAsia" w:ascii="Times New Roman" w:hAnsi="Times New Roman" w:cs="Times New Roman"/>
                <w:color w:val="auto"/>
                <w:kern w:val="0"/>
                <w:sz w:val="21"/>
                <w:szCs w:val="21"/>
                <w:highlight w:val="none"/>
                <w:lang w:bidi="ar"/>
              </w:rPr>
              <w:t>2.</w:t>
            </w:r>
            <w:r>
              <w:rPr>
                <w:rFonts w:ascii="Times New Roman" w:hAnsi="Times New Roman" w:cs="Times New Roman"/>
                <w:color w:val="auto"/>
                <w:kern w:val="0"/>
                <w:sz w:val="21"/>
                <w:szCs w:val="21"/>
                <w:highlight w:val="none"/>
                <w:lang w:bidi="ar"/>
              </w:rPr>
              <w:t>iDRAC,Legacy 密码；</w:t>
            </w:r>
          </w:p>
          <w:p>
            <w:pPr>
              <w:pStyle w:val="22"/>
              <w:widowControl/>
              <w:ind w:firstLine="0" w:firstLineChars="0"/>
              <w:jc w:val="left"/>
              <w:textAlignment w:val="center"/>
              <w:rPr>
                <w:rFonts w:ascii="Times New Roman" w:hAnsi="Times New Roman" w:cs="Times New Roman"/>
                <w:color w:val="auto"/>
                <w:kern w:val="0"/>
                <w:sz w:val="21"/>
                <w:szCs w:val="21"/>
                <w:highlight w:val="none"/>
                <w:lang w:bidi="ar"/>
              </w:rPr>
            </w:pPr>
            <w:r>
              <w:rPr>
                <w:rFonts w:hint="eastAsia" w:ascii="Times New Roman" w:hAnsi="Times New Roman" w:cs="Times New Roman"/>
                <w:color w:val="auto"/>
                <w:kern w:val="0"/>
                <w:sz w:val="21"/>
                <w:szCs w:val="21"/>
                <w:highlight w:val="none"/>
                <w:lang w:bidi="ar"/>
              </w:rPr>
              <w:t>3.</w:t>
            </w:r>
            <w:r>
              <w:rPr>
                <w:rFonts w:ascii="Times New Roman" w:hAnsi="Times New Roman" w:cs="Times New Roman"/>
                <w:color w:val="auto"/>
                <w:kern w:val="0"/>
                <w:sz w:val="21"/>
                <w:szCs w:val="21"/>
                <w:highlight w:val="none"/>
                <w:lang w:bidi="ar"/>
              </w:rPr>
              <w:t>Riser配置3,</w:t>
            </w:r>
            <w:r>
              <w:rPr>
                <w:rFonts w:hint="eastAsia" w:ascii="Times New Roman" w:hAnsi="Times New Roman" w:cs="Times New Roman"/>
                <w:color w:val="auto"/>
                <w:kern w:val="0"/>
                <w:sz w:val="21"/>
                <w:szCs w:val="21"/>
                <w:highlight w:val="none"/>
                <w:lang w:bidi="ar"/>
              </w:rPr>
              <w:t xml:space="preserve"> </w:t>
            </w:r>
            <w:r>
              <w:rPr>
                <w:rFonts w:ascii="Times New Roman" w:hAnsi="Times New Roman" w:cs="Times New Roman"/>
                <w:color w:val="auto"/>
                <w:kern w:val="0"/>
                <w:sz w:val="21"/>
                <w:szCs w:val="21"/>
                <w:highlight w:val="none"/>
                <w:lang w:bidi="ar"/>
              </w:rPr>
              <w:t>全长,</w:t>
            </w:r>
            <w:r>
              <w:rPr>
                <w:rFonts w:hint="eastAsia" w:ascii="Times New Roman" w:hAnsi="Times New Roman" w:cs="Times New Roman"/>
                <w:color w:val="auto"/>
                <w:kern w:val="0"/>
                <w:sz w:val="21"/>
                <w:szCs w:val="21"/>
                <w:highlight w:val="none"/>
                <w:lang w:bidi="ar"/>
              </w:rPr>
              <w:t xml:space="preserve"> </w:t>
            </w:r>
            <w:r>
              <w:rPr>
                <w:rFonts w:ascii="Times New Roman" w:hAnsi="Times New Roman" w:cs="Times New Roman"/>
                <w:color w:val="auto"/>
                <w:kern w:val="0"/>
                <w:sz w:val="21"/>
                <w:szCs w:val="21"/>
                <w:highlight w:val="none"/>
                <w:lang w:bidi="ar"/>
              </w:rPr>
              <w:t>5x16插槽；</w:t>
            </w:r>
          </w:p>
          <w:p>
            <w:pPr>
              <w:pStyle w:val="22"/>
              <w:widowControl/>
              <w:ind w:firstLine="0" w:firstLineChars="0"/>
              <w:jc w:val="left"/>
              <w:textAlignment w:val="center"/>
              <w:rPr>
                <w:rFonts w:ascii="Times New Roman" w:hAnsi="Times New Roman" w:cs="Times New Roman"/>
                <w:color w:val="auto"/>
                <w:kern w:val="0"/>
                <w:sz w:val="21"/>
                <w:szCs w:val="21"/>
                <w:highlight w:val="none"/>
                <w:lang w:bidi="ar"/>
              </w:rPr>
            </w:pPr>
            <w:r>
              <w:rPr>
                <w:rFonts w:hint="eastAsia" w:ascii="Times New Roman" w:hAnsi="Times New Roman" w:cs="Times New Roman"/>
                <w:color w:val="auto"/>
                <w:kern w:val="0"/>
                <w:sz w:val="21"/>
                <w:szCs w:val="21"/>
                <w:highlight w:val="none"/>
                <w:lang w:bidi="ar"/>
              </w:rPr>
              <w:t>4.</w:t>
            </w:r>
            <w:r>
              <w:rPr>
                <w:rFonts w:ascii="Times New Roman" w:hAnsi="Times New Roman" w:cs="Times New Roman"/>
                <w:color w:val="auto"/>
                <w:kern w:val="0"/>
                <w:sz w:val="21"/>
                <w:szCs w:val="21"/>
                <w:highlight w:val="none"/>
                <w:lang w:bidi="ar"/>
              </w:rPr>
              <w:t>16*16GB RDIMM, 3200MT/s, ECC DDR4内存；</w:t>
            </w:r>
          </w:p>
          <w:p>
            <w:pPr>
              <w:pStyle w:val="22"/>
              <w:widowControl/>
              <w:ind w:firstLine="0" w:firstLineChars="0"/>
              <w:jc w:val="left"/>
              <w:textAlignment w:val="center"/>
              <w:rPr>
                <w:rFonts w:ascii="Times New Roman" w:hAnsi="Times New Roman" w:cs="Times New Roman"/>
                <w:color w:val="auto"/>
                <w:kern w:val="0"/>
                <w:sz w:val="21"/>
                <w:szCs w:val="21"/>
                <w:highlight w:val="none"/>
                <w:lang w:bidi="ar"/>
              </w:rPr>
            </w:pPr>
            <w:r>
              <w:rPr>
                <w:rFonts w:hint="eastAsia" w:ascii="Times New Roman" w:hAnsi="Times New Roman" w:cs="Times New Roman"/>
                <w:color w:val="auto"/>
                <w:kern w:val="0"/>
                <w:sz w:val="21"/>
                <w:szCs w:val="21"/>
                <w:highlight w:val="none"/>
                <w:lang w:bidi="ar"/>
              </w:rPr>
              <w:t>5.</w:t>
            </w:r>
            <w:r>
              <w:rPr>
                <w:rFonts w:ascii="Times New Roman" w:hAnsi="Times New Roman" w:cs="Times New Roman"/>
                <w:color w:val="auto"/>
                <w:kern w:val="0"/>
                <w:sz w:val="21"/>
                <w:szCs w:val="21"/>
                <w:highlight w:val="none"/>
                <w:lang w:bidi="ar"/>
              </w:rPr>
              <w:t>双列 iDRAC9,</w:t>
            </w:r>
            <w:r>
              <w:rPr>
                <w:rFonts w:hint="eastAsia" w:ascii="Times New Roman" w:hAnsi="Times New Roman" w:cs="Times New Roman"/>
                <w:color w:val="auto"/>
                <w:kern w:val="0"/>
                <w:sz w:val="21"/>
                <w:szCs w:val="21"/>
                <w:highlight w:val="none"/>
                <w:lang w:bidi="ar"/>
              </w:rPr>
              <w:t xml:space="preserve"> </w:t>
            </w:r>
            <w:r>
              <w:rPr>
                <w:rFonts w:ascii="Times New Roman" w:hAnsi="Times New Roman" w:cs="Times New Roman"/>
                <w:color w:val="auto"/>
                <w:kern w:val="0"/>
                <w:sz w:val="21"/>
                <w:szCs w:val="21"/>
                <w:highlight w:val="none"/>
                <w:lang w:bidi="ar"/>
              </w:rPr>
              <w:t>高性能风扇 x6；</w:t>
            </w:r>
          </w:p>
          <w:p>
            <w:pPr>
              <w:pStyle w:val="22"/>
              <w:widowControl/>
              <w:ind w:firstLine="0" w:firstLineChars="0"/>
              <w:jc w:val="left"/>
              <w:textAlignment w:val="center"/>
              <w:rPr>
                <w:rFonts w:ascii="Times New Roman" w:hAnsi="Times New Roman" w:cs="Times New Roman"/>
                <w:color w:val="auto"/>
                <w:kern w:val="0"/>
                <w:sz w:val="21"/>
                <w:szCs w:val="21"/>
                <w:highlight w:val="none"/>
                <w:lang w:bidi="ar"/>
              </w:rPr>
            </w:pPr>
            <w:r>
              <w:rPr>
                <w:rFonts w:hint="eastAsia" w:ascii="Times New Roman" w:hAnsi="Times New Roman" w:cs="Times New Roman"/>
                <w:color w:val="auto"/>
                <w:kern w:val="0"/>
                <w:sz w:val="21"/>
                <w:szCs w:val="21"/>
                <w:highlight w:val="none"/>
                <w:lang w:bidi="ar"/>
              </w:rPr>
              <w:t>6.</w:t>
            </w:r>
            <w:r>
              <w:rPr>
                <w:rFonts w:ascii="Times New Roman" w:hAnsi="Times New Roman" w:cs="Times New Roman"/>
                <w:color w:val="auto"/>
                <w:kern w:val="0"/>
                <w:sz w:val="21"/>
                <w:szCs w:val="21"/>
                <w:highlight w:val="none"/>
                <w:lang w:bidi="ar"/>
              </w:rPr>
              <w:t>2U机架式；</w:t>
            </w:r>
          </w:p>
          <w:p>
            <w:pPr>
              <w:pStyle w:val="22"/>
              <w:widowControl/>
              <w:ind w:firstLine="0" w:firstLineChars="0"/>
              <w:jc w:val="left"/>
              <w:textAlignment w:val="center"/>
              <w:rPr>
                <w:color w:val="auto"/>
                <w:sz w:val="21"/>
                <w:szCs w:val="21"/>
                <w:highlight w:val="none"/>
              </w:rPr>
            </w:pPr>
            <w:r>
              <w:rPr>
                <w:rFonts w:hint="eastAsia" w:ascii="Times New Roman" w:hAnsi="Times New Roman" w:cs="Times New Roman"/>
                <w:color w:val="auto"/>
                <w:kern w:val="0"/>
                <w:sz w:val="21"/>
                <w:szCs w:val="21"/>
                <w:highlight w:val="none"/>
                <w:lang w:bidi="ar"/>
              </w:rPr>
              <w:t>7.</w:t>
            </w:r>
            <w:r>
              <w:rPr>
                <w:rFonts w:ascii="Times New Roman" w:hAnsi="Times New Roman" w:cs="Times New Roman"/>
                <w:color w:val="auto"/>
                <w:kern w:val="0"/>
                <w:sz w:val="21"/>
                <w:szCs w:val="21"/>
                <w:highlight w:val="none"/>
                <w:lang w:bidi="ar"/>
              </w:rPr>
              <w:t>供应商成交后须提供原厂授权及质保文件。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446"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2</w:t>
            </w:r>
          </w:p>
        </w:tc>
        <w:tc>
          <w:tcPr>
            <w:tcW w:w="2444" w:type="dxa"/>
            <w:vAlign w:val="center"/>
          </w:tcPr>
          <w:p>
            <w:pPr>
              <w:widowControl/>
              <w:jc w:val="center"/>
              <w:textAlignment w:val="center"/>
              <w:rPr>
                <w:b/>
                <w:bCs/>
                <w:color w:val="auto"/>
                <w:kern w:val="0"/>
                <w:sz w:val="21"/>
                <w:szCs w:val="21"/>
                <w:highlight w:val="none"/>
                <w:lang w:bidi="ar"/>
              </w:rPr>
            </w:pPr>
            <w:r>
              <w:rPr>
                <w:rFonts w:hint="eastAsia"/>
                <w:b/>
                <w:bCs/>
                <w:color w:val="auto"/>
                <w:kern w:val="0"/>
                <w:sz w:val="21"/>
                <w:szCs w:val="21"/>
                <w:highlight w:val="none"/>
                <w:lang w:bidi="ar"/>
              </w:rPr>
              <w:t>数据存储系统</w:t>
            </w:r>
          </w:p>
          <w:p>
            <w:pPr>
              <w:widowControl/>
              <w:jc w:val="center"/>
              <w:textAlignment w:val="center"/>
              <w:rPr>
                <w:b/>
                <w:bCs/>
                <w:color w:val="auto"/>
                <w:sz w:val="21"/>
                <w:szCs w:val="21"/>
                <w:highlight w:val="none"/>
              </w:rPr>
            </w:pPr>
            <w:r>
              <w:rPr>
                <w:rFonts w:hint="eastAsia"/>
                <w:b/>
                <w:bCs/>
                <w:color w:val="auto"/>
                <w:kern w:val="0"/>
                <w:sz w:val="21"/>
                <w:szCs w:val="21"/>
                <w:highlight w:val="none"/>
                <w:lang w:bidi="ar"/>
              </w:rPr>
              <w:t>（不允许采购进口产品）</w:t>
            </w:r>
          </w:p>
        </w:tc>
        <w:tc>
          <w:tcPr>
            <w:tcW w:w="495" w:type="dxa"/>
            <w:vAlign w:val="center"/>
          </w:tcPr>
          <w:p>
            <w:pPr>
              <w:widowControl/>
              <w:jc w:val="center"/>
              <w:textAlignment w:val="center"/>
              <w:rPr>
                <w:b/>
                <w:bCs/>
                <w:color w:val="auto"/>
                <w:sz w:val="21"/>
                <w:szCs w:val="21"/>
                <w:highlight w:val="none"/>
              </w:rPr>
            </w:pPr>
            <w:r>
              <w:rPr>
                <w:rFonts w:hint="eastAsia"/>
                <w:b/>
                <w:bCs/>
                <w:color w:val="auto"/>
                <w:kern w:val="0"/>
                <w:sz w:val="21"/>
                <w:szCs w:val="21"/>
                <w:highlight w:val="none"/>
                <w:lang w:bidi="ar"/>
              </w:rPr>
              <w:t>2</w:t>
            </w:r>
          </w:p>
        </w:tc>
        <w:tc>
          <w:tcPr>
            <w:tcW w:w="461"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套</w:t>
            </w:r>
          </w:p>
        </w:tc>
        <w:tc>
          <w:tcPr>
            <w:tcW w:w="6214" w:type="dxa"/>
            <w:vAlign w:val="center"/>
          </w:tcPr>
          <w:p>
            <w:pPr>
              <w:pStyle w:val="22"/>
              <w:widowControl/>
              <w:ind w:firstLine="0" w:firstLineChars="0"/>
              <w:jc w:val="left"/>
              <w:textAlignment w:val="center"/>
              <w:rPr>
                <w:rFonts w:ascii="Times New Roman" w:hAnsi="Times New Roman" w:cs="Times New Roman"/>
                <w:color w:val="auto"/>
                <w:kern w:val="0"/>
                <w:sz w:val="21"/>
                <w:szCs w:val="21"/>
                <w:highlight w:val="none"/>
                <w:lang w:bidi="ar"/>
              </w:rPr>
            </w:pPr>
            <w:r>
              <w:rPr>
                <w:rFonts w:hint="eastAsia" w:ascii="Times New Roman" w:hAnsi="Times New Roman" w:cs="Times New Roman"/>
                <w:color w:val="auto"/>
                <w:kern w:val="0"/>
                <w:sz w:val="21"/>
                <w:szCs w:val="21"/>
                <w:highlight w:val="none"/>
                <w:lang w:bidi="ar"/>
              </w:rPr>
              <w:t>1.</w:t>
            </w:r>
            <w:r>
              <w:rPr>
                <w:rFonts w:ascii="Times New Roman" w:hAnsi="Times New Roman" w:cs="Times New Roman"/>
                <w:color w:val="auto"/>
                <w:kern w:val="0"/>
                <w:sz w:val="21"/>
                <w:szCs w:val="21"/>
                <w:highlight w:val="none"/>
                <w:lang w:bidi="ar"/>
              </w:rPr>
              <w:t>480GB 固态硬盘 SATA 读取密集型 6Gbps（硬盘1）；</w:t>
            </w:r>
          </w:p>
          <w:p>
            <w:pPr>
              <w:pStyle w:val="22"/>
              <w:widowControl/>
              <w:ind w:firstLine="0" w:firstLineChars="0"/>
              <w:jc w:val="left"/>
              <w:textAlignment w:val="center"/>
              <w:rPr>
                <w:rFonts w:ascii="Times New Roman" w:hAnsi="Times New Roman" w:cs="Times New Roman"/>
                <w:color w:val="auto"/>
                <w:kern w:val="0"/>
                <w:sz w:val="21"/>
                <w:szCs w:val="21"/>
                <w:highlight w:val="none"/>
                <w:lang w:bidi="ar"/>
              </w:rPr>
            </w:pPr>
            <w:r>
              <w:rPr>
                <w:rFonts w:hint="eastAsia" w:ascii="Times New Roman" w:hAnsi="Times New Roman" w:cs="Times New Roman"/>
                <w:color w:val="auto"/>
                <w:kern w:val="0"/>
                <w:sz w:val="21"/>
                <w:szCs w:val="21"/>
                <w:highlight w:val="none"/>
                <w:lang w:bidi="ar"/>
              </w:rPr>
              <w:t>2.</w:t>
            </w:r>
            <w:r>
              <w:rPr>
                <w:rFonts w:ascii="Times New Roman" w:hAnsi="Times New Roman" w:cs="Times New Roman"/>
                <w:color w:val="auto"/>
                <w:kern w:val="0"/>
                <w:sz w:val="21"/>
                <w:szCs w:val="21"/>
                <w:highlight w:val="none"/>
                <w:lang w:bidi="ar"/>
              </w:rPr>
              <w:t>硬盘阵列卡，</w:t>
            </w:r>
            <w:r>
              <w:rPr>
                <w:rFonts w:hint="eastAsia" w:ascii="Times New Roman" w:hAnsi="Times New Roman" w:cs="Times New Roman"/>
                <w:color w:val="auto"/>
                <w:kern w:val="0"/>
                <w:sz w:val="21"/>
                <w:szCs w:val="21"/>
                <w:highlight w:val="none"/>
                <w:lang w:bidi="ar"/>
              </w:rPr>
              <w:t>性能不低于</w:t>
            </w:r>
            <w:r>
              <w:rPr>
                <w:rFonts w:hint="eastAsia" w:ascii="Times New Roman" w:hAnsi="Times New Roman" w:cs="Times New Roman"/>
                <w:color w:val="auto"/>
                <w:kern w:val="0"/>
                <w:sz w:val="21"/>
                <w:szCs w:val="21"/>
                <w:highlight w:val="none"/>
                <w:lang w:val="en-US" w:eastAsia="zh-CN" w:bidi="ar"/>
              </w:rPr>
              <w:t>如下参数：</w:t>
            </w:r>
            <w:r>
              <w:rPr>
                <w:rFonts w:ascii="Times New Roman" w:hAnsi="Times New Roman" w:cs="Times New Roman"/>
                <w:color w:val="auto"/>
                <w:kern w:val="0"/>
                <w:sz w:val="21"/>
                <w:szCs w:val="21"/>
                <w:highlight w:val="none"/>
                <w:lang w:bidi="ar"/>
              </w:rPr>
              <w:t>（2G，带电池，支持RAID0，1，5，10，50，60）；</w:t>
            </w:r>
          </w:p>
          <w:p>
            <w:pPr>
              <w:pStyle w:val="22"/>
              <w:widowControl/>
              <w:ind w:firstLine="0" w:firstLineChars="0"/>
              <w:jc w:val="left"/>
              <w:textAlignment w:val="center"/>
              <w:rPr>
                <w:rFonts w:ascii="Times New Roman" w:hAnsi="Times New Roman" w:cs="Times New Roman"/>
                <w:color w:val="auto"/>
                <w:kern w:val="0"/>
                <w:sz w:val="21"/>
                <w:szCs w:val="21"/>
                <w:highlight w:val="none"/>
                <w:lang w:bidi="ar"/>
              </w:rPr>
            </w:pPr>
            <w:r>
              <w:rPr>
                <w:rFonts w:hint="eastAsia" w:ascii="Times New Roman" w:hAnsi="Times New Roman" w:cs="Times New Roman"/>
                <w:color w:val="auto"/>
                <w:kern w:val="0"/>
                <w:sz w:val="21"/>
                <w:szCs w:val="21"/>
                <w:highlight w:val="none"/>
                <w:lang w:bidi="ar"/>
              </w:rPr>
              <w:t>3.</w:t>
            </w:r>
            <w:r>
              <w:rPr>
                <w:rFonts w:ascii="Times New Roman" w:hAnsi="Times New Roman" w:cs="Times New Roman"/>
                <w:color w:val="auto"/>
                <w:kern w:val="0"/>
                <w:sz w:val="21"/>
                <w:szCs w:val="21"/>
                <w:highlight w:val="none"/>
                <w:lang w:bidi="ar"/>
              </w:rPr>
              <w:t>2*2.4TB 10K RPM SAS 12Gbps 512e 2.5英寸热插拔硬盘, 3.5英寸 托架（硬盘2）；</w:t>
            </w:r>
          </w:p>
          <w:p>
            <w:pPr>
              <w:pStyle w:val="22"/>
              <w:widowControl/>
              <w:ind w:firstLine="0" w:firstLineChars="0"/>
              <w:jc w:val="left"/>
              <w:textAlignment w:val="center"/>
              <w:rPr>
                <w:rFonts w:ascii="Times New Roman" w:hAnsi="Times New Roman" w:cs="Times New Roman"/>
                <w:color w:val="auto"/>
                <w:kern w:val="0"/>
                <w:sz w:val="21"/>
                <w:szCs w:val="21"/>
                <w:highlight w:val="none"/>
                <w:lang w:bidi="ar"/>
              </w:rPr>
            </w:pPr>
            <w:r>
              <w:rPr>
                <w:rFonts w:hint="eastAsia" w:ascii="Times New Roman" w:hAnsi="Times New Roman" w:cs="Times New Roman"/>
                <w:color w:val="auto"/>
                <w:kern w:val="0"/>
                <w:sz w:val="21"/>
                <w:szCs w:val="21"/>
                <w:highlight w:val="none"/>
                <w:lang w:bidi="ar"/>
              </w:rPr>
              <w:t>4.双磁盘</w:t>
            </w:r>
            <w:r>
              <w:rPr>
                <w:rFonts w:ascii="Times New Roman" w:hAnsi="Times New Roman" w:cs="Times New Roman"/>
                <w:color w:val="auto"/>
                <w:kern w:val="0"/>
                <w:sz w:val="21"/>
                <w:szCs w:val="21"/>
                <w:highlight w:val="none"/>
                <w:lang w:bidi="ar"/>
              </w:rPr>
              <w:t>控制器</w:t>
            </w:r>
            <w:r>
              <w:rPr>
                <w:rFonts w:hint="eastAsia" w:ascii="Times New Roman" w:hAnsi="Times New Roman" w:cs="Times New Roman"/>
                <w:color w:val="auto"/>
                <w:kern w:val="0"/>
                <w:sz w:val="21"/>
                <w:szCs w:val="21"/>
                <w:highlight w:val="none"/>
                <w:lang w:bidi="ar"/>
              </w:rPr>
              <w:t>（双通道，4G缓存，支持容错磁盘子系统管理功能）</w:t>
            </w:r>
            <w:r>
              <w:rPr>
                <w:rFonts w:ascii="Times New Roman" w:hAnsi="Times New Roman" w:cs="Times New Roman"/>
                <w:color w:val="auto"/>
                <w:kern w:val="0"/>
                <w:sz w:val="21"/>
                <w:szCs w:val="21"/>
                <w:highlight w:val="none"/>
                <w:lang w:bidi="ar"/>
              </w:rPr>
              <w:t>；</w:t>
            </w:r>
          </w:p>
          <w:p>
            <w:pPr>
              <w:pStyle w:val="22"/>
              <w:widowControl/>
              <w:ind w:firstLine="0" w:firstLineChars="0"/>
              <w:jc w:val="left"/>
              <w:textAlignment w:val="center"/>
              <w:rPr>
                <w:color w:val="auto"/>
                <w:sz w:val="21"/>
                <w:szCs w:val="21"/>
                <w:highlight w:val="none"/>
              </w:rPr>
            </w:pPr>
            <w:r>
              <w:rPr>
                <w:rFonts w:hint="eastAsia" w:ascii="Times New Roman" w:hAnsi="Times New Roman" w:cs="Times New Roman"/>
                <w:color w:val="auto"/>
                <w:kern w:val="0"/>
                <w:sz w:val="21"/>
                <w:szCs w:val="21"/>
                <w:highlight w:val="none"/>
                <w:lang w:bidi="ar"/>
              </w:rPr>
              <w:t>5.</w:t>
            </w:r>
            <w:r>
              <w:rPr>
                <w:rFonts w:ascii="Times New Roman" w:hAnsi="Times New Roman" w:cs="Times New Roman"/>
                <w:color w:val="auto"/>
                <w:kern w:val="0"/>
                <w:sz w:val="21"/>
                <w:szCs w:val="21"/>
                <w:highlight w:val="none"/>
                <w:lang w:bidi="ar"/>
              </w:rPr>
              <w:t>供应商成交后须提供原厂授权及质保文件。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446"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3</w:t>
            </w:r>
          </w:p>
        </w:tc>
        <w:tc>
          <w:tcPr>
            <w:tcW w:w="2444" w:type="dxa"/>
            <w:vAlign w:val="center"/>
          </w:tcPr>
          <w:p>
            <w:pPr>
              <w:widowControl/>
              <w:jc w:val="center"/>
              <w:textAlignment w:val="center"/>
              <w:rPr>
                <w:b/>
                <w:bCs/>
                <w:color w:val="auto"/>
                <w:kern w:val="0"/>
                <w:sz w:val="21"/>
                <w:szCs w:val="21"/>
                <w:highlight w:val="none"/>
                <w:lang w:bidi="ar"/>
              </w:rPr>
            </w:pPr>
            <w:r>
              <w:rPr>
                <w:rFonts w:hint="eastAsia"/>
                <w:b/>
                <w:bCs/>
                <w:color w:val="auto"/>
                <w:kern w:val="0"/>
                <w:sz w:val="21"/>
                <w:szCs w:val="21"/>
                <w:highlight w:val="none"/>
                <w:lang w:bidi="ar"/>
              </w:rPr>
              <w:t>外设与接口系统</w:t>
            </w:r>
          </w:p>
          <w:p>
            <w:pPr>
              <w:widowControl/>
              <w:jc w:val="center"/>
              <w:textAlignment w:val="center"/>
              <w:rPr>
                <w:b/>
                <w:bCs/>
                <w:color w:val="auto"/>
                <w:sz w:val="21"/>
                <w:szCs w:val="21"/>
                <w:highlight w:val="none"/>
              </w:rPr>
            </w:pPr>
            <w:r>
              <w:rPr>
                <w:rFonts w:hint="eastAsia"/>
                <w:b/>
                <w:bCs/>
                <w:color w:val="auto"/>
                <w:kern w:val="0"/>
                <w:sz w:val="21"/>
                <w:szCs w:val="21"/>
                <w:highlight w:val="none"/>
                <w:lang w:bidi="ar"/>
              </w:rPr>
              <w:t>（不允许采购进口产品）</w:t>
            </w:r>
          </w:p>
        </w:tc>
        <w:tc>
          <w:tcPr>
            <w:tcW w:w="495" w:type="dxa"/>
            <w:vAlign w:val="center"/>
          </w:tcPr>
          <w:p>
            <w:pPr>
              <w:widowControl/>
              <w:jc w:val="center"/>
              <w:textAlignment w:val="center"/>
              <w:rPr>
                <w:b/>
                <w:bCs/>
                <w:color w:val="auto"/>
                <w:sz w:val="21"/>
                <w:szCs w:val="21"/>
                <w:highlight w:val="none"/>
              </w:rPr>
            </w:pPr>
            <w:r>
              <w:rPr>
                <w:rFonts w:hint="eastAsia"/>
                <w:b/>
                <w:bCs/>
                <w:color w:val="auto"/>
                <w:kern w:val="0"/>
                <w:sz w:val="21"/>
                <w:szCs w:val="21"/>
                <w:highlight w:val="none"/>
                <w:lang w:bidi="ar"/>
              </w:rPr>
              <w:t>2</w:t>
            </w:r>
          </w:p>
        </w:tc>
        <w:tc>
          <w:tcPr>
            <w:tcW w:w="461"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套</w:t>
            </w:r>
          </w:p>
        </w:tc>
        <w:tc>
          <w:tcPr>
            <w:tcW w:w="6214" w:type="dxa"/>
            <w:vAlign w:val="center"/>
          </w:tcPr>
          <w:p>
            <w:pPr>
              <w:pStyle w:val="22"/>
              <w:widowControl/>
              <w:ind w:firstLine="0" w:firstLineChars="0"/>
              <w:jc w:val="left"/>
              <w:textAlignment w:val="center"/>
              <w:rPr>
                <w:rFonts w:ascii="Times New Roman" w:hAnsi="Times New Roman" w:cs="Times New Roman"/>
                <w:color w:val="auto"/>
                <w:kern w:val="0"/>
                <w:sz w:val="21"/>
                <w:szCs w:val="21"/>
                <w:highlight w:val="none"/>
                <w:lang w:bidi="ar"/>
              </w:rPr>
            </w:pPr>
            <w:r>
              <w:rPr>
                <w:rFonts w:hint="eastAsia" w:ascii="Times New Roman" w:hAnsi="Times New Roman" w:cs="Times New Roman"/>
                <w:color w:val="auto"/>
                <w:kern w:val="0"/>
                <w:sz w:val="21"/>
                <w:szCs w:val="21"/>
                <w:highlight w:val="none"/>
                <w:lang w:bidi="ar"/>
              </w:rPr>
              <w:t>1.</w:t>
            </w:r>
            <w:r>
              <w:rPr>
                <w:rFonts w:ascii="Times New Roman" w:hAnsi="Times New Roman" w:cs="Times New Roman"/>
                <w:color w:val="auto"/>
                <w:kern w:val="0"/>
                <w:sz w:val="21"/>
                <w:szCs w:val="21"/>
                <w:highlight w:val="none"/>
                <w:lang w:bidi="ar"/>
              </w:rPr>
              <w:t>散热器适用于 2 CPU + GPU/FPGA/Full Length 卡 配置；</w:t>
            </w:r>
          </w:p>
          <w:p>
            <w:pPr>
              <w:pStyle w:val="22"/>
              <w:widowControl/>
              <w:ind w:firstLine="0" w:firstLineChars="0"/>
              <w:jc w:val="left"/>
              <w:textAlignment w:val="center"/>
              <w:rPr>
                <w:rFonts w:ascii="Times New Roman" w:hAnsi="Times New Roman" w:cs="Times New Roman"/>
                <w:color w:val="auto"/>
                <w:kern w:val="0"/>
                <w:sz w:val="21"/>
                <w:szCs w:val="21"/>
                <w:highlight w:val="none"/>
                <w:lang w:bidi="ar"/>
              </w:rPr>
            </w:pPr>
            <w:r>
              <w:rPr>
                <w:rFonts w:hint="eastAsia" w:ascii="Times New Roman" w:hAnsi="Times New Roman" w:cs="Times New Roman"/>
                <w:color w:val="auto"/>
                <w:kern w:val="0"/>
                <w:sz w:val="21"/>
                <w:szCs w:val="21"/>
                <w:highlight w:val="none"/>
                <w:lang w:bidi="ar"/>
              </w:rPr>
              <w:t>2.</w:t>
            </w:r>
            <w:r>
              <w:rPr>
                <w:rFonts w:ascii="Times New Roman" w:hAnsi="Times New Roman" w:cs="Times New Roman"/>
                <w:color w:val="auto"/>
                <w:kern w:val="0"/>
                <w:sz w:val="21"/>
                <w:szCs w:val="21"/>
                <w:highlight w:val="none"/>
                <w:lang w:bidi="ar"/>
              </w:rPr>
              <w:t>电源线</w:t>
            </w:r>
            <w:r>
              <w:rPr>
                <w:rFonts w:hint="eastAsia" w:ascii="Times New Roman" w:hAnsi="Times New Roman" w:cs="Times New Roman"/>
                <w:color w:val="auto"/>
                <w:kern w:val="0"/>
                <w:sz w:val="21"/>
                <w:szCs w:val="21"/>
                <w:highlight w:val="none"/>
                <w:lang w:bidi="ar"/>
              </w:rPr>
              <w:t>：</w:t>
            </w:r>
            <w:r>
              <w:rPr>
                <w:rFonts w:ascii="Times New Roman" w:hAnsi="Times New Roman" w:cs="Times New Roman"/>
                <w:color w:val="auto"/>
                <w:kern w:val="0"/>
                <w:sz w:val="21"/>
                <w:szCs w:val="21"/>
                <w:highlight w:val="none"/>
                <w:lang w:bidi="ar"/>
              </w:rPr>
              <w:t>C13, 2M, 250V, 10A；</w:t>
            </w:r>
          </w:p>
          <w:p>
            <w:pPr>
              <w:pStyle w:val="22"/>
              <w:widowControl/>
              <w:ind w:firstLine="0" w:firstLineChars="0"/>
              <w:jc w:val="left"/>
              <w:textAlignment w:val="center"/>
              <w:rPr>
                <w:rFonts w:ascii="Times New Roman" w:hAnsi="Times New Roman" w:cs="Times New Roman"/>
                <w:color w:val="auto"/>
                <w:kern w:val="0"/>
                <w:sz w:val="21"/>
                <w:szCs w:val="21"/>
                <w:highlight w:val="none"/>
                <w:lang w:bidi="ar"/>
              </w:rPr>
            </w:pPr>
            <w:r>
              <w:rPr>
                <w:rFonts w:hint="eastAsia" w:ascii="Times New Roman" w:hAnsi="Times New Roman" w:cs="Times New Roman"/>
                <w:color w:val="auto"/>
                <w:kern w:val="0"/>
                <w:sz w:val="21"/>
                <w:szCs w:val="21"/>
                <w:highlight w:val="none"/>
                <w:lang w:bidi="ar"/>
              </w:rPr>
              <w:t>3.</w:t>
            </w:r>
            <w:r>
              <w:rPr>
                <w:rFonts w:ascii="Times New Roman" w:hAnsi="Times New Roman" w:cs="Times New Roman"/>
                <w:color w:val="auto"/>
                <w:kern w:val="0"/>
                <w:sz w:val="21"/>
                <w:szCs w:val="21"/>
                <w:highlight w:val="none"/>
                <w:lang w:bidi="ar"/>
              </w:rPr>
              <w:t>双冗余热插拔电源</w:t>
            </w:r>
            <w:r>
              <w:rPr>
                <w:rFonts w:hint="eastAsia" w:ascii="Times New Roman" w:hAnsi="Times New Roman" w:cs="Times New Roman"/>
                <w:color w:val="auto"/>
                <w:kern w:val="0"/>
                <w:sz w:val="21"/>
                <w:szCs w:val="21"/>
                <w:highlight w:val="none"/>
                <w:lang w:bidi="ar"/>
              </w:rPr>
              <w:t>，</w:t>
            </w:r>
            <w:r>
              <w:rPr>
                <w:rFonts w:ascii="Times New Roman" w:hAnsi="Times New Roman" w:cs="Times New Roman"/>
                <w:color w:val="auto"/>
                <w:kern w:val="0"/>
                <w:sz w:val="21"/>
                <w:szCs w:val="21"/>
                <w:highlight w:val="none"/>
                <w:lang w:bidi="ar"/>
              </w:rPr>
              <w:t>(1+1),1400W, Mixed Mode；</w:t>
            </w:r>
          </w:p>
          <w:p>
            <w:pPr>
              <w:pStyle w:val="22"/>
              <w:widowControl/>
              <w:ind w:firstLine="0" w:firstLineChars="0"/>
              <w:jc w:val="left"/>
              <w:textAlignment w:val="center"/>
              <w:rPr>
                <w:rFonts w:ascii="Times New Roman" w:hAnsi="Times New Roman" w:cs="Times New Roman"/>
                <w:color w:val="auto"/>
                <w:kern w:val="0"/>
                <w:sz w:val="21"/>
                <w:szCs w:val="21"/>
                <w:highlight w:val="none"/>
                <w:lang w:bidi="ar"/>
              </w:rPr>
            </w:pPr>
            <w:r>
              <w:rPr>
                <w:rFonts w:hint="eastAsia" w:ascii="Times New Roman" w:hAnsi="Times New Roman" w:cs="Times New Roman"/>
                <w:color w:val="auto"/>
                <w:kern w:val="0"/>
                <w:sz w:val="21"/>
                <w:szCs w:val="21"/>
                <w:highlight w:val="none"/>
                <w:lang w:bidi="ar"/>
              </w:rPr>
              <w:t>4.</w:t>
            </w:r>
            <w:r>
              <w:rPr>
                <w:rFonts w:ascii="Times New Roman" w:hAnsi="Times New Roman" w:cs="Times New Roman"/>
                <w:color w:val="auto"/>
                <w:kern w:val="0"/>
                <w:sz w:val="21"/>
                <w:szCs w:val="21"/>
                <w:highlight w:val="none"/>
                <w:lang w:bidi="ar"/>
              </w:rPr>
              <w:t>CS2.0 Tollfree数字标签用于 IT-ESG；</w:t>
            </w:r>
          </w:p>
          <w:p>
            <w:pPr>
              <w:pStyle w:val="22"/>
              <w:widowControl/>
              <w:ind w:firstLine="0" w:firstLineChars="0"/>
              <w:jc w:val="left"/>
              <w:textAlignment w:val="center"/>
              <w:rPr>
                <w:rFonts w:ascii="Times New Roman" w:hAnsi="Times New Roman" w:cs="Times New Roman"/>
                <w:color w:val="auto"/>
                <w:kern w:val="0"/>
                <w:sz w:val="21"/>
                <w:szCs w:val="21"/>
                <w:highlight w:val="none"/>
                <w:lang w:bidi="ar"/>
              </w:rPr>
            </w:pPr>
            <w:r>
              <w:rPr>
                <w:rFonts w:hint="eastAsia" w:ascii="Times New Roman" w:hAnsi="Times New Roman" w:cs="Times New Roman"/>
                <w:color w:val="auto"/>
                <w:kern w:val="0"/>
                <w:sz w:val="21"/>
                <w:szCs w:val="21"/>
                <w:highlight w:val="none"/>
                <w:lang w:bidi="ar"/>
              </w:rPr>
              <w:t>5.</w:t>
            </w:r>
            <w:r>
              <w:rPr>
                <w:rFonts w:ascii="Times New Roman" w:hAnsi="Times New Roman" w:cs="Times New Roman"/>
                <w:color w:val="auto"/>
                <w:kern w:val="0"/>
                <w:sz w:val="21"/>
                <w:szCs w:val="21"/>
                <w:highlight w:val="none"/>
                <w:lang w:bidi="ar"/>
              </w:rPr>
              <w:t>Broadcom 57414 双端口 10/25GbE SFP28, OCP NIC 3.0；</w:t>
            </w:r>
            <w:r>
              <w:rPr>
                <w:rFonts w:hint="eastAsia" w:ascii="Times New Roman" w:hAnsi="Times New Roman" w:cs="Times New Roman"/>
                <w:color w:val="auto"/>
                <w:kern w:val="0"/>
                <w:sz w:val="21"/>
                <w:szCs w:val="21"/>
                <w:highlight w:val="none"/>
                <w:lang w:bidi="ar"/>
              </w:rPr>
              <w:t>9.</w:t>
            </w:r>
            <w:r>
              <w:rPr>
                <w:rFonts w:ascii="Times New Roman" w:hAnsi="Times New Roman" w:cs="Times New Roman"/>
                <w:color w:val="auto"/>
                <w:kern w:val="0"/>
                <w:sz w:val="21"/>
                <w:szCs w:val="21"/>
                <w:highlight w:val="none"/>
                <w:lang w:bidi="ar"/>
              </w:rPr>
              <w:t>滑动导轨；</w:t>
            </w:r>
          </w:p>
          <w:p>
            <w:pPr>
              <w:pStyle w:val="22"/>
              <w:widowControl/>
              <w:ind w:firstLine="0" w:firstLineChars="0"/>
              <w:jc w:val="left"/>
              <w:textAlignment w:val="center"/>
              <w:rPr>
                <w:rFonts w:ascii="Times New Roman" w:hAnsi="Times New Roman" w:cs="Times New Roman"/>
                <w:color w:val="auto"/>
                <w:kern w:val="0"/>
                <w:sz w:val="21"/>
                <w:szCs w:val="21"/>
                <w:highlight w:val="none"/>
                <w:lang w:bidi="ar"/>
              </w:rPr>
            </w:pPr>
            <w:r>
              <w:rPr>
                <w:rFonts w:hint="eastAsia" w:ascii="Times New Roman" w:hAnsi="Times New Roman" w:cs="Times New Roman"/>
                <w:color w:val="auto"/>
                <w:kern w:val="0"/>
                <w:sz w:val="21"/>
                <w:szCs w:val="21"/>
                <w:highlight w:val="none"/>
                <w:lang w:bidi="ar"/>
              </w:rPr>
              <w:t>6.</w:t>
            </w:r>
            <w:r>
              <w:rPr>
                <w:rFonts w:ascii="Times New Roman" w:hAnsi="Times New Roman" w:cs="Times New Roman"/>
                <w:color w:val="auto"/>
                <w:kern w:val="0"/>
                <w:sz w:val="21"/>
                <w:szCs w:val="21"/>
                <w:highlight w:val="none"/>
                <w:lang w:bidi="ar"/>
              </w:rPr>
              <w:t>Onboard 网络 4端口 MAC 地址标签；</w:t>
            </w:r>
          </w:p>
          <w:p>
            <w:pPr>
              <w:pStyle w:val="22"/>
              <w:widowControl/>
              <w:ind w:firstLine="0" w:firstLineChars="0"/>
              <w:jc w:val="left"/>
              <w:textAlignment w:val="center"/>
              <w:rPr>
                <w:rFonts w:ascii="Times New Roman" w:hAnsi="Times New Roman" w:cs="Times New Roman"/>
                <w:color w:val="auto"/>
                <w:kern w:val="0"/>
                <w:sz w:val="21"/>
                <w:szCs w:val="21"/>
                <w:highlight w:val="none"/>
                <w:lang w:bidi="ar"/>
              </w:rPr>
            </w:pPr>
            <w:r>
              <w:rPr>
                <w:rFonts w:hint="eastAsia" w:ascii="Times New Roman" w:hAnsi="Times New Roman" w:cs="Times New Roman"/>
                <w:color w:val="auto"/>
                <w:kern w:val="0"/>
                <w:sz w:val="21"/>
                <w:szCs w:val="21"/>
                <w:highlight w:val="none"/>
                <w:lang w:bidi="ar"/>
              </w:rPr>
              <w:t>7.</w:t>
            </w:r>
            <w:r>
              <w:rPr>
                <w:rFonts w:ascii="Times New Roman" w:hAnsi="Times New Roman" w:cs="Times New Roman"/>
                <w:color w:val="auto"/>
                <w:kern w:val="0"/>
                <w:sz w:val="21"/>
                <w:szCs w:val="21"/>
                <w:highlight w:val="none"/>
                <w:lang w:bidi="ar"/>
              </w:rPr>
              <w:t>供应商成交后须提供原厂授权及质保文件</w:t>
            </w:r>
            <w:r>
              <w:rPr>
                <w:rFonts w:hint="eastAsia" w:ascii="Times New Roman" w:hAnsi="Times New Roman" w:cs="Times New Roman"/>
                <w:color w:val="auto"/>
                <w:kern w:val="0"/>
                <w:sz w:val="21"/>
                <w:szCs w:val="21"/>
                <w:highlight w:val="none"/>
                <w:lang w:bidi="ar"/>
              </w:rPr>
              <w:t>；</w:t>
            </w:r>
          </w:p>
          <w:p>
            <w:pPr>
              <w:pStyle w:val="22"/>
              <w:widowControl/>
              <w:ind w:firstLine="0" w:firstLineChars="0"/>
              <w:jc w:val="left"/>
              <w:textAlignment w:val="center"/>
              <w:rPr>
                <w:rFonts w:ascii="Times New Roman" w:hAnsi="Times New Roman" w:cs="Times New Roman"/>
                <w:color w:val="auto"/>
                <w:sz w:val="21"/>
                <w:szCs w:val="21"/>
                <w:highlight w:val="none"/>
              </w:rPr>
            </w:pPr>
            <w:r>
              <w:rPr>
                <w:rFonts w:hint="eastAsia"/>
                <w:b/>
                <w:bCs/>
                <w:color w:val="auto"/>
                <w:kern w:val="0"/>
                <w:sz w:val="21"/>
                <w:szCs w:val="21"/>
                <w:highlight w:val="none"/>
                <w:lang w:bidi="ar"/>
              </w:rPr>
              <w:t>▲</w:t>
            </w:r>
            <w:r>
              <w:rPr>
                <w:rFonts w:hint="eastAsia" w:ascii="Times New Roman" w:hAnsi="Times New Roman" w:cs="Times New Roman"/>
                <w:b/>
                <w:bCs/>
                <w:color w:val="auto"/>
                <w:kern w:val="0"/>
                <w:sz w:val="21"/>
                <w:szCs w:val="21"/>
                <w:highlight w:val="none"/>
                <w:lang w:bidi="ar"/>
              </w:rPr>
              <w:t>8.数据处理卡、数据存储系统、外设与接口系统应支持组装使用，供应商应提供组装服务。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446"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4</w:t>
            </w:r>
          </w:p>
        </w:tc>
        <w:tc>
          <w:tcPr>
            <w:tcW w:w="2444" w:type="dxa"/>
            <w:vAlign w:val="center"/>
          </w:tcPr>
          <w:p>
            <w:pPr>
              <w:widowControl/>
              <w:jc w:val="center"/>
              <w:textAlignment w:val="center"/>
              <w:rPr>
                <w:b/>
                <w:bCs/>
                <w:color w:val="auto"/>
                <w:kern w:val="0"/>
                <w:sz w:val="21"/>
                <w:szCs w:val="21"/>
                <w:highlight w:val="none"/>
                <w:lang w:bidi="ar"/>
              </w:rPr>
            </w:pPr>
            <w:r>
              <w:rPr>
                <w:rFonts w:hint="eastAsia"/>
                <w:b/>
                <w:bCs/>
                <w:color w:val="auto"/>
                <w:kern w:val="0"/>
                <w:sz w:val="21"/>
                <w:szCs w:val="21"/>
                <w:highlight w:val="none"/>
                <w:lang w:bidi="ar"/>
              </w:rPr>
              <w:t>DataNode服务器</w:t>
            </w:r>
          </w:p>
          <w:p>
            <w:pPr>
              <w:widowControl/>
              <w:jc w:val="center"/>
              <w:textAlignment w:val="center"/>
              <w:rPr>
                <w:b/>
                <w:bCs/>
                <w:color w:val="auto"/>
                <w:sz w:val="21"/>
                <w:szCs w:val="21"/>
                <w:highlight w:val="none"/>
              </w:rPr>
            </w:pPr>
            <w:r>
              <w:rPr>
                <w:rFonts w:hint="eastAsia"/>
                <w:b/>
                <w:bCs/>
                <w:color w:val="auto"/>
                <w:kern w:val="0"/>
                <w:sz w:val="21"/>
                <w:szCs w:val="21"/>
                <w:highlight w:val="none"/>
                <w:lang w:bidi="ar"/>
              </w:rPr>
              <w:t>（不允许采购进口产品）</w:t>
            </w:r>
          </w:p>
        </w:tc>
        <w:tc>
          <w:tcPr>
            <w:tcW w:w="495" w:type="dxa"/>
            <w:vAlign w:val="center"/>
          </w:tcPr>
          <w:p>
            <w:pPr>
              <w:widowControl/>
              <w:jc w:val="center"/>
              <w:textAlignment w:val="center"/>
              <w:rPr>
                <w:b/>
                <w:bCs/>
                <w:color w:val="auto"/>
                <w:sz w:val="21"/>
                <w:szCs w:val="21"/>
                <w:highlight w:val="none"/>
              </w:rPr>
            </w:pPr>
            <w:r>
              <w:rPr>
                <w:rFonts w:hint="eastAsia"/>
                <w:b/>
                <w:bCs/>
                <w:color w:val="auto"/>
                <w:kern w:val="0"/>
                <w:sz w:val="21"/>
                <w:szCs w:val="21"/>
                <w:highlight w:val="none"/>
                <w:lang w:bidi="ar"/>
              </w:rPr>
              <w:t>10</w:t>
            </w:r>
          </w:p>
        </w:tc>
        <w:tc>
          <w:tcPr>
            <w:tcW w:w="461"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套</w:t>
            </w:r>
          </w:p>
        </w:tc>
        <w:tc>
          <w:tcPr>
            <w:tcW w:w="6214" w:type="dxa"/>
            <w:vAlign w:val="center"/>
          </w:tcPr>
          <w:p>
            <w:pPr>
              <w:pStyle w:val="22"/>
              <w:widowControl/>
              <w:ind w:firstLine="0" w:firstLineChars="0"/>
              <w:jc w:val="left"/>
              <w:textAlignment w:val="center"/>
              <w:rPr>
                <w:rFonts w:ascii="Times New Roman" w:hAnsi="Times New Roman" w:cs="Times New Roman"/>
                <w:color w:val="auto"/>
                <w:sz w:val="21"/>
                <w:szCs w:val="21"/>
                <w:highlight w:val="none"/>
              </w:rPr>
            </w:pPr>
            <w:r>
              <w:rPr>
                <w:rFonts w:hint="eastAsia" w:ascii="Times New Roman" w:hAnsi="Times New Roman" w:cs="Times New Roman"/>
                <w:color w:val="auto"/>
                <w:kern w:val="0"/>
                <w:sz w:val="21"/>
                <w:szCs w:val="21"/>
                <w:highlight w:val="none"/>
                <w:lang w:bidi="ar"/>
              </w:rPr>
              <w:t>1.</w:t>
            </w:r>
            <w:r>
              <w:rPr>
                <w:rFonts w:ascii="Times New Roman" w:hAnsi="Times New Roman" w:cs="Times New Roman"/>
                <w:color w:val="auto"/>
                <w:kern w:val="0"/>
                <w:sz w:val="21"/>
                <w:szCs w:val="21"/>
                <w:highlight w:val="none"/>
                <w:lang w:bidi="ar"/>
              </w:rPr>
              <w:t>2U 标准面板；</w:t>
            </w:r>
          </w:p>
          <w:p>
            <w:pPr>
              <w:pStyle w:val="22"/>
              <w:widowControl/>
              <w:ind w:firstLine="0" w:firstLineChars="0"/>
              <w:jc w:val="left"/>
              <w:textAlignment w:val="center"/>
              <w:rPr>
                <w:rFonts w:ascii="Times New Roman" w:hAnsi="Times New Roman" w:cs="Times New Roman"/>
                <w:color w:val="auto"/>
                <w:sz w:val="21"/>
                <w:szCs w:val="21"/>
                <w:highlight w:val="none"/>
              </w:rPr>
            </w:pPr>
            <w:r>
              <w:rPr>
                <w:rFonts w:hint="eastAsia" w:ascii="Times New Roman" w:hAnsi="Times New Roman" w:cs="Times New Roman"/>
                <w:color w:val="auto"/>
                <w:kern w:val="0"/>
                <w:sz w:val="21"/>
                <w:szCs w:val="21"/>
                <w:highlight w:val="none"/>
                <w:lang w:bidi="ar"/>
              </w:rPr>
              <w:t>2.</w:t>
            </w:r>
            <w:r>
              <w:rPr>
                <w:rFonts w:ascii="Times New Roman" w:hAnsi="Times New Roman" w:cs="Times New Roman"/>
                <w:color w:val="auto"/>
                <w:kern w:val="0"/>
                <w:sz w:val="21"/>
                <w:szCs w:val="21"/>
                <w:highlight w:val="none"/>
                <w:lang w:bidi="ar"/>
              </w:rPr>
              <w:t>机箱含 8个 3.5英寸 SAS/SATA 硬盘, 适用于 2CPU 配置；</w:t>
            </w:r>
          </w:p>
          <w:p>
            <w:pPr>
              <w:pStyle w:val="22"/>
              <w:widowControl/>
              <w:ind w:firstLine="0" w:firstLineChars="0"/>
              <w:jc w:val="left"/>
              <w:textAlignment w:val="center"/>
              <w:rPr>
                <w:rFonts w:ascii="Times New Roman" w:hAnsi="Times New Roman" w:cs="Times New Roman"/>
                <w:color w:val="auto"/>
                <w:sz w:val="21"/>
                <w:szCs w:val="21"/>
                <w:highlight w:val="none"/>
              </w:rPr>
            </w:pPr>
            <w:r>
              <w:rPr>
                <w:rFonts w:hint="eastAsia" w:ascii="Times New Roman" w:hAnsi="Times New Roman" w:cs="Times New Roman"/>
                <w:color w:val="auto"/>
                <w:kern w:val="0"/>
                <w:sz w:val="21"/>
                <w:szCs w:val="21"/>
                <w:highlight w:val="none"/>
                <w:lang w:bidi="ar"/>
              </w:rPr>
              <w:t>3.CPU性能不低于</w:t>
            </w:r>
            <w:r>
              <w:rPr>
                <w:rFonts w:ascii="Times New Roman" w:hAnsi="Times New Roman" w:cs="Times New Roman"/>
                <w:color w:val="auto"/>
                <w:kern w:val="0"/>
                <w:sz w:val="21"/>
                <w:szCs w:val="21"/>
                <w:highlight w:val="none"/>
                <w:lang w:bidi="ar"/>
              </w:rPr>
              <w:t>英特尔至强银牌 4214R*2（16.5M一级缓存）；</w:t>
            </w:r>
          </w:p>
          <w:p>
            <w:pPr>
              <w:pStyle w:val="22"/>
              <w:widowControl/>
              <w:ind w:firstLine="0" w:firstLineChars="0"/>
              <w:jc w:val="left"/>
              <w:textAlignment w:val="center"/>
              <w:rPr>
                <w:rFonts w:ascii="Times New Roman" w:hAnsi="Times New Roman" w:cs="Times New Roman"/>
                <w:color w:val="auto"/>
                <w:sz w:val="21"/>
                <w:szCs w:val="21"/>
                <w:highlight w:val="none"/>
              </w:rPr>
            </w:pPr>
            <w:r>
              <w:rPr>
                <w:rFonts w:hint="eastAsia" w:ascii="Times New Roman" w:hAnsi="Times New Roman" w:cs="Times New Roman"/>
                <w:color w:val="auto"/>
                <w:kern w:val="0"/>
                <w:sz w:val="21"/>
                <w:szCs w:val="21"/>
                <w:highlight w:val="none"/>
                <w:lang w:bidi="ar"/>
              </w:rPr>
              <w:t>4.</w:t>
            </w:r>
            <w:r>
              <w:rPr>
                <w:rFonts w:ascii="Times New Roman" w:hAnsi="Times New Roman" w:cs="Times New Roman"/>
                <w:color w:val="auto"/>
                <w:kern w:val="0"/>
                <w:sz w:val="21"/>
                <w:szCs w:val="21"/>
                <w:highlight w:val="none"/>
                <w:lang w:bidi="ar"/>
              </w:rPr>
              <w:t>64GB 4通道ECC DDR4；</w:t>
            </w:r>
          </w:p>
          <w:p>
            <w:pPr>
              <w:pStyle w:val="22"/>
              <w:widowControl/>
              <w:ind w:firstLine="0" w:firstLineChars="0"/>
              <w:jc w:val="left"/>
              <w:textAlignment w:val="center"/>
              <w:rPr>
                <w:rFonts w:ascii="Times New Roman" w:hAnsi="Times New Roman" w:cs="Times New Roman"/>
                <w:color w:val="auto"/>
                <w:sz w:val="21"/>
                <w:szCs w:val="21"/>
                <w:highlight w:val="none"/>
              </w:rPr>
            </w:pPr>
            <w:r>
              <w:rPr>
                <w:rFonts w:hint="eastAsia" w:ascii="Times New Roman" w:hAnsi="Times New Roman" w:cs="Times New Roman"/>
                <w:color w:val="auto"/>
                <w:kern w:val="0"/>
                <w:sz w:val="21"/>
                <w:szCs w:val="21"/>
                <w:highlight w:val="none"/>
                <w:lang w:bidi="ar"/>
              </w:rPr>
              <w:t>5.</w:t>
            </w:r>
            <w:r>
              <w:rPr>
                <w:rFonts w:ascii="Times New Roman" w:hAnsi="Times New Roman" w:cs="Times New Roman"/>
                <w:color w:val="auto"/>
                <w:kern w:val="0"/>
                <w:sz w:val="21"/>
                <w:szCs w:val="21"/>
                <w:highlight w:val="none"/>
                <w:lang w:bidi="ar"/>
              </w:rPr>
              <w:t>480GB 固态硬盘 SATA 读取密集型 6Gbps（硬盘1）；</w:t>
            </w:r>
          </w:p>
          <w:p>
            <w:pPr>
              <w:pStyle w:val="22"/>
              <w:widowControl/>
              <w:ind w:firstLine="0" w:firstLineChars="0"/>
              <w:jc w:val="left"/>
              <w:textAlignment w:val="center"/>
              <w:rPr>
                <w:rFonts w:hint="eastAsia" w:ascii="Times New Roman" w:hAnsi="Times New Roman" w:cs="Times New Roman"/>
                <w:color w:val="auto"/>
                <w:sz w:val="21"/>
                <w:szCs w:val="21"/>
                <w:highlight w:val="none"/>
              </w:rPr>
            </w:pPr>
            <w:r>
              <w:rPr>
                <w:rFonts w:hint="eastAsia" w:ascii="Times New Roman" w:hAnsi="Times New Roman" w:cs="Times New Roman"/>
                <w:color w:val="auto"/>
                <w:kern w:val="0"/>
                <w:sz w:val="21"/>
                <w:szCs w:val="21"/>
                <w:highlight w:val="none"/>
                <w:lang w:bidi="ar"/>
              </w:rPr>
              <w:t>6.</w:t>
            </w:r>
            <w:r>
              <w:rPr>
                <w:rFonts w:ascii="Times New Roman" w:hAnsi="Times New Roman" w:cs="Times New Roman"/>
                <w:color w:val="auto"/>
                <w:kern w:val="0"/>
                <w:sz w:val="21"/>
                <w:szCs w:val="21"/>
                <w:highlight w:val="none"/>
                <w:lang w:bidi="ar"/>
              </w:rPr>
              <w:t>2.4TB*7 10000RPM SAS 12Gbps机械硬盘（硬盘2）；</w:t>
            </w:r>
          </w:p>
          <w:p>
            <w:pPr>
              <w:pStyle w:val="22"/>
              <w:widowControl/>
              <w:ind w:firstLine="0" w:firstLineChars="0"/>
              <w:jc w:val="left"/>
              <w:textAlignment w:val="center"/>
              <w:rPr>
                <w:rFonts w:ascii="Times New Roman" w:hAnsi="Times New Roman" w:cs="Times New Roman"/>
                <w:color w:val="auto"/>
                <w:sz w:val="21"/>
                <w:szCs w:val="21"/>
                <w:highlight w:val="none"/>
              </w:rPr>
            </w:pPr>
            <w:r>
              <w:rPr>
                <w:rFonts w:hint="eastAsia" w:ascii="Times New Roman" w:hAnsi="Times New Roman" w:cs="Times New Roman"/>
                <w:color w:val="auto"/>
                <w:kern w:val="0"/>
                <w:sz w:val="21"/>
                <w:szCs w:val="21"/>
                <w:highlight w:val="none"/>
                <w:lang w:bidi="ar"/>
              </w:rPr>
              <w:t>7.含RAID控制器（</w:t>
            </w:r>
            <w:r>
              <w:rPr>
                <w:rFonts w:ascii="Times New Roman" w:hAnsi="Times New Roman" w:cs="Times New Roman"/>
                <w:color w:val="auto"/>
                <w:kern w:val="0"/>
                <w:sz w:val="21"/>
                <w:szCs w:val="21"/>
                <w:highlight w:val="none"/>
                <w:lang w:bidi="ar"/>
              </w:rPr>
              <w:t>2GB NV 缓存</w:t>
            </w:r>
            <w:r>
              <w:rPr>
                <w:rFonts w:hint="eastAsia" w:ascii="Times New Roman" w:hAnsi="Times New Roman" w:cs="Times New Roman"/>
                <w:color w:val="auto"/>
                <w:kern w:val="0"/>
                <w:sz w:val="21"/>
                <w:szCs w:val="21"/>
                <w:highlight w:val="none"/>
                <w:lang w:bidi="ar"/>
              </w:rPr>
              <w:t>，</w:t>
            </w:r>
            <w:r>
              <w:rPr>
                <w:rFonts w:ascii="Times New Roman" w:hAnsi="Times New Roman" w:cs="Times New Roman"/>
                <w:color w:val="auto"/>
                <w:kern w:val="0"/>
                <w:sz w:val="21"/>
                <w:szCs w:val="21"/>
                <w:highlight w:val="none"/>
                <w:lang w:bidi="ar"/>
              </w:rPr>
              <w:t>SATA 6Gb/s</w:t>
            </w:r>
            <w:r>
              <w:rPr>
                <w:rFonts w:hint="eastAsia" w:ascii="Times New Roman" w:hAnsi="Times New Roman" w:cs="Times New Roman"/>
                <w:color w:val="auto"/>
                <w:kern w:val="0"/>
                <w:sz w:val="21"/>
                <w:szCs w:val="21"/>
                <w:highlight w:val="none"/>
                <w:lang w:bidi="ar"/>
              </w:rPr>
              <w:t xml:space="preserve">, </w:t>
            </w:r>
            <w:r>
              <w:rPr>
                <w:rFonts w:ascii="Times New Roman" w:hAnsi="Times New Roman" w:cs="Times New Roman"/>
                <w:color w:val="auto"/>
                <w:kern w:val="0"/>
                <w:sz w:val="21"/>
                <w:szCs w:val="21"/>
                <w:highlight w:val="none"/>
                <w:lang w:bidi="ar"/>
              </w:rPr>
              <w:t>SAS 12Gb/s</w:t>
            </w:r>
            <w:r>
              <w:rPr>
                <w:rFonts w:hint="eastAsia" w:ascii="Times New Roman" w:hAnsi="Times New Roman" w:cs="Times New Roman"/>
                <w:color w:val="auto"/>
                <w:kern w:val="0"/>
                <w:sz w:val="21"/>
                <w:szCs w:val="21"/>
                <w:highlight w:val="none"/>
                <w:lang w:bidi="ar"/>
              </w:rPr>
              <w:t>, 支持RAID 0/1/5/6/10/50/60, 数据传输速率</w:t>
            </w:r>
            <w:r>
              <w:rPr>
                <w:rFonts w:ascii="Times New Roman" w:hAnsi="Times New Roman" w:cs="Times New Roman"/>
                <w:color w:val="auto"/>
                <w:kern w:val="0"/>
                <w:sz w:val="21"/>
                <w:szCs w:val="21"/>
                <w:highlight w:val="none"/>
                <w:lang w:bidi="ar"/>
              </w:rPr>
              <w:t>12 Gbit/s</w:t>
            </w:r>
            <w:r>
              <w:rPr>
                <w:rFonts w:hint="eastAsia" w:ascii="Times New Roman" w:hAnsi="Times New Roman" w:cs="Times New Roman"/>
                <w:color w:val="auto"/>
                <w:kern w:val="0"/>
                <w:sz w:val="21"/>
                <w:szCs w:val="21"/>
                <w:highlight w:val="none"/>
                <w:lang w:bidi="ar"/>
              </w:rPr>
              <w:t>）</w:t>
            </w:r>
            <w:r>
              <w:rPr>
                <w:rFonts w:ascii="Times New Roman" w:hAnsi="Times New Roman" w:cs="Times New Roman"/>
                <w:color w:val="auto"/>
                <w:kern w:val="0"/>
                <w:sz w:val="21"/>
                <w:szCs w:val="21"/>
                <w:highlight w:val="none"/>
                <w:lang w:bidi="ar"/>
              </w:rPr>
              <w:t>,半高双冗余热插拔电源(1+1), 750瓦；</w:t>
            </w:r>
          </w:p>
          <w:p>
            <w:pPr>
              <w:pStyle w:val="22"/>
              <w:widowControl/>
              <w:ind w:firstLine="0" w:firstLineChars="0"/>
              <w:jc w:val="left"/>
              <w:textAlignment w:val="center"/>
              <w:rPr>
                <w:rFonts w:ascii="Times New Roman" w:hAnsi="Times New Roman" w:cs="Times New Roman"/>
                <w:color w:val="auto"/>
                <w:sz w:val="21"/>
                <w:szCs w:val="21"/>
                <w:highlight w:val="none"/>
              </w:rPr>
            </w:pPr>
            <w:r>
              <w:rPr>
                <w:rFonts w:hint="eastAsia" w:ascii="Times New Roman" w:hAnsi="Times New Roman" w:cs="Times New Roman"/>
                <w:color w:val="auto"/>
                <w:kern w:val="0"/>
                <w:sz w:val="21"/>
                <w:szCs w:val="21"/>
                <w:highlight w:val="none"/>
                <w:lang w:bidi="ar"/>
              </w:rPr>
              <w:t>8.</w:t>
            </w:r>
            <w:r>
              <w:rPr>
                <w:rFonts w:ascii="Times New Roman" w:hAnsi="Times New Roman" w:cs="Times New Roman"/>
                <w:color w:val="auto"/>
                <w:kern w:val="0"/>
                <w:sz w:val="21"/>
                <w:szCs w:val="21"/>
                <w:highlight w:val="none"/>
                <w:lang w:bidi="ar"/>
              </w:rPr>
              <w:t>Broadcom 5720 四端口 1GbE BASE-T, rNDC（网卡1）；</w:t>
            </w:r>
          </w:p>
          <w:p>
            <w:pPr>
              <w:pStyle w:val="22"/>
              <w:widowControl/>
              <w:ind w:firstLine="0" w:firstLineChars="0"/>
              <w:jc w:val="left"/>
              <w:textAlignment w:val="center"/>
              <w:rPr>
                <w:rFonts w:ascii="Times New Roman" w:hAnsi="Times New Roman" w:cs="Times New Roman"/>
                <w:color w:val="auto"/>
                <w:sz w:val="21"/>
                <w:szCs w:val="21"/>
                <w:highlight w:val="none"/>
              </w:rPr>
            </w:pPr>
            <w:r>
              <w:rPr>
                <w:rFonts w:hint="eastAsia" w:ascii="Times New Roman" w:hAnsi="Times New Roman" w:cs="Times New Roman"/>
                <w:color w:val="auto"/>
                <w:kern w:val="0"/>
                <w:sz w:val="21"/>
                <w:szCs w:val="21"/>
                <w:highlight w:val="none"/>
                <w:lang w:bidi="ar"/>
              </w:rPr>
              <w:t>9.</w:t>
            </w:r>
            <w:r>
              <w:rPr>
                <w:rFonts w:ascii="Times New Roman" w:hAnsi="Times New Roman" w:cs="Times New Roman"/>
                <w:color w:val="auto"/>
                <w:kern w:val="0"/>
                <w:sz w:val="21"/>
                <w:szCs w:val="21"/>
                <w:highlight w:val="none"/>
                <w:lang w:bidi="ar"/>
              </w:rPr>
              <w:t>Broadcom 57414 双端口 10/25GbE SFP28 适配器（网卡2）；</w:t>
            </w:r>
          </w:p>
          <w:p>
            <w:pPr>
              <w:pStyle w:val="22"/>
              <w:widowControl/>
              <w:ind w:firstLine="0" w:firstLineChars="0"/>
              <w:jc w:val="left"/>
              <w:textAlignment w:val="center"/>
              <w:rPr>
                <w:rFonts w:ascii="Times New Roman" w:hAnsi="Times New Roman" w:cs="Times New Roman"/>
                <w:color w:val="auto"/>
                <w:sz w:val="21"/>
                <w:szCs w:val="21"/>
                <w:highlight w:val="none"/>
              </w:rPr>
            </w:pPr>
            <w:r>
              <w:rPr>
                <w:rFonts w:hint="eastAsia" w:ascii="Times New Roman" w:hAnsi="Times New Roman" w:cs="Times New Roman"/>
                <w:color w:val="auto"/>
                <w:kern w:val="0"/>
                <w:sz w:val="21"/>
                <w:szCs w:val="21"/>
                <w:highlight w:val="none"/>
                <w:lang w:bidi="ar"/>
              </w:rPr>
              <w:t>10.</w:t>
            </w:r>
            <w:r>
              <w:rPr>
                <w:rFonts w:ascii="Times New Roman" w:hAnsi="Times New Roman" w:cs="Times New Roman"/>
                <w:color w:val="auto"/>
                <w:kern w:val="0"/>
                <w:sz w:val="21"/>
                <w:szCs w:val="21"/>
                <w:highlight w:val="none"/>
                <w:lang w:bidi="ar"/>
              </w:rPr>
              <w:t>供应商成交后须提供原厂授权及质保文件。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446"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5</w:t>
            </w:r>
          </w:p>
        </w:tc>
        <w:tc>
          <w:tcPr>
            <w:tcW w:w="2444" w:type="dxa"/>
            <w:vAlign w:val="center"/>
          </w:tcPr>
          <w:p>
            <w:pPr>
              <w:widowControl/>
              <w:jc w:val="center"/>
              <w:textAlignment w:val="center"/>
              <w:rPr>
                <w:b/>
                <w:bCs/>
                <w:color w:val="auto"/>
                <w:kern w:val="0"/>
                <w:sz w:val="21"/>
                <w:szCs w:val="21"/>
                <w:highlight w:val="none"/>
                <w:lang w:bidi="ar"/>
              </w:rPr>
            </w:pPr>
            <w:r>
              <w:rPr>
                <w:rFonts w:hint="eastAsia"/>
                <w:b/>
                <w:bCs/>
                <w:color w:val="auto"/>
                <w:kern w:val="0"/>
                <w:sz w:val="21"/>
                <w:szCs w:val="21"/>
                <w:highlight w:val="none"/>
                <w:lang w:bidi="ar"/>
              </w:rPr>
              <w:t>交换机</w:t>
            </w:r>
          </w:p>
          <w:p>
            <w:pPr>
              <w:widowControl/>
              <w:jc w:val="center"/>
              <w:textAlignment w:val="center"/>
              <w:rPr>
                <w:b/>
                <w:bCs/>
                <w:color w:val="auto"/>
                <w:sz w:val="21"/>
                <w:szCs w:val="21"/>
                <w:highlight w:val="none"/>
              </w:rPr>
            </w:pPr>
            <w:r>
              <w:rPr>
                <w:rFonts w:hint="eastAsia"/>
                <w:b/>
                <w:bCs/>
                <w:color w:val="auto"/>
                <w:kern w:val="0"/>
                <w:sz w:val="21"/>
                <w:szCs w:val="21"/>
                <w:highlight w:val="none"/>
                <w:lang w:bidi="ar"/>
              </w:rPr>
              <w:t>（不允许采购进口产品）</w:t>
            </w:r>
          </w:p>
        </w:tc>
        <w:tc>
          <w:tcPr>
            <w:tcW w:w="495" w:type="dxa"/>
            <w:vAlign w:val="center"/>
          </w:tcPr>
          <w:p>
            <w:pPr>
              <w:widowControl/>
              <w:jc w:val="center"/>
              <w:textAlignment w:val="center"/>
              <w:rPr>
                <w:b/>
                <w:bCs/>
                <w:color w:val="auto"/>
                <w:sz w:val="21"/>
                <w:szCs w:val="21"/>
                <w:highlight w:val="none"/>
              </w:rPr>
            </w:pPr>
            <w:r>
              <w:rPr>
                <w:rFonts w:hint="eastAsia"/>
                <w:b/>
                <w:bCs/>
                <w:color w:val="auto"/>
                <w:kern w:val="0"/>
                <w:sz w:val="21"/>
                <w:szCs w:val="21"/>
                <w:highlight w:val="none"/>
                <w:lang w:bidi="ar"/>
              </w:rPr>
              <w:t>4</w:t>
            </w:r>
          </w:p>
        </w:tc>
        <w:tc>
          <w:tcPr>
            <w:tcW w:w="461"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套</w:t>
            </w:r>
          </w:p>
        </w:tc>
        <w:tc>
          <w:tcPr>
            <w:tcW w:w="6214" w:type="dxa"/>
            <w:vAlign w:val="center"/>
          </w:tcPr>
          <w:p>
            <w:pPr>
              <w:pStyle w:val="22"/>
              <w:widowControl/>
              <w:ind w:firstLine="0" w:firstLineChars="0"/>
              <w:jc w:val="left"/>
              <w:textAlignment w:val="center"/>
              <w:rPr>
                <w:color w:val="auto"/>
                <w:kern w:val="0"/>
                <w:sz w:val="21"/>
                <w:szCs w:val="21"/>
                <w:highlight w:val="none"/>
                <w:lang w:bidi="ar"/>
              </w:rPr>
            </w:pPr>
            <w:r>
              <w:rPr>
                <w:rFonts w:hint="eastAsia"/>
                <w:color w:val="auto"/>
                <w:kern w:val="0"/>
                <w:sz w:val="21"/>
                <w:szCs w:val="21"/>
                <w:highlight w:val="none"/>
                <w:lang w:bidi="ar"/>
              </w:rPr>
              <w:t>1.16千兆电口+12万兆光，交换容量 23.04Tbps/64Tbps；</w:t>
            </w:r>
          </w:p>
          <w:p>
            <w:pPr>
              <w:pStyle w:val="22"/>
              <w:widowControl/>
              <w:ind w:firstLine="0" w:firstLineChars="0"/>
              <w:jc w:val="left"/>
              <w:textAlignment w:val="center"/>
              <w:rPr>
                <w:color w:val="auto"/>
                <w:kern w:val="0"/>
                <w:sz w:val="21"/>
                <w:szCs w:val="21"/>
                <w:highlight w:val="none"/>
                <w:lang w:bidi="ar"/>
              </w:rPr>
            </w:pPr>
            <w:r>
              <w:rPr>
                <w:rFonts w:hint="eastAsia"/>
                <w:color w:val="auto"/>
                <w:kern w:val="0"/>
                <w:sz w:val="21"/>
                <w:szCs w:val="21"/>
                <w:highlight w:val="none"/>
                <w:lang w:bidi="ar"/>
              </w:rPr>
              <w:t>2.包转发率2880Mpps/22500Mpps；</w:t>
            </w:r>
          </w:p>
          <w:p>
            <w:pPr>
              <w:pStyle w:val="22"/>
              <w:widowControl/>
              <w:ind w:firstLine="0" w:firstLineChars="0"/>
              <w:jc w:val="left"/>
              <w:textAlignment w:val="center"/>
              <w:rPr>
                <w:color w:val="auto"/>
                <w:kern w:val="0"/>
                <w:sz w:val="21"/>
                <w:szCs w:val="21"/>
                <w:highlight w:val="none"/>
                <w:lang w:bidi="ar"/>
              </w:rPr>
            </w:pPr>
            <w:r>
              <w:rPr>
                <w:rFonts w:hint="eastAsia"/>
                <w:color w:val="auto"/>
                <w:kern w:val="0"/>
                <w:sz w:val="21"/>
                <w:szCs w:val="21"/>
                <w:highlight w:val="none"/>
                <w:lang w:bidi="ar"/>
              </w:rPr>
              <w:t>3.主控板槽位数1~2；</w:t>
            </w:r>
          </w:p>
          <w:p>
            <w:pPr>
              <w:pStyle w:val="22"/>
              <w:widowControl/>
              <w:ind w:firstLine="0" w:firstLineChars="0"/>
              <w:jc w:val="left"/>
              <w:textAlignment w:val="center"/>
              <w:rPr>
                <w:color w:val="auto"/>
                <w:kern w:val="0"/>
                <w:sz w:val="21"/>
                <w:szCs w:val="21"/>
                <w:highlight w:val="none"/>
                <w:lang w:bidi="ar"/>
              </w:rPr>
            </w:pPr>
            <w:r>
              <w:rPr>
                <w:rFonts w:hint="eastAsia"/>
                <w:color w:val="auto"/>
                <w:kern w:val="0"/>
                <w:sz w:val="21"/>
                <w:szCs w:val="21"/>
                <w:highlight w:val="none"/>
                <w:lang w:bidi="ar"/>
              </w:rPr>
              <w:t>4.业务板槽位数1~2；</w:t>
            </w:r>
          </w:p>
          <w:p>
            <w:pPr>
              <w:pStyle w:val="22"/>
              <w:widowControl/>
              <w:ind w:firstLine="0" w:firstLineChars="0"/>
              <w:jc w:val="left"/>
              <w:textAlignment w:val="center"/>
              <w:rPr>
                <w:color w:val="auto"/>
                <w:kern w:val="0"/>
                <w:sz w:val="21"/>
                <w:szCs w:val="21"/>
                <w:highlight w:val="none"/>
                <w:lang w:bidi="ar"/>
              </w:rPr>
            </w:pPr>
            <w:r>
              <w:rPr>
                <w:rFonts w:hint="eastAsia"/>
                <w:color w:val="auto"/>
                <w:kern w:val="0"/>
                <w:sz w:val="21"/>
                <w:szCs w:val="21"/>
                <w:highlight w:val="none"/>
                <w:lang w:bidi="ar"/>
              </w:rPr>
              <w:t>5.主控板冗余备份1+1；</w:t>
            </w:r>
          </w:p>
          <w:p>
            <w:pPr>
              <w:pStyle w:val="22"/>
              <w:widowControl/>
              <w:ind w:firstLine="0" w:firstLineChars="0"/>
              <w:jc w:val="left"/>
              <w:textAlignment w:val="center"/>
              <w:rPr>
                <w:color w:val="auto"/>
                <w:kern w:val="0"/>
                <w:sz w:val="21"/>
                <w:szCs w:val="21"/>
                <w:highlight w:val="none"/>
                <w:lang w:bidi="ar"/>
              </w:rPr>
            </w:pPr>
            <w:r>
              <w:rPr>
                <w:rFonts w:hint="eastAsia"/>
                <w:color w:val="auto"/>
                <w:kern w:val="0"/>
                <w:sz w:val="21"/>
                <w:szCs w:val="21"/>
                <w:highlight w:val="none"/>
                <w:lang w:bidi="ar"/>
              </w:rPr>
              <w:t>6.风扇框数量1；</w:t>
            </w:r>
          </w:p>
          <w:p>
            <w:pPr>
              <w:pStyle w:val="22"/>
              <w:widowControl/>
              <w:ind w:firstLine="0" w:firstLineChars="0"/>
              <w:jc w:val="left"/>
              <w:textAlignment w:val="center"/>
              <w:rPr>
                <w:color w:val="auto"/>
                <w:sz w:val="21"/>
                <w:szCs w:val="21"/>
                <w:highlight w:val="none"/>
              </w:rPr>
            </w:pPr>
            <w:r>
              <w:rPr>
                <w:rFonts w:hint="eastAsia"/>
                <w:color w:val="auto"/>
                <w:kern w:val="0"/>
                <w:sz w:val="21"/>
                <w:szCs w:val="21"/>
                <w:highlight w:val="none"/>
                <w:lang w:bidi="ar"/>
              </w:rPr>
              <w:t>7.电源模块插槽数量2。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446"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6</w:t>
            </w:r>
          </w:p>
        </w:tc>
        <w:tc>
          <w:tcPr>
            <w:tcW w:w="2444" w:type="dxa"/>
            <w:vAlign w:val="center"/>
          </w:tcPr>
          <w:p>
            <w:pPr>
              <w:widowControl/>
              <w:jc w:val="center"/>
              <w:textAlignment w:val="center"/>
              <w:rPr>
                <w:b/>
                <w:bCs/>
                <w:color w:val="auto"/>
                <w:kern w:val="0"/>
                <w:sz w:val="21"/>
                <w:szCs w:val="21"/>
                <w:highlight w:val="none"/>
                <w:lang w:bidi="ar"/>
              </w:rPr>
            </w:pPr>
            <w:r>
              <w:rPr>
                <w:rFonts w:hint="eastAsia"/>
                <w:b/>
                <w:bCs/>
                <w:color w:val="auto"/>
                <w:kern w:val="0"/>
                <w:sz w:val="21"/>
                <w:szCs w:val="21"/>
                <w:highlight w:val="none"/>
                <w:lang w:bidi="ar"/>
              </w:rPr>
              <w:t>机柜</w:t>
            </w:r>
          </w:p>
          <w:p>
            <w:pPr>
              <w:widowControl/>
              <w:jc w:val="center"/>
              <w:textAlignment w:val="center"/>
              <w:rPr>
                <w:b/>
                <w:bCs/>
                <w:color w:val="auto"/>
                <w:sz w:val="21"/>
                <w:szCs w:val="21"/>
                <w:highlight w:val="none"/>
              </w:rPr>
            </w:pPr>
            <w:r>
              <w:rPr>
                <w:rFonts w:hint="eastAsia"/>
                <w:b/>
                <w:bCs/>
                <w:color w:val="auto"/>
                <w:kern w:val="0"/>
                <w:sz w:val="21"/>
                <w:szCs w:val="21"/>
                <w:highlight w:val="none"/>
                <w:lang w:bidi="ar"/>
              </w:rPr>
              <w:t>（不允许采购进口产品）</w:t>
            </w:r>
          </w:p>
        </w:tc>
        <w:tc>
          <w:tcPr>
            <w:tcW w:w="495" w:type="dxa"/>
            <w:vAlign w:val="center"/>
          </w:tcPr>
          <w:p>
            <w:pPr>
              <w:widowControl/>
              <w:jc w:val="center"/>
              <w:textAlignment w:val="center"/>
              <w:rPr>
                <w:b/>
                <w:bCs/>
                <w:color w:val="auto"/>
                <w:sz w:val="21"/>
                <w:szCs w:val="21"/>
                <w:highlight w:val="none"/>
              </w:rPr>
            </w:pPr>
            <w:r>
              <w:rPr>
                <w:rFonts w:hint="eastAsia"/>
                <w:b/>
                <w:bCs/>
                <w:color w:val="auto"/>
                <w:kern w:val="0"/>
                <w:sz w:val="21"/>
                <w:szCs w:val="21"/>
                <w:highlight w:val="none"/>
                <w:lang w:bidi="ar"/>
              </w:rPr>
              <w:t>1</w:t>
            </w:r>
          </w:p>
        </w:tc>
        <w:tc>
          <w:tcPr>
            <w:tcW w:w="461"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套</w:t>
            </w:r>
          </w:p>
        </w:tc>
        <w:tc>
          <w:tcPr>
            <w:tcW w:w="6214" w:type="dxa"/>
            <w:vAlign w:val="center"/>
          </w:tcPr>
          <w:p>
            <w:pPr>
              <w:widowControl/>
              <w:jc w:val="left"/>
              <w:textAlignment w:val="center"/>
              <w:rPr>
                <w:color w:val="auto"/>
                <w:kern w:val="0"/>
                <w:sz w:val="21"/>
                <w:szCs w:val="21"/>
                <w:highlight w:val="none"/>
                <w:lang w:bidi="ar"/>
              </w:rPr>
            </w:pPr>
            <w:r>
              <w:rPr>
                <w:rFonts w:hint="eastAsia"/>
                <w:color w:val="auto"/>
                <w:kern w:val="0"/>
                <w:sz w:val="21"/>
                <w:szCs w:val="21"/>
                <w:highlight w:val="none"/>
                <w:lang w:bidi="ar"/>
              </w:rPr>
              <w:t>1.尺寸：宽600mm*深600mm*高1600mm；</w:t>
            </w:r>
          </w:p>
          <w:p>
            <w:pPr>
              <w:widowControl/>
              <w:jc w:val="left"/>
              <w:textAlignment w:val="center"/>
              <w:rPr>
                <w:color w:val="auto"/>
                <w:kern w:val="0"/>
                <w:sz w:val="21"/>
                <w:szCs w:val="21"/>
                <w:highlight w:val="none"/>
                <w:lang w:bidi="ar"/>
              </w:rPr>
            </w:pPr>
            <w:r>
              <w:rPr>
                <w:rFonts w:hint="eastAsia"/>
                <w:color w:val="auto"/>
                <w:kern w:val="0"/>
                <w:sz w:val="21"/>
                <w:szCs w:val="21"/>
                <w:highlight w:val="none"/>
                <w:lang w:val="en-US" w:eastAsia="zh-CN" w:bidi="ar"/>
              </w:rPr>
              <w:t>2</w:t>
            </w:r>
            <w:r>
              <w:rPr>
                <w:rFonts w:hint="eastAsia"/>
                <w:color w:val="auto"/>
                <w:kern w:val="0"/>
                <w:sz w:val="21"/>
                <w:szCs w:val="21"/>
                <w:highlight w:val="none"/>
                <w:lang w:bidi="ar"/>
              </w:rPr>
              <w:t>.钢化玻璃前门，表面静电喷塑处理；</w:t>
            </w:r>
          </w:p>
          <w:p>
            <w:pPr>
              <w:widowControl/>
              <w:jc w:val="left"/>
              <w:textAlignment w:val="center"/>
              <w:rPr>
                <w:color w:val="auto"/>
                <w:sz w:val="21"/>
                <w:szCs w:val="21"/>
                <w:highlight w:val="none"/>
              </w:rPr>
            </w:pPr>
            <w:r>
              <w:rPr>
                <w:rFonts w:hint="eastAsia"/>
                <w:color w:val="auto"/>
                <w:kern w:val="0"/>
                <w:sz w:val="21"/>
                <w:szCs w:val="21"/>
                <w:highlight w:val="none"/>
                <w:lang w:val="en-US" w:eastAsia="zh-CN" w:bidi="ar"/>
              </w:rPr>
              <w:t>3</w:t>
            </w:r>
            <w:r>
              <w:rPr>
                <w:rFonts w:hint="eastAsia"/>
                <w:color w:val="auto"/>
                <w:kern w:val="0"/>
                <w:sz w:val="21"/>
                <w:szCs w:val="21"/>
                <w:highlight w:val="none"/>
                <w:lang w:bidi="ar"/>
              </w:rPr>
              <w:t>.配两个风扇，电源PDU。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446"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7</w:t>
            </w:r>
          </w:p>
        </w:tc>
        <w:tc>
          <w:tcPr>
            <w:tcW w:w="2444" w:type="dxa"/>
            <w:vAlign w:val="center"/>
          </w:tcPr>
          <w:p>
            <w:pPr>
              <w:widowControl/>
              <w:jc w:val="center"/>
              <w:textAlignment w:val="center"/>
              <w:rPr>
                <w:b/>
                <w:bCs/>
                <w:color w:val="auto"/>
                <w:kern w:val="0"/>
                <w:sz w:val="21"/>
                <w:szCs w:val="21"/>
                <w:highlight w:val="none"/>
                <w:lang w:bidi="ar"/>
              </w:rPr>
            </w:pPr>
            <w:r>
              <w:rPr>
                <w:rFonts w:hint="eastAsia"/>
                <w:b/>
                <w:bCs/>
                <w:color w:val="auto"/>
                <w:kern w:val="0"/>
                <w:sz w:val="21"/>
                <w:szCs w:val="21"/>
                <w:highlight w:val="none"/>
                <w:lang w:bidi="ar"/>
              </w:rPr>
              <w:t>路由器</w:t>
            </w:r>
          </w:p>
          <w:p>
            <w:pPr>
              <w:widowControl/>
              <w:jc w:val="center"/>
              <w:textAlignment w:val="center"/>
              <w:rPr>
                <w:b/>
                <w:bCs/>
                <w:color w:val="auto"/>
                <w:sz w:val="21"/>
                <w:szCs w:val="21"/>
                <w:highlight w:val="none"/>
              </w:rPr>
            </w:pPr>
            <w:r>
              <w:rPr>
                <w:rFonts w:hint="eastAsia"/>
                <w:b/>
                <w:bCs/>
                <w:color w:val="auto"/>
                <w:kern w:val="0"/>
                <w:sz w:val="21"/>
                <w:szCs w:val="21"/>
                <w:highlight w:val="none"/>
                <w:lang w:bidi="ar"/>
              </w:rPr>
              <w:t>（不允许采购进口产品）</w:t>
            </w:r>
          </w:p>
        </w:tc>
        <w:tc>
          <w:tcPr>
            <w:tcW w:w="495" w:type="dxa"/>
            <w:vAlign w:val="center"/>
          </w:tcPr>
          <w:p>
            <w:pPr>
              <w:widowControl/>
              <w:jc w:val="center"/>
              <w:textAlignment w:val="center"/>
              <w:rPr>
                <w:b/>
                <w:bCs/>
                <w:color w:val="auto"/>
                <w:sz w:val="21"/>
                <w:szCs w:val="21"/>
                <w:highlight w:val="none"/>
              </w:rPr>
            </w:pPr>
            <w:r>
              <w:rPr>
                <w:rFonts w:hint="eastAsia"/>
                <w:b/>
                <w:bCs/>
                <w:color w:val="auto"/>
                <w:kern w:val="0"/>
                <w:sz w:val="21"/>
                <w:szCs w:val="21"/>
                <w:highlight w:val="none"/>
                <w:lang w:bidi="ar"/>
              </w:rPr>
              <w:t>2</w:t>
            </w:r>
          </w:p>
        </w:tc>
        <w:tc>
          <w:tcPr>
            <w:tcW w:w="461"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套</w:t>
            </w:r>
          </w:p>
        </w:tc>
        <w:tc>
          <w:tcPr>
            <w:tcW w:w="6214" w:type="dxa"/>
            <w:vAlign w:val="center"/>
          </w:tcPr>
          <w:p>
            <w:pPr>
              <w:pStyle w:val="22"/>
              <w:widowControl/>
              <w:ind w:firstLine="0" w:firstLineChars="0"/>
              <w:jc w:val="left"/>
              <w:textAlignment w:val="center"/>
              <w:rPr>
                <w:rFonts w:ascii="Times New Roman" w:hAnsi="Times New Roman" w:cs="Times New Roman"/>
                <w:color w:val="auto"/>
                <w:kern w:val="0"/>
                <w:sz w:val="21"/>
                <w:szCs w:val="21"/>
                <w:highlight w:val="none"/>
                <w:lang w:bidi="ar"/>
              </w:rPr>
            </w:pPr>
            <w:r>
              <w:rPr>
                <w:rFonts w:hint="eastAsia" w:ascii="Times New Roman" w:hAnsi="Times New Roman" w:cs="Times New Roman"/>
                <w:color w:val="auto"/>
                <w:kern w:val="0"/>
                <w:sz w:val="21"/>
                <w:szCs w:val="21"/>
                <w:highlight w:val="none"/>
                <w:lang w:bidi="ar"/>
              </w:rPr>
              <w:t>1.</w:t>
            </w:r>
            <w:r>
              <w:rPr>
                <w:rFonts w:ascii="Times New Roman" w:hAnsi="Times New Roman" w:cs="Times New Roman"/>
                <w:color w:val="auto"/>
                <w:kern w:val="0"/>
                <w:sz w:val="21"/>
                <w:szCs w:val="21"/>
                <w:highlight w:val="none"/>
                <w:lang w:bidi="ar"/>
              </w:rPr>
              <w:t>Wi-Fi 6 高速率，最高无线速率可达5400M（2.4GHz 600Mbps+5GHz 4800Mbps），支持160MHz频宽；</w:t>
            </w:r>
          </w:p>
          <w:p>
            <w:pPr>
              <w:pStyle w:val="22"/>
              <w:widowControl/>
              <w:ind w:firstLine="0" w:firstLineChars="0"/>
              <w:jc w:val="left"/>
              <w:textAlignment w:val="center"/>
              <w:rPr>
                <w:rFonts w:ascii="Times New Roman" w:hAnsi="Times New Roman" w:cs="Times New Roman"/>
                <w:color w:val="auto"/>
                <w:kern w:val="0"/>
                <w:sz w:val="21"/>
                <w:szCs w:val="21"/>
                <w:highlight w:val="none"/>
                <w:lang w:bidi="ar"/>
              </w:rPr>
            </w:pPr>
            <w:r>
              <w:rPr>
                <w:rFonts w:hint="eastAsia" w:ascii="Times New Roman" w:hAnsi="Times New Roman" w:cs="Times New Roman"/>
                <w:color w:val="auto"/>
                <w:kern w:val="0"/>
                <w:sz w:val="21"/>
                <w:szCs w:val="21"/>
                <w:highlight w:val="none"/>
                <w:lang w:bidi="ar"/>
              </w:rPr>
              <w:t>2.</w:t>
            </w:r>
            <w:r>
              <w:rPr>
                <w:rFonts w:ascii="Times New Roman" w:hAnsi="Times New Roman" w:cs="Times New Roman"/>
                <w:color w:val="auto"/>
                <w:kern w:val="0"/>
                <w:sz w:val="21"/>
                <w:szCs w:val="21"/>
                <w:highlight w:val="none"/>
                <w:lang w:bidi="ar"/>
              </w:rPr>
              <w:t>千兆WAN接入口，至少4个千兆LAN输出口</w:t>
            </w:r>
            <w:r>
              <w:rPr>
                <w:rFonts w:hint="eastAsia" w:ascii="Times New Roman" w:hAnsi="Times New Roman" w:cs="Times New Roman"/>
                <w:color w:val="auto"/>
                <w:kern w:val="0"/>
                <w:sz w:val="21"/>
                <w:szCs w:val="21"/>
                <w:highlight w:val="none"/>
                <w:lang w:bidi="ar"/>
              </w:rPr>
              <w:t>；</w:t>
            </w:r>
          </w:p>
          <w:p>
            <w:pPr>
              <w:pStyle w:val="22"/>
              <w:widowControl/>
              <w:ind w:firstLine="0" w:firstLineChars="0"/>
              <w:jc w:val="left"/>
              <w:textAlignment w:val="center"/>
              <w:rPr>
                <w:rFonts w:ascii="Times New Roman" w:hAnsi="Times New Roman" w:cs="Times New Roman"/>
                <w:color w:val="auto"/>
                <w:kern w:val="0"/>
                <w:sz w:val="21"/>
                <w:szCs w:val="21"/>
                <w:highlight w:val="none"/>
                <w:lang w:bidi="ar"/>
              </w:rPr>
            </w:pPr>
            <w:r>
              <w:rPr>
                <w:rFonts w:hint="eastAsia" w:ascii="Times New Roman" w:hAnsi="Times New Roman" w:cs="Times New Roman"/>
                <w:color w:val="auto"/>
                <w:kern w:val="0"/>
                <w:sz w:val="21"/>
                <w:szCs w:val="21"/>
                <w:highlight w:val="none"/>
                <w:lang w:bidi="ar"/>
              </w:rPr>
              <w:t>3.含</w:t>
            </w:r>
            <w:r>
              <w:rPr>
                <w:rFonts w:ascii="Times New Roman" w:hAnsi="Times New Roman" w:cs="Times New Roman"/>
                <w:color w:val="auto"/>
                <w:kern w:val="0"/>
                <w:sz w:val="21"/>
                <w:szCs w:val="21"/>
                <w:highlight w:val="none"/>
                <w:lang w:bidi="ar"/>
              </w:rPr>
              <w:t>2.5G端口</w:t>
            </w:r>
            <w:r>
              <w:rPr>
                <w:rFonts w:hint="eastAsia" w:ascii="Times New Roman" w:hAnsi="Times New Roman" w:cs="Times New Roman"/>
                <w:color w:val="auto"/>
                <w:kern w:val="0"/>
                <w:sz w:val="21"/>
                <w:szCs w:val="21"/>
                <w:highlight w:val="none"/>
                <w:lang w:bidi="ar"/>
              </w:rPr>
              <w:t>；</w:t>
            </w:r>
          </w:p>
          <w:p>
            <w:pPr>
              <w:pStyle w:val="22"/>
              <w:widowControl/>
              <w:ind w:firstLine="0" w:firstLineChars="0"/>
              <w:jc w:val="left"/>
              <w:textAlignment w:val="center"/>
              <w:rPr>
                <w:rFonts w:ascii="Times New Roman" w:hAnsi="Times New Roman" w:cs="Times New Roman"/>
                <w:color w:val="auto"/>
                <w:kern w:val="0"/>
                <w:sz w:val="21"/>
                <w:szCs w:val="21"/>
                <w:highlight w:val="none"/>
                <w:lang w:bidi="ar"/>
              </w:rPr>
            </w:pPr>
            <w:r>
              <w:rPr>
                <w:rFonts w:hint="eastAsia" w:ascii="Times New Roman" w:hAnsi="Times New Roman" w:cs="Times New Roman"/>
                <w:color w:val="auto"/>
                <w:kern w:val="0"/>
                <w:sz w:val="21"/>
                <w:szCs w:val="21"/>
                <w:highlight w:val="none"/>
                <w:lang w:bidi="ar"/>
              </w:rPr>
              <w:t>4.</w:t>
            </w:r>
            <w:r>
              <w:rPr>
                <w:rFonts w:ascii="Times New Roman" w:hAnsi="Times New Roman" w:cs="Times New Roman"/>
                <w:color w:val="auto"/>
                <w:kern w:val="0"/>
                <w:sz w:val="21"/>
                <w:szCs w:val="21"/>
                <w:highlight w:val="none"/>
                <w:lang w:bidi="ar"/>
              </w:rPr>
              <w:t>2.4GHz/5GHz全频段配置6颗独立高功率企业级PA/LNA+6根高增益天线</w:t>
            </w:r>
            <w:r>
              <w:rPr>
                <w:rFonts w:hint="eastAsia" w:ascii="Times New Roman" w:hAnsi="Times New Roman" w:cs="Times New Roman"/>
                <w:color w:val="auto"/>
                <w:kern w:val="0"/>
                <w:sz w:val="21"/>
                <w:szCs w:val="21"/>
                <w:highlight w:val="none"/>
                <w:lang w:bidi="ar"/>
              </w:rPr>
              <w:t>；</w:t>
            </w:r>
          </w:p>
          <w:p>
            <w:pPr>
              <w:pStyle w:val="22"/>
              <w:widowControl/>
              <w:ind w:firstLine="0" w:firstLineChars="0"/>
              <w:jc w:val="left"/>
              <w:textAlignment w:val="center"/>
              <w:rPr>
                <w:rFonts w:ascii="Times New Roman" w:hAnsi="Times New Roman" w:cs="Times New Roman"/>
                <w:color w:val="auto"/>
                <w:kern w:val="0"/>
                <w:sz w:val="21"/>
                <w:szCs w:val="21"/>
                <w:highlight w:val="none"/>
                <w:lang w:bidi="ar"/>
              </w:rPr>
            </w:pPr>
            <w:r>
              <w:rPr>
                <w:rFonts w:hint="eastAsia" w:ascii="Times New Roman" w:hAnsi="Times New Roman" w:cs="Times New Roman"/>
                <w:color w:val="auto"/>
                <w:kern w:val="0"/>
                <w:sz w:val="21"/>
                <w:szCs w:val="21"/>
                <w:highlight w:val="none"/>
                <w:lang w:bidi="ar"/>
              </w:rPr>
              <w:t>5.</w:t>
            </w:r>
            <w:r>
              <w:rPr>
                <w:rFonts w:ascii="Times New Roman" w:hAnsi="Times New Roman" w:cs="Times New Roman"/>
                <w:color w:val="auto"/>
                <w:kern w:val="0"/>
                <w:sz w:val="21"/>
                <w:szCs w:val="21"/>
                <w:highlight w:val="none"/>
                <w:lang w:bidi="ar"/>
              </w:rPr>
              <w:t>多终端不卡顿</w:t>
            </w:r>
            <w:r>
              <w:rPr>
                <w:rFonts w:hint="eastAsia" w:ascii="Times New Roman" w:hAnsi="Times New Roman" w:cs="Times New Roman"/>
                <w:color w:val="auto"/>
                <w:kern w:val="0"/>
                <w:sz w:val="21"/>
                <w:szCs w:val="21"/>
                <w:highlight w:val="none"/>
                <w:lang w:bidi="ar"/>
              </w:rPr>
              <w:t>；</w:t>
            </w:r>
          </w:p>
          <w:p>
            <w:pPr>
              <w:pStyle w:val="22"/>
              <w:widowControl/>
              <w:ind w:firstLine="0" w:firstLineChars="0"/>
              <w:jc w:val="left"/>
              <w:textAlignment w:val="center"/>
              <w:rPr>
                <w:rFonts w:ascii="Times New Roman" w:hAnsi="Times New Roman" w:cs="Times New Roman"/>
                <w:color w:val="auto"/>
                <w:kern w:val="0"/>
                <w:sz w:val="21"/>
                <w:szCs w:val="21"/>
                <w:highlight w:val="none"/>
                <w:lang w:bidi="ar"/>
              </w:rPr>
            </w:pPr>
            <w:r>
              <w:rPr>
                <w:rFonts w:hint="eastAsia" w:ascii="Times New Roman" w:hAnsi="Times New Roman" w:cs="Times New Roman"/>
                <w:color w:val="auto"/>
                <w:kern w:val="0"/>
                <w:sz w:val="21"/>
                <w:szCs w:val="21"/>
                <w:highlight w:val="none"/>
                <w:lang w:bidi="ar"/>
              </w:rPr>
              <w:t>6.支持</w:t>
            </w:r>
            <w:r>
              <w:rPr>
                <w:rFonts w:ascii="Times New Roman" w:hAnsi="Times New Roman" w:cs="Times New Roman"/>
                <w:color w:val="auto"/>
                <w:kern w:val="0"/>
                <w:sz w:val="21"/>
                <w:szCs w:val="21"/>
                <w:highlight w:val="none"/>
                <w:lang w:bidi="ar"/>
              </w:rPr>
              <w:t>MU-MIMO+OFDMA技术，支持256台设备同时在线稳定连接，支持手机、PC、办公设备、物联网终端大量接入</w:t>
            </w:r>
            <w:r>
              <w:rPr>
                <w:rFonts w:hint="eastAsia" w:ascii="Times New Roman" w:hAnsi="Times New Roman" w:cs="Times New Roman"/>
                <w:color w:val="auto"/>
                <w:kern w:val="0"/>
                <w:sz w:val="21"/>
                <w:szCs w:val="21"/>
                <w:highlight w:val="none"/>
                <w:lang w:bidi="ar"/>
              </w:rPr>
              <w:t>；</w:t>
            </w:r>
          </w:p>
          <w:p>
            <w:pPr>
              <w:pStyle w:val="22"/>
              <w:widowControl/>
              <w:ind w:firstLine="0" w:firstLineChars="0"/>
              <w:jc w:val="left"/>
              <w:textAlignment w:val="center"/>
              <w:rPr>
                <w:rFonts w:ascii="Times New Roman" w:hAnsi="Times New Roman" w:cs="Times New Roman"/>
                <w:color w:val="auto"/>
                <w:kern w:val="0"/>
                <w:sz w:val="21"/>
                <w:szCs w:val="21"/>
                <w:highlight w:val="none"/>
                <w:lang w:bidi="ar"/>
              </w:rPr>
            </w:pPr>
            <w:r>
              <w:rPr>
                <w:rFonts w:hint="eastAsia" w:ascii="Times New Roman" w:hAnsi="Times New Roman" w:cs="Times New Roman"/>
                <w:color w:val="auto"/>
                <w:kern w:val="0"/>
                <w:sz w:val="21"/>
                <w:szCs w:val="21"/>
                <w:highlight w:val="none"/>
                <w:lang w:bidi="ar"/>
              </w:rPr>
              <w:t>7.</w:t>
            </w:r>
            <w:r>
              <w:rPr>
                <w:rFonts w:ascii="Times New Roman" w:hAnsi="Times New Roman" w:cs="Times New Roman"/>
                <w:color w:val="auto"/>
                <w:kern w:val="0"/>
                <w:sz w:val="21"/>
                <w:szCs w:val="21"/>
                <w:highlight w:val="none"/>
                <w:lang w:bidi="ar"/>
              </w:rPr>
              <w:t>支持多WAN上行接入、实现链路备份，支持智能负载均衡</w:t>
            </w:r>
            <w:r>
              <w:rPr>
                <w:rFonts w:hint="eastAsia" w:ascii="Times New Roman" w:hAnsi="Times New Roman" w:cs="Times New Roman"/>
                <w:color w:val="auto"/>
                <w:kern w:val="0"/>
                <w:sz w:val="21"/>
                <w:szCs w:val="21"/>
                <w:highlight w:val="none"/>
                <w:lang w:bidi="ar"/>
              </w:rPr>
              <w:t>；</w:t>
            </w:r>
          </w:p>
          <w:p>
            <w:pPr>
              <w:pStyle w:val="22"/>
              <w:widowControl/>
              <w:ind w:firstLine="0" w:firstLineChars="0"/>
              <w:jc w:val="left"/>
              <w:textAlignment w:val="center"/>
              <w:rPr>
                <w:color w:val="auto"/>
                <w:sz w:val="21"/>
                <w:szCs w:val="21"/>
                <w:highlight w:val="none"/>
              </w:rPr>
            </w:pPr>
            <w:r>
              <w:rPr>
                <w:rFonts w:hint="eastAsia" w:ascii="Times New Roman" w:hAnsi="Times New Roman" w:cs="Times New Roman"/>
                <w:color w:val="auto"/>
                <w:kern w:val="0"/>
                <w:sz w:val="21"/>
                <w:szCs w:val="21"/>
                <w:highlight w:val="none"/>
                <w:lang w:bidi="ar"/>
              </w:rPr>
              <w:t>8.</w:t>
            </w:r>
            <w:r>
              <w:rPr>
                <w:rFonts w:ascii="Times New Roman" w:hAnsi="Times New Roman" w:cs="Times New Roman"/>
                <w:color w:val="auto"/>
                <w:kern w:val="0"/>
                <w:sz w:val="21"/>
                <w:szCs w:val="21"/>
                <w:highlight w:val="none"/>
                <w:lang w:bidi="ar"/>
              </w:rPr>
              <w:t>内置防火墙、防攻击、防蹭网、防破解、防病毒</w:t>
            </w:r>
            <w:r>
              <w:rPr>
                <w:rFonts w:hint="eastAsia" w:ascii="Times New Roman" w:hAnsi="Times New Roman" w:cs="Times New Roman"/>
                <w:color w:val="auto"/>
                <w:kern w:val="0"/>
                <w:sz w:val="21"/>
                <w:szCs w:val="21"/>
                <w:highlight w:val="none"/>
                <w:lang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446"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8</w:t>
            </w:r>
          </w:p>
        </w:tc>
        <w:tc>
          <w:tcPr>
            <w:tcW w:w="2444" w:type="dxa"/>
            <w:vAlign w:val="center"/>
          </w:tcPr>
          <w:p>
            <w:pPr>
              <w:widowControl/>
              <w:jc w:val="center"/>
              <w:textAlignment w:val="center"/>
              <w:rPr>
                <w:b/>
                <w:bCs/>
                <w:color w:val="auto"/>
                <w:kern w:val="0"/>
                <w:sz w:val="21"/>
                <w:szCs w:val="21"/>
                <w:highlight w:val="none"/>
                <w:lang w:bidi="ar"/>
              </w:rPr>
            </w:pPr>
            <w:r>
              <w:rPr>
                <w:rFonts w:hint="eastAsia"/>
                <w:b/>
                <w:bCs/>
                <w:color w:val="auto"/>
                <w:kern w:val="0"/>
                <w:sz w:val="21"/>
                <w:szCs w:val="21"/>
                <w:highlight w:val="none"/>
                <w:lang w:bidi="ar"/>
              </w:rPr>
              <w:t>UPS电源</w:t>
            </w:r>
          </w:p>
          <w:p>
            <w:pPr>
              <w:widowControl/>
              <w:jc w:val="center"/>
              <w:textAlignment w:val="center"/>
              <w:rPr>
                <w:b/>
                <w:bCs/>
                <w:color w:val="auto"/>
                <w:sz w:val="21"/>
                <w:szCs w:val="21"/>
                <w:highlight w:val="none"/>
              </w:rPr>
            </w:pPr>
            <w:r>
              <w:rPr>
                <w:rFonts w:hint="eastAsia"/>
                <w:b/>
                <w:bCs/>
                <w:color w:val="auto"/>
                <w:kern w:val="0"/>
                <w:sz w:val="21"/>
                <w:szCs w:val="21"/>
                <w:highlight w:val="none"/>
                <w:lang w:bidi="ar"/>
              </w:rPr>
              <w:t>（不允许采购进口产品）</w:t>
            </w:r>
          </w:p>
        </w:tc>
        <w:tc>
          <w:tcPr>
            <w:tcW w:w="495" w:type="dxa"/>
            <w:vAlign w:val="center"/>
          </w:tcPr>
          <w:p>
            <w:pPr>
              <w:widowControl/>
              <w:jc w:val="center"/>
              <w:textAlignment w:val="center"/>
              <w:rPr>
                <w:b/>
                <w:bCs/>
                <w:color w:val="auto"/>
                <w:sz w:val="21"/>
                <w:szCs w:val="21"/>
                <w:highlight w:val="none"/>
              </w:rPr>
            </w:pPr>
            <w:r>
              <w:rPr>
                <w:rFonts w:hint="eastAsia"/>
                <w:b/>
                <w:bCs/>
                <w:color w:val="auto"/>
                <w:kern w:val="0"/>
                <w:sz w:val="21"/>
                <w:szCs w:val="21"/>
                <w:highlight w:val="none"/>
                <w:lang w:bidi="ar"/>
              </w:rPr>
              <w:t>9</w:t>
            </w:r>
          </w:p>
        </w:tc>
        <w:tc>
          <w:tcPr>
            <w:tcW w:w="461"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套</w:t>
            </w:r>
          </w:p>
        </w:tc>
        <w:tc>
          <w:tcPr>
            <w:tcW w:w="6214" w:type="dxa"/>
            <w:vAlign w:val="center"/>
          </w:tcPr>
          <w:p>
            <w:pPr>
              <w:widowControl/>
              <w:jc w:val="left"/>
              <w:textAlignment w:val="center"/>
              <w:rPr>
                <w:color w:val="auto"/>
                <w:sz w:val="21"/>
                <w:szCs w:val="21"/>
                <w:highlight w:val="none"/>
              </w:rPr>
            </w:pPr>
            <w:r>
              <w:rPr>
                <w:rFonts w:hint="eastAsia"/>
                <w:color w:val="auto"/>
                <w:kern w:val="0"/>
                <w:sz w:val="21"/>
                <w:szCs w:val="21"/>
                <w:highlight w:val="none"/>
                <w:lang w:bidi="ar"/>
              </w:rPr>
              <w:t>纯在线式UPS不间断电源，市电切换零转换，最低转化电压110V，内置电池，2400W 输出电压220V+-10%。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446"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9</w:t>
            </w:r>
          </w:p>
        </w:tc>
        <w:tc>
          <w:tcPr>
            <w:tcW w:w="2444" w:type="dxa"/>
            <w:vAlign w:val="center"/>
          </w:tcPr>
          <w:p>
            <w:pPr>
              <w:widowControl/>
              <w:jc w:val="center"/>
              <w:textAlignment w:val="center"/>
              <w:rPr>
                <w:b/>
                <w:bCs/>
                <w:color w:val="auto"/>
                <w:kern w:val="0"/>
                <w:sz w:val="21"/>
                <w:szCs w:val="21"/>
                <w:highlight w:val="none"/>
                <w:lang w:bidi="ar"/>
              </w:rPr>
            </w:pPr>
            <w:r>
              <w:rPr>
                <w:rFonts w:hint="eastAsia"/>
                <w:b/>
                <w:bCs/>
                <w:color w:val="auto"/>
                <w:kern w:val="0"/>
                <w:sz w:val="21"/>
                <w:szCs w:val="21"/>
                <w:highlight w:val="none"/>
                <w:lang w:bidi="ar"/>
              </w:rPr>
              <w:t>FPGA开发套件1</w:t>
            </w:r>
          </w:p>
          <w:p>
            <w:pPr>
              <w:widowControl/>
              <w:jc w:val="center"/>
              <w:textAlignment w:val="center"/>
              <w:rPr>
                <w:b/>
                <w:bCs/>
                <w:color w:val="auto"/>
                <w:sz w:val="21"/>
                <w:szCs w:val="21"/>
                <w:highlight w:val="none"/>
              </w:rPr>
            </w:pPr>
            <w:r>
              <w:rPr>
                <w:rFonts w:hint="eastAsia"/>
                <w:b/>
                <w:bCs/>
                <w:color w:val="auto"/>
                <w:kern w:val="0"/>
                <w:sz w:val="21"/>
                <w:szCs w:val="21"/>
                <w:highlight w:val="none"/>
                <w:lang w:bidi="ar"/>
              </w:rPr>
              <w:t>（不允许采购进口产品）</w:t>
            </w:r>
          </w:p>
        </w:tc>
        <w:tc>
          <w:tcPr>
            <w:tcW w:w="495" w:type="dxa"/>
            <w:vAlign w:val="center"/>
          </w:tcPr>
          <w:p>
            <w:pPr>
              <w:widowControl/>
              <w:jc w:val="center"/>
              <w:textAlignment w:val="center"/>
              <w:rPr>
                <w:b/>
                <w:bCs/>
                <w:color w:val="auto"/>
                <w:sz w:val="21"/>
                <w:szCs w:val="21"/>
                <w:highlight w:val="none"/>
              </w:rPr>
            </w:pPr>
            <w:r>
              <w:rPr>
                <w:rFonts w:hint="eastAsia"/>
                <w:b/>
                <w:bCs/>
                <w:color w:val="auto"/>
                <w:kern w:val="0"/>
                <w:sz w:val="21"/>
                <w:szCs w:val="21"/>
                <w:highlight w:val="none"/>
                <w:lang w:bidi="ar"/>
              </w:rPr>
              <w:t>1</w:t>
            </w:r>
          </w:p>
        </w:tc>
        <w:tc>
          <w:tcPr>
            <w:tcW w:w="461"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套</w:t>
            </w:r>
          </w:p>
        </w:tc>
        <w:tc>
          <w:tcPr>
            <w:tcW w:w="6214" w:type="dxa"/>
            <w:vAlign w:val="center"/>
          </w:tcPr>
          <w:p>
            <w:pPr>
              <w:pStyle w:val="22"/>
              <w:widowControl/>
              <w:ind w:firstLine="0" w:firstLineChars="0"/>
              <w:jc w:val="left"/>
              <w:textAlignment w:val="center"/>
              <w:rPr>
                <w:rFonts w:ascii="Times New Roman" w:hAnsi="Times New Roman" w:cs="Times New Roman"/>
                <w:color w:val="auto"/>
                <w:kern w:val="0"/>
                <w:sz w:val="21"/>
                <w:szCs w:val="21"/>
                <w:highlight w:val="none"/>
                <w:lang w:bidi="ar"/>
              </w:rPr>
            </w:pPr>
            <w:r>
              <w:rPr>
                <w:rFonts w:hint="eastAsia" w:ascii="Times New Roman" w:hAnsi="Times New Roman" w:cs="Times New Roman"/>
                <w:color w:val="auto"/>
                <w:kern w:val="0"/>
                <w:sz w:val="21"/>
                <w:szCs w:val="21"/>
                <w:highlight w:val="none"/>
                <w:lang w:bidi="ar"/>
              </w:rPr>
              <w:t>1.</w:t>
            </w:r>
            <w:r>
              <w:rPr>
                <w:rFonts w:ascii="Times New Roman" w:hAnsi="Times New Roman" w:cs="Times New Roman"/>
                <w:color w:val="auto"/>
                <w:kern w:val="0"/>
                <w:sz w:val="21"/>
                <w:szCs w:val="21"/>
                <w:highlight w:val="none"/>
                <w:lang w:bidi="ar"/>
              </w:rPr>
              <w:t>FPGA芯片性能不低于XCZU9EG-2FFVB1156I（逻辑单元</w:t>
            </w:r>
            <w:r>
              <w:rPr>
                <w:rFonts w:hint="eastAsia" w:ascii="Times New Roman" w:hAnsi="Times New Roman" w:cs="Times New Roman"/>
                <w:color w:val="auto"/>
                <w:kern w:val="0"/>
                <w:sz w:val="21"/>
                <w:szCs w:val="21"/>
                <w:highlight w:val="none"/>
                <w:lang w:bidi="ar"/>
              </w:rPr>
              <w:t>≥</w:t>
            </w:r>
            <w:r>
              <w:rPr>
                <w:rFonts w:ascii="Times New Roman" w:hAnsi="Times New Roman" w:cs="Times New Roman"/>
                <w:color w:val="auto"/>
                <w:kern w:val="0"/>
                <w:sz w:val="21"/>
                <w:szCs w:val="21"/>
                <w:highlight w:val="none"/>
                <w:lang w:bidi="ar"/>
              </w:rPr>
              <w:t>600K,查找表</w:t>
            </w:r>
            <w:r>
              <w:rPr>
                <w:rFonts w:hint="eastAsia" w:ascii="Times New Roman" w:hAnsi="Times New Roman" w:cs="Times New Roman"/>
                <w:color w:val="auto"/>
                <w:kern w:val="0"/>
                <w:sz w:val="21"/>
                <w:szCs w:val="21"/>
                <w:highlight w:val="none"/>
                <w:lang w:bidi="ar"/>
              </w:rPr>
              <w:t>≥</w:t>
            </w:r>
            <w:r>
              <w:rPr>
                <w:rFonts w:ascii="Times New Roman" w:hAnsi="Times New Roman" w:cs="Times New Roman"/>
                <w:color w:val="auto"/>
                <w:kern w:val="0"/>
                <w:sz w:val="21"/>
                <w:szCs w:val="21"/>
                <w:highlight w:val="none"/>
                <w:lang w:bidi="ar"/>
              </w:rPr>
              <w:t>274K，</w:t>
            </w:r>
            <w:r>
              <w:rPr>
                <w:rFonts w:hint="eastAsia" w:ascii="Times New Roman" w:hAnsi="Times New Roman" w:cs="Times New Roman"/>
                <w:color w:val="auto"/>
                <w:kern w:val="0"/>
                <w:sz w:val="21"/>
                <w:szCs w:val="21"/>
                <w:highlight w:val="none"/>
                <w:lang w:bidi="ar"/>
              </w:rPr>
              <w:t>触发器≥548K，</w:t>
            </w:r>
            <w:r>
              <w:rPr>
                <w:rFonts w:ascii="Times New Roman" w:hAnsi="Times New Roman" w:cs="Times New Roman"/>
                <w:color w:val="auto"/>
                <w:kern w:val="0"/>
                <w:sz w:val="21"/>
                <w:szCs w:val="21"/>
                <w:highlight w:val="none"/>
                <w:lang w:bidi="ar"/>
              </w:rPr>
              <w:t>全局时钟数</w:t>
            </w:r>
            <w:r>
              <w:rPr>
                <w:rFonts w:hint="eastAsia" w:ascii="Times New Roman" w:hAnsi="Times New Roman" w:cs="Times New Roman"/>
                <w:color w:val="auto"/>
                <w:kern w:val="0"/>
                <w:sz w:val="21"/>
                <w:szCs w:val="21"/>
                <w:highlight w:val="none"/>
                <w:lang w:bidi="ar"/>
              </w:rPr>
              <w:t>≥</w:t>
            </w:r>
            <w:r>
              <w:rPr>
                <w:rFonts w:ascii="Times New Roman" w:hAnsi="Times New Roman" w:cs="Times New Roman"/>
                <w:color w:val="auto"/>
                <w:kern w:val="0"/>
                <w:sz w:val="21"/>
                <w:szCs w:val="21"/>
                <w:highlight w:val="none"/>
                <w:lang w:bidi="ar"/>
              </w:rPr>
              <w:t>4，RAM资源</w:t>
            </w:r>
            <w:r>
              <w:rPr>
                <w:rFonts w:hint="eastAsia" w:ascii="Times New Roman" w:hAnsi="Times New Roman" w:cs="Times New Roman"/>
                <w:color w:val="auto"/>
                <w:kern w:val="0"/>
                <w:sz w:val="21"/>
                <w:szCs w:val="21"/>
                <w:highlight w:val="none"/>
                <w:lang w:bidi="ar"/>
              </w:rPr>
              <w:t>≥</w:t>
            </w:r>
            <w:r>
              <w:rPr>
                <w:rFonts w:ascii="Times New Roman" w:hAnsi="Times New Roman" w:cs="Times New Roman"/>
                <w:color w:val="auto"/>
                <w:kern w:val="0"/>
                <w:sz w:val="21"/>
                <w:szCs w:val="21"/>
                <w:highlight w:val="none"/>
                <w:lang w:bidi="ar"/>
              </w:rPr>
              <w:t>40M）</w:t>
            </w:r>
            <w:r>
              <w:rPr>
                <w:rFonts w:hint="eastAsia" w:ascii="Times New Roman" w:hAnsi="Times New Roman" w:cs="Times New Roman"/>
                <w:color w:val="auto"/>
                <w:kern w:val="0"/>
                <w:sz w:val="21"/>
                <w:szCs w:val="21"/>
                <w:highlight w:val="none"/>
                <w:lang w:bidi="ar"/>
              </w:rPr>
              <w:t>；</w:t>
            </w:r>
          </w:p>
          <w:p>
            <w:pPr>
              <w:pStyle w:val="2"/>
              <w:ind w:firstLine="0"/>
              <w:rPr>
                <w:rFonts w:ascii="Times New Roman" w:hAnsi="Times New Roman"/>
                <w:color w:val="auto"/>
                <w:sz w:val="21"/>
                <w:szCs w:val="21"/>
                <w:highlight w:val="none"/>
                <w:lang w:bidi="ar"/>
              </w:rPr>
            </w:pPr>
            <w:r>
              <w:rPr>
                <w:rFonts w:hint="eastAsia" w:ascii="Times New Roman" w:hAnsi="Times New Roman"/>
                <w:color w:val="auto"/>
                <w:sz w:val="21"/>
                <w:szCs w:val="21"/>
                <w:highlight w:val="none"/>
                <w:lang w:bidi="ar"/>
              </w:rPr>
              <w:t>2.</w:t>
            </w:r>
            <w:r>
              <w:rPr>
                <w:rFonts w:ascii="Times New Roman" w:hAnsi="Times New Roman"/>
                <w:color w:val="auto"/>
                <w:sz w:val="21"/>
                <w:szCs w:val="21"/>
                <w:highlight w:val="none"/>
                <w:lang w:bidi="ar"/>
              </w:rPr>
              <w:t>CPU性能不低于4*ARM Cortex-A53，2*</w:t>
            </w:r>
            <w:r>
              <w:rPr>
                <w:rFonts w:ascii="Times New Roman" w:hAnsi="Times New Roman"/>
                <w:color w:val="auto"/>
                <w:sz w:val="21"/>
                <w:szCs w:val="21"/>
                <w:highlight w:val="none"/>
              </w:rPr>
              <w:t xml:space="preserve"> ARM </w:t>
            </w:r>
            <w:r>
              <w:rPr>
                <w:rFonts w:ascii="Times New Roman" w:hAnsi="Times New Roman"/>
                <w:color w:val="auto"/>
                <w:sz w:val="21"/>
                <w:szCs w:val="21"/>
                <w:highlight w:val="none"/>
                <w:lang w:bidi="ar"/>
              </w:rPr>
              <w:t>Cortex-R5</w:t>
            </w:r>
            <w:r>
              <w:rPr>
                <w:rFonts w:hint="eastAsia" w:ascii="Times New Roman" w:hAnsi="Times New Roman"/>
                <w:color w:val="auto"/>
                <w:sz w:val="21"/>
                <w:szCs w:val="21"/>
                <w:highlight w:val="none"/>
                <w:lang w:bidi="ar"/>
              </w:rPr>
              <w:t>；</w:t>
            </w:r>
          </w:p>
          <w:p>
            <w:pPr>
              <w:pStyle w:val="2"/>
              <w:ind w:firstLine="0"/>
              <w:rPr>
                <w:rFonts w:ascii="Times New Roman" w:hAnsi="Times New Roman"/>
                <w:color w:val="auto"/>
                <w:sz w:val="21"/>
                <w:szCs w:val="21"/>
                <w:highlight w:val="none"/>
                <w:lang w:bidi="ar"/>
              </w:rPr>
            </w:pPr>
            <w:r>
              <w:rPr>
                <w:rFonts w:hint="eastAsia" w:ascii="Times New Roman" w:hAnsi="Times New Roman"/>
                <w:color w:val="auto"/>
                <w:sz w:val="21"/>
                <w:szCs w:val="21"/>
                <w:highlight w:val="none"/>
                <w:lang w:bidi="ar"/>
              </w:rPr>
              <w:t>3.</w:t>
            </w:r>
            <w:r>
              <w:rPr>
                <w:rFonts w:ascii="Times New Roman" w:hAnsi="Times New Roman"/>
                <w:color w:val="auto"/>
                <w:sz w:val="21"/>
                <w:szCs w:val="21"/>
                <w:highlight w:val="none"/>
                <w:lang w:bidi="ar"/>
              </w:rPr>
              <w:t>GPU性能不低于Mali</w:t>
            </w:r>
            <w:r>
              <w:rPr>
                <w:rFonts w:ascii="Times New Roman" w:hAnsi="Times New Roman"/>
                <w:color w:val="auto"/>
                <w:sz w:val="21"/>
                <w:szCs w:val="21"/>
                <w:highlight w:val="none"/>
                <w:vertAlign w:val="superscript"/>
                <w:lang w:bidi="ar"/>
              </w:rPr>
              <w:t>TM</w:t>
            </w:r>
            <w:r>
              <w:rPr>
                <w:rFonts w:ascii="Times New Roman" w:hAnsi="Times New Roman"/>
                <w:color w:val="auto"/>
                <w:sz w:val="21"/>
                <w:szCs w:val="21"/>
                <w:highlight w:val="none"/>
                <w:lang w:bidi="ar"/>
              </w:rPr>
              <w:t>-400 MP2</w:t>
            </w:r>
            <w:r>
              <w:rPr>
                <w:rFonts w:hint="eastAsia" w:ascii="Times New Roman" w:hAnsi="Times New Roman"/>
                <w:color w:val="auto"/>
                <w:sz w:val="21"/>
                <w:szCs w:val="21"/>
                <w:highlight w:val="none"/>
                <w:lang w:bidi="ar"/>
              </w:rPr>
              <w:t>；</w:t>
            </w:r>
          </w:p>
          <w:p>
            <w:pPr>
              <w:pStyle w:val="2"/>
              <w:ind w:firstLine="0"/>
              <w:rPr>
                <w:rFonts w:ascii="Times New Roman" w:hAnsi="Times New Roman"/>
                <w:color w:val="auto"/>
                <w:sz w:val="21"/>
                <w:szCs w:val="21"/>
                <w:highlight w:val="none"/>
                <w:lang w:bidi="ar"/>
              </w:rPr>
            </w:pPr>
            <w:r>
              <w:rPr>
                <w:rFonts w:hint="eastAsia" w:ascii="Times New Roman" w:hAnsi="Times New Roman"/>
                <w:color w:val="auto"/>
                <w:sz w:val="21"/>
                <w:szCs w:val="21"/>
                <w:highlight w:val="none"/>
                <w:lang w:bidi="ar"/>
              </w:rPr>
              <w:t>4.</w:t>
            </w:r>
            <w:r>
              <w:rPr>
                <w:rFonts w:ascii="Times New Roman" w:hAnsi="Times New Roman"/>
                <w:color w:val="auto"/>
                <w:sz w:val="21"/>
                <w:szCs w:val="21"/>
                <w:highlight w:val="none"/>
                <w:lang w:bidi="ar"/>
              </w:rPr>
              <w:t>支持如下高速接口，PCle@ Gen2 x4, 2x USB3.0, SATA3.1, DisplayPort,4x Tri-mode Gigabit Ethernet</w:t>
            </w:r>
            <w:r>
              <w:rPr>
                <w:rFonts w:hint="eastAsia" w:ascii="Times New Roman" w:hAnsi="Times New Roman"/>
                <w:color w:val="auto"/>
                <w:sz w:val="21"/>
                <w:szCs w:val="21"/>
                <w:highlight w:val="none"/>
                <w:lang w:bidi="ar"/>
              </w:rPr>
              <w:t>；</w:t>
            </w:r>
          </w:p>
          <w:p>
            <w:pPr>
              <w:pStyle w:val="2"/>
              <w:ind w:firstLine="0"/>
              <w:rPr>
                <w:rFonts w:ascii="Times New Roman" w:hAnsi="Times New Roman"/>
                <w:color w:val="auto"/>
                <w:sz w:val="21"/>
                <w:szCs w:val="21"/>
                <w:highlight w:val="none"/>
                <w:lang w:bidi="ar"/>
              </w:rPr>
            </w:pPr>
            <w:r>
              <w:rPr>
                <w:rFonts w:hint="eastAsia" w:ascii="Times New Roman" w:hAnsi="Times New Roman"/>
                <w:color w:val="auto"/>
                <w:sz w:val="21"/>
                <w:szCs w:val="21"/>
                <w:highlight w:val="none"/>
                <w:lang w:bidi="ar"/>
              </w:rPr>
              <w:t>5.</w:t>
            </w:r>
            <w:r>
              <w:rPr>
                <w:rFonts w:ascii="Times New Roman" w:hAnsi="Times New Roman"/>
                <w:color w:val="auto"/>
                <w:sz w:val="21"/>
                <w:szCs w:val="21"/>
                <w:highlight w:val="none"/>
                <w:lang w:bidi="ar"/>
              </w:rPr>
              <w:t>支持如下普通接口，2xUSB 2.0, 2x SD/SDIO, 2x UART, 2x CAN 2.0B, 2x I2C, 2x SPI, 4x.32b GPIO</w:t>
            </w:r>
            <w:r>
              <w:rPr>
                <w:rFonts w:hint="eastAsia" w:ascii="Times New Roman" w:hAnsi="Times New Roman"/>
                <w:color w:val="auto"/>
                <w:sz w:val="21"/>
                <w:szCs w:val="21"/>
                <w:highlight w:val="none"/>
                <w:lang w:bidi="ar"/>
              </w:rPr>
              <w:t>；</w:t>
            </w:r>
          </w:p>
          <w:p>
            <w:pPr>
              <w:pStyle w:val="2"/>
              <w:ind w:firstLine="0"/>
              <w:rPr>
                <w:rFonts w:ascii="Times New Roman" w:hAnsi="Times New Roman"/>
                <w:color w:val="auto"/>
                <w:sz w:val="21"/>
                <w:szCs w:val="21"/>
                <w:highlight w:val="none"/>
                <w:lang w:bidi="ar"/>
              </w:rPr>
            </w:pPr>
            <w:r>
              <w:rPr>
                <w:rFonts w:hint="eastAsia" w:ascii="Times New Roman" w:hAnsi="Times New Roman"/>
                <w:color w:val="auto"/>
                <w:sz w:val="21"/>
                <w:szCs w:val="21"/>
                <w:highlight w:val="none"/>
                <w:lang w:bidi="ar"/>
              </w:rPr>
              <w:t>6.</w:t>
            </w:r>
            <w:r>
              <w:rPr>
                <w:rFonts w:ascii="Times New Roman" w:hAnsi="Times New Roman"/>
                <w:color w:val="auto"/>
                <w:sz w:val="21"/>
                <w:szCs w:val="21"/>
                <w:highlight w:val="none"/>
                <w:lang w:bidi="ar"/>
              </w:rPr>
              <w:t>FLASH资源，8GB EMMC FLASH，64M QSPI FLASH</w:t>
            </w:r>
            <w:r>
              <w:rPr>
                <w:rFonts w:hint="eastAsia" w:ascii="Times New Roman" w:hAnsi="Times New Roman"/>
                <w:color w:val="auto"/>
                <w:sz w:val="21"/>
                <w:szCs w:val="21"/>
                <w:highlight w:val="none"/>
                <w:lang w:bidi="ar"/>
              </w:rPr>
              <w:t>；</w:t>
            </w:r>
          </w:p>
          <w:p>
            <w:pPr>
              <w:pStyle w:val="2"/>
              <w:ind w:firstLine="0"/>
              <w:rPr>
                <w:rFonts w:ascii="Times New Roman" w:hAnsi="Times New Roman"/>
                <w:color w:val="auto"/>
                <w:sz w:val="21"/>
                <w:szCs w:val="21"/>
                <w:highlight w:val="none"/>
                <w:lang w:bidi="ar"/>
              </w:rPr>
            </w:pPr>
            <w:r>
              <w:rPr>
                <w:rFonts w:hint="eastAsia" w:ascii="Times New Roman" w:hAnsi="Times New Roman"/>
                <w:color w:val="auto"/>
                <w:sz w:val="21"/>
                <w:szCs w:val="21"/>
                <w:highlight w:val="none"/>
                <w:lang w:bidi="ar"/>
              </w:rPr>
              <w:t>7.</w:t>
            </w:r>
            <w:r>
              <w:rPr>
                <w:rFonts w:ascii="Times New Roman" w:hAnsi="Times New Roman"/>
                <w:color w:val="auto"/>
                <w:sz w:val="21"/>
                <w:szCs w:val="21"/>
                <w:highlight w:val="none"/>
                <w:lang w:bidi="ar"/>
              </w:rPr>
              <w:t>PS端4片1GB DDR4，共4GB, 64bit, 数据速率2400Mbps</w:t>
            </w:r>
            <w:r>
              <w:rPr>
                <w:rFonts w:hint="eastAsia" w:ascii="Times New Roman" w:hAnsi="Times New Roman"/>
                <w:color w:val="auto"/>
                <w:sz w:val="21"/>
                <w:szCs w:val="21"/>
                <w:highlight w:val="none"/>
                <w:lang w:bidi="ar"/>
              </w:rPr>
              <w:t>；</w:t>
            </w:r>
          </w:p>
          <w:p>
            <w:pPr>
              <w:pStyle w:val="2"/>
              <w:ind w:firstLine="0"/>
              <w:rPr>
                <w:rFonts w:ascii="Times New Roman" w:hAnsi="Times New Roman"/>
                <w:color w:val="auto"/>
                <w:sz w:val="21"/>
                <w:szCs w:val="21"/>
                <w:highlight w:val="none"/>
                <w:lang w:bidi="ar"/>
              </w:rPr>
            </w:pPr>
            <w:r>
              <w:rPr>
                <w:rFonts w:hint="eastAsia" w:ascii="Times New Roman" w:hAnsi="Times New Roman"/>
                <w:color w:val="auto"/>
                <w:sz w:val="21"/>
                <w:szCs w:val="21"/>
                <w:highlight w:val="none"/>
                <w:lang w:bidi="ar"/>
              </w:rPr>
              <w:t>8.</w:t>
            </w:r>
            <w:r>
              <w:rPr>
                <w:rFonts w:ascii="Times New Roman" w:hAnsi="Times New Roman"/>
                <w:color w:val="auto"/>
                <w:sz w:val="21"/>
                <w:szCs w:val="21"/>
                <w:highlight w:val="none"/>
                <w:lang w:bidi="ar"/>
              </w:rPr>
              <w:t>PL端2片1GB DDR4，共2GB, 32bit, 数据速率2400Mbps</w:t>
            </w:r>
            <w:r>
              <w:rPr>
                <w:rFonts w:hint="eastAsia" w:ascii="Times New Roman" w:hAnsi="Times New Roman"/>
                <w:color w:val="auto"/>
                <w:sz w:val="21"/>
                <w:szCs w:val="21"/>
                <w:highlight w:val="none"/>
                <w:lang w:bidi="ar"/>
              </w:rPr>
              <w:t>；</w:t>
            </w:r>
          </w:p>
          <w:p>
            <w:pPr>
              <w:pStyle w:val="2"/>
              <w:ind w:firstLine="0"/>
              <w:rPr>
                <w:rFonts w:ascii="Times New Roman" w:hAnsi="Times New Roman"/>
                <w:color w:val="auto"/>
                <w:sz w:val="21"/>
                <w:szCs w:val="21"/>
                <w:highlight w:val="none"/>
                <w:lang w:bidi="ar"/>
              </w:rPr>
            </w:pPr>
            <w:r>
              <w:rPr>
                <w:rFonts w:hint="eastAsia" w:ascii="Times New Roman" w:hAnsi="Times New Roman"/>
                <w:color w:val="auto"/>
                <w:kern w:val="0"/>
                <w:sz w:val="21"/>
                <w:szCs w:val="21"/>
                <w:highlight w:val="none"/>
                <w:lang w:bidi="ar"/>
              </w:rPr>
              <w:t>9.</w:t>
            </w:r>
            <w:r>
              <w:rPr>
                <w:rFonts w:ascii="Times New Roman" w:hAnsi="Times New Roman"/>
                <w:color w:val="auto"/>
                <w:kern w:val="0"/>
                <w:sz w:val="21"/>
                <w:szCs w:val="21"/>
                <w:highlight w:val="none"/>
                <w:lang w:bidi="ar"/>
              </w:rPr>
              <w:t>含JTAG下载仿真器</w:t>
            </w:r>
            <w:r>
              <w:rPr>
                <w:rFonts w:hint="eastAsia" w:ascii="Times New Roman" w:hAnsi="Times New Roman"/>
                <w:color w:val="auto"/>
                <w:kern w:val="0"/>
                <w:sz w:val="21"/>
                <w:szCs w:val="21"/>
                <w:highlight w:val="none"/>
                <w:lang w:bidi="ar"/>
              </w:rPr>
              <w:t>；</w:t>
            </w:r>
          </w:p>
          <w:p>
            <w:pPr>
              <w:pStyle w:val="2"/>
              <w:ind w:firstLine="0"/>
              <w:rPr>
                <w:color w:val="auto"/>
                <w:highlight w:val="none"/>
                <w:lang w:bidi="ar"/>
              </w:rPr>
            </w:pPr>
            <w:r>
              <w:rPr>
                <w:rFonts w:hint="eastAsia" w:ascii="Times New Roman" w:hAnsi="Times New Roman"/>
                <w:color w:val="auto"/>
                <w:kern w:val="0"/>
                <w:sz w:val="21"/>
                <w:szCs w:val="21"/>
                <w:highlight w:val="none"/>
                <w:lang w:bidi="ar"/>
              </w:rPr>
              <w:t>10.供应商须</w:t>
            </w:r>
            <w:r>
              <w:rPr>
                <w:rFonts w:ascii="Times New Roman" w:hAnsi="Times New Roman"/>
                <w:color w:val="auto"/>
                <w:kern w:val="0"/>
                <w:sz w:val="21"/>
                <w:szCs w:val="21"/>
                <w:highlight w:val="none"/>
                <w:lang w:bidi="ar"/>
              </w:rPr>
              <w:t>提供源码和例程配合</w:t>
            </w:r>
            <w:r>
              <w:rPr>
                <w:rFonts w:hint="eastAsia" w:ascii="Times New Roman" w:hAnsi="Times New Roman"/>
                <w:color w:val="auto"/>
                <w:kern w:val="0"/>
                <w:sz w:val="21"/>
                <w:szCs w:val="21"/>
                <w:highlight w:val="none"/>
                <w:lang w:bidi="ar"/>
              </w:rPr>
              <w:t>采购人</w:t>
            </w:r>
            <w:r>
              <w:rPr>
                <w:rFonts w:ascii="Times New Roman" w:hAnsi="Times New Roman"/>
                <w:color w:val="auto"/>
                <w:kern w:val="0"/>
                <w:sz w:val="21"/>
                <w:szCs w:val="21"/>
                <w:highlight w:val="none"/>
                <w:lang w:bidi="ar"/>
              </w:rPr>
              <w:t>进行二次开发</w:t>
            </w:r>
            <w:r>
              <w:rPr>
                <w:rFonts w:hint="eastAsia" w:ascii="Times New Roman" w:hAnsi="Times New Roman"/>
                <w:color w:val="auto"/>
                <w:kern w:val="0"/>
                <w:sz w:val="21"/>
                <w:szCs w:val="21"/>
                <w:highlight w:val="none"/>
                <w:lang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446"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10</w:t>
            </w:r>
          </w:p>
        </w:tc>
        <w:tc>
          <w:tcPr>
            <w:tcW w:w="2444" w:type="dxa"/>
            <w:vAlign w:val="center"/>
          </w:tcPr>
          <w:p>
            <w:pPr>
              <w:widowControl/>
              <w:jc w:val="center"/>
              <w:textAlignment w:val="center"/>
              <w:rPr>
                <w:b/>
                <w:bCs/>
                <w:color w:val="auto"/>
                <w:kern w:val="0"/>
                <w:sz w:val="21"/>
                <w:szCs w:val="21"/>
                <w:highlight w:val="none"/>
                <w:lang w:bidi="ar"/>
              </w:rPr>
            </w:pPr>
            <w:r>
              <w:rPr>
                <w:rFonts w:hint="eastAsia"/>
                <w:b/>
                <w:bCs/>
                <w:color w:val="auto"/>
                <w:kern w:val="0"/>
                <w:sz w:val="21"/>
                <w:szCs w:val="21"/>
                <w:highlight w:val="none"/>
                <w:lang w:bidi="ar"/>
              </w:rPr>
              <w:t>FPGA开发套件2</w:t>
            </w:r>
          </w:p>
          <w:p>
            <w:pPr>
              <w:widowControl/>
              <w:jc w:val="center"/>
              <w:textAlignment w:val="center"/>
              <w:rPr>
                <w:b/>
                <w:bCs/>
                <w:color w:val="auto"/>
                <w:sz w:val="21"/>
                <w:szCs w:val="21"/>
                <w:highlight w:val="none"/>
              </w:rPr>
            </w:pPr>
            <w:r>
              <w:rPr>
                <w:rFonts w:hint="eastAsia"/>
                <w:b/>
                <w:bCs/>
                <w:color w:val="auto"/>
                <w:kern w:val="0"/>
                <w:sz w:val="21"/>
                <w:szCs w:val="21"/>
                <w:highlight w:val="none"/>
                <w:lang w:bidi="ar"/>
              </w:rPr>
              <w:t>（不允许采购进口产品）</w:t>
            </w:r>
          </w:p>
        </w:tc>
        <w:tc>
          <w:tcPr>
            <w:tcW w:w="495" w:type="dxa"/>
            <w:vAlign w:val="center"/>
          </w:tcPr>
          <w:p>
            <w:pPr>
              <w:widowControl/>
              <w:jc w:val="center"/>
              <w:textAlignment w:val="center"/>
              <w:rPr>
                <w:b/>
                <w:bCs/>
                <w:color w:val="auto"/>
                <w:sz w:val="21"/>
                <w:szCs w:val="21"/>
                <w:highlight w:val="none"/>
              </w:rPr>
            </w:pPr>
            <w:r>
              <w:rPr>
                <w:rFonts w:hint="eastAsia"/>
                <w:b/>
                <w:bCs/>
                <w:color w:val="auto"/>
                <w:kern w:val="0"/>
                <w:sz w:val="21"/>
                <w:szCs w:val="21"/>
                <w:highlight w:val="none"/>
                <w:lang w:bidi="ar"/>
              </w:rPr>
              <w:t>1</w:t>
            </w:r>
          </w:p>
        </w:tc>
        <w:tc>
          <w:tcPr>
            <w:tcW w:w="461"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套</w:t>
            </w:r>
          </w:p>
        </w:tc>
        <w:tc>
          <w:tcPr>
            <w:tcW w:w="6214" w:type="dxa"/>
            <w:vAlign w:val="center"/>
          </w:tcPr>
          <w:p>
            <w:pPr>
              <w:pStyle w:val="22"/>
              <w:widowControl/>
              <w:ind w:firstLine="0" w:firstLineChars="0"/>
              <w:jc w:val="left"/>
              <w:textAlignment w:val="center"/>
              <w:rPr>
                <w:rFonts w:ascii="Times New Roman" w:hAnsi="Times New Roman" w:cs="Times New Roman"/>
                <w:color w:val="auto"/>
                <w:kern w:val="0"/>
                <w:sz w:val="21"/>
                <w:szCs w:val="21"/>
                <w:highlight w:val="none"/>
                <w:lang w:bidi="ar"/>
              </w:rPr>
            </w:pPr>
            <w:r>
              <w:rPr>
                <w:rFonts w:hint="eastAsia" w:ascii="Times New Roman" w:hAnsi="Times New Roman" w:cs="Times New Roman"/>
                <w:color w:val="auto"/>
                <w:kern w:val="0"/>
                <w:sz w:val="21"/>
                <w:szCs w:val="21"/>
                <w:highlight w:val="none"/>
                <w:lang w:bidi="ar"/>
              </w:rPr>
              <w:t>1.</w:t>
            </w:r>
            <w:r>
              <w:rPr>
                <w:rFonts w:ascii="Times New Roman" w:hAnsi="Times New Roman" w:cs="Times New Roman"/>
                <w:color w:val="auto"/>
                <w:kern w:val="0"/>
                <w:sz w:val="21"/>
                <w:szCs w:val="21"/>
                <w:highlight w:val="none"/>
                <w:lang w:bidi="ar"/>
              </w:rPr>
              <w:t>FPGA芯片性能不低于XC7K325T-2FFG900I</w:t>
            </w:r>
            <w:r>
              <w:rPr>
                <w:rFonts w:hint="eastAsia" w:ascii="Times New Roman" w:hAnsi="Times New Roman" w:cs="Times New Roman"/>
                <w:color w:val="auto"/>
                <w:kern w:val="0"/>
                <w:sz w:val="21"/>
                <w:szCs w:val="21"/>
                <w:highlight w:val="none"/>
                <w:lang w:bidi="ar"/>
              </w:rPr>
              <w:t>（</w:t>
            </w:r>
            <w:r>
              <w:rPr>
                <w:rFonts w:ascii="Times New Roman" w:hAnsi="Times New Roman" w:cs="Times New Roman"/>
                <w:color w:val="auto"/>
                <w:kern w:val="0"/>
                <w:sz w:val="21"/>
                <w:szCs w:val="21"/>
                <w:highlight w:val="none"/>
                <w:lang w:bidi="ar"/>
              </w:rPr>
              <w:t>逻辑单元</w:t>
            </w:r>
            <w:r>
              <w:rPr>
                <w:rFonts w:hint="eastAsia" w:ascii="Times New Roman" w:hAnsi="Times New Roman" w:cs="Times New Roman"/>
                <w:color w:val="auto"/>
                <w:kern w:val="0"/>
                <w:sz w:val="21"/>
                <w:szCs w:val="21"/>
                <w:highlight w:val="none"/>
                <w:lang w:bidi="ar"/>
              </w:rPr>
              <w:t>≥</w:t>
            </w:r>
            <w:r>
              <w:rPr>
                <w:rFonts w:ascii="Times New Roman" w:hAnsi="Times New Roman" w:cs="Times New Roman"/>
                <w:color w:val="auto"/>
                <w:kern w:val="0"/>
                <w:sz w:val="21"/>
                <w:szCs w:val="21"/>
                <w:highlight w:val="none"/>
                <w:lang w:bidi="ar"/>
              </w:rPr>
              <w:t>320K,</w:t>
            </w:r>
            <w:r>
              <w:rPr>
                <w:rFonts w:hint="eastAsia" w:ascii="Times New Roman" w:hAnsi="Times New Roman" w:cs="Times New Roman"/>
                <w:color w:val="auto"/>
                <w:kern w:val="0"/>
                <w:sz w:val="21"/>
                <w:szCs w:val="21"/>
                <w:highlight w:val="none"/>
                <w:lang w:bidi="ar"/>
              </w:rPr>
              <w:t xml:space="preserve"> 触发器≥</w:t>
            </w:r>
            <w:r>
              <w:rPr>
                <w:rFonts w:ascii="Times New Roman" w:hAnsi="Times New Roman" w:cs="Times New Roman"/>
                <w:color w:val="auto"/>
                <w:kern w:val="0"/>
                <w:sz w:val="21"/>
                <w:szCs w:val="21"/>
                <w:highlight w:val="none"/>
                <w:lang w:bidi="ar"/>
              </w:rPr>
              <w:t>407</w:t>
            </w:r>
            <w:r>
              <w:rPr>
                <w:rFonts w:hint="eastAsia" w:ascii="Times New Roman" w:hAnsi="Times New Roman" w:cs="Times New Roman"/>
                <w:color w:val="auto"/>
                <w:kern w:val="0"/>
                <w:sz w:val="21"/>
                <w:szCs w:val="21"/>
                <w:highlight w:val="none"/>
                <w:lang w:bidi="ar"/>
              </w:rPr>
              <w:t xml:space="preserve">K, </w:t>
            </w:r>
            <w:r>
              <w:rPr>
                <w:rFonts w:ascii="Times New Roman" w:hAnsi="Times New Roman" w:cs="Times New Roman"/>
                <w:color w:val="auto"/>
                <w:kern w:val="0"/>
                <w:sz w:val="21"/>
                <w:szCs w:val="21"/>
                <w:highlight w:val="none"/>
                <w:lang w:bidi="ar"/>
              </w:rPr>
              <w:t>查找表</w:t>
            </w:r>
            <w:r>
              <w:rPr>
                <w:rFonts w:hint="eastAsia" w:ascii="Times New Roman" w:hAnsi="Times New Roman" w:cs="Times New Roman"/>
                <w:color w:val="auto"/>
                <w:kern w:val="0"/>
                <w:sz w:val="21"/>
                <w:szCs w:val="21"/>
                <w:highlight w:val="none"/>
                <w:lang w:bidi="ar"/>
              </w:rPr>
              <w:t>≥</w:t>
            </w:r>
            <w:r>
              <w:rPr>
                <w:rFonts w:ascii="Times New Roman" w:hAnsi="Times New Roman" w:cs="Times New Roman"/>
                <w:color w:val="auto"/>
                <w:kern w:val="0"/>
                <w:sz w:val="21"/>
                <w:szCs w:val="21"/>
                <w:highlight w:val="none"/>
                <w:lang w:bidi="ar"/>
              </w:rPr>
              <w:t>50</w:t>
            </w:r>
            <w:r>
              <w:rPr>
                <w:rFonts w:hint="eastAsia" w:ascii="Times New Roman" w:hAnsi="Times New Roman" w:cs="Times New Roman"/>
                <w:color w:val="auto"/>
                <w:kern w:val="0"/>
                <w:sz w:val="21"/>
                <w:szCs w:val="21"/>
                <w:highlight w:val="none"/>
                <w:lang w:bidi="ar"/>
              </w:rPr>
              <w:t>K</w:t>
            </w:r>
            <w:r>
              <w:rPr>
                <w:rFonts w:ascii="Times New Roman" w:hAnsi="Times New Roman" w:cs="Times New Roman"/>
                <w:color w:val="auto"/>
                <w:kern w:val="0"/>
                <w:sz w:val="21"/>
                <w:szCs w:val="21"/>
                <w:highlight w:val="none"/>
                <w:lang w:bidi="ar"/>
              </w:rPr>
              <w:t>，全局时钟数</w:t>
            </w:r>
            <w:r>
              <w:rPr>
                <w:rFonts w:hint="eastAsia" w:ascii="Times New Roman" w:hAnsi="Times New Roman" w:cs="Times New Roman"/>
                <w:color w:val="auto"/>
                <w:kern w:val="0"/>
                <w:sz w:val="21"/>
                <w:szCs w:val="21"/>
                <w:highlight w:val="none"/>
                <w:lang w:bidi="ar"/>
              </w:rPr>
              <w:t>≥</w:t>
            </w:r>
            <w:r>
              <w:rPr>
                <w:rFonts w:ascii="Times New Roman" w:hAnsi="Times New Roman" w:cs="Times New Roman"/>
                <w:color w:val="auto"/>
                <w:kern w:val="0"/>
                <w:sz w:val="21"/>
                <w:szCs w:val="21"/>
                <w:highlight w:val="none"/>
                <w:lang w:bidi="ar"/>
              </w:rPr>
              <w:t>4，RAM资源</w:t>
            </w:r>
            <w:r>
              <w:rPr>
                <w:rFonts w:hint="eastAsia" w:ascii="Times New Roman" w:hAnsi="Times New Roman" w:cs="Times New Roman"/>
                <w:color w:val="auto"/>
                <w:kern w:val="0"/>
                <w:sz w:val="21"/>
                <w:szCs w:val="21"/>
                <w:highlight w:val="none"/>
                <w:lang w:bidi="ar"/>
              </w:rPr>
              <w:t>≥</w:t>
            </w:r>
            <w:r>
              <w:rPr>
                <w:rFonts w:ascii="Times New Roman" w:hAnsi="Times New Roman" w:cs="Times New Roman"/>
                <w:color w:val="auto"/>
                <w:kern w:val="0"/>
                <w:sz w:val="21"/>
                <w:szCs w:val="21"/>
                <w:highlight w:val="none"/>
                <w:lang w:bidi="ar"/>
              </w:rPr>
              <w:t>18M）</w:t>
            </w:r>
            <w:r>
              <w:rPr>
                <w:rFonts w:hint="eastAsia" w:ascii="Times New Roman" w:hAnsi="Times New Roman" w:cs="Times New Roman"/>
                <w:color w:val="auto"/>
                <w:kern w:val="0"/>
                <w:sz w:val="21"/>
                <w:szCs w:val="21"/>
                <w:highlight w:val="none"/>
                <w:lang w:bidi="ar"/>
              </w:rPr>
              <w:t>；</w:t>
            </w:r>
          </w:p>
          <w:p>
            <w:pPr>
              <w:pStyle w:val="2"/>
              <w:ind w:firstLine="0"/>
              <w:rPr>
                <w:rFonts w:ascii="Times New Roman" w:hAnsi="Times New Roman"/>
                <w:color w:val="auto"/>
                <w:sz w:val="21"/>
                <w:szCs w:val="21"/>
                <w:highlight w:val="none"/>
                <w:lang w:bidi="ar"/>
              </w:rPr>
            </w:pPr>
            <w:r>
              <w:rPr>
                <w:rFonts w:hint="eastAsia" w:ascii="Times New Roman" w:hAnsi="Times New Roman"/>
                <w:color w:val="auto"/>
                <w:sz w:val="21"/>
                <w:szCs w:val="21"/>
                <w:highlight w:val="none"/>
                <w:lang w:bidi="ar"/>
              </w:rPr>
              <w:t>2.</w:t>
            </w:r>
            <w:r>
              <w:rPr>
                <w:rFonts w:ascii="Times New Roman" w:hAnsi="Times New Roman"/>
                <w:color w:val="auto"/>
                <w:sz w:val="21"/>
                <w:szCs w:val="21"/>
                <w:highlight w:val="none"/>
                <w:lang w:bidi="ar"/>
              </w:rPr>
              <w:t>FLASH资源，128Mbit QSPI FLASH</w:t>
            </w:r>
            <w:r>
              <w:rPr>
                <w:rFonts w:hint="eastAsia" w:ascii="Times New Roman" w:hAnsi="Times New Roman"/>
                <w:color w:val="auto"/>
                <w:sz w:val="21"/>
                <w:szCs w:val="21"/>
                <w:highlight w:val="none"/>
                <w:lang w:bidi="ar"/>
              </w:rPr>
              <w:t>；</w:t>
            </w:r>
          </w:p>
          <w:p>
            <w:pPr>
              <w:pStyle w:val="2"/>
              <w:ind w:firstLine="0"/>
              <w:rPr>
                <w:rFonts w:ascii="Times New Roman" w:hAnsi="Times New Roman"/>
                <w:color w:val="auto"/>
                <w:sz w:val="21"/>
                <w:szCs w:val="21"/>
                <w:highlight w:val="none"/>
                <w:lang w:bidi="ar"/>
              </w:rPr>
            </w:pPr>
            <w:r>
              <w:rPr>
                <w:rFonts w:hint="eastAsia" w:ascii="Times New Roman" w:hAnsi="Times New Roman"/>
                <w:color w:val="auto"/>
                <w:sz w:val="21"/>
                <w:szCs w:val="21"/>
                <w:highlight w:val="none"/>
                <w:lang w:bidi="ar"/>
              </w:rPr>
              <w:t>3.2GB DDR3内存；</w:t>
            </w:r>
          </w:p>
          <w:p>
            <w:pPr>
              <w:pStyle w:val="2"/>
              <w:ind w:firstLine="0"/>
              <w:rPr>
                <w:rFonts w:ascii="Times New Roman" w:hAnsi="Times New Roman"/>
                <w:color w:val="auto"/>
                <w:sz w:val="21"/>
                <w:szCs w:val="21"/>
                <w:highlight w:val="none"/>
                <w:lang w:bidi="ar"/>
              </w:rPr>
            </w:pPr>
            <w:r>
              <w:rPr>
                <w:rFonts w:hint="eastAsia" w:ascii="Times New Roman" w:hAnsi="Times New Roman"/>
                <w:color w:val="auto"/>
                <w:sz w:val="21"/>
                <w:szCs w:val="21"/>
                <w:highlight w:val="none"/>
                <w:lang w:bidi="ar"/>
              </w:rPr>
              <w:t>4.高精度</w:t>
            </w:r>
            <w:r>
              <w:rPr>
                <w:rFonts w:ascii="Times New Roman" w:hAnsi="Times New Roman"/>
                <w:color w:val="auto"/>
                <w:sz w:val="21"/>
                <w:szCs w:val="21"/>
                <w:highlight w:val="none"/>
                <w:lang w:bidi="ar"/>
              </w:rPr>
              <w:t>LVDS有源差分晶振，200</w:t>
            </w:r>
            <w:r>
              <w:rPr>
                <w:rFonts w:hint="eastAsia" w:ascii="Times New Roman" w:hAnsi="Times New Roman"/>
                <w:color w:val="auto"/>
                <w:sz w:val="21"/>
                <w:szCs w:val="21"/>
                <w:highlight w:val="none"/>
                <w:lang w:bidi="ar"/>
              </w:rPr>
              <w:t>M和125M；</w:t>
            </w:r>
          </w:p>
          <w:p>
            <w:pPr>
              <w:pStyle w:val="2"/>
              <w:ind w:firstLine="0"/>
              <w:rPr>
                <w:rFonts w:ascii="Times New Roman" w:hAnsi="Times New Roman"/>
                <w:color w:val="auto"/>
                <w:sz w:val="21"/>
                <w:szCs w:val="21"/>
                <w:highlight w:val="none"/>
                <w:lang w:bidi="ar"/>
              </w:rPr>
            </w:pPr>
            <w:r>
              <w:rPr>
                <w:rFonts w:hint="eastAsia" w:ascii="Times New Roman" w:hAnsi="Times New Roman"/>
                <w:color w:val="auto"/>
                <w:sz w:val="21"/>
                <w:szCs w:val="21"/>
                <w:highlight w:val="none"/>
                <w:lang w:bidi="ar"/>
              </w:rPr>
              <w:t>5.接口：</w:t>
            </w:r>
            <w:r>
              <w:rPr>
                <w:rFonts w:ascii="Times New Roman" w:hAnsi="Times New Roman"/>
                <w:color w:val="auto"/>
                <w:sz w:val="21"/>
                <w:szCs w:val="21"/>
                <w:highlight w:val="none"/>
                <w:lang w:bidi="ar"/>
              </w:rPr>
              <w:t>GTX收发器</w:t>
            </w:r>
            <w:r>
              <w:rPr>
                <w:rFonts w:hint="eastAsia" w:ascii="Times New Roman" w:hAnsi="Times New Roman"/>
                <w:color w:val="auto"/>
                <w:sz w:val="21"/>
                <w:szCs w:val="21"/>
                <w:highlight w:val="none"/>
                <w:lang w:bidi="ar"/>
              </w:rPr>
              <w:t>/</w:t>
            </w:r>
            <w:r>
              <w:rPr>
                <w:color w:val="auto"/>
                <w:highlight w:val="none"/>
              </w:rPr>
              <w:t xml:space="preserve"> </w:t>
            </w:r>
            <w:r>
              <w:rPr>
                <w:rFonts w:ascii="Times New Roman" w:hAnsi="Times New Roman"/>
                <w:color w:val="auto"/>
                <w:sz w:val="21"/>
                <w:szCs w:val="21"/>
                <w:highlight w:val="none"/>
                <w:lang w:bidi="ar"/>
              </w:rPr>
              <w:t>PCIEX8</w:t>
            </w:r>
            <w:r>
              <w:rPr>
                <w:rFonts w:hint="eastAsia" w:ascii="Times New Roman" w:hAnsi="Times New Roman"/>
                <w:color w:val="auto"/>
                <w:sz w:val="21"/>
                <w:szCs w:val="21"/>
                <w:highlight w:val="none"/>
                <w:lang w:bidi="ar"/>
              </w:rPr>
              <w:t>/光纤接口/</w:t>
            </w:r>
            <w:r>
              <w:rPr>
                <w:rFonts w:ascii="Times New Roman" w:hAnsi="Times New Roman"/>
                <w:color w:val="auto"/>
                <w:sz w:val="21"/>
                <w:szCs w:val="21"/>
                <w:highlight w:val="none"/>
                <w:lang w:bidi="ar"/>
              </w:rPr>
              <w:t>JTAG</w:t>
            </w:r>
            <w:r>
              <w:rPr>
                <w:rFonts w:hint="eastAsia" w:ascii="Times New Roman" w:hAnsi="Times New Roman"/>
                <w:color w:val="auto"/>
                <w:sz w:val="21"/>
                <w:szCs w:val="21"/>
                <w:highlight w:val="none"/>
                <w:lang w:bidi="ar"/>
              </w:rPr>
              <w:t>/</w:t>
            </w:r>
            <w:r>
              <w:rPr>
                <w:rFonts w:ascii="Times New Roman" w:hAnsi="Times New Roman"/>
                <w:color w:val="auto"/>
                <w:sz w:val="21"/>
                <w:szCs w:val="21"/>
                <w:highlight w:val="none"/>
                <w:lang w:bidi="ar"/>
              </w:rPr>
              <w:t>HDMI</w:t>
            </w:r>
            <w:r>
              <w:rPr>
                <w:rFonts w:hint="eastAsia" w:ascii="Times New Roman" w:hAnsi="Times New Roman"/>
                <w:color w:val="auto"/>
                <w:sz w:val="21"/>
                <w:szCs w:val="21"/>
                <w:highlight w:val="none"/>
                <w:lang w:bidi="ar"/>
              </w:rPr>
              <w:t>/</w:t>
            </w:r>
            <w:r>
              <w:rPr>
                <w:rFonts w:ascii="Times New Roman" w:hAnsi="Times New Roman"/>
                <w:color w:val="auto"/>
                <w:sz w:val="21"/>
                <w:szCs w:val="21"/>
                <w:highlight w:val="none"/>
                <w:lang w:bidi="ar"/>
              </w:rPr>
              <w:t>USB转串口</w:t>
            </w:r>
            <w:r>
              <w:rPr>
                <w:rFonts w:hint="eastAsia" w:ascii="Times New Roman" w:hAnsi="Times New Roman"/>
                <w:color w:val="auto"/>
                <w:sz w:val="21"/>
                <w:szCs w:val="21"/>
                <w:highlight w:val="none"/>
                <w:lang w:bidi="ar"/>
              </w:rPr>
              <w:t>/</w:t>
            </w:r>
            <w:r>
              <w:rPr>
                <w:rFonts w:ascii="Times New Roman" w:hAnsi="Times New Roman"/>
                <w:color w:val="auto"/>
                <w:sz w:val="21"/>
                <w:szCs w:val="21"/>
                <w:highlight w:val="none"/>
                <w:lang w:bidi="ar"/>
              </w:rPr>
              <w:t>SATA接口</w:t>
            </w:r>
            <w:r>
              <w:rPr>
                <w:rFonts w:hint="eastAsia" w:ascii="Times New Roman" w:hAnsi="Times New Roman"/>
                <w:color w:val="auto"/>
                <w:sz w:val="21"/>
                <w:szCs w:val="21"/>
                <w:highlight w:val="none"/>
                <w:lang w:bidi="ar"/>
              </w:rPr>
              <w:t>；</w:t>
            </w:r>
          </w:p>
          <w:p>
            <w:pPr>
              <w:pStyle w:val="2"/>
              <w:ind w:firstLine="0"/>
              <w:rPr>
                <w:rFonts w:ascii="Times New Roman" w:hAnsi="Times New Roman"/>
                <w:color w:val="auto"/>
                <w:sz w:val="21"/>
                <w:szCs w:val="21"/>
                <w:highlight w:val="none"/>
                <w:lang w:bidi="ar"/>
              </w:rPr>
            </w:pPr>
            <w:r>
              <w:rPr>
                <w:rFonts w:hint="eastAsia" w:ascii="Times New Roman" w:hAnsi="Times New Roman"/>
                <w:color w:val="auto"/>
                <w:sz w:val="21"/>
                <w:szCs w:val="21"/>
                <w:highlight w:val="none"/>
                <w:lang w:bidi="ar"/>
              </w:rPr>
              <w:t>6.</w:t>
            </w:r>
            <w:r>
              <w:rPr>
                <w:rFonts w:ascii="Times New Roman" w:hAnsi="Times New Roman"/>
                <w:color w:val="auto"/>
                <w:sz w:val="21"/>
                <w:szCs w:val="21"/>
                <w:highlight w:val="none"/>
                <w:lang w:bidi="ar"/>
              </w:rPr>
              <w:t>40针扩展口</w:t>
            </w:r>
            <w:r>
              <w:rPr>
                <w:rFonts w:hint="eastAsia" w:ascii="Times New Roman" w:hAnsi="Times New Roman"/>
                <w:color w:val="auto"/>
                <w:sz w:val="21"/>
                <w:szCs w:val="21"/>
                <w:highlight w:val="none"/>
                <w:lang w:bidi="ar"/>
              </w:rPr>
              <w:t>，可以外接各种模块</w:t>
            </w:r>
            <w:r>
              <w:rPr>
                <w:rFonts w:ascii="Times New Roman" w:hAnsi="Times New Roman"/>
                <w:color w:val="auto"/>
                <w:sz w:val="21"/>
                <w:szCs w:val="21"/>
                <w:highlight w:val="none"/>
                <w:lang w:bidi="ar"/>
              </w:rPr>
              <w:t>(双目摄像头，TFTLCD屏，高速AD模块等等)。扩展口包含5V电源1路，3.3V电源2路，地3路，IO口34路</w:t>
            </w:r>
            <w:r>
              <w:rPr>
                <w:rFonts w:hint="eastAsia" w:ascii="Times New Roman" w:hAnsi="Times New Roman"/>
                <w:color w:val="auto"/>
                <w:sz w:val="21"/>
                <w:szCs w:val="21"/>
                <w:highlight w:val="none"/>
                <w:lang w:bidi="ar"/>
              </w:rPr>
              <w:t>；</w:t>
            </w:r>
          </w:p>
          <w:p>
            <w:pPr>
              <w:pStyle w:val="2"/>
              <w:ind w:firstLine="0"/>
              <w:rPr>
                <w:rFonts w:ascii="Times New Roman" w:hAnsi="Times New Roman"/>
                <w:color w:val="auto"/>
                <w:sz w:val="21"/>
                <w:szCs w:val="21"/>
                <w:highlight w:val="none"/>
                <w:lang w:bidi="ar"/>
              </w:rPr>
            </w:pPr>
            <w:r>
              <w:rPr>
                <w:rFonts w:hint="eastAsia" w:ascii="Times New Roman" w:hAnsi="Times New Roman"/>
                <w:color w:val="auto"/>
                <w:kern w:val="0"/>
                <w:sz w:val="21"/>
                <w:szCs w:val="21"/>
                <w:highlight w:val="none"/>
                <w:lang w:bidi="ar"/>
              </w:rPr>
              <w:t>7.</w:t>
            </w:r>
            <w:r>
              <w:rPr>
                <w:rFonts w:ascii="Times New Roman" w:hAnsi="Times New Roman"/>
                <w:color w:val="auto"/>
                <w:kern w:val="0"/>
                <w:sz w:val="21"/>
                <w:szCs w:val="21"/>
                <w:highlight w:val="none"/>
                <w:lang w:bidi="ar"/>
              </w:rPr>
              <w:t>含JTAG下载仿真器</w:t>
            </w:r>
            <w:r>
              <w:rPr>
                <w:rFonts w:hint="eastAsia" w:ascii="Times New Roman" w:hAnsi="Times New Roman"/>
                <w:color w:val="auto"/>
                <w:kern w:val="0"/>
                <w:sz w:val="21"/>
                <w:szCs w:val="21"/>
                <w:highlight w:val="none"/>
                <w:lang w:bidi="ar"/>
              </w:rPr>
              <w:t>；</w:t>
            </w:r>
          </w:p>
          <w:p>
            <w:pPr>
              <w:pStyle w:val="2"/>
              <w:ind w:firstLine="0"/>
              <w:rPr>
                <w:color w:val="auto"/>
                <w:highlight w:val="none"/>
                <w:lang w:bidi="ar"/>
              </w:rPr>
            </w:pPr>
            <w:r>
              <w:rPr>
                <w:rFonts w:hint="eastAsia" w:ascii="Times New Roman" w:hAnsi="Times New Roman"/>
                <w:color w:val="auto"/>
                <w:kern w:val="0"/>
                <w:sz w:val="21"/>
                <w:szCs w:val="21"/>
                <w:highlight w:val="none"/>
                <w:lang w:bidi="ar"/>
              </w:rPr>
              <w:t>8.供应商须提供源码和例程配合采购人进行二次开发。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446"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11</w:t>
            </w:r>
          </w:p>
        </w:tc>
        <w:tc>
          <w:tcPr>
            <w:tcW w:w="2444" w:type="dxa"/>
            <w:vAlign w:val="center"/>
          </w:tcPr>
          <w:p>
            <w:pPr>
              <w:widowControl/>
              <w:jc w:val="center"/>
              <w:textAlignment w:val="center"/>
              <w:rPr>
                <w:b/>
                <w:bCs/>
                <w:color w:val="auto"/>
                <w:kern w:val="0"/>
                <w:sz w:val="21"/>
                <w:szCs w:val="21"/>
                <w:highlight w:val="none"/>
                <w:lang w:bidi="ar"/>
              </w:rPr>
            </w:pPr>
            <w:r>
              <w:rPr>
                <w:rFonts w:hint="eastAsia"/>
                <w:b/>
                <w:bCs/>
                <w:color w:val="auto"/>
                <w:kern w:val="0"/>
                <w:sz w:val="21"/>
                <w:szCs w:val="21"/>
                <w:highlight w:val="none"/>
                <w:lang w:bidi="ar"/>
              </w:rPr>
              <w:t>FPGA开发套件3</w:t>
            </w:r>
          </w:p>
          <w:p>
            <w:pPr>
              <w:widowControl/>
              <w:jc w:val="center"/>
              <w:textAlignment w:val="center"/>
              <w:rPr>
                <w:b/>
                <w:bCs/>
                <w:color w:val="auto"/>
                <w:sz w:val="21"/>
                <w:szCs w:val="21"/>
                <w:highlight w:val="none"/>
              </w:rPr>
            </w:pPr>
            <w:r>
              <w:rPr>
                <w:rFonts w:hint="eastAsia"/>
                <w:b/>
                <w:bCs/>
                <w:color w:val="auto"/>
                <w:kern w:val="0"/>
                <w:sz w:val="21"/>
                <w:szCs w:val="21"/>
                <w:highlight w:val="none"/>
                <w:lang w:bidi="ar"/>
              </w:rPr>
              <w:t>（不允许采购进口产品）</w:t>
            </w:r>
          </w:p>
        </w:tc>
        <w:tc>
          <w:tcPr>
            <w:tcW w:w="495" w:type="dxa"/>
            <w:vAlign w:val="center"/>
          </w:tcPr>
          <w:p>
            <w:pPr>
              <w:widowControl/>
              <w:jc w:val="center"/>
              <w:textAlignment w:val="center"/>
              <w:rPr>
                <w:b/>
                <w:bCs/>
                <w:color w:val="auto"/>
                <w:sz w:val="21"/>
                <w:szCs w:val="21"/>
                <w:highlight w:val="none"/>
              </w:rPr>
            </w:pPr>
            <w:r>
              <w:rPr>
                <w:rFonts w:hint="eastAsia"/>
                <w:b/>
                <w:bCs/>
                <w:color w:val="auto"/>
                <w:kern w:val="0"/>
                <w:sz w:val="21"/>
                <w:szCs w:val="21"/>
                <w:highlight w:val="none"/>
                <w:lang w:bidi="ar"/>
              </w:rPr>
              <w:t>2</w:t>
            </w:r>
          </w:p>
        </w:tc>
        <w:tc>
          <w:tcPr>
            <w:tcW w:w="461"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套</w:t>
            </w:r>
          </w:p>
        </w:tc>
        <w:tc>
          <w:tcPr>
            <w:tcW w:w="6214" w:type="dxa"/>
            <w:vAlign w:val="center"/>
          </w:tcPr>
          <w:p>
            <w:pPr>
              <w:pStyle w:val="22"/>
              <w:widowControl/>
              <w:ind w:firstLine="0" w:firstLineChars="0"/>
              <w:jc w:val="left"/>
              <w:textAlignment w:val="center"/>
              <w:rPr>
                <w:rFonts w:ascii="Times New Roman" w:hAnsi="Times New Roman" w:cs="Times New Roman"/>
                <w:color w:val="auto"/>
                <w:kern w:val="0"/>
                <w:sz w:val="21"/>
                <w:szCs w:val="21"/>
                <w:highlight w:val="none"/>
                <w:lang w:bidi="ar"/>
              </w:rPr>
            </w:pPr>
            <w:r>
              <w:rPr>
                <w:rFonts w:hint="eastAsia" w:ascii="Times New Roman" w:hAnsi="Times New Roman" w:cs="Times New Roman"/>
                <w:color w:val="auto"/>
                <w:kern w:val="0"/>
                <w:sz w:val="21"/>
                <w:szCs w:val="21"/>
                <w:highlight w:val="none"/>
                <w:lang w:bidi="ar"/>
              </w:rPr>
              <w:t>1.</w:t>
            </w:r>
            <w:r>
              <w:rPr>
                <w:rFonts w:ascii="Times New Roman" w:hAnsi="Times New Roman" w:cs="Times New Roman"/>
                <w:color w:val="auto"/>
                <w:kern w:val="0"/>
                <w:sz w:val="21"/>
                <w:szCs w:val="21"/>
                <w:highlight w:val="none"/>
                <w:lang w:bidi="ar"/>
              </w:rPr>
              <w:t>FPGA芯片性能不低于EP4CE40</w:t>
            </w:r>
            <w:r>
              <w:rPr>
                <w:rFonts w:hint="eastAsia" w:ascii="Times New Roman" w:hAnsi="Times New Roman" w:cs="Times New Roman"/>
                <w:color w:val="auto"/>
                <w:kern w:val="0"/>
                <w:sz w:val="21"/>
                <w:szCs w:val="21"/>
                <w:highlight w:val="none"/>
                <w:lang w:bidi="ar"/>
              </w:rPr>
              <w:t>（逻辑单元39600，</w:t>
            </w:r>
            <w:r>
              <w:rPr>
                <w:rFonts w:ascii="Times New Roman" w:hAnsi="Times New Roman" w:cs="Times New Roman"/>
                <w:color w:val="auto"/>
                <w:kern w:val="0"/>
                <w:sz w:val="21"/>
                <w:szCs w:val="21"/>
                <w:highlight w:val="none"/>
                <w:lang w:bidi="ar"/>
              </w:rPr>
              <w:t>116个18x18</w:t>
            </w:r>
            <w:r>
              <w:rPr>
                <w:rFonts w:hint="eastAsia" w:ascii="Times New Roman" w:hAnsi="Times New Roman" w:cs="Times New Roman"/>
                <w:color w:val="auto"/>
                <w:kern w:val="0"/>
                <w:sz w:val="21"/>
                <w:szCs w:val="21"/>
                <w:highlight w:val="none"/>
                <w:lang w:bidi="ar"/>
              </w:rPr>
              <w:t>乘法器，</w:t>
            </w:r>
            <w:r>
              <w:rPr>
                <w:rFonts w:ascii="Times New Roman" w:hAnsi="Times New Roman" w:cs="Times New Roman"/>
                <w:color w:val="auto"/>
                <w:kern w:val="0"/>
                <w:sz w:val="21"/>
                <w:szCs w:val="21"/>
                <w:highlight w:val="none"/>
                <w:lang w:bidi="ar"/>
              </w:rPr>
              <w:t>126 M9K</w:t>
            </w:r>
            <w:r>
              <w:rPr>
                <w:rFonts w:hint="eastAsia" w:ascii="Times New Roman" w:hAnsi="Times New Roman" w:cs="Times New Roman"/>
                <w:color w:val="auto"/>
                <w:kern w:val="0"/>
                <w:sz w:val="21"/>
                <w:szCs w:val="21"/>
                <w:highlight w:val="none"/>
                <w:lang w:bidi="ar"/>
              </w:rPr>
              <w:t xml:space="preserve"> RAM）；</w:t>
            </w:r>
          </w:p>
          <w:p>
            <w:pPr>
              <w:pStyle w:val="22"/>
              <w:widowControl/>
              <w:ind w:firstLine="0" w:firstLineChars="0"/>
              <w:jc w:val="left"/>
              <w:textAlignment w:val="center"/>
              <w:rPr>
                <w:rFonts w:ascii="Times New Roman" w:hAnsi="Times New Roman" w:cs="Times New Roman"/>
                <w:color w:val="auto"/>
                <w:kern w:val="0"/>
                <w:sz w:val="21"/>
                <w:szCs w:val="21"/>
                <w:highlight w:val="none"/>
                <w:lang w:bidi="ar"/>
              </w:rPr>
            </w:pPr>
            <w:r>
              <w:rPr>
                <w:rFonts w:hint="eastAsia" w:ascii="Times New Roman" w:hAnsi="Times New Roman" w:cs="Times New Roman"/>
                <w:color w:val="auto"/>
                <w:kern w:val="0"/>
                <w:sz w:val="21"/>
                <w:szCs w:val="21"/>
                <w:highlight w:val="none"/>
                <w:lang w:bidi="ar"/>
              </w:rPr>
              <w:t>2.支持HDMI输入输出，VGA输出，AV输入，以太网；</w:t>
            </w:r>
          </w:p>
          <w:p>
            <w:pPr>
              <w:pStyle w:val="22"/>
              <w:widowControl/>
              <w:ind w:firstLine="0" w:firstLineChars="0"/>
              <w:jc w:val="left"/>
              <w:textAlignment w:val="center"/>
              <w:rPr>
                <w:rFonts w:ascii="Times New Roman" w:hAnsi="Times New Roman" w:cs="Times New Roman"/>
                <w:color w:val="auto"/>
                <w:kern w:val="0"/>
                <w:sz w:val="21"/>
                <w:szCs w:val="21"/>
                <w:highlight w:val="none"/>
                <w:lang w:bidi="ar"/>
              </w:rPr>
            </w:pPr>
            <w:r>
              <w:rPr>
                <w:rFonts w:hint="eastAsia" w:ascii="Times New Roman" w:hAnsi="Times New Roman" w:cs="Times New Roman"/>
                <w:color w:val="auto"/>
                <w:kern w:val="0"/>
                <w:sz w:val="21"/>
                <w:szCs w:val="21"/>
                <w:highlight w:val="none"/>
                <w:lang w:bidi="ar"/>
              </w:rPr>
              <w:t>3.CMOS接口，可接OV5640摄像头</w:t>
            </w:r>
            <w:r>
              <w:rPr>
                <w:rFonts w:hint="eastAsia"/>
                <w:color w:val="auto"/>
                <w:highlight w:val="none"/>
              </w:rPr>
              <w:t>；</w:t>
            </w:r>
          </w:p>
          <w:p>
            <w:pPr>
              <w:pStyle w:val="22"/>
              <w:widowControl/>
              <w:ind w:firstLine="0" w:firstLineChars="0"/>
              <w:jc w:val="left"/>
              <w:textAlignment w:val="center"/>
              <w:rPr>
                <w:rFonts w:ascii="Times New Roman" w:hAnsi="Times New Roman" w:cs="Times New Roman"/>
                <w:color w:val="auto"/>
                <w:kern w:val="0"/>
                <w:sz w:val="21"/>
                <w:szCs w:val="21"/>
                <w:highlight w:val="none"/>
                <w:lang w:bidi="ar"/>
              </w:rPr>
            </w:pPr>
            <w:r>
              <w:rPr>
                <w:rFonts w:hint="eastAsia"/>
                <w:color w:val="auto"/>
                <w:kern w:val="0"/>
                <w:sz w:val="21"/>
                <w:szCs w:val="21"/>
                <w:highlight w:val="none"/>
                <w:lang w:bidi="ar"/>
              </w:rPr>
              <w:t>4.含≥5寸屏；</w:t>
            </w:r>
          </w:p>
          <w:p>
            <w:pPr>
              <w:pStyle w:val="2"/>
              <w:ind w:firstLine="0"/>
              <w:rPr>
                <w:rFonts w:ascii="Times New Roman" w:hAnsi="Times New Roman"/>
                <w:color w:val="auto"/>
                <w:sz w:val="21"/>
                <w:szCs w:val="21"/>
                <w:highlight w:val="none"/>
                <w:lang w:bidi="ar"/>
              </w:rPr>
            </w:pPr>
            <w:r>
              <w:rPr>
                <w:rFonts w:hint="eastAsia" w:ascii="Times New Roman" w:hAnsi="Times New Roman"/>
                <w:color w:val="auto"/>
                <w:sz w:val="21"/>
                <w:szCs w:val="21"/>
                <w:highlight w:val="none"/>
                <w:lang w:bidi="ar"/>
              </w:rPr>
              <w:t>5.ARM控制器，通过</w:t>
            </w:r>
            <w:r>
              <w:rPr>
                <w:rFonts w:ascii="Times New Roman" w:hAnsi="Times New Roman"/>
                <w:color w:val="auto"/>
                <w:sz w:val="21"/>
                <w:szCs w:val="21"/>
                <w:highlight w:val="none"/>
                <w:lang w:bidi="ar"/>
              </w:rPr>
              <w:t>I2C配置各接口芯片寄存器和FPGA数据通信</w:t>
            </w:r>
          </w:p>
          <w:p>
            <w:pPr>
              <w:pStyle w:val="2"/>
              <w:ind w:firstLine="0"/>
              <w:rPr>
                <w:rFonts w:ascii="Times New Roman" w:hAnsi="Times New Roman"/>
                <w:color w:val="auto"/>
                <w:sz w:val="21"/>
                <w:szCs w:val="21"/>
                <w:highlight w:val="none"/>
                <w:lang w:bidi="ar"/>
              </w:rPr>
            </w:pPr>
            <w:r>
              <w:rPr>
                <w:rFonts w:ascii="Times New Roman" w:hAnsi="Times New Roman"/>
                <w:color w:val="auto"/>
                <w:sz w:val="21"/>
                <w:szCs w:val="21"/>
                <w:highlight w:val="none"/>
                <w:lang w:bidi="ar"/>
              </w:rPr>
              <w:t>10针2.54mm标准的JTAG口</w:t>
            </w:r>
            <w:r>
              <w:rPr>
                <w:rFonts w:hint="eastAsia" w:ascii="Times New Roman" w:hAnsi="Times New Roman"/>
                <w:color w:val="auto"/>
                <w:sz w:val="21"/>
                <w:szCs w:val="21"/>
                <w:highlight w:val="none"/>
                <w:lang w:bidi="ar"/>
              </w:rPr>
              <w:t>及JTAG下载仿真器；</w:t>
            </w:r>
          </w:p>
          <w:p>
            <w:pPr>
              <w:pStyle w:val="22"/>
              <w:widowControl/>
              <w:ind w:firstLine="0" w:firstLineChars="0"/>
              <w:jc w:val="left"/>
              <w:textAlignment w:val="center"/>
              <w:rPr>
                <w:color w:val="auto"/>
                <w:kern w:val="0"/>
                <w:sz w:val="21"/>
                <w:szCs w:val="21"/>
                <w:highlight w:val="none"/>
                <w:lang w:bidi="ar"/>
              </w:rPr>
            </w:pPr>
            <w:r>
              <w:rPr>
                <w:rFonts w:hint="eastAsia" w:ascii="Times New Roman" w:hAnsi="Times New Roman" w:cs="Times New Roman"/>
                <w:color w:val="auto"/>
                <w:spacing w:val="-4"/>
                <w:sz w:val="21"/>
                <w:szCs w:val="21"/>
                <w:highlight w:val="none"/>
                <w:lang w:bidi="ar"/>
              </w:rPr>
              <w:t>6.</w:t>
            </w:r>
            <w:r>
              <w:rPr>
                <w:rFonts w:ascii="Times New Roman" w:hAnsi="Times New Roman" w:cs="Times New Roman"/>
                <w:color w:val="auto"/>
                <w:spacing w:val="-4"/>
                <w:sz w:val="21"/>
                <w:szCs w:val="21"/>
                <w:highlight w:val="none"/>
                <w:lang w:bidi="ar"/>
              </w:rPr>
              <w:t>1个40针2.54mm间距扩展口，可接各种模块(双目摄像头，LCD屏，高速AD模块等)。扩展口包含5V电源1路，3.3V 电源2路，地3路，IO口34路</w:t>
            </w:r>
            <w:r>
              <w:rPr>
                <w:rFonts w:hint="eastAsia" w:ascii="Times New Roman" w:hAnsi="Times New Roman" w:cs="Times New Roman"/>
                <w:color w:val="auto"/>
                <w:spacing w:val="-4"/>
                <w:sz w:val="21"/>
                <w:szCs w:val="21"/>
                <w:highlight w:val="none"/>
                <w:lang w:bidi="ar"/>
              </w:rPr>
              <w:t>；</w:t>
            </w:r>
          </w:p>
          <w:p>
            <w:pPr>
              <w:pStyle w:val="22"/>
              <w:widowControl/>
              <w:ind w:firstLine="0" w:firstLineChars="0"/>
              <w:jc w:val="left"/>
              <w:textAlignment w:val="center"/>
              <w:rPr>
                <w:color w:val="auto"/>
                <w:sz w:val="21"/>
                <w:szCs w:val="21"/>
                <w:highlight w:val="none"/>
              </w:rPr>
            </w:pPr>
            <w:r>
              <w:rPr>
                <w:rFonts w:hint="eastAsia" w:ascii="Times New Roman" w:hAnsi="Times New Roman" w:cs="Times New Roman"/>
                <w:color w:val="auto"/>
                <w:kern w:val="0"/>
                <w:sz w:val="21"/>
                <w:szCs w:val="21"/>
                <w:highlight w:val="none"/>
                <w:lang w:bidi="ar"/>
              </w:rPr>
              <w:t>7.供应商须提供源码和例程配合采购人进行二次开发。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446"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12</w:t>
            </w:r>
          </w:p>
        </w:tc>
        <w:tc>
          <w:tcPr>
            <w:tcW w:w="2444" w:type="dxa"/>
            <w:vAlign w:val="center"/>
          </w:tcPr>
          <w:p>
            <w:pPr>
              <w:widowControl/>
              <w:jc w:val="center"/>
              <w:textAlignment w:val="center"/>
              <w:rPr>
                <w:b/>
                <w:bCs/>
                <w:color w:val="auto"/>
                <w:kern w:val="0"/>
                <w:sz w:val="21"/>
                <w:szCs w:val="21"/>
                <w:highlight w:val="none"/>
                <w:lang w:bidi="ar"/>
              </w:rPr>
            </w:pPr>
            <w:r>
              <w:rPr>
                <w:rFonts w:hint="eastAsia"/>
                <w:b/>
                <w:bCs/>
                <w:color w:val="auto"/>
                <w:kern w:val="0"/>
                <w:sz w:val="21"/>
                <w:szCs w:val="21"/>
                <w:highlight w:val="none"/>
                <w:lang w:bidi="ar"/>
              </w:rPr>
              <w:t>示波器</w:t>
            </w:r>
          </w:p>
          <w:p>
            <w:pPr>
              <w:widowControl/>
              <w:jc w:val="center"/>
              <w:textAlignment w:val="center"/>
              <w:rPr>
                <w:b/>
                <w:bCs/>
                <w:color w:val="auto"/>
                <w:sz w:val="21"/>
                <w:szCs w:val="21"/>
                <w:highlight w:val="none"/>
              </w:rPr>
            </w:pPr>
            <w:r>
              <w:rPr>
                <w:rFonts w:hint="eastAsia"/>
                <w:b/>
                <w:bCs/>
                <w:color w:val="auto"/>
                <w:kern w:val="0"/>
                <w:sz w:val="21"/>
                <w:szCs w:val="21"/>
                <w:highlight w:val="none"/>
                <w:lang w:bidi="ar"/>
              </w:rPr>
              <w:t>（允许采购进口产品）（核心产品）</w:t>
            </w:r>
          </w:p>
        </w:tc>
        <w:tc>
          <w:tcPr>
            <w:tcW w:w="495" w:type="dxa"/>
            <w:vAlign w:val="center"/>
          </w:tcPr>
          <w:p>
            <w:pPr>
              <w:widowControl/>
              <w:jc w:val="center"/>
              <w:textAlignment w:val="center"/>
              <w:rPr>
                <w:b/>
                <w:bCs/>
                <w:color w:val="auto"/>
                <w:sz w:val="21"/>
                <w:szCs w:val="21"/>
                <w:highlight w:val="none"/>
              </w:rPr>
            </w:pPr>
            <w:r>
              <w:rPr>
                <w:rFonts w:hint="eastAsia"/>
                <w:b/>
                <w:bCs/>
                <w:color w:val="auto"/>
                <w:kern w:val="0"/>
                <w:sz w:val="21"/>
                <w:szCs w:val="21"/>
                <w:highlight w:val="none"/>
                <w:lang w:bidi="ar"/>
              </w:rPr>
              <w:t>1</w:t>
            </w:r>
          </w:p>
        </w:tc>
        <w:tc>
          <w:tcPr>
            <w:tcW w:w="461"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套</w:t>
            </w:r>
          </w:p>
        </w:tc>
        <w:tc>
          <w:tcPr>
            <w:tcW w:w="6214" w:type="dxa"/>
            <w:vAlign w:val="center"/>
          </w:tcPr>
          <w:p>
            <w:pPr>
              <w:rPr>
                <w:rFonts w:ascii="Times New Roman" w:hAnsi="Times New Roman" w:cs="Times New Roman"/>
                <w:bCs/>
                <w:color w:val="auto"/>
                <w:sz w:val="21"/>
                <w:szCs w:val="21"/>
                <w:highlight w:val="none"/>
              </w:rPr>
            </w:pPr>
            <w:r>
              <w:rPr>
                <w:rFonts w:hint="eastAsia" w:ascii="Times New Roman" w:hAnsi="Times New Roman" w:cs="Times New Roman"/>
                <w:bCs/>
                <w:color w:val="auto"/>
                <w:sz w:val="21"/>
                <w:szCs w:val="21"/>
                <w:highlight w:val="none"/>
              </w:rPr>
              <w:t>1.</w:t>
            </w:r>
            <w:r>
              <w:rPr>
                <w:rFonts w:ascii="Times New Roman" w:hAnsi="Times New Roman" w:cs="Times New Roman"/>
                <w:bCs/>
                <w:color w:val="auto"/>
                <w:sz w:val="21"/>
                <w:szCs w:val="21"/>
                <w:highlight w:val="none"/>
              </w:rPr>
              <w:t>四通道模拟带宽：4GHz</w:t>
            </w:r>
            <w:r>
              <w:rPr>
                <w:rFonts w:hint="eastAsia" w:ascii="Times New Roman" w:hAnsi="Times New Roman" w:cs="Times New Roman"/>
                <w:bCs/>
                <w:color w:val="auto"/>
                <w:sz w:val="21"/>
                <w:szCs w:val="21"/>
                <w:highlight w:val="none"/>
              </w:rPr>
              <w:t>；</w:t>
            </w:r>
          </w:p>
          <w:p>
            <w:pPr>
              <w:rPr>
                <w:rFonts w:ascii="Times New Roman" w:hAnsi="Times New Roman" w:cs="Times New Roman"/>
                <w:bCs/>
                <w:color w:val="auto"/>
                <w:sz w:val="21"/>
                <w:szCs w:val="21"/>
                <w:highlight w:val="none"/>
              </w:rPr>
            </w:pPr>
            <w:r>
              <w:rPr>
                <w:rFonts w:hint="eastAsia" w:ascii="Times New Roman" w:hAnsi="Times New Roman" w:cs="Times New Roman"/>
                <w:bCs/>
                <w:color w:val="auto"/>
                <w:sz w:val="21"/>
                <w:szCs w:val="21"/>
                <w:highlight w:val="none"/>
              </w:rPr>
              <w:t>2.</w:t>
            </w:r>
            <w:r>
              <w:rPr>
                <w:rFonts w:ascii="Times New Roman" w:hAnsi="Times New Roman" w:cs="Times New Roman"/>
                <w:bCs/>
                <w:color w:val="auto"/>
                <w:sz w:val="21"/>
                <w:szCs w:val="21"/>
                <w:highlight w:val="none"/>
              </w:rPr>
              <w:t>最大采样率：50GS/s</w:t>
            </w:r>
            <w:r>
              <w:rPr>
                <w:rFonts w:hint="eastAsia" w:ascii="Times New Roman" w:hAnsi="Times New Roman" w:cs="Times New Roman"/>
                <w:bCs/>
                <w:color w:val="auto"/>
                <w:sz w:val="21"/>
                <w:szCs w:val="21"/>
                <w:highlight w:val="none"/>
              </w:rPr>
              <w:t>；</w:t>
            </w:r>
          </w:p>
          <w:p>
            <w:pPr>
              <w:rPr>
                <w:rFonts w:ascii="Times New Roman" w:hAnsi="Times New Roman" w:cs="Times New Roman"/>
                <w:bCs/>
                <w:color w:val="auto"/>
                <w:sz w:val="21"/>
                <w:szCs w:val="21"/>
                <w:highlight w:val="none"/>
              </w:rPr>
            </w:pPr>
            <w:r>
              <w:rPr>
                <w:rFonts w:hint="eastAsia" w:ascii="Times New Roman" w:hAnsi="Times New Roman" w:cs="Times New Roman"/>
                <w:bCs/>
                <w:color w:val="auto"/>
                <w:sz w:val="21"/>
                <w:szCs w:val="21"/>
                <w:highlight w:val="none"/>
              </w:rPr>
              <w:t>3.</w:t>
            </w:r>
            <w:r>
              <w:rPr>
                <w:rFonts w:ascii="Times New Roman" w:hAnsi="Times New Roman" w:cs="Times New Roman"/>
                <w:bCs/>
                <w:color w:val="auto"/>
                <w:sz w:val="21"/>
                <w:szCs w:val="21"/>
                <w:highlight w:val="none"/>
              </w:rPr>
              <w:t>四通道同时使用采样率：25GS/s</w:t>
            </w:r>
            <w:r>
              <w:rPr>
                <w:rFonts w:hint="eastAsia" w:ascii="Times New Roman" w:hAnsi="Times New Roman" w:cs="Times New Roman"/>
                <w:bCs/>
                <w:color w:val="auto"/>
                <w:sz w:val="21"/>
                <w:szCs w:val="21"/>
                <w:highlight w:val="none"/>
              </w:rPr>
              <w:t>；</w:t>
            </w:r>
          </w:p>
          <w:p>
            <w:pPr>
              <w:rPr>
                <w:rFonts w:ascii="Times New Roman" w:hAnsi="Times New Roman" w:cs="Times New Roman"/>
                <w:bCs/>
                <w:color w:val="auto"/>
                <w:sz w:val="21"/>
                <w:szCs w:val="21"/>
                <w:highlight w:val="none"/>
              </w:rPr>
            </w:pPr>
            <w:r>
              <w:rPr>
                <w:rFonts w:hint="eastAsia" w:ascii="Times New Roman" w:hAnsi="Times New Roman" w:cs="Times New Roman"/>
                <w:bCs/>
                <w:color w:val="auto"/>
                <w:sz w:val="21"/>
                <w:szCs w:val="21"/>
                <w:highlight w:val="none"/>
              </w:rPr>
              <w:t>4.</w:t>
            </w:r>
            <w:r>
              <w:rPr>
                <w:rFonts w:ascii="Times New Roman" w:hAnsi="Times New Roman" w:cs="Times New Roman"/>
                <w:bCs/>
                <w:color w:val="auto"/>
                <w:sz w:val="21"/>
                <w:szCs w:val="21"/>
                <w:highlight w:val="none"/>
              </w:rPr>
              <w:t>模拟通道数：4个</w:t>
            </w:r>
            <w:r>
              <w:rPr>
                <w:rFonts w:hint="eastAsia" w:ascii="Times New Roman" w:hAnsi="Times New Roman" w:cs="Times New Roman"/>
                <w:bCs/>
                <w:color w:val="auto"/>
                <w:sz w:val="21"/>
                <w:szCs w:val="21"/>
                <w:highlight w:val="none"/>
              </w:rPr>
              <w:t>；</w:t>
            </w:r>
          </w:p>
          <w:p>
            <w:pPr>
              <w:rPr>
                <w:rFonts w:ascii="Times New Roman" w:hAnsi="Times New Roman" w:cs="Times New Roman"/>
                <w:bCs/>
                <w:color w:val="auto"/>
                <w:sz w:val="21"/>
                <w:szCs w:val="21"/>
                <w:highlight w:val="none"/>
              </w:rPr>
            </w:pPr>
            <w:r>
              <w:rPr>
                <w:rFonts w:hint="eastAsia" w:ascii="Times New Roman" w:hAnsi="Times New Roman" w:cs="Times New Roman"/>
                <w:bCs/>
                <w:color w:val="auto"/>
                <w:sz w:val="21"/>
                <w:szCs w:val="21"/>
                <w:highlight w:val="none"/>
              </w:rPr>
              <w:t>5.</w:t>
            </w:r>
            <w:r>
              <w:rPr>
                <w:rFonts w:ascii="Times New Roman" w:hAnsi="Times New Roman" w:cs="Times New Roman"/>
                <w:bCs/>
                <w:color w:val="auto"/>
                <w:sz w:val="21"/>
                <w:szCs w:val="21"/>
                <w:highlight w:val="none"/>
              </w:rPr>
              <w:t>数字通道数：32个</w:t>
            </w:r>
            <w:r>
              <w:rPr>
                <w:rFonts w:hint="eastAsia" w:ascii="Times New Roman" w:hAnsi="Times New Roman" w:cs="Times New Roman"/>
                <w:bCs/>
                <w:color w:val="auto"/>
                <w:sz w:val="21"/>
                <w:szCs w:val="21"/>
                <w:highlight w:val="none"/>
              </w:rPr>
              <w:t>；</w:t>
            </w:r>
          </w:p>
          <w:p>
            <w:pPr>
              <w:rPr>
                <w:rFonts w:ascii="Times New Roman" w:hAnsi="Times New Roman" w:cs="Times New Roman"/>
                <w:bCs/>
                <w:color w:val="auto"/>
                <w:sz w:val="21"/>
                <w:szCs w:val="21"/>
                <w:highlight w:val="none"/>
              </w:rPr>
            </w:pPr>
            <w:r>
              <w:rPr>
                <w:rFonts w:hint="eastAsia" w:ascii="Times New Roman" w:hAnsi="Times New Roman" w:cs="Times New Roman"/>
                <w:bCs/>
                <w:color w:val="auto"/>
                <w:sz w:val="21"/>
                <w:szCs w:val="21"/>
                <w:highlight w:val="none"/>
              </w:rPr>
              <w:t>6.</w:t>
            </w:r>
            <w:r>
              <w:rPr>
                <w:rFonts w:ascii="Times New Roman" w:hAnsi="Times New Roman" w:cs="Times New Roman"/>
                <w:bCs/>
                <w:color w:val="auto"/>
                <w:sz w:val="21"/>
                <w:szCs w:val="21"/>
                <w:highlight w:val="none"/>
              </w:rPr>
              <w:t>ADC分辨率：12bit（硬件实现），高分辨率模式下可达16位</w:t>
            </w:r>
            <w:r>
              <w:rPr>
                <w:rFonts w:hint="eastAsia" w:ascii="Times New Roman" w:hAnsi="Times New Roman" w:cs="Times New Roman"/>
                <w:bCs/>
                <w:color w:val="auto"/>
                <w:sz w:val="21"/>
                <w:szCs w:val="21"/>
                <w:highlight w:val="none"/>
              </w:rPr>
              <w:t>；</w:t>
            </w:r>
          </w:p>
          <w:p>
            <w:pPr>
              <w:rPr>
                <w:rFonts w:ascii="Times New Roman" w:hAnsi="Times New Roman" w:cs="Times New Roman"/>
                <w:bCs/>
                <w:color w:val="auto"/>
                <w:sz w:val="21"/>
                <w:szCs w:val="21"/>
                <w:highlight w:val="none"/>
              </w:rPr>
            </w:pPr>
            <w:r>
              <w:rPr>
                <w:rFonts w:hint="eastAsia" w:ascii="Times New Roman" w:hAnsi="Times New Roman" w:cs="Times New Roman"/>
                <w:bCs/>
                <w:color w:val="auto"/>
                <w:sz w:val="21"/>
                <w:szCs w:val="21"/>
                <w:highlight w:val="none"/>
              </w:rPr>
              <w:t>7.</w:t>
            </w:r>
            <w:r>
              <w:rPr>
                <w:rFonts w:ascii="Times New Roman" w:hAnsi="Times New Roman" w:cs="Times New Roman"/>
                <w:bCs/>
                <w:color w:val="auto"/>
                <w:sz w:val="21"/>
                <w:szCs w:val="21"/>
                <w:highlight w:val="none"/>
              </w:rPr>
              <w:t>每通道存储深度：62.5M</w:t>
            </w:r>
            <w:r>
              <w:rPr>
                <w:rFonts w:hint="eastAsia" w:ascii="Times New Roman" w:hAnsi="Times New Roman" w:cs="Times New Roman"/>
                <w:bCs/>
                <w:color w:val="auto"/>
                <w:sz w:val="21"/>
                <w:szCs w:val="21"/>
                <w:highlight w:val="none"/>
              </w:rPr>
              <w:t>；</w:t>
            </w:r>
          </w:p>
          <w:p>
            <w:pPr>
              <w:rPr>
                <w:rFonts w:ascii="Times New Roman" w:hAnsi="Times New Roman" w:cs="Times New Roman"/>
                <w:bCs/>
                <w:color w:val="auto"/>
                <w:sz w:val="21"/>
                <w:szCs w:val="21"/>
                <w:highlight w:val="none"/>
              </w:rPr>
            </w:pPr>
            <w:r>
              <w:rPr>
                <w:rFonts w:hint="eastAsia" w:ascii="Times New Roman" w:hAnsi="Times New Roman" w:cs="Times New Roman"/>
                <w:bCs/>
                <w:color w:val="auto"/>
                <w:sz w:val="21"/>
                <w:szCs w:val="21"/>
                <w:highlight w:val="none"/>
              </w:rPr>
              <w:t>8.</w:t>
            </w:r>
            <w:r>
              <w:rPr>
                <w:rFonts w:ascii="Times New Roman" w:hAnsi="Times New Roman" w:cs="Times New Roman"/>
                <w:bCs/>
                <w:color w:val="auto"/>
                <w:sz w:val="21"/>
                <w:szCs w:val="21"/>
                <w:highlight w:val="none"/>
              </w:rPr>
              <w:t>支持软件带宽升级到10GHz</w:t>
            </w:r>
            <w:r>
              <w:rPr>
                <w:rFonts w:hint="eastAsia" w:ascii="Times New Roman" w:hAnsi="Times New Roman" w:cs="Times New Roman"/>
                <w:bCs/>
                <w:color w:val="auto"/>
                <w:sz w:val="21"/>
                <w:szCs w:val="21"/>
                <w:highlight w:val="none"/>
              </w:rPr>
              <w:t>；</w:t>
            </w:r>
          </w:p>
          <w:p>
            <w:pPr>
              <w:rPr>
                <w:rFonts w:ascii="Times New Roman" w:hAnsi="Times New Roman" w:cs="Times New Roman"/>
                <w:bCs/>
                <w:color w:val="auto"/>
                <w:sz w:val="21"/>
                <w:szCs w:val="21"/>
                <w:highlight w:val="none"/>
              </w:rPr>
            </w:pPr>
            <w:r>
              <w:rPr>
                <w:rFonts w:hint="eastAsia" w:ascii="Times New Roman" w:hAnsi="Times New Roman" w:cs="Times New Roman"/>
                <w:bCs/>
                <w:color w:val="auto"/>
                <w:sz w:val="21"/>
                <w:szCs w:val="21"/>
                <w:highlight w:val="none"/>
              </w:rPr>
              <w:t>9.</w:t>
            </w:r>
            <w:r>
              <w:rPr>
                <w:rFonts w:ascii="Times New Roman" w:hAnsi="Times New Roman" w:cs="Times New Roman"/>
                <w:bCs/>
                <w:color w:val="auto"/>
                <w:sz w:val="21"/>
                <w:szCs w:val="21"/>
                <w:highlight w:val="none"/>
              </w:rPr>
              <w:t>可视化触发：支持20个用户绘制区域的软件触发</w:t>
            </w:r>
            <w:r>
              <w:rPr>
                <w:rFonts w:hint="eastAsia" w:ascii="Times New Roman" w:hAnsi="Times New Roman" w:cs="Times New Roman"/>
                <w:bCs/>
                <w:color w:val="auto"/>
                <w:sz w:val="21"/>
                <w:szCs w:val="21"/>
                <w:highlight w:val="none"/>
              </w:rPr>
              <w:t>；</w:t>
            </w:r>
          </w:p>
          <w:p>
            <w:pPr>
              <w:rPr>
                <w:rFonts w:ascii="Times New Roman" w:hAnsi="Times New Roman" w:cs="Times New Roman"/>
                <w:bCs/>
                <w:color w:val="auto"/>
                <w:sz w:val="21"/>
                <w:szCs w:val="21"/>
                <w:highlight w:val="none"/>
              </w:rPr>
            </w:pPr>
            <w:r>
              <w:rPr>
                <w:rFonts w:hint="eastAsia" w:ascii="Times New Roman" w:hAnsi="Times New Roman" w:cs="Times New Roman"/>
                <w:bCs/>
                <w:color w:val="auto"/>
                <w:sz w:val="21"/>
                <w:szCs w:val="21"/>
                <w:highlight w:val="none"/>
              </w:rPr>
              <w:t>10.</w:t>
            </w:r>
            <w:r>
              <w:rPr>
                <w:rFonts w:ascii="Times New Roman" w:hAnsi="Times New Roman" w:cs="Times New Roman"/>
                <w:bCs/>
                <w:color w:val="auto"/>
                <w:sz w:val="21"/>
                <w:szCs w:val="21"/>
                <w:highlight w:val="none"/>
              </w:rPr>
              <w:t>操作系统：标配linux系统，</w:t>
            </w:r>
            <w:r>
              <w:rPr>
                <w:rFonts w:hint="eastAsia" w:ascii="Times New Roman" w:hAnsi="Times New Roman" w:cs="Times New Roman"/>
                <w:bCs/>
                <w:color w:val="auto"/>
                <w:sz w:val="21"/>
                <w:szCs w:val="21"/>
                <w:highlight w:val="none"/>
              </w:rPr>
              <w:t>支持</w:t>
            </w:r>
            <w:r>
              <w:rPr>
                <w:rFonts w:ascii="Times New Roman" w:hAnsi="Times New Roman" w:cs="Times New Roman"/>
                <w:bCs/>
                <w:color w:val="auto"/>
                <w:sz w:val="21"/>
                <w:szCs w:val="21"/>
                <w:highlight w:val="none"/>
              </w:rPr>
              <w:t>选配windows系统</w:t>
            </w:r>
            <w:r>
              <w:rPr>
                <w:rFonts w:hint="eastAsia" w:ascii="Times New Roman" w:hAnsi="Times New Roman" w:cs="Times New Roman"/>
                <w:bCs/>
                <w:color w:val="auto"/>
                <w:sz w:val="21"/>
                <w:szCs w:val="21"/>
                <w:highlight w:val="none"/>
              </w:rPr>
              <w:t>；</w:t>
            </w:r>
          </w:p>
          <w:p>
            <w:pPr>
              <w:rPr>
                <w:rFonts w:ascii="Times New Roman" w:hAnsi="Times New Roman" w:cs="Times New Roman"/>
                <w:bCs/>
                <w:color w:val="auto"/>
                <w:sz w:val="21"/>
                <w:szCs w:val="21"/>
                <w:highlight w:val="none"/>
              </w:rPr>
            </w:pPr>
            <w:r>
              <w:rPr>
                <w:rFonts w:hint="eastAsia" w:ascii="Times New Roman" w:hAnsi="Times New Roman" w:cs="Times New Roman"/>
                <w:bCs/>
                <w:color w:val="auto"/>
                <w:sz w:val="21"/>
                <w:szCs w:val="21"/>
                <w:highlight w:val="none"/>
              </w:rPr>
              <w:t>11.</w:t>
            </w:r>
            <w:r>
              <w:rPr>
                <w:rFonts w:ascii="Times New Roman" w:hAnsi="Times New Roman" w:cs="Times New Roman"/>
                <w:bCs/>
                <w:color w:val="auto"/>
                <w:sz w:val="21"/>
                <w:szCs w:val="21"/>
                <w:highlight w:val="none"/>
              </w:rPr>
              <w:t>波形捕获率：</w:t>
            </w:r>
            <w:r>
              <w:rPr>
                <w:rFonts w:hint="eastAsia" w:ascii="Times New Roman" w:hAnsi="Times New Roman" w:cs="Times New Roman"/>
                <w:bCs/>
                <w:color w:val="auto"/>
                <w:sz w:val="21"/>
                <w:szCs w:val="21"/>
                <w:highlight w:val="none"/>
              </w:rPr>
              <w:t>≥</w:t>
            </w:r>
            <w:r>
              <w:rPr>
                <w:rFonts w:ascii="Times New Roman" w:hAnsi="Times New Roman" w:cs="Times New Roman"/>
                <w:bCs/>
                <w:color w:val="auto"/>
                <w:sz w:val="21"/>
                <w:szCs w:val="21"/>
                <w:highlight w:val="none"/>
              </w:rPr>
              <w:t>500,000 wfms/s</w:t>
            </w:r>
            <w:r>
              <w:rPr>
                <w:rFonts w:hint="eastAsia" w:ascii="Times New Roman" w:hAnsi="Times New Roman" w:cs="Times New Roman"/>
                <w:bCs/>
                <w:color w:val="auto"/>
                <w:sz w:val="21"/>
                <w:szCs w:val="21"/>
                <w:highlight w:val="none"/>
              </w:rPr>
              <w:t>；</w:t>
            </w:r>
          </w:p>
          <w:p>
            <w:pPr>
              <w:rPr>
                <w:rFonts w:ascii="Times New Roman" w:hAnsi="Times New Roman" w:cs="Times New Roman"/>
                <w:bCs/>
                <w:color w:val="auto"/>
                <w:sz w:val="21"/>
                <w:szCs w:val="21"/>
                <w:highlight w:val="none"/>
              </w:rPr>
            </w:pPr>
            <w:r>
              <w:rPr>
                <w:rFonts w:hint="eastAsia" w:ascii="Times New Roman" w:hAnsi="Times New Roman" w:cs="Times New Roman"/>
                <w:bCs/>
                <w:color w:val="auto"/>
                <w:sz w:val="21"/>
                <w:szCs w:val="21"/>
                <w:highlight w:val="none"/>
              </w:rPr>
              <w:t>12.</w:t>
            </w:r>
            <w:r>
              <w:rPr>
                <w:rFonts w:ascii="Times New Roman" w:hAnsi="Times New Roman" w:cs="Times New Roman"/>
                <w:bCs/>
                <w:color w:val="auto"/>
                <w:sz w:val="21"/>
                <w:szCs w:val="21"/>
                <w:highlight w:val="none"/>
              </w:rPr>
              <w:t>标配4根1GHz，电容</w:t>
            </w:r>
            <w:r>
              <w:rPr>
                <w:rFonts w:hint="eastAsia" w:ascii="Times New Roman" w:hAnsi="Times New Roman" w:cs="Times New Roman"/>
                <w:bCs/>
                <w:color w:val="auto"/>
                <w:sz w:val="21"/>
                <w:szCs w:val="21"/>
                <w:highlight w:val="none"/>
              </w:rPr>
              <w:t>≤</w:t>
            </w:r>
            <w:r>
              <w:rPr>
                <w:rFonts w:ascii="Times New Roman" w:hAnsi="Times New Roman" w:cs="Times New Roman"/>
                <w:bCs/>
                <w:color w:val="auto"/>
                <w:sz w:val="21"/>
                <w:szCs w:val="21"/>
                <w:highlight w:val="none"/>
              </w:rPr>
              <w:t>4pF无源高阻探头</w:t>
            </w:r>
            <w:r>
              <w:rPr>
                <w:rFonts w:hint="eastAsia" w:ascii="Times New Roman" w:hAnsi="Times New Roman" w:cs="Times New Roman"/>
                <w:bCs/>
                <w:color w:val="auto"/>
                <w:sz w:val="21"/>
                <w:szCs w:val="21"/>
                <w:highlight w:val="none"/>
              </w:rPr>
              <w:t>；</w:t>
            </w:r>
          </w:p>
          <w:p>
            <w:pPr>
              <w:rPr>
                <w:rFonts w:ascii="Times New Roman" w:hAnsi="Times New Roman" w:cs="Times New Roman"/>
                <w:bCs/>
                <w:color w:val="auto"/>
                <w:sz w:val="21"/>
                <w:szCs w:val="21"/>
                <w:highlight w:val="none"/>
              </w:rPr>
            </w:pPr>
            <w:r>
              <w:rPr>
                <w:rFonts w:hint="eastAsia" w:ascii="Times New Roman" w:hAnsi="Times New Roman" w:cs="Times New Roman"/>
                <w:bCs/>
                <w:color w:val="auto"/>
                <w:sz w:val="21"/>
                <w:szCs w:val="21"/>
                <w:highlight w:val="none"/>
              </w:rPr>
              <w:t>13.</w:t>
            </w:r>
            <w:r>
              <w:rPr>
                <w:rFonts w:ascii="Times New Roman" w:hAnsi="Times New Roman" w:cs="Times New Roman"/>
                <w:bCs/>
                <w:color w:val="auto"/>
                <w:sz w:val="21"/>
                <w:szCs w:val="21"/>
                <w:highlight w:val="none"/>
              </w:rPr>
              <w:t>标配数字电压表以及频率计数器功能</w:t>
            </w:r>
            <w:r>
              <w:rPr>
                <w:rFonts w:hint="eastAsia" w:ascii="Times New Roman" w:hAnsi="Times New Roman" w:cs="Times New Roman"/>
                <w:bCs/>
                <w:color w:val="auto"/>
                <w:sz w:val="21"/>
                <w:szCs w:val="21"/>
                <w:highlight w:val="none"/>
              </w:rPr>
              <w:t>；</w:t>
            </w:r>
          </w:p>
          <w:p>
            <w:pPr>
              <w:rPr>
                <w:rFonts w:ascii="Times New Roman" w:hAnsi="Times New Roman" w:cs="Times New Roman"/>
                <w:bCs/>
                <w:color w:val="auto"/>
                <w:sz w:val="21"/>
                <w:szCs w:val="21"/>
                <w:highlight w:val="none"/>
              </w:rPr>
            </w:pPr>
            <w:r>
              <w:rPr>
                <w:rFonts w:hint="eastAsia" w:ascii="Times New Roman" w:hAnsi="Times New Roman" w:cs="Times New Roman"/>
                <w:bCs/>
                <w:color w:val="auto"/>
                <w:sz w:val="21"/>
                <w:szCs w:val="21"/>
                <w:highlight w:val="none"/>
              </w:rPr>
              <w:t>14.含4G差分探头2个；</w:t>
            </w:r>
          </w:p>
          <w:p>
            <w:pPr>
              <w:rPr>
                <w:color w:val="auto"/>
                <w:highlight w:val="none"/>
              </w:rPr>
            </w:pPr>
            <w:r>
              <w:rPr>
                <w:rFonts w:hint="eastAsia" w:ascii="Times New Roman" w:hAnsi="Times New Roman" w:cs="Times New Roman"/>
                <w:bCs/>
                <w:color w:val="auto"/>
                <w:sz w:val="21"/>
                <w:szCs w:val="21"/>
                <w:highlight w:val="none"/>
              </w:rPr>
              <w:t>15.含万兆以太网夹具1个及</w:t>
            </w:r>
            <w:r>
              <w:rPr>
                <w:rFonts w:hint="eastAsia" w:ascii="Times New Roman" w:hAnsi="Times New Roman" w:cs="Times New Roman"/>
                <w:color w:val="auto"/>
                <w:kern w:val="0"/>
                <w:sz w:val="21"/>
                <w:szCs w:val="21"/>
                <w:highlight w:val="none"/>
                <w:lang w:bidi="ar"/>
              </w:rPr>
              <w:t>万兆以太网一致性测试软件；</w:t>
            </w:r>
          </w:p>
          <w:p>
            <w:pPr>
              <w:pStyle w:val="22"/>
              <w:widowControl/>
              <w:ind w:firstLine="0" w:firstLineChars="0"/>
              <w:jc w:val="left"/>
              <w:textAlignment w:val="center"/>
              <w:rPr>
                <w:rFonts w:ascii="Times New Roman" w:hAnsi="Times New Roman" w:cs="Times New Roman"/>
                <w:color w:val="auto"/>
                <w:kern w:val="0"/>
                <w:sz w:val="21"/>
                <w:szCs w:val="21"/>
                <w:highlight w:val="none"/>
                <w:lang w:bidi="ar"/>
              </w:rPr>
            </w:pPr>
            <w:r>
              <w:rPr>
                <w:rFonts w:hint="eastAsia" w:ascii="Times New Roman" w:hAnsi="Times New Roman" w:cs="Times New Roman"/>
                <w:color w:val="auto"/>
                <w:kern w:val="0"/>
                <w:sz w:val="21"/>
                <w:szCs w:val="21"/>
                <w:highlight w:val="none"/>
                <w:lang w:bidi="ar"/>
              </w:rPr>
              <w:t>16.含</w:t>
            </w:r>
            <w:r>
              <w:rPr>
                <w:rFonts w:ascii="Times New Roman" w:hAnsi="Times New Roman" w:cs="Times New Roman"/>
                <w:color w:val="auto"/>
                <w:kern w:val="0"/>
                <w:sz w:val="21"/>
                <w:szCs w:val="21"/>
                <w:highlight w:val="none"/>
                <w:lang w:bidi="ar"/>
              </w:rPr>
              <w:t>高级抖动和眼图分析</w:t>
            </w:r>
            <w:r>
              <w:rPr>
                <w:rFonts w:hint="eastAsia" w:ascii="Times New Roman" w:hAnsi="Times New Roman" w:cs="Times New Roman"/>
                <w:color w:val="auto"/>
                <w:kern w:val="0"/>
                <w:sz w:val="21"/>
                <w:szCs w:val="21"/>
                <w:highlight w:val="none"/>
                <w:lang w:bidi="ar"/>
              </w:rPr>
              <w:t>软件；</w:t>
            </w:r>
          </w:p>
          <w:p>
            <w:pPr>
              <w:pStyle w:val="22"/>
              <w:widowControl/>
              <w:ind w:firstLine="0" w:firstLineChars="0"/>
              <w:jc w:val="left"/>
              <w:textAlignment w:val="center"/>
              <w:rPr>
                <w:color w:val="auto"/>
                <w:sz w:val="21"/>
                <w:szCs w:val="21"/>
                <w:highlight w:val="none"/>
              </w:rPr>
            </w:pPr>
            <w:r>
              <w:rPr>
                <w:rFonts w:hint="eastAsia" w:ascii="Times New Roman" w:hAnsi="Times New Roman" w:cs="Times New Roman"/>
                <w:color w:val="auto"/>
                <w:kern w:val="0"/>
                <w:sz w:val="21"/>
                <w:szCs w:val="21"/>
                <w:highlight w:val="none"/>
                <w:lang w:bidi="ar"/>
              </w:rPr>
              <w:t>17.</w:t>
            </w:r>
            <w:r>
              <w:rPr>
                <w:rFonts w:ascii="Times New Roman" w:hAnsi="Times New Roman" w:cs="Times New Roman"/>
                <w:color w:val="auto"/>
                <w:kern w:val="0"/>
                <w:sz w:val="21"/>
                <w:szCs w:val="21"/>
                <w:highlight w:val="none"/>
                <w:lang w:bidi="ar"/>
              </w:rPr>
              <w:t>供应商成交后须提供原厂质保文件</w:t>
            </w:r>
            <w:r>
              <w:rPr>
                <w:rFonts w:hint="eastAsia" w:ascii="Times New Roman" w:hAnsi="Times New Roman" w:cs="Times New Roman"/>
                <w:color w:val="auto"/>
                <w:kern w:val="0"/>
                <w:sz w:val="21"/>
                <w:szCs w:val="21"/>
                <w:highlight w:val="none"/>
                <w:lang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446"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13</w:t>
            </w:r>
          </w:p>
        </w:tc>
        <w:tc>
          <w:tcPr>
            <w:tcW w:w="2444" w:type="dxa"/>
            <w:vAlign w:val="center"/>
          </w:tcPr>
          <w:p>
            <w:pPr>
              <w:widowControl/>
              <w:jc w:val="center"/>
              <w:textAlignment w:val="center"/>
              <w:rPr>
                <w:b/>
                <w:bCs/>
                <w:color w:val="auto"/>
                <w:kern w:val="0"/>
                <w:sz w:val="21"/>
                <w:szCs w:val="21"/>
                <w:highlight w:val="none"/>
                <w:lang w:bidi="ar"/>
              </w:rPr>
            </w:pPr>
            <w:r>
              <w:rPr>
                <w:rFonts w:hint="eastAsia"/>
                <w:b/>
                <w:bCs/>
                <w:color w:val="auto"/>
                <w:kern w:val="0"/>
                <w:sz w:val="21"/>
                <w:szCs w:val="21"/>
                <w:highlight w:val="none"/>
                <w:lang w:bidi="ar"/>
              </w:rPr>
              <w:t>频谱仪套件</w:t>
            </w:r>
          </w:p>
          <w:p>
            <w:pPr>
              <w:widowControl/>
              <w:jc w:val="center"/>
              <w:textAlignment w:val="center"/>
              <w:rPr>
                <w:b/>
                <w:bCs/>
                <w:color w:val="auto"/>
                <w:sz w:val="21"/>
                <w:szCs w:val="21"/>
                <w:highlight w:val="none"/>
              </w:rPr>
            </w:pPr>
            <w:r>
              <w:rPr>
                <w:rFonts w:hint="eastAsia"/>
                <w:b/>
                <w:bCs/>
                <w:color w:val="auto"/>
                <w:kern w:val="0"/>
                <w:sz w:val="21"/>
                <w:szCs w:val="21"/>
                <w:highlight w:val="none"/>
                <w:lang w:bidi="ar"/>
              </w:rPr>
              <w:t>（不允许采购进口产品）</w:t>
            </w:r>
          </w:p>
        </w:tc>
        <w:tc>
          <w:tcPr>
            <w:tcW w:w="495" w:type="dxa"/>
            <w:vAlign w:val="center"/>
          </w:tcPr>
          <w:p>
            <w:pPr>
              <w:widowControl/>
              <w:jc w:val="center"/>
              <w:textAlignment w:val="center"/>
              <w:rPr>
                <w:b/>
                <w:bCs/>
                <w:color w:val="auto"/>
                <w:sz w:val="21"/>
                <w:szCs w:val="21"/>
                <w:highlight w:val="none"/>
              </w:rPr>
            </w:pPr>
            <w:r>
              <w:rPr>
                <w:rFonts w:hint="eastAsia"/>
                <w:b/>
                <w:bCs/>
                <w:color w:val="auto"/>
                <w:kern w:val="0"/>
                <w:sz w:val="21"/>
                <w:szCs w:val="21"/>
                <w:highlight w:val="none"/>
                <w:lang w:bidi="ar"/>
              </w:rPr>
              <w:t>1</w:t>
            </w:r>
          </w:p>
        </w:tc>
        <w:tc>
          <w:tcPr>
            <w:tcW w:w="461"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套</w:t>
            </w:r>
          </w:p>
        </w:tc>
        <w:tc>
          <w:tcPr>
            <w:tcW w:w="6214" w:type="dxa"/>
            <w:vAlign w:val="center"/>
          </w:tcPr>
          <w:p>
            <w:pPr>
              <w:pStyle w:val="22"/>
              <w:widowControl/>
              <w:ind w:firstLine="0" w:firstLineChars="0"/>
              <w:jc w:val="left"/>
              <w:textAlignment w:val="center"/>
              <w:rPr>
                <w:color w:val="auto"/>
                <w:kern w:val="0"/>
                <w:sz w:val="21"/>
                <w:szCs w:val="21"/>
                <w:highlight w:val="none"/>
                <w:lang w:bidi="ar"/>
              </w:rPr>
            </w:pPr>
            <w:r>
              <w:rPr>
                <w:rFonts w:hint="eastAsia"/>
                <w:color w:val="auto"/>
                <w:kern w:val="0"/>
                <w:sz w:val="21"/>
                <w:szCs w:val="21"/>
                <w:highlight w:val="none"/>
                <w:lang w:bidi="ar"/>
              </w:rPr>
              <w:t>1.采用全数字中频技术，频率范围从9 kHz 到3.2 GHz；</w:t>
            </w:r>
          </w:p>
          <w:p>
            <w:pPr>
              <w:pStyle w:val="22"/>
              <w:widowControl/>
              <w:ind w:firstLine="0" w:firstLineChars="0"/>
              <w:jc w:val="left"/>
              <w:textAlignment w:val="center"/>
              <w:rPr>
                <w:color w:val="auto"/>
                <w:kern w:val="0"/>
                <w:sz w:val="21"/>
                <w:szCs w:val="21"/>
                <w:highlight w:val="none"/>
                <w:lang w:bidi="ar"/>
              </w:rPr>
            </w:pPr>
            <w:r>
              <w:rPr>
                <w:rFonts w:hint="eastAsia"/>
                <w:color w:val="auto"/>
                <w:kern w:val="0"/>
                <w:sz w:val="21"/>
                <w:szCs w:val="21"/>
                <w:highlight w:val="none"/>
                <w:lang w:bidi="ar"/>
              </w:rPr>
              <w:t>2.显示平均噪声电平DANL：最低达-161 dBm（典型值）；</w:t>
            </w:r>
          </w:p>
          <w:p>
            <w:pPr>
              <w:pStyle w:val="22"/>
              <w:widowControl/>
              <w:ind w:firstLine="0" w:firstLineChars="0"/>
              <w:jc w:val="left"/>
              <w:textAlignment w:val="center"/>
              <w:rPr>
                <w:color w:val="auto"/>
                <w:kern w:val="0"/>
                <w:sz w:val="21"/>
                <w:szCs w:val="21"/>
                <w:highlight w:val="none"/>
                <w:lang w:bidi="ar"/>
              </w:rPr>
            </w:pPr>
            <w:r>
              <w:rPr>
                <w:rFonts w:hint="eastAsia"/>
                <w:color w:val="auto"/>
                <w:kern w:val="0"/>
                <w:sz w:val="21"/>
                <w:szCs w:val="21"/>
                <w:highlight w:val="none"/>
                <w:lang w:bidi="ar"/>
              </w:rPr>
              <w:t>3.相位噪声典型值：＜-98 dBc/Hz （偏移10 kHz处）；</w:t>
            </w:r>
          </w:p>
          <w:p>
            <w:pPr>
              <w:pStyle w:val="22"/>
              <w:widowControl/>
              <w:ind w:firstLine="0" w:firstLineChars="0"/>
              <w:jc w:val="left"/>
              <w:textAlignment w:val="center"/>
              <w:rPr>
                <w:color w:val="auto"/>
                <w:kern w:val="0"/>
                <w:sz w:val="21"/>
                <w:szCs w:val="21"/>
                <w:highlight w:val="none"/>
                <w:lang w:bidi="ar"/>
              </w:rPr>
            </w:pPr>
            <w:r>
              <w:rPr>
                <w:rFonts w:hint="eastAsia"/>
                <w:color w:val="auto"/>
                <w:kern w:val="0"/>
                <w:sz w:val="21"/>
                <w:szCs w:val="21"/>
                <w:highlight w:val="none"/>
                <w:lang w:bidi="ar"/>
              </w:rPr>
              <w:t>4.全幅度精度：＜0.8 dB；</w:t>
            </w:r>
          </w:p>
          <w:p>
            <w:pPr>
              <w:pStyle w:val="22"/>
              <w:widowControl/>
              <w:ind w:firstLine="0" w:firstLineChars="0"/>
              <w:jc w:val="left"/>
              <w:textAlignment w:val="center"/>
              <w:rPr>
                <w:color w:val="auto"/>
                <w:kern w:val="0"/>
                <w:sz w:val="21"/>
                <w:szCs w:val="21"/>
                <w:highlight w:val="none"/>
                <w:lang w:bidi="ar"/>
              </w:rPr>
            </w:pPr>
            <w:r>
              <w:rPr>
                <w:rFonts w:hint="eastAsia"/>
                <w:color w:val="auto"/>
                <w:kern w:val="0"/>
                <w:sz w:val="21"/>
                <w:szCs w:val="21"/>
                <w:highlight w:val="none"/>
                <w:lang w:bidi="ar"/>
              </w:rPr>
              <w:t>5.最小分辨率带宽(RBW)：10 Hz；</w:t>
            </w:r>
          </w:p>
          <w:p>
            <w:pPr>
              <w:pStyle w:val="22"/>
              <w:widowControl/>
              <w:ind w:firstLine="0" w:firstLineChars="0"/>
              <w:jc w:val="left"/>
              <w:textAlignment w:val="center"/>
              <w:rPr>
                <w:color w:val="auto"/>
                <w:kern w:val="0"/>
                <w:sz w:val="21"/>
                <w:szCs w:val="21"/>
                <w:highlight w:val="none"/>
                <w:lang w:bidi="ar"/>
              </w:rPr>
            </w:pPr>
            <w:r>
              <w:rPr>
                <w:rFonts w:hint="eastAsia"/>
                <w:color w:val="auto"/>
                <w:kern w:val="0"/>
                <w:sz w:val="21"/>
                <w:szCs w:val="21"/>
                <w:highlight w:val="none"/>
                <w:lang w:bidi="ar"/>
              </w:rPr>
              <w:t>6.频率：最高达7.5 GHz的跟踪源；</w:t>
            </w:r>
          </w:p>
          <w:p>
            <w:pPr>
              <w:pStyle w:val="22"/>
              <w:widowControl/>
              <w:ind w:firstLine="0" w:firstLineChars="0"/>
              <w:jc w:val="left"/>
              <w:textAlignment w:val="center"/>
              <w:rPr>
                <w:color w:val="auto"/>
                <w:kern w:val="0"/>
                <w:sz w:val="21"/>
                <w:szCs w:val="21"/>
                <w:highlight w:val="none"/>
                <w:lang w:bidi="ar"/>
              </w:rPr>
            </w:pPr>
            <w:r>
              <w:rPr>
                <w:rFonts w:hint="eastAsia"/>
                <w:color w:val="auto"/>
                <w:kern w:val="0"/>
                <w:sz w:val="21"/>
                <w:szCs w:val="21"/>
                <w:highlight w:val="none"/>
                <w:lang w:bidi="ar"/>
              </w:rPr>
              <w:t>7.含LAN(LXI),USB Host&amp;Device,USB-GPIB (选项)接口；</w:t>
            </w:r>
          </w:p>
          <w:p>
            <w:pPr>
              <w:pStyle w:val="22"/>
              <w:widowControl/>
              <w:ind w:firstLine="0" w:firstLineChars="0"/>
              <w:jc w:val="left"/>
              <w:textAlignment w:val="center"/>
              <w:rPr>
                <w:color w:val="auto"/>
                <w:kern w:val="0"/>
                <w:sz w:val="21"/>
                <w:szCs w:val="21"/>
                <w:highlight w:val="none"/>
                <w:lang w:bidi="ar"/>
              </w:rPr>
            </w:pPr>
            <w:r>
              <w:rPr>
                <w:rFonts w:hint="eastAsia"/>
                <w:color w:val="auto"/>
                <w:kern w:val="0"/>
                <w:sz w:val="21"/>
                <w:szCs w:val="21"/>
                <w:highlight w:val="none"/>
                <w:lang w:bidi="ar"/>
              </w:rPr>
              <w:t>8.含≥8 英寸 WVGA (800x480) 显示屏；</w:t>
            </w:r>
          </w:p>
          <w:p>
            <w:pPr>
              <w:pStyle w:val="22"/>
              <w:widowControl/>
              <w:ind w:firstLine="0" w:firstLineChars="0"/>
              <w:jc w:val="left"/>
              <w:textAlignment w:val="center"/>
              <w:rPr>
                <w:color w:val="auto"/>
                <w:kern w:val="0"/>
                <w:sz w:val="21"/>
                <w:szCs w:val="21"/>
                <w:highlight w:val="none"/>
                <w:lang w:bidi="ar"/>
              </w:rPr>
            </w:pPr>
            <w:r>
              <w:rPr>
                <w:rFonts w:hint="eastAsia"/>
                <w:color w:val="auto"/>
                <w:kern w:val="0"/>
                <w:sz w:val="21"/>
                <w:szCs w:val="21"/>
                <w:highlight w:val="none"/>
                <w:lang w:bidi="ar"/>
              </w:rPr>
              <w:t>9.配EMI滤波器和准峰值检波器；</w:t>
            </w:r>
          </w:p>
          <w:p>
            <w:pPr>
              <w:pStyle w:val="22"/>
              <w:widowControl/>
              <w:ind w:firstLine="0" w:firstLineChars="0"/>
              <w:jc w:val="left"/>
              <w:textAlignment w:val="center"/>
              <w:rPr>
                <w:color w:val="auto"/>
                <w:kern w:val="0"/>
                <w:sz w:val="21"/>
                <w:szCs w:val="21"/>
                <w:highlight w:val="none"/>
                <w:lang w:bidi="ar"/>
              </w:rPr>
            </w:pPr>
            <w:r>
              <w:rPr>
                <w:rFonts w:hint="eastAsia"/>
                <w:color w:val="auto"/>
                <w:kern w:val="0"/>
                <w:sz w:val="21"/>
                <w:szCs w:val="21"/>
                <w:highlight w:val="none"/>
                <w:lang w:bidi="ar"/>
              </w:rPr>
              <w:t>10.含近场探头包；</w:t>
            </w:r>
          </w:p>
          <w:p>
            <w:pPr>
              <w:pStyle w:val="22"/>
              <w:widowControl/>
              <w:ind w:firstLine="0" w:firstLineChars="0"/>
              <w:jc w:val="left"/>
              <w:textAlignment w:val="center"/>
              <w:rPr>
                <w:color w:val="auto"/>
                <w:sz w:val="21"/>
                <w:szCs w:val="21"/>
                <w:highlight w:val="none"/>
              </w:rPr>
            </w:pPr>
            <w:r>
              <w:rPr>
                <w:rFonts w:hint="eastAsia"/>
                <w:color w:val="auto"/>
                <w:kern w:val="0"/>
                <w:sz w:val="21"/>
                <w:szCs w:val="21"/>
                <w:highlight w:val="none"/>
                <w:lang w:bidi="ar"/>
              </w:rPr>
              <w:t>11.供应商成交后须</w:t>
            </w:r>
            <w:r>
              <w:rPr>
                <w:rFonts w:ascii="Times New Roman" w:hAnsi="Times New Roman" w:cs="Times New Roman"/>
                <w:color w:val="auto"/>
                <w:kern w:val="0"/>
                <w:sz w:val="21"/>
                <w:szCs w:val="21"/>
                <w:highlight w:val="none"/>
                <w:lang w:bidi="ar"/>
              </w:rPr>
              <w:t>提供原厂质保文件</w:t>
            </w:r>
            <w:r>
              <w:rPr>
                <w:rFonts w:hint="eastAsia" w:ascii="Times New Roman" w:hAnsi="Times New Roman" w:cs="Times New Roman"/>
                <w:color w:val="auto"/>
                <w:kern w:val="0"/>
                <w:sz w:val="21"/>
                <w:szCs w:val="21"/>
                <w:highlight w:val="none"/>
                <w:lang w:bidi="ar"/>
              </w:rPr>
              <w:t>。</w:t>
            </w:r>
          </w:p>
        </w:tc>
      </w:tr>
    </w:tbl>
    <w:p>
      <w:pPr>
        <w:adjustRightInd w:val="0"/>
        <w:snapToGrid w:val="0"/>
        <w:spacing w:line="288" w:lineRule="auto"/>
        <w:rPr>
          <w:rFonts w:cs="Times New Roman"/>
          <w:b/>
          <w:bCs/>
          <w:color w:val="auto"/>
          <w:sz w:val="21"/>
          <w:szCs w:val="21"/>
          <w:highlight w:val="none"/>
        </w:rPr>
      </w:pPr>
    </w:p>
    <w:p>
      <w:pPr>
        <w:adjustRightInd w:val="0"/>
        <w:snapToGrid w:val="0"/>
        <w:spacing w:line="288" w:lineRule="auto"/>
        <w:rPr>
          <w:rFonts w:cs="Times New Roman"/>
          <w:b/>
          <w:bCs/>
          <w:color w:val="auto"/>
          <w:sz w:val="21"/>
          <w:szCs w:val="21"/>
          <w:highlight w:val="none"/>
        </w:rPr>
      </w:pPr>
      <w:r>
        <w:rPr>
          <w:rFonts w:hint="eastAsia" w:cs="Times New Roman"/>
          <w:b/>
          <w:bCs/>
          <w:color w:val="auto"/>
          <w:sz w:val="21"/>
          <w:szCs w:val="21"/>
          <w:highlight w:val="none"/>
        </w:rPr>
        <w:t>注：</w:t>
      </w:r>
    </w:p>
    <w:p>
      <w:pPr>
        <w:adjustRightInd w:val="0"/>
        <w:snapToGrid w:val="0"/>
        <w:spacing w:line="288" w:lineRule="auto"/>
        <w:ind w:firstLine="422" w:firstLineChars="200"/>
        <w:jc w:val="left"/>
        <w:rPr>
          <w:color w:val="auto"/>
          <w:sz w:val="21"/>
          <w:szCs w:val="21"/>
          <w:highlight w:val="none"/>
        </w:rPr>
      </w:pPr>
      <w:r>
        <w:rPr>
          <w:rFonts w:hint="eastAsia" w:cs="Times New Roman"/>
          <w:b/>
          <w:bCs/>
          <w:color w:val="auto"/>
          <w:sz w:val="21"/>
          <w:szCs w:val="21"/>
          <w:highlight w:val="none"/>
        </w:rPr>
        <w:t>1.需执行的国家相关标准、行业标准、地方标准或者其他标准、规范：</w:t>
      </w:r>
      <w:r>
        <w:rPr>
          <w:rFonts w:hint="eastAsia"/>
          <w:color w:val="auto"/>
          <w:sz w:val="21"/>
          <w:szCs w:val="21"/>
          <w:highlight w:val="none"/>
        </w:rPr>
        <w:t>有强制性标准的执行国家强制性标准，无的统一执行最新相关标准、规范。</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第三章  供应商须知</w:t>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供应商须知前附表</w:t>
      </w:r>
    </w:p>
    <w:tbl>
      <w:tblPr>
        <w:tblStyle w:val="9"/>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条款号</w:t>
            </w:r>
          </w:p>
        </w:tc>
        <w:tc>
          <w:tcPr>
            <w:tcW w:w="1701"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内容</w:t>
            </w:r>
          </w:p>
        </w:tc>
        <w:tc>
          <w:tcPr>
            <w:tcW w:w="6663"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（一）</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适用范围</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本磋商文件适用于杭州电子科技大学示波器、数据处理卡等的磋商、评审、成交、验收、合同履约、付款等（法律、法规另有规定的，从其规定）。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（二）</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采购方式</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本次采购采用竞争性磋商（线上电子交易）方式进行。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（三）</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竞争性磋商委托</w:t>
            </w:r>
          </w:p>
        </w:tc>
        <w:tc>
          <w:tcPr>
            <w:tcW w:w="6663" w:type="dxa"/>
            <w:vAlign w:val="center"/>
          </w:tcPr>
          <w:p>
            <w:pPr>
              <w:adjustRightInd w:val="0"/>
              <w:snapToGrid w:val="0"/>
              <w:spacing w:line="288" w:lineRule="auto"/>
              <w:rPr>
                <w:color w:val="auto"/>
                <w:sz w:val="21"/>
                <w:szCs w:val="21"/>
                <w:highlight w:val="none"/>
              </w:rPr>
            </w:pPr>
            <w:r>
              <w:rPr>
                <w:color w:val="auto"/>
                <w:sz w:val="21"/>
                <w:szCs w:val="21"/>
                <w:highlight w:val="none"/>
              </w:rPr>
              <w:t>1</w:t>
            </w:r>
            <w:r>
              <w:rPr>
                <w:rFonts w:hint="eastAsia"/>
                <w:color w:val="auto"/>
                <w:sz w:val="21"/>
                <w:szCs w:val="21"/>
                <w:highlight w:val="none"/>
              </w:rPr>
              <w:t>.▲供应商授权代表必须为供应商本单位在职职工，并提供2020年12月（含）以后任意一月社保缴纳证明（授权代表为法定代表人可不提供）。</w:t>
            </w:r>
          </w:p>
          <w:p>
            <w:pPr>
              <w:adjustRightInd w:val="0"/>
              <w:snapToGrid w:val="0"/>
              <w:spacing w:line="288" w:lineRule="auto"/>
              <w:rPr>
                <w:color w:val="auto"/>
                <w:sz w:val="21"/>
                <w:szCs w:val="21"/>
                <w:highlight w:val="none"/>
              </w:rPr>
            </w:pPr>
            <w:r>
              <w:rPr>
                <w:color w:val="auto"/>
                <w:sz w:val="21"/>
                <w:szCs w:val="21"/>
                <w:highlight w:val="none"/>
              </w:rPr>
              <w:t>2</w:t>
            </w:r>
            <w:r>
              <w:rPr>
                <w:rFonts w:hint="eastAsia"/>
                <w:color w:val="auto"/>
                <w:sz w:val="21"/>
                <w:szCs w:val="21"/>
                <w:highlight w:val="none"/>
              </w:rPr>
              <w:t>.如供应商代表不是法定代表人，须有附有法定代表人资格证明书的法定代表人授权委托书（格式详见磋商文件第六章），供应商因未在线参加响应文件开启而导致电子加密响应文件无法按时解密等一切后果由供应商自行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（四）</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磋商费用</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1.不论磋商结果如何，供应商均应自行承担所有与磋商有关的全部费用；</w:t>
            </w:r>
          </w:p>
          <w:p>
            <w:pPr>
              <w:adjustRightInd w:val="0"/>
              <w:snapToGrid w:val="0"/>
              <w:spacing w:line="288" w:lineRule="auto"/>
              <w:rPr>
                <w:color w:val="auto"/>
                <w:sz w:val="21"/>
                <w:szCs w:val="21"/>
                <w:highlight w:val="none"/>
              </w:rPr>
            </w:pPr>
            <w:r>
              <w:rPr>
                <w:rFonts w:hint="eastAsia"/>
                <w:color w:val="auto"/>
                <w:sz w:val="21"/>
                <w:szCs w:val="21"/>
                <w:highlight w:val="none"/>
              </w:rPr>
              <w:t>2.成交供应商在成交通知书发出之日起七个工作日内，向采购代理机构交纳代理服务费；</w:t>
            </w:r>
          </w:p>
          <w:p>
            <w:pPr>
              <w:adjustRightInd w:val="0"/>
              <w:snapToGrid w:val="0"/>
              <w:spacing w:line="288" w:lineRule="auto"/>
              <w:rPr>
                <w:color w:val="auto"/>
                <w:sz w:val="21"/>
                <w:szCs w:val="21"/>
                <w:highlight w:val="none"/>
              </w:rPr>
            </w:pPr>
            <w:r>
              <w:rPr>
                <w:rFonts w:hint="eastAsia"/>
                <w:color w:val="auto"/>
                <w:sz w:val="21"/>
                <w:szCs w:val="21"/>
                <w:highlight w:val="none"/>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pPr>
              <w:adjustRightInd w:val="0"/>
              <w:snapToGrid w:val="0"/>
              <w:spacing w:line="288" w:lineRule="auto"/>
              <w:rPr>
                <w:color w:val="auto"/>
                <w:sz w:val="21"/>
                <w:szCs w:val="21"/>
                <w:highlight w:val="none"/>
              </w:rPr>
            </w:pPr>
            <w:bookmarkStart w:id="28" w:name="_Hlk71808378"/>
            <w:r>
              <w:rPr>
                <w:rFonts w:hint="eastAsia"/>
                <w:color w:val="auto"/>
                <w:sz w:val="21"/>
                <w:szCs w:val="21"/>
                <w:highlight w:val="none"/>
              </w:rPr>
              <w:t>4</w:t>
            </w:r>
            <w:r>
              <w:rPr>
                <w:color w:val="auto"/>
                <w:sz w:val="21"/>
                <w:szCs w:val="21"/>
                <w:highlight w:val="none"/>
              </w:rPr>
              <w:t>.</w:t>
            </w:r>
            <w:r>
              <w:rPr>
                <w:rFonts w:hint="eastAsia"/>
                <w:color w:val="auto"/>
                <w:sz w:val="21"/>
                <w:szCs w:val="21"/>
                <w:highlight w:val="none"/>
              </w:rPr>
              <w:t>代理服务费收费标准（差额累进）：</w:t>
            </w:r>
          </w:p>
          <w:tbl>
            <w:tblPr>
              <w:tblStyle w:val="10"/>
              <w:tblW w:w="485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17"/>
              <w:gridCol w:w="23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2517"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成交金额（万元）</w:t>
                  </w:r>
                </w:p>
              </w:tc>
              <w:tc>
                <w:tcPr>
                  <w:tcW w:w="2338"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收费标准（费率，%）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2517"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100以下</w:t>
                  </w:r>
                </w:p>
              </w:tc>
              <w:tc>
                <w:tcPr>
                  <w:tcW w:w="2338"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1.05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2517"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100-500</w:t>
                  </w:r>
                </w:p>
              </w:tc>
              <w:tc>
                <w:tcPr>
                  <w:tcW w:w="2338"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0.77</w:t>
                  </w:r>
                </w:p>
              </w:tc>
            </w:tr>
            <w:bookmarkEnd w:id="28"/>
          </w:tbl>
          <w:p>
            <w:pPr>
              <w:adjustRightInd w:val="0"/>
              <w:snapToGrid w:val="0"/>
              <w:spacing w:line="288" w:lineRule="auto"/>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（五）</w:t>
            </w:r>
          </w:p>
        </w:tc>
        <w:tc>
          <w:tcPr>
            <w:tcW w:w="1701" w:type="dxa"/>
            <w:vAlign w:val="center"/>
          </w:tcPr>
          <w:p>
            <w:pPr>
              <w:adjustRightInd w:val="0"/>
              <w:snapToGrid w:val="0"/>
              <w:spacing w:line="288" w:lineRule="auto"/>
              <w:jc w:val="center"/>
              <w:rPr>
                <w:color w:val="auto"/>
                <w:sz w:val="21"/>
                <w:szCs w:val="21"/>
                <w:highlight w:val="none"/>
              </w:rPr>
            </w:pPr>
            <w:r>
              <w:rPr>
                <w:rFonts w:hint="eastAsia" w:cs="Times New Roman"/>
                <w:color w:val="auto"/>
                <w:spacing w:val="-6"/>
                <w:sz w:val="21"/>
                <w:szCs w:val="21"/>
                <w:highlight w:val="none"/>
              </w:rPr>
              <w:t>磋商保证金（元）</w:t>
            </w:r>
          </w:p>
        </w:tc>
        <w:tc>
          <w:tcPr>
            <w:tcW w:w="6663" w:type="dxa"/>
            <w:vAlign w:val="center"/>
          </w:tcPr>
          <w:p>
            <w:pPr>
              <w:adjustRightInd w:val="0"/>
              <w:snapToGrid w:val="0"/>
              <w:spacing w:line="288" w:lineRule="auto"/>
              <w:rPr>
                <w:color w:val="auto"/>
                <w:sz w:val="21"/>
                <w:szCs w:val="21"/>
                <w:highlight w:val="none"/>
              </w:rPr>
            </w:pPr>
            <w:r>
              <w:rPr>
                <w:rFonts w:hint="eastAsia" w:cs="Times New Roman"/>
                <w:color w:val="auto"/>
                <w:spacing w:val="-6"/>
                <w:sz w:val="21"/>
                <w:szCs w:val="21"/>
                <w:highlight w:val="none"/>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（六）</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联合体响应</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本项目不接受联合体响应。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（七）</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转包与分包</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1.本项目不允许转包；</w:t>
            </w:r>
          </w:p>
          <w:p>
            <w:pPr>
              <w:adjustRightInd w:val="0"/>
              <w:snapToGrid w:val="0"/>
              <w:spacing w:line="288" w:lineRule="auto"/>
              <w:rPr>
                <w:color w:val="auto"/>
                <w:sz w:val="21"/>
                <w:szCs w:val="21"/>
                <w:highlight w:val="none"/>
              </w:rPr>
            </w:pPr>
            <w:r>
              <w:rPr>
                <w:rFonts w:hint="eastAsia"/>
                <w:color w:val="auto"/>
                <w:sz w:val="21"/>
                <w:szCs w:val="21"/>
                <w:highlight w:val="none"/>
              </w:rPr>
              <w:t>2.供应商根据磋商文件的规定和采购项目的实际情况，拟在成交后将成交项目的非主体、非关键性工作分包的，应当在响应文件中载明分包承担主体，分包承担主体应当具备相应资质条件且不得再次分包。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（八）</w:t>
            </w:r>
          </w:p>
        </w:tc>
        <w:tc>
          <w:tcPr>
            <w:tcW w:w="1701" w:type="dxa"/>
            <w:vAlign w:val="center"/>
          </w:tcPr>
          <w:p>
            <w:pPr>
              <w:adjustRightInd w:val="0"/>
              <w:snapToGrid w:val="0"/>
              <w:spacing w:line="288" w:lineRule="auto"/>
              <w:jc w:val="center"/>
              <w:rPr>
                <w:color w:val="auto"/>
                <w:sz w:val="21"/>
                <w:szCs w:val="21"/>
                <w:highlight w:val="none"/>
              </w:rPr>
            </w:pPr>
            <w:r>
              <w:rPr>
                <w:rFonts w:hint="eastAsia"/>
                <w:b/>
                <w:bCs/>
                <w:color w:val="auto"/>
                <w:sz w:val="21"/>
                <w:szCs w:val="21"/>
                <w:highlight w:val="none"/>
              </w:rPr>
              <w:t>信用记录</w:t>
            </w:r>
          </w:p>
        </w:tc>
        <w:tc>
          <w:tcPr>
            <w:tcW w:w="6663" w:type="dxa"/>
            <w:vAlign w:val="center"/>
          </w:tcPr>
          <w:p>
            <w:pPr>
              <w:adjustRightInd w:val="0"/>
              <w:snapToGrid w:val="0"/>
              <w:spacing w:line="288" w:lineRule="auto"/>
              <w:rPr>
                <w:bCs/>
                <w:color w:val="auto"/>
                <w:sz w:val="21"/>
                <w:szCs w:val="21"/>
                <w:highlight w:val="none"/>
              </w:rPr>
            </w:pPr>
            <w:bookmarkStart w:id="29" w:name="_Hlk71808489"/>
            <w:r>
              <w:rPr>
                <w:rFonts w:hint="eastAsia"/>
                <w:bCs/>
                <w:color w:val="auto"/>
                <w:sz w:val="21"/>
                <w:szCs w:val="21"/>
                <w:highlight w:val="none"/>
              </w:rPr>
              <w:t>根据财库[2016]125号《关于在政府采购活动中查询及使用信用记录有关问题的通知》要求，采购代理机构会对供应商信用记录进行查询并甄别。信用</w:t>
            </w:r>
            <w:r>
              <w:rPr>
                <w:rFonts w:hint="eastAsia"/>
                <w:color w:val="auto"/>
                <w:sz w:val="21"/>
                <w:szCs w:val="21"/>
                <w:highlight w:val="none"/>
              </w:rPr>
              <w:t>信息查询的截止时点：响应截止时间；</w:t>
            </w:r>
          </w:p>
          <w:p>
            <w:pPr>
              <w:adjustRightInd w:val="0"/>
              <w:snapToGrid w:val="0"/>
              <w:spacing w:line="288" w:lineRule="auto"/>
              <w:rPr>
                <w:color w:val="auto"/>
                <w:sz w:val="21"/>
                <w:szCs w:val="21"/>
                <w:highlight w:val="none"/>
              </w:rPr>
            </w:pPr>
            <w:r>
              <w:rPr>
                <w:rFonts w:hint="eastAsia"/>
                <w:color w:val="auto"/>
                <w:sz w:val="21"/>
                <w:szCs w:val="21"/>
                <w:highlight w:val="none"/>
              </w:rPr>
              <w:t>（</w:t>
            </w:r>
            <w:r>
              <w:rPr>
                <w:color w:val="auto"/>
                <w:sz w:val="21"/>
                <w:szCs w:val="21"/>
                <w:highlight w:val="none"/>
              </w:rPr>
              <w:t>1</w:t>
            </w:r>
            <w:r>
              <w:rPr>
                <w:rFonts w:hint="eastAsia"/>
                <w:color w:val="auto"/>
                <w:sz w:val="21"/>
                <w:szCs w:val="21"/>
                <w:highlight w:val="none"/>
              </w:rPr>
              <w:t>）查询渠道：“信用中国”（www.creditchina.gov.cn）、“中国政府采购网”（www.ccgp.gov.cn）；</w:t>
            </w:r>
          </w:p>
          <w:p>
            <w:pPr>
              <w:adjustRightInd w:val="0"/>
              <w:snapToGrid w:val="0"/>
              <w:spacing w:line="288" w:lineRule="auto"/>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）信用信息查询记录和证据留存具体方式：采购代理机构经办人和监督人员将查询网页打印、签字与其他采购文件一并保存；</w:t>
            </w:r>
          </w:p>
          <w:p>
            <w:pPr>
              <w:adjustRightInd w:val="0"/>
              <w:snapToGrid w:val="0"/>
              <w:spacing w:line="288" w:lineRule="auto"/>
              <w:rPr>
                <w:color w:val="auto"/>
                <w:sz w:val="21"/>
                <w:szCs w:val="21"/>
                <w:highlight w:val="none"/>
              </w:rPr>
            </w:pPr>
            <w:r>
              <w:rPr>
                <w:rFonts w:hint="eastAsia"/>
                <w:color w:val="auto"/>
                <w:sz w:val="21"/>
                <w:szCs w:val="21"/>
                <w:highlight w:val="none"/>
              </w:rPr>
              <w:t>（</w:t>
            </w:r>
            <w:r>
              <w:rPr>
                <w:color w:val="auto"/>
                <w:sz w:val="21"/>
                <w:szCs w:val="21"/>
                <w:highlight w:val="none"/>
              </w:rPr>
              <w:t>3</w:t>
            </w:r>
            <w:r>
              <w:rPr>
                <w:rFonts w:hint="eastAsia"/>
                <w:bCs/>
                <w:color w:val="auto"/>
                <w:sz w:val="21"/>
                <w:szCs w:val="21"/>
                <w:highlight w:val="none"/>
              </w:rPr>
              <w:t>）信用信息的使用规则：供应商被列入失信被执行人、重大税收违法案件当事人名单、政府采购严重违法失信行为记录名单的，拒绝其参与政府采购活动。</w:t>
            </w:r>
            <w:bookmarkEnd w:id="2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（九）</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资格审查要求的资格证明材料</w:t>
            </w:r>
          </w:p>
        </w:tc>
        <w:tc>
          <w:tcPr>
            <w:tcW w:w="6663" w:type="dxa"/>
            <w:vAlign w:val="center"/>
          </w:tcPr>
          <w:p>
            <w:pPr>
              <w:adjustRightInd w:val="0"/>
              <w:snapToGrid w:val="0"/>
              <w:spacing w:line="288" w:lineRule="auto"/>
              <w:rPr>
                <w:b/>
                <w:bCs/>
                <w:color w:val="auto"/>
                <w:sz w:val="21"/>
                <w:szCs w:val="21"/>
                <w:highlight w:val="none"/>
              </w:rPr>
            </w:pPr>
            <w:r>
              <w:rPr>
                <w:rFonts w:hint="eastAsia"/>
                <w:b/>
                <w:bCs/>
                <w:color w:val="auto"/>
                <w:sz w:val="21"/>
                <w:szCs w:val="21"/>
                <w:highlight w:val="none"/>
              </w:rPr>
              <w:t>资格审查要求的资格证明材料(均需加盖公章)：</w:t>
            </w:r>
          </w:p>
          <w:p>
            <w:pPr>
              <w:adjustRightInd w:val="0"/>
              <w:snapToGrid w:val="0"/>
              <w:spacing w:line="288" w:lineRule="auto"/>
              <w:rPr>
                <w:b/>
                <w:bCs/>
                <w:color w:val="auto"/>
                <w:sz w:val="21"/>
                <w:szCs w:val="21"/>
                <w:highlight w:val="none"/>
              </w:rPr>
            </w:pPr>
            <w:r>
              <w:rPr>
                <w:rFonts w:hint="eastAsia"/>
                <w:b/>
                <w:bCs/>
                <w:color w:val="auto"/>
                <w:sz w:val="21"/>
                <w:szCs w:val="21"/>
                <w:highlight w:val="none"/>
              </w:rPr>
              <w:t>（1）有效的法人或者其他组织的营业执照等证明文件，自然人的身份证明</w:t>
            </w:r>
          </w:p>
          <w:p>
            <w:pPr>
              <w:adjustRightInd w:val="0"/>
              <w:snapToGrid w:val="0"/>
              <w:spacing w:line="288" w:lineRule="auto"/>
              <w:rPr>
                <w:rFonts w:cs="Times New Roman"/>
                <w:b/>
                <w:bCs/>
                <w:color w:val="auto"/>
                <w:sz w:val="21"/>
                <w:szCs w:val="21"/>
                <w:highlight w:val="none"/>
              </w:rPr>
            </w:pPr>
            <w:r>
              <w:rPr>
                <w:rFonts w:hint="eastAsia" w:cs="Times New Roman"/>
                <w:b/>
                <w:bCs/>
                <w:color w:val="auto"/>
                <w:sz w:val="21"/>
                <w:szCs w:val="21"/>
                <w:highlight w:val="none"/>
              </w:rPr>
              <w:t>（</w:t>
            </w:r>
            <w:r>
              <w:rPr>
                <w:rFonts w:cs="Times New Roman"/>
                <w:b/>
                <w:bCs/>
                <w:color w:val="auto"/>
                <w:sz w:val="21"/>
                <w:szCs w:val="21"/>
                <w:highlight w:val="none"/>
              </w:rPr>
              <w:t>2）</w:t>
            </w:r>
            <w:r>
              <w:rPr>
                <w:rFonts w:hint="eastAsia" w:cs="Times New Roman"/>
                <w:b/>
                <w:bCs/>
                <w:color w:val="auto"/>
                <w:sz w:val="21"/>
                <w:szCs w:val="21"/>
                <w:highlight w:val="none"/>
              </w:rPr>
              <w:t>资格条件承诺函</w:t>
            </w:r>
          </w:p>
          <w:p>
            <w:pPr>
              <w:adjustRightInd w:val="0"/>
              <w:snapToGrid w:val="0"/>
              <w:spacing w:line="288" w:lineRule="auto"/>
              <w:rPr>
                <w:rFonts w:cs="Times New Roman"/>
                <w:b/>
                <w:bCs/>
                <w:color w:val="auto"/>
                <w:sz w:val="21"/>
                <w:szCs w:val="21"/>
                <w:highlight w:val="none"/>
              </w:rPr>
            </w:pPr>
            <w:r>
              <w:rPr>
                <w:rFonts w:hint="eastAsia" w:cs="Times New Roman"/>
                <w:b/>
                <w:bCs/>
                <w:color w:val="auto"/>
                <w:sz w:val="21"/>
                <w:szCs w:val="21"/>
                <w:highlight w:val="none"/>
              </w:rPr>
              <w:t>（</w:t>
            </w:r>
            <w:r>
              <w:rPr>
                <w:rFonts w:cs="Times New Roman"/>
                <w:b/>
                <w:bCs/>
                <w:color w:val="auto"/>
                <w:sz w:val="21"/>
                <w:szCs w:val="21"/>
                <w:highlight w:val="none"/>
              </w:rPr>
              <w:t>3）落实政府采购政策需满足的资格要求：无</w:t>
            </w:r>
          </w:p>
          <w:p>
            <w:pPr>
              <w:adjustRightInd w:val="0"/>
              <w:snapToGrid w:val="0"/>
              <w:spacing w:line="288" w:lineRule="auto"/>
              <w:rPr>
                <w:b/>
                <w:bCs/>
                <w:color w:val="auto"/>
                <w:sz w:val="21"/>
                <w:szCs w:val="21"/>
                <w:highlight w:val="none"/>
              </w:rPr>
            </w:pPr>
            <w:r>
              <w:rPr>
                <w:rFonts w:hint="eastAsia" w:cs="Times New Roman"/>
                <w:b/>
                <w:bCs/>
                <w:color w:val="auto"/>
                <w:sz w:val="21"/>
                <w:szCs w:val="21"/>
                <w:highlight w:val="none"/>
              </w:rPr>
              <w:t>（</w:t>
            </w:r>
            <w:r>
              <w:rPr>
                <w:rFonts w:cs="Times New Roman"/>
                <w:b/>
                <w:bCs/>
                <w:color w:val="auto"/>
                <w:sz w:val="21"/>
                <w:szCs w:val="21"/>
                <w:highlight w:val="none"/>
              </w:rPr>
              <w:t>4）供应商特定资格条件证明材料：无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（十）</w:t>
            </w:r>
          </w:p>
        </w:tc>
        <w:tc>
          <w:tcPr>
            <w:tcW w:w="1701" w:type="dxa"/>
            <w:vAlign w:val="center"/>
          </w:tcPr>
          <w:p>
            <w:pPr>
              <w:adjustRightInd w:val="0"/>
              <w:snapToGrid w:val="0"/>
              <w:spacing w:line="288" w:lineRule="auto"/>
              <w:jc w:val="center"/>
              <w:rPr>
                <w:color w:val="auto"/>
                <w:sz w:val="21"/>
                <w:szCs w:val="21"/>
                <w:highlight w:val="none"/>
              </w:rPr>
            </w:pPr>
            <w:r>
              <w:rPr>
                <w:rFonts w:hint="eastAsia"/>
                <w:b/>
                <w:bCs/>
                <w:color w:val="auto"/>
                <w:sz w:val="21"/>
                <w:szCs w:val="21"/>
                <w:highlight w:val="none"/>
              </w:rPr>
              <w:t>响应文件份数</w:t>
            </w:r>
          </w:p>
        </w:tc>
        <w:tc>
          <w:tcPr>
            <w:tcW w:w="6663" w:type="dxa"/>
            <w:vAlign w:val="center"/>
          </w:tcPr>
          <w:p>
            <w:pPr>
              <w:adjustRightInd w:val="0"/>
              <w:snapToGrid w:val="0"/>
              <w:spacing w:line="288" w:lineRule="auto"/>
              <w:ind w:firstLine="422" w:firstLineChars="200"/>
              <w:jc w:val="left"/>
              <w:rPr>
                <w:b/>
                <w:bCs/>
                <w:color w:val="auto"/>
                <w:sz w:val="21"/>
                <w:szCs w:val="21"/>
                <w:highlight w:val="none"/>
              </w:rPr>
            </w:pPr>
            <w:r>
              <w:rPr>
                <w:rFonts w:hint="eastAsia"/>
                <w:b/>
                <w:bCs/>
                <w:color w:val="auto"/>
                <w:sz w:val="21"/>
                <w:szCs w:val="21"/>
                <w:highlight w:val="none"/>
              </w:rPr>
              <w:t>电子加密响应文件：政府采购云平台在线上传一份；备份响应文件：密封包装后EMS或顺丰邮寄形式递交一份（邮寄地址：杭州市西湖区玉古路173号中田大厦11楼H室，浙江求是招标代理有限公司（陈应俭、俞炳）收，电话：0571-87670302，寄出后将（快递单号、项目名称、公司名称、联系方式等相关信息）发至：zb02@qszb.net，以便查收）。</w:t>
            </w:r>
          </w:p>
          <w:p>
            <w:pPr>
              <w:adjustRightInd w:val="0"/>
              <w:snapToGrid w:val="0"/>
              <w:spacing w:line="288" w:lineRule="auto"/>
              <w:ind w:firstLine="422" w:firstLineChars="200"/>
              <w:jc w:val="left"/>
              <w:rPr>
                <w:b/>
                <w:bCs/>
                <w:color w:val="auto"/>
                <w:sz w:val="21"/>
                <w:szCs w:val="21"/>
                <w:highlight w:val="none"/>
              </w:rPr>
            </w:pPr>
            <w:r>
              <w:rPr>
                <w:rFonts w:hint="eastAsia"/>
                <w:b/>
                <w:bCs/>
                <w:color w:val="auto"/>
                <w:sz w:val="21"/>
                <w:szCs w:val="21"/>
                <w:highlight w:val="none"/>
              </w:rPr>
              <w:t>特别说明：双休日和法定节假日不收件，供应商自行承担邮寄风险。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（十一）</w:t>
            </w:r>
          </w:p>
        </w:tc>
        <w:tc>
          <w:tcPr>
            <w:tcW w:w="1701" w:type="dxa"/>
            <w:vAlign w:val="center"/>
          </w:tcPr>
          <w:p>
            <w:pPr>
              <w:adjustRightInd w:val="0"/>
              <w:snapToGrid w:val="0"/>
              <w:spacing w:line="288" w:lineRule="auto"/>
              <w:jc w:val="center"/>
              <w:rPr>
                <w:color w:val="auto"/>
                <w:sz w:val="21"/>
                <w:szCs w:val="21"/>
                <w:highlight w:val="none"/>
              </w:rPr>
            </w:pPr>
            <w:r>
              <w:rPr>
                <w:rFonts w:hint="eastAsia"/>
                <w:b/>
                <w:bCs/>
                <w:color w:val="auto"/>
                <w:sz w:val="21"/>
                <w:szCs w:val="21"/>
                <w:highlight w:val="none"/>
              </w:rPr>
              <w:t>磋商报价</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1.报价应按磋商文件要求的格式编制、填写报价内容（可自行增行），未按磋商文件要求编制、填写的响应文件可能被拒绝；</w:t>
            </w:r>
          </w:p>
          <w:p>
            <w:pPr>
              <w:adjustRightInd w:val="0"/>
              <w:snapToGrid w:val="0"/>
              <w:spacing w:line="288" w:lineRule="auto"/>
              <w:rPr>
                <w:color w:val="auto"/>
                <w:sz w:val="21"/>
                <w:szCs w:val="21"/>
                <w:highlight w:val="none"/>
              </w:rPr>
            </w:pPr>
            <w:r>
              <w:rPr>
                <w:rFonts w:hint="eastAsia"/>
                <w:color w:val="auto"/>
                <w:sz w:val="21"/>
                <w:szCs w:val="21"/>
                <w:highlight w:val="none"/>
              </w:rPr>
              <w:t>2.国产设备采用人民币报价。</w:t>
            </w:r>
          </w:p>
          <w:p>
            <w:pPr>
              <w:adjustRightInd w:val="0"/>
              <w:snapToGrid w:val="0"/>
              <w:spacing w:line="288" w:lineRule="auto"/>
              <w:rPr>
                <w:color w:val="auto"/>
                <w:sz w:val="21"/>
                <w:szCs w:val="21"/>
                <w:highlight w:val="none"/>
              </w:rPr>
            </w:pPr>
            <w:r>
              <w:rPr>
                <w:rFonts w:hint="eastAsia"/>
                <w:color w:val="auto"/>
                <w:sz w:val="21"/>
                <w:szCs w:val="21"/>
                <w:highlight w:val="none"/>
              </w:rPr>
              <w:t>3.如进口设备的价格采用免税的人民币报价，同时提供美元报价，交货方式为CIP杭州电子科技大学，由成交方委托相关外贸公司办理免税事宜（外贸公司由采购人认定），采购人予以协助，所需费用由成交方承担；对于根据国家相关规定不能享受进口免税政策的设备，投标报价也以人民币报价，投标报价应包含“不能免税的部分”的税金，对于不能免税的部分投标人应在投标文件中予以明示，若未明示，其不能免税的税金由中标人自行承担；</w:t>
            </w:r>
          </w:p>
          <w:p>
            <w:pPr>
              <w:adjustRightInd w:val="0"/>
              <w:snapToGrid w:val="0"/>
              <w:spacing w:line="288" w:lineRule="auto"/>
              <w:rPr>
                <w:color w:val="auto"/>
                <w:sz w:val="21"/>
                <w:szCs w:val="21"/>
                <w:highlight w:val="none"/>
              </w:rPr>
            </w:pPr>
            <w:r>
              <w:rPr>
                <w:rFonts w:hint="eastAsia"/>
                <w:color w:val="auto"/>
                <w:sz w:val="21"/>
                <w:szCs w:val="21"/>
                <w:highlight w:val="none"/>
              </w:rPr>
              <w:t>4.最后磋商报价是履行合同的最终价格，应包括完成所有产品供货及履行所有规定服务所产生的全部税、费；</w:t>
            </w:r>
          </w:p>
          <w:p>
            <w:pPr>
              <w:adjustRightInd w:val="0"/>
              <w:snapToGrid w:val="0"/>
              <w:spacing w:line="288" w:lineRule="auto"/>
              <w:rPr>
                <w:color w:val="auto"/>
                <w:sz w:val="21"/>
                <w:szCs w:val="21"/>
                <w:highlight w:val="none"/>
              </w:rPr>
            </w:pPr>
            <w:r>
              <w:rPr>
                <w:rFonts w:hint="eastAsia"/>
                <w:color w:val="auto"/>
                <w:sz w:val="21"/>
                <w:szCs w:val="21"/>
                <w:highlight w:val="none"/>
              </w:rPr>
              <w:t>5.磋商小组认为供应商的最后报价明显低于其他通过符合性审查供应商的最后报价，依据《政府采购货物和服务招标投标管理办法》（财政部令第87号）第六十条进行处理。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（十二）</w:t>
            </w:r>
          </w:p>
        </w:tc>
        <w:tc>
          <w:tcPr>
            <w:tcW w:w="1701" w:type="dxa"/>
            <w:vAlign w:val="center"/>
          </w:tcPr>
          <w:p>
            <w:pPr>
              <w:adjustRightInd w:val="0"/>
              <w:snapToGrid w:val="0"/>
              <w:spacing w:line="288" w:lineRule="auto"/>
              <w:jc w:val="center"/>
              <w:rPr>
                <w:color w:val="auto"/>
                <w:sz w:val="21"/>
                <w:szCs w:val="21"/>
                <w:highlight w:val="none"/>
              </w:rPr>
            </w:pPr>
            <w:r>
              <w:rPr>
                <w:rFonts w:hint="eastAsia"/>
                <w:b/>
                <w:bCs/>
                <w:color w:val="auto"/>
                <w:sz w:val="21"/>
                <w:szCs w:val="21"/>
                <w:highlight w:val="none"/>
              </w:rPr>
              <w:t>响应有效期</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▲从提交响应文件的截止之日起90天。在原响应有效期满之前，如果出现特殊情况，采购人或采购代理机构以书面形式通知供应商延长响应有效期。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（十三）</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评审办法及评分标准</w:t>
            </w:r>
          </w:p>
        </w:tc>
        <w:tc>
          <w:tcPr>
            <w:tcW w:w="6663" w:type="dxa"/>
            <w:vAlign w:val="center"/>
          </w:tcPr>
          <w:p>
            <w:pPr>
              <w:adjustRightInd w:val="0"/>
              <w:snapToGrid w:val="0"/>
              <w:spacing w:line="288" w:lineRule="auto"/>
              <w:rPr>
                <w:color w:val="auto"/>
                <w:sz w:val="21"/>
                <w:szCs w:val="21"/>
                <w:highlight w:val="none"/>
              </w:rPr>
            </w:pPr>
            <w:r>
              <w:rPr>
                <w:color w:val="auto"/>
                <w:sz w:val="21"/>
                <w:szCs w:val="21"/>
                <w:highlight w:val="none"/>
              </w:rPr>
              <w:t>详见“</w:t>
            </w:r>
            <w:r>
              <w:rPr>
                <w:rFonts w:hint="eastAsia"/>
                <w:color w:val="auto"/>
                <w:sz w:val="21"/>
                <w:szCs w:val="21"/>
                <w:highlight w:val="none"/>
              </w:rPr>
              <w:t>第四章  评审办法及评分标准</w:t>
            </w:r>
            <w:r>
              <w:rPr>
                <w:color w:val="auto"/>
                <w:sz w:val="21"/>
                <w:szCs w:val="21"/>
                <w:highlight w:val="none"/>
              </w:rPr>
              <w:t>”</w:t>
            </w:r>
            <w:r>
              <w:rPr>
                <w:rFonts w:hint="eastAsia"/>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color w:val="auto"/>
                <w:sz w:val="21"/>
                <w:szCs w:val="21"/>
                <w:highlight w:val="none"/>
              </w:rPr>
              <w:t>（</w:t>
            </w:r>
            <w:r>
              <w:rPr>
                <w:rFonts w:hint="eastAsia"/>
                <w:color w:val="auto"/>
                <w:sz w:val="21"/>
                <w:szCs w:val="21"/>
                <w:highlight w:val="none"/>
              </w:rPr>
              <w:t>十四</w:t>
            </w:r>
            <w:r>
              <w:rPr>
                <w:color w:val="auto"/>
                <w:sz w:val="21"/>
                <w:szCs w:val="21"/>
                <w:highlight w:val="none"/>
              </w:rPr>
              <w:t>）</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评审结果公示</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评审结果公示媒体：浙江政府采购网（http://zfcg.czt.zj.gov.cn）。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（十五）</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签订合同</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成交通知书发出之日起30日内。</w:t>
            </w:r>
          </w:p>
        </w:tc>
      </w:tr>
    </w:tbl>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一、总则</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（一）适用范围</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本磋商文件适用于杭州电子科技大学示波器、数据处理卡等的磋商、评审、成交、验收、合同履约、付款等（法律、法规另有规定的，从其规定）。</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（二）定义</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1.“采购人”系指杭州电子科技大学；</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2.“采购代理机构”系指组织本次竞争性磋商的浙江求是招标代理有限公司；</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3.“供应商”系指响应磋商、参加竞争的法人、其他组织或者自然人；</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4.“书面形式”包括合同书、信件和数据电文(包括电报、电传、传真、电子数据交换和电子邮件)等可以有形地表现所载内容的形式；</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5.“电子加密响应文件”系指通过政采云电子交易客户端（政采云投标客户端）完成响应文件编制后生成并加密的数据电文形式的响应文件（文件扩展名为.jmbs），“备份响应文件”系指与“电子加密响应文件”同时生成的数据电文形式的电子文件（文件扩展名为.bfbs）；</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6.“公章”除特殊说明外系指政采云电子交易客户端（政采云投标客户端）中供应商的电子签章；</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7.“▲”系指实质性要求条款，供应商应当做出实质性响应。</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（三）采购方式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本次采购采用竞争性磋商（线上电子交易）方式进行。</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（四）竞争性磋商委托</w:t>
      </w:r>
    </w:p>
    <w:p>
      <w:pPr>
        <w:adjustRightInd w:val="0"/>
        <w:snapToGrid w:val="0"/>
        <w:spacing w:line="288" w:lineRule="auto"/>
        <w:ind w:firstLine="420" w:firstLineChars="200"/>
        <w:rPr>
          <w:color w:val="auto"/>
          <w:sz w:val="21"/>
          <w:szCs w:val="21"/>
          <w:highlight w:val="none"/>
        </w:rPr>
      </w:pPr>
      <w:r>
        <w:rPr>
          <w:color w:val="auto"/>
          <w:sz w:val="21"/>
          <w:szCs w:val="21"/>
          <w:highlight w:val="none"/>
        </w:rPr>
        <w:t>1</w:t>
      </w:r>
      <w:r>
        <w:rPr>
          <w:rFonts w:hint="eastAsia"/>
          <w:color w:val="auto"/>
          <w:sz w:val="21"/>
          <w:szCs w:val="21"/>
          <w:highlight w:val="none"/>
        </w:rPr>
        <w:t>.▲供应商授权代表必须为供应商本单位在职职工，并提供2020年12月（含）以后任意一月社保缴纳证明（授权代表为法定代表人可不提供）。</w:t>
      </w:r>
    </w:p>
    <w:p>
      <w:pPr>
        <w:adjustRightInd w:val="0"/>
        <w:snapToGrid w:val="0"/>
        <w:spacing w:line="288" w:lineRule="auto"/>
        <w:ind w:firstLine="420" w:firstLineChars="200"/>
        <w:rPr>
          <w:color w:val="auto"/>
          <w:sz w:val="21"/>
          <w:szCs w:val="21"/>
          <w:highlight w:val="none"/>
        </w:rPr>
      </w:pPr>
      <w:r>
        <w:rPr>
          <w:color w:val="auto"/>
          <w:sz w:val="21"/>
          <w:szCs w:val="21"/>
          <w:highlight w:val="none"/>
        </w:rPr>
        <w:t>2</w:t>
      </w:r>
      <w:r>
        <w:rPr>
          <w:rFonts w:hint="eastAsia"/>
          <w:color w:val="auto"/>
          <w:sz w:val="21"/>
          <w:szCs w:val="21"/>
          <w:highlight w:val="none"/>
        </w:rPr>
        <w:t>.如供应商代表不是法定代表人，须有附有法定代表人资格证明书的法定代表人授权委托书（格式详见磋商文件第六章），供应商因未在线参加响应文件开启而导致电子加密响应文件无法按时解密等一切后果由供应商自行承担。</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（五）磋商费用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1.不论磋商结果如何，供应商均应自行承担所有与磋商有关的全部费用；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2.成交供应商在成交通知书发出之日起七个工作日内，向采购代理机构交纳代理服务费；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w:t>
      </w:r>
      <w:r>
        <w:rPr>
          <w:color w:val="auto"/>
          <w:sz w:val="21"/>
          <w:szCs w:val="21"/>
          <w:highlight w:val="none"/>
        </w:rPr>
        <w:t>.</w:t>
      </w:r>
      <w:r>
        <w:rPr>
          <w:rFonts w:hint="eastAsia"/>
          <w:color w:val="auto"/>
          <w:sz w:val="21"/>
          <w:szCs w:val="21"/>
          <w:highlight w:val="none"/>
        </w:rPr>
        <w:t>代理服务费收费标准（差额累进）：</w:t>
      </w:r>
    </w:p>
    <w:tbl>
      <w:tblPr>
        <w:tblStyle w:val="10"/>
        <w:tblW w:w="485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17"/>
        <w:gridCol w:w="23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2517"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成交金额（万元）</w:t>
            </w:r>
          </w:p>
        </w:tc>
        <w:tc>
          <w:tcPr>
            <w:tcW w:w="2338"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收费标准（费率，%）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2517"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100以下</w:t>
            </w:r>
          </w:p>
        </w:tc>
        <w:tc>
          <w:tcPr>
            <w:tcW w:w="2338"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1.05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2517"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100-500</w:t>
            </w:r>
          </w:p>
        </w:tc>
        <w:tc>
          <w:tcPr>
            <w:tcW w:w="2338"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0.77</w:t>
            </w:r>
          </w:p>
        </w:tc>
      </w:tr>
    </w:tbl>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5.磋商保证金（元）：无</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（六）联合体响应</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本项目不接受联合体响应。</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（七）转包与分包</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1.本项目不允许转包；</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2.供应商根据磋商文件的规定和采购项目的实际情况，拟在成交后将成交项目的非主体、非关键性工作分包的，应当在响应文件中载明分包承担主体，分包承担主体应当具备相应资质条件且不得再次分包。</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（八）特别说明</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1.供应商应仔细阅读磋商文件的所有内容，按照磋商文件的要求提交响应文件，并对所提供的全部资料的真实性承担法律责任。</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▲2.单位负责人为同一人或者存在直接控股、管理关系的不同供应商，不得参加同一合同项下的政府采购活动。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▲3.为采购项目提供整体设计、规范编制或者项目管理、监理、检测等服务的供应商，不得再参加该采购项目的其他采购活动。</w:t>
      </w:r>
    </w:p>
    <w:p>
      <w:pPr>
        <w:adjustRightInd w:val="0"/>
        <w:snapToGrid w:val="0"/>
        <w:spacing w:line="288" w:lineRule="auto"/>
        <w:ind w:firstLine="420" w:firstLineChars="200"/>
        <w:rPr>
          <w:color w:val="auto"/>
          <w:sz w:val="21"/>
          <w:szCs w:val="21"/>
          <w:highlight w:val="none"/>
        </w:rPr>
      </w:pPr>
      <w:r>
        <w:rPr>
          <w:color w:val="auto"/>
          <w:sz w:val="21"/>
          <w:szCs w:val="21"/>
          <w:highlight w:val="none"/>
        </w:rPr>
        <w:t>4</w:t>
      </w:r>
      <w:r>
        <w:rPr>
          <w:rFonts w:hint="eastAsia"/>
          <w:color w:val="auto"/>
          <w:sz w:val="21"/>
          <w:szCs w:val="21"/>
          <w:highlight w:val="none"/>
        </w:rPr>
        <w:t>.提供相同品牌产品且通过资格审查、符合性审查的不同供应商参加同一合同项下投标的，按一家供应商认定，评审后得分最高的同品牌供应商获得成交人推荐资格；评审得分相同的，由采购人或者采购人委托评审委员会按照磋商文件规定的方式确定一个供应商获得成交人推荐资格，磋商文件未规定的采取随机抽取方式确定，其他同品牌供应商不作为成交候选人。</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非单一产品采购项目，多家供应商提供的核心产品品牌相同的，按前款规定处理。</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5</w:t>
      </w:r>
      <w:r>
        <w:rPr>
          <w:b/>
          <w:bCs/>
          <w:color w:val="auto"/>
          <w:sz w:val="21"/>
          <w:szCs w:val="21"/>
          <w:highlight w:val="none"/>
        </w:rPr>
        <w:t>.</w:t>
      </w:r>
      <w:r>
        <w:rPr>
          <w:rFonts w:hint="eastAsia"/>
          <w:b/>
          <w:bCs/>
          <w:color w:val="auto"/>
          <w:sz w:val="21"/>
          <w:szCs w:val="21"/>
          <w:highlight w:val="none"/>
        </w:rPr>
        <w:t>信用记录：</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根据财库[2016]125号《关于在政府采购活动中查询及使用信用记录有关问题的通知》要求，采购代理机构会对供应商信用记录进行查询并甄别。信用</w:t>
      </w:r>
      <w:r>
        <w:rPr>
          <w:rFonts w:hint="eastAsia"/>
          <w:color w:val="auto"/>
          <w:sz w:val="21"/>
          <w:szCs w:val="21"/>
          <w:highlight w:val="none"/>
        </w:rPr>
        <w:t>信息查询的截止时点：响应截止时间；</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w:t>
      </w:r>
      <w:r>
        <w:rPr>
          <w:color w:val="auto"/>
          <w:sz w:val="21"/>
          <w:szCs w:val="21"/>
          <w:highlight w:val="none"/>
        </w:rPr>
        <w:t>1</w:t>
      </w:r>
      <w:r>
        <w:rPr>
          <w:rFonts w:hint="eastAsia"/>
          <w:color w:val="auto"/>
          <w:sz w:val="21"/>
          <w:szCs w:val="21"/>
          <w:highlight w:val="none"/>
        </w:rPr>
        <w:t>）查询渠道：“信用中国”（www.creditchina.gov.cn）、“中国政府采购网”（www.ccgp.gov.cn）；</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）信用信息查询记录和证据留存具体方式：采购代理机构经办人和监督人员将查询网页打印、签字与其他采购文件一并保存；</w:t>
      </w:r>
    </w:p>
    <w:p>
      <w:pPr>
        <w:adjustRightInd w:val="0"/>
        <w:snapToGrid w:val="0"/>
        <w:spacing w:line="288" w:lineRule="auto"/>
        <w:ind w:firstLine="424" w:firstLineChars="202"/>
        <w:rPr>
          <w:b/>
          <w:bCs/>
          <w:color w:val="auto"/>
          <w:sz w:val="21"/>
          <w:szCs w:val="21"/>
          <w:highlight w:val="none"/>
        </w:rPr>
      </w:pPr>
      <w:r>
        <w:rPr>
          <w:rFonts w:hint="eastAsia"/>
          <w:color w:val="auto"/>
          <w:sz w:val="21"/>
          <w:szCs w:val="21"/>
          <w:highlight w:val="none"/>
        </w:rPr>
        <w:t>（</w:t>
      </w:r>
      <w:r>
        <w:rPr>
          <w:color w:val="auto"/>
          <w:sz w:val="21"/>
          <w:szCs w:val="21"/>
          <w:highlight w:val="none"/>
        </w:rPr>
        <w:t>3</w:t>
      </w:r>
      <w:r>
        <w:rPr>
          <w:rFonts w:hint="eastAsia"/>
          <w:bCs/>
          <w:color w:val="auto"/>
          <w:sz w:val="21"/>
          <w:szCs w:val="21"/>
          <w:highlight w:val="none"/>
        </w:rPr>
        <w:t>）信用信息的使用规则：供应商被列入失信被执行人、重大税收违法案件当事人名单、政府采购严重违法失信行为记录名单的，拒绝其参与政府采购活动。</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（九）质疑和投诉</w:t>
      </w:r>
    </w:p>
    <w:p>
      <w:pPr>
        <w:adjustRightInd w:val="0"/>
        <w:snapToGrid w:val="0"/>
        <w:spacing w:line="288" w:lineRule="auto"/>
        <w:ind w:firstLine="420" w:firstLineChars="200"/>
        <w:rPr>
          <w:color w:val="auto"/>
          <w:sz w:val="21"/>
          <w:szCs w:val="21"/>
          <w:highlight w:val="none"/>
        </w:rPr>
      </w:pPr>
      <w:bookmarkStart w:id="30" w:name="_Hlk71884065"/>
      <w:r>
        <w:rPr>
          <w:rFonts w:hint="eastAsia"/>
          <w:color w:val="auto"/>
          <w:sz w:val="21"/>
          <w:szCs w:val="21"/>
          <w:highlight w:val="none"/>
        </w:rPr>
        <w:t>1.供应商认为磋商文件、磋商过程和成交结果使自己的权益受到损害的，应当在知道或者应知其权益受到损害之日起七个工作日内，以书面形式向采购人或采购代理机构提出质疑。质疑供应商对采购人、采购代理机构的答复不满意或者采购人、采购代理机构未在规定的时间内作出答复的，可以在答复期满后十五个工作日内向同级政府采购监督管理部门投诉。</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2.供应商提出质疑应当提交质疑函和必要的证明材料，质疑函范本、投诉书范本请到浙江政府采购网下载专区</w:t>
      </w:r>
      <w:r>
        <w:rPr>
          <w:b/>
          <w:bCs/>
          <w:color w:val="auto"/>
          <w:sz w:val="21"/>
          <w:szCs w:val="21"/>
          <w:highlight w:val="none"/>
        </w:rPr>
        <w:t>下载。</w:t>
      </w:r>
      <w:r>
        <w:rPr>
          <w:rFonts w:hint="eastAsia"/>
          <w:b/>
          <w:bCs/>
          <w:color w:val="auto"/>
          <w:sz w:val="21"/>
          <w:szCs w:val="21"/>
          <w:highlight w:val="none"/>
        </w:rPr>
        <w:t>质疑函应当包括下列内容：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（一）供应商的姓名或者名称、地址、邮编、联系人及联系电话；</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（二）质疑项目的名称、编号；</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（三）具体、明确的质疑事项和与质疑事项相关的请求；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（四）事实依据；</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（五）必要的法律依据；</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（六）提出质疑的日期。</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供应商为自然人的，应当由本人签字；供应商为法人或者其他组织的，应当由法定代表人、主要负责人，或者其授权代表签字或者盖章，并加盖公章。</w:t>
      </w:r>
    </w:p>
    <w:p>
      <w:pPr>
        <w:adjustRightInd w:val="0"/>
        <w:snapToGrid w:val="0"/>
        <w:spacing w:line="288" w:lineRule="auto"/>
        <w:ind w:firstLine="420" w:firstLineChars="200"/>
        <w:rPr>
          <w:b/>
          <w:bCs/>
          <w:color w:val="auto"/>
          <w:sz w:val="21"/>
          <w:szCs w:val="21"/>
          <w:highlight w:val="none"/>
        </w:rPr>
      </w:pPr>
      <w:r>
        <w:rPr>
          <w:rFonts w:hint="eastAsia"/>
          <w:color w:val="auto"/>
          <w:sz w:val="21"/>
          <w:szCs w:val="21"/>
          <w:highlight w:val="none"/>
        </w:rPr>
        <w:t>3.提出质疑的供应商应当是参与本项目磋商响应活动的供应商。</w:t>
      </w:r>
      <w:r>
        <w:rPr>
          <w:rFonts w:hint="eastAsia"/>
          <w:b/>
          <w:bCs/>
          <w:color w:val="auto"/>
          <w:sz w:val="21"/>
          <w:szCs w:val="21"/>
          <w:highlight w:val="none"/>
        </w:rPr>
        <w:t>供应商在法定质疑期内应一次性提出针对同一采购程序环节的质疑。</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4.根据《政府采购质疑和投诉办法》第三十七条的规定，投诉人在全国范围12个月内三次以上投诉查无实据的，由财政部门列入不良行为记录名单。</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投诉人有下列行为之一的，属于虚假、恶意投诉，由财政部门列入不良行为记录名单，禁止其1至3年内参加政府采购活动：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（一）捏造事实；</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（二）提供虚假材料；</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（三）以非法手段取得证明材料。证据来源的合法性存在明显疑问，投诉人无法证明其取得方式合法的，视为以非法手段取得证明材料。</w:t>
      </w:r>
    </w:p>
    <w:p>
      <w:pPr>
        <w:adjustRightInd w:val="0"/>
        <w:snapToGrid w:val="0"/>
        <w:spacing w:line="288" w:lineRule="auto"/>
        <w:outlineLvl w:val="2"/>
        <w:rPr>
          <w:b/>
          <w:color w:val="auto"/>
          <w:spacing w:val="-6"/>
          <w:kern w:val="0"/>
          <w:sz w:val="21"/>
          <w:szCs w:val="21"/>
          <w:highlight w:val="none"/>
        </w:rPr>
      </w:pPr>
      <w:r>
        <w:rPr>
          <w:b/>
          <w:color w:val="auto"/>
          <w:spacing w:val="-6"/>
          <w:kern w:val="0"/>
          <w:sz w:val="21"/>
          <w:szCs w:val="21"/>
          <w:highlight w:val="none"/>
        </w:rPr>
        <w:t>（</w:t>
      </w:r>
      <w:r>
        <w:rPr>
          <w:rFonts w:hint="eastAsia"/>
          <w:b/>
          <w:color w:val="auto"/>
          <w:spacing w:val="-6"/>
          <w:kern w:val="0"/>
          <w:sz w:val="21"/>
          <w:szCs w:val="21"/>
          <w:highlight w:val="none"/>
        </w:rPr>
        <w:t>十</w:t>
      </w:r>
      <w:r>
        <w:rPr>
          <w:b/>
          <w:color w:val="auto"/>
          <w:spacing w:val="-6"/>
          <w:kern w:val="0"/>
          <w:sz w:val="21"/>
          <w:szCs w:val="21"/>
          <w:highlight w:val="none"/>
        </w:rPr>
        <w:t>）</w:t>
      </w:r>
      <w:r>
        <w:rPr>
          <w:rFonts w:hint="eastAsia"/>
          <w:b/>
          <w:color w:val="auto"/>
          <w:spacing w:val="-6"/>
          <w:kern w:val="0"/>
          <w:sz w:val="21"/>
          <w:szCs w:val="21"/>
          <w:highlight w:val="none"/>
        </w:rPr>
        <w:t>中小企业说明</w:t>
      </w:r>
    </w:p>
    <w:p>
      <w:pPr>
        <w:pStyle w:val="2"/>
        <w:adjustRightInd w:val="0"/>
        <w:snapToGrid w:val="0"/>
        <w:spacing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w:t>
      </w:r>
    </w:p>
    <w:p>
      <w:pPr>
        <w:pStyle w:val="2"/>
        <w:adjustRightInd w:val="0"/>
        <w:snapToGrid w:val="0"/>
        <w:spacing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符合中小企业划分标准的个体工商户，在政府采购活动中视同中小企业。</w:t>
      </w:r>
    </w:p>
    <w:p>
      <w:pPr>
        <w:pStyle w:val="2"/>
        <w:adjustRightInd w:val="0"/>
        <w:snapToGrid w:val="0"/>
        <w:spacing w:line="288" w:lineRule="auto"/>
        <w:ind w:firstLine="398" w:firstLineChars="200"/>
        <w:jc w:val="left"/>
        <w:rPr>
          <w:rFonts w:hAnsi="宋体"/>
          <w:b/>
          <w:bCs/>
          <w:color w:val="auto"/>
          <w:spacing w:val="-6"/>
          <w:sz w:val="21"/>
          <w:szCs w:val="21"/>
          <w:highlight w:val="none"/>
        </w:rPr>
      </w:pPr>
      <w:r>
        <w:rPr>
          <w:rFonts w:hint="eastAsia" w:hAnsi="宋体"/>
          <w:b/>
          <w:bCs/>
          <w:color w:val="auto"/>
          <w:spacing w:val="-6"/>
          <w:sz w:val="21"/>
          <w:szCs w:val="21"/>
          <w:highlight w:val="none"/>
        </w:rPr>
        <w:t>中小企业参加政府采购活动，应当出具财库〔2020〕46号文件规定的《中小企业声明函》，否则不得享受相关中小企业扶持政策。供应商提供《中小企业声明函》内容不实的，属于提供虚假材料谋取中标、成交，依照《中华人民共和国政府采购法》等国家有关规定追究相应责任。</w:t>
      </w:r>
    </w:p>
    <w:p>
      <w:pPr>
        <w:pStyle w:val="2"/>
        <w:adjustRightInd w:val="0"/>
        <w:snapToGrid w:val="0"/>
        <w:spacing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在货物采购项目中，供应商提供的货物既有中小企业制造货物，也有大型企业制造货物的，不享受财库〔2020〕46号文件规定的中小企业扶持政策。</w:t>
      </w:r>
    </w:p>
    <w:p>
      <w:pPr>
        <w:pStyle w:val="2"/>
        <w:adjustRightInd w:val="0"/>
        <w:snapToGrid w:val="0"/>
        <w:spacing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依据财库〔2020〕46号文件规定享受扶持政策获得政府采购合同的，小微企业不得将合同分包给大中型企业，中型企业不得将合同分包给大型企业。</w:t>
      </w:r>
    </w:p>
    <w:bookmarkEnd w:id="30"/>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二、磋商文件</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（一）磋商文件的构成</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本磋商文件由以下部份组成：</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1.采购邀请</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2.采购需求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3.供应商须知</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4.评审办法及评分标准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5.拟签订的合同文本</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6.响应文件格式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7.本项目磋商文件的澄清、答复、修改、补充的内容</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（二）供应商的风险</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供应商没有按照磋商文件要求提供全部资料，或者供应商没有对磋商文件在各方面作出实质性响应是供应商的风险，并可能导致其响应被拒绝。</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（三）磋商文件的澄清与修改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1.提交首次响应文件截止之日前，采购人、采购代理机构可以对已发出的磋商文件进行必要的澄清或者修改，澄清或者修改的内容作为磋商文件的组成部分。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澄清或者修改的内容可能影响响应文件编制的，采购人、采购代理机构会在提交首次响应文件截止时间至少5日前，以书面形式通知所有获取磋商文件的供应商；不足5日的，采购人、采购代理机构会顺延提交首次响应文件截止时间。</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磋商文件的修改将以书面形式通知所有获取磋商文件的供应商，并对其具有约束力。供应商在收到上述通知后，应立即向采购代理机构回函确认。若无书面回函确认，视同供应商已收到磋商文件修改的通知，并受其约束。</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3.磋商文件澄清、答复、修改、补充的内容为磋商文件的组成部分。当磋商文件与磋商文件的答复、澄清、修改、补充通知就同一内容的表述不一致时，以最后发出的书面形式文件为准。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4.磋商文件的澄清、答复、修改或补充都应该通过本采购代理机构以法定形式发布，采购人非通过本机构，不得擅自澄清、答复、修改或补充磋商文件。</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三、响应文件的编制</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（一）响应文件的组成</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响应文件由</w:t>
      </w:r>
      <w:r>
        <w:rPr>
          <w:rFonts w:hint="eastAsia"/>
          <w:b/>
          <w:bCs/>
          <w:color w:val="auto"/>
          <w:sz w:val="21"/>
          <w:szCs w:val="21"/>
          <w:highlight w:val="none"/>
        </w:rPr>
        <w:t>资格文件、报价文件、商务和技术文件</w:t>
      </w:r>
      <w:r>
        <w:rPr>
          <w:rFonts w:hint="eastAsia"/>
          <w:color w:val="auto"/>
          <w:sz w:val="21"/>
          <w:szCs w:val="21"/>
          <w:highlight w:val="none"/>
        </w:rPr>
        <w:t>三部分组成（格式详见磋商文件第六章）。</w:t>
      </w:r>
    </w:p>
    <w:p>
      <w:pPr>
        <w:adjustRightInd w:val="0"/>
        <w:snapToGrid w:val="0"/>
        <w:spacing w:line="288" w:lineRule="auto"/>
        <w:ind w:firstLine="422" w:firstLineChars="200"/>
        <w:rPr>
          <w:b/>
          <w:bCs/>
          <w:color w:val="auto"/>
          <w:sz w:val="21"/>
          <w:szCs w:val="21"/>
          <w:highlight w:val="none"/>
        </w:rPr>
      </w:pPr>
      <w:bookmarkStart w:id="31" w:name="_Hlk71884160"/>
      <w:r>
        <w:rPr>
          <w:rFonts w:hint="eastAsia"/>
          <w:b/>
          <w:bCs/>
          <w:color w:val="auto"/>
          <w:sz w:val="21"/>
          <w:szCs w:val="21"/>
          <w:highlight w:val="none"/>
        </w:rPr>
        <w:t>▲1.资格文件（单独上传）</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资格审查要求的资格证明材料(均需加盖公章)：</w:t>
      </w:r>
    </w:p>
    <w:bookmarkEnd w:id="31"/>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（1）有效的法人或者其他组织的营业执照等证明文件，自然人的身份证明</w:t>
      </w:r>
    </w:p>
    <w:p>
      <w:pPr>
        <w:adjustRightInd w:val="0"/>
        <w:snapToGrid w:val="0"/>
        <w:spacing w:line="288" w:lineRule="auto"/>
        <w:ind w:firstLine="422" w:firstLineChars="200"/>
        <w:rPr>
          <w:b/>
          <w:bCs/>
          <w:color w:val="auto"/>
          <w:sz w:val="21"/>
          <w:szCs w:val="21"/>
          <w:highlight w:val="none"/>
        </w:rPr>
      </w:pPr>
      <w:bookmarkStart w:id="32" w:name="_Hlk71884127"/>
      <w:r>
        <w:rPr>
          <w:rFonts w:hint="eastAsia"/>
          <w:b/>
          <w:bCs/>
          <w:color w:val="auto"/>
          <w:sz w:val="21"/>
          <w:szCs w:val="21"/>
          <w:highlight w:val="none"/>
        </w:rPr>
        <w:t>（</w:t>
      </w:r>
      <w:r>
        <w:rPr>
          <w:b/>
          <w:bCs/>
          <w:color w:val="auto"/>
          <w:sz w:val="21"/>
          <w:szCs w:val="21"/>
          <w:highlight w:val="none"/>
        </w:rPr>
        <w:t>2）资格条件承诺函</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w:t>
      </w:r>
      <w:r>
        <w:rPr>
          <w:b/>
          <w:bCs/>
          <w:color w:val="auto"/>
          <w:sz w:val="21"/>
          <w:szCs w:val="21"/>
          <w:highlight w:val="none"/>
        </w:rPr>
        <w:t>3）落实政府采购政策需满足的资格要求：无</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w:t>
      </w:r>
      <w:r>
        <w:rPr>
          <w:b/>
          <w:bCs/>
          <w:color w:val="auto"/>
          <w:sz w:val="21"/>
          <w:szCs w:val="21"/>
          <w:highlight w:val="none"/>
        </w:rPr>
        <w:t>4）供应商特定资格条件证明材料：无</w:t>
      </w:r>
    </w:p>
    <w:bookmarkEnd w:id="32"/>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2.报价文件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（1）初次报价一览表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（2）初次报价明细表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（3）中小企业声明函（若属于中小企业）</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（4）属于监狱企业的证明文件（若属于监狱企业）</w:t>
      </w:r>
    </w:p>
    <w:p>
      <w:pPr>
        <w:adjustRightInd w:val="0"/>
        <w:snapToGrid w:val="0"/>
        <w:spacing w:line="288" w:lineRule="auto"/>
        <w:ind w:firstLine="420" w:firstLineChars="200"/>
        <w:rPr>
          <w:color w:val="auto"/>
          <w:sz w:val="21"/>
          <w:szCs w:val="21"/>
          <w:highlight w:val="none"/>
        </w:rPr>
      </w:pPr>
      <w:bookmarkStart w:id="33" w:name="OLE_LINK13"/>
      <w:bookmarkStart w:id="34" w:name="OLE_LINK14"/>
      <w:r>
        <w:rPr>
          <w:rFonts w:hint="eastAsia"/>
          <w:color w:val="auto"/>
          <w:sz w:val="21"/>
          <w:szCs w:val="21"/>
          <w:highlight w:val="none"/>
        </w:rPr>
        <w:t>（5）残疾人福利性单位声明函</w:t>
      </w:r>
      <w:bookmarkEnd w:id="33"/>
      <w:bookmarkEnd w:id="34"/>
      <w:r>
        <w:rPr>
          <w:rFonts w:hint="eastAsia"/>
          <w:color w:val="auto"/>
          <w:sz w:val="21"/>
          <w:szCs w:val="21"/>
          <w:highlight w:val="none"/>
        </w:rPr>
        <w:t>（若属于残疾人福利性单位）</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3.商务和技术文件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（1）响应函</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（2）响应声明书</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（3）法定代表人资格证明书、法定代表人授权委托书</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（4）2020年12月（含）以后任意一月供应商授权代表社保缴纳证明</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（5）供应商情况介绍</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（6）投标人同类合同一览表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7）采购需求偏离表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8）货物配置清单、原厂出厂配置表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9）技术支持资料</w:t>
      </w:r>
    </w:p>
    <w:p>
      <w:pPr>
        <w:adjustRightInd w:val="0"/>
        <w:snapToGrid w:val="0"/>
        <w:spacing w:line="288" w:lineRule="auto"/>
        <w:ind w:firstLine="420" w:firstLineChars="200"/>
        <w:rPr>
          <w:color w:val="auto"/>
          <w:sz w:val="21"/>
          <w:szCs w:val="21"/>
          <w:highlight w:val="none"/>
        </w:rPr>
      </w:pPr>
      <w:bookmarkStart w:id="35" w:name="_Hlk71884196"/>
      <w:r>
        <w:rPr>
          <w:rFonts w:hint="eastAsia"/>
          <w:color w:val="auto"/>
          <w:sz w:val="21"/>
          <w:szCs w:val="21"/>
          <w:highlight w:val="none"/>
        </w:rPr>
        <w:t>（</w:t>
      </w:r>
      <w:r>
        <w:rPr>
          <w:color w:val="auto"/>
          <w:sz w:val="21"/>
          <w:szCs w:val="21"/>
          <w:highlight w:val="none"/>
        </w:rPr>
        <w:t>10）技术方案：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项目实施方案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安装调试验收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售后服务</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技术服务、培训</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配件耗材</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11</w:t>
      </w:r>
      <w:r>
        <w:rPr>
          <w:rFonts w:hint="eastAsia"/>
          <w:color w:val="auto"/>
          <w:sz w:val="21"/>
          <w:szCs w:val="21"/>
          <w:highlight w:val="none"/>
        </w:rPr>
        <w:t>）节能、环保产品证明材料</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12）</w:t>
      </w:r>
      <w:r>
        <w:rPr>
          <w:rFonts w:hint="eastAsia"/>
          <w:color w:val="auto"/>
          <w:sz w:val="21"/>
          <w:szCs w:val="21"/>
          <w:highlight w:val="none"/>
        </w:rPr>
        <w:t>供应商</w:t>
      </w:r>
      <w:r>
        <w:rPr>
          <w:color w:val="auto"/>
          <w:sz w:val="21"/>
          <w:szCs w:val="21"/>
          <w:highlight w:val="none"/>
        </w:rPr>
        <w:t>需要说明的其他文件和材料</w:t>
      </w:r>
      <w:bookmarkEnd w:id="35"/>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（二）响应文件的签署和份数</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供应商应按照磋商文件和政府采购云平台的要求，根据响应文件的组成规定的内容及顺序通过政采云电子交易客户端（政采云投标客户端）编制加密响应文件，响应文件内容不完整、编排混乱导致响应文件被误读、漏读或者查找不到相关内容的，是供应商的责任。</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2.响应文件须由供应商在规定位置加盖公章并由供应商代表签署，供应商应写全称。</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3.响应文件不得涂改，若有修改错漏处，须由供应商代表签字并加盖公章。响应文件因字迹潦草或表达不清所引起的后果由供应商负责。</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4.响应文件份数：</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电子加密响应文件：政府采购云平台在线上传一份；备份响应文件：密封包装后EMS或顺丰邮寄形式递交一份（邮寄地址：杭州市西湖区玉古路173号中田大厦11楼H室，浙江求是招标代理有限公司（陈应俭、俞炳）收，电话：0571-87670302，寄出后将（快递单号、项目名称、公司名称、联系方式等相关信息）发至：zb02@qszb.net，以便查收）。</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特别说明：双休日和法定节假日不收件，供应商自行承担邮寄风险。</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备注：</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（三）响应文件的上传、递交、修改和撤回</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1.响应文件的上传、递交：</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（1）电子加密响应文件的上传：</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▲a.供应商应在响应文件提交截止时间前将电子加密响应文件成功上传至政府采购云平台，否则响应无效；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b.电子加密响应文件成功上传后，供应商可自行打印响应文件接收回执。</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（2）备份响应文件的密封包装、递交：</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a.供应商在政府采购云平台完成电子加密响应文件的上传后，可以EMS或顺丰邮寄形式在响应文件提交截止时间前递交以介质（U盘）存储的数据电文形式的备份响应文件；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b.备份响应文件应当密封包装并在包装上标注响应项目名称、供应商名称并加盖公章（非电子签章），供应商逾期送达或者未密封包装的备份响应文件采购代理机构将予以拒收；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c.通过政府采购云平台成功上传的电子加密响应文件已按时解密的，备份响应文件自动失效。响应文件提交截止时间前，供应商仅递交备份响应文件而未将电子加密响应文件成功上传至政府采购云平台的，响应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供应商应当在响应文件提交截止时间前完成响应文件的上传、递交，并可以补充、修改或者撤回响应文件。补充或者修改响应文件的，应当先行撤回原文件，补充、修改后重新上传、递交。响应文件提交截止时间前未完成上传、递交的，视为撤回响应文件。响应文件提交截止时间后上传、递交的响应文件，政府采购云平台及采购代理机构将予以拒收。</w:t>
      </w:r>
    </w:p>
    <w:p>
      <w:pPr>
        <w:adjustRightInd w:val="0"/>
        <w:snapToGrid w:val="0"/>
        <w:spacing w:line="288" w:lineRule="auto"/>
        <w:ind w:firstLine="420" w:firstLineChars="200"/>
        <w:rPr>
          <w:color w:val="auto"/>
          <w:sz w:val="21"/>
          <w:szCs w:val="21"/>
          <w:highlight w:val="none"/>
        </w:rPr>
      </w:pPr>
      <w:r>
        <w:rPr>
          <w:color w:val="auto"/>
          <w:sz w:val="21"/>
          <w:szCs w:val="21"/>
          <w:highlight w:val="none"/>
        </w:rPr>
        <w:t>3.</w:t>
      </w:r>
      <w:r>
        <w:rPr>
          <w:rFonts w:hint="eastAsia"/>
          <w:color w:val="auto"/>
          <w:sz w:val="21"/>
          <w:szCs w:val="21"/>
          <w:highlight w:val="none"/>
        </w:rPr>
        <w:t>供应商</w:t>
      </w:r>
      <w:r>
        <w:rPr>
          <w:color w:val="auto"/>
          <w:sz w:val="21"/>
          <w:szCs w:val="21"/>
          <w:highlight w:val="none"/>
        </w:rPr>
        <w:t>因未在线参加开标而导致电子加密</w:t>
      </w:r>
      <w:r>
        <w:rPr>
          <w:rFonts w:hint="eastAsia"/>
          <w:color w:val="auto"/>
          <w:sz w:val="21"/>
          <w:szCs w:val="21"/>
          <w:highlight w:val="none"/>
        </w:rPr>
        <w:t>响应</w:t>
      </w:r>
      <w:r>
        <w:rPr>
          <w:color w:val="auto"/>
          <w:sz w:val="21"/>
          <w:szCs w:val="21"/>
          <w:highlight w:val="none"/>
        </w:rPr>
        <w:t>文件无法按时解密等一切后果由</w:t>
      </w:r>
      <w:r>
        <w:rPr>
          <w:rFonts w:hint="eastAsia"/>
          <w:color w:val="auto"/>
          <w:sz w:val="21"/>
          <w:szCs w:val="21"/>
          <w:highlight w:val="none"/>
        </w:rPr>
        <w:t>供应商</w:t>
      </w:r>
      <w:r>
        <w:rPr>
          <w:color w:val="auto"/>
          <w:sz w:val="21"/>
          <w:szCs w:val="21"/>
          <w:highlight w:val="none"/>
        </w:rPr>
        <w:t>自行承担。</w:t>
      </w:r>
    </w:p>
    <w:p>
      <w:pPr>
        <w:adjustRightInd w:val="0"/>
        <w:snapToGrid w:val="0"/>
        <w:spacing w:line="288" w:lineRule="auto"/>
        <w:ind w:firstLine="420" w:firstLineChars="200"/>
        <w:rPr>
          <w:color w:val="auto"/>
          <w:sz w:val="21"/>
          <w:szCs w:val="21"/>
          <w:highlight w:val="none"/>
        </w:rPr>
      </w:pPr>
      <w:r>
        <w:rPr>
          <w:color w:val="auto"/>
          <w:sz w:val="21"/>
          <w:szCs w:val="21"/>
          <w:highlight w:val="none"/>
        </w:rPr>
        <w:t>4.</w:t>
      </w:r>
      <w:r>
        <w:rPr>
          <w:rFonts w:hint="eastAsia"/>
          <w:color w:val="auto"/>
          <w:sz w:val="21"/>
          <w:szCs w:val="21"/>
          <w:highlight w:val="none"/>
        </w:rPr>
        <w:t>供应商</w:t>
      </w:r>
      <w:r>
        <w:rPr>
          <w:color w:val="auto"/>
          <w:sz w:val="21"/>
          <w:szCs w:val="21"/>
          <w:highlight w:val="none"/>
        </w:rPr>
        <w:t>应按照</w:t>
      </w:r>
      <w:r>
        <w:rPr>
          <w:rFonts w:hint="eastAsia"/>
          <w:color w:val="auto"/>
          <w:sz w:val="21"/>
          <w:szCs w:val="21"/>
          <w:highlight w:val="none"/>
        </w:rPr>
        <w:t>磋商</w:t>
      </w:r>
      <w:r>
        <w:rPr>
          <w:color w:val="auto"/>
          <w:sz w:val="21"/>
          <w:szCs w:val="21"/>
          <w:highlight w:val="none"/>
        </w:rPr>
        <w:t>文件和政府采购云平台的要求，根据</w:t>
      </w:r>
      <w:r>
        <w:rPr>
          <w:rFonts w:hint="eastAsia"/>
          <w:color w:val="auto"/>
          <w:sz w:val="21"/>
          <w:szCs w:val="21"/>
          <w:highlight w:val="none"/>
        </w:rPr>
        <w:t>响应</w:t>
      </w:r>
      <w:r>
        <w:rPr>
          <w:color w:val="auto"/>
          <w:sz w:val="21"/>
          <w:szCs w:val="21"/>
          <w:highlight w:val="none"/>
        </w:rPr>
        <w:t>文件的组成规定的内容及顺序通过政采云电子交易客户端（政采云投标客户端）编制加密</w:t>
      </w:r>
      <w:r>
        <w:rPr>
          <w:rFonts w:hint="eastAsia"/>
          <w:color w:val="auto"/>
          <w:sz w:val="21"/>
          <w:szCs w:val="21"/>
          <w:highlight w:val="none"/>
        </w:rPr>
        <w:t>响应</w:t>
      </w:r>
      <w:r>
        <w:rPr>
          <w:color w:val="auto"/>
          <w:sz w:val="21"/>
          <w:szCs w:val="21"/>
          <w:highlight w:val="none"/>
        </w:rPr>
        <w:t>文件。</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备注：</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供应商可通过浙江省“电子交易/不见面开评标”学习专题提前进行专题学习，熟悉操作，避免影响采购活动（https://edu.zcygov.cn/luban/e-biding）。</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（四）响应文件的语言及计量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响应文件以及供应商与采购人或采购代理机构就有关磋商响应事宜的所有来往函电，均应以中文汉语书写。除签名、盖章、专用名称等特殊情形外，以中文汉语以外的文字表述的响应文件视同未提供（有中文汉语说明的除外）。</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（五）磋商报价</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1.报价应按磋商文件要求的格式编制、填写报价内容（可自行增行），未按磋商文件要求编制、填写的响应文件可能被拒绝；</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2.国产设备采用人民币报价。</w:t>
      </w:r>
    </w:p>
    <w:p>
      <w:pPr>
        <w:spacing w:line="288" w:lineRule="auto"/>
        <w:ind w:firstLine="420"/>
        <w:jc w:val="left"/>
        <w:rPr>
          <w:color w:val="auto"/>
          <w:highlight w:val="none"/>
        </w:rPr>
      </w:pPr>
      <w:r>
        <w:rPr>
          <w:rFonts w:hint="eastAsia"/>
          <w:color w:val="auto"/>
          <w:sz w:val="21"/>
          <w:szCs w:val="21"/>
          <w:highlight w:val="none"/>
        </w:rPr>
        <w:t>3.如进口设备的价格采用免税的人民币报价，同时提供美元报价，交货方式为CIP杭州电子科技大学，由成交方委托相关外贸公司办理免税事宜（外贸公司由采购人认定），采购人予以协助，所需费用由成交方承担；对于根据国家相关规定不能享受进口免税政策的设备，投标报价也以人民币报价，投标报价应包含“不能免税的部分”的税金，对于不能免税的部分投标人应在投标文件中予以明示，若未明示，其不能免税的税金由中标人自行承担；外贸代理费用按以下档次计算：</w:t>
      </w:r>
    </w:p>
    <w:tbl>
      <w:tblPr>
        <w:tblStyle w:val="9"/>
        <w:tblW w:w="9628" w:type="dxa"/>
        <w:tblInd w:w="0" w:type="dxa"/>
        <w:tblLayout w:type="fixed"/>
        <w:tblCellMar>
          <w:top w:w="0" w:type="dxa"/>
          <w:left w:w="108" w:type="dxa"/>
          <w:bottom w:w="0" w:type="dxa"/>
          <w:right w:w="108" w:type="dxa"/>
        </w:tblCellMar>
      </w:tblPr>
      <w:tblGrid>
        <w:gridCol w:w="2363"/>
        <w:gridCol w:w="2292"/>
        <w:gridCol w:w="4973"/>
      </w:tblGrid>
      <w:tr>
        <w:tblPrEx>
          <w:tblLayout w:type="fixed"/>
          <w:tblCellMar>
            <w:top w:w="0" w:type="dxa"/>
            <w:left w:w="108" w:type="dxa"/>
            <w:bottom w:w="0" w:type="dxa"/>
            <w:right w:w="108" w:type="dxa"/>
          </w:tblCellMar>
        </w:tblPrEx>
        <w:tc>
          <w:tcPr>
            <w:tcW w:w="2363" w:type="dxa"/>
            <w:tcBorders>
              <w:top w:val="single" w:color="000000" w:sz="4" w:space="0"/>
              <w:left w:val="single" w:color="000000" w:sz="4" w:space="0"/>
              <w:bottom w:val="single" w:color="000000" w:sz="4" w:space="0"/>
            </w:tcBorders>
            <w:vAlign w:val="center"/>
          </w:tcPr>
          <w:p>
            <w:pPr>
              <w:spacing w:line="480" w:lineRule="exact"/>
              <w:jc w:val="center"/>
              <w:rPr>
                <w:color w:val="auto"/>
                <w:sz w:val="28"/>
                <w:highlight w:val="none"/>
              </w:rPr>
            </w:pPr>
            <w:r>
              <w:rPr>
                <w:rFonts w:hint="eastAsia"/>
                <w:color w:val="auto"/>
                <w:sz w:val="21"/>
                <w:szCs w:val="21"/>
                <w:highlight w:val="none"/>
              </w:rPr>
              <w:t>代理金额(单票)</w:t>
            </w:r>
          </w:p>
        </w:tc>
        <w:tc>
          <w:tcPr>
            <w:tcW w:w="2292" w:type="dxa"/>
            <w:tcBorders>
              <w:top w:val="single" w:color="000000" w:sz="4" w:space="0"/>
              <w:left w:val="single" w:color="000000" w:sz="4" w:space="0"/>
              <w:bottom w:val="single" w:color="000000" w:sz="4" w:space="0"/>
            </w:tcBorders>
            <w:vAlign w:val="center"/>
          </w:tcPr>
          <w:p>
            <w:pPr>
              <w:spacing w:line="480" w:lineRule="exact"/>
              <w:jc w:val="center"/>
              <w:rPr>
                <w:color w:val="auto"/>
                <w:sz w:val="28"/>
                <w:highlight w:val="none"/>
              </w:rPr>
            </w:pPr>
            <w:r>
              <w:rPr>
                <w:rFonts w:hint="eastAsia"/>
                <w:color w:val="auto"/>
                <w:sz w:val="21"/>
                <w:szCs w:val="21"/>
                <w:highlight w:val="none"/>
              </w:rPr>
              <w:t>代理手续费</w:t>
            </w:r>
          </w:p>
          <w:p>
            <w:pPr>
              <w:spacing w:line="480" w:lineRule="exact"/>
              <w:jc w:val="center"/>
              <w:rPr>
                <w:color w:val="auto"/>
                <w:sz w:val="28"/>
                <w:highlight w:val="none"/>
              </w:rPr>
            </w:pPr>
            <w:r>
              <w:rPr>
                <w:rFonts w:hint="eastAsia"/>
                <w:color w:val="auto"/>
                <w:sz w:val="21"/>
                <w:szCs w:val="21"/>
                <w:highlight w:val="none"/>
              </w:rPr>
              <w:t>（人民币：美元汇率的增加部分）</w:t>
            </w:r>
          </w:p>
        </w:tc>
        <w:tc>
          <w:tcPr>
            <w:tcW w:w="4973" w:type="dxa"/>
            <w:tcBorders>
              <w:top w:val="single" w:color="000000" w:sz="4" w:space="0"/>
              <w:left w:val="single" w:color="000000" w:sz="4" w:space="0"/>
              <w:bottom w:val="single" w:color="000000" w:sz="4" w:space="0"/>
              <w:right w:val="single" w:color="000000" w:sz="4" w:space="0"/>
            </w:tcBorders>
            <w:vAlign w:val="center"/>
          </w:tcPr>
          <w:p>
            <w:pPr>
              <w:spacing w:line="480" w:lineRule="exact"/>
              <w:jc w:val="center"/>
              <w:rPr>
                <w:color w:val="auto"/>
                <w:sz w:val="28"/>
                <w:highlight w:val="none"/>
              </w:rPr>
            </w:pPr>
            <w:r>
              <w:rPr>
                <w:rFonts w:hint="eastAsia"/>
                <w:color w:val="auto"/>
                <w:sz w:val="21"/>
                <w:szCs w:val="21"/>
                <w:highlight w:val="none"/>
              </w:rPr>
              <w:t>备注</w:t>
            </w:r>
          </w:p>
        </w:tc>
      </w:tr>
      <w:tr>
        <w:tblPrEx>
          <w:tblLayout w:type="fixed"/>
          <w:tblCellMar>
            <w:top w:w="0" w:type="dxa"/>
            <w:left w:w="108" w:type="dxa"/>
            <w:bottom w:w="0" w:type="dxa"/>
            <w:right w:w="108" w:type="dxa"/>
          </w:tblCellMar>
        </w:tblPrEx>
        <w:tc>
          <w:tcPr>
            <w:tcW w:w="2363" w:type="dxa"/>
            <w:tcBorders>
              <w:top w:val="single" w:color="000000" w:sz="4" w:space="0"/>
              <w:left w:val="single" w:color="000000" w:sz="4" w:space="0"/>
              <w:bottom w:val="single" w:color="000000" w:sz="4" w:space="0"/>
            </w:tcBorders>
            <w:vAlign w:val="center"/>
          </w:tcPr>
          <w:p>
            <w:pPr>
              <w:spacing w:line="480" w:lineRule="exact"/>
              <w:jc w:val="center"/>
              <w:rPr>
                <w:color w:val="auto"/>
                <w:sz w:val="28"/>
                <w:highlight w:val="none"/>
              </w:rPr>
            </w:pPr>
            <w:r>
              <w:rPr>
                <w:rFonts w:hint="eastAsia"/>
                <w:color w:val="auto"/>
                <w:sz w:val="21"/>
                <w:szCs w:val="21"/>
                <w:highlight w:val="none"/>
              </w:rPr>
              <w:t>0-1万（含）USD</w:t>
            </w:r>
          </w:p>
        </w:tc>
        <w:tc>
          <w:tcPr>
            <w:tcW w:w="2292" w:type="dxa"/>
            <w:tcBorders>
              <w:top w:val="single" w:color="000000" w:sz="4" w:space="0"/>
              <w:left w:val="single" w:color="000000" w:sz="4" w:space="0"/>
              <w:bottom w:val="single" w:color="000000" w:sz="4" w:space="0"/>
            </w:tcBorders>
            <w:vAlign w:val="center"/>
          </w:tcPr>
          <w:p>
            <w:pPr>
              <w:spacing w:line="480" w:lineRule="exact"/>
              <w:jc w:val="center"/>
              <w:rPr>
                <w:color w:val="auto"/>
                <w:sz w:val="28"/>
                <w:highlight w:val="none"/>
              </w:rPr>
            </w:pPr>
            <w:r>
              <w:rPr>
                <w:rFonts w:hint="eastAsia"/>
                <w:color w:val="auto"/>
                <w:sz w:val="21"/>
                <w:szCs w:val="21"/>
                <w:highlight w:val="none"/>
              </w:rPr>
              <w:t>0.22</w:t>
            </w:r>
          </w:p>
        </w:tc>
        <w:tc>
          <w:tcPr>
            <w:tcW w:w="4973" w:type="dxa"/>
            <w:vMerge w:val="restart"/>
            <w:tcBorders>
              <w:top w:val="single" w:color="000000" w:sz="4" w:space="0"/>
              <w:left w:val="single" w:color="000000" w:sz="4" w:space="0"/>
              <w:bottom w:val="single" w:color="000000" w:sz="4" w:space="0"/>
              <w:right w:val="single" w:color="000000" w:sz="4" w:space="0"/>
            </w:tcBorders>
          </w:tcPr>
          <w:p>
            <w:pPr>
              <w:spacing w:line="360" w:lineRule="exact"/>
              <w:rPr>
                <w:color w:val="auto"/>
                <w:sz w:val="21"/>
                <w:szCs w:val="21"/>
                <w:highlight w:val="none"/>
              </w:rPr>
            </w:pPr>
            <w:r>
              <w:rPr>
                <w:rFonts w:hint="eastAsia"/>
                <w:color w:val="auto"/>
                <w:sz w:val="21"/>
                <w:szCs w:val="21"/>
                <w:highlight w:val="none"/>
              </w:rPr>
              <w:t>1.该代理费含代理服务费、银行手续费、报关费（制单费、录入费、卫生检疫费、保险费、法定商检费、滞报金、换单费等）、海关监管费、仓储费、运输费等必须或可能发生的费用。</w:t>
            </w:r>
          </w:p>
          <w:p>
            <w:pPr>
              <w:spacing w:line="360" w:lineRule="exact"/>
              <w:rPr>
                <w:color w:val="auto"/>
                <w:sz w:val="21"/>
                <w:szCs w:val="21"/>
                <w:highlight w:val="none"/>
              </w:rPr>
            </w:pPr>
            <w:r>
              <w:rPr>
                <w:rFonts w:hint="eastAsia"/>
                <w:color w:val="auto"/>
                <w:sz w:val="21"/>
                <w:szCs w:val="21"/>
                <w:highlight w:val="none"/>
              </w:rPr>
              <w:t>2.该代理费不含超低温冰箱的能效标识检测费用，压力容器的特种设备检测费用，需由产品供货商承担；</w:t>
            </w:r>
          </w:p>
          <w:p>
            <w:pPr>
              <w:spacing w:line="360" w:lineRule="exact"/>
              <w:rPr>
                <w:color w:val="auto"/>
                <w:sz w:val="28"/>
                <w:highlight w:val="none"/>
              </w:rPr>
            </w:pPr>
            <w:r>
              <w:rPr>
                <w:rFonts w:hint="eastAsia"/>
                <w:color w:val="auto"/>
                <w:sz w:val="21"/>
                <w:szCs w:val="21"/>
                <w:highlight w:val="none"/>
              </w:rPr>
              <w:t>3.该代理费不包含货物不能享受海关减免税优惠政策所征收的税款。</w:t>
            </w:r>
          </w:p>
        </w:tc>
      </w:tr>
      <w:tr>
        <w:tblPrEx>
          <w:tblLayout w:type="fixed"/>
          <w:tblCellMar>
            <w:top w:w="0" w:type="dxa"/>
            <w:left w:w="108" w:type="dxa"/>
            <w:bottom w:w="0" w:type="dxa"/>
            <w:right w:w="108" w:type="dxa"/>
          </w:tblCellMar>
        </w:tblPrEx>
        <w:tc>
          <w:tcPr>
            <w:tcW w:w="2363" w:type="dxa"/>
            <w:tcBorders>
              <w:top w:val="single" w:color="000000" w:sz="4" w:space="0"/>
              <w:left w:val="single" w:color="000000" w:sz="4" w:space="0"/>
              <w:bottom w:val="single" w:color="000000" w:sz="4" w:space="0"/>
            </w:tcBorders>
            <w:vAlign w:val="center"/>
          </w:tcPr>
          <w:p>
            <w:pPr>
              <w:spacing w:line="480" w:lineRule="exact"/>
              <w:jc w:val="center"/>
              <w:rPr>
                <w:color w:val="auto"/>
                <w:sz w:val="28"/>
                <w:highlight w:val="none"/>
              </w:rPr>
            </w:pPr>
            <w:r>
              <w:rPr>
                <w:rFonts w:hint="eastAsia"/>
                <w:color w:val="auto"/>
                <w:sz w:val="21"/>
                <w:szCs w:val="21"/>
                <w:highlight w:val="none"/>
              </w:rPr>
              <w:t>1-5万（含）USD</w:t>
            </w:r>
          </w:p>
        </w:tc>
        <w:tc>
          <w:tcPr>
            <w:tcW w:w="2292" w:type="dxa"/>
            <w:tcBorders>
              <w:top w:val="single" w:color="000000" w:sz="4" w:space="0"/>
              <w:left w:val="single" w:color="000000" w:sz="4" w:space="0"/>
              <w:bottom w:val="single" w:color="000000" w:sz="4" w:space="0"/>
            </w:tcBorders>
            <w:vAlign w:val="center"/>
          </w:tcPr>
          <w:p>
            <w:pPr>
              <w:spacing w:line="480" w:lineRule="exact"/>
              <w:jc w:val="center"/>
              <w:rPr>
                <w:color w:val="auto"/>
                <w:sz w:val="28"/>
                <w:highlight w:val="none"/>
              </w:rPr>
            </w:pPr>
            <w:r>
              <w:rPr>
                <w:rFonts w:hint="eastAsia"/>
                <w:color w:val="auto"/>
                <w:spacing w:val="16"/>
                <w:sz w:val="21"/>
                <w:szCs w:val="21"/>
                <w:highlight w:val="none"/>
              </w:rPr>
              <w:t>0.13</w:t>
            </w:r>
          </w:p>
        </w:tc>
        <w:tc>
          <w:tcPr>
            <w:tcW w:w="4973" w:type="dxa"/>
            <w:vMerge w:val="continue"/>
            <w:tcBorders>
              <w:top w:val="single" w:color="000000" w:sz="4" w:space="0"/>
              <w:left w:val="single" w:color="000000" w:sz="4" w:space="0"/>
              <w:bottom w:val="single" w:color="000000" w:sz="4" w:space="0"/>
              <w:right w:val="single" w:color="000000" w:sz="4" w:space="0"/>
            </w:tcBorders>
          </w:tcPr>
          <w:p>
            <w:pPr>
              <w:snapToGrid w:val="0"/>
              <w:spacing w:line="480" w:lineRule="exact"/>
              <w:jc w:val="center"/>
              <w:rPr>
                <w:color w:val="auto"/>
                <w:spacing w:val="16"/>
                <w:sz w:val="21"/>
                <w:szCs w:val="21"/>
                <w:highlight w:val="none"/>
              </w:rPr>
            </w:pPr>
          </w:p>
        </w:tc>
      </w:tr>
      <w:tr>
        <w:tblPrEx>
          <w:tblLayout w:type="fixed"/>
          <w:tblCellMar>
            <w:top w:w="0" w:type="dxa"/>
            <w:left w:w="108" w:type="dxa"/>
            <w:bottom w:w="0" w:type="dxa"/>
            <w:right w:w="108" w:type="dxa"/>
          </w:tblCellMar>
        </w:tblPrEx>
        <w:tc>
          <w:tcPr>
            <w:tcW w:w="2363" w:type="dxa"/>
            <w:tcBorders>
              <w:top w:val="single" w:color="000000" w:sz="4" w:space="0"/>
              <w:left w:val="single" w:color="000000" w:sz="4" w:space="0"/>
              <w:bottom w:val="single" w:color="000000" w:sz="4" w:space="0"/>
            </w:tcBorders>
            <w:vAlign w:val="center"/>
          </w:tcPr>
          <w:p>
            <w:pPr>
              <w:spacing w:line="480" w:lineRule="exact"/>
              <w:jc w:val="center"/>
              <w:rPr>
                <w:color w:val="auto"/>
                <w:sz w:val="28"/>
                <w:highlight w:val="none"/>
              </w:rPr>
            </w:pPr>
            <w:r>
              <w:rPr>
                <w:rFonts w:hint="eastAsia"/>
                <w:color w:val="auto"/>
                <w:sz w:val="21"/>
                <w:szCs w:val="21"/>
                <w:highlight w:val="none"/>
              </w:rPr>
              <w:t>5万-10万（含）USD</w:t>
            </w:r>
          </w:p>
        </w:tc>
        <w:tc>
          <w:tcPr>
            <w:tcW w:w="2292" w:type="dxa"/>
            <w:tcBorders>
              <w:top w:val="single" w:color="000000" w:sz="4" w:space="0"/>
              <w:left w:val="single" w:color="000000" w:sz="4" w:space="0"/>
              <w:bottom w:val="single" w:color="000000" w:sz="4" w:space="0"/>
            </w:tcBorders>
            <w:vAlign w:val="center"/>
          </w:tcPr>
          <w:p>
            <w:pPr>
              <w:spacing w:line="480" w:lineRule="exact"/>
              <w:jc w:val="center"/>
              <w:rPr>
                <w:color w:val="auto"/>
                <w:sz w:val="28"/>
                <w:highlight w:val="none"/>
              </w:rPr>
            </w:pPr>
            <w:r>
              <w:rPr>
                <w:rFonts w:hint="eastAsia"/>
                <w:color w:val="auto"/>
                <w:spacing w:val="16"/>
                <w:sz w:val="21"/>
                <w:szCs w:val="21"/>
                <w:highlight w:val="none"/>
              </w:rPr>
              <w:t>0.09</w:t>
            </w:r>
          </w:p>
        </w:tc>
        <w:tc>
          <w:tcPr>
            <w:tcW w:w="4973" w:type="dxa"/>
            <w:vMerge w:val="continue"/>
            <w:tcBorders>
              <w:top w:val="single" w:color="000000" w:sz="4" w:space="0"/>
              <w:left w:val="single" w:color="000000" w:sz="4" w:space="0"/>
              <w:bottom w:val="single" w:color="000000" w:sz="4" w:space="0"/>
              <w:right w:val="single" w:color="000000" w:sz="4" w:space="0"/>
            </w:tcBorders>
          </w:tcPr>
          <w:p>
            <w:pPr>
              <w:snapToGrid w:val="0"/>
              <w:spacing w:line="480" w:lineRule="exact"/>
              <w:jc w:val="center"/>
              <w:rPr>
                <w:color w:val="auto"/>
                <w:spacing w:val="16"/>
                <w:sz w:val="21"/>
                <w:szCs w:val="21"/>
                <w:highlight w:val="none"/>
              </w:rPr>
            </w:pPr>
          </w:p>
        </w:tc>
      </w:tr>
      <w:tr>
        <w:tblPrEx>
          <w:tblLayout w:type="fixed"/>
          <w:tblCellMar>
            <w:top w:w="0" w:type="dxa"/>
            <w:left w:w="108" w:type="dxa"/>
            <w:bottom w:w="0" w:type="dxa"/>
            <w:right w:w="108" w:type="dxa"/>
          </w:tblCellMar>
        </w:tblPrEx>
        <w:tc>
          <w:tcPr>
            <w:tcW w:w="2363" w:type="dxa"/>
            <w:tcBorders>
              <w:top w:val="single" w:color="000000" w:sz="4" w:space="0"/>
              <w:left w:val="single" w:color="000000" w:sz="4" w:space="0"/>
              <w:bottom w:val="single" w:color="000000" w:sz="4" w:space="0"/>
            </w:tcBorders>
            <w:vAlign w:val="center"/>
          </w:tcPr>
          <w:p>
            <w:pPr>
              <w:spacing w:line="480" w:lineRule="exact"/>
              <w:jc w:val="center"/>
              <w:rPr>
                <w:color w:val="auto"/>
                <w:sz w:val="28"/>
                <w:highlight w:val="none"/>
              </w:rPr>
            </w:pPr>
            <w:r>
              <w:rPr>
                <w:rFonts w:hint="eastAsia"/>
                <w:color w:val="auto"/>
                <w:sz w:val="21"/>
                <w:szCs w:val="21"/>
                <w:highlight w:val="none"/>
              </w:rPr>
              <w:t>10万-20万（含）USD</w:t>
            </w:r>
          </w:p>
        </w:tc>
        <w:tc>
          <w:tcPr>
            <w:tcW w:w="2292" w:type="dxa"/>
            <w:tcBorders>
              <w:top w:val="single" w:color="000000" w:sz="4" w:space="0"/>
              <w:left w:val="single" w:color="000000" w:sz="4" w:space="0"/>
              <w:bottom w:val="single" w:color="000000" w:sz="4" w:space="0"/>
            </w:tcBorders>
            <w:vAlign w:val="center"/>
          </w:tcPr>
          <w:p>
            <w:pPr>
              <w:spacing w:line="480" w:lineRule="exact"/>
              <w:jc w:val="center"/>
              <w:rPr>
                <w:color w:val="auto"/>
                <w:sz w:val="28"/>
                <w:highlight w:val="none"/>
              </w:rPr>
            </w:pPr>
            <w:r>
              <w:rPr>
                <w:rFonts w:hint="eastAsia"/>
                <w:color w:val="auto"/>
                <w:spacing w:val="16"/>
                <w:sz w:val="21"/>
                <w:szCs w:val="21"/>
                <w:highlight w:val="none"/>
              </w:rPr>
              <w:t>0.06</w:t>
            </w:r>
          </w:p>
        </w:tc>
        <w:tc>
          <w:tcPr>
            <w:tcW w:w="4973" w:type="dxa"/>
            <w:vMerge w:val="continue"/>
            <w:tcBorders>
              <w:top w:val="single" w:color="000000" w:sz="4" w:space="0"/>
              <w:left w:val="single" w:color="000000" w:sz="4" w:space="0"/>
              <w:bottom w:val="single" w:color="000000" w:sz="4" w:space="0"/>
              <w:right w:val="single" w:color="000000" w:sz="4" w:space="0"/>
            </w:tcBorders>
          </w:tcPr>
          <w:p>
            <w:pPr>
              <w:snapToGrid w:val="0"/>
              <w:spacing w:line="480" w:lineRule="exact"/>
              <w:jc w:val="center"/>
              <w:rPr>
                <w:color w:val="auto"/>
                <w:spacing w:val="16"/>
                <w:sz w:val="21"/>
                <w:szCs w:val="21"/>
                <w:highlight w:val="none"/>
              </w:rPr>
            </w:pPr>
          </w:p>
        </w:tc>
      </w:tr>
      <w:tr>
        <w:tblPrEx>
          <w:tblLayout w:type="fixed"/>
          <w:tblCellMar>
            <w:top w:w="0" w:type="dxa"/>
            <w:left w:w="108" w:type="dxa"/>
            <w:bottom w:w="0" w:type="dxa"/>
            <w:right w:w="108" w:type="dxa"/>
          </w:tblCellMar>
        </w:tblPrEx>
        <w:trPr>
          <w:trHeight w:val="268" w:hRule="atLeast"/>
        </w:trPr>
        <w:tc>
          <w:tcPr>
            <w:tcW w:w="2363" w:type="dxa"/>
            <w:tcBorders>
              <w:top w:val="single" w:color="000000" w:sz="4" w:space="0"/>
              <w:left w:val="single" w:color="000000" w:sz="4" w:space="0"/>
              <w:bottom w:val="single" w:color="000000" w:sz="4" w:space="0"/>
            </w:tcBorders>
            <w:vAlign w:val="center"/>
          </w:tcPr>
          <w:p>
            <w:pPr>
              <w:spacing w:line="480" w:lineRule="exact"/>
              <w:jc w:val="center"/>
              <w:rPr>
                <w:color w:val="auto"/>
                <w:sz w:val="28"/>
                <w:highlight w:val="none"/>
              </w:rPr>
            </w:pPr>
            <w:r>
              <w:rPr>
                <w:rFonts w:hint="eastAsia"/>
                <w:color w:val="auto"/>
                <w:sz w:val="21"/>
                <w:szCs w:val="21"/>
                <w:highlight w:val="none"/>
              </w:rPr>
              <w:t>20万以上USD</w:t>
            </w:r>
          </w:p>
        </w:tc>
        <w:tc>
          <w:tcPr>
            <w:tcW w:w="2292" w:type="dxa"/>
            <w:tcBorders>
              <w:top w:val="single" w:color="000000" w:sz="4" w:space="0"/>
              <w:left w:val="single" w:color="000000" w:sz="4" w:space="0"/>
              <w:bottom w:val="single" w:color="000000" w:sz="4" w:space="0"/>
            </w:tcBorders>
            <w:vAlign w:val="center"/>
          </w:tcPr>
          <w:p>
            <w:pPr>
              <w:spacing w:line="480" w:lineRule="exact"/>
              <w:jc w:val="center"/>
              <w:rPr>
                <w:color w:val="auto"/>
                <w:sz w:val="28"/>
                <w:highlight w:val="none"/>
              </w:rPr>
            </w:pPr>
            <w:r>
              <w:rPr>
                <w:rFonts w:hint="eastAsia"/>
                <w:color w:val="auto"/>
                <w:spacing w:val="16"/>
                <w:sz w:val="21"/>
                <w:szCs w:val="21"/>
                <w:highlight w:val="none"/>
              </w:rPr>
              <w:t>0.05</w:t>
            </w:r>
          </w:p>
        </w:tc>
        <w:tc>
          <w:tcPr>
            <w:tcW w:w="4973" w:type="dxa"/>
            <w:vMerge w:val="continue"/>
            <w:tcBorders>
              <w:top w:val="single" w:color="000000" w:sz="4" w:space="0"/>
              <w:left w:val="single" w:color="000000" w:sz="4" w:space="0"/>
              <w:bottom w:val="single" w:color="000000" w:sz="4" w:space="0"/>
              <w:right w:val="single" w:color="000000" w:sz="4" w:space="0"/>
            </w:tcBorders>
          </w:tcPr>
          <w:p>
            <w:pPr>
              <w:snapToGrid w:val="0"/>
              <w:spacing w:line="480" w:lineRule="exact"/>
              <w:jc w:val="center"/>
              <w:rPr>
                <w:color w:val="auto"/>
                <w:spacing w:val="16"/>
                <w:sz w:val="21"/>
                <w:szCs w:val="21"/>
                <w:highlight w:val="none"/>
              </w:rPr>
            </w:pPr>
          </w:p>
        </w:tc>
      </w:tr>
    </w:tbl>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4.最后磋商报价是履行合同的最终价格，应包括完成所有产品供货及履行所有规定服务所产生的全部税、费；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5.磋商小组认为供应商的最后报价明显低于其他通过符合性审查供应商的最后报价，依据《政府采购货物和服务招标投标管理办法》（财政部令第87号）第六十条进行处理。</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（六）响应有效期</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▲从提交响应文件的截止之日起90天。在原响应有效期满之前，如果出现特殊情况，采购人或采购代理机构以书面形式通知供应商延长响应有效期。</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（七）响应无效的情形</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1.在资格审查时，如发现下列情形之一的，响应文件将被视为无效：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（1）资格证明材料不全的，或者不符合磋商文件要求的；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）供应商不具备磋商文件中规定的资格要求的；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（3）资格文件未按要求签署、盖章的。</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2.在符合性审查、商务和技术评审时，如发现下列情形之一的，响应文件将被视为无效：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（1）商务和技术文件未按要求签署、盖章的；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（2）未提供或未按要求提供响应函、法定代表人资格证明书、法定代表人授权委托书、响应声明书的；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（3）法定代表人委托授权代表参加响应但未提供授权代表社保缴纳证明的；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（4）未提供或未如实提供采购需求偏离表的；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（5）明显不符合磋商文件要求，或者与磋商文件中标“▲”的项目发生实质性偏离的，</w:t>
      </w:r>
      <w:r>
        <w:rPr>
          <w:rFonts w:hint="eastAsia"/>
          <w:color w:val="auto"/>
          <w:spacing w:val="-6"/>
          <w:sz w:val="21"/>
          <w:szCs w:val="21"/>
          <w:highlight w:val="none"/>
        </w:rPr>
        <w:t>或</w:t>
      </w:r>
      <w:r>
        <w:rPr>
          <w:rFonts w:hint="eastAsia"/>
          <w:color w:val="auto"/>
          <w:sz w:val="21"/>
          <w:szCs w:val="21"/>
          <w:highlight w:val="none"/>
        </w:rPr>
        <w:t>负偏离达到规定数目的</w:t>
      </w:r>
      <w:r>
        <w:rPr>
          <w:color w:val="auto"/>
          <w:spacing w:val="-6"/>
          <w:sz w:val="21"/>
          <w:szCs w:val="21"/>
          <w:highlight w:val="none"/>
        </w:rPr>
        <w:t>；</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（6）未提供或未如实提供响应技术参数，或者响应文件标明的响应或偏离与事实不符或虚假响应的；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（7）响应技术方案不明确，存在一个或一个以上备选（替代）响应方案的；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（8）响应文件含有采购人不能接受的附加条件的；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（9）法律、法规和磋商文件规定的其他无效情形。</w:t>
      </w:r>
    </w:p>
    <w:p>
      <w:pPr>
        <w:adjustRightInd w:val="0"/>
        <w:snapToGrid w:val="0"/>
        <w:spacing w:line="288" w:lineRule="auto"/>
        <w:ind w:firstLine="422" w:firstLineChars="200"/>
        <w:jc w:val="left"/>
        <w:rPr>
          <w:b/>
          <w:bCs/>
          <w:color w:val="auto"/>
          <w:sz w:val="21"/>
          <w:szCs w:val="21"/>
          <w:highlight w:val="none"/>
        </w:rPr>
      </w:pPr>
      <w:r>
        <w:rPr>
          <w:rFonts w:hint="eastAsia"/>
          <w:b/>
          <w:bCs/>
          <w:color w:val="auto"/>
          <w:sz w:val="21"/>
          <w:szCs w:val="21"/>
          <w:highlight w:val="none"/>
        </w:rPr>
        <w:t>3.在报价评审时，如发现下列情形之一的，响应文件将被视为无效：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（1）最后报价超过磋商文件中规定的预算金额或最高限价的；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（2）最后报价具有选择性的。</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4.有下列情形之一的，视为供应商串通投标，其响应无效，由采购人或采购代理机构上报政府采购监督管理部门，视情列入不良行为记录名单，在一至三年内禁止参加政府采购活动：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（1）不同供应商的响应文件由同一单位或者个人编制；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（2）不同供应商委托同一单位或者个人办理投标事宜；</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（3）不同供应商的响应文件载明的项目管理成员或者联系人员为同一人；</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（4）不同供应商的响应文件异常一致或者最后报价呈规律性差异；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（5）不同供应商的响应文件相互混装。</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四、响应文件开启</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（一）响应文件开启准备</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1.制订响应文件开启、评审工作的组织方案，落实工作场地、设施，检查录音录像采集设备运行情况。</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2.通知或邀请相关单位和人员出席响应文件开启、评审活动（按规定由相关监管部门或其授权机构随机抽取、通知的政府采购评审专家除外）。</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3.准备政府采购项目的相关文件资料，如项目政府采购预算确认书（计划）及专家抽取有关凭证、项目书面说明、磋商文件、补充文件及质疑答复情况、现场工作所需的相关登记表单、评审工作底稿等。</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4.其他应准备的事项。</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（二）响应文件开启程序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采购代理机构按照磋商文件规定的时间、地点和程序组织响应文件开启。具体按以下程序进行：</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1.开启响应文件开启场地的录音录像采集设备，并确保其正常运行。</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2.核验出席响应文件开启活动现场的各相关单位人员身份，并组织其分别登记、签到，无关人员可拒绝其进入现场。</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3.政府采购云平台在线进行响应文件签收。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4.主持人宣布响应文件开启，介绍响应文件开启现场的人员情况，宣读递交响应文件的供应商名单、开标纪律、应当回避的情形等注意事项。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向各供应商发出电子加密响应文件开始解密通知，由供应商在规定时间（不少于30分钟）内自行进行响应文件解密。供应商在规定时间内无法完成已上传的电子加密响应文件解密的，如已按规定递交备份响应文件的，将由采购代理机构按政府采购云平台操作规范将备份响应文件上传至政府采购云平台，上传成功后，电子加密响应文件自动失效，否则视为响应文件撤回。</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特别说明：如遇政府采购云平台电子化开标或评审程序调整的，按调整后程序执行。</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五、评审程序</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（一）组建磋商小组</w:t>
      </w:r>
    </w:p>
    <w:p>
      <w:pPr>
        <w:adjustRightInd w:val="0"/>
        <w:snapToGrid w:val="0"/>
        <w:spacing w:line="288" w:lineRule="auto"/>
        <w:ind w:firstLine="420" w:firstLineChars="200"/>
        <w:rPr>
          <w:b/>
          <w:bCs/>
          <w:color w:val="auto"/>
          <w:sz w:val="21"/>
          <w:szCs w:val="21"/>
          <w:highlight w:val="none"/>
        </w:rPr>
      </w:pPr>
      <w:r>
        <w:rPr>
          <w:rFonts w:hint="eastAsia"/>
          <w:color w:val="auto"/>
          <w:sz w:val="21"/>
          <w:szCs w:val="21"/>
          <w:highlight w:val="none"/>
        </w:rPr>
        <w:t>本项目磋商小组由政府采购评审专家共3人（单数）组成。</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（二）评审的方式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本项目采用不公开方式评审，评审的依据为磋商文件、响应文件和磋商记录。</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（三）评审程序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采购代理机构按照磋商文件规定的时间、地点及程序组织评审。评审活动一般应按以下程序组织开展：</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1.开启评审场地的录音录像采集设备，并确保其正常运行。</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2.核验出席评审活动现场的磋商小组各成员身份，并要求其分别登记、签到，按规定统一收缴、保存其通讯工具，无关人员一律拒绝其进入评审现场。</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3.介绍评审现场的人员情况，宣布评审工作纪律，告知磋商小组应当回避情形，组织推选磋商小组组长。</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4.通报依法获取磋商文件的供应商名单及资格预审情况（如有），宣读最终提交响应文件的供应商名单，组织磋商小组各位成员签订《政府采购评审人员廉洁自律承诺书》。</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根据需要简要介绍磋商文件（含补充文件）制定及质疑答复情况、按书面陈述项目基本情况及评审工作需注意事项等，让评审专家尽快知悉和了解所评审项目的采购需求、评审依据、评审标准、工作程序等；提醒磋商小组对客观评审项目应统一评审依据和评审标准，对主观评审项目应确定大致的评审要求和评审尺度；对磋商小组提出的有关磋商文件、响应文件的问题进行必要的说明、解释或讨论。</w:t>
      </w:r>
    </w:p>
    <w:p>
      <w:pPr>
        <w:adjustRightInd w:val="0"/>
        <w:snapToGrid w:val="0"/>
        <w:spacing w:line="288" w:lineRule="auto"/>
        <w:ind w:firstLine="420" w:firstLineChars="200"/>
        <w:rPr>
          <w:rFonts w:cs="楷体"/>
          <w:color w:val="auto"/>
          <w:sz w:val="21"/>
          <w:szCs w:val="21"/>
          <w:highlight w:val="none"/>
        </w:rPr>
      </w:pPr>
      <w:r>
        <w:rPr>
          <w:rFonts w:hint="eastAsia"/>
          <w:color w:val="auto"/>
          <w:sz w:val="21"/>
          <w:szCs w:val="21"/>
          <w:highlight w:val="none"/>
        </w:rPr>
        <w:t>6.磋商小组组长组织磋商小组成员根据磋商文件规定的评审程序、评审方法和评审标准进行独立评审。未实质性响应磋商文件的响应文件按无效响应处理，磋商小组告知提交响应文件的供应商。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7.磋商小组所有成员集中与单一供应商分别进行磋商，并给予所有参加磋商的供应商平等的磋商机会。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或通过政府采购云平台在线磋商）同时通知所有参加磋商的供应商。供应商在按照磋商文件的变动情况和磋商小组的要求重新提交响应文件，并由其法定代表人或授权代表签字或者加盖公章。</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8.磋商文件能够详细列明采购标的的技术、服务要求的，磋商结束后，磋商小组要求所有实质性响应的供应商在规定时间内提交最后磋商报价，提交最后磋商报价的供应商不得少于3家；磋商文件不能详细列明采购标的的技术、服务要求，需经磋商由供应商提供最终设计方案或解决方案的，磋商结束后，磋商小组按照少数服从多数的原则投票推荐3家以上供应商的设计方案或者解决方案，并要求其在规定时间内提交最后磋商报价。</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9.经磋商确定最终采购需求和提交最后磋商报价的供应商后，由磋商小组采用综合评分法对提交最后磋商报价的供应商的响应文件和最后磋商报价进行综合评分。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10.采购代理机构可协助磋商小组组长对打分结果进行校对、核对并汇总统计；对明显畸高、畸低的评分，磋商小组组长应提醒相关评审人员进行复核或书面说明理由，评审人员拒绝说明的，由现场监督员据实记录；评审人员的评审、修改记录应保留原件，随项目其他资料一并存档。</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11.做好评审现场相关记录，协助磋商小组组长做好评审报告起草、有关内容电脑文字录入等工作，并要求磋商小组各成员签字确认。</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12.评审结束后，采购代理机构交还评审人员及其他现场相关人员的通讯工具，主持人公布成交候选供应商名单，及采购人最终确定成交供应商名单的时间和公告方式等。</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（四）澄清问题的形式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磋商小组要求供应商澄清、说明或者更正响应文件应当以书面形式（或通过政府采购云平台在线询标）作出。供应商的澄清、说明或者更正应当由法定代表人或其授权代表签字或者加盖公章。</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采用书面形式的澄清、说明或者更正，在规定时间内（不少于半小时）通过指定的电子邮箱（zb02@qszb.net）或传真号码（0571-87670302）提交。</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（五）评审原则和评审办法</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1.评审专家应当遵守评审工作纪律，不得泄露评审情况和评审中获悉的商业秘密。磋商小组成员应当按照客观、公正、审慎的原则，根据磋商文件规定的评审程序、评审方法和评审标准进行独立评审。</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评审专家因回避、临时缺席或健康原因等特殊情况不能继续参加评审工作的，应按规定更换评审专家，被更换的评审人员之前所作出的评审意见不再予以采纳，由更换后的评审人员重新进行评审。无法及时更换专家的，要立即停止评审工作、封存评审资料，并告知供应商择期重新评审的时间和地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3.磋商文件内容违反国家有关强制性规定的，磋商小组应当停止评审并向采购人或者采购代理机构说明情况。</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4.采购人、采购代理机构不得向磋商小组中的评审专家作倾向性、误导性的解释或者说明。</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5.已提交响应文件的供应商，在提交最后磋商报价之前，可以根据磋商情况退出磋商。</w:t>
      </w:r>
    </w:p>
    <w:p>
      <w:pPr>
        <w:adjustRightInd w:val="0"/>
        <w:snapToGrid w:val="0"/>
        <w:spacing w:line="288" w:lineRule="auto"/>
        <w:ind w:firstLine="420" w:firstLineChars="200"/>
        <w:rPr>
          <w:color w:val="auto"/>
          <w:sz w:val="21"/>
          <w:szCs w:val="21"/>
          <w:highlight w:val="none"/>
        </w:rPr>
      </w:pPr>
      <w:r>
        <w:rPr>
          <w:color w:val="auto"/>
          <w:sz w:val="21"/>
          <w:szCs w:val="21"/>
          <w:highlight w:val="none"/>
        </w:rPr>
        <w:t>6</w:t>
      </w:r>
      <w:r>
        <w:rPr>
          <w:rFonts w:hint="eastAsia"/>
          <w:color w:val="auto"/>
          <w:sz w:val="21"/>
          <w:szCs w:val="21"/>
          <w:highlight w:val="none"/>
        </w:rPr>
        <w:t>.磋商轮次不超过三轮，具体根据项目的情况由磋商小组决定。</w:t>
      </w:r>
    </w:p>
    <w:p>
      <w:pPr>
        <w:adjustRightInd w:val="0"/>
        <w:snapToGrid w:val="0"/>
        <w:spacing w:line="288" w:lineRule="auto"/>
        <w:ind w:firstLine="420" w:firstLineChars="200"/>
        <w:rPr>
          <w:color w:val="auto"/>
          <w:sz w:val="21"/>
          <w:szCs w:val="21"/>
          <w:highlight w:val="none"/>
        </w:rPr>
      </w:pPr>
      <w:r>
        <w:rPr>
          <w:color w:val="auto"/>
          <w:sz w:val="21"/>
          <w:szCs w:val="21"/>
          <w:highlight w:val="none"/>
        </w:rPr>
        <w:t>7</w:t>
      </w:r>
      <w:r>
        <w:rPr>
          <w:rFonts w:hint="eastAsia"/>
          <w:color w:val="auto"/>
          <w:sz w:val="21"/>
          <w:szCs w:val="21"/>
          <w:highlight w:val="none"/>
        </w:rPr>
        <w:t>.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pPr>
        <w:adjustRightInd w:val="0"/>
        <w:snapToGrid w:val="0"/>
        <w:spacing w:line="288" w:lineRule="auto"/>
        <w:ind w:firstLine="420" w:firstLineChars="200"/>
        <w:rPr>
          <w:color w:val="auto"/>
          <w:sz w:val="21"/>
          <w:szCs w:val="21"/>
          <w:highlight w:val="none"/>
        </w:rPr>
      </w:pPr>
      <w:r>
        <w:rPr>
          <w:color w:val="auto"/>
          <w:sz w:val="21"/>
          <w:szCs w:val="21"/>
          <w:highlight w:val="none"/>
        </w:rPr>
        <w:t>8</w:t>
      </w:r>
      <w:r>
        <w:rPr>
          <w:rFonts w:hint="eastAsia"/>
          <w:color w:val="auto"/>
          <w:sz w:val="21"/>
          <w:szCs w:val="21"/>
          <w:highlight w:val="none"/>
        </w:rPr>
        <w:t>.评审办法。本项目评审办法是综合评分法，具体评审内容及评分标准等详见《第四章：评审办法及评分标准》。</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（六）成交</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代理机构在评审结束后2个工作日内将评审报告送采购人确认。采购人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2.采购代理机构在成交供应商确定后2个工作日内公告成交结果，同时向成交供应商发出成交通知书。</w:t>
      </w:r>
    </w:p>
    <w:p>
      <w:pPr>
        <w:adjustRightInd w:val="0"/>
        <w:snapToGrid w:val="0"/>
        <w:spacing w:line="288" w:lineRule="auto"/>
        <w:ind w:firstLine="420" w:firstLineChars="200"/>
        <w:rPr>
          <w:b/>
          <w:bCs/>
          <w:color w:val="auto"/>
          <w:sz w:val="21"/>
          <w:szCs w:val="21"/>
          <w:highlight w:val="none"/>
        </w:rPr>
      </w:pPr>
      <w:r>
        <w:rPr>
          <w:rFonts w:hint="eastAsia"/>
          <w:color w:val="auto"/>
          <w:sz w:val="21"/>
          <w:szCs w:val="21"/>
          <w:highlight w:val="none"/>
        </w:rPr>
        <w:t>3</w:t>
      </w:r>
      <w:r>
        <w:rPr>
          <w:color w:val="auto"/>
          <w:sz w:val="21"/>
          <w:szCs w:val="21"/>
          <w:highlight w:val="none"/>
        </w:rPr>
        <w:t>.</w:t>
      </w:r>
      <w:r>
        <w:rPr>
          <w:rFonts w:hint="eastAsia"/>
          <w:color w:val="auto"/>
          <w:sz w:val="21"/>
          <w:szCs w:val="21"/>
          <w:highlight w:val="none"/>
        </w:rPr>
        <w:t>评审结果公示媒体：浙江政府采购网（http://zfcg.czt.zj.gov.cn）。</w:t>
      </w:r>
    </w:p>
    <w:p>
      <w:pPr>
        <w:adjustRightInd w:val="0"/>
        <w:snapToGrid w:val="0"/>
        <w:spacing w:line="288" w:lineRule="auto"/>
        <w:jc w:val="left"/>
        <w:outlineLvl w:val="2"/>
        <w:rPr>
          <w:b/>
          <w:bCs/>
          <w:color w:val="auto"/>
          <w:sz w:val="21"/>
          <w:szCs w:val="21"/>
          <w:highlight w:val="none"/>
        </w:rPr>
      </w:pPr>
      <w:r>
        <w:rPr>
          <w:rFonts w:hint="eastAsia"/>
          <w:b/>
          <w:bCs/>
          <w:color w:val="auto"/>
          <w:sz w:val="21"/>
          <w:szCs w:val="21"/>
          <w:highlight w:val="none"/>
        </w:rPr>
        <w:t>（七）合同授予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采购人与成交供应商应当在成交通知书发出之日起30日内，按照采购文件确定的合同文本以及采购标的、规格型号、采购金额、采购数量、技术和服务要求等事项签订政府采购合同。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2.成交后无正当理由拒不与采购人签订政府采购合同，将被取消成交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六、可中止电子交易活动的情形</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采购过程中出现以下情形，导致电子交易平台无法正常运行，或者无法保证电子交易的公平、公正和安全时，采购代理机构可中止电子交易活动：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1.电子交易平台发生故障而无法登录访问的；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2.电子交易平台应用或数据库出现错误，不能进行正常操作的；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3.电子交易平台发现严重安全漏洞，有潜在泄密危险的；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4.病毒发作导致不能进行正常操作的；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5.其他无法保证电子交易的公平、公正和安全的情况。</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出现前款规定情形，不影响采购公平、公正性的，采购代理机构可以待上述情形消除后继续组织电子交易活动；影响或可能影响采购公平、公正性的，应当重新采购。</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第四章  评审办法及评分标准</w:t>
      </w: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一、总则</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本次评审采用综合评分法，总分为100分。合格供应商的评审得分为各</w:t>
      </w:r>
      <w:r>
        <w:rPr>
          <w:rFonts w:hint="eastAsia"/>
          <w:bCs/>
          <w:color w:val="auto"/>
          <w:spacing w:val="-6"/>
          <w:sz w:val="21"/>
          <w:szCs w:val="21"/>
          <w:highlight w:val="none"/>
        </w:rPr>
        <w:t>评分项</w:t>
      </w:r>
      <w:r>
        <w:rPr>
          <w:rFonts w:hint="eastAsia"/>
          <w:color w:val="auto"/>
          <w:sz w:val="21"/>
          <w:szCs w:val="21"/>
          <w:highlight w:val="none"/>
        </w:rPr>
        <w:t>汇总得分，磋商小组应当根据综合评分情况，按照评审得分由高到低顺序推荐3名以上成交候选供应商，评审得分相同的，按照最后磋商报价由低到高的顺序推荐。评审得分且最后磋商报价相同的，按照技术指标优劣顺序推荐。评分过程中采用四舍五入法，并保留小数2位。</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供应商评审综合得分=商务分+技术分+价格分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商务分、技术分按照磋商小组成员的独立评分结果的算术平均分计算，计算公式为：商务分、技术分=（磋商小组所有成员评分合计数）/（磋商小组组成人员数）</w:t>
      </w: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二、评审内容及标准</w:t>
      </w:r>
    </w:p>
    <w:tbl>
      <w:tblPr>
        <w:tblStyle w:val="10"/>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45"/>
        <w:gridCol w:w="682"/>
        <w:gridCol w:w="72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745"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评审因素</w:t>
            </w:r>
          </w:p>
        </w:tc>
        <w:tc>
          <w:tcPr>
            <w:tcW w:w="682"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分值</w:t>
            </w:r>
          </w:p>
        </w:tc>
        <w:tc>
          <w:tcPr>
            <w:tcW w:w="7201"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9628" w:type="dxa"/>
            <w:gridSpan w:val="3"/>
            <w:vAlign w:val="center"/>
          </w:tcPr>
          <w:p>
            <w:pPr>
              <w:adjustRightInd w:val="0"/>
              <w:snapToGrid w:val="0"/>
              <w:spacing w:line="288" w:lineRule="auto"/>
              <w:rPr>
                <w:color w:val="auto"/>
                <w:sz w:val="21"/>
                <w:szCs w:val="21"/>
                <w:highlight w:val="none"/>
              </w:rPr>
            </w:pPr>
            <w:r>
              <w:rPr>
                <w:rFonts w:hint="eastAsia"/>
                <w:b/>
                <w:bCs/>
                <w:color w:val="auto"/>
                <w:sz w:val="21"/>
                <w:szCs w:val="21"/>
                <w:highlight w:val="none"/>
              </w:rPr>
              <w:t>价格分（30）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745"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最后磋商报价</w:t>
            </w:r>
          </w:p>
        </w:tc>
        <w:tc>
          <w:tcPr>
            <w:tcW w:w="682"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30</w:t>
            </w:r>
          </w:p>
        </w:tc>
        <w:tc>
          <w:tcPr>
            <w:tcW w:w="7201"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价格分采用低价优先法计算，即满足磋商文件要求且最后磋商报价最低的供应商的价格为磋商基准价，其价格分为满分。其他供应商的价格分统一按照下列公式计算：</w:t>
            </w:r>
          </w:p>
          <w:p>
            <w:pPr>
              <w:adjustRightInd w:val="0"/>
              <w:snapToGrid w:val="0"/>
              <w:spacing w:line="288" w:lineRule="auto"/>
              <w:rPr>
                <w:color w:val="auto"/>
                <w:sz w:val="21"/>
                <w:szCs w:val="21"/>
                <w:highlight w:val="none"/>
              </w:rPr>
            </w:pPr>
            <w:r>
              <w:rPr>
                <w:rFonts w:hint="eastAsia"/>
                <w:color w:val="auto"/>
                <w:sz w:val="21"/>
                <w:szCs w:val="21"/>
                <w:highlight w:val="none"/>
              </w:rPr>
              <w:t>磋商报价得分=（磋商基准价/最后磋商报价）×30%×100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9628" w:type="dxa"/>
            <w:gridSpan w:val="3"/>
            <w:vAlign w:val="center"/>
          </w:tcPr>
          <w:p>
            <w:pPr>
              <w:adjustRightInd w:val="0"/>
              <w:snapToGrid w:val="0"/>
              <w:spacing w:line="288" w:lineRule="auto"/>
              <w:rPr>
                <w:color w:val="auto"/>
                <w:sz w:val="21"/>
                <w:szCs w:val="21"/>
                <w:highlight w:val="none"/>
              </w:rPr>
            </w:pPr>
            <w:r>
              <w:rPr>
                <w:rFonts w:hint="eastAsia"/>
                <w:b/>
                <w:bCs/>
                <w:color w:val="auto"/>
                <w:sz w:val="21"/>
                <w:szCs w:val="21"/>
                <w:highlight w:val="none"/>
              </w:rPr>
              <w:t>商务分（6）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745"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质保期</w:t>
            </w:r>
          </w:p>
        </w:tc>
        <w:tc>
          <w:tcPr>
            <w:tcW w:w="682" w:type="dxa"/>
            <w:vAlign w:val="center"/>
          </w:tcPr>
          <w:p>
            <w:pPr>
              <w:adjustRightInd w:val="0"/>
              <w:snapToGrid w:val="0"/>
              <w:spacing w:line="288" w:lineRule="auto"/>
              <w:jc w:val="center"/>
              <w:rPr>
                <w:b/>
                <w:bCs/>
                <w:color w:val="auto"/>
                <w:sz w:val="21"/>
                <w:szCs w:val="21"/>
                <w:highlight w:val="none"/>
              </w:rPr>
            </w:pPr>
            <w:r>
              <w:rPr>
                <w:b/>
                <w:bCs/>
                <w:color w:val="auto"/>
                <w:sz w:val="21"/>
                <w:szCs w:val="21"/>
                <w:highlight w:val="none"/>
              </w:rPr>
              <w:t>2</w:t>
            </w:r>
          </w:p>
        </w:tc>
        <w:tc>
          <w:tcPr>
            <w:tcW w:w="7201"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质保期在满足磋商文件要求的基础上每延长一年加</w:t>
            </w:r>
            <w:r>
              <w:rPr>
                <w:color w:val="auto"/>
                <w:sz w:val="21"/>
                <w:szCs w:val="21"/>
                <w:highlight w:val="none"/>
              </w:rPr>
              <w:t>1</w:t>
            </w:r>
            <w:r>
              <w:rPr>
                <w:rFonts w:hint="eastAsia"/>
                <w:color w:val="auto"/>
                <w:sz w:val="21"/>
                <w:szCs w:val="21"/>
                <w:highlight w:val="none"/>
              </w:rPr>
              <w:t>分，最多加</w:t>
            </w:r>
            <w:r>
              <w:rPr>
                <w:color w:val="auto"/>
                <w:sz w:val="21"/>
                <w:szCs w:val="21"/>
                <w:highlight w:val="none"/>
              </w:rPr>
              <w:t>2</w:t>
            </w:r>
            <w:r>
              <w:rPr>
                <w:rFonts w:hint="eastAsia"/>
                <w:color w:val="auto"/>
                <w:sz w:val="21"/>
                <w:szCs w:val="21"/>
                <w:highlight w:val="none"/>
              </w:rPr>
              <w:t>分，延长时间不足一年的不计入加分，质保期不满足磋商文件要求的响应无效。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745"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业绩</w:t>
            </w:r>
          </w:p>
        </w:tc>
        <w:tc>
          <w:tcPr>
            <w:tcW w:w="682"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2</w:t>
            </w:r>
          </w:p>
        </w:tc>
        <w:tc>
          <w:tcPr>
            <w:tcW w:w="7201"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供应商自201</w:t>
            </w:r>
            <w:r>
              <w:rPr>
                <w:color w:val="auto"/>
                <w:sz w:val="21"/>
                <w:szCs w:val="21"/>
                <w:highlight w:val="none"/>
              </w:rPr>
              <w:t>8</w:t>
            </w:r>
            <w:r>
              <w:rPr>
                <w:rFonts w:hint="eastAsia"/>
                <w:color w:val="auto"/>
                <w:sz w:val="21"/>
                <w:szCs w:val="21"/>
                <w:highlight w:val="none"/>
              </w:rPr>
              <w:t>年1月1日以来（以合同签订时间为准）同类项目业绩（以提供的合同扫描件为准）：每提供1份合同业绩得1分，最高得2分。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745"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政策功能</w:t>
            </w:r>
          </w:p>
        </w:tc>
        <w:tc>
          <w:tcPr>
            <w:tcW w:w="682" w:type="dxa"/>
            <w:vAlign w:val="center"/>
          </w:tcPr>
          <w:p>
            <w:pPr>
              <w:adjustRightInd w:val="0"/>
              <w:snapToGrid w:val="0"/>
              <w:spacing w:line="288" w:lineRule="auto"/>
              <w:jc w:val="center"/>
              <w:rPr>
                <w:b/>
                <w:bCs/>
                <w:color w:val="auto"/>
                <w:sz w:val="21"/>
                <w:szCs w:val="21"/>
                <w:highlight w:val="none"/>
              </w:rPr>
            </w:pPr>
            <w:r>
              <w:rPr>
                <w:b/>
                <w:bCs/>
                <w:color w:val="auto"/>
                <w:sz w:val="21"/>
                <w:szCs w:val="21"/>
                <w:highlight w:val="none"/>
              </w:rPr>
              <w:t>2</w:t>
            </w:r>
          </w:p>
        </w:tc>
        <w:tc>
          <w:tcPr>
            <w:tcW w:w="7201"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响应产品属于品目清单范围且提供国家确定的认证机构出具的有效的节能产品认证证书（扫描件）的得</w:t>
            </w:r>
            <w:r>
              <w:rPr>
                <w:color w:val="auto"/>
                <w:sz w:val="21"/>
                <w:szCs w:val="21"/>
                <w:highlight w:val="none"/>
              </w:rPr>
              <w:t>1</w:t>
            </w:r>
            <w:r>
              <w:rPr>
                <w:rFonts w:hint="eastAsia"/>
                <w:color w:val="auto"/>
                <w:sz w:val="21"/>
                <w:szCs w:val="21"/>
                <w:highlight w:val="none"/>
              </w:rPr>
              <w:t>分；</w:t>
            </w:r>
          </w:p>
          <w:p>
            <w:pPr>
              <w:adjustRightInd w:val="0"/>
              <w:snapToGrid w:val="0"/>
              <w:spacing w:line="288" w:lineRule="auto"/>
              <w:rPr>
                <w:color w:val="auto"/>
                <w:sz w:val="21"/>
                <w:szCs w:val="21"/>
                <w:highlight w:val="none"/>
              </w:rPr>
            </w:pPr>
            <w:r>
              <w:rPr>
                <w:rFonts w:hint="eastAsia"/>
                <w:color w:val="auto"/>
                <w:sz w:val="21"/>
                <w:szCs w:val="21"/>
                <w:highlight w:val="none"/>
              </w:rPr>
              <w:t>响应产品属于品目清单范围且提供国家确定的认证机构出具的有效的环境标志产品认证证书（扫描件）的得</w:t>
            </w:r>
            <w:r>
              <w:rPr>
                <w:color w:val="auto"/>
                <w:sz w:val="21"/>
                <w:szCs w:val="21"/>
                <w:highlight w:val="none"/>
              </w:rPr>
              <w:t>1</w:t>
            </w:r>
            <w:r>
              <w:rPr>
                <w:rFonts w:hint="eastAsia"/>
                <w:color w:val="auto"/>
                <w:sz w:val="21"/>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9628" w:type="dxa"/>
            <w:gridSpan w:val="3"/>
            <w:vAlign w:val="center"/>
          </w:tcPr>
          <w:p>
            <w:pPr>
              <w:adjustRightInd w:val="0"/>
              <w:snapToGrid w:val="0"/>
              <w:spacing w:line="288" w:lineRule="auto"/>
              <w:rPr>
                <w:color w:val="auto"/>
                <w:sz w:val="21"/>
                <w:szCs w:val="21"/>
                <w:highlight w:val="none"/>
              </w:rPr>
            </w:pPr>
            <w:r>
              <w:rPr>
                <w:rFonts w:hint="eastAsia"/>
                <w:b/>
                <w:bCs/>
                <w:color w:val="auto"/>
                <w:sz w:val="21"/>
                <w:szCs w:val="21"/>
                <w:highlight w:val="none"/>
              </w:rPr>
              <w:t>技术分（64）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745"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产品响应程度</w:t>
            </w:r>
          </w:p>
        </w:tc>
        <w:tc>
          <w:tcPr>
            <w:tcW w:w="682"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3</w:t>
            </w:r>
            <w:r>
              <w:rPr>
                <w:b/>
                <w:bCs/>
                <w:color w:val="auto"/>
                <w:sz w:val="21"/>
                <w:szCs w:val="21"/>
                <w:highlight w:val="none"/>
              </w:rPr>
              <w:t>0</w:t>
            </w:r>
          </w:p>
        </w:tc>
        <w:tc>
          <w:tcPr>
            <w:tcW w:w="7201"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不符合（负偏离）技术要求中标注“▲”条款（不可偏离）的响应文件无效，满足或明显优于磋商文件明确的全部技术条款要求的该项得满分；</w:t>
            </w:r>
          </w:p>
          <w:p>
            <w:pPr>
              <w:adjustRightInd w:val="0"/>
              <w:snapToGrid w:val="0"/>
              <w:spacing w:line="288" w:lineRule="auto"/>
              <w:rPr>
                <w:color w:val="auto"/>
                <w:sz w:val="21"/>
                <w:szCs w:val="21"/>
                <w:highlight w:val="none"/>
              </w:rPr>
            </w:pPr>
            <w:r>
              <w:rPr>
                <w:rFonts w:hint="eastAsia"/>
                <w:color w:val="auto"/>
                <w:sz w:val="21"/>
                <w:szCs w:val="21"/>
                <w:highlight w:val="none"/>
              </w:rPr>
              <w:t>技术条款低于技术要求（负偏离）的每项扣5分；</w:t>
            </w:r>
          </w:p>
          <w:p>
            <w:pPr>
              <w:adjustRightInd w:val="0"/>
              <w:snapToGrid w:val="0"/>
              <w:spacing w:line="288" w:lineRule="auto"/>
              <w:rPr>
                <w:color w:val="auto"/>
                <w:sz w:val="21"/>
                <w:szCs w:val="21"/>
                <w:highlight w:val="none"/>
              </w:rPr>
            </w:pPr>
            <w:r>
              <w:rPr>
                <w:rFonts w:hint="eastAsia"/>
                <w:color w:val="auto"/>
                <w:sz w:val="21"/>
                <w:szCs w:val="21"/>
                <w:highlight w:val="none"/>
              </w:rPr>
              <w:t>负偏离7项及以上的响应文件无效。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45"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技术支持资料</w:t>
            </w:r>
          </w:p>
        </w:tc>
        <w:tc>
          <w:tcPr>
            <w:tcW w:w="682" w:type="dxa"/>
            <w:vAlign w:val="center"/>
          </w:tcPr>
          <w:p>
            <w:pPr>
              <w:adjustRightInd w:val="0"/>
              <w:snapToGrid w:val="0"/>
              <w:spacing w:line="288" w:lineRule="auto"/>
              <w:jc w:val="center"/>
              <w:rPr>
                <w:b/>
                <w:bCs/>
                <w:color w:val="auto"/>
                <w:sz w:val="21"/>
                <w:szCs w:val="21"/>
                <w:highlight w:val="none"/>
              </w:rPr>
            </w:pPr>
            <w:r>
              <w:rPr>
                <w:b/>
                <w:bCs/>
                <w:color w:val="auto"/>
                <w:sz w:val="21"/>
                <w:szCs w:val="21"/>
                <w:highlight w:val="none"/>
              </w:rPr>
              <w:t>5</w:t>
            </w:r>
          </w:p>
        </w:tc>
        <w:tc>
          <w:tcPr>
            <w:tcW w:w="7201" w:type="dxa"/>
          </w:tcPr>
          <w:p>
            <w:pPr>
              <w:adjustRightInd w:val="0"/>
              <w:snapToGrid w:val="0"/>
              <w:spacing w:line="288" w:lineRule="auto"/>
              <w:rPr>
                <w:color w:val="auto"/>
                <w:sz w:val="21"/>
                <w:szCs w:val="21"/>
                <w:highlight w:val="none"/>
              </w:rPr>
            </w:pPr>
            <w:r>
              <w:rPr>
                <w:rFonts w:hint="eastAsia"/>
                <w:color w:val="auto"/>
                <w:sz w:val="21"/>
                <w:szCs w:val="21"/>
                <w:highlight w:val="none"/>
              </w:rPr>
              <w:t>技术支持资料完整性及对产品响应程度的证明，无效或未提供的不得分。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45"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产品功能及配置</w:t>
            </w:r>
          </w:p>
        </w:tc>
        <w:tc>
          <w:tcPr>
            <w:tcW w:w="682" w:type="dxa"/>
            <w:vAlign w:val="center"/>
          </w:tcPr>
          <w:p>
            <w:pPr>
              <w:adjustRightInd w:val="0"/>
              <w:snapToGrid w:val="0"/>
              <w:spacing w:line="288" w:lineRule="auto"/>
              <w:jc w:val="center"/>
              <w:rPr>
                <w:b/>
                <w:bCs/>
                <w:color w:val="auto"/>
                <w:sz w:val="21"/>
                <w:szCs w:val="21"/>
                <w:highlight w:val="none"/>
              </w:rPr>
            </w:pPr>
            <w:r>
              <w:rPr>
                <w:b/>
                <w:bCs/>
                <w:color w:val="auto"/>
                <w:sz w:val="21"/>
                <w:szCs w:val="21"/>
                <w:highlight w:val="none"/>
              </w:rPr>
              <w:t>5</w:t>
            </w:r>
          </w:p>
        </w:tc>
        <w:tc>
          <w:tcPr>
            <w:tcW w:w="7201" w:type="dxa"/>
          </w:tcPr>
          <w:p>
            <w:pPr>
              <w:adjustRightInd w:val="0"/>
              <w:snapToGrid w:val="0"/>
              <w:spacing w:line="288" w:lineRule="auto"/>
              <w:rPr>
                <w:color w:val="auto"/>
                <w:sz w:val="21"/>
                <w:szCs w:val="21"/>
                <w:highlight w:val="none"/>
              </w:rPr>
            </w:pPr>
            <w:r>
              <w:rPr>
                <w:rFonts w:hint="eastAsia"/>
                <w:color w:val="auto"/>
                <w:sz w:val="21"/>
                <w:szCs w:val="21"/>
                <w:highlight w:val="none"/>
              </w:rPr>
              <w:t>产品功能、配置的先进性、完整性和适用性。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45"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项目实施方案</w:t>
            </w:r>
          </w:p>
        </w:tc>
        <w:tc>
          <w:tcPr>
            <w:tcW w:w="682" w:type="dxa"/>
            <w:vAlign w:val="center"/>
          </w:tcPr>
          <w:p>
            <w:pPr>
              <w:adjustRightInd w:val="0"/>
              <w:snapToGrid w:val="0"/>
              <w:spacing w:line="288" w:lineRule="auto"/>
              <w:jc w:val="center"/>
              <w:rPr>
                <w:b/>
                <w:bCs/>
                <w:color w:val="auto"/>
                <w:sz w:val="21"/>
                <w:szCs w:val="21"/>
                <w:highlight w:val="none"/>
              </w:rPr>
            </w:pPr>
            <w:r>
              <w:rPr>
                <w:b/>
                <w:bCs/>
                <w:color w:val="auto"/>
                <w:sz w:val="21"/>
                <w:szCs w:val="21"/>
                <w:highlight w:val="none"/>
              </w:rPr>
              <w:t>5</w:t>
            </w:r>
          </w:p>
        </w:tc>
        <w:tc>
          <w:tcPr>
            <w:tcW w:w="7201" w:type="dxa"/>
          </w:tcPr>
          <w:p>
            <w:pPr>
              <w:adjustRightInd w:val="0"/>
              <w:snapToGrid w:val="0"/>
              <w:spacing w:line="288" w:lineRule="auto"/>
              <w:rPr>
                <w:color w:val="auto"/>
                <w:sz w:val="21"/>
                <w:szCs w:val="21"/>
                <w:highlight w:val="none"/>
              </w:rPr>
            </w:pPr>
            <w:r>
              <w:rPr>
                <w:rFonts w:hint="eastAsia"/>
                <w:color w:val="auto"/>
                <w:sz w:val="21"/>
                <w:szCs w:val="21"/>
                <w:highlight w:val="none"/>
              </w:rPr>
              <w:t>项目实施计划详细完整程度，符合项目进度要求，投入人员数量和综合素质。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45"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安装调试验收</w:t>
            </w:r>
          </w:p>
        </w:tc>
        <w:tc>
          <w:tcPr>
            <w:tcW w:w="682" w:type="dxa"/>
            <w:vAlign w:val="center"/>
          </w:tcPr>
          <w:p>
            <w:pPr>
              <w:adjustRightInd w:val="0"/>
              <w:snapToGrid w:val="0"/>
              <w:spacing w:line="288" w:lineRule="auto"/>
              <w:jc w:val="center"/>
              <w:rPr>
                <w:b/>
                <w:bCs/>
                <w:color w:val="auto"/>
                <w:sz w:val="21"/>
                <w:szCs w:val="21"/>
                <w:highlight w:val="none"/>
              </w:rPr>
            </w:pPr>
            <w:r>
              <w:rPr>
                <w:b/>
                <w:bCs/>
                <w:color w:val="auto"/>
                <w:sz w:val="21"/>
                <w:szCs w:val="21"/>
                <w:highlight w:val="none"/>
              </w:rPr>
              <w:t>5</w:t>
            </w:r>
          </w:p>
        </w:tc>
        <w:tc>
          <w:tcPr>
            <w:tcW w:w="7201" w:type="dxa"/>
          </w:tcPr>
          <w:p>
            <w:pPr>
              <w:adjustRightInd w:val="0"/>
              <w:snapToGrid w:val="0"/>
              <w:spacing w:line="288" w:lineRule="auto"/>
              <w:rPr>
                <w:color w:val="auto"/>
                <w:sz w:val="21"/>
                <w:szCs w:val="21"/>
                <w:highlight w:val="none"/>
              </w:rPr>
            </w:pPr>
            <w:r>
              <w:rPr>
                <w:rFonts w:hint="eastAsia"/>
                <w:color w:val="auto"/>
                <w:sz w:val="21"/>
                <w:szCs w:val="21"/>
                <w:highlight w:val="none"/>
              </w:rPr>
              <w:t>安装、调试、验收方法或方案的详细完整度、合理可行性。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45"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售后服务</w:t>
            </w:r>
          </w:p>
        </w:tc>
        <w:tc>
          <w:tcPr>
            <w:tcW w:w="682" w:type="dxa"/>
            <w:vAlign w:val="center"/>
          </w:tcPr>
          <w:p>
            <w:pPr>
              <w:adjustRightInd w:val="0"/>
              <w:snapToGrid w:val="0"/>
              <w:spacing w:line="288" w:lineRule="auto"/>
              <w:jc w:val="center"/>
              <w:rPr>
                <w:b/>
                <w:bCs/>
                <w:color w:val="auto"/>
                <w:sz w:val="21"/>
                <w:szCs w:val="21"/>
                <w:highlight w:val="none"/>
              </w:rPr>
            </w:pPr>
            <w:r>
              <w:rPr>
                <w:b/>
                <w:bCs/>
                <w:color w:val="auto"/>
                <w:sz w:val="21"/>
                <w:szCs w:val="21"/>
                <w:highlight w:val="none"/>
              </w:rPr>
              <w:t>5</w:t>
            </w:r>
          </w:p>
        </w:tc>
        <w:tc>
          <w:tcPr>
            <w:tcW w:w="7201" w:type="dxa"/>
          </w:tcPr>
          <w:p>
            <w:pPr>
              <w:adjustRightInd w:val="0"/>
              <w:snapToGrid w:val="0"/>
              <w:spacing w:line="288" w:lineRule="auto"/>
              <w:rPr>
                <w:color w:val="auto"/>
                <w:sz w:val="21"/>
                <w:szCs w:val="21"/>
                <w:highlight w:val="none"/>
              </w:rPr>
            </w:pPr>
            <w:r>
              <w:rPr>
                <w:rFonts w:hint="eastAsia"/>
                <w:color w:val="auto"/>
                <w:sz w:val="21"/>
                <w:szCs w:val="21"/>
                <w:highlight w:val="none"/>
              </w:rPr>
              <w:t>售后服务方案、售后服务承诺的可行性及服务承诺落实的保障措施。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45"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技术服务、培训</w:t>
            </w:r>
          </w:p>
        </w:tc>
        <w:tc>
          <w:tcPr>
            <w:tcW w:w="682"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5</w:t>
            </w:r>
          </w:p>
        </w:tc>
        <w:tc>
          <w:tcPr>
            <w:tcW w:w="7201" w:type="dxa"/>
          </w:tcPr>
          <w:p>
            <w:pPr>
              <w:adjustRightInd w:val="0"/>
              <w:snapToGrid w:val="0"/>
              <w:spacing w:line="288" w:lineRule="auto"/>
              <w:rPr>
                <w:color w:val="auto"/>
                <w:sz w:val="21"/>
                <w:szCs w:val="21"/>
                <w:highlight w:val="none"/>
              </w:rPr>
            </w:pPr>
            <w:r>
              <w:rPr>
                <w:rFonts w:hint="eastAsia"/>
                <w:color w:val="auto"/>
                <w:sz w:val="21"/>
                <w:szCs w:val="21"/>
                <w:highlight w:val="none"/>
              </w:rPr>
              <w:t>服务力量和服务保障，培训计划内容、培训范围，实施及针对性。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45"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配件耗材</w:t>
            </w:r>
          </w:p>
        </w:tc>
        <w:tc>
          <w:tcPr>
            <w:tcW w:w="682"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4</w:t>
            </w:r>
          </w:p>
        </w:tc>
        <w:tc>
          <w:tcPr>
            <w:tcW w:w="7201" w:type="dxa"/>
          </w:tcPr>
          <w:p>
            <w:pPr>
              <w:adjustRightInd w:val="0"/>
              <w:snapToGrid w:val="0"/>
              <w:spacing w:line="288" w:lineRule="auto"/>
              <w:rPr>
                <w:color w:val="auto"/>
                <w:sz w:val="21"/>
                <w:szCs w:val="21"/>
                <w:highlight w:val="none"/>
              </w:rPr>
            </w:pPr>
            <w:r>
              <w:rPr>
                <w:rFonts w:hint="eastAsia"/>
                <w:color w:val="auto"/>
                <w:sz w:val="21"/>
                <w:szCs w:val="21"/>
                <w:highlight w:val="none"/>
              </w:rPr>
              <w:t>质保期满后配件、附件、备品备件的准备和保障措施。</w:t>
            </w:r>
          </w:p>
        </w:tc>
      </w:tr>
    </w:tbl>
    <w:p>
      <w:pPr>
        <w:adjustRightInd w:val="0"/>
        <w:snapToGrid w:val="0"/>
        <w:spacing w:line="288" w:lineRule="auto"/>
        <w:rPr>
          <w:color w:val="auto"/>
          <w:sz w:val="21"/>
          <w:szCs w:val="21"/>
          <w:highlight w:val="none"/>
        </w:rPr>
      </w:pPr>
    </w:p>
    <w:p>
      <w:pPr>
        <w:adjustRightInd w:val="0"/>
        <w:snapToGrid w:val="0"/>
        <w:spacing w:line="288" w:lineRule="auto"/>
        <w:jc w:val="left"/>
        <w:rPr>
          <w:b/>
          <w:color w:val="auto"/>
          <w:sz w:val="21"/>
          <w:szCs w:val="21"/>
          <w:highlight w:val="none"/>
        </w:rPr>
      </w:pPr>
      <w:r>
        <w:rPr>
          <w:rFonts w:hint="eastAsia"/>
          <w:b/>
          <w:color w:val="auto"/>
          <w:sz w:val="21"/>
          <w:szCs w:val="21"/>
          <w:highlight w:val="none"/>
        </w:rPr>
        <w:t>说明</w:t>
      </w:r>
      <w:r>
        <w:rPr>
          <w:b/>
          <w:color w:val="auto"/>
          <w:sz w:val="21"/>
          <w:szCs w:val="21"/>
          <w:highlight w:val="none"/>
        </w:rPr>
        <w:t>：</w:t>
      </w:r>
    </w:p>
    <w:p>
      <w:pPr>
        <w:adjustRightInd w:val="0"/>
        <w:snapToGrid w:val="0"/>
        <w:spacing w:line="288" w:lineRule="auto"/>
        <w:jc w:val="left"/>
        <w:rPr>
          <w:b/>
          <w:color w:val="auto"/>
          <w:sz w:val="21"/>
          <w:szCs w:val="21"/>
          <w:highlight w:val="none"/>
        </w:rPr>
      </w:pPr>
      <w:r>
        <w:rPr>
          <w:b/>
          <w:color w:val="auto"/>
          <w:sz w:val="21"/>
          <w:szCs w:val="21"/>
          <w:highlight w:val="none"/>
        </w:rPr>
        <w:t>1.</w:t>
      </w:r>
      <w:r>
        <w:rPr>
          <w:rFonts w:hint="eastAsia"/>
          <w:b/>
          <w:color w:val="auto"/>
          <w:sz w:val="21"/>
          <w:szCs w:val="21"/>
          <w:highlight w:val="none"/>
        </w:rPr>
        <w:t>根据《政府采购促进中小企业发展管理办法》（财库〔2020〕46号）的规定，对符合规定的小微企业报价给予</w:t>
      </w:r>
      <w:r>
        <w:rPr>
          <w:b/>
          <w:color w:val="auto"/>
          <w:sz w:val="21"/>
          <w:szCs w:val="21"/>
          <w:highlight w:val="none"/>
        </w:rPr>
        <w:t>6</w:t>
      </w:r>
      <w:r>
        <w:rPr>
          <w:rFonts w:hint="eastAsia"/>
          <w:b/>
          <w:color w:val="auto"/>
          <w:sz w:val="21"/>
          <w:szCs w:val="21"/>
          <w:highlight w:val="none"/>
        </w:rPr>
        <w:t>%的扣除后计算价格得分。</w:t>
      </w:r>
    </w:p>
    <w:p>
      <w:pPr>
        <w:adjustRightInd w:val="0"/>
        <w:snapToGrid w:val="0"/>
        <w:spacing w:line="288" w:lineRule="auto"/>
        <w:rPr>
          <w:rFonts w:cs="Times New Roman"/>
          <w:b/>
          <w:bCs/>
          <w:color w:val="auto"/>
          <w:spacing w:val="-6"/>
          <w:sz w:val="21"/>
          <w:szCs w:val="21"/>
          <w:highlight w:val="none"/>
        </w:rPr>
      </w:pPr>
      <w:bookmarkStart w:id="36" w:name="_Hlk81817373"/>
      <w:r>
        <w:rPr>
          <w:rFonts w:hint="eastAsia" w:cs="Times New Roman"/>
          <w:b/>
          <w:bCs/>
          <w:color w:val="auto"/>
          <w:spacing w:val="-6"/>
          <w:sz w:val="21"/>
          <w:szCs w:val="21"/>
          <w:highlight w:val="none"/>
        </w:rPr>
        <w:t>2</w:t>
      </w:r>
      <w:r>
        <w:rPr>
          <w:rFonts w:cs="Times New Roman"/>
          <w:b/>
          <w:bCs/>
          <w:color w:val="auto"/>
          <w:spacing w:val="-6"/>
          <w:sz w:val="21"/>
          <w:szCs w:val="21"/>
          <w:highlight w:val="none"/>
        </w:rPr>
        <w:t>.</w:t>
      </w:r>
      <w:r>
        <w:rPr>
          <w:rFonts w:hint="eastAsia" w:cs="Times New Roman"/>
          <w:b/>
          <w:bCs/>
          <w:color w:val="auto"/>
          <w:spacing w:val="-6"/>
          <w:sz w:val="21"/>
          <w:szCs w:val="21"/>
          <w:highlight w:val="none"/>
        </w:rPr>
        <w:t>根据《</w:t>
      </w:r>
      <w:r>
        <w:rPr>
          <w:rFonts w:cs="Times New Roman"/>
          <w:b/>
          <w:bCs/>
          <w:color w:val="auto"/>
          <w:spacing w:val="-6"/>
          <w:sz w:val="21"/>
          <w:szCs w:val="21"/>
          <w:highlight w:val="none"/>
        </w:rPr>
        <w:t>关于政府采购支持监狱企业发展有关问题的通知</w:t>
      </w:r>
      <w:r>
        <w:rPr>
          <w:rFonts w:hint="eastAsia" w:cs="Times New Roman"/>
          <w:b/>
          <w:bCs/>
          <w:color w:val="auto"/>
          <w:spacing w:val="-6"/>
          <w:sz w:val="21"/>
          <w:szCs w:val="21"/>
          <w:highlight w:val="none"/>
        </w:rPr>
        <w:t>》（</w:t>
      </w:r>
      <w:r>
        <w:rPr>
          <w:rFonts w:cs="Times New Roman"/>
          <w:b/>
          <w:bCs/>
          <w:color w:val="auto"/>
          <w:spacing w:val="-6"/>
          <w:sz w:val="21"/>
          <w:szCs w:val="21"/>
          <w:highlight w:val="none"/>
        </w:rPr>
        <w:t>财库[2014]68号</w:t>
      </w:r>
      <w:r>
        <w:rPr>
          <w:rFonts w:hint="eastAsia" w:cs="Times New Roman"/>
          <w:b/>
          <w:bCs/>
          <w:color w:val="auto"/>
          <w:spacing w:val="-6"/>
          <w:sz w:val="21"/>
          <w:szCs w:val="21"/>
          <w:highlight w:val="none"/>
        </w:rPr>
        <w:t>）的规定，</w:t>
      </w:r>
      <w:r>
        <w:rPr>
          <w:rFonts w:hint="eastAsia"/>
          <w:color w:val="auto"/>
          <w:kern w:val="0"/>
          <w:sz w:val="21"/>
          <w:szCs w:val="21"/>
          <w:highlight w:val="none"/>
        </w:rPr>
        <w:t>监狱企业参加政府采购活动时，提供由省级以上监狱管理局、戒毒管理局（含新疆生产建设兵团）出具的属于监狱企业的证明文件的，在政府采购活动中，监狱企业视同小型、微型企业，享受预留份额、评审中价格扣除等政府采购促进中小企业发展的政府采购政策。</w:t>
      </w:r>
    </w:p>
    <w:bookmarkEnd w:id="36"/>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3</w:t>
      </w:r>
      <w:r>
        <w:rPr>
          <w:rFonts w:cs="Times New Roman"/>
          <w:b/>
          <w:bCs/>
          <w:color w:val="auto"/>
          <w:spacing w:val="-6"/>
          <w:sz w:val="21"/>
          <w:szCs w:val="21"/>
          <w:highlight w:val="none"/>
        </w:rPr>
        <w:t>.</w:t>
      </w:r>
      <w:r>
        <w:rPr>
          <w:rFonts w:hint="eastAsia" w:cs="Times New Roman"/>
          <w:b/>
          <w:bCs/>
          <w:color w:val="auto"/>
          <w:spacing w:val="-6"/>
          <w:sz w:val="21"/>
          <w:szCs w:val="21"/>
          <w:highlight w:val="none"/>
        </w:rPr>
        <w:t>根据《关于促进残疾人就业政府采购政策的通知》（财库[2017]141号）的规定，</w:t>
      </w:r>
      <w:r>
        <w:rPr>
          <w:rFonts w:hint="eastAsia" w:cs="Times New Roman"/>
          <w:color w:val="auto"/>
          <w:sz w:val="21"/>
          <w:szCs w:val="21"/>
          <w:highlight w:val="none"/>
        </w:rPr>
        <w:t>符合条件的残疾人福利性单位在参加政府采购活动时，提供财库</w:t>
      </w:r>
      <w:r>
        <w:rPr>
          <w:rFonts w:cs="Times New Roman"/>
          <w:color w:val="auto"/>
          <w:sz w:val="21"/>
          <w:szCs w:val="21"/>
          <w:highlight w:val="none"/>
        </w:rPr>
        <w:t>[2017]141号</w:t>
      </w:r>
      <w:r>
        <w:rPr>
          <w:rFonts w:hint="eastAsia" w:cs="Times New Roman"/>
          <w:color w:val="auto"/>
          <w:sz w:val="21"/>
          <w:szCs w:val="21"/>
          <w:highlight w:val="none"/>
        </w:rPr>
        <w:t>文件规定的《残疾人福利性单位声明函》的，在政府采购活动中，残疾人福利性单位视同小型、微型企业，享受预留份额、评审中价格扣除等促进中小企业发展的政府采购政策。</w:t>
      </w:r>
      <w:r>
        <w:rPr>
          <w:rFonts w:cs="Times New Roman"/>
          <w:color w:val="auto"/>
          <w:spacing w:val="-6"/>
          <w:sz w:val="21"/>
          <w:szCs w:val="21"/>
          <w:highlight w:val="none"/>
        </w:rPr>
        <w:t>残疾人福利性单位属于小型、微型企业的，不重复享受政策。</w:t>
      </w:r>
    </w:p>
    <w:p>
      <w:pPr>
        <w:adjustRightInd w:val="0"/>
        <w:snapToGrid w:val="0"/>
        <w:spacing w:line="288" w:lineRule="auto"/>
        <w:rPr>
          <w:b/>
          <w:bCs/>
          <w:color w:val="auto"/>
          <w:sz w:val="21"/>
          <w:szCs w:val="21"/>
          <w:highlight w:val="none"/>
        </w:rPr>
      </w:pPr>
      <w:r>
        <w:rPr>
          <w:rFonts w:hint="eastAsia"/>
          <w:b/>
          <w:bCs/>
          <w:color w:val="auto"/>
          <w:spacing w:val="-6"/>
          <w:sz w:val="21"/>
          <w:szCs w:val="21"/>
          <w:highlight w:val="none"/>
        </w:rPr>
        <w:t>4</w:t>
      </w:r>
      <w:r>
        <w:rPr>
          <w:b/>
          <w:bCs/>
          <w:color w:val="auto"/>
          <w:spacing w:val="-6"/>
          <w:sz w:val="21"/>
          <w:szCs w:val="21"/>
          <w:highlight w:val="none"/>
        </w:rPr>
        <w:t>.残疾人福利性单位属于小型、微型企业的，不重复享受政策。</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第五章  拟签订的合同文本</w:t>
      </w:r>
    </w:p>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杭州电子科技大学示波器、数据处理卡等政府采购合同</w:t>
      </w:r>
    </w:p>
    <w:p>
      <w:pPr>
        <w:spacing w:line="288" w:lineRule="auto"/>
        <w:ind w:firstLine="396" w:firstLineChars="200"/>
        <w:jc w:val="center"/>
        <w:rPr>
          <w:color w:val="auto"/>
          <w:spacing w:val="-6"/>
          <w:sz w:val="21"/>
          <w:szCs w:val="21"/>
          <w:highlight w:val="none"/>
        </w:rPr>
      </w:pPr>
      <w:r>
        <w:rPr>
          <w:rFonts w:hint="eastAsia"/>
          <w:color w:val="auto"/>
          <w:spacing w:val="-6"/>
          <w:sz w:val="21"/>
          <w:szCs w:val="21"/>
          <w:highlight w:val="none"/>
        </w:rPr>
        <w:t>（本合同为合同样稿，最终稿由三方协商后确定，合同实质性内容不得更改；签订合同时删除此行）</w:t>
      </w:r>
    </w:p>
    <w:p>
      <w:pPr>
        <w:spacing w:line="288" w:lineRule="auto"/>
        <w:ind w:firstLine="398" w:firstLineChars="200"/>
        <w:jc w:val="center"/>
        <w:rPr>
          <w:b/>
          <w:bCs/>
          <w:color w:val="auto"/>
          <w:spacing w:val="-6"/>
          <w:sz w:val="21"/>
          <w:szCs w:val="21"/>
          <w:highlight w:val="none"/>
        </w:rPr>
      </w:pPr>
      <w:r>
        <w:rPr>
          <w:rFonts w:hint="eastAsia"/>
          <w:b/>
          <w:bCs/>
          <w:color w:val="auto"/>
          <w:spacing w:val="-6"/>
          <w:sz w:val="21"/>
          <w:szCs w:val="21"/>
          <w:highlight w:val="none"/>
        </w:rPr>
        <w:t>杭州</w:t>
      </w:r>
      <w:r>
        <w:rPr>
          <w:rFonts w:hint="eastAsia" w:cs="Times New Roman"/>
          <w:b/>
          <w:color w:val="auto"/>
          <w:spacing w:val="-6"/>
          <w:highlight w:val="none"/>
        </w:rPr>
        <w:t>电子</w:t>
      </w:r>
      <w:r>
        <w:rPr>
          <w:rFonts w:hint="eastAsia"/>
          <w:b/>
          <w:bCs/>
          <w:color w:val="auto"/>
          <w:spacing w:val="-6"/>
          <w:sz w:val="21"/>
          <w:szCs w:val="21"/>
          <w:highlight w:val="none"/>
        </w:rPr>
        <w:t>科技大学示波器、数据处理卡等国产合同</w:t>
      </w:r>
    </w:p>
    <w:p>
      <w:pPr>
        <w:snapToGrid w:val="0"/>
        <w:spacing w:line="288" w:lineRule="auto"/>
        <w:rPr>
          <w:color w:val="auto"/>
          <w:spacing w:val="-6"/>
          <w:sz w:val="21"/>
          <w:szCs w:val="21"/>
          <w:highlight w:val="none"/>
        </w:rPr>
      </w:pPr>
    </w:p>
    <w:p>
      <w:pPr>
        <w:snapToGrid w:val="0"/>
        <w:spacing w:line="288" w:lineRule="auto"/>
        <w:rPr>
          <w:color w:val="auto"/>
          <w:spacing w:val="-6"/>
          <w:sz w:val="21"/>
          <w:szCs w:val="21"/>
          <w:highlight w:val="none"/>
        </w:rPr>
      </w:pPr>
      <w:r>
        <w:rPr>
          <w:rFonts w:hint="eastAsia"/>
          <w:color w:val="auto"/>
          <w:spacing w:val="-6"/>
          <w:sz w:val="21"/>
          <w:szCs w:val="21"/>
          <w:highlight w:val="none"/>
        </w:rPr>
        <w:t>采购编号：QSZB-Z(H)-B21352(CS)</w:t>
      </w:r>
    </w:p>
    <w:p>
      <w:pPr>
        <w:snapToGrid w:val="0"/>
        <w:spacing w:line="288" w:lineRule="auto"/>
        <w:rPr>
          <w:color w:val="auto"/>
          <w:spacing w:val="-6"/>
          <w:sz w:val="21"/>
          <w:szCs w:val="21"/>
          <w:highlight w:val="none"/>
        </w:rPr>
      </w:pPr>
      <w:r>
        <w:rPr>
          <w:rFonts w:hint="eastAsia"/>
          <w:color w:val="auto"/>
          <w:spacing w:val="-6"/>
          <w:sz w:val="21"/>
          <w:szCs w:val="21"/>
          <w:highlight w:val="none"/>
        </w:rPr>
        <w:t>确认书编号：[2021]61430号、[2021]</w:t>
      </w:r>
      <w:r>
        <w:rPr>
          <w:rFonts w:hint="eastAsia"/>
          <w:color w:val="auto"/>
          <w:spacing w:val="-6"/>
          <w:sz w:val="21"/>
          <w:szCs w:val="21"/>
          <w:highlight w:val="none"/>
          <w:lang w:eastAsia="zh-CN"/>
        </w:rPr>
        <w:t>61431号-002</w:t>
      </w:r>
      <w:r>
        <w:rPr>
          <w:rFonts w:hint="eastAsia"/>
          <w:color w:val="auto"/>
          <w:spacing w:val="-6"/>
          <w:sz w:val="21"/>
          <w:szCs w:val="21"/>
          <w:highlight w:val="none"/>
        </w:rPr>
        <w:t>、[2021]65607号</w:t>
      </w:r>
    </w:p>
    <w:p>
      <w:pPr>
        <w:snapToGrid w:val="0"/>
        <w:spacing w:line="288" w:lineRule="auto"/>
        <w:rPr>
          <w:rFonts w:cs="Times New Roman"/>
          <w:color w:val="auto"/>
          <w:spacing w:val="-6"/>
          <w:sz w:val="21"/>
          <w:szCs w:val="21"/>
          <w:highlight w:val="none"/>
        </w:rPr>
      </w:pPr>
      <w:r>
        <w:rPr>
          <w:rFonts w:hint="eastAsia"/>
          <w:color w:val="auto"/>
          <w:spacing w:val="-6"/>
          <w:sz w:val="21"/>
          <w:szCs w:val="21"/>
          <w:highlight w:val="none"/>
        </w:rPr>
        <w:t>甲方（需方）：杭州电子科技大学</w:t>
      </w:r>
    </w:p>
    <w:p>
      <w:pPr>
        <w:snapToGrid w:val="0"/>
        <w:spacing w:line="288" w:lineRule="auto"/>
        <w:rPr>
          <w:rFonts w:cs="Times New Roman"/>
          <w:color w:val="auto"/>
          <w:spacing w:val="-6"/>
          <w:sz w:val="21"/>
          <w:szCs w:val="21"/>
          <w:highlight w:val="none"/>
        </w:rPr>
      </w:pPr>
      <w:r>
        <w:rPr>
          <w:rFonts w:hint="eastAsia"/>
          <w:color w:val="auto"/>
          <w:spacing w:val="-6"/>
          <w:sz w:val="21"/>
          <w:szCs w:val="21"/>
          <w:highlight w:val="none"/>
        </w:rPr>
        <w:t>乙方（供方）：</w:t>
      </w:r>
    </w:p>
    <w:p>
      <w:pPr>
        <w:snapToGrid w:val="0"/>
        <w:spacing w:line="288" w:lineRule="auto"/>
        <w:rPr>
          <w:rFonts w:cs="Times New Roman"/>
          <w:color w:val="auto"/>
          <w:spacing w:val="-6"/>
          <w:sz w:val="21"/>
          <w:szCs w:val="21"/>
          <w:highlight w:val="none"/>
        </w:rPr>
      </w:pPr>
      <w:r>
        <w:rPr>
          <w:rFonts w:hint="eastAsia"/>
          <w:color w:val="auto"/>
          <w:spacing w:val="-6"/>
          <w:sz w:val="21"/>
          <w:szCs w:val="21"/>
          <w:highlight w:val="none"/>
        </w:rPr>
        <w:t>采购代理机构：浙江求是招标代理有限公司</w:t>
      </w:r>
    </w:p>
    <w:p>
      <w:pPr>
        <w:snapToGrid w:val="0"/>
        <w:spacing w:line="288" w:lineRule="auto"/>
        <w:rPr>
          <w:rFonts w:cs="Times New Roman"/>
          <w:color w:val="auto"/>
          <w:spacing w:val="-6"/>
          <w:sz w:val="21"/>
          <w:szCs w:val="21"/>
          <w:highlight w:val="none"/>
        </w:rPr>
      </w:pPr>
      <w:r>
        <w:rPr>
          <w:rFonts w:hint="eastAsia"/>
          <w:color w:val="auto"/>
          <w:spacing w:val="-6"/>
          <w:sz w:val="21"/>
          <w:szCs w:val="21"/>
          <w:highlight w:val="none"/>
        </w:rPr>
        <w:t>签约时间、地点：</w:t>
      </w:r>
      <w:r>
        <w:rPr>
          <w:rFonts w:hint="eastAsia" w:cs="Times New Roman"/>
          <w:color w:val="auto"/>
          <w:spacing w:val="-6"/>
          <w:sz w:val="21"/>
          <w:szCs w:val="21"/>
          <w:highlight w:val="none"/>
        </w:rPr>
        <w:t>2021</w:t>
      </w:r>
      <w:r>
        <w:rPr>
          <w:rFonts w:hint="eastAsia"/>
          <w:color w:val="auto"/>
          <w:spacing w:val="-6"/>
          <w:sz w:val="21"/>
          <w:szCs w:val="21"/>
          <w:highlight w:val="none"/>
        </w:rPr>
        <w:t>年</w:t>
      </w:r>
      <w:r>
        <w:rPr>
          <w:rFonts w:hint="eastAsia" w:cs="Times New Roman"/>
          <w:color w:val="auto"/>
          <w:spacing w:val="-6"/>
          <w:sz w:val="21"/>
          <w:szCs w:val="21"/>
          <w:highlight w:val="none"/>
        </w:rPr>
        <w:t xml:space="preserve">  </w:t>
      </w:r>
      <w:r>
        <w:rPr>
          <w:rFonts w:hint="eastAsia"/>
          <w:color w:val="auto"/>
          <w:spacing w:val="-6"/>
          <w:sz w:val="21"/>
          <w:szCs w:val="21"/>
          <w:highlight w:val="none"/>
        </w:rPr>
        <w:t>月</w:t>
      </w:r>
      <w:r>
        <w:rPr>
          <w:rFonts w:hint="eastAsia" w:cs="Times New Roman"/>
          <w:color w:val="auto"/>
          <w:spacing w:val="-6"/>
          <w:sz w:val="21"/>
          <w:szCs w:val="21"/>
          <w:highlight w:val="none"/>
        </w:rPr>
        <w:t xml:space="preserve">   </w:t>
      </w:r>
      <w:r>
        <w:rPr>
          <w:rFonts w:hint="eastAsia"/>
          <w:color w:val="auto"/>
          <w:spacing w:val="-6"/>
          <w:sz w:val="21"/>
          <w:szCs w:val="21"/>
          <w:highlight w:val="none"/>
        </w:rPr>
        <w:t>日，杭州</w:t>
      </w:r>
    </w:p>
    <w:p>
      <w:pPr>
        <w:snapToGrid w:val="0"/>
        <w:spacing w:line="288" w:lineRule="auto"/>
        <w:rPr>
          <w:rFonts w:cs="Times New Roman"/>
          <w:b/>
          <w:color w:val="auto"/>
          <w:spacing w:val="-6"/>
          <w:sz w:val="21"/>
          <w:szCs w:val="21"/>
          <w:highlight w:val="none"/>
        </w:rPr>
      </w:pPr>
      <w:r>
        <w:rPr>
          <w:rFonts w:hint="eastAsia" w:cs="Times New Roman"/>
          <w:b/>
          <w:color w:val="auto"/>
          <w:spacing w:val="-6"/>
          <w:sz w:val="21"/>
          <w:szCs w:val="21"/>
          <w:highlight w:val="none"/>
        </w:rPr>
        <w:t xml:space="preserve"> </w:t>
      </w:r>
    </w:p>
    <w:p>
      <w:pPr>
        <w:snapToGrid w:val="0"/>
        <w:spacing w:line="288" w:lineRule="auto"/>
        <w:ind w:left="-204" w:leftChars="-85" w:right="26" w:rightChars="11" w:firstLine="396" w:firstLineChars="200"/>
        <w:rPr>
          <w:rFonts w:cs="Times New Roman"/>
          <w:color w:val="auto"/>
          <w:spacing w:val="-6"/>
          <w:sz w:val="21"/>
          <w:szCs w:val="21"/>
          <w:highlight w:val="none"/>
        </w:rPr>
      </w:pPr>
      <w:r>
        <w:rPr>
          <w:rFonts w:hint="eastAsia"/>
          <w:color w:val="auto"/>
          <w:spacing w:val="-6"/>
          <w:sz w:val="21"/>
          <w:szCs w:val="21"/>
          <w:highlight w:val="none"/>
        </w:rPr>
        <w:t>甲、乙双方根据浙江求是招标代理有限公司关于杭州电子科技大学</w:t>
      </w:r>
      <w:r>
        <w:rPr>
          <w:rFonts w:hint="eastAsia" w:cs="Times New Roman"/>
          <w:color w:val="auto"/>
          <w:spacing w:val="-6"/>
          <w:sz w:val="21"/>
          <w:szCs w:val="21"/>
          <w:highlight w:val="none"/>
          <w:u w:val="single"/>
        </w:rPr>
        <w:t xml:space="preserve">  示波器、数据处理卡等  </w:t>
      </w:r>
      <w:r>
        <w:rPr>
          <w:rFonts w:hint="eastAsia"/>
          <w:color w:val="auto"/>
          <w:spacing w:val="-6"/>
          <w:sz w:val="21"/>
          <w:szCs w:val="21"/>
          <w:highlight w:val="none"/>
        </w:rPr>
        <w:t>项目竞争性磋商采购的结果，签署本合同。</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第一条：采购标的物清单及合同价格</w:t>
      </w:r>
    </w:p>
    <w:tbl>
      <w:tblPr>
        <w:tblStyle w:val="9"/>
        <w:tblW w:w="8611" w:type="dxa"/>
        <w:tblInd w:w="-7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800"/>
        <w:gridCol w:w="1771"/>
        <w:gridCol w:w="720"/>
        <w:gridCol w:w="720"/>
        <w:gridCol w:w="1260"/>
        <w:gridCol w:w="16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720"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r>
              <w:rPr>
                <w:rFonts w:hint="eastAsia" w:cs="Times New Roman"/>
                <w:color w:val="auto"/>
                <w:spacing w:val="-6"/>
                <w:sz w:val="21"/>
                <w:szCs w:val="21"/>
                <w:highlight w:val="none"/>
              </w:rPr>
              <w:t>序号</w:t>
            </w:r>
          </w:p>
        </w:tc>
        <w:tc>
          <w:tcPr>
            <w:tcW w:w="1800"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r>
              <w:rPr>
                <w:rFonts w:hint="eastAsia" w:cs="Times New Roman"/>
                <w:color w:val="auto"/>
                <w:spacing w:val="-6"/>
                <w:sz w:val="21"/>
                <w:szCs w:val="21"/>
                <w:highlight w:val="none"/>
              </w:rPr>
              <w:t>名称</w:t>
            </w:r>
          </w:p>
        </w:tc>
        <w:tc>
          <w:tcPr>
            <w:tcW w:w="1771"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r>
              <w:rPr>
                <w:rFonts w:hint="eastAsia" w:cs="Times New Roman"/>
                <w:color w:val="auto"/>
                <w:spacing w:val="-6"/>
                <w:sz w:val="21"/>
                <w:szCs w:val="21"/>
                <w:highlight w:val="none"/>
              </w:rPr>
              <w:t>具体内容</w:t>
            </w:r>
          </w:p>
        </w:tc>
        <w:tc>
          <w:tcPr>
            <w:tcW w:w="720"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r>
              <w:rPr>
                <w:rFonts w:hint="eastAsia" w:cs="Times New Roman"/>
                <w:color w:val="auto"/>
                <w:spacing w:val="-6"/>
                <w:sz w:val="21"/>
                <w:szCs w:val="21"/>
                <w:highlight w:val="none"/>
              </w:rPr>
              <w:t>数量</w:t>
            </w:r>
          </w:p>
        </w:tc>
        <w:tc>
          <w:tcPr>
            <w:tcW w:w="720"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r>
              <w:rPr>
                <w:rFonts w:hint="eastAsia" w:cs="Times New Roman"/>
                <w:color w:val="auto"/>
                <w:spacing w:val="-6"/>
                <w:sz w:val="21"/>
                <w:szCs w:val="21"/>
                <w:highlight w:val="none"/>
              </w:rPr>
              <w:t>单位</w:t>
            </w:r>
          </w:p>
        </w:tc>
        <w:tc>
          <w:tcPr>
            <w:tcW w:w="1260"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r>
              <w:rPr>
                <w:rFonts w:hint="eastAsia" w:cs="Times New Roman"/>
                <w:color w:val="auto"/>
                <w:spacing w:val="-6"/>
                <w:sz w:val="21"/>
                <w:szCs w:val="21"/>
                <w:highlight w:val="none"/>
              </w:rPr>
              <w:t>单价</w:t>
            </w:r>
          </w:p>
        </w:tc>
        <w:tc>
          <w:tcPr>
            <w:tcW w:w="1620"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r>
              <w:rPr>
                <w:rFonts w:hint="eastAsia" w:cs="Times New Roman"/>
                <w:color w:val="auto"/>
                <w:spacing w:val="-6"/>
                <w:sz w:val="21"/>
                <w:szCs w:val="21"/>
                <w:highlight w:val="none"/>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720"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r>
              <w:rPr>
                <w:rFonts w:hint="eastAsia" w:cs="Times New Roman"/>
                <w:color w:val="auto"/>
                <w:spacing w:val="-6"/>
                <w:sz w:val="21"/>
                <w:szCs w:val="21"/>
                <w:highlight w:val="none"/>
              </w:rPr>
              <w:t>1</w:t>
            </w:r>
          </w:p>
        </w:tc>
        <w:tc>
          <w:tcPr>
            <w:tcW w:w="1800" w:type="dxa"/>
            <w:tcBorders>
              <w:top w:val="single" w:color="auto" w:sz="4" w:space="0"/>
              <w:left w:val="nil"/>
              <w:bottom w:val="single" w:color="auto" w:sz="4" w:space="0"/>
              <w:right w:val="single" w:color="auto" w:sz="4" w:space="0"/>
            </w:tcBorders>
            <w:vAlign w:val="center"/>
          </w:tcPr>
          <w:p>
            <w:pPr>
              <w:snapToGrid w:val="0"/>
              <w:spacing w:line="288" w:lineRule="auto"/>
              <w:ind w:left="204" w:leftChars="85"/>
              <w:jc w:val="center"/>
              <w:rPr>
                <w:rFonts w:cs="Times New Roman"/>
                <w:color w:val="auto"/>
                <w:spacing w:val="-6"/>
                <w:sz w:val="21"/>
                <w:szCs w:val="21"/>
                <w:highlight w:val="none"/>
              </w:rPr>
            </w:pPr>
          </w:p>
        </w:tc>
        <w:tc>
          <w:tcPr>
            <w:tcW w:w="1771" w:type="dxa"/>
            <w:tcBorders>
              <w:top w:val="single" w:color="auto" w:sz="4" w:space="0"/>
              <w:left w:val="nil"/>
              <w:bottom w:val="single" w:color="auto" w:sz="4" w:space="0"/>
              <w:right w:val="single" w:color="auto" w:sz="4" w:space="0"/>
            </w:tcBorders>
          </w:tcPr>
          <w:p>
            <w:pPr>
              <w:snapToGrid w:val="0"/>
              <w:spacing w:line="288" w:lineRule="auto"/>
              <w:rPr>
                <w:rFonts w:cs="Times New Roman"/>
                <w:color w:val="auto"/>
                <w:spacing w:val="-6"/>
                <w:sz w:val="21"/>
                <w:szCs w:val="21"/>
                <w:highlight w:val="none"/>
              </w:rPr>
            </w:pPr>
          </w:p>
        </w:tc>
        <w:tc>
          <w:tcPr>
            <w:tcW w:w="720"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p>
        </w:tc>
        <w:tc>
          <w:tcPr>
            <w:tcW w:w="720"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p>
        </w:tc>
        <w:tc>
          <w:tcPr>
            <w:tcW w:w="1260"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p>
        </w:tc>
        <w:tc>
          <w:tcPr>
            <w:tcW w:w="1620" w:type="dxa"/>
            <w:tcBorders>
              <w:top w:val="single" w:color="auto" w:sz="4" w:space="0"/>
              <w:left w:val="nil"/>
              <w:bottom w:val="single" w:color="auto" w:sz="4" w:space="0"/>
              <w:right w:val="single" w:color="auto" w:sz="4" w:space="0"/>
            </w:tcBorders>
            <w:vAlign w:val="center"/>
          </w:tcPr>
          <w:p>
            <w:pPr>
              <w:snapToGrid w:val="0"/>
              <w:spacing w:line="288" w:lineRule="auto"/>
              <w:rPr>
                <w:rFonts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720"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r>
              <w:rPr>
                <w:rFonts w:hint="eastAsia" w:cs="Times New Roman"/>
                <w:color w:val="auto"/>
                <w:spacing w:val="-6"/>
                <w:sz w:val="21"/>
                <w:szCs w:val="21"/>
                <w:highlight w:val="none"/>
              </w:rPr>
              <w:t>2</w:t>
            </w:r>
          </w:p>
        </w:tc>
        <w:tc>
          <w:tcPr>
            <w:tcW w:w="1800" w:type="dxa"/>
            <w:tcBorders>
              <w:top w:val="single" w:color="auto" w:sz="4" w:space="0"/>
              <w:left w:val="nil"/>
              <w:bottom w:val="single" w:color="auto" w:sz="4" w:space="0"/>
              <w:right w:val="single" w:color="auto" w:sz="4" w:space="0"/>
            </w:tcBorders>
            <w:vAlign w:val="center"/>
          </w:tcPr>
          <w:p>
            <w:pPr>
              <w:snapToGrid w:val="0"/>
              <w:spacing w:line="288" w:lineRule="auto"/>
              <w:ind w:left="204" w:leftChars="85"/>
              <w:jc w:val="center"/>
              <w:rPr>
                <w:rFonts w:cs="Times New Roman"/>
                <w:color w:val="auto"/>
                <w:spacing w:val="-6"/>
                <w:sz w:val="21"/>
                <w:szCs w:val="21"/>
                <w:highlight w:val="none"/>
              </w:rPr>
            </w:pPr>
          </w:p>
        </w:tc>
        <w:tc>
          <w:tcPr>
            <w:tcW w:w="1771" w:type="dxa"/>
            <w:tcBorders>
              <w:top w:val="single" w:color="auto" w:sz="4" w:space="0"/>
              <w:left w:val="nil"/>
              <w:bottom w:val="single" w:color="auto" w:sz="4" w:space="0"/>
              <w:right w:val="single" w:color="auto" w:sz="4" w:space="0"/>
            </w:tcBorders>
          </w:tcPr>
          <w:p>
            <w:pPr>
              <w:snapToGrid w:val="0"/>
              <w:spacing w:line="288" w:lineRule="auto"/>
              <w:rPr>
                <w:rFonts w:cs="Times New Roman"/>
                <w:color w:val="auto"/>
                <w:spacing w:val="-6"/>
                <w:sz w:val="21"/>
                <w:szCs w:val="21"/>
                <w:highlight w:val="none"/>
              </w:rPr>
            </w:pPr>
          </w:p>
        </w:tc>
        <w:tc>
          <w:tcPr>
            <w:tcW w:w="720"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p>
        </w:tc>
        <w:tc>
          <w:tcPr>
            <w:tcW w:w="720"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p>
        </w:tc>
        <w:tc>
          <w:tcPr>
            <w:tcW w:w="1260"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p>
        </w:tc>
        <w:tc>
          <w:tcPr>
            <w:tcW w:w="1620" w:type="dxa"/>
            <w:tcBorders>
              <w:top w:val="single" w:color="auto" w:sz="4" w:space="0"/>
              <w:left w:val="nil"/>
              <w:bottom w:val="single" w:color="auto" w:sz="4" w:space="0"/>
              <w:right w:val="single" w:color="auto" w:sz="4" w:space="0"/>
            </w:tcBorders>
            <w:vAlign w:val="center"/>
          </w:tcPr>
          <w:p>
            <w:pPr>
              <w:snapToGrid w:val="0"/>
              <w:spacing w:line="288" w:lineRule="auto"/>
              <w:rPr>
                <w:rFonts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8611" w:type="dxa"/>
            <w:gridSpan w:val="7"/>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left"/>
              <w:rPr>
                <w:rFonts w:cs="Times New Roman"/>
                <w:color w:val="auto"/>
                <w:spacing w:val="-6"/>
                <w:sz w:val="21"/>
                <w:szCs w:val="21"/>
                <w:highlight w:val="none"/>
              </w:rPr>
            </w:pPr>
            <w:r>
              <w:rPr>
                <w:rFonts w:hint="eastAsia" w:cs="Times New Roman"/>
                <w:color w:val="auto"/>
                <w:spacing w:val="-6"/>
                <w:sz w:val="21"/>
                <w:szCs w:val="21"/>
                <w:highlight w:val="none"/>
              </w:rPr>
              <w:t>合同总价（人民币）：</w:t>
            </w:r>
          </w:p>
        </w:tc>
      </w:tr>
    </w:tbl>
    <w:p>
      <w:pPr>
        <w:snapToGrid w:val="0"/>
        <w:spacing w:line="288" w:lineRule="auto"/>
        <w:rPr>
          <w:rFonts w:cs="Times New Roman"/>
          <w:color w:val="auto"/>
          <w:spacing w:val="-6"/>
          <w:sz w:val="21"/>
          <w:szCs w:val="21"/>
          <w:highlight w:val="none"/>
        </w:rPr>
      </w:pPr>
      <w:r>
        <w:rPr>
          <w:rFonts w:hint="eastAsia"/>
          <w:color w:val="auto"/>
          <w:spacing w:val="-6"/>
          <w:sz w:val="21"/>
          <w:szCs w:val="21"/>
          <w:highlight w:val="none"/>
        </w:rPr>
        <w:t>注：</w:t>
      </w:r>
      <w:r>
        <w:rPr>
          <w:rFonts w:hint="eastAsia" w:cs="Times New Roman"/>
          <w:color w:val="auto"/>
          <w:spacing w:val="-6"/>
          <w:sz w:val="21"/>
          <w:szCs w:val="21"/>
          <w:highlight w:val="none"/>
        </w:rPr>
        <w:t>1、以上合同总价包括将货物运抵甲方指定地点的运费及安装调试、培训等一切费用。</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第二条：质量保证及售后服务</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 乙方应按招标文件规定的货物性能、技术要求、质量标准向甲方提供未经使用的全新产品，符合国家法律规定和技术规格、质量标准的出厂原装合格产品；进口商品是获得国家商检局颁布安全许可证的出厂原装合格产品。</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2. 乙方提供的货物在质保期内因货物本身的质量问题发生故障，乙方应负责免费更换。对达不到技术要求者，根据实际情况，经双方协商，可按以下办法处理：</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⑴更换：由乙方承担所发生的全部费用。</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⑵贬值处理：由甲乙双方合议定价。</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⑶退货处理：乙方应退还甲方支付的合同款，同时应承担该货物的直接费用（运输、保险、检验、货款利息及银行手续费等）。</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3. 如在使用过程中发生质量问题，乙方在接到甲方通知后在</w:t>
      </w:r>
      <w:r>
        <w:rPr>
          <w:rFonts w:hint="eastAsia" w:cs="Times New Roman"/>
          <w:color w:val="auto"/>
          <w:spacing w:val="-6"/>
          <w:sz w:val="21"/>
          <w:szCs w:val="21"/>
          <w:highlight w:val="none"/>
          <w:u w:val="single"/>
        </w:rPr>
        <w:t xml:space="preserve">        </w:t>
      </w:r>
      <w:r>
        <w:rPr>
          <w:rFonts w:hint="eastAsia"/>
          <w:color w:val="auto"/>
          <w:spacing w:val="-6"/>
          <w:sz w:val="21"/>
          <w:szCs w:val="21"/>
          <w:highlight w:val="none"/>
        </w:rPr>
        <w:t>小时内到达甲方现场。</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4. 在质保期内，乙方应对货物出现的质量及安全问题负责处理解决并承担一切费用。</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 xml:space="preserve">5. </w:t>
      </w:r>
      <w:r>
        <w:rPr>
          <w:rFonts w:hint="eastAsia"/>
          <w:color w:val="auto"/>
          <w:spacing w:val="-6"/>
          <w:sz w:val="21"/>
          <w:szCs w:val="21"/>
          <w:highlight w:val="none"/>
        </w:rPr>
        <w:t>上述的货物免费保修期为</w:t>
      </w:r>
      <w:r>
        <w:rPr>
          <w:rFonts w:hint="eastAsia" w:ascii="Times New Roman" w:hAnsi="Times New Roman"/>
          <w:color w:val="auto"/>
          <w:spacing w:val="-6"/>
          <w:sz w:val="21"/>
          <w:szCs w:val="21"/>
          <w:highlight w:val="none"/>
        </w:rPr>
        <w:t>主机</w:t>
      </w:r>
      <w:r>
        <w:rPr>
          <w:rFonts w:hint="eastAsia" w:ascii="Times New Roman" w:hAnsi="Times New Roman" w:cs="Times New Roman"/>
          <w:color w:val="auto"/>
          <w:spacing w:val="-6"/>
          <w:sz w:val="21"/>
          <w:szCs w:val="21"/>
          <w:highlight w:val="none"/>
          <w:u w:val="single"/>
        </w:rPr>
        <w:t xml:space="preserve">   </w:t>
      </w:r>
      <w:r>
        <w:rPr>
          <w:rFonts w:hint="eastAsia" w:ascii="Times New Roman" w:hAnsi="Times New Roman"/>
          <w:color w:val="auto"/>
          <w:spacing w:val="-6"/>
          <w:sz w:val="21"/>
          <w:szCs w:val="21"/>
          <w:highlight w:val="none"/>
        </w:rPr>
        <w:t>年（配件</w:t>
      </w:r>
      <w:r>
        <w:rPr>
          <w:rFonts w:hint="eastAsia" w:ascii="Times New Roman" w:hAnsi="Times New Roman" w:cs="Times New Roman"/>
          <w:color w:val="auto"/>
          <w:spacing w:val="-6"/>
          <w:sz w:val="21"/>
          <w:szCs w:val="21"/>
          <w:highlight w:val="none"/>
          <w:u w:val="single"/>
        </w:rPr>
        <w:t xml:space="preserve">   </w:t>
      </w:r>
      <w:r>
        <w:rPr>
          <w:rFonts w:hint="eastAsia" w:ascii="Times New Roman" w:hAnsi="Times New Roman"/>
          <w:color w:val="auto"/>
          <w:spacing w:val="-6"/>
          <w:sz w:val="21"/>
          <w:szCs w:val="21"/>
          <w:highlight w:val="none"/>
        </w:rPr>
        <w:t>年）</w:t>
      </w:r>
      <w:r>
        <w:rPr>
          <w:rFonts w:hint="eastAsia"/>
          <w:color w:val="auto"/>
          <w:spacing w:val="-6"/>
          <w:sz w:val="21"/>
          <w:szCs w:val="21"/>
          <w:highlight w:val="none"/>
        </w:rPr>
        <w:t>，因人为因素出现的故障不在免费保修范围内。超过保修期的机器设备，终生维修，维修时只收部件成本费。</w:t>
      </w:r>
    </w:p>
    <w:p>
      <w:pPr>
        <w:snapToGrid w:val="0"/>
        <w:spacing w:line="288" w:lineRule="auto"/>
        <w:ind w:firstLine="420"/>
        <w:rPr>
          <w:rFonts w:cs="Times New Roman"/>
          <w:b/>
          <w:color w:val="auto"/>
          <w:spacing w:val="-6"/>
          <w:sz w:val="21"/>
          <w:szCs w:val="21"/>
          <w:highlight w:val="none"/>
        </w:rPr>
      </w:pPr>
      <w:r>
        <w:rPr>
          <w:rFonts w:hint="eastAsia"/>
          <w:b/>
          <w:color w:val="auto"/>
          <w:spacing w:val="-6"/>
          <w:sz w:val="21"/>
          <w:szCs w:val="21"/>
          <w:highlight w:val="none"/>
        </w:rPr>
        <w:t>第三条：技术资料</w:t>
      </w:r>
    </w:p>
    <w:p>
      <w:pPr>
        <w:numPr>
          <w:ilvl w:val="0"/>
          <w:numId w:val="1"/>
        </w:num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乙方应按招标文件规定的时间向甲方提供使用货物的有关技术资料。</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pPr>
        <w:snapToGrid w:val="0"/>
        <w:spacing w:line="288" w:lineRule="auto"/>
        <w:ind w:left="340" w:hanging="340" w:hangingChars="171"/>
        <w:rPr>
          <w:rFonts w:cs="Times New Roman"/>
          <w:b/>
          <w:color w:val="auto"/>
          <w:spacing w:val="-6"/>
          <w:sz w:val="21"/>
          <w:szCs w:val="21"/>
          <w:highlight w:val="none"/>
        </w:rPr>
      </w:pPr>
      <w:r>
        <w:rPr>
          <w:rFonts w:hint="eastAsia"/>
          <w:b/>
          <w:color w:val="auto"/>
          <w:spacing w:val="-6"/>
          <w:sz w:val="21"/>
          <w:szCs w:val="21"/>
          <w:highlight w:val="none"/>
        </w:rPr>
        <w:t>第四条：知识产权</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乙方应保证所提供的货物或其任何一部分均不会侵犯任何第三方的知识产权</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第五条：交货时间、地点</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1.交货时间：合同签订之日起30日内交付并安装完毕。</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 xml:space="preserve">2.交货地点：甲方指定地点。 </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 xml:space="preserve">第六条：售后服务 </w:t>
      </w:r>
    </w:p>
    <w:p>
      <w:pPr>
        <w:snapToGrid w:val="0"/>
        <w:spacing w:line="288" w:lineRule="auto"/>
        <w:ind w:right="26" w:rightChars="11" w:firstLine="420"/>
        <w:rPr>
          <w:rFonts w:cs="Times New Roman"/>
          <w:color w:val="auto"/>
          <w:spacing w:val="-6"/>
          <w:sz w:val="21"/>
          <w:szCs w:val="21"/>
          <w:highlight w:val="none"/>
        </w:rPr>
      </w:pPr>
      <w:r>
        <w:rPr>
          <w:rFonts w:hint="eastAsia"/>
          <w:color w:val="auto"/>
          <w:spacing w:val="-6"/>
          <w:sz w:val="21"/>
          <w:szCs w:val="21"/>
          <w:highlight w:val="none"/>
        </w:rPr>
        <w:t>设备自验收合格后起保修主机</w:t>
      </w:r>
      <w:r>
        <w:rPr>
          <w:rFonts w:hint="eastAsia" w:cs="Times New Roman"/>
          <w:color w:val="auto"/>
          <w:spacing w:val="-6"/>
          <w:sz w:val="21"/>
          <w:szCs w:val="21"/>
          <w:highlight w:val="none"/>
          <w:u w:val="single"/>
        </w:rPr>
        <w:t xml:space="preserve">   </w:t>
      </w:r>
      <w:r>
        <w:rPr>
          <w:rFonts w:hint="eastAsia"/>
          <w:color w:val="auto"/>
          <w:spacing w:val="-6"/>
          <w:sz w:val="21"/>
          <w:szCs w:val="21"/>
          <w:highlight w:val="none"/>
        </w:rPr>
        <w:t>年（配件</w:t>
      </w:r>
      <w:r>
        <w:rPr>
          <w:rFonts w:hint="eastAsia" w:cs="Times New Roman"/>
          <w:color w:val="auto"/>
          <w:spacing w:val="-6"/>
          <w:sz w:val="21"/>
          <w:szCs w:val="21"/>
          <w:highlight w:val="none"/>
          <w:u w:val="single"/>
        </w:rPr>
        <w:t xml:space="preserve">   </w:t>
      </w:r>
      <w:r>
        <w:rPr>
          <w:rFonts w:hint="eastAsia"/>
          <w:color w:val="auto"/>
          <w:spacing w:val="-6"/>
          <w:sz w:val="21"/>
          <w:szCs w:val="21"/>
          <w:highlight w:val="none"/>
        </w:rPr>
        <w:t>年）。维修响应时间：</w:t>
      </w:r>
      <w:r>
        <w:rPr>
          <w:rFonts w:hint="eastAsia" w:cs="Times New Roman"/>
          <w:color w:val="auto"/>
          <w:spacing w:val="-6"/>
          <w:sz w:val="21"/>
          <w:szCs w:val="21"/>
          <w:highlight w:val="none"/>
          <w:u w:val="single"/>
        </w:rPr>
        <w:t xml:space="preserve">   </w:t>
      </w:r>
      <w:r>
        <w:rPr>
          <w:rFonts w:hint="eastAsia"/>
          <w:color w:val="auto"/>
          <w:spacing w:val="-6"/>
          <w:sz w:val="21"/>
          <w:szCs w:val="21"/>
          <w:highlight w:val="none"/>
        </w:rPr>
        <w:t>小时以内，电话技术支持；若需上门维修，则</w:t>
      </w:r>
      <w:r>
        <w:rPr>
          <w:rFonts w:hint="eastAsia" w:cs="Times New Roman"/>
          <w:color w:val="auto"/>
          <w:spacing w:val="-6"/>
          <w:sz w:val="21"/>
          <w:szCs w:val="21"/>
          <w:highlight w:val="none"/>
          <w:u w:val="single"/>
        </w:rPr>
        <w:t xml:space="preserve">   </w:t>
      </w:r>
      <w:r>
        <w:rPr>
          <w:rFonts w:hint="eastAsia"/>
          <w:color w:val="auto"/>
          <w:spacing w:val="-6"/>
          <w:sz w:val="21"/>
          <w:szCs w:val="21"/>
          <w:highlight w:val="none"/>
        </w:rPr>
        <w:t>小时内到达现场并进行维修；保修期后，乙方继续为甲方服务，仅收取零配件成本费。保修内出现无法排除的故障，乙方需无条件为甲方更换同型号产品。</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第七条：调试与验收</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 甲方对乙方提交的货物依据招标文件上的技术规格要求和国家有关质量标准进行现场初步验收，外观、说明书符合招标文件技术要求的，给予签收，初步验收不合格的不予签收。</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2. 乙方交货前应对产品作出全面检查和对验收文件进行整理，并列出清单，作为甲方收货验收和使用的技术条件依据，检验的结果应随货物交甲方。</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3. 甲方对乙方提供的货物在使用前进行调试时，乙方需负责安装并培训甲方的使用操作人员，并协助甲方一起调试，直到符合技术要求，甲方才做最终验收。</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4. 对技术复杂的货物，甲方应请国家认可的专业检测机构参与初步验收及最终验收，并由其出具质量检测报告。</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5. 验收时乙方必须在现场，验收完毕后作出验收结果报告；验收费用由乙方负责。</w:t>
      </w:r>
    </w:p>
    <w:p>
      <w:pPr>
        <w:snapToGrid w:val="0"/>
        <w:spacing w:line="288" w:lineRule="auto"/>
        <w:ind w:right="26" w:rightChars="11"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 xml:space="preserve">6. </w:t>
      </w:r>
      <w:r>
        <w:rPr>
          <w:rFonts w:hint="eastAsia"/>
          <w:color w:val="auto"/>
          <w:spacing w:val="-6"/>
          <w:sz w:val="21"/>
          <w:szCs w:val="21"/>
          <w:highlight w:val="none"/>
        </w:rPr>
        <w:t>如发现有重大的质量问题，供甲方均同意提请国家法定检测机构鉴定，如检测结果证明产品无质量问题，由甲方承担检测费用；如检测结果证明产品有质量问题，由乙方承担检测费用，同时乙方同意甲方无条件退货并支付给甲方货款总价</w:t>
      </w:r>
      <w:r>
        <w:rPr>
          <w:rFonts w:hint="eastAsia" w:cs="Times New Roman"/>
          <w:color w:val="auto"/>
          <w:spacing w:val="-6"/>
          <w:sz w:val="21"/>
          <w:szCs w:val="21"/>
          <w:highlight w:val="none"/>
        </w:rPr>
        <w:t>10％的赔偿金。</w:t>
      </w:r>
    </w:p>
    <w:p>
      <w:pPr>
        <w:snapToGrid w:val="0"/>
        <w:spacing w:line="288" w:lineRule="auto"/>
        <w:rPr>
          <w:b/>
          <w:color w:val="auto"/>
          <w:spacing w:val="-6"/>
          <w:kern w:val="0"/>
          <w:sz w:val="21"/>
          <w:szCs w:val="21"/>
          <w:highlight w:val="none"/>
        </w:rPr>
      </w:pPr>
      <w:r>
        <w:rPr>
          <w:rFonts w:hint="eastAsia"/>
          <w:b/>
          <w:color w:val="auto"/>
          <w:spacing w:val="-6"/>
          <w:sz w:val="21"/>
          <w:szCs w:val="21"/>
          <w:highlight w:val="none"/>
        </w:rPr>
        <w:t>第八条：货款的支付</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1.履约保证金：</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合同签订后一周内，乙方向甲方提交合同总价5%的履约保证金，履约保证金在质保期内无质量问题和维护问题，质保期满后，于一周内退还（不计息）；</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转账信息如下：</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收款单位（户名）:杭州电子科技大学</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开户银行：工行高新支行</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银行账号：1202026209008806216</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发票开票信息</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抬头：杭州电子科技大学</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税号：12330000470009026T</w:t>
      </w:r>
    </w:p>
    <w:p>
      <w:pPr>
        <w:snapToGrid w:val="0"/>
        <w:spacing w:line="288" w:lineRule="auto"/>
        <w:ind w:firstLine="396" w:firstLineChars="200"/>
        <w:rPr>
          <w:rFonts w:cs="Times New Roman"/>
          <w:bCs/>
          <w:color w:val="auto"/>
          <w:spacing w:val="-6"/>
          <w:sz w:val="21"/>
          <w:szCs w:val="21"/>
          <w:highlight w:val="none"/>
        </w:rPr>
      </w:pPr>
      <w:r>
        <w:rPr>
          <w:rFonts w:hint="eastAsia" w:cs="Times New Roman"/>
          <w:color w:val="auto"/>
          <w:spacing w:val="-6"/>
          <w:sz w:val="21"/>
          <w:szCs w:val="21"/>
          <w:highlight w:val="none"/>
        </w:rPr>
        <w:t>2.</w:t>
      </w:r>
      <w:r>
        <w:rPr>
          <w:rFonts w:hint="eastAsia" w:cs="Times New Roman"/>
          <w:bCs/>
          <w:color w:val="auto"/>
          <w:spacing w:val="-6"/>
          <w:sz w:val="21"/>
          <w:szCs w:val="21"/>
          <w:highlight w:val="none"/>
        </w:rPr>
        <w:t>付款方式：</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货物送达并经甲方初步验收后，5个工作日内由甲方向乙方支付至合同总价的75%；货物在乙方安装调试完毕并经甲方验收合格后，支付至合同总价的100%。</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注：乙方需提供增值税专用发票，开票信息如下：</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抬头：杭州电子科技大学</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税号：12330000470009026T</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地址：杭州市下沙高教园区杭州电子科技大学</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电话：0571-86915020</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开户银行：工行高新支行</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银行账号：1202026209008806216</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第九条：违约责任</w:t>
      </w:r>
    </w:p>
    <w:p>
      <w:pPr>
        <w:numPr>
          <w:ilvl w:val="0"/>
          <w:numId w:val="2"/>
        </w:num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乙方逾期履行合同的，自逾期之日起，向甲方每日偿付合同总价千分之五的滞纳金。</w:t>
      </w:r>
    </w:p>
    <w:p>
      <w:pPr>
        <w:numPr>
          <w:ilvl w:val="0"/>
          <w:numId w:val="2"/>
        </w:num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甲方逾期支付货款的，自逾期之日起，向乙方每日偿付未付价款千分之五的滞纳金。</w:t>
      </w:r>
    </w:p>
    <w:p>
      <w:pPr>
        <w:numPr>
          <w:ilvl w:val="0"/>
          <w:numId w:val="2"/>
        </w:numPr>
        <w:snapToGrid w:val="0"/>
        <w:spacing w:line="288" w:lineRule="auto"/>
        <w:ind w:right="26" w:rightChars="11" w:firstLine="396" w:firstLineChars="200"/>
        <w:rPr>
          <w:rFonts w:cs="Times New Roman"/>
          <w:color w:val="auto"/>
          <w:spacing w:val="-6"/>
          <w:sz w:val="21"/>
          <w:szCs w:val="21"/>
          <w:highlight w:val="none"/>
        </w:rPr>
      </w:pPr>
      <w:r>
        <w:rPr>
          <w:rFonts w:hint="eastAsia"/>
          <w:color w:val="auto"/>
          <w:spacing w:val="-6"/>
          <w:sz w:val="21"/>
          <w:szCs w:val="21"/>
          <w:highlight w:val="none"/>
        </w:rPr>
        <w:t>如验收不能达到质量功能（性能）标准，合同商品由乙方在验收后一周内运离交付地点，所需费用由乙方承担。如乙方在一个月内不处理（搬走）合同商品，视为乙方放弃该商品，甲方有权自行处置（包括废物处理）。同时，乙方要支付给甲方总货款的</w:t>
      </w:r>
      <w:r>
        <w:rPr>
          <w:rFonts w:hint="eastAsia" w:cs="Times New Roman"/>
          <w:color w:val="auto"/>
          <w:spacing w:val="-6"/>
          <w:sz w:val="21"/>
          <w:szCs w:val="21"/>
          <w:highlight w:val="none"/>
        </w:rPr>
        <w:t>20％作为违约赔偿金。</w:t>
      </w:r>
    </w:p>
    <w:p>
      <w:pPr>
        <w:numPr>
          <w:ilvl w:val="0"/>
          <w:numId w:val="2"/>
        </w:num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乙方所交的货物品种、型号、规格、技术参数、质量不符合合同规定及招标文件规定标准的，甲方有权拒收该货物，乙方愿意更换货物但逾期交货的，按乙方逾期交货处理。乙方拒绝更换货物的，甲方可单方面解除合同。</w:t>
      </w:r>
    </w:p>
    <w:p>
      <w:pPr>
        <w:snapToGrid w:val="0"/>
        <w:spacing w:line="288" w:lineRule="auto"/>
        <w:ind w:firstLine="420"/>
        <w:rPr>
          <w:rFonts w:cs="Times New Roman"/>
          <w:b/>
          <w:color w:val="auto"/>
          <w:spacing w:val="-6"/>
          <w:sz w:val="21"/>
          <w:szCs w:val="21"/>
          <w:highlight w:val="none"/>
        </w:rPr>
      </w:pPr>
      <w:r>
        <w:rPr>
          <w:rFonts w:hint="eastAsia"/>
          <w:b/>
          <w:color w:val="auto"/>
          <w:spacing w:val="-6"/>
          <w:sz w:val="21"/>
          <w:szCs w:val="21"/>
          <w:highlight w:val="none"/>
        </w:rPr>
        <w:t>第十条：不可抗力事件处理</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 在合同有效期内，任何一方因不可抗力事件导致不能履行合同，则合同履行期可延长，其延长期与不可抗力影响期相同。</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2. 不可抗力事件发生后，应立即通知对方，并寄送有关权威机构出具的证明。</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3. 不可抗力事件延续120天以上，双方应通过友好协商，确定是否继续履行合同。</w:t>
      </w:r>
    </w:p>
    <w:p>
      <w:pPr>
        <w:snapToGrid w:val="0"/>
        <w:spacing w:line="288" w:lineRule="auto"/>
        <w:ind w:right="-588" w:rightChars="-245"/>
        <w:rPr>
          <w:rFonts w:cs="Times New Roman"/>
          <w:b/>
          <w:color w:val="auto"/>
          <w:spacing w:val="-6"/>
          <w:sz w:val="21"/>
          <w:szCs w:val="21"/>
          <w:highlight w:val="none"/>
        </w:rPr>
      </w:pPr>
      <w:r>
        <w:rPr>
          <w:rFonts w:hint="eastAsia"/>
          <w:b/>
          <w:color w:val="auto"/>
          <w:spacing w:val="-6"/>
          <w:sz w:val="21"/>
          <w:szCs w:val="21"/>
          <w:highlight w:val="none"/>
        </w:rPr>
        <w:t>第十一条：争议解决</w:t>
      </w:r>
    </w:p>
    <w:p>
      <w:pPr>
        <w:snapToGrid w:val="0"/>
        <w:spacing w:line="288" w:lineRule="auto"/>
        <w:ind w:right="26" w:rightChars="11" w:firstLine="396" w:firstLineChars="200"/>
        <w:rPr>
          <w:rFonts w:cs="Times New Roman"/>
          <w:color w:val="auto"/>
          <w:spacing w:val="-6"/>
          <w:sz w:val="21"/>
          <w:szCs w:val="21"/>
          <w:highlight w:val="none"/>
        </w:rPr>
      </w:pPr>
      <w:r>
        <w:rPr>
          <w:rFonts w:hint="eastAsia"/>
          <w:color w:val="auto"/>
          <w:spacing w:val="-6"/>
          <w:sz w:val="21"/>
          <w:szCs w:val="21"/>
          <w:highlight w:val="none"/>
        </w:rPr>
        <w:t>本合同未尽事宜由三方协商解决，如协商不成，三方同意将本合同引起的争议提交杭州仲裁委员会仲裁解决，仲裁为终局。</w:t>
      </w:r>
    </w:p>
    <w:p>
      <w:pPr>
        <w:snapToGrid w:val="0"/>
        <w:spacing w:line="288" w:lineRule="auto"/>
        <w:ind w:right="-588" w:rightChars="-245"/>
        <w:rPr>
          <w:rFonts w:cs="Times New Roman"/>
          <w:b/>
          <w:color w:val="auto"/>
          <w:spacing w:val="-6"/>
          <w:sz w:val="21"/>
          <w:szCs w:val="21"/>
          <w:highlight w:val="none"/>
        </w:rPr>
      </w:pPr>
      <w:r>
        <w:rPr>
          <w:rFonts w:hint="eastAsia"/>
          <w:b/>
          <w:color w:val="auto"/>
          <w:spacing w:val="-6"/>
          <w:sz w:val="21"/>
          <w:szCs w:val="21"/>
          <w:highlight w:val="none"/>
        </w:rPr>
        <w:t>第十二条：合同生效</w:t>
      </w:r>
    </w:p>
    <w:p>
      <w:pPr>
        <w:numPr>
          <w:ilvl w:val="0"/>
          <w:numId w:val="3"/>
        </w:num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合同经三方法定代表人或授权代表签字并加盖单位公章后生效。</w:t>
      </w:r>
    </w:p>
    <w:p>
      <w:pPr>
        <w:numPr>
          <w:ilvl w:val="0"/>
          <w:numId w:val="3"/>
        </w:num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合同执行中涉及采购资金和采购内容修改或补充的，须经财政部门审批，并签书面补充协议报政府采购监督管理部门备案，方可作为主合同不可分割的一部分。</w:t>
      </w:r>
    </w:p>
    <w:p>
      <w:pPr>
        <w:numPr>
          <w:ilvl w:val="0"/>
          <w:numId w:val="3"/>
        </w:num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本合同未尽事宜，遵照《民法典》有关条文执行。</w:t>
      </w:r>
    </w:p>
    <w:p>
      <w:pPr>
        <w:numPr>
          <w:ilvl w:val="0"/>
          <w:numId w:val="3"/>
        </w:num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本合同一式五份，乙方、采购代理机构各执壹份，甲方执叁份。</w:t>
      </w:r>
    </w:p>
    <w:tbl>
      <w:tblPr>
        <w:tblStyle w:val="9"/>
        <w:tblW w:w="828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20"/>
        <w:gridCol w:w="3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2" w:hRule="atLeast"/>
        </w:trPr>
        <w:tc>
          <w:tcPr>
            <w:tcW w:w="8280" w:type="dxa"/>
            <w:gridSpan w:val="2"/>
            <w:tcBorders>
              <w:top w:val="single" w:color="auto" w:sz="4" w:space="0"/>
              <w:left w:val="single" w:color="auto" w:sz="4" w:space="0"/>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用户确认签字：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2" w:hRule="atLeast"/>
        </w:trPr>
        <w:tc>
          <w:tcPr>
            <w:tcW w:w="4320" w:type="dxa"/>
            <w:tcBorders>
              <w:top w:val="single" w:color="auto" w:sz="4" w:space="0"/>
              <w:left w:val="single" w:color="auto" w:sz="4" w:space="0"/>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甲方（需方）：（公章）</w:t>
            </w:r>
          </w:p>
        </w:tc>
        <w:tc>
          <w:tcPr>
            <w:tcW w:w="3960"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乙方（供方）：（公章）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7" w:hRule="atLeast"/>
        </w:trPr>
        <w:tc>
          <w:tcPr>
            <w:tcW w:w="4320" w:type="dxa"/>
            <w:tcBorders>
              <w:top w:val="single" w:color="auto" w:sz="4" w:space="0"/>
              <w:left w:val="single" w:color="auto" w:sz="4" w:space="0"/>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甲方代表：</w:t>
            </w:r>
          </w:p>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(签字）</w:t>
            </w:r>
          </w:p>
        </w:tc>
        <w:tc>
          <w:tcPr>
            <w:tcW w:w="3960"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乙方代表：</w:t>
            </w:r>
          </w:p>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地址：杭州市下沙高教园区</w:t>
            </w:r>
          </w:p>
        </w:tc>
        <w:tc>
          <w:tcPr>
            <w:tcW w:w="3960"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邮编：310018</w:t>
            </w:r>
          </w:p>
        </w:tc>
        <w:tc>
          <w:tcPr>
            <w:tcW w:w="3960"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邮编：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电话：86878697</w:t>
            </w:r>
          </w:p>
        </w:tc>
        <w:tc>
          <w:tcPr>
            <w:tcW w:w="3960"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传真：86878697</w:t>
            </w:r>
          </w:p>
        </w:tc>
        <w:tc>
          <w:tcPr>
            <w:tcW w:w="3960"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传真：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开户银行：工行高新支行</w:t>
            </w:r>
          </w:p>
        </w:tc>
        <w:tc>
          <w:tcPr>
            <w:tcW w:w="3960"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开户银行：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帐号：1202026209008806216</w:t>
            </w:r>
          </w:p>
        </w:tc>
        <w:tc>
          <w:tcPr>
            <w:tcW w:w="3960"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帐号：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签字日期：      年  月  日</w:t>
            </w:r>
          </w:p>
        </w:tc>
        <w:tc>
          <w:tcPr>
            <w:tcW w:w="3960"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签字日期：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74" w:hRule="atLeast"/>
        </w:trPr>
        <w:tc>
          <w:tcPr>
            <w:tcW w:w="4320" w:type="dxa"/>
            <w:vMerge w:val="restart"/>
            <w:tcBorders>
              <w:top w:val="nil"/>
              <w:left w:val="single" w:color="auto" w:sz="4" w:space="0"/>
              <w:bottom w:val="single" w:color="auto" w:sz="4" w:space="0"/>
              <w:right w:val="single" w:color="auto" w:sz="4" w:space="0"/>
            </w:tcBorders>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采购代理机构：浙江求是招标代理有限公司（公章）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12" w:hRule="atLeast"/>
        </w:trPr>
        <w:tc>
          <w:tcPr>
            <w:tcW w:w="4320" w:type="dxa"/>
            <w:vMerge w:val="continue"/>
            <w:tcBorders>
              <w:top w:val="nil"/>
              <w:left w:val="single" w:color="auto" w:sz="4" w:space="0"/>
              <w:bottom w:val="single" w:color="auto" w:sz="4" w:space="0"/>
              <w:right w:val="single" w:color="auto" w:sz="4" w:space="0"/>
            </w:tcBorders>
          </w:tcPr>
          <w:p>
            <w:pPr>
              <w:rPr>
                <w:rFonts w:ascii="Times New Roman" w:hAnsi="Times New Roman"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12" w:hRule="atLeast"/>
        </w:trPr>
        <w:tc>
          <w:tcPr>
            <w:tcW w:w="4320" w:type="dxa"/>
            <w:vMerge w:val="continue"/>
            <w:tcBorders>
              <w:top w:val="nil"/>
              <w:left w:val="single" w:color="auto" w:sz="4" w:space="0"/>
              <w:bottom w:val="single" w:color="auto" w:sz="4" w:space="0"/>
              <w:right w:val="single" w:color="auto" w:sz="4" w:space="0"/>
            </w:tcBorders>
          </w:tcPr>
          <w:p>
            <w:pPr>
              <w:rPr>
                <w:rFonts w:ascii="Times New Roman" w:hAnsi="Times New Roman"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27" w:hRule="atLeast"/>
        </w:trPr>
        <w:tc>
          <w:tcPr>
            <w:tcW w:w="4320" w:type="dxa"/>
            <w:vMerge w:val="restart"/>
            <w:tcBorders>
              <w:top w:val="nil"/>
              <w:left w:val="single" w:color="auto" w:sz="4" w:space="0"/>
              <w:bottom w:val="single" w:color="auto" w:sz="4" w:space="0"/>
              <w:right w:val="single" w:color="auto" w:sz="4" w:space="0"/>
            </w:tcBorders>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采购代理机构代表：</w:t>
            </w:r>
          </w:p>
          <w:p>
            <w:pPr>
              <w:snapToGrid w:val="0"/>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12" w:hRule="atLeast"/>
        </w:trPr>
        <w:tc>
          <w:tcPr>
            <w:tcW w:w="4320" w:type="dxa"/>
            <w:vMerge w:val="continue"/>
            <w:tcBorders>
              <w:top w:val="nil"/>
              <w:left w:val="single" w:color="auto" w:sz="4" w:space="0"/>
              <w:bottom w:val="single" w:color="auto" w:sz="4" w:space="0"/>
              <w:right w:val="single" w:color="auto" w:sz="4" w:space="0"/>
            </w:tcBorders>
          </w:tcPr>
          <w:p>
            <w:pPr>
              <w:rPr>
                <w:rFonts w:ascii="Times New Roman" w:hAnsi="Times New Roman"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12" w:hRule="atLeast"/>
        </w:trPr>
        <w:tc>
          <w:tcPr>
            <w:tcW w:w="4320" w:type="dxa"/>
            <w:vMerge w:val="continue"/>
            <w:tcBorders>
              <w:top w:val="nil"/>
              <w:left w:val="single" w:color="auto" w:sz="4" w:space="0"/>
              <w:bottom w:val="single" w:color="auto" w:sz="4" w:space="0"/>
              <w:right w:val="single" w:color="auto" w:sz="4" w:space="0"/>
            </w:tcBorders>
          </w:tcPr>
          <w:p>
            <w:pPr>
              <w:rPr>
                <w:rFonts w:ascii="Times New Roman" w:hAnsi="Times New Roman"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27" w:hRule="atLeast"/>
        </w:trPr>
        <w:tc>
          <w:tcPr>
            <w:tcW w:w="4320" w:type="dxa"/>
            <w:tcBorders>
              <w:top w:val="nil"/>
              <w:left w:val="single" w:color="auto" w:sz="4" w:space="0"/>
              <w:bottom w:val="single" w:color="auto" w:sz="4" w:space="0"/>
              <w:right w:val="single" w:color="auto" w:sz="4" w:space="0"/>
            </w:tcBorders>
            <w:vAlign w:val="center"/>
          </w:tcPr>
          <w:p>
            <w:pPr>
              <w:snapToGrid w:val="0"/>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签约时间：    年   月   日</w:t>
            </w:r>
          </w:p>
        </w:tc>
      </w:tr>
    </w:tbl>
    <w:p>
      <w:pPr>
        <w:rPr>
          <w:color w:val="auto"/>
          <w:sz w:val="21"/>
          <w:szCs w:val="21"/>
          <w:highlight w:val="none"/>
        </w:rPr>
      </w:pPr>
      <w:r>
        <w:rPr>
          <w:rFonts w:hint="eastAsia"/>
          <w:color w:val="auto"/>
          <w:sz w:val="21"/>
          <w:szCs w:val="21"/>
          <w:highlight w:val="none"/>
        </w:rPr>
        <w:br w:type="page"/>
      </w:r>
    </w:p>
    <w:p>
      <w:pPr>
        <w:snapToGrid w:val="0"/>
        <w:spacing w:before="120" w:after="120" w:line="288" w:lineRule="auto"/>
        <w:jc w:val="center"/>
        <w:rPr>
          <w:rFonts w:cs="Times New Roman"/>
          <w:b/>
          <w:color w:val="auto"/>
          <w:spacing w:val="-6"/>
          <w:highlight w:val="none"/>
        </w:rPr>
      </w:pPr>
      <w:r>
        <w:rPr>
          <w:rFonts w:hint="eastAsia" w:cs="Times New Roman"/>
          <w:b/>
          <w:color w:val="auto"/>
          <w:spacing w:val="-6"/>
          <w:highlight w:val="none"/>
        </w:rPr>
        <w:t>杭州电子科技大学示波器、数据处理卡等项目进口</w:t>
      </w:r>
      <w:r>
        <w:rPr>
          <w:rFonts w:cs="Times New Roman"/>
          <w:b/>
          <w:color w:val="auto"/>
          <w:spacing w:val="-6"/>
          <w:highlight w:val="none"/>
        </w:rPr>
        <w:t>合同</w:t>
      </w:r>
    </w:p>
    <w:p>
      <w:pPr>
        <w:spacing w:line="288" w:lineRule="auto"/>
        <w:rPr>
          <w:rFonts w:ascii="Times New Roman" w:cs="Times New Roman"/>
          <w:b/>
          <w:color w:val="auto"/>
          <w:spacing w:val="-6"/>
          <w:sz w:val="32"/>
          <w:szCs w:val="32"/>
          <w:highlight w:val="none"/>
        </w:rPr>
      </w:pPr>
    </w:p>
    <w:p>
      <w:pPr>
        <w:spacing w:line="288" w:lineRule="auto"/>
        <w:rPr>
          <w:rFonts w:cs="Times New Roman"/>
          <w:color w:val="auto"/>
          <w:spacing w:val="-6"/>
          <w:sz w:val="21"/>
          <w:highlight w:val="none"/>
        </w:rPr>
      </w:pPr>
      <w:r>
        <w:rPr>
          <w:rFonts w:hint="eastAsia" w:cs="Times New Roman"/>
          <w:color w:val="auto"/>
          <w:spacing w:val="-6"/>
          <w:sz w:val="21"/>
          <w:highlight w:val="none"/>
        </w:rPr>
        <w:t>采购编号：QSZB-Z(H)-B21352(CS)</w:t>
      </w:r>
    </w:p>
    <w:p>
      <w:pPr>
        <w:spacing w:line="288" w:lineRule="auto"/>
        <w:rPr>
          <w:rFonts w:cs="Times New Roman"/>
          <w:color w:val="auto"/>
          <w:spacing w:val="-6"/>
          <w:sz w:val="21"/>
          <w:highlight w:val="none"/>
        </w:rPr>
      </w:pPr>
      <w:r>
        <w:rPr>
          <w:rFonts w:hint="eastAsia" w:cs="Times New Roman"/>
          <w:color w:val="auto"/>
          <w:spacing w:val="-6"/>
          <w:sz w:val="21"/>
          <w:highlight w:val="none"/>
        </w:rPr>
        <w:t>甲方（需方）：杭州电子科技大学</w:t>
      </w:r>
    </w:p>
    <w:p>
      <w:pPr>
        <w:spacing w:line="288" w:lineRule="auto"/>
        <w:rPr>
          <w:rFonts w:cs="Times New Roman"/>
          <w:color w:val="auto"/>
          <w:spacing w:val="-6"/>
          <w:sz w:val="21"/>
          <w:highlight w:val="none"/>
        </w:rPr>
      </w:pPr>
      <w:r>
        <w:rPr>
          <w:rFonts w:hint="eastAsia" w:cs="Times New Roman"/>
          <w:color w:val="auto"/>
          <w:spacing w:val="-6"/>
          <w:sz w:val="21"/>
          <w:highlight w:val="none"/>
        </w:rPr>
        <w:t>乙方（供方）：</w:t>
      </w:r>
    </w:p>
    <w:p>
      <w:pPr>
        <w:spacing w:line="288" w:lineRule="auto"/>
        <w:rPr>
          <w:rFonts w:cs="Times New Roman"/>
          <w:color w:val="auto"/>
          <w:spacing w:val="-6"/>
          <w:sz w:val="21"/>
          <w:highlight w:val="none"/>
        </w:rPr>
      </w:pPr>
      <w:r>
        <w:rPr>
          <w:rFonts w:hint="eastAsia" w:cs="Times New Roman"/>
          <w:color w:val="auto"/>
          <w:spacing w:val="-6"/>
          <w:sz w:val="21"/>
          <w:highlight w:val="none"/>
        </w:rPr>
        <w:t>丙方（进口代理机构）：</w:t>
      </w:r>
    </w:p>
    <w:p>
      <w:pPr>
        <w:spacing w:line="288" w:lineRule="auto"/>
        <w:rPr>
          <w:rFonts w:cs="Times New Roman"/>
          <w:color w:val="auto"/>
          <w:spacing w:val="-6"/>
          <w:sz w:val="21"/>
          <w:highlight w:val="none"/>
        </w:rPr>
      </w:pPr>
      <w:r>
        <w:rPr>
          <w:rFonts w:hint="eastAsia" w:cs="Times New Roman"/>
          <w:color w:val="auto"/>
          <w:spacing w:val="-6"/>
          <w:sz w:val="21"/>
          <w:highlight w:val="none"/>
        </w:rPr>
        <w:t>采购代理机构：浙江求是招标代理有限公司</w:t>
      </w:r>
    </w:p>
    <w:p>
      <w:pPr>
        <w:spacing w:line="288" w:lineRule="auto"/>
        <w:rPr>
          <w:rFonts w:cs="Times New Roman"/>
          <w:color w:val="auto"/>
          <w:spacing w:val="-6"/>
          <w:sz w:val="21"/>
          <w:highlight w:val="none"/>
        </w:rPr>
      </w:pPr>
      <w:r>
        <w:rPr>
          <w:rFonts w:hint="eastAsia" w:cs="Times New Roman"/>
          <w:color w:val="auto"/>
          <w:spacing w:val="-6"/>
          <w:sz w:val="21"/>
          <w:highlight w:val="none"/>
        </w:rPr>
        <w:t>签约时间、地点： 2021年  月   日，杭州</w:t>
      </w:r>
    </w:p>
    <w:p>
      <w:pPr>
        <w:spacing w:line="288" w:lineRule="auto"/>
        <w:rPr>
          <w:rFonts w:cs="Times New Roman"/>
          <w:b/>
          <w:color w:val="auto"/>
          <w:spacing w:val="-6"/>
          <w:sz w:val="21"/>
          <w:highlight w:val="none"/>
        </w:rPr>
      </w:pPr>
    </w:p>
    <w:p>
      <w:pPr>
        <w:spacing w:line="288" w:lineRule="auto"/>
        <w:ind w:left="-204" w:leftChars="-85" w:right="26" w:rightChars="11" w:firstLine="396" w:firstLineChars="200"/>
        <w:rPr>
          <w:rFonts w:cs="Times New Roman"/>
          <w:color w:val="auto"/>
          <w:spacing w:val="-6"/>
          <w:sz w:val="21"/>
          <w:highlight w:val="none"/>
        </w:rPr>
      </w:pPr>
      <w:r>
        <w:rPr>
          <w:rFonts w:hint="eastAsia" w:cs="Times New Roman"/>
          <w:color w:val="auto"/>
          <w:spacing w:val="-6"/>
          <w:sz w:val="21"/>
          <w:highlight w:val="none"/>
        </w:rPr>
        <w:t>甲、乙双方根据浙江求是招标代理有限公司关于杭州电子科技大学</w:t>
      </w:r>
      <w:r>
        <w:rPr>
          <w:rFonts w:hint="eastAsia" w:cs="Times New Roman"/>
          <w:color w:val="auto"/>
          <w:spacing w:val="-6"/>
          <w:sz w:val="21"/>
          <w:highlight w:val="none"/>
          <w:u w:val="single"/>
        </w:rPr>
        <w:t xml:space="preserve"> 示波器、数据处理卡等 </w:t>
      </w:r>
      <w:r>
        <w:rPr>
          <w:rFonts w:hint="eastAsia" w:cs="Times New Roman"/>
          <w:color w:val="auto"/>
          <w:spacing w:val="-6"/>
          <w:sz w:val="21"/>
          <w:highlight w:val="none"/>
        </w:rPr>
        <w:t>项目竞争性磋商采购的结果，由丙方代理进口本合同乙方提供的进口商品，经甲、乙、丙三方协商签署本合同。</w:t>
      </w:r>
    </w:p>
    <w:p>
      <w:pPr>
        <w:spacing w:line="288" w:lineRule="auto"/>
        <w:rPr>
          <w:rFonts w:cs="Times New Roman"/>
          <w:b/>
          <w:color w:val="auto"/>
          <w:spacing w:val="-6"/>
          <w:sz w:val="21"/>
          <w:highlight w:val="none"/>
        </w:rPr>
      </w:pPr>
      <w:r>
        <w:rPr>
          <w:rFonts w:hint="eastAsia" w:cs="Times New Roman"/>
          <w:b/>
          <w:color w:val="auto"/>
          <w:spacing w:val="-6"/>
          <w:sz w:val="21"/>
          <w:highlight w:val="none"/>
        </w:rPr>
        <w:t>第一条：采购商品清单及合同价格</w:t>
      </w:r>
    </w:p>
    <w:tbl>
      <w:tblPr>
        <w:tblStyle w:val="9"/>
        <w:tblW w:w="8611"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445"/>
        <w:gridCol w:w="2126"/>
        <w:gridCol w:w="720"/>
        <w:gridCol w:w="720"/>
        <w:gridCol w:w="1260"/>
        <w:gridCol w:w="16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95" w:hRule="atLeast"/>
        </w:trPr>
        <w:tc>
          <w:tcPr>
            <w:tcW w:w="720"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cs="Times New Roman"/>
                <w:color w:val="auto"/>
                <w:spacing w:val="-6"/>
                <w:sz w:val="21"/>
                <w:highlight w:val="none"/>
              </w:rPr>
            </w:pPr>
            <w:r>
              <w:rPr>
                <w:rFonts w:hint="eastAsia" w:cs="Times New Roman"/>
                <w:color w:val="auto"/>
                <w:spacing w:val="-6"/>
                <w:sz w:val="21"/>
                <w:highlight w:val="none"/>
              </w:rPr>
              <w:t>序号</w:t>
            </w:r>
          </w:p>
        </w:tc>
        <w:tc>
          <w:tcPr>
            <w:tcW w:w="144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cs="Times New Roman"/>
                <w:color w:val="auto"/>
                <w:spacing w:val="-6"/>
                <w:sz w:val="21"/>
                <w:highlight w:val="none"/>
              </w:rPr>
            </w:pPr>
            <w:r>
              <w:rPr>
                <w:rFonts w:hint="eastAsia" w:cs="Times New Roman"/>
                <w:color w:val="auto"/>
                <w:spacing w:val="-6"/>
                <w:sz w:val="21"/>
                <w:highlight w:val="none"/>
              </w:rPr>
              <w:t>货物名称</w:t>
            </w:r>
          </w:p>
        </w:tc>
        <w:tc>
          <w:tcPr>
            <w:tcW w:w="2126"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cs="Times New Roman"/>
                <w:color w:val="auto"/>
                <w:spacing w:val="-6"/>
                <w:sz w:val="21"/>
                <w:highlight w:val="none"/>
              </w:rPr>
            </w:pPr>
            <w:r>
              <w:rPr>
                <w:rFonts w:hint="eastAsia" w:cs="Times New Roman"/>
                <w:color w:val="auto"/>
                <w:spacing w:val="-6"/>
                <w:sz w:val="21"/>
                <w:highlight w:val="none"/>
              </w:rPr>
              <w:t>品牌、型号</w:t>
            </w:r>
          </w:p>
        </w:tc>
        <w:tc>
          <w:tcPr>
            <w:tcW w:w="720"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cs="Times New Roman"/>
                <w:color w:val="auto"/>
                <w:spacing w:val="-6"/>
                <w:sz w:val="21"/>
                <w:highlight w:val="none"/>
              </w:rPr>
            </w:pPr>
            <w:r>
              <w:rPr>
                <w:rFonts w:hint="eastAsia" w:cs="Times New Roman"/>
                <w:color w:val="auto"/>
                <w:spacing w:val="-6"/>
                <w:sz w:val="21"/>
                <w:highlight w:val="none"/>
              </w:rPr>
              <w:t>数量</w:t>
            </w:r>
          </w:p>
        </w:tc>
        <w:tc>
          <w:tcPr>
            <w:tcW w:w="720"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cs="Times New Roman"/>
                <w:color w:val="auto"/>
                <w:spacing w:val="-6"/>
                <w:sz w:val="21"/>
                <w:highlight w:val="none"/>
              </w:rPr>
            </w:pPr>
            <w:r>
              <w:rPr>
                <w:rFonts w:hint="eastAsia" w:cs="Times New Roman"/>
                <w:color w:val="auto"/>
                <w:spacing w:val="-6"/>
                <w:sz w:val="21"/>
                <w:highlight w:val="none"/>
              </w:rPr>
              <w:t>单位</w:t>
            </w:r>
          </w:p>
        </w:tc>
        <w:tc>
          <w:tcPr>
            <w:tcW w:w="1260"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cs="Times New Roman"/>
                <w:color w:val="auto"/>
                <w:spacing w:val="-6"/>
                <w:sz w:val="21"/>
                <w:highlight w:val="none"/>
              </w:rPr>
            </w:pPr>
            <w:r>
              <w:rPr>
                <w:rFonts w:hint="eastAsia" w:cs="Times New Roman"/>
                <w:color w:val="auto"/>
                <w:spacing w:val="-6"/>
                <w:sz w:val="21"/>
                <w:highlight w:val="none"/>
              </w:rPr>
              <w:t>单价</w:t>
            </w:r>
          </w:p>
        </w:tc>
        <w:tc>
          <w:tcPr>
            <w:tcW w:w="1620"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cs="Times New Roman"/>
                <w:color w:val="auto"/>
                <w:spacing w:val="-6"/>
                <w:sz w:val="21"/>
                <w:highlight w:val="none"/>
              </w:rPr>
            </w:pPr>
            <w:r>
              <w:rPr>
                <w:rFonts w:hint="eastAsia" w:cs="Times New Roman"/>
                <w:color w:val="auto"/>
                <w:spacing w:val="-6"/>
                <w:sz w:val="21"/>
                <w:highlight w:val="none"/>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27" w:hRule="atLeast"/>
        </w:trPr>
        <w:tc>
          <w:tcPr>
            <w:tcW w:w="720"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cs="Times New Roman"/>
                <w:color w:val="auto"/>
                <w:spacing w:val="-6"/>
                <w:sz w:val="21"/>
                <w:highlight w:val="none"/>
              </w:rPr>
            </w:pPr>
            <w:r>
              <w:rPr>
                <w:rFonts w:hint="eastAsia" w:cs="Times New Roman"/>
                <w:color w:val="auto"/>
                <w:spacing w:val="-6"/>
                <w:sz w:val="21"/>
                <w:highlight w:val="none"/>
              </w:rPr>
              <w:t>1</w:t>
            </w:r>
          </w:p>
        </w:tc>
        <w:tc>
          <w:tcPr>
            <w:tcW w:w="1445" w:type="dxa"/>
            <w:tcBorders>
              <w:top w:val="single" w:color="auto" w:sz="4" w:space="0"/>
              <w:left w:val="single" w:color="auto" w:sz="4" w:space="0"/>
              <w:bottom w:val="single" w:color="auto" w:sz="4" w:space="0"/>
              <w:right w:val="single" w:color="auto" w:sz="4" w:space="0"/>
            </w:tcBorders>
            <w:vAlign w:val="center"/>
          </w:tcPr>
          <w:p>
            <w:pPr>
              <w:spacing w:line="288" w:lineRule="auto"/>
              <w:ind w:left="204" w:leftChars="85"/>
              <w:jc w:val="center"/>
              <w:rPr>
                <w:rFonts w:cs="Times New Roman"/>
                <w:color w:val="auto"/>
                <w:spacing w:val="-6"/>
                <w:sz w:val="21"/>
                <w:highlight w:val="none"/>
              </w:rPr>
            </w:pPr>
          </w:p>
        </w:tc>
        <w:tc>
          <w:tcPr>
            <w:tcW w:w="2126" w:type="dxa"/>
            <w:tcBorders>
              <w:top w:val="single" w:color="auto" w:sz="4" w:space="0"/>
              <w:left w:val="single" w:color="auto" w:sz="4" w:space="0"/>
              <w:bottom w:val="single" w:color="auto" w:sz="4" w:space="0"/>
              <w:right w:val="single" w:color="auto" w:sz="4" w:space="0"/>
            </w:tcBorders>
          </w:tcPr>
          <w:p>
            <w:pPr>
              <w:spacing w:line="288" w:lineRule="auto"/>
              <w:jc w:val="center"/>
              <w:rPr>
                <w:rFonts w:cs="Times New Roman"/>
                <w:color w:val="auto"/>
                <w:spacing w:val="-6"/>
                <w:sz w:val="21"/>
                <w:highlight w:val="none"/>
              </w:rPr>
            </w:pPr>
            <w:r>
              <w:rPr>
                <w:rFonts w:hint="eastAsia" w:cs="Times New Roman"/>
                <w:color w:val="auto"/>
                <w:spacing w:val="-6"/>
                <w:sz w:val="21"/>
                <w:highlight w:val="none"/>
              </w:rPr>
              <w:t>（详细技术指标见配置清单）</w:t>
            </w:r>
          </w:p>
        </w:tc>
        <w:tc>
          <w:tcPr>
            <w:tcW w:w="720"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cs="Times New Roman"/>
                <w:color w:val="auto"/>
                <w:spacing w:val="-6"/>
                <w:sz w:val="21"/>
                <w:highlight w:val="none"/>
              </w:rPr>
            </w:pPr>
          </w:p>
        </w:tc>
        <w:tc>
          <w:tcPr>
            <w:tcW w:w="720"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cs="Times New Roman"/>
                <w:color w:val="auto"/>
                <w:spacing w:val="-6"/>
                <w:sz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cs="Times New Roman"/>
                <w:color w:val="auto"/>
                <w:spacing w:val="-6"/>
                <w:sz w:val="21"/>
                <w:highlight w:val="none"/>
              </w:rPr>
            </w:pPr>
          </w:p>
        </w:tc>
        <w:tc>
          <w:tcPr>
            <w:tcW w:w="1620" w:type="dxa"/>
            <w:tcBorders>
              <w:top w:val="single" w:color="auto" w:sz="4" w:space="0"/>
              <w:left w:val="single" w:color="auto" w:sz="4" w:space="0"/>
              <w:bottom w:val="single" w:color="auto" w:sz="4" w:space="0"/>
              <w:right w:val="single" w:color="auto" w:sz="4" w:space="0"/>
            </w:tcBorders>
            <w:vAlign w:val="center"/>
          </w:tcPr>
          <w:p>
            <w:pPr>
              <w:spacing w:line="288" w:lineRule="auto"/>
              <w:rPr>
                <w:rFonts w:cs="Times New Roman"/>
                <w:color w:val="auto"/>
                <w:spacing w:val="-6"/>
                <w:sz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95" w:hRule="atLeast"/>
        </w:trPr>
        <w:tc>
          <w:tcPr>
            <w:tcW w:w="8611" w:type="dxa"/>
            <w:gridSpan w:val="7"/>
            <w:tcBorders>
              <w:top w:val="single" w:color="auto" w:sz="4" w:space="0"/>
              <w:left w:val="single" w:color="auto" w:sz="4" w:space="0"/>
              <w:bottom w:val="single" w:color="auto" w:sz="4" w:space="0"/>
              <w:right w:val="single" w:color="auto" w:sz="4" w:space="0"/>
            </w:tcBorders>
            <w:vAlign w:val="center"/>
          </w:tcPr>
          <w:p>
            <w:pPr>
              <w:spacing w:line="288" w:lineRule="auto"/>
              <w:jc w:val="left"/>
              <w:rPr>
                <w:rFonts w:cs="Times New Roman"/>
                <w:color w:val="auto"/>
                <w:spacing w:val="-6"/>
                <w:sz w:val="21"/>
                <w:highlight w:val="none"/>
              </w:rPr>
            </w:pPr>
            <w:r>
              <w:rPr>
                <w:rFonts w:hint="eastAsia" w:cs="Times New Roman"/>
                <w:color w:val="auto"/>
                <w:spacing w:val="-6"/>
                <w:sz w:val="21"/>
                <w:highlight w:val="none"/>
              </w:rPr>
              <w:t>合同总价（人民币）：</w:t>
            </w:r>
          </w:p>
        </w:tc>
      </w:tr>
    </w:tbl>
    <w:p>
      <w:pPr>
        <w:spacing w:line="288" w:lineRule="auto"/>
        <w:rPr>
          <w:rFonts w:cs="Times New Roman"/>
          <w:color w:val="auto"/>
          <w:spacing w:val="-6"/>
          <w:sz w:val="21"/>
          <w:szCs w:val="20"/>
          <w:highlight w:val="none"/>
        </w:rPr>
      </w:pPr>
      <w:r>
        <w:rPr>
          <w:rFonts w:hint="eastAsia" w:cs="Times New Roman"/>
          <w:color w:val="auto"/>
          <w:spacing w:val="-6"/>
          <w:sz w:val="21"/>
          <w:highlight w:val="none"/>
        </w:rPr>
        <w:t>注：1、以上合同总价包括将货物运抵甲方指定地点的运费及安装调试、培训等一切费用。</w:t>
      </w:r>
    </w:p>
    <w:p>
      <w:pPr>
        <w:spacing w:line="288" w:lineRule="auto"/>
        <w:rPr>
          <w:rFonts w:cs="Times New Roman"/>
          <w:b/>
          <w:color w:val="auto"/>
          <w:spacing w:val="-6"/>
          <w:sz w:val="21"/>
          <w:highlight w:val="none"/>
        </w:rPr>
      </w:pPr>
      <w:r>
        <w:rPr>
          <w:rFonts w:hint="eastAsia" w:cs="Times New Roman"/>
          <w:b/>
          <w:color w:val="auto"/>
          <w:spacing w:val="-6"/>
          <w:sz w:val="21"/>
          <w:highlight w:val="none"/>
        </w:rPr>
        <w:t>第二条：质量保证及售后服务</w:t>
      </w:r>
    </w:p>
    <w:p>
      <w:p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1. 乙方应按公开招标文件规定的货物性能、技术要求、质量标准向甲方提供未经使用的全新产品，符合国家法律规定和技术规格、质量标准的出厂原装合格产品；进口商品是获得国家商检局颁布安全许可证的出厂原装合格产品。</w:t>
      </w:r>
    </w:p>
    <w:p>
      <w:p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2. 乙方提供的货物在质保期内因货物本身的质量问题发生故障，乙方应负责免费更换。对达不到技术要求者，根据实际情况，经双方协商，可按以下办法处理：</w:t>
      </w:r>
    </w:p>
    <w:p>
      <w:p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⑴更换：由乙方承担所发生的全部费用。</w:t>
      </w:r>
    </w:p>
    <w:p>
      <w:p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⑵贬值处理：由甲乙双方合议定价。</w:t>
      </w:r>
    </w:p>
    <w:p>
      <w:p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⑶退货处理：乙方应退还甲方支付的合同款，同时应承担该货物的直接费用（运输、保险、检验、货款利息及银行手续费等）。</w:t>
      </w:r>
    </w:p>
    <w:p>
      <w:p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3. 如在使用过程中发生质量问题，乙方在接到甲方通知后在</w:t>
      </w:r>
      <w:r>
        <w:rPr>
          <w:rFonts w:hint="eastAsia" w:cs="Times New Roman"/>
          <w:color w:val="auto"/>
          <w:spacing w:val="-6"/>
          <w:sz w:val="21"/>
          <w:highlight w:val="none"/>
          <w:u w:val="single"/>
        </w:rPr>
        <w:t xml:space="preserve">    </w:t>
      </w:r>
      <w:r>
        <w:rPr>
          <w:rFonts w:hint="eastAsia" w:cs="Times New Roman"/>
          <w:color w:val="auto"/>
          <w:spacing w:val="-6"/>
          <w:sz w:val="21"/>
          <w:highlight w:val="none"/>
        </w:rPr>
        <w:t>小时内到达甲方现场。</w:t>
      </w:r>
    </w:p>
    <w:p>
      <w:p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4. 在质保期内，乙方应对货物出现的质量及安全问题负责处理解决并承担一切费用。</w:t>
      </w:r>
    </w:p>
    <w:p>
      <w:p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5. 上述的货物免费保修期为</w:t>
      </w:r>
      <w:r>
        <w:rPr>
          <w:rFonts w:hint="eastAsia" w:ascii="Times New Roman" w:hAnsi="Times New Roman"/>
          <w:color w:val="auto"/>
          <w:spacing w:val="-6"/>
          <w:sz w:val="21"/>
          <w:szCs w:val="21"/>
          <w:highlight w:val="none"/>
          <w:lang w:bidi="ar"/>
        </w:rPr>
        <w:t>主机</w:t>
      </w:r>
      <w:r>
        <w:rPr>
          <w:rFonts w:hint="eastAsia" w:ascii="Times New Roman" w:hAnsi="Times New Roman" w:cs="Times New Roman"/>
          <w:color w:val="auto"/>
          <w:spacing w:val="-6"/>
          <w:sz w:val="21"/>
          <w:szCs w:val="21"/>
          <w:highlight w:val="none"/>
          <w:u w:val="single"/>
          <w:lang w:bidi="ar"/>
        </w:rPr>
        <w:t xml:space="preserve">   </w:t>
      </w:r>
      <w:r>
        <w:rPr>
          <w:rFonts w:hint="eastAsia" w:ascii="Times New Roman" w:hAnsi="Times New Roman"/>
          <w:color w:val="auto"/>
          <w:spacing w:val="-6"/>
          <w:sz w:val="21"/>
          <w:szCs w:val="21"/>
          <w:highlight w:val="none"/>
          <w:lang w:bidi="ar"/>
        </w:rPr>
        <w:t>年（配件</w:t>
      </w:r>
      <w:r>
        <w:rPr>
          <w:rFonts w:hint="eastAsia" w:ascii="Times New Roman" w:hAnsi="Times New Roman" w:cs="Times New Roman"/>
          <w:color w:val="auto"/>
          <w:spacing w:val="-6"/>
          <w:sz w:val="21"/>
          <w:szCs w:val="21"/>
          <w:highlight w:val="none"/>
          <w:u w:val="single"/>
          <w:lang w:bidi="ar"/>
        </w:rPr>
        <w:t xml:space="preserve">   </w:t>
      </w:r>
      <w:r>
        <w:rPr>
          <w:rFonts w:hint="eastAsia" w:ascii="Times New Roman" w:hAnsi="Times New Roman"/>
          <w:color w:val="auto"/>
          <w:spacing w:val="-6"/>
          <w:sz w:val="21"/>
          <w:szCs w:val="21"/>
          <w:highlight w:val="none"/>
          <w:lang w:bidi="ar"/>
        </w:rPr>
        <w:t>年）</w:t>
      </w:r>
      <w:r>
        <w:rPr>
          <w:rFonts w:hint="eastAsia" w:cs="Times New Roman"/>
          <w:color w:val="auto"/>
          <w:spacing w:val="-6"/>
          <w:sz w:val="21"/>
          <w:highlight w:val="none"/>
        </w:rPr>
        <w:t>，因人为因素出现的故障不在免费保修范围内。超过保修期的机器设备，终生维修，维修时只收部件成本费。</w:t>
      </w:r>
    </w:p>
    <w:p>
      <w:pPr>
        <w:spacing w:before="156" w:after="156" w:line="288" w:lineRule="auto"/>
        <w:rPr>
          <w:rFonts w:cs="Times New Roman"/>
          <w:b/>
          <w:color w:val="auto"/>
          <w:spacing w:val="-6"/>
          <w:sz w:val="21"/>
          <w:highlight w:val="none"/>
        </w:rPr>
      </w:pPr>
      <w:r>
        <w:rPr>
          <w:rFonts w:cs="Times New Roman"/>
          <w:b/>
          <w:color w:val="auto"/>
          <w:spacing w:val="-6"/>
          <w:sz w:val="21"/>
          <w:highlight w:val="none"/>
        </w:rPr>
        <w:t>第三条</w:t>
      </w:r>
      <w:r>
        <w:rPr>
          <w:rFonts w:hint="eastAsia" w:cs="Times New Roman"/>
          <w:b/>
          <w:color w:val="auto"/>
          <w:spacing w:val="-6"/>
          <w:sz w:val="21"/>
          <w:highlight w:val="none"/>
        </w:rPr>
        <w:t>：</w:t>
      </w:r>
      <w:r>
        <w:rPr>
          <w:rFonts w:cs="Times New Roman"/>
          <w:b/>
          <w:color w:val="auto"/>
          <w:spacing w:val="-6"/>
          <w:sz w:val="21"/>
          <w:highlight w:val="none"/>
        </w:rPr>
        <w:t>技术资料</w:t>
      </w:r>
    </w:p>
    <w:p>
      <w:p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1. 乙方应按公开招标文件规定的时间向甲方提供使用货物的有关技术资料。</w:t>
      </w:r>
    </w:p>
    <w:p>
      <w:p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pPr>
        <w:spacing w:before="156" w:after="156" w:line="288" w:lineRule="auto"/>
        <w:ind w:left="340" w:hanging="340" w:hangingChars="171"/>
        <w:rPr>
          <w:rFonts w:cs="Times New Roman"/>
          <w:b/>
          <w:color w:val="auto"/>
          <w:spacing w:val="-6"/>
          <w:sz w:val="21"/>
          <w:highlight w:val="none"/>
        </w:rPr>
      </w:pPr>
      <w:r>
        <w:rPr>
          <w:rFonts w:cs="Times New Roman"/>
          <w:b/>
          <w:color w:val="auto"/>
          <w:spacing w:val="-6"/>
          <w:sz w:val="21"/>
          <w:highlight w:val="none"/>
        </w:rPr>
        <w:t>第四条</w:t>
      </w:r>
      <w:r>
        <w:rPr>
          <w:rFonts w:hint="eastAsia" w:cs="Times New Roman"/>
          <w:b/>
          <w:color w:val="auto"/>
          <w:spacing w:val="-6"/>
          <w:sz w:val="21"/>
          <w:highlight w:val="none"/>
        </w:rPr>
        <w:t>：</w:t>
      </w:r>
      <w:r>
        <w:rPr>
          <w:rFonts w:cs="Times New Roman"/>
          <w:b/>
          <w:color w:val="auto"/>
          <w:spacing w:val="-6"/>
          <w:sz w:val="21"/>
          <w:highlight w:val="none"/>
        </w:rPr>
        <w:t>知识产权</w:t>
      </w:r>
    </w:p>
    <w:p>
      <w:p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乙方应保证所提供的货物或其任何一部分均不会侵犯任何第三方的知识产权，由此产生的知识产权纠纷由乙方承担。</w:t>
      </w:r>
    </w:p>
    <w:p>
      <w:pPr>
        <w:spacing w:before="156" w:after="156" w:line="288" w:lineRule="auto"/>
        <w:ind w:left="412" w:hanging="412" w:hangingChars="171"/>
        <w:rPr>
          <w:rFonts w:hAnsi="Courier New" w:cs="Times New Roman"/>
          <w:b/>
          <w:color w:val="auto"/>
          <w:highlight w:val="none"/>
        </w:rPr>
      </w:pPr>
      <w:r>
        <w:rPr>
          <w:rFonts w:hAnsi="Courier New" w:cs="Times New Roman"/>
          <w:b/>
          <w:color w:val="auto"/>
          <w:highlight w:val="none"/>
        </w:rPr>
        <w:t>第五条：交货时间、地点</w:t>
      </w:r>
    </w:p>
    <w:p>
      <w:p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乙方应于2021年</w:t>
      </w:r>
      <w:r>
        <w:rPr>
          <w:rFonts w:cs="Times New Roman"/>
          <w:color w:val="auto"/>
          <w:spacing w:val="-6"/>
          <w:sz w:val="21"/>
          <w:highlight w:val="none"/>
        </w:rPr>
        <w:t xml:space="preserve">  </w:t>
      </w:r>
      <w:r>
        <w:rPr>
          <w:rFonts w:hint="eastAsia" w:cs="Times New Roman"/>
          <w:color w:val="auto"/>
          <w:spacing w:val="-6"/>
          <w:sz w:val="21"/>
          <w:highlight w:val="none"/>
        </w:rPr>
        <w:t>月</w:t>
      </w:r>
      <w:r>
        <w:rPr>
          <w:rFonts w:cs="Times New Roman"/>
          <w:color w:val="auto"/>
          <w:spacing w:val="-6"/>
          <w:sz w:val="21"/>
          <w:highlight w:val="none"/>
        </w:rPr>
        <w:t xml:space="preserve">   </w:t>
      </w:r>
      <w:r>
        <w:rPr>
          <w:rFonts w:hint="eastAsia" w:cs="Times New Roman"/>
          <w:color w:val="auto"/>
          <w:spacing w:val="-6"/>
          <w:sz w:val="21"/>
          <w:highlight w:val="none"/>
        </w:rPr>
        <w:t>日前将所供商品按时、安全运至甲方指定地点，并于一周内安装调</w:t>
      </w:r>
      <w:r>
        <w:rPr>
          <w:rFonts w:hint="eastAsia" w:ascii="Times New Roman" w:cs="Times New Roman"/>
          <w:color w:val="auto"/>
          <w:spacing w:val="-6"/>
          <w:sz w:val="21"/>
          <w:highlight w:val="none"/>
        </w:rPr>
        <w:t>试完毕。</w:t>
      </w:r>
    </w:p>
    <w:p>
      <w:pPr>
        <w:spacing w:line="288" w:lineRule="auto"/>
        <w:rPr>
          <w:rFonts w:cs="Times New Roman"/>
          <w:b/>
          <w:color w:val="auto"/>
          <w:spacing w:val="-6"/>
          <w:sz w:val="21"/>
          <w:highlight w:val="none"/>
        </w:rPr>
      </w:pPr>
      <w:r>
        <w:rPr>
          <w:rFonts w:hint="eastAsia" w:cs="Times New Roman"/>
          <w:b/>
          <w:color w:val="auto"/>
          <w:spacing w:val="-6"/>
          <w:sz w:val="21"/>
          <w:highlight w:val="none"/>
        </w:rPr>
        <w:t>第六条：售后服务</w:t>
      </w:r>
    </w:p>
    <w:p>
      <w:pPr>
        <w:spacing w:line="288" w:lineRule="auto"/>
        <w:ind w:right="26" w:rightChars="11" w:firstLine="420"/>
        <w:rPr>
          <w:rFonts w:cs="Times New Roman"/>
          <w:color w:val="auto"/>
          <w:spacing w:val="-6"/>
          <w:sz w:val="21"/>
          <w:szCs w:val="20"/>
          <w:highlight w:val="none"/>
        </w:rPr>
      </w:pPr>
      <w:r>
        <w:rPr>
          <w:rFonts w:cs="Times New Roman"/>
          <w:color w:val="auto"/>
          <w:spacing w:val="-6"/>
          <w:sz w:val="21"/>
          <w:szCs w:val="20"/>
          <w:highlight w:val="none"/>
        </w:rPr>
        <w:t>设备自验收合格后起保修</w:t>
      </w:r>
      <w:r>
        <w:rPr>
          <w:rFonts w:hint="eastAsia" w:hAnsi="Courier New"/>
          <w:color w:val="auto"/>
          <w:spacing w:val="-6"/>
          <w:sz w:val="21"/>
          <w:szCs w:val="21"/>
          <w:highlight w:val="none"/>
          <w:lang w:bidi="ar"/>
        </w:rPr>
        <w:t>主机</w:t>
      </w:r>
      <w:r>
        <w:rPr>
          <w:rFonts w:hint="eastAsia" w:hAnsi="Courier New" w:cs="Times New Roman"/>
          <w:color w:val="auto"/>
          <w:spacing w:val="-6"/>
          <w:sz w:val="21"/>
          <w:szCs w:val="21"/>
          <w:highlight w:val="none"/>
          <w:u w:val="single"/>
          <w:lang w:bidi="ar"/>
        </w:rPr>
        <w:t xml:space="preserve">   </w:t>
      </w:r>
      <w:r>
        <w:rPr>
          <w:rFonts w:hint="eastAsia" w:hAnsi="Courier New"/>
          <w:color w:val="auto"/>
          <w:spacing w:val="-6"/>
          <w:sz w:val="21"/>
          <w:szCs w:val="21"/>
          <w:highlight w:val="none"/>
          <w:lang w:bidi="ar"/>
        </w:rPr>
        <w:t>年（配件</w:t>
      </w:r>
      <w:r>
        <w:rPr>
          <w:rFonts w:hint="eastAsia" w:hAnsi="Courier New" w:cs="Times New Roman"/>
          <w:color w:val="auto"/>
          <w:spacing w:val="-6"/>
          <w:sz w:val="21"/>
          <w:szCs w:val="21"/>
          <w:highlight w:val="none"/>
          <w:u w:val="single"/>
          <w:lang w:bidi="ar"/>
        </w:rPr>
        <w:t xml:space="preserve">   </w:t>
      </w:r>
      <w:r>
        <w:rPr>
          <w:rFonts w:hint="eastAsia" w:hAnsi="Courier New"/>
          <w:color w:val="auto"/>
          <w:spacing w:val="-6"/>
          <w:sz w:val="21"/>
          <w:szCs w:val="21"/>
          <w:highlight w:val="none"/>
          <w:lang w:bidi="ar"/>
        </w:rPr>
        <w:t>年）</w:t>
      </w:r>
      <w:r>
        <w:rPr>
          <w:rFonts w:cs="Times New Roman"/>
          <w:color w:val="auto"/>
          <w:spacing w:val="-6"/>
          <w:sz w:val="21"/>
          <w:szCs w:val="20"/>
          <w:highlight w:val="none"/>
        </w:rPr>
        <w:t>。维修响应时间：</w:t>
      </w:r>
      <w:r>
        <w:rPr>
          <w:rFonts w:cs="Times New Roman"/>
          <w:color w:val="auto"/>
          <w:spacing w:val="-6"/>
          <w:sz w:val="21"/>
          <w:szCs w:val="20"/>
          <w:highlight w:val="none"/>
          <w:u w:val="single"/>
        </w:rPr>
        <w:t xml:space="preserve">    </w:t>
      </w:r>
      <w:r>
        <w:rPr>
          <w:rFonts w:cs="Times New Roman"/>
          <w:color w:val="auto"/>
          <w:spacing w:val="-6"/>
          <w:sz w:val="21"/>
          <w:szCs w:val="20"/>
          <w:highlight w:val="none"/>
        </w:rPr>
        <w:t>小时以内，电话技术支持；若需上门维修，则</w:t>
      </w:r>
      <w:r>
        <w:rPr>
          <w:rFonts w:cs="Times New Roman"/>
          <w:color w:val="auto"/>
          <w:spacing w:val="-6"/>
          <w:sz w:val="21"/>
          <w:szCs w:val="20"/>
          <w:highlight w:val="none"/>
          <w:u w:val="single"/>
        </w:rPr>
        <w:t xml:space="preserve">   </w:t>
      </w:r>
      <w:r>
        <w:rPr>
          <w:rFonts w:cs="Times New Roman"/>
          <w:color w:val="auto"/>
          <w:spacing w:val="-6"/>
          <w:sz w:val="21"/>
          <w:szCs w:val="20"/>
          <w:highlight w:val="none"/>
        </w:rPr>
        <w:t>小时内到达现场并进行维修；保修期后，乙方继续为甲方服务，仅收取零配件成本费。保修内出现无法排除的故障，乙方需无条件为甲方更换同型号产品。</w:t>
      </w:r>
    </w:p>
    <w:p>
      <w:pPr>
        <w:spacing w:line="288" w:lineRule="auto"/>
        <w:rPr>
          <w:rFonts w:cs="Times New Roman"/>
          <w:b/>
          <w:color w:val="auto"/>
          <w:spacing w:val="-6"/>
          <w:sz w:val="21"/>
          <w:highlight w:val="none"/>
        </w:rPr>
      </w:pPr>
      <w:r>
        <w:rPr>
          <w:rFonts w:hint="eastAsia" w:cs="Times New Roman"/>
          <w:b/>
          <w:color w:val="auto"/>
          <w:spacing w:val="-6"/>
          <w:sz w:val="21"/>
          <w:highlight w:val="none"/>
        </w:rPr>
        <w:t>第七条：调试与验收</w:t>
      </w:r>
    </w:p>
    <w:p>
      <w:p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1. 甲方对乙方提交的货物依据公开招标文件上的技术规格要求和国家有关质量标准进行现场到货验收，外观、说明书符合公开招标文件技术要求的，给予签收，到货验收不合格的不予签收。</w:t>
      </w:r>
    </w:p>
    <w:p>
      <w:p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2. 乙方交货前应对产品作出全面检查和对验收文件进行整理，并列出清单，作为甲方收货验收和使用的技术条件依据，检验的结果应随货物交甲方。</w:t>
      </w:r>
    </w:p>
    <w:p>
      <w:p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3. 甲方对乙方提供的货物在使用前进行调试时，乙方需负责安装并培训甲方的使用操作人员，并协助甲方一起调试，直到符合技术要求，甲方才做交付验收。</w:t>
      </w:r>
    </w:p>
    <w:p>
      <w:p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4. 对技术复杂的货物，甲方应请国家认可的专业检测机构参与到货验收及交付验收，并由其出具质量检测报告。</w:t>
      </w:r>
    </w:p>
    <w:p>
      <w:p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5. 验收时乙方必须在现场，验收完毕后作出验收结果报告；验收费用由乙方负责。</w:t>
      </w:r>
    </w:p>
    <w:p>
      <w:pPr>
        <w:spacing w:line="288" w:lineRule="auto"/>
        <w:ind w:right="26" w:rightChars="11" w:firstLine="396" w:firstLineChars="200"/>
        <w:rPr>
          <w:rFonts w:cs="Times New Roman"/>
          <w:color w:val="auto"/>
          <w:spacing w:val="-6"/>
          <w:sz w:val="21"/>
          <w:highlight w:val="none"/>
        </w:rPr>
      </w:pPr>
      <w:r>
        <w:rPr>
          <w:rFonts w:hint="eastAsia" w:cs="Times New Roman"/>
          <w:color w:val="auto"/>
          <w:spacing w:val="-6"/>
          <w:sz w:val="21"/>
          <w:highlight w:val="none"/>
        </w:rPr>
        <w:t>6. 如发现有重大的质量问题，甲乙双方均同意提请国家法定检测机构鉴定，如检测结果证明产品无质量问题，由甲方承担检测费用；如检测结果证明产品有质量问题，由乙方承担检测费用，同时乙方同意甲方无条件退货并支付给甲方货款总价10％的赔偿金。</w:t>
      </w:r>
    </w:p>
    <w:p>
      <w:pPr>
        <w:spacing w:line="288" w:lineRule="auto"/>
        <w:rPr>
          <w:rFonts w:cs="Times New Roman"/>
          <w:b/>
          <w:color w:val="auto"/>
          <w:spacing w:val="-6"/>
          <w:sz w:val="21"/>
          <w:highlight w:val="none"/>
        </w:rPr>
      </w:pPr>
      <w:r>
        <w:rPr>
          <w:rFonts w:hint="eastAsia" w:cs="Times New Roman"/>
          <w:b/>
          <w:color w:val="auto"/>
          <w:spacing w:val="-6"/>
          <w:sz w:val="21"/>
          <w:highlight w:val="none"/>
        </w:rPr>
        <w:t>第八条：货款的支付</w:t>
      </w:r>
    </w:p>
    <w:p>
      <w:pPr>
        <w:widowControl/>
        <w:numPr>
          <w:ilvl w:val="0"/>
          <w:numId w:val="4"/>
        </w:numPr>
        <w:autoSpaceDE w:val="0"/>
        <w:ind w:firstLine="420"/>
        <w:textAlignment w:val="bottom"/>
        <w:rPr>
          <w:color w:val="auto"/>
          <w:sz w:val="21"/>
          <w:szCs w:val="21"/>
          <w:highlight w:val="none"/>
        </w:rPr>
      </w:pPr>
      <w:r>
        <w:rPr>
          <w:rFonts w:hint="eastAsia"/>
          <w:color w:val="auto"/>
          <w:sz w:val="21"/>
          <w:szCs w:val="21"/>
          <w:highlight w:val="none"/>
        </w:rPr>
        <w:t>履约保证金：</w:t>
      </w:r>
    </w:p>
    <w:p>
      <w:pPr>
        <w:widowControl/>
        <w:autoSpaceDE w:val="0"/>
        <w:ind w:firstLine="420" w:firstLineChars="200"/>
        <w:textAlignment w:val="bottom"/>
        <w:rPr>
          <w:color w:val="auto"/>
          <w:sz w:val="21"/>
          <w:szCs w:val="21"/>
          <w:highlight w:val="none"/>
        </w:rPr>
      </w:pPr>
      <w:r>
        <w:rPr>
          <w:rFonts w:hint="eastAsia"/>
          <w:color w:val="auto"/>
          <w:sz w:val="21"/>
          <w:szCs w:val="21"/>
          <w:highlight w:val="none"/>
        </w:rPr>
        <w:t>合同签订后，乙方向甲方缴纳5%的履约保证金，交付方式:汇票/支票/电汇/转账等 。交付完毕后到杭州电子科技大学计划财务处大厅开收据，在质保期内无质量问题和维护问题，质保期满后无息退还凭该收据原件退还。</w:t>
      </w:r>
    </w:p>
    <w:p>
      <w:pPr>
        <w:ind w:firstLine="420"/>
        <w:rPr>
          <w:color w:val="auto"/>
          <w:sz w:val="21"/>
          <w:szCs w:val="21"/>
          <w:highlight w:val="none"/>
        </w:rPr>
      </w:pPr>
      <w:r>
        <w:rPr>
          <w:rFonts w:hint="eastAsia"/>
          <w:color w:val="auto"/>
          <w:sz w:val="21"/>
          <w:szCs w:val="21"/>
          <w:highlight w:val="none"/>
        </w:rPr>
        <w:t>收款单位（户名）:杭州电子科技大学</w:t>
      </w:r>
    </w:p>
    <w:p>
      <w:pPr>
        <w:ind w:firstLine="420"/>
        <w:rPr>
          <w:color w:val="auto"/>
          <w:sz w:val="21"/>
          <w:szCs w:val="21"/>
          <w:highlight w:val="none"/>
        </w:rPr>
      </w:pPr>
      <w:r>
        <w:rPr>
          <w:rFonts w:hint="eastAsia"/>
          <w:color w:val="auto"/>
          <w:sz w:val="21"/>
          <w:szCs w:val="21"/>
          <w:highlight w:val="none"/>
        </w:rPr>
        <w:t>开户银行：工行高新支行</w:t>
      </w:r>
    </w:p>
    <w:p>
      <w:pPr>
        <w:spacing w:line="288" w:lineRule="auto"/>
        <w:ind w:firstLine="420"/>
        <w:rPr>
          <w:color w:val="auto"/>
          <w:sz w:val="21"/>
          <w:szCs w:val="21"/>
          <w:highlight w:val="none"/>
        </w:rPr>
      </w:pPr>
      <w:r>
        <w:rPr>
          <w:rFonts w:hint="eastAsia"/>
          <w:color w:val="auto"/>
          <w:sz w:val="21"/>
          <w:szCs w:val="21"/>
          <w:highlight w:val="none"/>
        </w:rPr>
        <w:t>银行账号：1202026209008806216</w:t>
      </w:r>
    </w:p>
    <w:p>
      <w:pPr>
        <w:spacing w:line="288" w:lineRule="auto"/>
        <w:ind w:firstLine="420"/>
        <w:rPr>
          <w:color w:val="auto"/>
          <w:sz w:val="21"/>
          <w:szCs w:val="21"/>
          <w:highlight w:val="none"/>
        </w:rPr>
      </w:pPr>
      <w:r>
        <w:rPr>
          <w:rFonts w:hint="eastAsia"/>
          <w:color w:val="auto"/>
          <w:sz w:val="21"/>
          <w:szCs w:val="21"/>
          <w:highlight w:val="none"/>
        </w:rPr>
        <w:t>发票开票信息</w:t>
      </w:r>
    </w:p>
    <w:p>
      <w:pPr>
        <w:spacing w:line="288" w:lineRule="auto"/>
        <w:ind w:firstLine="420"/>
        <w:rPr>
          <w:color w:val="auto"/>
          <w:sz w:val="21"/>
          <w:szCs w:val="21"/>
          <w:highlight w:val="none"/>
        </w:rPr>
      </w:pPr>
      <w:r>
        <w:rPr>
          <w:rFonts w:hint="eastAsia"/>
          <w:color w:val="auto"/>
          <w:sz w:val="21"/>
          <w:szCs w:val="21"/>
          <w:highlight w:val="none"/>
        </w:rPr>
        <w:t>抬头：杭州电子科技大学</w:t>
      </w:r>
    </w:p>
    <w:p>
      <w:pPr>
        <w:spacing w:line="288" w:lineRule="auto"/>
        <w:ind w:firstLine="420"/>
        <w:rPr>
          <w:color w:val="auto"/>
          <w:sz w:val="21"/>
          <w:szCs w:val="21"/>
          <w:highlight w:val="none"/>
        </w:rPr>
      </w:pPr>
      <w:r>
        <w:rPr>
          <w:rFonts w:hint="eastAsia"/>
          <w:color w:val="auto"/>
          <w:sz w:val="21"/>
          <w:szCs w:val="21"/>
          <w:highlight w:val="none"/>
        </w:rPr>
        <w:t>税号：12330000470009026T</w:t>
      </w:r>
    </w:p>
    <w:p>
      <w:pPr>
        <w:widowControl/>
        <w:numPr>
          <w:ilvl w:val="0"/>
          <w:numId w:val="4"/>
        </w:numPr>
        <w:autoSpaceDE w:val="0"/>
        <w:ind w:firstLine="420"/>
        <w:textAlignment w:val="bottom"/>
        <w:rPr>
          <w:color w:val="auto"/>
          <w:sz w:val="21"/>
          <w:szCs w:val="21"/>
          <w:highlight w:val="none"/>
        </w:rPr>
      </w:pPr>
      <w:r>
        <w:rPr>
          <w:rFonts w:hint="eastAsia"/>
          <w:color w:val="auto"/>
          <w:sz w:val="21"/>
          <w:szCs w:val="21"/>
          <w:highlight w:val="none"/>
        </w:rPr>
        <w:t>对外合同一经生效，甲方凭借丙方开具的</w:t>
      </w:r>
      <w:r>
        <w:rPr>
          <w:rFonts w:hint="eastAsia"/>
          <w:color w:val="auto"/>
          <w:sz w:val="21"/>
          <w:szCs w:val="21"/>
          <w:highlight w:val="none"/>
          <w:u w:val="single"/>
        </w:rPr>
        <w:t xml:space="preserve">  </w:t>
      </w:r>
      <w:r>
        <w:rPr>
          <w:rFonts w:hint="eastAsia"/>
          <w:color w:val="auto"/>
          <w:sz w:val="21"/>
          <w:szCs w:val="21"/>
          <w:highlight w:val="none"/>
        </w:rPr>
        <w:t>%收款收据向丙方支付合同总价的</w:t>
      </w:r>
      <w:r>
        <w:rPr>
          <w:rFonts w:hint="eastAsia"/>
          <w:color w:val="auto"/>
          <w:sz w:val="21"/>
          <w:szCs w:val="21"/>
          <w:highlight w:val="none"/>
          <w:u w:val="single"/>
        </w:rPr>
        <w:t xml:space="preserve">  </w:t>
      </w:r>
      <w:r>
        <w:rPr>
          <w:rFonts w:hint="eastAsia"/>
          <w:color w:val="auto"/>
          <w:sz w:val="21"/>
          <w:szCs w:val="21"/>
          <w:highlight w:val="none"/>
        </w:rPr>
        <w:t>%作为货物的预付款，丙方对外开具100%的即期不可撤销信用证；货物抵达港口后，甲方凭借丙方开具的收款数据、到货通知书和运单，向丙方支付至合同总价的90%；丙方按照甲方要求，将货物送至各个使用点后，凭借收单甲方向丙方支付合同总价的10%。</w:t>
      </w:r>
    </w:p>
    <w:p>
      <w:pPr>
        <w:spacing w:line="288" w:lineRule="auto"/>
        <w:rPr>
          <w:rFonts w:cs="Times New Roman"/>
          <w:b/>
          <w:color w:val="auto"/>
          <w:spacing w:val="-6"/>
          <w:sz w:val="21"/>
          <w:highlight w:val="none"/>
        </w:rPr>
      </w:pPr>
      <w:r>
        <w:rPr>
          <w:rFonts w:hint="eastAsia" w:cs="Times New Roman"/>
          <w:b/>
          <w:color w:val="auto"/>
          <w:spacing w:val="-6"/>
          <w:sz w:val="21"/>
          <w:highlight w:val="none"/>
        </w:rPr>
        <w:t>第九条：其他条款约定</w:t>
      </w:r>
    </w:p>
    <w:p>
      <w:pPr>
        <w:numPr>
          <w:ilvl w:val="0"/>
          <w:numId w:val="5"/>
        </w:num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丙方负责对外签订合同、协助商谈运输方式、到货地点等事宜。</w:t>
      </w:r>
    </w:p>
    <w:p>
      <w:pPr>
        <w:numPr>
          <w:ilvl w:val="0"/>
          <w:numId w:val="5"/>
        </w:num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丙方协助甲方办理《机电产品进口许可证》和《进出口货物征免税证明》。</w:t>
      </w:r>
    </w:p>
    <w:p>
      <w:pPr>
        <w:numPr>
          <w:ilvl w:val="0"/>
          <w:numId w:val="5"/>
        </w:num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丙方负责办理法定商检、对外承付货款、办理进口报关、到货后通知乙方安装调试并送货上门。</w:t>
      </w:r>
    </w:p>
    <w:p>
      <w:pPr>
        <w:numPr>
          <w:ilvl w:val="0"/>
          <w:numId w:val="5"/>
        </w:num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甲方提供《机电产品进口许可证》和《进出口货物征免税证明》和其它进口必需的批件，并对其真实性负责。</w:t>
      </w:r>
    </w:p>
    <w:p>
      <w:pPr>
        <w:spacing w:line="288" w:lineRule="auto"/>
        <w:rPr>
          <w:rFonts w:cs="Times New Roman"/>
          <w:color w:val="auto"/>
          <w:spacing w:val="-6"/>
          <w:sz w:val="21"/>
          <w:highlight w:val="none"/>
        </w:rPr>
      </w:pPr>
      <w:r>
        <w:rPr>
          <w:rFonts w:hint="eastAsia" w:cs="Times New Roman"/>
          <w:b/>
          <w:color w:val="auto"/>
          <w:spacing w:val="-6"/>
          <w:sz w:val="21"/>
          <w:highlight w:val="none"/>
        </w:rPr>
        <w:t>第十条：违约责任</w:t>
      </w:r>
    </w:p>
    <w:p>
      <w:pPr>
        <w:numPr>
          <w:ilvl w:val="0"/>
          <w:numId w:val="6"/>
        </w:num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乙方逾期履行合同的，自逾期之日起，向甲方每日偿付合同总价千分之五的滞纳金。</w:t>
      </w:r>
    </w:p>
    <w:p>
      <w:pPr>
        <w:numPr>
          <w:ilvl w:val="0"/>
          <w:numId w:val="6"/>
        </w:num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甲方逾期支付货款的，自逾期之日起，向乙方每日偿付未付价款千分之五的滞纳金。</w:t>
      </w:r>
    </w:p>
    <w:p>
      <w:pPr>
        <w:numPr>
          <w:ilvl w:val="0"/>
          <w:numId w:val="6"/>
        </w:numPr>
        <w:spacing w:line="288" w:lineRule="auto"/>
        <w:ind w:right="26" w:rightChars="11" w:firstLine="396" w:firstLineChars="200"/>
        <w:rPr>
          <w:rFonts w:cs="Times New Roman"/>
          <w:color w:val="auto"/>
          <w:spacing w:val="-6"/>
          <w:sz w:val="21"/>
          <w:highlight w:val="none"/>
        </w:rPr>
      </w:pPr>
      <w:r>
        <w:rPr>
          <w:rFonts w:hint="eastAsia" w:cs="Times New Roman"/>
          <w:color w:val="auto"/>
          <w:spacing w:val="-6"/>
          <w:sz w:val="21"/>
          <w:highlight w:val="none"/>
        </w:rPr>
        <w:t>如验收不能达到质量功能（性能）标准，合同商品由乙方在验收后一周内运离安装地点，所需费用由乙方承担。如乙方在一个月内不处理（搬走）合同商品，视为乙方放弃该商品，甲方有权自行处置（包括废物处理）。同时，乙方要支付给甲方总货款的20％作为违约赔偿金。</w:t>
      </w:r>
    </w:p>
    <w:p>
      <w:p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4. 乙方所交的货物品种、型号、规格、技术参数、质量不符合合同规定及公开招标文件规定标准的，甲方有权拒收该货物，乙方愿意更换货物但逾期交货的，按乙方逾期交货处理。乙方拒绝更换货物的，甲方可单方面解除合同。</w:t>
      </w:r>
    </w:p>
    <w:p>
      <w:pPr>
        <w:spacing w:before="156" w:after="156" w:line="288" w:lineRule="auto"/>
        <w:rPr>
          <w:rFonts w:cs="Times New Roman"/>
          <w:b/>
          <w:color w:val="auto"/>
          <w:spacing w:val="-6"/>
          <w:sz w:val="21"/>
          <w:highlight w:val="none"/>
        </w:rPr>
      </w:pPr>
      <w:r>
        <w:rPr>
          <w:rFonts w:cs="Times New Roman"/>
          <w:b/>
          <w:color w:val="auto"/>
          <w:spacing w:val="-6"/>
          <w:sz w:val="21"/>
          <w:highlight w:val="none"/>
        </w:rPr>
        <w:t>第十一条</w:t>
      </w:r>
      <w:r>
        <w:rPr>
          <w:rFonts w:hint="eastAsia" w:cs="Times New Roman"/>
          <w:b/>
          <w:color w:val="auto"/>
          <w:spacing w:val="-6"/>
          <w:sz w:val="21"/>
          <w:highlight w:val="none"/>
        </w:rPr>
        <w:t>：</w:t>
      </w:r>
      <w:r>
        <w:rPr>
          <w:rFonts w:cs="Times New Roman"/>
          <w:b/>
          <w:color w:val="auto"/>
          <w:spacing w:val="-6"/>
          <w:sz w:val="21"/>
          <w:highlight w:val="none"/>
        </w:rPr>
        <w:t>不可抗力事件处理</w:t>
      </w:r>
    </w:p>
    <w:p>
      <w:p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1. 在合同有效期内，任何一方因不可抗力事件导致不能履行合同，则合同履行期可延长，其延长期与不可抗力影响期相同。</w:t>
      </w:r>
    </w:p>
    <w:p>
      <w:p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2. 不可抗力事件发生后，应立即通知对方，并寄送有关权威机构出具的证明。</w:t>
      </w:r>
    </w:p>
    <w:p>
      <w:p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3. 不可抗力事件延续120天以上，双方应通过友好协商，确定是否继续履行合同。</w:t>
      </w:r>
    </w:p>
    <w:p>
      <w:pPr>
        <w:spacing w:line="288" w:lineRule="auto"/>
        <w:ind w:right="-588" w:rightChars="-245"/>
        <w:rPr>
          <w:rFonts w:cs="Times New Roman"/>
          <w:b/>
          <w:color w:val="auto"/>
          <w:spacing w:val="-6"/>
          <w:sz w:val="21"/>
          <w:highlight w:val="none"/>
        </w:rPr>
      </w:pPr>
      <w:r>
        <w:rPr>
          <w:rFonts w:hint="eastAsia" w:cs="Times New Roman"/>
          <w:b/>
          <w:color w:val="auto"/>
          <w:spacing w:val="-6"/>
          <w:sz w:val="21"/>
          <w:highlight w:val="none"/>
        </w:rPr>
        <w:t>第十二条：争议解决</w:t>
      </w:r>
    </w:p>
    <w:p>
      <w:pPr>
        <w:spacing w:line="288" w:lineRule="auto"/>
        <w:ind w:right="26" w:rightChars="11" w:firstLine="396" w:firstLineChars="200"/>
        <w:rPr>
          <w:rFonts w:cs="Times New Roman"/>
          <w:color w:val="auto"/>
          <w:spacing w:val="-6"/>
          <w:sz w:val="21"/>
          <w:highlight w:val="none"/>
        </w:rPr>
      </w:pPr>
      <w:r>
        <w:rPr>
          <w:rFonts w:hint="eastAsia" w:cs="Times New Roman"/>
          <w:color w:val="auto"/>
          <w:spacing w:val="-6"/>
          <w:sz w:val="21"/>
          <w:highlight w:val="none"/>
        </w:rPr>
        <w:t>本合同未尽事宜由三方协商解决，如协商不成，三方同意将本合同引起的争议提交杭州仲裁委员会仲裁解决，仲裁为终局。</w:t>
      </w:r>
    </w:p>
    <w:p>
      <w:pPr>
        <w:spacing w:line="288" w:lineRule="auto"/>
        <w:ind w:right="-588" w:rightChars="-245"/>
        <w:rPr>
          <w:rFonts w:cs="Times New Roman"/>
          <w:b/>
          <w:color w:val="auto"/>
          <w:spacing w:val="-6"/>
          <w:sz w:val="21"/>
          <w:highlight w:val="none"/>
        </w:rPr>
      </w:pPr>
      <w:r>
        <w:rPr>
          <w:rFonts w:hint="eastAsia" w:cs="Times New Roman"/>
          <w:b/>
          <w:color w:val="auto"/>
          <w:spacing w:val="-6"/>
          <w:sz w:val="21"/>
          <w:highlight w:val="none"/>
        </w:rPr>
        <w:t>第十三条：合同生效</w:t>
      </w:r>
    </w:p>
    <w:p>
      <w:pPr>
        <w:numPr>
          <w:ilvl w:val="0"/>
          <w:numId w:val="7"/>
        </w:num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合同经甲、乙、丙三方法定代表人或授权代表签字并加盖单位公章后生效。</w:t>
      </w:r>
    </w:p>
    <w:p>
      <w:pPr>
        <w:numPr>
          <w:ilvl w:val="0"/>
          <w:numId w:val="7"/>
        </w:num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合同执行中涉及采购资金和采购内容修改或补充的，须经财政部门审批，并签书面补充协议报政府采购监督管理部门备案，方可作为主合同不可分割的一部分。</w:t>
      </w:r>
    </w:p>
    <w:p>
      <w:pPr>
        <w:numPr>
          <w:ilvl w:val="0"/>
          <w:numId w:val="7"/>
        </w:num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本合同未尽事宜，遵照《民法典》有关条文执行。</w:t>
      </w:r>
    </w:p>
    <w:p>
      <w:pPr>
        <w:numPr>
          <w:ilvl w:val="0"/>
          <w:numId w:val="7"/>
        </w:num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本合同一式六份，乙方、丙方、采购代理机构各执壹份，甲方执叁份。</w:t>
      </w:r>
    </w:p>
    <w:tbl>
      <w:tblPr>
        <w:tblStyle w:val="9"/>
        <w:tblW w:w="828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20"/>
        <w:gridCol w:w="3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2" w:hRule="atLeast"/>
        </w:trPr>
        <w:tc>
          <w:tcPr>
            <w:tcW w:w="4320" w:type="dxa"/>
            <w:tcBorders>
              <w:top w:val="single" w:color="auto" w:sz="4" w:space="0"/>
              <w:left w:val="single" w:color="auto" w:sz="4" w:space="0"/>
              <w:bottom w:val="single" w:color="auto" w:sz="4" w:space="0"/>
              <w:right w:val="single" w:color="auto" w:sz="4" w:space="0"/>
            </w:tcBorders>
            <w:vAlign w:val="center"/>
          </w:tcPr>
          <w:p>
            <w:pPr>
              <w:rPr>
                <w:rFonts w:cs="Times New Roman"/>
                <w:color w:val="auto"/>
                <w:sz w:val="21"/>
                <w:szCs w:val="21"/>
                <w:highlight w:val="none"/>
              </w:rPr>
            </w:pPr>
            <w:r>
              <w:rPr>
                <w:rFonts w:hint="eastAsia" w:cs="Times New Roman"/>
                <w:color w:val="auto"/>
                <w:sz w:val="21"/>
                <w:szCs w:val="21"/>
                <w:highlight w:val="none"/>
              </w:rPr>
              <w:t>甲方（需方）：（公章）</w:t>
            </w:r>
          </w:p>
        </w:tc>
        <w:tc>
          <w:tcPr>
            <w:tcW w:w="3960" w:type="dxa"/>
            <w:tcBorders>
              <w:top w:val="single" w:color="auto" w:sz="4" w:space="0"/>
              <w:left w:val="single" w:color="auto" w:sz="4" w:space="0"/>
              <w:bottom w:val="single" w:color="auto" w:sz="4" w:space="0"/>
              <w:right w:val="single" w:color="auto" w:sz="4" w:space="0"/>
            </w:tcBorders>
            <w:vAlign w:val="center"/>
          </w:tcPr>
          <w:p>
            <w:pPr>
              <w:rPr>
                <w:rFonts w:cs="Times New Roman"/>
                <w:color w:val="auto"/>
                <w:sz w:val="21"/>
                <w:szCs w:val="21"/>
                <w:highlight w:val="none"/>
              </w:rPr>
            </w:pPr>
            <w:r>
              <w:rPr>
                <w:rFonts w:hint="eastAsia" w:cs="Times New Roman"/>
                <w:color w:val="auto"/>
                <w:sz w:val="21"/>
                <w:szCs w:val="21"/>
                <w:highlight w:val="none"/>
              </w:rPr>
              <w:t>乙方（供方）：（公章）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7" w:hRule="atLeast"/>
        </w:trPr>
        <w:tc>
          <w:tcPr>
            <w:tcW w:w="4320" w:type="dxa"/>
            <w:tcBorders>
              <w:top w:val="single" w:color="auto" w:sz="4" w:space="0"/>
              <w:left w:val="single" w:color="auto" w:sz="4" w:space="0"/>
              <w:bottom w:val="single" w:color="auto" w:sz="4" w:space="0"/>
              <w:right w:val="single" w:color="auto" w:sz="4" w:space="0"/>
            </w:tcBorders>
            <w:vAlign w:val="center"/>
          </w:tcPr>
          <w:p>
            <w:pPr>
              <w:rPr>
                <w:rFonts w:cs="Times New Roman"/>
                <w:color w:val="auto"/>
                <w:sz w:val="21"/>
                <w:szCs w:val="21"/>
                <w:highlight w:val="none"/>
              </w:rPr>
            </w:pPr>
            <w:r>
              <w:rPr>
                <w:rFonts w:hint="eastAsia" w:cs="Times New Roman"/>
                <w:color w:val="auto"/>
                <w:sz w:val="21"/>
                <w:szCs w:val="21"/>
                <w:highlight w:val="none"/>
              </w:rPr>
              <w:t>甲方代表：</w:t>
            </w:r>
          </w:p>
          <w:p>
            <w:pPr>
              <w:rPr>
                <w:rFonts w:cs="Times New Roman"/>
                <w:color w:val="auto"/>
                <w:sz w:val="21"/>
                <w:szCs w:val="21"/>
                <w:highlight w:val="none"/>
              </w:rPr>
            </w:pPr>
            <w:r>
              <w:rPr>
                <w:rFonts w:hint="eastAsia" w:cs="Times New Roman"/>
                <w:color w:val="auto"/>
                <w:sz w:val="21"/>
                <w:szCs w:val="21"/>
                <w:highlight w:val="none"/>
              </w:rPr>
              <w:t>(签字）</w:t>
            </w:r>
          </w:p>
        </w:tc>
        <w:tc>
          <w:tcPr>
            <w:tcW w:w="3960" w:type="dxa"/>
            <w:tcBorders>
              <w:top w:val="single" w:color="auto" w:sz="4" w:space="0"/>
              <w:left w:val="single" w:color="auto" w:sz="4" w:space="0"/>
              <w:bottom w:val="single" w:color="auto" w:sz="4" w:space="0"/>
              <w:right w:val="single" w:color="auto" w:sz="4" w:space="0"/>
            </w:tcBorders>
            <w:vAlign w:val="center"/>
          </w:tcPr>
          <w:p>
            <w:pPr>
              <w:rPr>
                <w:rFonts w:cs="Times New Roman"/>
                <w:color w:val="auto"/>
                <w:sz w:val="21"/>
                <w:szCs w:val="21"/>
                <w:highlight w:val="none"/>
              </w:rPr>
            </w:pPr>
            <w:r>
              <w:rPr>
                <w:rFonts w:hint="eastAsia" w:cs="Times New Roman"/>
                <w:color w:val="auto"/>
                <w:sz w:val="21"/>
                <w:szCs w:val="21"/>
                <w:highlight w:val="none"/>
              </w:rPr>
              <w:t>乙方代表：</w:t>
            </w:r>
          </w:p>
          <w:p>
            <w:pPr>
              <w:rPr>
                <w:rFonts w:cs="Times New Roman"/>
                <w:color w:val="auto"/>
                <w:sz w:val="21"/>
                <w:szCs w:val="21"/>
                <w:highlight w:val="none"/>
              </w:rPr>
            </w:pPr>
            <w:r>
              <w:rPr>
                <w:rFonts w:hint="eastAsia" w:cs="Times New Roman"/>
                <w:color w:val="auto"/>
                <w:sz w:val="21"/>
                <w:szCs w:val="21"/>
                <w:highlight w:val="none"/>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地址：杭州市下沙高教园区</w:t>
            </w:r>
          </w:p>
        </w:tc>
        <w:tc>
          <w:tcPr>
            <w:tcW w:w="3960" w:type="dxa"/>
            <w:tcBorders>
              <w:top w:val="single" w:color="auto" w:sz="4" w:space="0"/>
              <w:left w:val="single" w:color="auto" w:sz="4" w:space="0"/>
              <w:bottom w:val="single" w:color="auto" w:sz="4" w:space="0"/>
              <w:right w:val="single" w:color="auto" w:sz="4" w:space="0"/>
            </w:tcBorders>
            <w:vAlign w:val="center"/>
          </w:tcPr>
          <w:p>
            <w:pPr>
              <w:rPr>
                <w:rFonts w:cs="Times New Roman"/>
                <w:color w:val="auto"/>
                <w:sz w:val="21"/>
                <w:szCs w:val="21"/>
                <w:highlight w:val="none"/>
              </w:rPr>
            </w:pPr>
            <w:r>
              <w:rPr>
                <w:rFonts w:hint="eastAsia" w:cs="Times New Roman"/>
                <w:color w:val="auto"/>
                <w:sz w:val="21"/>
                <w:szCs w:val="21"/>
                <w:highlight w:val="none"/>
              </w:rPr>
              <w:t>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邮编：310018</w:t>
            </w:r>
          </w:p>
        </w:tc>
        <w:tc>
          <w:tcPr>
            <w:tcW w:w="3960" w:type="dxa"/>
            <w:tcBorders>
              <w:top w:val="single" w:color="auto" w:sz="4" w:space="0"/>
              <w:left w:val="single" w:color="auto" w:sz="4" w:space="0"/>
              <w:bottom w:val="single" w:color="auto" w:sz="4" w:space="0"/>
              <w:right w:val="single" w:color="auto" w:sz="4" w:space="0"/>
            </w:tcBorders>
            <w:vAlign w:val="center"/>
          </w:tcPr>
          <w:p>
            <w:pPr>
              <w:rPr>
                <w:rFonts w:cs="Times New Roman"/>
                <w:color w:val="auto"/>
                <w:sz w:val="21"/>
                <w:szCs w:val="21"/>
                <w:highlight w:val="none"/>
              </w:rPr>
            </w:pPr>
            <w:r>
              <w:rPr>
                <w:rFonts w:hint="eastAsia" w:cs="Times New Roman"/>
                <w:color w:val="auto"/>
                <w:sz w:val="21"/>
                <w:szCs w:val="21"/>
                <w:highlight w:val="none"/>
              </w:rPr>
              <w:t>邮编：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电话：86878697</w:t>
            </w:r>
          </w:p>
        </w:tc>
        <w:tc>
          <w:tcPr>
            <w:tcW w:w="3960" w:type="dxa"/>
            <w:tcBorders>
              <w:top w:val="single" w:color="auto" w:sz="4" w:space="0"/>
              <w:left w:val="single" w:color="auto" w:sz="4" w:space="0"/>
              <w:bottom w:val="single" w:color="auto" w:sz="4" w:space="0"/>
              <w:right w:val="single" w:color="auto" w:sz="4" w:space="0"/>
            </w:tcBorders>
            <w:vAlign w:val="center"/>
          </w:tcPr>
          <w:p>
            <w:pPr>
              <w:rPr>
                <w:rFonts w:cs="Times New Roman"/>
                <w:color w:val="auto"/>
                <w:sz w:val="21"/>
                <w:szCs w:val="21"/>
                <w:highlight w:val="none"/>
              </w:rPr>
            </w:pPr>
            <w:r>
              <w:rPr>
                <w:rFonts w:hint="eastAsia" w:cs="Times New Roman"/>
                <w:color w:val="auto"/>
                <w:sz w:val="21"/>
                <w:szCs w:val="21"/>
                <w:highlight w:val="none"/>
              </w:rPr>
              <w:t>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传真：86878697</w:t>
            </w:r>
          </w:p>
        </w:tc>
        <w:tc>
          <w:tcPr>
            <w:tcW w:w="3960" w:type="dxa"/>
            <w:tcBorders>
              <w:top w:val="single" w:color="auto" w:sz="4" w:space="0"/>
              <w:left w:val="single" w:color="auto" w:sz="4" w:space="0"/>
              <w:bottom w:val="single" w:color="auto" w:sz="4" w:space="0"/>
              <w:right w:val="single" w:color="auto" w:sz="4" w:space="0"/>
            </w:tcBorders>
            <w:vAlign w:val="center"/>
          </w:tcPr>
          <w:p>
            <w:pPr>
              <w:rPr>
                <w:rFonts w:cs="Times New Roman"/>
                <w:color w:val="auto"/>
                <w:sz w:val="21"/>
                <w:szCs w:val="21"/>
                <w:highlight w:val="none"/>
              </w:rPr>
            </w:pPr>
            <w:r>
              <w:rPr>
                <w:rFonts w:hint="eastAsia" w:cs="Times New Roman"/>
                <w:color w:val="auto"/>
                <w:sz w:val="21"/>
                <w:szCs w:val="21"/>
                <w:highlight w:val="none"/>
              </w:rPr>
              <w:t>传真：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开户银行：工行高新支行</w:t>
            </w:r>
          </w:p>
        </w:tc>
        <w:tc>
          <w:tcPr>
            <w:tcW w:w="3960" w:type="dxa"/>
            <w:tcBorders>
              <w:top w:val="single" w:color="auto" w:sz="4" w:space="0"/>
              <w:left w:val="single" w:color="auto" w:sz="4" w:space="0"/>
              <w:bottom w:val="single" w:color="auto" w:sz="4" w:space="0"/>
              <w:right w:val="single" w:color="auto" w:sz="4" w:space="0"/>
            </w:tcBorders>
            <w:vAlign w:val="center"/>
          </w:tcPr>
          <w:p>
            <w:pPr>
              <w:rPr>
                <w:rFonts w:cs="Times New Roman"/>
                <w:color w:val="auto"/>
                <w:sz w:val="21"/>
                <w:szCs w:val="21"/>
                <w:highlight w:val="none"/>
              </w:rPr>
            </w:pPr>
            <w:r>
              <w:rPr>
                <w:rFonts w:hint="eastAsia" w:cs="Times New Roman"/>
                <w:color w:val="auto"/>
                <w:sz w:val="21"/>
                <w:szCs w:val="21"/>
                <w:highlight w:val="none"/>
              </w:rPr>
              <w:t>开户银行：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帐号：1202026209008806216</w:t>
            </w:r>
          </w:p>
        </w:tc>
        <w:tc>
          <w:tcPr>
            <w:tcW w:w="3960" w:type="dxa"/>
            <w:tcBorders>
              <w:top w:val="single" w:color="auto" w:sz="4" w:space="0"/>
              <w:left w:val="single" w:color="auto" w:sz="4" w:space="0"/>
              <w:bottom w:val="single" w:color="auto" w:sz="4" w:space="0"/>
              <w:right w:val="single" w:color="auto" w:sz="4" w:space="0"/>
            </w:tcBorders>
            <w:vAlign w:val="center"/>
          </w:tcPr>
          <w:p>
            <w:pPr>
              <w:rPr>
                <w:rFonts w:cs="Times New Roman"/>
                <w:color w:val="auto"/>
                <w:sz w:val="21"/>
                <w:szCs w:val="21"/>
                <w:highlight w:val="none"/>
              </w:rPr>
            </w:pPr>
            <w:r>
              <w:rPr>
                <w:rFonts w:hint="eastAsia" w:cs="Times New Roman"/>
                <w:color w:val="auto"/>
                <w:sz w:val="21"/>
                <w:szCs w:val="21"/>
                <w:highlight w:val="none"/>
              </w:rPr>
              <w:t>帐号：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vAlign w:val="center"/>
          </w:tcPr>
          <w:p>
            <w:pPr>
              <w:rPr>
                <w:rFonts w:cs="Times New Roman"/>
                <w:color w:val="auto"/>
                <w:sz w:val="21"/>
                <w:szCs w:val="21"/>
                <w:highlight w:val="none"/>
              </w:rPr>
            </w:pPr>
            <w:r>
              <w:rPr>
                <w:rFonts w:hint="eastAsia" w:cs="Times New Roman"/>
                <w:color w:val="auto"/>
                <w:sz w:val="21"/>
                <w:szCs w:val="21"/>
                <w:highlight w:val="none"/>
              </w:rPr>
              <w:t>签字日期：      年  月  日</w:t>
            </w:r>
          </w:p>
        </w:tc>
        <w:tc>
          <w:tcPr>
            <w:tcW w:w="3960" w:type="dxa"/>
            <w:tcBorders>
              <w:top w:val="single" w:color="auto" w:sz="4" w:space="0"/>
              <w:left w:val="single" w:color="auto" w:sz="4" w:space="0"/>
              <w:bottom w:val="single" w:color="auto" w:sz="4" w:space="0"/>
              <w:right w:val="single" w:color="auto" w:sz="4" w:space="0"/>
            </w:tcBorders>
            <w:vAlign w:val="center"/>
          </w:tcPr>
          <w:p>
            <w:pPr>
              <w:rPr>
                <w:rFonts w:cs="Times New Roman"/>
                <w:color w:val="auto"/>
                <w:sz w:val="21"/>
                <w:szCs w:val="21"/>
                <w:highlight w:val="none"/>
              </w:rPr>
            </w:pPr>
            <w:r>
              <w:rPr>
                <w:rFonts w:hint="eastAsia" w:cs="Times New Roman"/>
                <w:color w:val="auto"/>
                <w:sz w:val="21"/>
                <w:szCs w:val="21"/>
                <w:highlight w:val="none"/>
              </w:rPr>
              <w:t>签字日期：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丙方（公章）：</w:t>
            </w:r>
          </w:p>
        </w:tc>
        <w:tc>
          <w:tcPr>
            <w:tcW w:w="3960" w:type="dxa"/>
            <w:vMerge w:val="restart"/>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采购代理机构：浙江求是招标代理有限公司（公章）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法定代表人或受委托人：</w:t>
            </w:r>
          </w:p>
          <w:p>
            <w:pPr>
              <w:rPr>
                <w:rFonts w:cs="Times New Roman"/>
                <w:color w:val="auto"/>
                <w:sz w:val="21"/>
                <w:szCs w:val="21"/>
                <w:highlight w:val="none"/>
              </w:rPr>
            </w:pPr>
            <w:r>
              <w:rPr>
                <w:rFonts w:hint="eastAsia" w:cs="Times New Roman"/>
                <w:color w:val="auto"/>
                <w:sz w:val="21"/>
                <w:szCs w:val="21"/>
                <w:highlight w:val="none"/>
              </w:rPr>
              <w:t>（签字）</w:t>
            </w:r>
          </w:p>
        </w:tc>
        <w:tc>
          <w:tcPr>
            <w:tcW w:w="3960" w:type="dxa"/>
            <w:vMerge w:val="continue"/>
            <w:tcBorders>
              <w:top w:val="single" w:color="auto" w:sz="4" w:space="0"/>
              <w:left w:val="single" w:color="auto" w:sz="4" w:space="0"/>
              <w:bottom w:val="single" w:color="auto" w:sz="4" w:space="0"/>
              <w:right w:val="single" w:color="auto" w:sz="4" w:space="0"/>
            </w:tcBorders>
            <w:vAlign w:val="center"/>
          </w:tcPr>
          <w:p>
            <w:pPr>
              <w:rPr>
                <w:rFonts w:cs="Times New Roman"/>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地址：</w:t>
            </w:r>
          </w:p>
        </w:tc>
        <w:tc>
          <w:tcPr>
            <w:tcW w:w="3960" w:type="dxa"/>
            <w:vMerge w:val="continue"/>
            <w:tcBorders>
              <w:top w:val="single" w:color="auto" w:sz="4" w:space="0"/>
              <w:left w:val="single" w:color="auto" w:sz="4" w:space="0"/>
              <w:bottom w:val="single" w:color="auto" w:sz="4" w:space="0"/>
              <w:right w:val="single" w:color="auto" w:sz="4" w:space="0"/>
            </w:tcBorders>
            <w:vAlign w:val="center"/>
          </w:tcPr>
          <w:p>
            <w:pPr>
              <w:rPr>
                <w:rFonts w:cs="Times New Roman"/>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邮编：</w:t>
            </w:r>
          </w:p>
        </w:tc>
        <w:tc>
          <w:tcPr>
            <w:tcW w:w="3960" w:type="dxa"/>
            <w:vMerge w:val="restart"/>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采购代理机构代表：</w:t>
            </w:r>
          </w:p>
          <w:p>
            <w:pPr>
              <w:rPr>
                <w:rFonts w:cs="Times New Roman"/>
                <w:color w:val="auto"/>
                <w:sz w:val="21"/>
                <w:szCs w:val="21"/>
                <w:highlight w:val="none"/>
              </w:rPr>
            </w:pPr>
            <w:r>
              <w:rPr>
                <w:rFonts w:hint="eastAsia" w:cs="Times New Roman"/>
                <w:color w:val="auto"/>
                <w:sz w:val="21"/>
                <w:szCs w:val="21"/>
                <w:highlight w:val="none"/>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电话：</w:t>
            </w:r>
          </w:p>
          <w:p>
            <w:pPr>
              <w:rPr>
                <w:rFonts w:cs="Times New Roman"/>
                <w:color w:val="auto"/>
                <w:sz w:val="21"/>
                <w:szCs w:val="21"/>
                <w:highlight w:val="none"/>
              </w:rPr>
            </w:pPr>
            <w:r>
              <w:rPr>
                <w:rFonts w:cs="Times New Roman"/>
                <w:color w:val="auto"/>
                <w:sz w:val="21"/>
                <w:szCs w:val="21"/>
                <w:highlight w:val="none"/>
              </w:rPr>
              <w:t>手机：</w:t>
            </w:r>
          </w:p>
        </w:tc>
        <w:tc>
          <w:tcPr>
            <w:tcW w:w="3960" w:type="dxa"/>
            <w:vMerge w:val="continue"/>
            <w:tcBorders>
              <w:top w:val="single" w:color="auto" w:sz="4" w:space="0"/>
              <w:left w:val="single" w:color="auto" w:sz="4" w:space="0"/>
              <w:bottom w:val="single" w:color="auto" w:sz="4" w:space="0"/>
              <w:right w:val="single" w:color="auto" w:sz="4" w:space="0"/>
            </w:tcBorders>
            <w:vAlign w:val="center"/>
          </w:tcPr>
          <w:p>
            <w:pPr>
              <w:rPr>
                <w:rFonts w:cs="Times New Roman"/>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 xml:space="preserve">传真： </w:t>
            </w:r>
          </w:p>
        </w:tc>
        <w:tc>
          <w:tcPr>
            <w:tcW w:w="3960" w:type="dxa"/>
            <w:vMerge w:val="continue"/>
            <w:tcBorders>
              <w:top w:val="single" w:color="auto" w:sz="4" w:space="0"/>
              <w:left w:val="single" w:color="auto" w:sz="4" w:space="0"/>
              <w:bottom w:val="single" w:color="auto" w:sz="4" w:space="0"/>
              <w:right w:val="single" w:color="auto" w:sz="4" w:space="0"/>
            </w:tcBorders>
            <w:vAlign w:val="center"/>
          </w:tcPr>
          <w:p>
            <w:pPr>
              <w:rPr>
                <w:rFonts w:cs="Times New Roman"/>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开户银行：</w:t>
            </w:r>
          </w:p>
        </w:tc>
        <w:tc>
          <w:tcPr>
            <w:tcW w:w="3960" w:type="dxa"/>
            <w:vMerge w:val="restart"/>
            <w:tcBorders>
              <w:top w:val="single" w:color="auto" w:sz="4" w:space="0"/>
              <w:left w:val="single" w:color="auto" w:sz="4" w:space="0"/>
              <w:right w:val="single" w:color="auto" w:sz="4" w:space="0"/>
            </w:tcBorders>
            <w:vAlign w:val="center"/>
          </w:tcPr>
          <w:p>
            <w:pPr>
              <w:rPr>
                <w:rFonts w:cs="Times New Roman"/>
                <w:color w:val="auto"/>
                <w:sz w:val="21"/>
                <w:szCs w:val="21"/>
                <w:highlight w:val="none"/>
              </w:rPr>
            </w:pPr>
            <w:r>
              <w:rPr>
                <w:rFonts w:hint="eastAsia" w:cs="Times New Roman"/>
                <w:color w:val="auto"/>
                <w:sz w:val="21"/>
                <w:szCs w:val="21"/>
                <w:highlight w:val="none"/>
              </w:rPr>
              <w:t>签约时间：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帐号：</w:t>
            </w:r>
          </w:p>
        </w:tc>
        <w:tc>
          <w:tcPr>
            <w:tcW w:w="3960" w:type="dxa"/>
            <w:vMerge w:val="continue"/>
            <w:tcBorders>
              <w:left w:val="single" w:color="auto" w:sz="4" w:space="0"/>
              <w:right w:val="single" w:color="auto" w:sz="4" w:space="0"/>
            </w:tcBorders>
            <w:vAlign w:val="center"/>
          </w:tcPr>
          <w:p>
            <w:pPr>
              <w:rPr>
                <w:rFonts w:cs="Times New Roman"/>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cs="Times New Roman"/>
                <w:color w:val="auto"/>
                <w:sz w:val="21"/>
                <w:szCs w:val="21"/>
                <w:highlight w:val="none"/>
              </w:rPr>
              <w:t>公司税号：</w:t>
            </w:r>
          </w:p>
        </w:tc>
        <w:tc>
          <w:tcPr>
            <w:tcW w:w="3960" w:type="dxa"/>
            <w:vMerge w:val="continue"/>
            <w:tcBorders>
              <w:left w:val="single" w:color="auto" w:sz="4" w:space="0"/>
              <w:right w:val="single" w:color="auto" w:sz="4" w:space="0"/>
            </w:tcBorders>
            <w:vAlign w:val="center"/>
          </w:tcPr>
          <w:p>
            <w:pPr>
              <w:rPr>
                <w:rFonts w:cs="Times New Roman"/>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cs="Times New Roman"/>
                <w:color w:val="auto"/>
                <w:sz w:val="21"/>
                <w:szCs w:val="21"/>
                <w:highlight w:val="none"/>
              </w:rPr>
              <w:t>开票地址：</w:t>
            </w:r>
          </w:p>
        </w:tc>
        <w:tc>
          <w:tcPr>
            <w:tcW w:w="3960" w:type="dxa"/>
            <w:vMerge w:val="continue"/>
            <w:tcBorders>
              <w:left w:val="single" w:color="auto" w:sz="4" w:space="0"/>
              <w:right w:val="single" w:color="auto" w:sz="4" w:space="0"/>
            </w:tcBorders>
            <w:vAlign w:val="center"/>
          </w:tcPr>
          <w:p>
            <w:pPr>
              <w:rPr>
                <w:rFonts w:cs="Times New Roman"/>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签约时间：    年   月   日</w:t>
            </w:r>
          </w:p>
        </w:tc>
        <w:tc>
          <w:tcPr>
            <w:tcW w:w="3960" w:type="dxa"/>
            <w:vMerge w:val="continue"/>
            <w:tcBorders>
              <w:left w:val="single" w:color="auto" w:sz="4" w:space="0"/>
              <w:bottom w:val="single" w:color="auto" w:sz="4" w:space="0"/>
              <w:right w:val="single" w:color="auto" w:sz="4" w:space="0"/>
            </w:tcBorders>
          </w:tcPr>
          <w:p>
            <w:pPr>
              <w:rPr>
                <w:rFonts w:cs="Times New Roman"/>
                <w:color w:val="auto"/>
                <w:sz w:val="21"/>
                <w:szCs w:val="21"/>
                <w:highlight w:val="none"/>
              </w:rPr>
            </w:pPr>
          </w:p>
        </w:tc>
      </w:tr>
    </w:tbl>
    <w:p>
      <w:pPr>
        <w:adjustRightInd w:val="0"/>
        <w:snapToGrid w:val="0"/>
        <w:spacing w:line="288" w:lineRule="auto"/>
        <w:jc w:val="center"/>
        <w:outlineLvl w:val="0"/>
        <w:rPr>
          <w:b/>
          <w:bCs/>
          <w:color w:val="auto"/>
          <w:sz w:val="32"/>
          <w:szCs w:val="32"/>
          <w:highlight w:val="none"/>
        </w:rPr>
      </w:pPr>
      <w:r>
        <w:rPr>
          <w:rFonts w:cs="Times New Roman"/>
          <w:b/>
          <w:color w:val="auto"/>
          <w:spacing w:val="-6"/>
          <w:sz w:val="32"/>
          <w:szCs w:val="32"/>
          <w:highlight w:val="none"/>
        </w:rPr>
        <w:br w:type="page"/>
      </w:r>
      <w:r>
        <w:rPr>
          <w:rFonts w:hint="eastAsia"/>
          <w:b/>
          <w:bCs/>
          <w:color w:val="auto"/>
          <w:sz w:val="32"/>
          <w:szCs w:val="32"/>
          <w:highlight w:val="none"/>
        </w:rPr>
        <w:t>第六章  响应文件格式</w:t>
      </w:r>
    </w:p>
    <w:p>
      <w:pPr>
        <w:adjustRightInd w:val="0"/>
        <w:snapToGrid w:val="0"/>
        <w:spacing w:line="288" w:lineRule="auto"/>
        <w:rPr>
          <w:color w:val="auto"/>
          <w:sz w:val="21"/>
          <w:szCs w:val="21"/>
          <w:highlight w:val="none"/>
        </w:rPr>
      </w:pPr>
    </w:p>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响应文件的编制应按照本项目：“第三章供应商须知”三、响应文件的编制的要求编制。</w:t>
      </w:r>
    </w:p>
    <w:p>
      <w:pPr>
        <w:rPr>
          <w:color w:val="auto"/>
          <w:sz w:val="21"/>
          <w:szCs w:val="21"/>
          <w:highlight w:val="none"/>
        </w:rPr>
      </w:pPr>
      <w:r>
        <w:rPr>
          <w:rFonts w:hint="eastAsia"/>
          <w:color w:val="auto"/>
          <w:sz w:val="21"/>
          <w:szCs w:val="21"/>
          <w:highlight w:val="none"/>
        </w:rPr>
        <w:br w:type="page"/>
      </w:r>
    </w:p>
    <w:p>
      <w:pPr>
        <w:adjustRightInd w:val="0"/>
        <w:snapToGrid w:val="0"/>
        <w:spacing w:line="360" w:lineRule="auto"/>
        <w:outlineLvl w:val="1"/>
        <w:rPr>
          <w:b/>
          <w:bCs/>
          <w:color w:val="auto"/>
          <w:highlight w:val="none"/>
        </w:rPr>
      </w:pPr>
      <w:r>
        <w:rPr>
          <w:rFonts w:hint="eastAsia"/>
          <w:b/>
          <w:bCs/>
          <w:color w:val="auto"/>
          <w:highlight w:val="none"/>
        </w:rPr>
        <w:t>响应文件封面</w:t>
      </w: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jc w:val="center"/>
        <w:rPr>
          <w:color w:val="auto"/>
          <w:highlight w:val="none"/>
        </w:rPr>
      </w:pPr>
      <w:r>
        <w:rPr>
          <w:rFonts w:hint="eastAsia"/>
          <w:color w:val="auto"/>
          <w:highlight w:val="none"/>
        </w:rPr>
        <w:t>____________________（供应商名称）</w:t>
      </w: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jc w:val="center"/>
        <w:rPr>
          <w:b/>
          <w:bCs/>
          <w:color w:val="auto"/>
          <w:sz w:val="44"/>
          <w:szCs w:val="44"/>
          <w:highlight w:val="none"/>
        </w:rPr>
      </w:pPr>
      <w:r>
        <w:rPr>
          <w:rFonts w:hint="eastAsia"/>
          <w:b/>
          <w:bCs/>
          <w:color w:val="auto"/>
          <w:sz w:val="44"/>
          <w:szCs w:val="44"/>
          <w:highlight w:val="none"/>
        </w:rPr>
        <w:t>竞争性磋商</w:t>
      </w:r>
    </w:p>
    <w:p>
      <w:pPr>
        <w:adjustRightInd w:val="0"/>
        <w:snapToGrid w:val="0"/>
        <w:spacing w:line="360" w:lineRule="auto"/>
        <w:jc w:val="center"/>
        <w:rPr>
          <w:b/>
          <w:bCs/>
          <w:color w:val="auto"/>
          <w:sz w:val="44"/>
          <w:szCs w:val="44"/>
          <w:highlight w:val="none"/>
        </w:rPr>
      </w:pPr>
      <w:r>
        <w:rPr>
          <w:rFonts w:hint="eastAsia"/>
          <w:b/>
          <w:bCs/>
          <w:color w:val="auto"/>
          <w:sz w:val="44"/>
          <w:szCs w:val="44"/>
          <w:highlight w:val="none"/>
        </w:rPr>
        <w:t>响应文件</w:t>
      </w: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r>
        <w:rPr>
          <w:rFonts w:hint="eastAsia"/>
          <w:color w:val="auto"/>
          <w:highlight w:val="none"/>
        </w:rPr>
        <w:t>采 购 人：杭州电子科技大学</w:t>
      </w:r>
    </w:p>
    <w:p>
      <w:pPr>
        <w:adjustRightInd w:val="0"/>
        <w:snapToGrid w:val="0"/>
        <w:spacing w:line="360" w:lineRule="auto"/>
        <w:rPr>
          <w:color w:val="auto"/>
          <w:highlight w:val="none"/>
        </w:rPr>
      </w:pPr>
      <w:r>
        <w:rPr>
          <w:rFonts w:hint="eastAsia"/>
          <w:color w:val="auto"/>
          <w:highlight w:val="none"/>
        </w:rPr>
        <w:t>项目名称：示波器、数据处理卡等</w:t>
      </w:r>
    </w:p>
    <w:p>
      <w:pPr>
        <w:adjustRightInd w:val="0"/>
        <w:snapToGrid w:val="0"/>
        <w:spacing w:line="360" w:lineRule="auto"/>
        <w:rPr>
          <w:color w:val="auto"/>
          <w:highlight w:val="none"/>
        </w:rPr>
      </w:pPr>
      <w:r>
        <w:rPr>
          <w:rFonts w:hint="eastAsia"/>
          <w:color w:val="auto"/>
          <w:highlight w:val="none"/>
        </w:rPr>
        <w:t>项目编号：QSZB-Z(H)-B21352(CS)</w:t>
      </w:r>
    </w:p>
    <w:p>
      <w:pPr>
        <w:adjustRightInd w:val="0"/>
        <w:snapToGrid w:val="0"/>
        <w:spacing w:line="360" w:lineRule="auto"/>
        <w:rPr>
          <w:color w:val="auto"/>
          <w:highlight w:val="none"/>
        </w:rPr>
      </w:pPr>
      <w:r>
        <w:rPr>
          <w:rFonts w:hint="eastAsia"/>
          <w:color w:val="auto"/>
          <w:highlight w:val="none"/>
        </w:rPr>
        <w:t>供应商名称（盖章）：</w:t>
      </w:r>
    </w:p>
    <w:p>
      <w:pPr>
        <w:adjustRightInd w:val="0"/>
        <w:snapToGrid w:val="0"/>
        <w:spacing w:line="360" w:lineRule="auto"/>
        <w:rPr>
          <w:color w:val="auto"/>
          <w:highlight w:val="none"/>
        </w:rPr>
      </w:pPr>
      <w:r>
        <w:rPr>
          <w:rFonts w:hint="eastAsia"/>
          <w:color w:val="auto"/>
          <w:highlight w:val="none"/>
        </w:rPr>
        <w:t>供应商地址：</w:t>
      </w: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r>
        <w:rPr>
          <w:rFonts w:hint="eastAsia"/>
          <w:color w:val="auto"/>
          <w:highlight w:val="none"/>
        </w:rPr>
        <w:t>供应商代表签字：</w:t>
      </w:r>
    </w:p>
    <w:p>
      <w:pPr>
        <w:adjustRightInd w:val="0"/>
        <w:snapToGrid w:val="0"/>
        <w:spacing w:line="360" w:lineRule="auto"/>
        <w:rPr>
          <w:color w:val="auto"/>
          <w:highlight w:val="none"/>
        </w:rPr>
      </w:pPr>
      <w:r>
        <w:rPr>
          <w:rFonts w:hint="eastAsia"/>
          <w:color w:val="auto"/>
          <w:highlight w:val="none"/>
        </w:rPr>
        <w:t>日期：________年____月____日</w:t>
      </w:r>
    </w:p>
    <w:p>
      <w:pPr>
        <w:rPr>
          <w:color w:val="auto"/>
          <w:highlight w:val="none"/>
        </w:rPr>
      </w:pPr>
      <w:r>
        <w:rPr>
          <w:rFonts w:hint="eastAsia"/>
          <w:color w:val="auto"/>
          <w:highlight w:val="none"/>
        </w:rPr>
        <w:br w:type="page"/>
      </w: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jc w:val="center"/>
        <w:outlineLvl w:val="1"/>
        <w:rPr>
          <w:b/>
          <w:bCs/>
          <w:color w:val="auto"/>
          <w:sz w:val="84"/>
          <w:szCs w:val="84"/>
          <w:highlight w:val="none"/>
        </w:rPr>
      </w:pPr>
      <w:r>
        <w:rPr>
          <w:rFonts w:hint="eastAsia"/>
          <w:b/>
          <w:bCs/>
          <w:color w:val="auto"/>
          <w:sz w:val="84"/>
          <w:szCs w:val="84"/>
          <w:highlight w:val="none"/>
        </w:rPr>
        <w:t>资格文件</w:t>
      </w:r>
    </w:p>
    <w:p>
      <w:pPr>
        <w:adjustRightInd w:val="0"/>
        <w:snapToGrid w:val="0"/>
        <w:spacing w:line="360" w:lineRule="auto"/>
        <w:jc w:val="center"/>
        <w:rPr>
          <w:b/>
          <w:bCs/>
          <w:color w:val="auto"/>
          <w:highlight w:val="none"/>
        </w:rPr>
      </w:pPr>
      <w:r>
        <w:rPr>
          <w:rFonts w:hint="eastAsia"/>
          <w:b/>
          <w:bCs/>
          <w:color w:val="auto"/>
          <w:highlight w:val="none"/>
        </w:rPr>
        <w:t>资格审查要求的资格证明材料(均需加盖公章)</w:t>
      </w:r>
    </w:p>
    <w:p>
      <w:pPr>
        <w:rPr>
          <w:color w:val="auto"/>
          <w:highlight w:val="none"/>
        </w:rPr>
      </w:pPr>
      <w:r>
        <w:rPr>
          <w:rFonts w:hint="eastAsia"/>
          <w:color w:val="auto"/>
          <w:highlight w:val="none"/>
        </w:rPr>
        <w:br w:type="page"/>
      </w:r>
    </w:p>
    <w:p>
      <w:pPr>
        <w:adjustRightInd w:val="0"/>
        <w:snapToGrid w:val="0"/>
        <w:spacing w:line="360" w:lineRule="auto"/>
        <w:jc w:val="center"/>
        <w:outlineLvl w:val="2"/>
        <w:rPr>
          <w:b/>
          <w:bCs/>
          <w:color w:val="auto"/>
          <w:highlight w:val="none"/>
        </w:rPr>
      </w:pPr>
      <w:r>
        <w:rPr>
          <w:rFonts w:hint="eastAsia"/>
          <w:b/>
          <w:bCs/>
          <w:color w:val="auto"/>
          <w:highlight w:val="none"/>
        </w:rPr>
        <w:t>（1）有效的法人或者其他组织的营业执照等证明文件，自然人的身份证明</w:t>
      </w: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b/>
          <w:bCs/>
          <w:color w:val="auto"/>
          <w:sz w:val="21"/>
          <w:szCs w:val="21"/>
          <w:highlight w:val="none"/>
        </w:rPr>
      </w:pPr>
      <w:r>
        <w:rPr>
          <w:rFonts w:hint="eastAsia"/>
          <w:b/>
          <w:bCs/>
          <w:color w:val="auto"/>
          <w:sz w:val="21"/>
          <w:szCs w:val="21"/>
          <w:highlight w:val="none"/>
        </w:rPr>
        <w:t>说明：</w:t>
      </w:r>
    </w:p>
    <w:p>
      <w:pPr>
        <w:adjustRightInd w:val="0"/>
        <w:snapToGrid w:val="0"/>
        <w:spacing w:line="360" w:lineRule="auto"/>
        <w:rPr>
          <w:b/>
          <w:bCs/>
          <w:color w:val="auto"/>
          <w:sz w:val="21"/>
          <w:szCs w:val="21"/>
          <w:highlight w:val="none"/>
        </w:rPr>
      </w:pPr>
      <w:r>
        <w:rPr>
          <w:rFonts w:hint="eastAsia"/>
          <w:b/>
          <w:bCs/>
          <w:color w:val="auto"/>
          <w:sz w:val="21"/>
          <w:szCs w:val="21"/>
          <w:highlight w:val="none"/>
        </w:rPr>
        <w:t>1.如供应商是企业（包括合伙企业），提供在工商部门注册的有效“企业法人营业执照”或“营业执照”；</w:t>
      </w:r>
    </w:p>
    <w:p>
      <w:pPr>
        <w:adjustRightInd w:val="0"/>
        <w:snapToGrid w:val="0"/>
        <w:spacing w:line="360" w:lineRule="auto"/>
        <w:rPr>
          <w:b/>
          <w:bCs/>
          <w:color w:val="auto"/>
          <w:sz w:val="21"/>
          <w:szCs w:val="21"/>
          <w:highlight w:val="none"/>
        </w:rPr>
      </w:pPr>
      <w:r>
        <w:rPr>
          <w:rFonts w:hint="eastAsia"/>
          <w:b/>
          <w:bCs/>
          <w:color w:val="auto"/>
          <w:sz w:val="21"/>
          <w:szCs w:val="21"/>
          <w:highlight w:val="none"/>
        </w:rPr>
        <w:t>2.如供应商是事业单位，提供有效的“事业单位法人证书”；</w:t>
      </w:r>
    </w:p>
    <w:p>
      <w:pPr>
        <w:adjustRightInd w:val="0"/>
        <w:snapToGrid w:val="0"/>
        <w:spacing w:line="360" w:lineRule="auto"/>
        <w:rPr>
          <w:b/>
          <w:bCs/>
          <w:color w:val="auto"/>
          <w:sz w:val="21"/>
          <w:szCs w:val="21"/>
          <w:highlight w:val="none"/>
        </w:rPr>
      </w:pPr>
      <w:r>
        <w:rPr>
          <w:rFonts w:hint="eastAsia"/>
          <w:b/>
          <w:bCs/>
          <w:color w:val="auto"/>
          <w:sz w:val="21"/>
          <w:szCs w:val="21"/>
          <w:highlight w:val="none"/>
        </w:rPr>
        <w:t>3.如供应商是非企业专业服务机构的，提供执业许可证等证明文件；</w:t>
      </w:r>
    </w:p>
    <w:p>
      <w:pPr>
        <w:adjustRightInd w:val="0"/>
        <w:snapToGrid w:val="0"/>
        <w:spacing w:line="360" w:lineRule="auto"/>
        <w:rPr>
          <w:b/>
          <w:bCs/>
          <w:color w:val="auto"/>
          <w:sz w:val="21"/>
          <w:szCs w:val="21"/>
          <w:highlight w:val="none"/>
        </w:rPr>
      </w:pPr>
      <w:r>
        <w:rPr>
          <w:rFonts w:hint="eastAsia"/>
          <w:b/>
          <w:bCs/>
          <w:color w:val="auto"/>
          <w:sz w:val="21"/>
          <w:szCs w:val="21"/>
          <w:highlight w:val="none"/>
        </w:rPr>
        <w:t>4.如供应商是个体工商户，提供有效的“个体工商户营业执照”；</w:t>
      </w:r>
    </w:p>
    <w:p>
      <w:pPr>
        <w:adjustRightInd w:val="0"/>
        <w:snapToGrid w:val="0"/>
        <w:spacing w:line="360" w:lineRule="auto"/>
        <w:rPr>
          <w:b/>
          <w:bCs/>
          <w:color w:val="auto"/>
          <w:sz w:val="21"/>
          <w:szCs w:val="21"/>
          <w:highlight w:val="none"/>
        </w:rPr>
      </w:pPr>
      <w:r>
        <w:rPr>
          <w:rFonts w:hint="eastAsia"/>
          <w:b/>
          <w:bCs/>
          <w:color w:val="auto"/>
          <w:sz w:val="21"/>
          <w:szCs w:val="21"/>
          <w:highlight w:val="none"/>
        </w:rPr>
        <w:t>5.如供应商是自然人，提供有效的自然人身份证明。</w:t>
      </w:r>
    </w:p>
    <w:p>
      <w:pPr>
        <w:rPr>
          <w:color w:val="auto"/>
          <w:highlight w:val="none"/>
        </w:rPr>
      </w:pPr>
      <w:r>
        <w:rPr>
          <w:rFonts w:hint="eastAsia"/>
          <w:color w:val="auto"/>
          <w:highlight w:val="none"/>
        </w:rPr>
        <w:br w:type="page"/>
      </w:r>
    </w:p>
    <w:p>
      <w:pPr>
        <w:adjustRightInd w:val="0"/>
        <w:snapToGrid w:val="0"/>
        <w:spacing w:line="360" w:lineRule="auto"/>
        <w:jc w:val="center"/>
        <w:outlineLvl w:val="2"/>
        <w:rPr>
          <w:rFonts w:cs="Times New Roman"/>
          <w:b/>
          <w:bCs/>
          <w:color w:val="auto"/>
          <w:highlight w:val="none"/>
          <w:shd w:val="clear" w:color="auto" w:fill="FFFFFF"/>
        </w:rPr>
      </w:pPr>
      <w:r>
        <w:rPr>
          <w:rFonts w:hint="eastAsia" w:cs="Times New Roman"/>
          <w:b/>
          <w:color w:val="auto"/>
          <w:spacing w:val="-6"/>
          <w:highlight w:val="none"/>
        </w:rPr>
        <w:t>（2）</w:t>
      </w:r>
      <w:r>
        <w:rPr>
          <w:rFonts w:hint="eastAsia" w:cs="Times New Roman"/>
          <w:b/>
          <w:bCs/>
          <w:color w:val="auto"/>
          <w:highlight w:val="none"/>
        </w:rPr>
        <w:t>资格条件承诺函</w:t>
      </w:r>
    </w:p>
    <w:p>
      <w:pPr>
        <w:adjustRightInd w:val="0"/>
        <w:snapToGrid w:val="0"/>
        <w:spacing w:line="360" w:lineRule="auto"/>
        <w:rPr>
          <w:rFonts w:cs="Times New Roman"/>
          <w:color w:val="auto"/>
          <w:highlight w:val="none"/>
          <w:shd w:val="clear" w:color="auto" w:fill="FFFFFF"/>
        </w:rPr>
      </w:pPr>
    </w:p>
    <w:p>
      <w:pPr>
        <w:adjustRightInd w:val="0"/>
        <w:snapToGrid w:val="0"/>
        <w:spacing w:line="360" w:lineRule="auto"/>
        <w:rPr>
          <w:rFonts w:cs="Times New Roman"/>
          <w:b/>
          <w:bCs/>
          <w:color w:val="auto"/>
          <w:spacing w:val="-6"/>
          <w:highlight w:val="none"/>
        </w:rPr>
      </w:pPr>
      <w:r>
        <w:rPr>
          <w:rFonts w:hint="eastAsia" w:cs="Times New Roman"/>
          <w:b/>
          <w:bCs/>
          <w:color w:val="auto"/>
          <w:spacing w:val="-6"/>
          <w:highlight w:val="none"/>
        </w:rPr>
        <w:t>致：杭州电子科技大学、浙江求是招标代理有限公司</w:t>
      </w:r>
    </w:p>
    <w:p>
      <w:pPr>
        <w:adjustRightInd w:val="0"/>
        <w:snapToGrid w:val="0"/>
        <w:spacing w:line="360" w:lineRule="auto"/>
        <w:ind w:firstLine="456" w:firstLineChars="200"/>
        <w:rPr>
          <w:rFonts w:cs="Times New Roman"/>
          <w:color w:val="auto"/>
          <w:spacing w:val="-6"/>
          <w:highlight w:val="none"/>
        </w:rPr>
      </w:pPr>
    </w:p>
    <w:p>
      <w:pPr>
        <w:adjustRightInd w:val="0"/>
        <w:snapToGrid w:val="0"/>
        <w:spacing w:line="360" w:lineRule="auto"/>
        <w:ind w:firstLine="456" w:firstLineChars="200"/>
        <w:rPr>
          <w:rFonts w:cs="Times New Roman"/>
          <w:color w:val="auto"/>
          <w:spacing w:val="-6"/>
          <w:highlight w:val="none"/>
        </w:rPr>
      </w:pPr>
      <w:r>
        <w:rPr>
          <w:rFonts w:hint="eastAsia" w:cs="Times New Roman"/>
          <w:color w:val="auto"/>
          <w:spacing w:val="-6"/>
          <w:highlight w:val="none"/>
        </w:rPr>
        <w:t>我方</w:t>
      </w:r>
      <w:r>
        <w:rPr>
          <w:rFonts w:hint="eastAsia" w:cs="Times New Roman"/>
          <w:color w:val="auto"/>
          <w:spacing w:val="-6"/>
          <w:highlight w:val="none"/>
          <w:u w:val="single"/>
        </w:rPr>
        <w:t xml:space="preserve">（供应商名称） </w:t>
      </w:r>
      <w:r>
        <w:rPr>
          <w:rFonts w:cs="Times New Roman"/>
          <w:color w:val="auto"/>
          <w:spacing w:val="-6"/>
          <w:highlight w:val="none"/>
          <w:u w:val="single"/>
        </w:rPr>
        <w:t xml:space="preserve">     </w:t>
      </w:r>
      <w:r>
        <w:rPr>
          <w:rFonts w:hint="eastAsia" w:cs="Times New Roman"/>
          <w:color w:val="auto"/>
          <w:spacing w:val="-6"/>
          <w:highlight w:val="none"/>
          <w:u w:val="single"/>
        </w:rPr>
        <w:t xml:space="preserve"> </w:t>
      </w:r>
      <w:r>
        <w:rPr>
          <w:rFonts w:cs="Times New Roman"/>
          <w:color w:val="auto"/>
          <w:spacing w:val="-6"/>
          <w:highlight w:val="none"/>
          <w:u w:val="single"/>
        </w:rPr>
        <w:t xml:space="preserve"> </w:t>
      </w:r>
      <w:r>
        <w:rPr>
          <w:rFonts w:hint="eastAsia" w:cs="Times New Roman"/>
          <w:color w:val="auto"/>
          <w:spacing w:val="-6"/>
          <w:highlight w:val="none"/>
        </w:rPr>
        <w:t>参加</w:t>
      </w:r>
      <w:r>
        <w:rPr>
          <w:rFonts w:hint="eastAsia" w:cs="Times New Roman"/>
          <w:color w:val="auto"/>
          <w:spacing w:val="-6"/>
          <w:highlight w:val="none"/>
          <w:u w:val="single"/>
        </w:rPr>
        <w:t xml:space="preserve">（项目名称） </w:t>
      </w:r>
      <w:r>
        <w:rPr>
          <w:rFonts w:cs="Times New Roman"/>
          <w:color w:val="auto"/>
          <w:spacing w:val="-6"/>
          <w:highlight w:val="none"/>
          <w:u w:val="single"/>
        </w:rPr>
        <w:t xml:space="preserve">      </w:t>
      </w:r>
      <w:r>
        <w:rPr>
          <w:rFonts w:hint="eastAsia" w:cs="Times New Roman"/>
          <w:color w:val="auto"/>
          <w:spacing w:val="-6"/>
          <w:highlight w:val="none"/>
          <w:u w:val="single"/>
        </w:rPr>
        <w:t xml:space="preserve"> </w:t>
      </w:r>
      <w:r>
        <w:rPr>
          <w:rFonts w:hint="eastAsia" w:cs="Times New Roman"/>
          <w:color w:val="auto"/>
          <w:spacing w:val="-6"/>
          <w:highlight w:val="none"/>
        </w:rPr>
        <w:t>项目的采购活动并承诺如下：</w:t>
      </w:r>
    </w:p>
    <w:p>
      <w:pPr>
        <w:adjustRightInd w:val="0"/>
        <w:snapToGrid w:val="0"/>
        <w:spacing w:line="360" w:lineRule="auto"/>
        <w:ind w:firstLine="456" w:firstLineChars="200"/>
        <w:rPr>
          <w:rFonts w:cs="Times New Roman"/>
          <w:color w:val="auto"/>
          <w:spacing w:val="-6"/>
          <w:highlight w:val="none"/>
        </w:rPr>
      </w:pPr>
      <w:r>
        <w:rPr>
          <w:rFonts w:hint="eastAsia" w:cs="Times New Roman"/>
          <w:color w:val="auto"/>
          <w:spacing w:val="-6"/>
          <w:highlight w:val="none"/>
        </w:rPr>
        <w:t>我方符合参与本次政府采购活动的资格条件，并且没有税收缴纳、社会保障等方面的失信记录。</w:t>
      </w:r>
    </w:p>
    <w:p>
      <w:pPr>
        <w:adjustRightInd w:val="0"/>
        <w:snapToGrid w:val="0"/>
        <w:spacing w:line="360" w:lineRule="auto"/>
        <w:ind w:firstLine="456" w:firstLineChars="200"/>
        <w:rPr>
          <w:rFonts w:cs="Times New Roman"/>
          <w:color w:val="auto"/>
          <w:spacing w:val="-6"/>
          <w:highlight w:val="none"/>
        </w:rPr>
      </w:pPr>
      <w:r>
        <w:rPr>
          <w:rFonts w:hint="eastAsia" w:cs="Times New Roman"/>
          <w:color w:val="auto"/>
          <w:spacing w:val="-6"/>
          <w:highlight w:val="none"/>
        </w:rPr>
        <w:t>我方满足《中华人民共和国政府采购法》第二十二条规定：</w:t>
      </w:r>
    </w:p>
    <w:p>
      <w:pPr>
        <w:adjustRightInd w:val="0"/>
        <w:snapToGrid w:val="0"/>
        <w:spacing w:line="360" w:lineRule="auto"/>
        <w:ind w:firstLine="456" w:firstLineChars="200"/>
        <w:rPr>
          <w:rFonts w:cs="Times New Roman"/>
          <w:color w:val="auto"/>
          <w:spacing w:val="-6"/>
          <w:highlight w:val="none"/>
        </w:rPr>
      </w:pPr>
      <w:r>
        <w:rPr>
          <w:rFonts w:hint="eastAsia" w:cs="Times New Roman"/>
          <w:color w:val="auto"/>
          <w:spacing w:val="-6"/>
          <w:highlight w:val="none"/>
        </w:rPr>
        <w:t>（一）具有独立承担民事责任的能力；</w:t>
      </w:r>
    </w:p>
    <w:p>
      <w:pPr>
        <w:adjustRightInd w:val="0"/>
        <w:snapToGrid w:val="0"/>
        <w:spacing w:line="360" w:lineRule="auto"/>
        <w:ind w:firstLine="456" w:firstLineChars="200"/>
        <w:rPr>
          <w:rFonts w:cs="Times New Roman"/>
          <w:color w:val="auto"/>
          <w:spacing w:val="-6"/>
          <w:highlight w:val="none"/>
        </w:rPr>
      </w:pPr>
      <w:r>
        <w:rPr>
          <w:rFonts w:hint="eastAsia" w:cs="Times New Roman"/>
          <w:color w:val="auto"/>
          <w:spacing w:val="-6"/>
          <w:highlight w:val="none"/>
        </w:rPr>
        <w:t>（二）具有良好的商业信誉和健全的财务会计制度；</w:t>
      </w:r>
    </w:p>
    <w:p>
      <w:pPr>
        <w:adjustRightInd w:val="0"/>
        <w:snapToGrid w:val="0"/>
        <w:spacing w:line="360" w:lineRule="auto"/>
        <w:ind w:firstLine="456" w:firstLineChars="200"/>
        <w:rPr>
          <w:rFonts w:cs="Times New Roman"/>
          <w:color w:val="auto"/>
          <w:spacing w:val="-6"/>
          <w:highlight w:val="none"/>
        </w:rPr>
      </w:pPr>
      <w:r>
        <w:rPr>
          <w:rFonts w:hint="eastAsia" w:cs="Times New Roman"/>
          <w:color w:val="auto"/>
          <w:spacing w:val="-6"/>
          <w:highlight w:val="none"/>
        </w:rPr>
        <w:t>（三）具有履行合同所必需的设备和专业技术能力；</w:t>
      </w:r>
    </w:p>
    <w:p>
      <w:pPr>
        <w:adjustRightInd w:val="0"/>
        <w:snapToGrid w:val="0"/>
        <w:spacing w:line="360" w:lineRule="auto"/>
        <w:ind w:firstLine="456" w:firstLineChars="200"/>
        <w:rPr>
          <w:rFonts w:cs="Times New Roman"/>
          <w:color w:val="auto"/>
          <w:spacing w:val="-6"/>
          <w:highlight w:val="none"/>
        </w:rPr>
      </w:pPr>
      <w:r>
        <w:rPr>
          <w:rFonts w:hint="eastAsia" w:cs="Times New Roman"/>
          <w:color w:val="auto"/>
          <w:spacing w:val="-6"/>
          <w:highlight w:val="none"/>
        </w:rPr>
        <w:t>（四）有依法缴纳税收和社会保障资金的良好记录；</w:t>
      </w:r>
    </w:p>
    <w:p>
      <w:pPr>
        <w:adjustRightInd w:val="0"/>
        <w:snapToGrid w:val="0"/>
        <w:spacing w:line="360" w:lineRule="auto"/>
        <w:ind w:firstLine="456" w:firstLineChars="200"/>
        <w:rPr>
          <w:rFonts w:cs="Times New Roman"/>
          <w:color w:val="auto"/>
          <w:spacing w:val="-6"/>
          <w:highlight w:val="none"/>
        </w:rPr>
      </w:pPr>
      <w:r>
        <w:rPr>
          <w:rFonts w:hint="eastAsia" w:cs="Times New Roman"/>
          <w:color w:val="auto"/>
          <w:spacing w:val="-6"/>
          <w:highlight w:val="none"/>
        </w:rPr>
        <w:t>（五）参加本项目政府采购活动前三年内，在经营活动中</w:t>
      </w:r>
      <w:r>
        <w:rPr>
          <w:rFonts w:hint="eastAsia" w:cs="Times New Roman"/>
          <w:b/>
          <w:color w:val="auto"/>
          <w:spacing w:val="-6"/>
          <w:highlight w:val="none"/>
          <w:u w:val="single"/>
        </w:rPr>
        <w:t xml:space="preserve">  没有  </w:t>
      </w:r>
      <w:r>
        <w:rPr>
          <w:rFonts w:hint="eastAsia" w:cs="Times New Roman"/>
          <w:color w:val="auto"/>
          <w:spacing w:val="-6"/>
          <w:highlight w:val="none"/>
        </w:rPr>
        <w:t>重大违法记录。（重大违法记录是指供应商因违法经营受到刑事处罚或者责令停产停业、吊销许可证或者执照、较大数额罚款等行政处罚）</w:t>
      </w:r>
    </w:p>
    <w:p>
      <w:pPr>
        <w:adjustRightInd w:val="0"/>
        <w:snapToGrid w:val="0"/>
        <w:spacing w:line="360" w:lineRule="auto"/>
        <w:ind w:firstLine="456" w:firstLineChars="200"/>
        <w:rPr>
          <w:rFonts w:cs="Times New Roman"/>
          <w:color w:val="auto"/>
          <w:spacing w:val="-6"/>
          <w:highlight w:val="none"/>
        </w:rPr>
      </w:pPr>
      <w:r>
        <w:rPr>
          <w:rFonts w:hint="eastAsia" w:cs="Times New Roman"/>
          <w:color w:val="auto"/>
          <w:spacing w:val="-6"/>
          <w:highlight w:val="none"/>
        </w:rPr>
        <w:t>（六）法律、行政法规规定的其他条件。</w:t>
      </w:r>
    </w:p>
    <w:p>
      <w:pPr>
        <w:adjustRightInd w:val="0"/>
        <w:snapToGrid w:val="0"/>
        <w:spacing w:line="360" w:lineRule="auto"/>
        <w:ind w:firstLine="456" w:firstLineChars="200"/>
        <w:rPr>
          <w:rFonts w:cs="Times New Roman"/>
          <w:color w:val="auto"/>
          <w:spacing w:val="-6"/>
          <w:highlight w:val="none"/>
        </w:rPr>
      </w:pPr>
      <w:r>
        <w:rPr>
          <w:rFonts w:cs="Times New Roman"/>
          <w:color w:val="auto"/>
          <w:spacing w:val="-6"/>
          <w:highlight w:val="none"/>
        </w:rPr>
        <w:t>以上事项如有虚假或隐瞒，我方愿意承担一切后果和责任。</w:t>
      </w:r>
    </w:p>
    <w:p>
      <w:pPr>
        <w:adjustRightInd w:val="0"/>
        <w:snapToGrid w:val="0"/>
        <w:spacing w:line="360" w:lineRule="auto"/>
        <w:rPr>
          <w:rFonts w:cs="Times New Roman"/>
          <w:color w:val="auto"/>
          <w:highlight w:val="none"/>
        </w:rPr>
      </w:pPr>
    </w:p>
    <w:p>
      <w:pPr>
        <w:adjustRightInd w:val="0"/>
        <w:snapToGrid w:val="0"/>
        <w:spacing w:line="360" w:lineRule="auto"/>
        <w:rPr>
          <w:rFonts w:cs="Times New Roman"/>
          <w:b/>
          <w:bCs/>
          <w:color w:val="auto"/>
          <w:spacing w:val="-6"/>
          <w:highlight w:val="none"/>
        </w:rPr>
      </w:pPr>
      <w:r>
        <w:rPr>
          <w:rFonts w:hint="eastAsia" w:cs="Times New Roman"/>
          <w:b/>
          <w:bCs/>
          <w:color w:val="auto"/>
          <w:spacing w:val="-6"/>
          <w:highlight w:val="none"/>
        </w:rPr>
        <w:t>供应商名称（盖章）：</w:t>
      </w:r>
    </w:p>
    <w:p>
      <w:pPr>
        <w:adjustRightInd w:val="0"/>
        <w:snapToGrid w:val="0"/>
        <w:spacing w:line="360" w:lineRule="auto"/>
        <w:rPr>
          <w:rFonts w:cs="Times New Roman"/>
          <w:b/>
          <w:bCs/>
          <w:color w:val="auto"/>
          <w:spacing w:val="-6"/>
          <w:highlight w:val="none"/>
        </w:rPr>
      </w:pPr>
      <w:r>
        <w:rPr>
          <w:rFonts w:hint="eastAsia" w:cs="Times New Roman"/>
          <w:b/>
          <w:bCs/>
          <w:color w:val="auto"/>
          <w:spacing w:val="-6"/>
          <w:highlight w:val="none"/>
        </w:rPr>
        <w:t>供应商代表签字：</w:t>
      </w:r>
    </w:p>
    <w:p>
      <w:pPr>
        <w:adjustRightInd w:val="0"/>
        <w:snapToGrid w:val="0"/>
        <w:spacing w:line="360" w:lineRule="auto"/>
        <w:rPr>
          <w:rFonts w:cs="Times New Roman"/>
          <w:b/>
          <w:bCs/>
          <w:color w:val="auto"/>
          <w:spacing w:val="-6"/>
          <w:highlight w:val="none"/>
        </w:rPr>
      </w:pPr>
      <w:r>
        <w:rPr>
          <w:rFonts w:hint="eastAsia" w:cs="Times New Roman"/>
          <w:b/>
          <w:bCs/>
          <w:color w:val="auto"/>
          <w:spacing w:val="-6"/>
          <w:highlight w:val="none"/>
        </w:rPr>
        <w:t>日期：     年   月   日</w:t>
      </w:r>
    </w:p>
    <w:p>
      <w:pPr>
        <w:widowControl/>
        <w:jc w:val="left"/>
        <w:rPr>
          <w:color w:val="auto"/>
          <w:highlight w:val="none"/>
        </w:rPr>
      </w:pPr>
      <w:r>
        <w:rPr>
          <w:color w:val="auto"/>
          <w:highlight w:val="none"/>
        </w:rPr>
        <w:br w:type="page"/>
      </w:r>
    </w:p>
    <w:p>
      <w:pPr>
        <w:spacing w:line="360" w:lineRule="auto"/>
        <w:jc w:val="center"/>
        <w:outlineLvl w:val="2"/>
        <w:rPr>
          <w:b/>
          <w:color w:val="auto"/>
          <w:spacing w:val="-6"/>
          <w:highlight w:val="none"/>
        </w:rPr>
      </w:pPr>
      <w:r>
        <w:rPr>
          <w:rFonts w:hint="eastAsia"/>
          <w:b/>
          <w:color w:val="auto"/>
          <w:spacing w:val="-6"/>
          <w:highlight w:val="none"/>
        </w:rPr>
        <w:t>（</w:t>
      </w:r>
      <w:r>
        <w:rPr>
          <w:b/>
          <w:color w:val="auto"/>
          <w:spacing w:val="-6"/>
          <w:highlight w:val="none"/>
        </w:rPr>
        <w:t>3）落实政府采购政策需满足的资格要求：无</w:t>
      </w:r>
    </w:p>
    <w:p>
      <w:pPr>
        <w:spacing w:line="360" w:lineRule="auto"/>
        <w:jc w:val="center"/>
        <w:outlineLvl w:val="2"/>
        <w:rPr>
          <w:b/>
          <w:color w:val="auto"/>
          <w:spacing w:val="-6"/>
          <w:highlight w:val="none"/>
        </w:rPr>
      </w:pPr>
      <w:r>
        <w:rPr>
          <w:rFonts w:hint="eastAsia"/>
          <w:b/>
          <w:color w:val="auto"/>
          <w:spacing w:val="-6"/>
          <w:highlight w:val="none"/>
        </w:rPr>
        <w:t>（</w:t>
      </w:r>
      <w:r>
        <w:rPr>
          <w:b/>
          <w:color w:val="auto"/>
          <w:spacing w:val="-6"/>
          <w:highlight w:val="none"/>
        </w:rPr>
        <w:t>4</w:t>
      </w:r>
      <w:r>
        <w:rPr>
          <w:rFonts w:hint="eastAsia"/>
          <w:b/>
          <w:color w:val="auto"/>
          <w:spacing w:val="-6"/>
          <w:highlight w:val="none"/>
        </w:rPr>
        <w:t>）供应商特定资格条件证明材料：无</w:t>
      </w:r>
    </w:p>
    <w:p>
      <w:pPr>
        <w:rPr>
          <w:color w:val="auto"/>
          <w:highlight w:val="none"/>
        </w:rPr>
      </w:pPr>
      <w:r>
        <w:rPr>
          <w:rFonts w:hint="eastAsia"/>
          <w:color w:val="auto"/>
          <w:highlight w:val="none"/>
        </w:rPr>
        <w:br w:type="page"/>
      </w: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jc w:val="center"/>
        <w:outlineLvl w:val="1"/>
        <w:rPr>
          <w:b/>
          <w:bCs/>
          <w:color w:val="auto"/>
          <w:sz w:val="84"/>
          <w:szCs w:val="84"/>
          <w:highlight w:val="none"/>
        </w:rPr>
      </w:pPr>
      <w:r>
        <w:rPr>
          <w:rFonts w:hint="eastAsia"/>
          <w:b/>
          <w:bCs/>
          <w:color w:val="auto"/>
          <w:sz w:val="84"/>
          <w:szCs w:val="84"/>
          <w:highlight w:val="none"/>
        </w:rPr>
        <w:t>报价文件</w:t>
      </w:r>
    </w:p>
    <w:p>
      <w:pPr>
        <w:rPr>
          <w:color w:val="auto"/>
          <w:highlight w:val="none"/>
        </w:rPr>
      </w:pPr>
      <w:r>
        <w:rPr>
          <w:rFonts w:hint="eastAsia"/>
          <w:color w:val="auto"/>
          <w:highlight w:val="none"/>
        </w:rPr>
        <w:br w:type="page"/>
      </w:r>
    </w:p>
    <w:p>
      <w:pPr>
        <w:adjustRightInd w:val="0"/>
        <w:snapToGrid w:val="0"/>
        <w:spacing w:line="360" w:lineRule="auto"/>
        <w:jc w:val="center"/>
        <w:outlineLvl w:val="2"/>
        <w:rPr>
          <w:b/>
          <w:bCs/>
          <w:color w:val="auto"/>
          <w:highlight w:val="none"/>
        </w:rPr>
      </w:pPr>
      <w:r>
        <w:rPr>
          <w:rFonts w:hint="eastAsia"/>
          <w:b/>
          <w:bCs/>
          <w:color w:val="auto"/>
          <w:highlight w:val="none"/>
        </w:rPr>
        <w:t>（1）初次报价一览表</w:t>
      </w:r>
    </w:p>
    <w:p>
      <w:pPr>
        <w:adjustRightInd w:val="0"/>
        <w:snapToGrid w:val="0"/>
        <w:spacing w:line="360" w:lineRule="auto"/>
        <w:rPr>
          <w:color w:val="auto"/>
          <w:highlight w:val="none"/>
        </w:rPr>
      </w:pPr>
      <w:r>
        <w:rPr>
          <w:rFonts w:hint="eastAsia"/>
          <w:color w:val="auto"/>
          <w:highlight w:val="none"/>
        </w:rPr>
        <w:t>采 购 人：杭州电子科技大学</w:t>
      </w:r>
    </w:p>
    <w:p>
      <w:pPr>
        <w:adjustRightInd w:val="0"/>
        <w:snapToGrid w:val="0"/>
        <w:spacing w:line="360" w:lineRule="auto"/>
        <w:rPr>
          <w:color w:val="auto"/>
          <w:highlight w:val="none"/>
        </w:rPr>
      </w:pPr>
      <w:r>
        <w:rPr>
          <w:rFonts w:hint="eastAsia"/>
          <w:color w:val="auto"/>
          <w:highlight w:val="none"/>
        </w:rPr>
        <w:t>项目名称：示波器、数据处理卡等</w:t>
      </w:r>
    </w:p>
    <w:p>
      <w:pPr>
        <w:adjustRightInd w:val="0"/>
        <w:snapToGrid w:val="0"/>
        <w:spacing w:line="360" w:lineRule="auto"/>
        <w:rPr>
          <w:color w:val="auto"/>
          <w:highlight w:val="none"/>
        </w:rPr>
      </w:pPr>
      <w:r>
        <w:rPr>
          <w:rFonts w:hint="eastAsia"/>
          <w:color w:val="auto"/>
          <w:highlight w:val="none"/>
        </w:rPr>
        <w:t>项目编号：QSZB-Z(H)-B21352(CS)</w:t>
      </w:r>
    </w:p>
    <w:tbl>
      <w:tblPr>
        <w:tblStyle w:val="10"/>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9628" w:type="dxa"/>
            <w:vAlign w:val="center"/>
          </w:tcPr>
          <w:p>
            <w:pPr>
              <w:adjustRightInd w:val="0"/>
              <w:snapToGrid w:val="0"/>
              <w:jc w:val="center"/>
              <w:rPr>
                <w:color w:val="auto"/>
                <w:highlight w:val="none"/>
              </w:rPr>
            </w:pPr>
            <w:r>
              <w:rPr>
                <w:rFonts w:hint="eastAsia"/>
                <w:b/>
                <w:bCs/>
                <w:color w:val="auto"/>
                <w:highlight w:val="none"/>
              </w:rPr>
              <w:t>磋商响应总价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9628" w:type="dxa"/>
            <w:vAlign w:val="center"/>
          </w:tcPr>
          <w:p>
            <w:pPr>
              <w:adjustRightInd w:val="0"/>
              <w:snapToGrid w:val="0"/>
              <w:rPr>
                <w:color w:val="auto"/>
                <w:highlight w:val="none"/>
              </w:rPr>
            </w:pPr>
          </w:p>
          <w:p>
            <w:pPr>
              <w:adjustRightInd w:val="0"/>
              <w:snapToGrid w:val="0"/>
              <w:rPr>
                <w:b/>
                <w:bCs/>
                <w:color w:val="auto"/>
                <w:highlight w:val="none"/>
              </w:rPr>
            </w:pPr>
            <w:r>
              <w:rPr>
                <w:rFonts w:hint="eastAsia"/>
                <w:b/>
                <w:bCs/>
                <w:color w:val="auto"/>
                <w:highlight w:val="none"/>
              </w:rPr>
              <w:t>金额大写：______________________________小写：______________________________</w:t>
            </w:r>
          </w:p>
          <w:p>
            <w:pPr>
              <w:adjustRightInd w:val="0"/>
              <w:snapToGrid w:val="0"/>
              <w:rPr>
                <w:color w:val="auto"/>
                <w:highlight w:val="none"/>
              </w:rPr>
            </w:pPr>
          </w:p>
          <w:p>
            <w:pPr>
              <w:adjustRightInd w:val="0"/>
              <w:snapToGrid w:val="0"/>
              <w:rPr>
                <w:color w:val="auto"/>
                <w:highlight w:val="none"/>
              </w:rPr>
            </w:pPr>
            <w:r>
              <w:rPr>
                <w:rFonts w:hint="eastAsia"/>
                <w:b/>
                <w:bCs/>
                <w:color w:val="auto"/>
                <w:highlight w:val="none"/>
              </w:rPr>
              <w:t>单位：人民币元</w:t>
            </w:r>
          </w:p>
        </w:tc>
      </w:tr>
    </w:tbl>
    <w:p>
      <w:pPr>
        <w:adjustRightInd w:val="0"/>
        <w:snapToGrid w:val="0"/>
        <w:spacing w:line="360" w:lineRule="auto"/>
        <w:rPr>
          <w:color w:val="auto"/>
          <w:highlight w:val="none"/>
        </w:rPr>
      </w:pPr>
    </w:p>
    <w:p>
      <w:pPr>
        <w:adjustRightInd w:val="0"/>
        <w:snapToGrid w:val="0"/>
        <w:spacing w:line="360" w:lineRule="auto"/>
        <w:rPr>
          <w:b/>
          <w:bCs/>
          <w:color w:val="auto"/>
          <w:sz w:val="21"/>
          <w:szCs w:val="21"/>
          <w:highlight w:val="none"/>
        </w:rPr>
      </w:pPr>
      <w:r>
        <w:rPr>
          <w:rFonts w:hint="eastAsia"/>
          <w:b/>
          <w:bCs/>
          <w:color w:val="auto"/>
          <w:sz w:val="21"/>
          <w:szCs w:val="21"/>
          <w:highlight w:val="none"/>
        </w:rPr>
        <w:t>说明：磋商响应总价是履行合同的最终价格，应包括完成所有产品供货及履行所有规定服务所产生的全部税、费。</w:t>
      </w: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r>
        <w:rPr>
          <w:rFonts w:hint="eastAsia"/>
          <w:color w:val="auto"/>
          <w:highlight w:val="none"/>
        </w:rPr>
        <w:t>供应商名称（盖章）：</w:t>
      </w:r>
    </w:p>
    <w:p>
      <w:pPr>
        <w:adjustRightInd w:val="0"/>
        <w:snapToGrid w:val="0"/>
        <w:spacing w:line="360" w:lineRule="auto"/>
        <w:rPr>
          <w:color w:val="auto"/>
          <w:highlight w:val="none"/>
        </w:rPr>
      </w:pPr>
      <w:r>
        <w:rPr>
          <w:rFonts w:hint="eastAsia"/>
          <w:color w:val="auto"/>
          <w:highlight w:val="none"/>
        </w:rPr>
        <w:t>供应商代表签字：</w:t>
      </w:r>
    </w:p>
    <w:p>
      <w:pPr>
        <w:adjustRightInd w:val="0"/>
        <w:snapToGrid w:val="0"/>
        <w:spacing w:line="360" w:lineRule="auto"/>
        <w:rPr>
          <w:color w:val="auto"/>
          <w:highlight w:val="none"/>
        </w:rPr>
      </w:pPr>
      <w:r>
        <w:rPr>
          <w:rFonts w:hint="eastAsia"/>
          <w:color w:val="auto"/>
          <w:highlight w:val="none"/>
        </w:rPr>
        <w:t>日期：________年____月____日</w:t>
      </w:r>
    </w:p>
    <w:p>
      <w:pPr>
        <w:rPr>
          <w:color w:val="auto"/>
          <w:highlight w:val="none"/>
        </w:rPr>
      </w:pPr>
      <w:r>
        <w:rPr>
          <w:rFonts w:hint="eastAsia"/>
          <w:color w:val="auto"/>
          <w:highlight w:val="none"/>
        </w:rPr>
        <w:br w:type="page"/>
      </w:r>
    </w:p>
    <w:p>
      <w:pPr>
        <w:adjustRightInd w:val="0"/>
        <w:snapToGrid w:val="0"/>
        <w:spacing w:line="360" w:lineRule="auto"/>
        <w:jc w:val="center"/>
        <w:outlineLvl w:val="2"/>
        <w:rPr>
          <w:b/>
          <w:bCs/>
          <w:color w:val="auto"/>
          <w:highlight w:val="none"/>
        </w:rPr>
      </w:pPr>
      <w:r>
        <w:rPr>
          <w:rFonts w:hint="eastAsia"/>
          <w:b/>
          <w:bCs/>
          <w:color w:val="auto"/>
          <w:highlight w:val="none"/>
        </w:rPr>
        <w:t>（2）初次报价明细表</w:t>
      </w:r>
    </w:p>
    <w:p>
      <w:pPr>
        <w:adjustRightInd w:val="0"/>
        <w:snapToGrid w:val="0"/>
        <w:spacing w:line="360" w:lineRule="auto"/>
        <w:jc w:val="right"/>
        <w:rPr>
          <w:b/>
          <w:bCs/>
          <w:color w:val="auto"/>
          <w:sz w:val="21"/>
          <w:szCs w:val="21"/>
          <w:highlight w:val="none"/>
        </w:rPr>
      </w:pPr>
      <w:r>
        <w:rPr>
          <w:rFonts w:hint="eastAsia"/>
          <w:b/>
          <w:bCs/>
          <w:color w:val="auto"/>
          <w:sz w:val="21"/>
          <w:szCs w:val="21"/>
          <w:highlight w:val="none"/>
        </w:rPr>
        <w:t>金额单位：人民币元</w:t>
      </w:r>
    </w:p>
    <w:tbl>
      <w:tblPr>
        <w:tblStyle w:val="10"/>
        <w:tblW w:w="961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3"/>
        <w:gridCol w:w="1589"/>
        <w:gridCol w:w="1202"/>
        <w:gridCol w:w="1202"/>
        <w:gridCol w:w="1202"/>
        <w:gridCol w:w="1202"/>
        <w:gridCol w:w="1202"/>
        <w:gridCol w:w="12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813" w:type="dxa"/>
            <w:vAlign w:val="center"/>
          </w:tcPr>
          <w:p>
            <w:pPr>
              <w:adjustRightInd w:val="0"/>
              <w:snapToGrid w:val="0"/>
              <w:jc w:val="center"/>
              <w:rPr>
                <w:b/>
                <w:bCs/>
                <w:color w:val="auto"/>
                <w:sz w:val="21"/>
                <w:szCs w:val="21"/>
                <w:highlight w:val="none"/>
              </w:rPr>
            </w:pPr>
            <w:r>
              <w:rPr>
                <w:rFonts w:hint="eastAsia"/>
                <w:b/>
                <w:bCs/>
                <w:color w:val="auto"/>
                <w:sz w:val="21"/>
                <w:szCs w:val="21"/>
                <w:highlight w:val="none"/>
              </w:rPr>
              <w:t>序号</w:t>
            </w:r>
          </w:p>
        </w:tc>
        <w:tc>
          <w:tcPr>
            <w:tcW w:w="1589" w:type="dxa"/>
            <w:vAlign w:val="center"/>
          </w:tcPr>
          <w:p>
            <w:pPr>
              <w:adjustRightInd w:val="0"/>
              <w:snapToGrid w:val="0"/>
              <w:jc w:val="center"/>
              <w:rPr>
                <w:b/>
                <w:bCs/>
                <w:color w:val="auto"/>
                <w:sz w:val="21"/>
                <w:szCs w:val="21"/>
                <w:highlight w:val="none"/>
              </w:rPr>
            </w:pPr>
            <w:r>
              <w:rPr>
                <w:rFonts w:hint="eastAsia"/>
                <w:b/>
                <w:bCs/>
                <w:color w:val="auto"/>
                <w:sz w:val="21"/>
                <w:szCs w:val="21"/>
                <w:highlight w:val="none"/>
              </w:rPr>
              <w:t>货物名称</w:t>
            </w:r>
          </w:p>
        </w:tc>
        <w:tc>
          <w:tcPr>
            <w:tcW w:w="1202" w:type="dxa"/>
            <w:vAlign w:val="center"/>
          </w:tcPr>
          <w:p>
            <w:pPr>
              <w:adjustRightInd w:val="0"/>
              <w:snapToGrid w:val="0"/>
              <w:jc w:val="center"/>
              <w:rPr>
                <w:b/>
                <w:bCs/>
                <w:color w:val="auto"/>
                <w:sz w:val="21"/>
                <w:szCs w:val="21"/>
                <w:highlight w:val="none"/>
              </w:rPr>
            </w:pPr>
            <w:r>
              <w:rPr>
                <w:rFonts w:hint="eastAsia"/>
                <w:b/>
                <w:bCs/>
                <w:color w:val="auto"/>
                <w:sz w:val="21"/>
                <w:szCs w:val="21"/>
                <w:highlight w:val="none"/>
              </w:rPr>
              <w:t>品牌</w:t>
            </w:r>
          </w:p>
        </w:tc>
        <w:tc>
          <w:tcPr>
            <w:tcW w:w="1202" w:type="dxa"/>
            <w:vAlign w:val="center"/>
          </w:tcPr>
          <w:p>
            <w:pPr>
              <w:adjustRightInd w:val="0"/>
              <w:snapToGrid w:val="0"/>
              <w:jc w:val="center"/>
              <w:rPr>
                <w:b/>
                <w:bCs/>
                <w:color w:val="auto"/>
                <w:sz w:val="21"/>
                <w:szCs w:val="21"/>
                <w:highlight w:val="none"/>
              </w:rPr>
            </w:pPr>
            <w:r>
              <w:rPr>
                <w:rFonts w:hint="eastAsia"/>
                <w:b/>
                <w:bCs/>
                <w:color w:val="auto"/>
                <w:sz w:val="21"/>
                <w:szCs w:val="21"/>
                <w:highlight w:val="none"/>
              </w:rPr>
              <w:t>规格型号</w:t>
            </w:r>
          </w:p>
        </w:tc>
        <w:tc>
          <w:tcPr>
            <w:tcW w:w="1202" w:type="dxa"/>
            <w:vAlign w:val="center"/>
          </w:tcPr>
          <w:p>
            <w:pPr>
              <w:adjustRightInd w:val="0"/>
              <w:snapToGrid w:val="0"/>
              <w:jc w:val="center"/>
              <w:rPr>
                <w:b/>
                <w:bCs/>
                <w:color w:val="auto"/>
                <w:sz w:val="21"/>
                <w:szCs w:val="21"/>
                <w:highlight w:val="none"/>
              </w:rPr>
            </w:pPr>
            <w:r>
              <w:rPr>
                <w:rFonts w:hint="eastAsia"/>
                <w:b/>
                <w:bCs/>
                <w:color w:val="auto"/>
                <w:sz w:val="21"/>
                <w:szCs w:val="21"/>
                <w:highlight w:val="none"/>
              </w:rPr>
              <w:t>产地</w:t>
            </w:r>
          </w:p>
        </w:tc>
        <w:tc>
          <w:tcPr>
            <w:tcW w:w="1202" w:type="dxa"/>
            <w:vAlign w:val="center"/>
          </w:tcPr>
          <w:p>
            <w:pPr>
              <w:adjustRightInd w:val="0"/>
              <w:snapToGrid w:val="0"/>
              <w:jc w:val="center"/>
              <w:rPr>
                <w:b/>
                <w:bCs/>
                <w:color w:val="auto"/>
                <w:sz w:val="21"/>
                <w:szCs w:val="21"/>
                <w:highlight w:val="none"/>
              </w:rPr>
            </w:pPr>
            <w:r>
              <w:rPr>
                <w:rFonts w:hint="eastAsia"/>
                <w:b/>
                <w:bCs/>
                <w:color w:val="auto"/>
                <w:sz w:val="21"/>
                <w:szCs w:val="21"/>
                <w:highlight w:val="none"/>
              </w:rPr>
              <w:t>数量</w:t>
            </w:r>
          </w:p>
        </w:tc>
        <w:tc>
          <w:tcPr>
            <w:tcW w:w="1202" w:type="dxa"/>
            <w:vAlign w:val="center"/>
          </w:tcPr>
          <w:p>
            <w:pPr>
              <w:adjustRightInd w:val="0"/>
              <w:snapToGrid w:val="0"/>
              <w:jc w:val="center"/>
              <w:rPr>
                <w:b/>
                <w:bCs/>
                <w:color w:val="auto"/>
                <w:sz w:val="21"/>
                <w:szCs w:val="21"/>
                <w:highlight w:val="none"/>
              </w:rPr>
            </w:pPr>
            <w:r>
              <w:rPr>
                <w:rFonts w:hint="eastAsia"/>
                <w:b/>
                <w:bCs/>
                <w:color w:val="auto"/>
                <w:sz w:val="21"/>
                <w:szCs w:val="21"/>
                <w:highlight w:val="none"/>
              </w:rPr>
              <w:t>单价</w:t>
            </w:r>
          </w:p>
        </w:tc>
        <w:tc>
          <w:tcPr>
            <w:tcW w:w="1206" w:type="dxa"/>
            <w:vAlign w:val="center"/>
          </w:tcPr>
          <w:p>
            <w:pPr>
              <w:adjustRightInd w:val="0"/>
              <w:snapToGrid w:val="0"/>
              <w:jc w:val="center"/>
              <w:rPr>
                <w:b/>
                <w:bCs/>
                <w:color w:val="auto"/>
                <w:sz w:val="21"/>
                <w:szCs w:val="21"/>
                <w:highlight w:val="none"/>
              </w:rPr>
            </w:pPr>
            <w:r>
              <w:rPr>
                <w:rFonts w:hint="eastAsia"/>
                <w:b/>
                <w:bCs/>
                <w:color w:val="auto"/>
                <w:sz w:val="21"/>
                <w:szCs w:val="21"/>
                <w:highlight w:val="none"/>
              </w:rPr>
              <w:t>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813" w:type="dxa"/>
            <w:vAlign w:val="center"/>
          </w:tcPr>
          <w:p>
            <w:pPr>
              <w:adjustRightInd w:val="0"/>
              <w:snapToGrid w:val="0"/>
              <w:jc w:val="center"/>
              <w:rPr>
                <w:color w:val="auto"/>
                <w:sz w:val="21"/>
                <w:szCs w:val="21"/>
                <w:highlight w:val="none"/>
              </w:rPr>
            </w:pPr>
          </w:p>
        </w:tc>
        <w:tc>
          <w:tcPr>
            <w:tcW w:w="1589"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6" w:type="dxa"/>
            <w:vAlign w:val="center"/>
          </w:tcPr>
          <w:p>
            <w:pPr>
              <w:adjustRightInd w:val="0"/>
              <w:snapToGrid w:val="0"/>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813" w:type="dxa"/>
            <w:vAlign w:val="center"/>
          </w:tcPr>
          <w:p>
            <w:pPr>
              <w:adjustRightInd w:val="0"/>
              <w:snapToGrid w:val="0"/>
              <w:jc w:val="center"/>
              <w:rPr>
                <w:color w:val="auto"/>
                <w:sz w:val="21"/>
                <w:szCs w:val="21"/>
                <w:highlight w:val="none"/>
              </w:rPr>
            </w:pPr>
          </w:p>
        </w:tc>
        <w:tc>
          <w:tcPr>
            <w:tcW w:w="1589"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6" w:type="dxa"/>
            <w:vAlign w:val="center"/>
          </w:tcPr>
          <w:p>
            <w:pPr>
              <w:adjustRightInd w:val="0"/>
              <w:snapToGrid w:val="0"/>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813" w:type="dxa"/>
            <w:vAlign w:val="center"/>
          </w:tcPr>
          <w:p>
            <w:pPr>
              <w:adjustRightInd w:val="0"/>
              <w:snapToGrid w:val="0"/>
              <w:jc w:val="center"/>
              <w:rPr>
                <w:color w:val="auto"/>
                <w:sz w:val="21"/>
                <w:szCs w:val="21"/>
                <w:highlight w:val="none"/>
              </w:rPr>
            </w:pPr>
          </w:p>
        </w:tc>
        <w:tc>
          <w:tcPr>
            <w:tcW w:w="1589"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6" w:type="dxa"/>
            <w:vAlign w:val="center"/>
          </w:tcPr>
          <w:p>
            <w:pPr>
              <w:adjustRightInd w:val="0"/>
              <w:snapToGrid w:val="0"/>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813" w:type="dxa"/>
            <w:vAlign w:val="center"/>
          </w:tcPr>
          <w:p>
            <w:pPr>
              <w:adjustRightInd w:val="0"/>
              <w:snapToGrid w:val="0"/>
              <w:jc w:val="center"/>
              <w:rPr>
                <w:color w:val="auto"/>
                <w:sz w:val="21"/>
                <w:szCs w:val="21"/>
                <w:highlight w:val="none"/>
              </w:rPr>
            </w:pPr>
          </w:p>
        </w:tc>
        <w:tc>
          <w:tcPr>
            <w:tcW w:w="1589"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6" w:type="dxa"/>
            <w:vAlign w:val="center"/>
          </w:tcPr>
          <w:p>
            <w:pPr>
              <w:adjustRightInd w:val="0"/>
              <w:snapToGrid w:val="0"/>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813" w:type="dxa"/>
            <w:vAlign w:val="center"/>
          </w:tcPr>
          <w:p>
            <w:pPr>
              <w:adjustRightInd w:val="0"/>
              <w:snapToGrid w:val="0"/>
              <w:jc w:val="center"/>
              <w:rPr>
                <w:color w:val="auto"/>
                <w:sz w:val="21"/>
                <w:szCs w:val="21"/>
                <w:highlight w:val="none"/>
              </w:rPr>
            </w:pPr>
          </w:p>
        </w:tc>
        <w:tc>
          <w:tcPr>
            <w:tcW w:w="1589"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6" w:type="dxa"/>
            <w:vAlign w:val="center"/>
          </w:tcPr>
          <w:p>
            <w:pPr>
              <w:adjustRightInd w:val="0"/>
              <w:snapToGrid w:val="0"/>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813" w:type="dxa"/>
            <w:vAlign w:val="center"/>
          </w:tcPr>
          <w:p>
            <w:pPr>
              <w:adjustRightInd w:val="0"/>
              <w:snapToGrid w:val="0"/>
              <w:jc w:val="center"/>
              <w:rPr>
                <w:color w:val="auto"/>
                <w:sz w:val="21"/>
                <w:szCs w:val="21"/>
                <w:highlight w:val="none"/>
              </w:rPr>
            </w:pPr>
          </w:p>
        </w:tc>
        <w:tc>
          <w:tcPr>
            <w:tcW w:w="1589"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6" w:type="dxa"/>
            <w:vAlign w:val="center"/>
          </w:tcPr>
          <w:p>
            <w:pPr>
              <w:adjustRightInd w:val="0"/>
              <w:snapToGrid w:val="0"/>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813" w:type="dxa"/>
            <w:vAlign w:val="center"/>
          </w:tcPr>
          <w:p>
            <w:pPr>
              <w:adjustRightInd w:val="0"/>
              <w:snapToGrid w:val="0"/>
              <w:jc w:val="center"/>
              <w:rPr>
                <w:color w:val="auto"/>
                <w:sz w:val="21"/>
                <w:szCs w:val="21"/>
                <w:highlight w:val="none"/>
              </w:rPr>
            </w:pPr>
          </w:p>
        </w:tc>
        <w:tc>
          <w:tcPr>
            <w:tcW w:w="1589"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6" w:type="dxa"/>
            <w:vAlign w:val="center"/>
          </w:tcPr>
          <w:p>
            <w:pPr>
              <w:adjustRightInd w:val="0"/>
              <w:snapToGrid w:val="0"/>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813" w:type="dxa"/>
            <w:vAlign w:val="center"/>
          </w:tcPr>
          <w:p>
            <w:pPr>
              <w:adjustRightInd w:val="0"/>
              <w:snapToGrid w:val="0"/>
              <w:jc w:val="center"/>
              <w:rPr>
                <w:color w:val="auto"/>
                <w:sz w:val="21"/>
                <w:szCs w:val="21"/>
                <w:highlight w:val="none"/>
              </w:rPr>
            </w:pPr>
          </w:p>
        </w:tc>
        <w:tc>
          <w:tcPr>
            <w:tcW w:w="1589"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6" w:type="dxa"/>
            <w:vAlign w:val="center"/>
          </w:tcPr>
          <w:p>
            <w:pPr>
              <w:adjustRightInd w:val="0"/>
              <w:snapToGrid w:val="0"/>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813" w:type="dxa"/>
            <w:vAlign w:val="center"/>
          </w:tcPr>
          <w:p>
            <w:pPr>
              <w:adjustRightInd w:val="0"/>
              <w:snapToGrid w:val="0"/>
              <w:jc w:val="center"/>
              <w:rPr>
                <w:color w:val="auto"/>
                <w:sz w:val="21"/>
                <w:szCs w:val="21"/>
                <w:highlight w:val="none"/>
              </w:rPr>
            </w:pPr>
          </w:p>
        </w:tc>
        <w:tc>
          <w:tcPr>
            <w:tcW w:w="1589"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6" w:type="dxa"/>
            <w:vAlign w:val="center"/>
          </w:tcPr>
          <w:p>
            <w:pPr>
              <w:adjustRightInd w:val="0"/>
              <w:snapToGrid w:val="0"/>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813" w:type="dxa"/>
            <w:vAlign w:val="center"/>
          </w:tcPr>
          <w:p>
            <w:pPr>
              <w:adjustRightInd w:val="0"/>
              <w:snapToGrid w:val="0"/>
              <w:jc w:val="center"/>
              <w:rPr>
                <w:color w:val="auto"/>
                <w:sz w:val="21"/>
                <w:szCs w:val="21"/>
                <w:highlight w:val="none"/>
              </w:rPr>
            </w:pPr>
          </w:p>
        </w:tc>
        <w:tc>
          <w:tcPr>
            <w:tcW w:w="1589"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6" w:type="dxa"/>
            <w:vAlign w:val="center"/>
          </w:tcPr>
          <w:p>
            <w:pPr>
              <w:adjustRightInd w:val="0"/>
              <w:snapToGrid w:val="0"/>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9618" w:type="dxa"/>
            <w:gridSpan w:val="8"/>
            <w:vAlign w:val="center"/>
          </w:tcPr>
          <w:p>
            <w:pPr>
              <w:adjustRightInd w:val="0"/>
              <w:snapToGrid w:val="0"/>
              <w:rPr>
                <w:color w:val="auto"/>
                <w:sz w:val="21"/>
                <w:szCs w:val="21"/>
                <w:highlight w:val="none"/>
              </w:rPr>
            </w:pPr>
            <w:r>
              <w:rPr>
                <w:rFonts w:hint="eastAsia"/>
                <w:b/>
                <w:bCs/>
                <w:color w:val="auto"/>
                <w:sz w:val="21"/>
                <w:szCs w:val="21"/>
                <w:highlight w:val="none"/>
              </w:rPr>
              <w:t>磋商响应总价：</w:t>
            </w:r>
          </w:p>
        </w:tc>
      </w:tr>
    </w:tbl>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r>
        <w:rPr>
          <w:rFonts w:hint="eastAsia"/>
          <w:color w:val="auto"/>
          <w:highlight w:val="none"/>
        </w:rPr>
        <w:t>供应商名称（盖章）：</w:t>
      </w:r>
    </w:p>
    <w:p>
      <w:pPr>
        <w:adjustRightInd w:val="0"/>
        <w:snapToGrid w:val="0"/>
        <w:spacing w:line="360" w:lineRule="auto"/>
        <w:rPr>
          <w:color w:val="auto"/>
          <w:highlight w:val="none"/>
        </w:rPr>
      </w:pPr>
      <w:r>
        <w:rPr>
          <w:rFonts w:hint="eastAsia"/>
          <w:color w:val="auto"/>
          <w:highlight w:val="none"/>
        </w:rPr>
        <w:t>供应商代表签字：</w:t>
      </w:r>
    </w:p>
    <w:p>
      <w:pPr>
        <w:adjustRightInd w:val="0"/>
        <w:snapToGrid w:val="0"/>
        <w:spacing w:line="360" w:lineRule="auto"/>
        <w:rPr>
          <w:color w:val="auto"/>
          <w:highlight w:val="none"/>
        </w:rPr>
      </w:pPr>
      <w:r>
        <w:rPr>
          <w:rFonts w:hint="eastAsia"/>
          <w:color w:val="auto"/>
          <w:highlight w:val="none"/>
        </w:rPr>
        <w:t>日期：________年____月____日</w:t>
      </w:r>
    </w:p>
    <w:p>
      <w:pPr>
        <w:rPr>
          <w:color w:val="auto"/>
          <w:highlight w:val="none"/>
        </w:rPr>
      </w:pPr>
      <w:r>
        <w:rPr>
          <w:rFonts w:hint="eastAsia"/>
          <w:color w:val="auto"/>
          <w:highlight w:val="none"/>
        </w:rPr>
        <w:br w:type="page"/>
      </w:r>
    </w:p>
    <w:p>
      <w:pPr>
        <w:adjustRightInd w:val="0"/>
        <w:snapToGrid w:val="0"/>
        <w:spacing w:line="360" w:lineRule="auto"/>
        <w:ind w:firstLine="569" w:firstLineChars="236"/>
        <w:jc w:val="center"/>
        <w:outlineLvl w:val="2"/>
        <w:rPr>
          <w:b/>
          <w:bCs/>
          <w:color w:val="auto"/>
          <w:highlight w:val="none"/>
        </w:rPr>
      </w:pPr>
      <w:r>
        <w:rPr>
          <w:rFonts w:hint="eastAsia"/>
          <w:b/>
          <w:bCs/>
          <w:color w:val="auto"/>
          <w:highlight w:val="none"/>
        </w:rPr>
        <w:t>（3）</w:t>
      </w:r>
      <w:r>
        <w:rPr>
          <w:b/>
          <w:bCs/>
          <w:color w:val="auto"/>
          <w:highlight w:val="none"/>
        </w:rPr>
        <w:t>中小企业声明函（货物）</w:t>
      </w:r>
    </w:p>
    <w:p>
      <w:pPr>
        <w:adjustRightInd w:val="0"/>
        <w:snapToGrid w:val="0"/>
        <w:spacing w:line="360" w:lineRule="auto"/>
        <w:ind w:firstLine="569" w:firstLineChars="236"/>
        <w:rPr>
          <w:b/>
          <w:color w:val="auto"/>
          <w:highlight w:val="none"/>
        </w:rPr>
      </w:pPr>
    </w:p>
    <w:p>
      <w:pPr>
        <w:adjustRightInd w:val="0"/>
        <w:snapToGrid w:val="0"/>
        <w:spacing w:line="360" w:lineRule="auto"/>
        <w:ind w:firstLine="566" w:firstLineChars="236"/>
        <w:rPr>
          <w:color w:val="auto"/>
          <w:highlight w:val="none"/>
        </w:rPr>
      </w:pPr>
      <w:r>
        <w:rPr>
          <w:color w:val="auto"/>
          <w:highlight w:val="none"/>
        </w:rPr>
        <w:t>本公司（联合体）郑重声明，根据《政府采购促进中小企业发展管理办法》（财库</w:t>
      </w:r>
      <w:r>
        <w:rPr>
          <w:rFonts w:hint="eastAsia"/>
          <w:color w:val="auto"/>
          <w:highlight w:val="none"/>
        </w:rPr>
        <w:t>﹝</w:t>
      </w:r>
      <w:r>
        <w:rPr>
          <w:color w:val="auto"/>
          <w:highlight w:val="none"/>
        </w:rPr>
        <w:t>2020</w:t>
      </w:r>
      <w:r>
        <w:rPr>
          <w:rFonts w:hint="eastAsia"/>
          <w:color w:val="auto"/>
          <w:highlight w:val="none"/>
        </w:rPr>
        <w:t>﹞</w:t>
      </w:r>
      <w:r>
        <w:rPr>
          <w:color w:val="auto"/>
          <w:highlight w:val="none"/>
        </w:rPr>
        <w:t>46 号）的规定，本公司（联合体）参加</w:t>
      </w:r>
      <w:r>
        <w:rPr>
          <w:i/>
          <w:color w:val="auto"/>
          <w:highlight w:val="none"/>
          <w:u w:val="single"/>
        </w:rPr>
        <w:t>（单位名称）</w:t>
      </w:r>
      <w:r>
        <w:rPr>
          <w:color w:val="auto"/>
          <w:highlight w:val="none"/>
        </w:rPr>
        <w:t>的</w:t>
      </w:r>
      <w:r>
        <w:rPr>
          <w:i/>
          <w:color w:val="auto"/>
          <w:highlight w:val="none"/>
          <w:u w:val="single"/>
        </w:rPr>
        <w:t>（项目名称）</w:t>
      </w:r>
      <w:r>
        <w:rPr>
          <w:color w:val="auto"/>
          <w:highlight w:val="none"/>
        </w:rPr>
        <w:t>采购活动，提供的货物全部由符合政策要求的中小企业制造。相关企业（含联合体中的中小企业、签订分包意向协议的中小企业）的具体情况如下：</w:t>
      </w:r>
    </w:p>
    <w:p>
      <w:pPr>
        <w:adjustRightInd w:val="0"/>
        <w:snapToGrid w:val="0"/>
        <w:spacing w:line="360" w:lineRule="auto"/>
        <w:ind w:firstLine="566" w:firstLineChars="236"/>
        <w:rPr>
          <w:color w:val="auto"/>
          <w:highlight w:val="none"/>
        </w:rPr>
      </w:pPr>
      <w:r>
        <w:rPr>
          <w:i/>
          <w:color w:val="auto"/>
          <w:highlight w:val="none"/>
          <w:u w:val="single"/>
        </w:rPr>
        <w:t>1.</w:t>
      </w:r>
      <w:r>
        <w:rPr>
          <w:rFonts w:hint="eastAsia"/>
          <w:i/>
          <w:color w:val="auto"/>
          <w:highlight w:val="none"/>
          <w:u w:val="single"/>
        </w:rPr>
        <w:t>示波器、数据处理卡等</w:t>
      </w:r>
      <w:r>
        <w:rPr>
          <w:i/>
          <w:color w:val="auto"/>
          <w:highlight w:val="none"/>
        </w:rPr>
        <w:t xml:space="preserve"> </w:t>
      </w:r>
      <w:r>
        <w:rPr>
          <w:color w:val="auto"/>
          <w:highlight w:val="none"/>
        </w:rPr>
        <w:t>，属于</w:t>
      </w:r>
      <w:r>
        <w:rPr>
          <w:rFonts w:hint="eastAsia"/>
          <w:i/>
          <w:color w:val="auto"/>
          <w:highlight w:val="none"/>
          <w:u w:val="single"/>
        </w:rPr>
        <w:t>工业</w:t>
      </w:r>
      <w:r>
        <w:rPr>
          <w:i/>
          <w:color w:val="auto"/>
          <w:highlight w:val="none"/>
          <w:u w:val="single"/>
        </w:rPr>
        <w:t>行业</w:t>
      </w:r>
      <w:r>
        <w:rPr>
          <w:color w:val="auto"/>
          <w:highlight w:val="none"/>
        </w:rPr>
        <w:t>；制造商为</w:t>
      </w:r>
      <w:r>
        <w:rPr>
          <w:i/>
          <w:color w:val="auto"/>
          <w:highlight w:val="none"/>
          <w:u w:val="single"/>
        </w:rPr>
        <w:t>（企业名称）</w:t>
      </w:r>
      <w:r>
        <w:rPr>
          <w:color w:val="auto"/>
          <w:highlight w:val="none"/>
        </w:rPr>
        <w:t>，从业人员</w:t>
      </w:r>
      <w:r>
        <w:rPr>
          <w:color w:val="auto"/>
          <w:highlight w:val="none"/>
          <w:u w:val="single"/>
        </w:rPr>
        <w:t xml:space="preserve"> </w:t>
      </w:r>
      <w:r>
        <w:rPr>
          <w:color w:val="auto"/>
          <w:highlight w:val="none"/>
          <w:u w:val="single"/>
        </w:rPr>
        <w:tab/>
      </w:r>
      <w:r>
        <w:rPr>
          <w:color w:val="auto"/>
          <w:highlight w:val="none"/>
        </w:rPr>
        <w:t>人，营业收入为</w:t>
      </w:r>
      <w:r>
        <w:rPr>
          <w:color w:val="auto"/>
          <w:highlight w:val="none"/>
          <w:u w:val="single"/>
        </w:rPr>
        <w:t xml:space="preserve"> </w:t>
      </w:r>
      <w:r>
        <w:rPr>
          <w:color w:val="auto"/>
          <w:highlight w:val="none"/>
          <w:u w:val="single"/>
        </w:rPr>
        <w:tab/>
      </w:r>
      <w:r>
        <w:rPr>
          <w:color w:val="auto"/>
          <w:highlight w:val="none"/>
        </w:rPr>
        <w:t>万元，资产总额为</w:t>
      </w:r>
      <w:r>
        <w:rPr>
          <w:color w:val="auto"/>
          <w:highlight w:val="none"/>
          <w:u w:val="single"/>
        </w:rPr>
        <w:t xml:space="preserve"> </w:t>
      </w:r>
      <w:r>
        <w:rPr>
          <w:color w:val="auto"/>
          <w:highlight w:val="none"/>
          <w:u w:val="single"/>
        </w:rPr>
        <w:tab/>
      </w:r>
      <w:r>
        <w:rPr>
          <w:color w:val="auto"/>
          <w:highlight w:val="none"/>
        </w:rPr>
        <w:t>万元，属于</w:t>
      </w:r>
      <w:r>
        <w:rPr>
          <w:i/>
          <w:color w:val="auto"/>
          <w:highlight w:val="none"/>
          <w:u w:val="single"/>
        </w:rPr>
        <w:t>（中型企业、小型企业、微型企业）</w:t>
      </w:r>
      <w:r>
        <w:rPr>
          <w:color w:val="auto"/>
          <w:highlight w:val="none"/>
        </w:rPr>
        <w:t>；</w:t>
      </w:r>
    </w:p>
    <w:p>
      <w:pPr>
        <w:adjustRightInd w:val="0"/>
        <w:snapToGrid w:val="0"/>
        <w:spacing w:line="360" w:lineRule="auto"/>
        <w:ind w:firstLine="566" w:firstLineChars="236"/>
        <w:rPr>
          <w:color w:val="auto"/>
          <w:highlight w:val="none"/>
        </w:rPr>
      </w:pPr>
      <w:r>
        <w:rPr>
          <w:color w:val="auto"/>
          <w:highlight w:val="none"/>
        </w:rPr>
        <w:t>以上企业，不属于大企业的分支机构，不存在控股股东为大企业的情形，也不存在与大企业的负责人为同一人的情形。</w:t>
      </w:r>
    </w:p>
    <w:p>
      <w:pPr>
        <w:adjustRightInd w:val="0"/>
        <w:snapToGrid w:val="0"/>
        <w:spacing w:line="360" w:lineRule="auto"/>
        <w:ind w:firstLine="566" w:firstLineChars="236"/>
        <w:rPr>
          <w:color w:val="auto"/>
          <w:highlight w:val="none"/>
        </w:rPr>
      </w:pPr>
      <w:r>
        <w:rPr>
          <w:color w:val="auto"/>
          <w:highlight w:val="none"/>
        </w:rPr>
        <w:t>本企业对上述声明内容的真实性负责。如有虚假，将依法承担相应责任。</w:t>
      </w:r>
    </w:p>
    <w:p>
      <w:pPr>
        <w:adjustRightInd w:val="0"/>
        <w:snapToGrid w:val="0"/>
        <w:spacing w:line="360" w:lineRule="auto"/>
        <w:ind w:firstLine="566" w:firstLineChars="236"/>
        <w:rPr>
          <w:color w:val="auto"/>
          <w:highlight w:val="none"/>
        </w:rPr>
      </w:pPr>
    </w:p>
    <w:p>
      <w:pPr>
        <w:adjustRightInd w:val="0"/>
        <w:snapToGrid w:val="0"/>
        <w:spacing w:line="360" w:lineRule="auto"/>
        <w:ind w:firstLine="566" w:firstLineChars="236"/>
        <w:rPr>
          <w:color w:val="auto"/>
          <w:highlight w:val="none"/>
        </w:rPr>
      </w:pPr>
      <w:r>
        <w:rPr>
          <w:color w:val="auto"/>
          <w:highlight w:val="none"/>
        </w:rPr>
        <w:t>企业名称（盖章）：</w:t>
      </w:r>
    </w:p>
    <w:p>
      <w:pPr>
        <w:adjustRightInd w:val="0"/>
        <w:snapToGrid w:val="0"/>
        <w:spacing w:line="360" w:lineRule="auto"/>
        <w:ind w:firstLine="566" w:firstLineChars="236"/>
        <w:rPr>
          <w:color w:val="auto"/>
          <w:highlight w:val="none"/>
        </w:rPr>
      </w:pPr>
      <w:r>
        <w:rPr>
          <w:color w:val="auto"/>
          <w:highlight w:val="none"/>
        </w:rPr>
        <w:t>日期：</w:t>
      </w:r>
    </w:p>
    <w:p>
      <w:pPr>
        <w:adjustRightInd w:val="0"/>
        <w:snapToGrid w:val="0"/>
        <w:spacing w:line="360" w:lineRule="auto"/>
        <w:ind w:firstLine="566" w:firstLineChars="236"/>
        <w:rPr>
          <w:color w:val="auto"/>
          <w:highlight w:val="none"/>
        </w:rPr>
      </w:pPr>
    </w:p>
    <w:p>
      <w:pPr>
        <w:adjustRightInd w:val="0"/>
        <w:snapToGrid w:val="0"/>
        <w:spacing w:line="360" w:lineRule="auto"/>
        <w:ind w:firstLine="495" w:firstLineChars="236"/>
        <w:rPr>
          <w:color w:val="auto"/>
          <w:sz w:val="21"/>
          <w:szCs w:val="21"/>
          <w:highlight w:val="none"/>
        </w:rPr>
      </w:pPr>
      <w:r>
        <w:rPr>
          <w:rFonts w:hint="eastAsia"/>
          <w:color w:val="auto"/>
          <w:sz w:val="21"/>
          <w:szCs w:val="21"/>
          <w:highlight w:val="none"/>
        </w:rPr>
        <w:t>注：</w:t>
      </w:r>
    </w:p>
    <w:p>
      <w:pPr>
        <w:adjustRightInd w:val="0"/>
        <w:snapToGrid w:val="0"/>
        <w:spacing w:line="360" w:lineRule="auto"/>
        <w:ind w:firstLine="495" w:firstLineChars="236"/>
        <w:rPr>
          <w:color w:val="auto"/>
          <w:sz w:val="21"/>
          <w:szCs w:val="21"/>
          <w:highlight w:val="none"/>
        </w:rPr>
      </w:pPr>
      <w:r>
        <w:rPr>
          <w:rFonts w:hint="eastAsia"/>
          <w:color w:val="auto"/>
          <w:sz w:val="21"/>
          <w:szCs w:val="21"/>
          <w:highlight w:val="none"/>
        </w:rPr>
        <w:t>1</w:t>
      </w:r>
      <w:r>
        <w:rPr>
          <w:color w:val="auto"/>
          <w:sz w:val="21"/>
          <w:szCs w:val="21"/>
          <w:highlight w:val="none"/>
        </w:rPr>
        <w:t>.</w:t>
      </w:r>
      <w:r>
        <w:rPr>
          <w:rFonts w:hint="eastAsia"/>
          <w:color w:val="auto"/>
          <w:sz w:val="21"/>
          <w:szCs w:val="21"/>
          <w:highlight w:val="none"/>
        </w:rPr>
        <w:t>中小企业参加政府采购活动，应当出具财库〔2020〕46号文件规定的《中小企业声明函》，否则不得享受相关中小企业扶持政策。</w:t>
      </w:r>
    </w:p>
    <w:p>
      <w:pPr>
        <w:adjustRightInd w:val="0"/>
        <w:snapToGrid w:val="0"/>
        <w:spacing w:line="360" w:lineRule="auto"/>
        <w:ind w:firstLine="495" w:firstLineChars="236"/>
        <w:rPr>
          <w:color w:val="auto"/>
          <w:sz w:val="21"/>
          <w:szCs w:val="21"/>
          <w:highlight w:val="none"/>
        </w:rPr>
      </w:pPr>
      <w:r>
        <w:rPr>
          <w:rFonts w:hint="eastAsia"/>
          <w:color w:val="auto"/>
          <w:sz w:val="21"/>
          <w:szCs w:val="21"/>
          <w:highlight w:val="none"/>
        </w:rPr>
        <w:t>2</w:t>
      </w:r>
      <w:r>
        <w:rPr>
          <w:color w:val="auto"/>
          <w:sz w:val="21"/>
          <w:szCs w:val="21"/>
          <w:highlight w:val="none"/>
        </w:rPr>
        <w:t>.</w:t>
      </w:r>
      <w:r>
        <w:rPr>
          <w:rFonts w:hint="eastAsia"/>
          <w:color w:val="auto"/>
          <w:sz w:val="21"/>
          <w:szCs w:val="21"/>
          <w:highlight w:val="none"/>
        </w:rPr>
        <w:t>从业人员、营业收入、资产总额填报上一年度数据，无上一年度数据的新成立企业可不填报。</w:t>
      </w:r>
    </w:p>
    <w:p>
      <w:pPr>
        <w:adjustRightInd w:val="0"/>
        <w:snapToGrid w:val="0"/>
        <w:spacing w:line="360" w:lineRule="auto"/>
        <w:ind w:firstLine="495" w:firstLineChars="236"/>
        <w:rPr>
          <w:color w:val="auto"/>
          <w:sz w:val="21"/>
          <w:szCs w:val="21"/>
          <w:highlight w:val="none"/>
        </w:rPr>
      </w:pPr>
      <w:r>
        <w:rPr>
          <w:color w:val="auto"/>
          <w:sz w:val="21"/>
          <w:szCs w:val="21"/>
          <w:highlight w:val="none"/>
        </w:rPr>
        <w:t>3.</w:t>
      </w:r>
      <w:r>
        <w:rPr>
          <w:rFonts w:hint="eastAsia"/>
          <w:color w:val="auto"/>
          <w:sz w:val="21"/>
          <w:szCs w:val="21"/>
          <w:highlight w:val="none"/>
        </w:rPr>
        <w:t>“中小企业声明函”填写不全的，视为未填报。</w:t>
      </w:r>
    </w:p>
    <w:p>
      <w:pPr>
        <w:adjustRightInd w:val="0"/>
        <w:snapToGrid w:val="0"/>
        <w:spacing w:line="360" w:lineRule="auto"/>
        <w:ind w:firstLine="495" w:firstLineChars="236"/>
        <w:rPr>
          <w:color w:val="auto"/>
          <w:sz w:val="21"/>
          <w:szCs w:val="21"/>
          <w:highlight w:val="none"/>
        </w:rPr>
      </w:pPr>
      <w:bookmarkStart w:id="37" w:name="_Hlk71885339"/>
      <w:r>
        <w:rPr>
          <w:rFonts w:hint="eastAsia"/>
          <w:color w:val="auto"/>
          <w:sz w:val="21"/>
          <w:szCs w:val="21"/>
          <w:highlight w:val="none"/>
        </w:rPr>
        <w:t>4</w:t>
      </w:r>
      <w:r>
        <w:rPr>
          <w:color w:val="auto"/>
          <w:sz w:val="21"/>
          <w:szCs w:val="21"/>
          <w:highlight w:val="none"/>
        </w:rPr>
        <w:t>.</w:t>
      </w:r>
      <w:r>
        <w:rPr>
          <w:rFonts w:hint="eastAsia"/>
          <w:color w:val="auto"/>
          <w:sz w:val="21"/>
          <w:szCs w:val="21"/>
          <w:highlight w:val="none"/>
        </w:rPr>
        <w:t>供应商提供《中小企业声明函》内容不实的，属于提供虚假材料谋取中标、成交，依照《中华人民共和国政府采购法》等国家有关规定追究相应责任。</w:t>
      </w:r>
      <w:bookmarkEnd w:id="37"/>
    </w:p>
    <w:p>
      <w:pPr>
        <w:adjustRightInd w:val="0"/>
        <w:snapToGrid w:val="0"/>
        <w:spacing w:line="360" w:lineRule="auto"/>
        <w:ind w:firstLine="495" w:firstLineChars="236"/>
        <w:rPr>
          <w:rFonts w:cs="Times New Roman"/>
          <w:color w:val="auto"/>
          <w:sz w:val="21"/>
          <w:szCs w:val="21"/>
          <w:highlight w:val="none"/>
        </w:rPr>
      </w:pPr>
      <w:r>
        <w:rPr>
          <w:rFonts w:hint="eastAsia" w:cs="Times New Roman"/>
          <w:color w:val="auto"/>
          <w:sz w:val="21"/>
          <w:szCs w:val="21"/>
          <w:highlight w:val="none"/>
        </w:rPr>
        <w:t>5.本项目只以《中小企业声明函》作为评判供应商是否属于中小企业的唯一依据。</w:t>
      </w:r>
    </w:p>
    <w:p>
      <w:pPr>
        <w:widowControl/>
        <w:adjustRightInd w:val="0"/>
        <w:snapToGrid w:val="0"/>
        <w:spacing w:line="360" w:lineRule="auto"/>
        <w:ind w:firstLine="566" w:firstLineChars="236"/>
        <w:jc w:val="left"/>
        <w:rPr>
          <w:color w:val="auto"/>
          <w:highlight w:val="none"/>
        </w:rPr>
      </w:pPr>
      <w:r>
        <w:rPr>
          <w:color w:val="auto"/>
          <w:highlight w:val="none"/>
        </w:rPr>
        <w:br w:type="page"/>
      </w:r>
    </w:p>
    <w:p>
      <w:pPr>
        <w:adjustRightInd w:val="0"/>
        <w:snapToGrid w:val="0"/>
        <w:spacing w:line="360" w:lineRule="auto"/>
        <w:jc w:val="center"/>
        <w:outlineLvl w:val="2"/>
        <w:rPr>
          <w:color w:val="auto"/>
          <w:kern w:val="0"/>
          <w:highlight w:val="none"/>
        </w:rPr>
      </w:pPr>
      <w:r>
        <w:rPr>
          <w:rFonts w:hint="eastAsia"/>
          <w:b/>
          <w:color w:val="auto"/>
          <w:spacing w:val="-6"/>
          <w:highlight w:val="none"/>
        </w:rPr>
        <w:t>（4）属于监狱企业的证明文件（若属于监狱企业）</w:t>
      </w:r>
    </w:p>
    <w:p>
      <w:pPr>
        <w:adjustRightInd w:val="0"/>
        <w:snapToGrid w:val="0"/>
        <w:spacing w:line="360" w:lineRule="auto"/>
        <w:rPr>
          <w:color w:val="auto"/>
          <w:kern w:val="0"/>
          <w:highlight w:val="none"/>
        </w:rPr>
      </w:pPr>
    </w:p>
    <w:p>
      <w:pPr>
        <w:adjustRightInd w:val="0"/>
        <w:snapToGrid w:val="0"/>
        <w:spacing w:line="360" w:lineRule="auto"/>
        <w:ind w:firstLine="426" w:firstLineChars="177"/>
        <w:rPr>
          <w:rFonts w:cs="Times New Roman"/>
          <w:b/>
          <w:bCs/>
          <w:color w:val="auto"/>
          <w:highlight w:val="none"/>
        </w:rPr>
      </w:pPr>
      <w:r>
        <w:rPr>
          <w:rFonts w:hint="eastAsia"/>
          <w:b/>
          <w:bCs/>
          <w:color w:val="auto"/>
          <w:kern w:val="0"/>
          <w:highlight w:val="none"/>
        </w:rPr>
        <w:t>监狱企业参加政府采购活动时，应当提供由省级以上监狱管理局、戒毒管理局（含新疆生产建设兵团）出具的属于监狱企业的证明文件。</w:t>
      </w:r>
    </w:p>
    <w:p>
      <w:pPr>
        <w:adjustRightInd w:val="0"/>
        <w:snapToGrid w:val="0"/>
        <w:spacing w:line="360" w:lineRule="auto"/>
        <w:rPr>
          <w:rFonts w:cs="Times New Roman"/>
          <w:color w:val="auto"/>
          <w:highlight w:val="none"/>
        </w:rPr>
      </w:pPr>
    </w:p>
    <w:p>
      <w:pPr>
        <w:adjustRightInd w:val="0"/>
        <w:snapToGrid w:val="0"/>
        <w:spacing w:line="360" w:lineRule="auto"/>
        <w:rPr>
          <w:rFonts w:cs="Times New Roman"/>
          <w:b/>
          <w:bCs/>
          <w:color w:val="auto"/>
          <w:sz w:val="21"/>
          <w:szCs w:val="21"/>
          <w:highlight w:val="none"/>
        </w:rPr>
      </w:pPr>
      <w:r>
        <w:rPr>
          <w:rFonts w:hint="eastAsia" w:cs="Times New Roman"/>
          <w:b/>
          <w:bCs/>
          <w:color w:val="auto"/>
          <w:sz w:val="21"/>
          <w:szCs w:val="21"/>
          <w:highlight w:val="none"/>
        </w:rPr>
        <w:t>说明：</w:t>
      </w:r>
    </w:p>
    <w:p>
      <w:pPr>
        <w:widowControl/>
        <w:shd w:val="clear" w:color="auto" w:fill="FFFFFF"/>
        <w:adjustRightInd w:val="0"/>
        <w:snapToGrid w:val="0"/>
        <w:spacing w:line="360" w:lineRule="auto"/>
        <w:ind w:firstLine="371" w:firstLineChars="177"/>
        <w:jc w:val="left"/>
        <w:rPr>
          <w:color w:val="auto"/>
          <w:kern w:val="0"/>
          <w:sz w:val="21"/>
          <w:szCs w:val="21"/>
          <w:highlight w:val="none"/>
        </w:rPr>
      </w:pPr>
      <w:r>
        <w:rPr>
          <w:rFonts w:hint="eastAsia"/>
          <w:color w:val="auto"/>
          <w:kern w:val="0"/>
          <w:sz w:val="21"/>
          <w:szCs w:val="21"/>
          <w:highlight w:val="none"/>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pPr>
        <w:widowControl/>
        <w:shd w:val="clear" w:color="auto" w:fill="FFFFFF"/>
        <w:adjustRightInd w:val="0"/>
        <w:snapToGrid w:val="0"/>
        <w:spacing w:line="360" w:lineRule="auto"/>
        <w:ind w:firstLine="371" w:firstLineChars="177"/>
        <w:jc w:val="left"/>
        <w:rPr>
          <w:color w:val="auto"/>
          <w:kern w:val="0"/>
          <w:sz w:val="21"/>
          <w:szCs w:val="21"/>
          <w:highlight w:val="none"/>
        </w:rPr>
      </w:pPr>
      <w:r>
        <w:rPr>
          <w:rFonts w:hint="eastAsia"/>
          <w:color w:val="auto"/>
          <w:kern w:val="0"/>
          <w:sz w:val="21"/>
          <w:szCs w:val="21"/>
          <w:highlight w:val="none"/>
        </w:rPr>
        <w:t>二、在政府采购活动中，监狱企业视同小型、微型企业，享受预留份额、评审中价格扣除等政府采购促进中小企业发展的政府采购政策。</w:t>
      </w:r>
    </w:p>
    <w:p>
      <w:pPr>
        <w:widowControl/>
        <w:jc w:val="left"/>
        <w:rPr>
          <w:b/>
          <w:color w:val="auto"/>
          <w:spacing w:val="-6"/>
          <w:highlight w:val="none"/>
        </w:rPr>
      </w:pPr>
      <w:r>
        <w:rPr>
          <w:b/>
          <w:color w:val="auto"/>
          <w:spacing w:val="-6"/>
          <w:highlight w:val="none"/>
        </w:rPr>
        <w:br w:type="page"/>
      </w:r>
    </w:p>
    <w:p>
      <w:pPr>
        <w:adjustRightInd w:val="0"/>
        <w:snapToGrid w:val="0"/>
        <w:spacing w:line="360" w:lineRule="auto"/>
        <w:jc w:val="center"/>
        <w:outlineLvl w:val="2"/>
        <w:rPr>
          <w:b/>
          <w:color w:val="auto"/>
          <w:spacing w:val="-6"/>
          <w:highlight w:val="none"/>
        </w:rPr>
      </w:pPr>
      <w:r>
        <w:rPr>
          <w:rFonts w:hint="eastAsia"/>
          <w:b/>
          <w:color w:val="auto"/>
          <w:spacing w:val="-6"/>
          <w:highlight w:val="none"/>
        </w:rPr>
        <w:t>（5）残疾人福利性单位声明函（若属于残疾人福利性单位）</w:t>
      </w:r>
    </w:p>
    <w:p>
      <w:pPr>
        <w:adjustRightInd w:val="0"/>
        <w:snapToGrid w:val="0"/>
        <w:spacing w:line="360" w:lineRule="auto"/>
        <w:rPr>
          <w:rFonts w:cs="Times New Roman"/>
          <w:b/>
          <w:color w:val="auto"/>
          <w:spacing w:val="6"/>
          <w:highlight w:val="none"/>
        </w:rPr>
      </w:pPr>
    </w:p>
    <w:p>
      <w:pPr>
        <w:adjustRightInd w:val="0"/>
        <w:snapToGrid w:val="0"/>
        <w:spacing w:line="360" w:lineRule="auto"/>
        <w:ind w:firstLine="504" w:firstLineChars="200"/>
        <w:rPr>
          <w:rFonts w:cs="Times New Roman"/>
          <w:color w:val="auto"/>
          <w:spacing w:val="6"/>
          <w:highlight w:val="none"/>
        </w:rPr>
      </w:pPr>
      <w:r>
        <w:rPr>
          <w:rFonts w:hint="eastAsia" w:cs="Times New Roman"/>
          <w:color w:val="auto"/>
          <w:spacing w:val="6"/>
          <w:highlight w:val="none"/>
        </w:rPr>
        <w:t>本单位郑重声明，根据《财政部 民政部 中国残疾人联合会关于促进残疾人就业政府采购政策的通知》（财库</w:t>
      </w:r>
      <w:r>
        <w:rPr>
          <w:rFonts w:hint="eastAsia" w:cs="Times New Roman"/>
          <w:color w:val="auto"/>
          <w:highlight w:val="none"/>
        </w:rPr>
        <w:t>〔2017〕 141</w:t>
      </w:r>
      <w:r>
        <w:rPr>
          <w:rFonts w:hint="eastAsia" w:cs="Times New Roman"/>
          <w:color w:val="auto"/>
          <w:spacing w:val="6"/>
          <w:highlight w:val="none"/>
        </w:rPr>
        <w:t>号）的规定，</w:t>
      </w:r>
      <w:r>
        <w:rPr>
          <w:rFonts w:hint="eastAsia" w:cs="Times New Roman"/>
          <w:b/>
          <w:bCs/>
          <w:color w:val="auto"/>
          <w:spacing w:val="6"/>
          <w:highlight w:val="none"/>
        </w:rPr>
        <w:t>本单位为符合条件的残疾人福利性单位</w:t>
      </w:r>
      <w:r>
        <w:rPr>
          <w:rFonts w:hint="eastAsia" w:cs="Times New Roman"/>
          <w:color w:val="auto"/>
          <w:spacing w:val="6"/>
          <w:highlight w:val="none"/>
        </w:rPr>
        <w:t>，且本单位参加______（采购人）单位的______（项目名称）项目采购活动提供本单位制造的货物，或者提供其他残疾人福利性单位制造的货物（不包括使用非残疾人福利性单位注册商标的货物）。</w:t>
      </w:r>
    </w:p>
    <w:p>
      <w:pPr>
        <w:adjustRightInd w:val="0"/>
        <w:snapToGrid w:val="0"/>
        <w:spacing w:line="360" w:lineRule="auto"/>
        <w:ind w:firstLine="504" w:firstLineChars="200"/>
        <w:rPr>
          <w:rFonts w:cs="Times New Roman"/>
          <w:color w:val="auto"/>
          <w:spacing w:val="6"/>
          <w:highlight w:val="none"/>
        </w:rPr>
      </w:pPr>
      <w:r>
        <w:rPr>
          <w:rFonts w:hint="eastAsia" w:cs="Times New Roman"/>
          <w:color w:val="auto"/>
          <w:spacing w:val="6"/>
          <w:highlight w:val="none"/>
        </w:rPr>
        <w:t>本单位对上述声明的真实性负责。如有虚假，将依法承担相应责任。</w:t>
      </w:r>
    </w:p>
    <w:p>
      <w:pPr>
        <w:tabs>
          <w:tab w:val="left" w:pos="4860"/>
        </w:tabs>
        <w:adjustRightInd w:val="0"/>
        <w:snapToGrid w:val="0"/>
        <w:spacing w:line="360" w:lineRule="auto"/>
        <w:ind w:right="1560" w:firstLine="504" w:firstLineChars="200"/>
        <w:rPr>
          <w:rFonts w:cs="Times New Roman"/>
          <w:color w:val="auto"/>
          <w:spacing w:val="6"/>
          <w:highlight w:val="none"/>
        </w:rPr>
      </w:pPr>
      <w:r>
        <w:rPr>
          <w:rFonts w:hint="eastAsia" w:cs="Times New Roman"/>
          <w:color w:val="auto"/>
          <w:spacing w:val="6"/>
          <w:highlight w:val="none"/>
        </w:rPr>
        <w:t>单位名称（盖章）：</w:t>
      </w:r>
    </w:p>
    <w:p>
      <w:pPr>
        <w:tabs>
          <w:tab w:val="left" w:pos="4860"/>
        </w:tabs>
        <w:adjustRightInd w:val="0"/>
        <w:snapToGrid w:val="0"/>
        <w:spacing w:line="360" w:lineRule="auto"/>
        <w:ind w:right="1560" w:firstLine="504" w:firstLineChars="200"/>
        <w:rPr>
          <w:rFonts w:cs="Times New Roman"/>
          <w:color w:val="auto"/>
          <w:spacing w:val="6"/>
          <w:highlight w:val="none"/>
        </w:rPr>
      </w:pPr>
      <w:r>
        <w:rPr>
          <w:rFonts w:hint="eastAsia" w:cs="Times New Roman"/>
          <w:color w:val="auto"/>
          <w:spacing w:val="6"/>
          <w:highlight w:val="none"/>
        </w:rPr>
        <w:t>日  期：</w:t>
      </w:r>
    </w:p>
    <w:p>
      <w:pPr>
        <w:adjustRightInd w:val="0"/>
        <w:snapToGrid w:val="0"/>
        <w:spacing w:line="360" w:lineRule="auto"/>
        <w:rPr>
          <w:rFonts w:cs="Times New Roman"/>
          <w:color w:val="auto"/>
          <w:highlight w:val="none"/>
        </w:rPr>
      </w:pPr>
    </w:p>
    <w:p>
      <w:pPr>
        <w:adjustRightInd w:val="0"/>
        <w:snapToGrid w:val="0"/>
        <w:rPr>
          <w:rFonts w:cs="Times New Roman"/>
          <w:b/>
          <w:bCs/>
          <w:color w:val="auto"/>
          <w:sz w:val="21"/>
          <w:szCs w:val="21"/>
          <w:highlight w:val="none"/>
        </w:rPr>
      </w:pPr>
      <w:r>
        <w:rPr>
          <w:rFonts w:hint="eastAsia" w:cs="Times New Roman"/>
          <w:b/>
          <w:bCs/>
          <w:color w:val="auto"/>
          <w:sz w:val="21"/>
          <w:szCs w:val="21"/>
          <w:highlight w:val="none"/>
        </w:rPr>
        <w:t>说明：</w:t>
      </w:r>
    </w:p>
    <w:p>
      <w:pPr>
        <w:widowControl/>
        <w:shd w:val="clear" w:color="auto" w:fill="FFFFFF"/>
        <w:adjustRightInd w:val="0"/>
        <w:snapToGrid w:val="0"/>
        <w:ind w:firstLine="371" w:firstLineChars="177"/>
        <w:jc w:val="left"/>
        <w:rPr>
          <w:color w:val="auto"/>
          <w:kern w:val="0"/>
          <w:sz w:val="21"/>
          <w:szCs w:val="21"/>
          <w:highlight w:val="none"/>
        </w:rPr>
      </w:pPr>
      <w:r>
        <w:rPr>
          <w:rFonts w:hint="eastAsia"/>
          <w:color w:val="auto"/>
          <w:kern w:val="0"/>
          <w:sz w:val="21"/>
          <w:szCs w:val="21"/>
          <w:highlight w:val="none"/>
        </w:rPr>
        <w:t>一、享受政府采购支持政策的残疾人福利性单位应当同时满足以下条件：</w:t>
      </w:r>
    </w:p>
    <w:p>
      <w:pPr>
        <w:widowControl/>
        <w:shd w:val="clear" w:color="auto" w:fill="FFFFFF"/>
        <w:adjustRightInd w:val="0"/>
        <w:snapToGrid w:val="0"/>
        <w:ind w:firstLine="371" w:firstLineChars="177"/>
        <w:jc w:val="left"/>
        <w:rPr>
          <w:color w:val="auto"/>
          <w:kern w:val="0"/>
          <w:sz w:val="21"/>
          <w:szCs w:val="21"/>
          <w:highlight w:val="none"/>
        </w:rPr>
      </w:pPr>
      <w:r>
        <w:rPr>
          <w:rFonts w:hint="eastAsia"/>
          <w:color w:val="auto"/>
          <w:kern w:val="0"/>
          <w:sz w:val="21"/>
          <w:szCs w:val="21"/>
          <w:highlight w:val="none"/>
        </w:rPr>
        <w:t>（一）安置的残疾人占本单位在职职工人数的比例不低于25%（含25%），并且安置的残疾人人数不少于10人（含10人）；</w:t>
      </w:r>
    </w:p>
    <w:p>
      <w:pPr>
        <w:widowControl/>
        <w:shd w:val="clear" w:color="auto" w:fill="FFFFFF"/>
        <w:adjustRightInd w:val="0"/>
        <w:snapToGrid w:val="0"/>
        <w:ind w:firstLine="371" w:firstLineChars="177"/>
        <w:jc w:val="left"/>
        <w:rPr>
          <w:color w:val="auto"/>
          <w:kern w:val="0"/>
          <w:sz w:val="21"/>
          <w:szCs w:val="21"/>
          <w:highlight w:val="none"/>
        </w:rPr>
      </w:pPr>
      <w:r>
        <w:rPr>
          <w:rFonts w:hint="eastAsia"/>
          <w:color w:val="auto"/>
          <w:kern w:val="0"/>
          <w:sz w:val="21"/>
          <w:szCs w:val="21"/>
          <w:highlight w:val="none"/>
        </w:rPr>
        <w:t>（二）依法与安置的每位残疾人签订了一年以上（含一年）的劳动合同或服务协议；</w:t>
      </w:r>
    </w:p>
    <w:p>
      <w:pPr>
        <w:widowControl/>
        <w:shd w:val="clear" w:color="auto" w:fill="FFFFFF"/>
        <w:adjustRightInd w:val="0"/>
        <w:snapToGrid w:val="0"/>
        <w:ind w:firstLine="371" w:firstLineChars="177"/>
        <w:jc w:val="left"/>
        <w:rPr>
          <w:color w:val="auto"/>
          <w:kern w:val="0"/>
          <w:sz w:val="21"/>
          <w:szCs w:val="21"/>
          <w:highlight w:val="none"/>
        </w:rPr>
      </w:pPr>
      <w:r>
        <w:rPr>
          <w:rFonts w:hint="eastAsia"/>
          <w:color w:val="auto"/>
          <w:kern w:val="0"/>
          <w:sz w:val="21"/>
          <w:szCs w:val="21"/>
          <w:highlight w:val="none"/>
        </w:rPr>
        <w:t>（三）为安置的每位残疾人按月足额缴纳了基本养老保险、基本医疗保险、失业保险、工伤保险和生育保险等社会保险费；</w:t>
      </w:r>
    </w:p>
    <w:p>
      <w:pPr>
        <w:widowControl/>
        <w:shd w:val="clear" w:color="auto" w:fill="FFFFFF"/>
        <w:adjustRightInd w:val="0"/>
        <w:snapToGrid w:val="0"/>
        <w:ind w:firstLine="371" w:firstLineChars="177"/>
        <w:jc w:val="left"/>
        <w:rPr>
          <w:color w:val="auto"/>
          <w:kern w:val="0"/>
          <w:sz w:val="21"/>
          <w:szCs w:val="21"/>
          <w:highlight w:val="none"/>
        </w:rPr>
      </w:pPr>
      <w:r>
        <w:rPr>
          <w:rFonts w:hint="eastAsia"/>
          <w:color w:val="auto"/>
          <w:kern w:val="0"/>
          <w:sz w:val="21"/>
          <w:szCs w:val="21"/>
          <w:highlight w:val="none"/>
        </w:rPr>
        <w:t>（四）通过银行等金融机构向安置的每位残疾人，按月支付了不低于单位所在区县适用的经省级人民政府批准的月最低工资标准的工资；</w:t>
      </w:r>
    </w:p>
    <w:p>
      <w:pPr>
        <w:widowControl/>
        <w:shd w:val="clear" w:color="auto" w:fill="FFFFFF"/>
        <w:adjustRightInd w:val="0"/>
        <w:snapToGrid w:val="0"/>
        <w:ind w:firstLine="371" w:firstLineChars="177"/>
        <w:jc w:val="left"/>
        <w:rPr>
          <w:color w:val="auto"/>
          <w:kern w:val="0"/>
          <w:sz w:val="21"/>
          <w:szCs w:val="21"/>
          <w:highlight w:val="none"/>
        </w:rPr>
      </w:pPr>
      <w:r>
        <w:rPr>
          <w:rFonts w:hint="eastAsia"/>
          <w:color w:val="auto"/>
          <w:kern w:val="0"/>
          <w:sz w:val="21"/>
          <w:szCs w:val="21"/>
          <w:highlight w:val="none"/>
        </w:rPr>
        <w:t>（五）提供本单位制造的货物、承担的工程或者服务（以下简称产品），或者提供其他残疾人福利性单位制造的货物（不包括使用非残疾人福利性单位注册商标的货物）。</w:t>
      </w:r>
    </w:p>
    <w:p>
      <w:pPr>
        <w:widowControl/>
        <w:shd w:val="clear" w:color="auto" w:fill="FFFFFF"/>
        <w:adjustRightInd w:val="0"/>
        <w:snapToGrid w:val="0"/>
        <w:ind w:firstLine="371" w:firstLineChars="177"/>
        <w:jc w:val="left"/>
        <w:rPr>
          <w:color w:val="auto"/>
          <w:kern w:val="0"/>
          <w:sz w:val="21"/>
          <w:szCs w:val="21"/>
          <w:highlight w:val="none"/>
        </w:rPr>
      </w:pPr>
      <w:r>
        <w:rPr>
          <w:rFonts w:hint="eastAsia"/>
          <w:color w:val="auto"/>
          <w:kern w:val="0"/>
          <w:sz w:val="21"/>
          <w:szCs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widowControl/>
        <w:shd w:val="clear" w:color="auto" w:fill="FFFFFF"/>
        <w:adjustRightInd w:val="0"/>
        <w:snapToGrid w:val="0"/>
        <w:ind w:firstLine="371" w:firstLineChars="177"/>
        <w:jc w:val="left"/>
        <w:rPr>
          <w:color w:val="auto"/>
          <w:kern w:val="0"/>
          <w:sz w:val="21"/>
          <w:szCs w:val="21"/>
          <w:highlight w:val="none"/>
        </w:rPr>
      </w:pPr>
      <w:r>
        <w:rPr>
          <w:rFonts w:hint="eastAsia"/>
          <w:color w:val="auto"/>
          <w:kern w:val="0"/>
          <w:sz w:val="21"/>
          <w:szCs w:val="21"/>
          <w:highlight w:val="none"/>
        </w:rPr>
        <w:t>二、符合条件的残疾人福利性单位在参加政府采购活动时，应当提供财库</w:t>
      </w:r>
      <w:r>
        <w:rPr>
          <w:color w:val="auto"/>
          <w:kern w:val="0"/>
          <w:sz w:val="21"/>
          <w:szCs w:val="21"/>
          <w:highlight w:val="none"/>
        </w:rPr>
        <w:t>[2017]141号</w:t>
      </w:r>
      <w:r>
        <w:rPr>
          <w:rFonts w:hint="eastAsia"/>
          <w:color w:val="auto"/>
          <w:kern w:val="0"/>
          <w:sz w:val="21"/>
          <w:szCs w:val="21"/>
          <w:highlight w:val="none"/>
        </w:rPr>
        <w:t>文件规定的《残疾人福利性单位声明函》，并对声明的真实性负责。</w:t>
      </w:r>
    </w:p>
    <w:p>
      <w:pPr>
        <w:widowControl/>
        <w:shd w:val="clear" w:color="auto" w:fill="FFFFFF"/>
        <w:adjustRightInd w:val="0"/>
        <w:snapToGrid w:val="0"/>
        <w:ind w:firstLine="371" w:firstLineChars="177"/>
        <w:jc w:val="left"/>
        <w:rPr>
          <w:color w:val="auto"/>
          <w:kern w:val="0"/>
          <w:sz w:val="21"/>
          <w:szCs w:val="21"/>
          <w:highlight w:val="none"/>
        </w:rPr>
      </w:pPr>
      <w:r>
        <w:rPr>
          <w:rFonts w:hint="eastAsia"/>
          <w:color w:val="auto"/>
          <w:kern w:val="0"/>
          <w:sz w:val="21"/>
          <w:szCs w:val="21"/>
          <w:highlight w:val="none"/>
        </w:rPr>
        <w:t>三、在政府采购活动中，残疾人福利性单位视同小型、微型企业，享受预留份额、评审中价格扣除等促进中小企业发展的政府采购政策。</w:t>
      </w:r>
    </w:p>
    <w:p>
      <w:pPr>
        <w:widowControl/>
        <w:shd w:val="clear" w:color="auto" w:fill="FFFFFF"/>
        <w:adjustRightInd w:val="0"/>
        <w:snapToGrid w:val="0"/>
        <w:ind w:firstLine="371" w:firstLineChars="177"/>
        <w:jc w:val="left"/>
        <w:rPr>
          <w:color w:val="auto"/>
          <w:kern w:val="0"/>
          <w:sz w:val="21"/>
          <w:szCs w:val="21"/>
          <w:highlight w:val="none"/>
        </w:rPr>
      </w:pPr>
      <w:r>
        <w:rPr>
          <w:rFonts w:hint="eastAsia"/>
          <w:color w:val="auto"/>
          <w:kern w:val="0"/>
          <w:sz w:val="21"/>
          <w:szCs w:val="21"/>
          <w:highlight w:val="none"/>
        </w:rPr>
        <w:t>残疾人福利性单位属于小型、微型企业的，不重复享受政策。</w:t>
      </w:r>
    </w:p>
    <w:p>
      <w:pPr>
        <w:widowControl/>
        <w:shd w:val="clear" w:color="auto" w:fill="FFFFFF"/>
        <w:ind w:firstLine="446" w:firstLineChars="200"/>
        <w:jc w:val="left"/>
        <w:rPr>
          <w:rFonts w:cs="Times New Roman"/>
          <w:b/>
          <w:bCs/>
          <w:color w:val="auto"/>
          <w:spacing w:val="6"/>
          <w:sz w:val="21"/>
          <w:szCs w:val="21"/>
          <w:highlight w:val="none"/>
        </w:rPr>
      </w:pPr>
    </w:p>
    <w:p>
      <w:pPr>
        <w:rPr>
          <w:color w:val="auto"/>
          <w:highlight w:val="none"/>
        </w:rPr>
      </w:pPr>
      <w:r>
        <w:rPr>
          <w:rFonts w:hint="eastAsia"/>
          <w:color w:val="auto"/>
          <w:highlight w:val="none"/>
        </w:rPr>
        <w:br w:type="page"/>
      </w: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jc w:val="center"/>
        <w:outlineLvl w:val="1"/>
        <w:rPr>
          <w:b/>
          <w:bCs/>
          <w:color w:val="auto"/>
          <w:sz w:val="84"/>
          <w:szCs w:val="84"/>
          <w:highlight w:val="none"/>
        </w:rPr>
      </w:pPr>
      <w:r>
        <w:rPr>
          <w:rFonts w:hint="eastAsia"/>
          <w:b/>
          <w:bCs/>
          <w:color w:val="auto"/>
          <w:sz w:val="84"/>
          <w:szCs w:val="84"/>
          <w:highlight w:val="none"/>
        </w:rPr>
        <w:t>商务和技术文件</w:t>
      </w:r>
    </w:p>
    <w:p>
      <w:pPr>
        <w:rPr>
          <w:color w:val="auto"/>
          <w:highlight w:val="none"/>
        </w:rPr>
      </w:pPr>
      <w:r>
        <w:rPr>
          <w:rFonts w:hint="eastAsia"/>
          <w:color w:val="auto"/>
          <w:highlight w:val="none"/>
        </w:rPr>
        <w:br w:type="page"/>
      </w:r>
    </w:p>
    <w:p>
      <w:pPr>
        <w:adjustRightInd w:val="0"/>
        <w:snapToGrid w:val="0"/>
        <w:spacing w:line="360" w:lineRule="auto"/>
        <w:jc w:val="center"/>
        <w:outlineLvl w:val="2"/>
        <w:rPr>
          <w:b/>
          <w:bCs/>
          <w:color w:val="auto"/>
          <w:highlight w:val="none"/>
        </w:rPr>
      </w:pPr>
      <w:r>
        <w:rPr>
          <w:rFonts w:hint="eastAsia"/>
          <w:b/>
          <w:bCs/>
          <w:color w:val="auto"/>
          <w:highlight w:val="none"/>
        </w:rPr>
        <w:t>（1）响应函</w:t>
      </w:r>
    </w:p>
    <w:p>
      <w:pPr>
        <w:adjustRightInd w:val="0"/>
        <w:snapToGrid w:val="0"/>
        <w:spacing w:line="360" w:lineRule="auto"/>
        <w:rPr>
          <w:color w:val="auto"/>
          <w:highlight w:val="none"/>
        </w:rPr>
      </w:pPr>
      <w:r>
        <w:rPr>
          <w:rFonts w:hint="eastAsia"/>
          <w:color w:val="auto"/>
          <w:highlight w:val="none"/>
        </w:rPr>
        <w:t>致：浙江求是招标代理有限公司</w:t>
      </w:r>
    </w:p>
    <w:p>
      <w:pPr>
        <w:adjustRightInd w:val="0"/>
        <w:snapToGrid w:val="0"/>
        <w:spacing w:line="360" w:lineRule="auto"/>
        <w:ind w:firstLine="480" w:firstLineChars="200"/>
        <w:rPr>
          <w:color w:val="auto"/>
          <w:highlight w:val="none"/>
        </w:rPr>
      </w:pPr>
      <w:r>
        <w:rPr>
          <w:rFonts w:hint="eastAsia"/>
          <w:color w:val="auto"/>
          <w:highlight w:val="none"/>
        </w:rPr>
        <w:t>根据贵方为杭州电子科技大学示波器、数据处理卡等的采购邀请【项目编号：QSZB-Z(H)-B21352(CS)】，签字代表__________（全名）经正式授权并代表供应商____________________（供应商名称）提交电子加密响应文件一份、以介质（U盘）存储的数据电文形式的备份响应文件____份。</w:t>
      </w:r>
    </w:p>
    <w:p>
      <w:pPr>
        <w:adjustRightInd w:val="0"/>
        <w:snapToGrid w:val="0"/>
        <w:spacing w:line="360" w:lineRule="auto"/>
        <w:ind w:firstLine="480" w:firstLineChars="200"/>
        <w:rPr>
          <w:color w:val="auto"/>
          <w:highlight w:val="none"/>
        </w:rPr>
      </w:pPr>
      <w:r>
        <w:rPr>
          <w:rFonts w:hint="eastAsia"/>
          <w:color w:val="auto"/>
          <w:highlight w:val="none"/>
        </w:rPr>
        <w:t>据此函，签字代表宣布同意如下：</w:t>
      </w:r>
    </w:p>
    <w:p>
      <w:pPr>
        <w:adjustRightInd w:val="0"/>
        <w:snapToGrid w:val="0"/>
        <w:spacing w:line="360" w:lineRule="auto"/>
        <w:ind w:firstLine="480" w:firstLineChars="200"/>
        <w:rPr>
          <w:color w:val="auto"/>
          <w:highlight w:val="none"/>
        </w:rPr>
      </w:pPr>
      <w:r>
        <w:rPr>
          <w:rFonts w:hint="eastAsia"/>
          <w:color w:val="auto"/>
          <w:highlight w:val="none"/>
        </w:rPr>
        <w:t>1.我方已详细审查全部“磋商文件”，包括修改文件（如有）以及全部参考资料和有关附件，已经了解我方对于磋商文件、采购过程、成交结果有依法进行询问、质疑、投诉的权利及相关渠道和要求。</w:t>
      </w:r>
    </w:p>
    <w:p>
      <w:pPr>
        <w:adjustRightInd w:val="0"/>
        <w:snapToGrid w:val="0"/>
        <w:spacing w:line="360" w:lineRule="auto"/>
        <w:ind w:firstLine="480" w:firstLineChars="200"/>
        <w:rPr>
          <w:color w:val="auto"/>
          <w:highlight w:val="none"/>
        </w:rPr>
      </w:pPr>
      <w:r>
        <w:rPr>
          <w:rFonts w:hint="eastAsia"/>
          <w:color w:val="auto"/>
          <w:highlight w:val="none"/>
        </w:rPr>
        <w:t>2.我方在磋商响应之前已经与贵方进行了充分的沟通，完全理解并接受磋商文件的各项规定和要求，对磋商文件的合理性、合法性不再有异议。</w:t>
      </w:r>
    </w:p>
    <w:p>
      <w:pPr>
        <w:adjustRightInd w:val="0"/>
        <w:snapToGrid w:val="0"/>
        <w:spacing w:line="360" w:lineRule="auto"/>
        <w:ind w:firstLine="480" w:firstLineChars="200"/>
        <w:rPr>
          <w:color w:val="auto"/>
          <w:highlight w:val="none"/>
        </w:rPr>
      </w:pPr>
      <w:r>
        <w:rPr>
          <w:rFonts w:hint="eastAsia"/>
          <w:color w:val="auto"/>
          <w:highlight w:val="none"/>
        </w:rPr>
        <w:t>3.响应有效期自提交响应文件的截止之日起</w:t>
      </w:r>
      <w:r>
        <w:rPr>
          <w:rFonts w:hint="eastAsia"/>
          <w:color w:val="auto"/>
          <w:highlight w:val="none"/>
          <w:u w:val="single"/>
        </w:rPr>
        <w:t>90</w:t>
      </w:r>
      <w:r>
        <w:rPr>
          <w:rFonts w:hint="eastAsia"/>
          <w:color w:val="auto"/>
          <w:highlight w:val="none"/>
        </w:rPr>
        <w:t>天。</w:t>
      </w:r>
    </w:p>
    <w:p>
      <w:pPr>
        <w:adjustRightInd w:val="0"/>
        <w:snapToGrid w:val="0"/>
        <w:spacing w:line="360" w:lineRule="auto"/>
        <w:ind w:firstLine="480" w:firstLineChars="200"/>
        <w:rPr>
          <w:color w:val="auto"/>
          <w:highlight w:val="none"/>
        </w:rPr>
      </w:pPr>
      <w:r>
        <w:rPr>
          <w:rFonts w:hint="eastAsia"/>
          <w:color w:val="auto"/>
          <w:highlight w:val="none"/>
        </w:rPr>
        <w:t>4.如成交，本响应文件至本项目合同履行完毕止均保持有效，我方将按“磋商文件”及政府采购法律、法规的规定履行合同责任和义务。关于代理服务费，我方承诺按照磋商文件的规定履行并承担相应的责任。</w:t>
      </w:r>
    </w:p>
    <w:p>
      <w:pPr>
        <w:adjustRightInd w:val="0"/>
        <w:snapToGrid w:val="0"/>
        <w:spacing w:line="360" w:lineRule="auto"/>
        <w:ind w:firstLine="480" w:firstLineChars="200"/>
        <w:rPr>
          <w:color w:val="auto"/>
          <w:highlight w:val="none"/>
        </w:rPr>
      </w:pPr>
      <w:r>
        <w:rPr>
          <w:rFonts w:hint="eastAsia"/>
          <w:color w:val="auto"/>
          <w:highlight w:val="none"/>
        </w:rPr>
        <w:t>5.我方同意按照贵方要求提供与磋商有关的一切数据或资料。</w:t>
      </w:r>
    </w:p>
    <w:p>
      <w:pPr>
        <w:adjustRightInd w:val="0"/>
        <w:snapToGrid w:val="0"/>
        <w:spacing w:line="360" w:lineRule="auto"/>
        <w:ind w:firstLine="480" w:firstLineChars="200"/>
        <w:rPr>
          <w:color w:val="auto"/>
          <w:highlight w:val="none"/>
        </w:rPr>
      </w:pPr>
      <w:r>
        <w:rPr>
          <w:rFonts w:hint="eastAsia"/>
          <w:color w:val="auto"/>
          <w:highlight w:val="none"/>
        </w:rPr>
        <w:t>6.与本磋商有关的一切正式往来信函请寄：</w:t>
      </w:r>
    </w:p>
    <w:p>
      <w:pPr>
        <w:adjustRightInd w:val="0"/>
        <w:snapToGrid w:val="0"/>
        <w:spacing w:line="360" w:lineRule="auto"/>
        <w:ind w:firstLine="480" w:firstLineChars="200"/>
        <w:rPr>
          <w:color w:val="auto"/>
          <w:highlight w:val="none"/>
        </w:rPr>
      </w:pPr>
      <w:r>
        <w:rPr>
          <w:rFonts w:hint="eastAsia"/>
          <w:color w:val="auto"/>
          <w:highlight w:val="none"/>
        </w:rPr>
        <w:t>地址：______________________________邮编：_________________________</w:t>
      </w:r>
    </w:p>
    <w:p>
      <w:pPr>
        <w:adjustRightInd w:val="0"/>
        <w:snapToGrid w:val="0"/>
        <w:spacing w:line="360" w:lineRule="auto"/>
        <w:ind w:firstLine="480" w:firstLineChars="200"/>
        <w:rPr>
          <w:color w:val="auto"/>
          <w:highlight w:val="none"/>
        </w:rPr>
      </w:pPr>
      <w:r>
        <w:rPr>
          <w:rFonts w:hint="eastAsia"/>
          <w:color w:val="auto"/>
          <w:highlight w:val="none"/>
        </w:rPr>
        <w:t>电话：______________________________传真：_________________________</w:t>
      </w:r>
    </w:p>
    <w:p>
      <w:pPr>
        <w:adjustRightInd w:val="0"/>
        <w:snapToGrid w:val="0"/>
        <w:spacing w:line="360" w:lineRule="auto"/>
        <w:ind w:firstLine="480" w:firstLineChars="200"/>
        <w:rPr>
          <w:color w:val="auto"/>
          <w:highlight w:val="none"/>
        </w:rPr>
      </w:pPr>
      <w:r>
        <w:rPr>
          <w:rFonts w:hint="eastAsia"/>
          <w:color w:val="auto"/>
          <w:highlight w:val="none"/>
        </w:rPr>
        <w:t>供应商代表姓名：____________________职务：_________________________</w:t>
      </w:r>
    </w:p>
    <w:p>
      <w:pPr>
        <w:adjustRightInd w:val="0"/>
        <w:snapToGrid w:val="0"/>
        <w:spacing w:line="360" w:lineRule="auto"/>
        <w:ind w:firstLine="480" w:firstLineChars="200"/>
        <w:rPr>
          <w:color w:val="auto"/>
          <w:highlight w:val="none"/>
        </w:rPr>
      </w:pPr>
      <w:r>
        <w:rPr>
          <w:rFonts w:hint="eastAsia"/>
          <w:color w:val="auto"/>
          <w:highlight w:val="none"/>
        </w:rPr>
        <w:t>开户银行：__________________________</w:t>
      </w:r>
    </w:p>
    <w:p>
      <w:pPr>
        <w:adjustRightInd w:val="0"/>
        <w:snapToGrid w:val="0"/>
        <w:spacing w:line="360" w:lineRule="auto"/>
        <w:ind w:firstLine="480" w:firstLineChars="200"/>
        <w:rPr>
          <w:color w:val="auto"/>
          <w:highlight w:val="none"/>
        </w:rPr>
      </w:pPr>
      <w:r>
        <w:rPr>
          <w:rFonts w:hint="eastAsia"/>
          <w:color w:val="auto"/>
          <w:highlight w:val="none"/>
        </w:rPr>
        <w:t>银行账号：__________________________</w:t>
      </w: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r>
        <w:rPr>
          <w:rFonts w:hint="eastAsia"/>
          <w:color w:val="auto"/>
          <w:highlight w:val="none"/>
        </w:rPr>
        <w:t>供应商名称（盖章）：</w:t>
      </w:r>
    </w:p>
    <w:p>
      <w:pPr>
        <w:adjustRightInd w:val="0"/>
        <w:snapToGrid w:val="0"/>
        <w:spacing w:line="360" w:lineRule="auto"/>
        <w:rPr>
          <w:color w:val="auto"/>
          <w:highlight w:val="none"/>
        </w:rPr>
      </w:pPr>
      <w:r>
        <w:rPr>
          <w:rFonts w:hint="eastAsia"/>
          <w:color w:val="auto"/>
          <w:highlight w:val="none"/>
        </w:rPr>
        <w:t>供应商代表签字：</w:t>
      </w:r>
    </w:p>
    <w:p>
      <w:pPr>
        <w:adjustRightInd w:val="0"/>
        <w:snapToGrid w:val="0"/>
        <w:spacing w:line="360" w:lineRule="auto"/>
        <w:rPr>
          <w:color w:val="auto"/>
          <w:highlight w:val="none"/>
        </w:rPr>
      </w:pPr>
      <w:r>
        <w:rPr>
          <w:rFonts w:hint="eastAsia"/>
          <w:color w:val="auto"/>
          <w:highlight w:val="none"/>
        </w:rPr>
        <w:t>日期：________年____月____日</w:t>
      </w:r>
    </w:p>
    <w:p>
      <w:pPr>
        <w:widowControl/>
        <w:jc w:val="left"/>
        <w:rPr>
          <w:color w:val="auto"/>
          <w:highlight w:val="none"/>
        </w:rPr>
      </w:pPr>
      <w:r>
        <w:rPr>
          <w:color w:val="auto"/>
          <w:highlight w:val="none"/>
        </w:rPr>
        <w:br w:type="page"/>
      </w:r>
    </w:p>
    <w:p>
      <w:pPr>
        <w:adjustRightInd w:val="0"/>
        <w:snapToGrid w:val="0"/>
        <w:spacing w:line="360" w:lineRule="auto"/>
        <w:jc w:val="center"/>
        <w:outlineLvl w:val="2"/>
        <w:rPr>
          <w:b/>
          <w:bCs/>
          <w:color w:val="auto"/>
          <w:highlight w:val="none"/>
        </w:rPr>
      </w:pPr>
      <w:r>
        <w:rPr>
          <w:rFonts w:hint="eastAsia"/>
          <w:b/>
          <w:bCs/>
          <w:color w:val="auto"/>
          <w:highlight w:val="none"/>
        </w:rPr>
        <w:t>（</w:t>
      </w:r>
      <w:r>
        <w:rPr>
          <w:b/>
          <w:bCs/>
          <w:color w:val="auto"/>
          <w:highlight w:val="none"/>
        </w:rPr>
        <w:t>2</w:t>
      </w:r>
      <w:r>
        <w:rPr>
          <w:rFonts w:hint="eastAsia"/>
          <w:b/>
          <w:bCs/>
          <w:color w:val="auto"/>
          <w:highlight w:val="none"/>
        </w:rPr>
        <w:t>）响应声明书</w:t>
      </w:r>
    </w:p>
    <w:p>
      <w:pPr>
        <w:adjustRightInd w:val="0"/>
        <w:snapToGrid w:val="0"/>
        <w:spacing w:line="360" w:lineRule="auto"/>
        <w:rPr>
          <w:color w:val="auto"/>
          <w:highlight w:val="none"/>
        </w:rPr>
      </w:pPr>
      <w:r>
        <w:rPr>
          <w:rFonts w:hint="eastAsia"/>
          <w:color w:val="auto"/>
          <w:highlight w:val="none"/>
        </w:rPr>
        <w:t>致：浙江求是招标代理有限公司</w:t>
      </w:r>
    </w:p>
    <w:p>
      <w:pPr>
        <w:adjustRightInd w:val="0"/>
        <w:snapToGrid w:val="0"/>
        <w:spacing w:line="360" w:lineRule="auto"/>
        <w:ind w:firstLine="480" w:firstLineChars="200"/>
        <w:rPr>
          <w:color w:val="auto"/>
          <w:highlight w:val="none"/>
        </w:rPr>
      </w:pPr>
      <w:r>
        <w:rPr>
          <w:rFonts w:hint="eastAsia"/>
          <w:color w:val="auto"/>
          <w:highlight w:val="none"/>
        </w:rPr>
        <w:t>____________________（供应商名称）系中华人民共和国合法企业，经营地址____________________。</w:t>
      </w:r>
    </w:p>
    <w:p>
      <w:pPr>
        <w:adjustRightInd w:val="0"/>
        <w:snapToGrid w:val="0"/>
        <w:spacing w:line="360" w:lineRule="auto"/>
        <w:ind w:firstLine="480" w:firstLineChars="200"/>
        <w:rPr>
          <w:color w:val="auto"/>
          <w:highlight w:val="none"/>
        </w:rPr>
      </w:pPr>
      <w:r>
        <w:rPr>
          <w:rFonts w:hint="eastAsia"/>
          <w:color w:val="auto"/>
          <w:highlight w:val="none"/>
        </w:rPr>
        <w:t>我方愿意参加贵方组织的杭州电子科技大学示波器、数据处理卡等的磋商响应，为便于贵方公正、择优地确定成交供应商及其产品和服务，我方就本次磋商有关事项郑重声明如下：</w:t>
      </w:r>
    </w:p>
    <w:p>
      <w:pPr>
        <w:adjustRightInd w:val="0"/>
        <w:snapToGrid w:val="0"/>
        <w:spacing w:line="360" w:lineRule="auto"/>
        <w:ind w:firstLine="480" w:firstLineChars="200"/>
        <w:rPr>
          <w:color w:val="auto"/>
          <w:highlight w:val="none"/>
        </w:rPr>
      </w:pPr>
      <w:r>
        <w:rPr>
          <w:rFonts w:hint="eastAsia"/>
          <w:color w:val="auto"/>
          <w:highlight w:val="none"/>
        </w:rPr>
        <w:t>1.我方向贵方提交的所有响应文件、资料都是准确的和真实的；</w:t>
      </w:r>
    </w:p>
    <w:p>
      <w:pPr>
        <w:adjustRightInd w:val="0"/>
        <w:snapToGrid w:val="0"/>
        <w:spacing w:line="360" w:lineRule="auto"/>
        <w:ind w:firstLine="480" w:firstLineChars="200"/>
        <w:rPr>
          <w:color w:val="auto"/>
          <w:highlight w:val="none"/>
        </w:rPr>
      </w:pPr>
      <w:r>
        <w:rPr>
          <w:rFonts w:hint="eastAsia"/>
          <w:color w:val="auto"/>
          <w:highlight w:val="none"/>
        </w:rPr>
        <w:t>2.我方不是采购人的附属机构；在获知本项目采购信息后，与采购人聘请的为此项目提供咨询服务的公司及其附属机构没有任何联系。</w:t>
      </w:r>
    </w:p>
    <w:p>
      <w:pPr>
        <w:adjustRightInd w:val="0"/>
        <w:snapToGrid w:val="0"/>
        <w:spacing w:line="360" w:lineRule="auto"/>
        <w:ind w:firstLine="480" w:firstLineChars="200"/>
        <w:rPr>
          <w:color w:val="auto"/>
          <w:highlight w:val="none"/>
        </w:rPr>
      </w:pPr>
      <w:r>
        <w:rPr>
          <w:rFonts w:hint="eastAsia"/>
          <w:color w:val="auto"/>
          <w:highlight w:val="none"/>
        </w:rPr>
        <w:t>3.我方在参加政府采购活动前3年内：__________</w:t>
      </w:r>
      <w:r>
        <w:rPr>
          <w:rFonts w:hint="eastAsia"/>
          <w:b/>
          <w:bCs/>
          <w:color w:val="auto"/>
          <w:highlight w:val="none"/>
        </w:rPr>
        <w:t>（填写“有”或“没有”，如实填写，如不填写视同未按要求填写）</w:t>
      </w:r>
      <w:r>
        <w:rPr>
          <w:rFonts w:hint="eastAsia"/>
          <w:color w:val="auto"/>
          <w:highlight w:val="none"/>
        </w:rPr>
        <w:t>因违法经营被禁止在一定期限内参加政府采购活动，且期限未满的情形。</w:t>
      </w:r>
    </w:p>
    <w:p>
      <w:pPr>
        <w:adjustRightInd w:val="0"/>
        <w:snapToGrid w:val="0"/>
        <w:spacing w:line="360" w:lineRule="auto"/>
        <w:ind w:firstLine="480" w:firstLineChars="200"/>
        <w:rPr>
          <w:color w:val="auto"/>
          <w:highlight w:val="none"/>
        </w:rPr>
      </w:pPr>
      <w:r>
        <w:rPr>
          <w:rFonts w:hint="eastAsia"/>
          <w:color w:val="auto"/>
          <w:highlight w:val="none"/>
        </w:rPr>
        <w:t>4.以上事项如有虚假或隐瞒，我方愿意承担一切后果和责任。</w:t>
      </w: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r>
        <w:rPr>
          <w:rFonts w:hint="eastAsia"/>
          <w:color w:val="auto"/>
          <w:highlight w:val="none"/>
        </w:rPr>
        <w:t>供应商名称（盖章）：</w:t>
      </w:r>
    </w:p>
    <w:p>
      <w:pPr>
        <w:adjustRightInd w:val="0"/>
        <w:snapToGrid w:val="0"/>
        <w:spacing w:line="360" w:lineRule="auto"/>
        <w:rPr>
          <w:color w:val="auto"/>
          <w:highlight w:val="none"/>
        </w:rPr>
      </w:pPr>
      <w:r>
        <w:rPr>
          <w:rFonts w:hint="eastAsia"/>
          <w:color w:val="auto"/>
          <w:highlight w:val="none"/>
        </w:rPr>
        <w:t>供应商代表签字：</w:t>
      </w:r>
    </w:p>
    <w:p>
      <w:pPr>
        <w:adjustRightInd w:val="0"/>
        <w:snapToGrid w:val="0"/>
        <w:spacing w:line="360" w:lineRule="auto"/>
        <w:rPr>
          <w:color w:val="auto"/>
          <w:highlight w:val="none"/>
        </w:rPr>
      </w:pPr>
      <w:r>
        <w:rPr>
          <w:rFonts w:hint="eastAsia"/>
          <w:color w:val="auto"/>
          <w:highlight w:val="none"/>
        </w:rPr>
        <w:t>日期：________年____月____日</w:t>
      </w:r>
    </w:p>
    <w:p>
      <w:pPr>
        <w:rPr>
          <w:color w:val="auto"/>
          <w:highlight w:val="none"/>
        </w:rPr>
      </w:pPr>
      <w:r>
        <w:rPr>
          <w:rFonts w:hint="eastAsia"/>
          <w:color w:val="auto"/>
          <w:highlight w:val="none"/>
        </w:rPr>
        <w:br w:type="page"/>
      </w:r>
    </w:p>
    <w:p>
      <w:pPr>
        <w:adjustRightInd w:val="0"/>
        <w:snapToGrid w:val="0"/>
        <w:spacing w:line="360" w:lineRule="auto"/>
        <w:jc w:val="center"/>
        <w:outlineLvl w:val="2"/>
        <w:rPr>
          <w:b/>
          <w:bCs/>
          <w:color w:val="auto"/>
          <w:highlight w:val="none"/>
        </w:rPr>
      </w:pPr>
      <w:r>
        <w:rPr>
          <w:rFonts w:hint="eastAsia"/>
          <w:b/>
          <w:bCs/>
          <w:color w:val="auto"/>
          <w:highlight w:val="none"/>
        </w:rPr>
        <w:t>（</w:t>
      </w:r>
      <w:r>
        <w:rPr>
          <w:b/>
          <w:bCs/>
          <w:color w:val="auto"/>
          <w:highlight w:val="none"/>
        </w:rPr>
        <w:t>3</w:t>
      </w:r>
      <w:r>
        <w:rPr>
          <w:rFonts w:hint="eastAsia"/>
          <w:b/>
          <w:bCs/>
          <w:color w:val="auto"/>
          <w:highlight w:val="none"/>
        </w:rPr>
        <w:t>）法定代表人资格证明书</w:t>
      </w:r>
    </w:p>
    <w:p>
      <w:pPr>
        <w:adjustRightInd w:val="0"/>
        <w:snapToGrid w:val="0"/>
        <w:spacing w:line="360" w:lineRule="auto"/>
        <w:rPr>
          <w:color w:val="auto"/>
          <w:highlight w:val="none"/>
        </w:rPr>
      </w:pPr>
      <w:r>
        <w:rPr>
          <w:rFonts w:hint="eastAsia"/>
          <w:color w:val="auto"/>
          <w:highlight w:val="none"/>
        </w:rPr>
        <w:t>致：杭州电子科技大学、浙江求是招标代理有限公司</w:t>
      </w:r>
    </w:p>
    <w:p>
      <w:pPr>
        <w:adjustRightInd w:val="0"/>
        <w:snapToGrid w:val="0"/>
        <w:spacing w:line="360" w:lineRule="auto"/>
        <w:ind w:firstLine="480" w:firstLineChars="200"/>
        <w:rPr>
          <w:color w:val="auto"/>
          <w:highlight w:val="none"/>
        </w:rPr>
      </w:pPr>
      <w:r>
        <w:rPr>
          <w:rFonts w:hint="eastAsia"/>
          <w:color w:val="auto"/>
          <w:highlight w:val="none"/>
        </w:rPr>
        <w:t>我__________（姓名）系____________________（供应商名称）的法定代表人，身份证号码：____________________。</w:t>
      </w:r>
    </w:p>
    <w:p>
      <w:pPr>
        <w:adjustRightInd w:val="0"/>
        <w:snapToGrid w:val="0"/>
        <w:spacing w:line="360" w:lineRule="auto"/>
        <w:ind w:firstLine="480" w:firstLineChars="200"/>
        <w:rPr>
          <w:color w:val="auto"/>
          <w:highlight w:val="none"/>
        </w:rPr>
      </w:pPr>
      <w:r>
        <w:rPr>
          <w:rFonts w:hint="eastAsia"/>
          <w:color w:val="auto"/>
          <w:highlight w:val="none"/>
        </w:rPr>
        <w:t>特此证明。</w:t>
      </w:r>
    </w:p>
    <w:tbl>
      <w:tblPr>
        <w:tblStyle w:val="10"/>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9628" w:type="dxa"/>
            <w:vAlign w:val="center"/>
          </w:tcPr>
          <w:p>
            <w:pPr>
              <w:adjustRightInd w:val="0"/>
              <w:snapToGrid w:val="0"/>
              <w:spacing w:line="360" w:lineRule="auto"/>
              <w:rPr>
                <w:color w:val="auto"/>
                <w:highlight w:val="none"/>
              </w:rPr>
            </w:pPr>
            <w:r>
              <w:rPr>
                <w:rFonts w:hint="eastAsia"/>
                <w:color w:val="auto"/>
                <w:highlight w:val="none"/>
              </w:rPr>
              <w:t>法定代表人身份证：</w:t>
            </w: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r>
              <w:rPr>
                <w:rFonts w:hint="eastAsia"/>
                <w:color w:val="auto"/>
                <w:highlight w:val="none"/>
              </w:rPr>
              <w:t>扫描件粘贴处</w:t>
            </w: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tc>
      </w:tr>
    </w:tbl>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r>
        <w:rPr>
          <w:rFonts w:hint="eastAsia"/>
          <w:color w:val="auto"/>
          <w:highlight w:val="none"/>
        </w:rPr>
        <w:t>供应商名称（盖章）：</w:t>
      </w:r>
    </w:p>
    <w:p>
      <w:pPr>
        <w:adjustRightInd w:val="0"/>
        <w:snapToGrid w:val="0"/>
        <w:spacing w:line="360" w:lineRule="auto"/>
        <w:rPr>
          <w:color w:val="auto"/>
          <w:highlight w:val="none"/>
        </w:rPr>
      </w:pPr>
      <w:r>
        <w:rPr>
          <w:rFonts w:hint="eastAsia"/>
          <w:color w:val="auto"/>
          <w:highlight w:val="none"/>
        </w:rPr>
        <w:t>日期：________年____月____日</w:t>
      </w:r>
    </w:p>
    <w:p>
      <w:pPr>
        <w:rPr>
          <w:color w:val="auto"/>
          <w:highlight w:val="none"/>
        </w:rPr>
      </w:pPr>
      <w:r>
        <w:rPr>
          <w:rFonts w:hint="eastAsia"/>
          <w:color w:val="auto"/>
          <w:highlight w:val="none"/>
        </w:rPr>
        <w:br w:type="page"/>
      </w:r>
    </w:p>
    <w:p>
      <w:pPr>
        <w:adjustRightInd w:val="0"/>
        <w:snapToGrid w:val="0"/>
        <w:spacing w:line="360" w:lineRule="auto"/>
        <w:jc w:val="center"/>
        <w:outlineLvl w:val="2"/>
        <w:rPr>
          <w:b/>
          <w:bCs/>
          <w:color w:val="auto"/>
          <w:highlight w:val="none"/>
        </w:rPr>
      </w:pPr>
      <w:r>
        <w:rPr>
          <w:rFonts w:hint="eastAsia"/>
          <w:b/>
          <w:bCs/>
          <w:color w:val="auto"/>
          <w:highlight w:val="none"/>
        </w:rPr>
        <w:t>（</w:t>
      </w:r>
      <w:r>
        <w:rPr>
          <w:b/>
          <w:bCs/>
          <w:color w:val="auto"/>
          <w:highlight w:val="none"/>
        </w:rPr>
        <w:t>3</w:t>
      </w:r>
      <w:r>
        <w:rPr>
          <w:rFonts w:hint="eastAsia"/>
          <w:b/>
          <w:bCs/>
          <w:color w:val="auto"/>
          <w:highlight w:val="none"/>
        </w:rPr>
        <w:t>）法定代表人授权委托书</w:t>
      </w:r>
    </w:p>
    <w:p>
      <w:pPr>
        <w:adjustRightInd w:val="0"/>
        <w:snapToGrid w:val="0"/>
        <w:spacing w:line="360" w:lineRule="auto"/>
        <w:rPr>
          <w:color w:val="auto"/>
          <w:highlight w:val="none"/>
        </w:rPr>
      </w:pPr>
      <w:r>
        <w:rPr>
          <w:rFonts w:hint="eastAsia"/>
          <w:color w:val="auto"/>
          <w:highlight w:val="none"/>
        </w:rPr>
        <w:t>致：杭州电子科技大学、浙江求是招标代理有限公司</w:t>
      </w:r>
    </w:p>
    <w:p>
      <w:pPr>
        <w:adjustRightInd w:val="0"/>
        <w:snapToGrid w:val="0"/>
        <w:spacing w:line="360" w:lineRule="auto"/>
        <w:ind w:firstLine="480" w:firstLineChars="200"/>
        <w:rPr>
          <w:color w:val="auto"/>
          <w:highlight w:val="none"/>
        </w:rPr>
      </w:pPr>
      <w:r>
        <w:rPr>
          <w:rFonts w:hint="eastAsia"/>
          <w:color w:val="auto"/>
          <w:highlight w:val="none"/>
        </w:rPr>
        <w:t>我__________（姓名）系____________________（供应商名称）的法定代表人，现授权委托本单位在职职工：__________（姓名），身份证号码：____________________以我方的名义参加杭州电子科技大学示波器、数据处理卡等的磋商响应活动，并代表我方全权办理针对上述项目的磋商响应、磋商文件开启、评审、签约等具体事务和签署相关文件。</w:t>
      </w:r>
    </w:p>
    <w:p>
      <w:pPr>
        <w:adjustRightInd w:val="0"/>
        <w:snapToGrid w:val="0"/>
        <w:spacing w:line="360" w:lineRule="auto"/>
        <w:ind w:firstLine="480" w:firstLineChars="200"/>
        <w:rPr>
          <w:color w:val="auto"/>
          <w:highlight w:val="none"/>
        </w:rPr>
      </w:pPr>
      <w:r>
        <w:rPr>
          <w:rFonts w:hint="eastAsia"/>
          <w:color w:val="auto"/>
          <w:highlight w:val="none"/>
        </w:rPr>
        <w:t>我方对被授权人的签名负全部责任。</w:t>
      </w:r>
    </w:p>
    <w:p>
      <w:pPr>
        <w:adjustRightInd w:val="0"/>
        <w:snapToGrid w:val="0"/>
        <w:spacing w:line="360" w:lineRule="auto"/>
        <w:ind w:firstLine="480" w:firstLineChars="200"/>
        <w:rPr>
          <w:color w:val="auto"/>
          <w:highlight w:val="none"/>
        </w:rPr>
      </w:pPr>
      <w:r>
        <w:rPr>
          <w:rFonts w:hint="eastAsia"/>
          <w:color w:val="auto"/>
          <w:highlight w:val="none"/>
        </w:rPr>
        <w:t>在撤销授权的书面通知以前，本授权书一直有效。被授权人在授权书有效期内签署的所有文件不因授权的撤销而失效。</w:t>
      </w:r>
    </w:p>
    <w:p>
      <w:pPr>
        <w:adjustRightInd w:val="0"/>
        <w:snapToGrid w:val="0"/>
        <w:spacing w:line="360" w:lineRule="auto"/>
        <w:ind w:firstLine="480" w:firstLineChars="200"/>
        <w:rPr>
          <w:color w:val="auto"/>
          <w:highlight w:val="none"/>
        </w:rPr>
      </w:pPr>
      <w:r>
        <w:rPr>
          <w:rFonts w:hint="eastAsia"/>
          <w:color w:val="auto"/>
          <w:highlight w:val="none"/>
        </w:rPr>
        <w:t>被授权人无转委托权，特此委托。</w:t>
      </w:r>
    </w:p>
    <w:p>
      <w:pPr>
        <w:adjustRightInd w:val="0"/>
        <w:snapToGrid w:val="0"/>
        <w:spacing w:line="360" w:lineRule="auto"/>
        <w:ind w:firstLine="480" w:firstLineChars="200"/>
        <w:rPr>
          <w:color w:val="auto"/>
          <w:highlight w:val="none"/>
          <w:u w:val="single"/>
        </w:rPr>
      </w:pPr>
      <w:r>
        <w:rPr>
          <w:rFonts w:hint="eastAsia"/>
          <w:color w:val="auto"/>
          <w:highlight w:val="none"/>
          <w:u w:val="single"/>
        </w:rPr>
        <w:t>▲供应商授权代表必须为供应商本单位在职职工，并提供</w:t>
      </w:r>
      <w:r>
        <w:rPr>
          <w:color w:val="auto"/>
          <w:highlight w:val="none"/>
          <w:u w:val="single"/>
        </w:rPr>
        <w:t>2020年12月（含）以后任意一月社保缴纳证明</w:t>
      </w:r>
      <w:r>
        <w:rPr>
          <w:rFonts w:hint="eastAsia"/>
          <w:color w:val="auto"/>
          <w:highlight w:val="none"/>
          <w:u w:val="single"/>
        </w:rPr>
        <w:t>。</w:t>
      </w:r>
    </w:p>
    <w:p>
      <w:pPr>
        <w:adjustRightInd w:val="0"/>
        <w:snapToGrid w:val="0"/>
        <w:spacing w:line="360" w:lineRule="auto"/>
        <w:ind w:firstLine="480" w:firstLineChars="200"/>
        <w:rPr>
          <w:color w:val="auto"/>
          <w:highlight w:val="none"/>
        </w:rPr>
      </w:pPr>
      <w:r>
        <w:rPr>
          <w:rFonts w:hint="eastAsia"/>
          <w:color w:val="auto"/>
          <w:highlight w:val="none"/>
        </w:rPr>
        <w:t>法定代表人（签字或盖章）：</w:t>
      </w:r>
    </w:p>
    <w:tbl>
      <w:tblPr>
        <w:tblStyle w:val="10"/>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9628" w:type="dxa"/>
            <w:vAlign w:val="center"/>
          </w:tcPr>
          <w:p>
            <w:pPr>
              <w:adjustRightInd w:val="0"/>
              <w:snapToGrid w:val="0"/>
              <w:spacing w:line="360" w:lineRule="auto"/>
              <w:rPr>
                <w:color w:val="auto"/>
                <w:highlight w:val="none"/>
              </w:rPr>
            </w:pPr>
            <w:r>
              <w:rPr>
                <w:rFonts w:hint="eastAsia"/>
                <w:color w:val="auto"/>
                <w:highlight w:val="none"/>
              </w:rPr>
              <w:t>授权代表身份证：</w:t>
            </w: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r>
              <w:rPr>
                <w:rFonts w:hint="eastAsia"/>
                <w:color w:val="auto"/>
                <w:highlight w:val="none"/>
              </w:rPr>
              <w:t>扫描件粘贴处</w:t>
            </w: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tc>
      </w:tr>
    </w:tbl>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r>
        <w:rPr>
          <w:rFonts w:hint="eastAsia"/>
          <w:color w:val="auto"/>
          <w:highlight w:val="none"/>
        </w:rPr>
        <w:t>供应商名称（盖章）：</w:t>
      </w:r>
    </w:p>
    <w:p>
      <w:pPr>
        <w:adjustRightInd w:val="0"/>
        <w:snapToGrid w:val="0"/>
        <w:spacing w:line="360" w:lineRule="auto"/>
        <w:rPr>
          <w:color w:val="auto"/>
          <w:highlight w:val="none"/>
        </w:rPr>
      </w:pPr>
      <w:r>
        <w:rPr>
          <w:rFonts w:hint="eastAsia"/>
          <w:color w:val="auto"/>
          <w:highlight w:val="none"/>
        </w:rPr>
        <w:t>日期：________年____月____日</w:t>
      </w:r>
    </w:p>
    <w:p>
      <w:pPr>
        <w:adjustRightInd w:val="0"/>
        <w:snapToGrid w:val="0"/>
        <w:spacing w:line="360" w:lineRule="auto"/>
        <w:rPr>
          <w:color w:val="auto"/>
          <w:highlight w:val="none"/>
        </w:rPr>
      </w:pPr>
    </w:p>
    <w:p>
      <w:pPr>
        <w:adjustRightInd w:val="0"/>
        <w:snapToGrid w:val="0"/>
        <w:spacing w:line="360" w:lineRule="auto"/>
        <w:rPr>
          <w:b/>
          <w:bCs/>
          <w:color w:val="auto"/>
          <w:sz w:val="21"/>
          <w:szCs w:val="21"/>
          <w:highlight w:val="none"/>
        </w:rPr>
      </w:pPr>
      <w:r>
        <w:rPr>
          <w:rFonts w:hint="eastAsia"/>
          <w:b/>
          <w:bCs/>
          <w:color w:val="auto"/>
          <w:sz w:val="21"/>
          <w:szCs w:val="21"/>
          <w:highlight w:val="none"/>
        </w:rPr>
        <w:t>说明：</w:t>
      </w:r>
    </w:p>
    <w:p>
      <w:pPr>
        <w:adjustRightInd w:val="0"/>
        <w:snapToGrid w:val="0"/>
        <w:spacing w:line="360" w:lineRule="auto"/>
        <w:rPr>
          <w:b/>
          <w:bCs/>
          <w:color w:val="auto"/>
          <w:sz w:val="21"/>
          <w:szCs w:val="21"/>
          <w:highlight w:val="none"/>
        </w:rPr>
      </w:pPr>
      <w:r>
        <w:rPr>
          <w:rFonts w:hint="eastAsia"/>
          <w:b/>
          <w:bCs/>
          <w:color w:val="auto"/>
          <w:sz w:val="21"/>
          <w:szCs w:val="21"/>
          <w:highlight w:val="none"/>
        </w:rPr>
        <w:t>1.供应商的法定代表人参加磋商响应，须在响应文件中提供：法定代表人资格证明书；</w:t>
      </w:r>
    </w:p>
    <w:p>
      <w:pPr>
        <w:adjustRightInd w:val="0"/>
        <w:snapToGrid w:val="0"/>
        <w:spacing w:line="360" w:lineRule="auto"/>
        <w:rPr>
          <w:b/>
          <w:bCs/>
          <w:color w:val="auto"/>
          <w:sz w:val="21"/>
          <w:szCs w:val="21"/>
          <w:highlight w:val="none"/>
        </w:rPr>
      </w:pPr>
      <w:r>
        <w:rPr>
          <w:rFonts w:hint="eastAsia"/>
          <w:b/>
          <w:bCs/>
          <w:color w:val="auto"/>
          <w:sz w:val="21"/>
          <w:szCs w:val="21"/>
          <w:highlight w:val="none"/>
        </w:rPr>
        <w:t>2.供应商的法定代表人委托授权代表参加磋商响应，须在响应文件中提供：法定代表人资格证明书和法定代表人授权委托书。</w:t>
      </w:r>
    </w:p>
    <w:p>
      <w:pPr>
        <w:rPr>
          <w:color w:val="auto"/>
          <w:highlight w:val="none"/>
        </w:rPr>
      </w:pPr>
      <w:r>
        <w:rPr>
          <w:rFonts w:hint="eastAsia"/>
          <w:color w:val="auto"/>
          <w:highlight w:val="none"/>
        </w:rPr>
        <w:br w:type="page"/>
      </w:r>
    </w:p>
    <w:p>
      <w:pPr>
        <w:adjustRightInd w:val="0"/>
        <w:snapToGrid w:val="0"/>
        <w:spacing w:line="360" w:lineRule="auto"/>
        <w:jc w:val="center"/>
        <w:outlineLvl w:val="2"/>
        <w:rPr>
          <w:b/>
          <w:bCs/>
          <w:color w:val="auto"/>
          <w:highlight w:val="none"/>
        </w:rPr>
      </w:pPr>
      <w:r>
        <w:rPr>
          <w:rFonts w:hint="eastAsia"/>
          <w:b/>
          <w:bCs/>
          <w:color w:val="auto"/>
          <w:highlight w:val="none"/>
        </w:rPr>
        <w:t>（</w:t>
      </w:r>
      <w:r>
        <w:rPr>
          <w:b/>
          <w:bCs/>
          <w:color w:val="auto"/>
          <w:highlight w:val="none"/>
        </w:rPr>
        <w:t>4</w:t>
      </w:r>
      <w:r>
        <w:rPr>
          <w:rFonts w:hint="eastAsia"/>
          <w:b/>
          <w:bCs/>
          <w:color w:val="auto"/>
          <w:highlight w:val="none"/>
        </w:rPr>
        <w:t>）2020年12月（含）以后任意一月的供应商授权代表社保缴纳证明</w:t>
      </w:r>
    </w:p>
    <w:p>
      <w:pPr>
        <w:adjustRightInd w:val="0"/>
        <w:snapToGrid w:val="0"/>
        <w:spacing w:line="360" w:lineRule="auto"/>
        <w:jc w:val="center"/>
        <w:rPr>
          <w:b/>
          <w:bCs/>
          <w:color w:val="auto"/>
          <w:sz w:val="21"/>
          <w:szCs w:val="21"/>
          <w:highlight w:val="none"/>
        </w:rPr>
      </w:pPr>
      <w:r>
        <w:rPr>
          <w:rFonts w:hint="eastAsia"/>
          <w:b/>
          <w:bCs/>
          <w:color w:val="auto"/>
          <w:sz w:val="21"/>
          <w:szCs w:val="21"/>
          <w:highlight w:val="none"/>
        </w:rPr>
        <w:t>（授权代表为法定代表人可不提供）</w:t>
      </w:r>
    </w:p>
    <w:p>
      <w:pPr>
        <w:rPr>
          <w:color w:val="auto"/>
          <w:highlight w:val="none"/>
        </w:rPr>
      </w:pPr>
      <w:r>
        <w:rPr>
          <w:rFonts w:hint="eastAsia"/>
          <w:color w:val="auto"/>
          <w:highlight w:val="none"/>
        </w:rPr>
        <w:br w:type="page"/>
      </w:r>
    </w:p>
    <w:p>
      <w:pPr>
        <w:adjustRightInd w:val="0"/>
        <w:snapToGrid w:val="0"/>
        <w:spacing w:line="360" w:lineRule="auto"/>
        <w:jc w:val="center"/>
        <w:outlineLvl w:val="2"/>
        <w:rPr>
          <w:b/>
          <w:bCs/>
          <w:color w:val="auto"/>
          <w:highlight w:val="none"/>
        </w:rPr>
      </w:pPr>
      <w:r>
        <w:rPr>
          <w:rFonts w:hint="eastAsia"/>
          <w:b/>
          <w:bCs/>
          <w:color w:val="auto"/>
          <w:highlight w:val="none"/>
        </w:rPr>
        <w:t>（</w:t>
      </w:r>
      <w:r>
        <w:rPr>
          <w:b/>
          <w:bCs/>
          <w:color w:val="auto"/>
          <w:highlight w:val="none"/>
        </w:rPr>
        <w:t>5</w:t>
      </w:r>
      <w:r>
        <w:rPr>
          <w:rFonts w:hint="eastAsia"/>
          <w:b/>
          <w:bCs/>
          <w:color w:val="auto"/>
          <w:highlight w:val="none"/>
        </w:rPr>
        <w:t>）供应商情况介绍</w:t>
      </w:r>
    </w:p>
    <w:tbl>
      <w:tblPr>
        <w:tblStyle w:val="10"/>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0"/>
        <w:gridCol w:w="2917"/>
        <w:gridCol w:w="1392"/>
        <w:gridCol w:w="4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010" w:type="dxa"/>
            <w:vAlign w:val="center"/>
          </w:tcPr>
          <w:p>
            <w:pPr>
              <w:adjustRightInd w:val="0"/>
              <w:snapToGrid w:val="0"/>
              <w:jc w:val="center"/>
              <w:rPr>
                <w:color w:val="auto"/>
                <w:highlight w:val="none"/>
              </w:rPr>
            </w:pPr>
            <w:r>
              <w:rPr>
                <w:rFonts w:hint="eastAsia"/>
                <w:color w:val="auto"/>
                <w:highlight w:val="none"/>
              </w:rPr>
              <w:t>1</w:t>
            </w:r>
          </w:p>
        </w:tc>
        <w:tc>
          <w:tcPr>
            <w:tcW w:w="8618" w:type="dxa"/>
            <w:gridSpan w:val="3"/>
            <w:vAlign w:val="center"/>
          </w:tcPr>
          <w:p>
            <w:pPr>
              <w:adjustRightInd w:val="0"/>
              <w:snapToGrid w:val="0"/>
              <w:rPr>
                <w:color w:val="auto"/>
                <w:highlight w:val="none"/>
              </w:rPr>
            </w:pPr>
            <w:r>
              <w:rPr>
                <w:rFonts w:hint="eastAsia"/>
                <w:color w:val="auto"/>
                <w:highlight w:val="none"/>
              </w:rPr>
              <w:t>企业名称：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010" w:type="dxa"/>
            <w:vAlign w:val="center"/>
          </w:tcPr>
          <w:p>
            <w:pPr>
              <w:adjustRightInd w:val="0"/>
              <w:snapToGrid w:val="0"/>
              <w:jc w:val="center"/>
              <w:rPr>
                <w:color w:val="auto"/>
                <w:highlight w:val="none"/>
              </w:rPr>
            </w:pPr>
            <w:r>
              <w:rPr>
                <w:rFonts w:hint="eastAsia"/>
                <w:color w:val="auto"/>
                <w:highlight w:val="none"/>
              </w:rPr>
              <w:t>2</w:t>
            </w:r>
          </w:p>
        </w:tc>
        <w:tc>
          <w:tcPr>
            <w:tcW w:w="8618" w:type="dxa"/>
            <w:gridSpan w:val="3"/>
            <w:vAlign w:val="center"/>
          </w:tcPr>
          <w:p>
            <w:pPr>
              <w:adjustRightInd w:val="0"/>
              <w:snapToGrid w:val="0"/>
              <w:rPr>
                <w:color w:val="auto"/>
                <w:highlight w:val="none"/>
              </w:rPr>
            </w:pPr>
            <w:r>
              <w:rPr>
                <w:rFonts w:hint="eastAsia"/>
                <w:color w:val="auto"/>
                <w:highlight w:val="none"/>
              </w:rPr>
              <w:t>总部地址：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010" w:type="dxa"/>
            <w:vAlign w:val="center"/>
          </w:tcPr>
          <w:p>
            <w:pPr>
              <w:adjustRightInd w:val="0"/>
              <w:snapToGrid w:val="0"/>
              <w:jc w:val="center"/>
              <w:rPr>
                <w:color w:val="auto"/>
                <w:highlight w:val="none"/>
              </w:rPr>
            </w:pPr>
            <w:r>
              <w:rPr>
                <w:rFonts w:hint="eastAsia"/>
                <w:color w:val="auto"/>
                <w:highlight w:val="none"/>
              </w:rPr>
              <w:t>3</w:t>
            </w:r>
          </w:p>
        </w:tc>
        <w:tc>
          <w:tcPr>
            <w:tcW w:w="8618" w:type="dxa"/>
            <w:gridSpan w:val="3"/>
            <w:vAlign w:val="center"/>
          </w:tcPr>
          <w:p>
            <w:pPr>
              <w:adjustRightInd w:val="0"/>
              <w:snapToGrid w:val="0"/>
              <w:rPr>
                <w:color w:val="auto"/>
                <w:highlight w:val="none"/>
              </w:rPr>
            </w:pPr>
            <w:r>
              <w:rPr>
                <w:rFonts w:hint="eastAsia"/>
                <w:color w:val="auto"/>
                <w:highlight w:val="none"/>
              </w:rPr>
              <w:t>当地代表处地址：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010" w:type="dxa"/>
            <w:vAlign w:val="center"/>
          </w:tcPr>
          <w:p>
            <w:pPr>
              <w:adjustRightInd w:val="0"/>
              <w:snapToGrid w:val="0"/>
              <w:jc w:val="center"/>
              <w:rPr>
                <w:color w:val="auto"/>
                <w:highlight w:val="none"/>
              </w:rPr>
            </w:pPr>
            <w:r>
              <w:rPr>
                <w:rFonts w:hint="eastAsia"/>
                <w:color w:val="auto"/>
                <w:highlight w:val="none"/>
              </w:rPr>
              <w:t>4</w:t>
            </w:r>
          </w:p>
        </w:tc>
        <w:tc>
          <w:tcPr>
            <w:tcW w:w="4309" w:type="dxa"/>
            <w:gridSpan w:val="2"/>
            <w:vAlign w:val="center"/>
          </w:tcPr>
          <w:p>
            <w:pPr>
              <w:adjustRightInd w:val="0"/>
              <w:snapToGrid w:val="0"/>
              <w:rPr>
                <w:color w:val="auto"/>
                <w:highlight w:val="none"/>
              </w:rPr>
            </w:pPr>
            <w:r>
              <w:rPr>
                <w:rFonts w:hint="eastAsia"/>
                <w:color w:val="auto"/>
                <w:highlight w:val="none"/>
              </w:rPr>
              <w:t>电话：</w:t>
            </w:r>
          </w:p>
        </w:tc>
        <w:tc>
          <w:tcPr>
            <w:tcW w:w="4309" w:type="dxa"/>
            <w:vAlign w:val="center"/>
          </w:tcPr>
          <w:p>
            <w:pPr>
              <w:adjustRightInd w:val="0"/>
              <w:snapToGrid w:val="0"/>
              <w:rPr>
                <w:color w:val="auto"/>
                <w:highlight w:val="none"/>
              </w:rPr>
            </w:pPr>
            <w:r>
              <w:rPr>
                <w:rFonts w:hint="eastAsia"/>
                <w:color w:val="auto"/>
                <w:highlight w:val="none"/>
              </w:rPr>
              <w:t>联系人：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010" w:type="dxa"/>
            <w:vAlign w:val="center"/>
          </w:tcPr>
          <w:p>
            <w:pPr>
              <w:adjustRightInd w:val="0"/>
              <w:snapToGrid w:val="0"/>
              <w:jc w:val="center"/>
              <w:rPr>
                <w:color w:val="auto"/>
                <w:highlight w:val="none"/>
              </w:rPr>
            </w:pPr>
            <w:r>
              <w:rPr>
                <w:rFonts w:hint="eastAsia"/>
                <w:color w:val="auto"/>
                <w:highlight w:val="none"/>
              </w:rPr>
              <w:t>5</w:t>
            </w:r>
          </w:p>
        </w:tc>
        <w:tc>
          <w:tcPr>
            <w:tcW w:w="4309" w:type="dxa"/>
            <w:gridSpan w:val="2"/>
            <w:vAlign w:val="center"/>
          </w:tcPr>
          <w:p>
            <w:pPr>
              <w:adjustRightInd w:val="0"/>
              <w:snapToGrid w:val="0"/>
              <w:rPr>
                <w:color w:val="auto"/>
                <w:highlight w:val="none"/>
              </w:rPr>
            </w:pPr>
            <w:r>
              <w:rPr>
                <w:rFonts w:hint="eastAsia"/>
                <w:color w:val="auto"/>
                <w:highlight w:val="none"/>
              </w:rPr>
              <w:t>传真：</w:t>
            </w:r>
          </w:p>
        </w:tc>
        <w:tc>
          <w:tcPr>
            <w:tcW w:w="4309" w:type="dxa"/>
            <w:vAlign w:val="center"/>
          </w:tcPr>
          <w:p>
            <w:pPr>
              <w:adjustRightInd w:val="0"/>
              <w:snapToGrid w:val="0"/>
              <w:rPr>
                <w:color w:val="auto"/>
                <w:highlight w:val="none"/>
              </w:rPr>
            </w:pPr>
            <w:r>
              <w:rPr>
                <w:rFonts w:hint="eastAsia"/>
                <w:color w:val="auto"/>
                <w:highlight w:val="none"/>
              </w:rPr>
              <w:t>电子信箱：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010" w:type="dxa"/>
            <w:vAlign w:val="center"/>
          </w:tcPr>
          <w:p>
            <w:pPr>
              <w:adjustRightInd w:val="0"/>
              <w:snapToGrid w:val="0"/>
              <w:jc w:val="center"/>
              <w:rPr>
                <w:color w:val="auto"/>
                <w:highlight w:val="none"/>
              </w:rPr>
            </w:pPr>
            <w:r>
              <w:rPr>
                <w:rFonts w:hint="eastAsia"/>
                <w:color w:val="auto"/>
                <w:highlight w:val="none"/>
              </w:rPr>
              <w:t>6</w:t>
            </w:r>
          </w:p>
        </w:tc>
        <w:tc>
          <w:tcPr>
            <w:tcW w:w="4309" w:type="dxa"/>
            <w:gridSpan w:val="2"/>
            <w:vAlign w:val="center"/>
          </w:tcPr>
          <w:p>
            <w:pPr>
              <w:adjustRightInd w:val="0"/>
              <w:snapToGrid w:val="0"/>
              <w:rPr>
                <w:color w:val="auto"/>
                <w:highlight w:val="none"/>
              </w:rPr>
            </w:pPr>
            <w:r>
              <w:rPr>
                <w:rFonts w:hint="eastAsia"/>
                <w:color w:val="auto"/>
                <w:highlight w:val="none"/>
              </w:rPr>
              <w:t>注册地：</w:t>
            </w:r>
          </w:p>
        </w:tc>
        <w:tc>
          <w:tcPr>
            <w:tcW w:w="4309" w:type="dxa"/>
            <w:vAlign w:val="center"/>
          </w:tcPr>
          <w:p>
            <w:pPr>
              <w:adjustRightInd w:val="0"/>
              <w:snapToGrid w:val="0"/>
              <w:rPr>
                <w:color w:val="auto"/>
                <w:highlight w:val="none"/>
              </w:rPr>
            </w:pPr>
            <w:r>
              <w:rPr>
                <w:rFonts w:hint="eastAsia"/>
                <w:color w:val="auto"/>
                <w:highlight w:val="none"/>
              </w:rPr>
              <w:t>注册年份：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010" w:type="dxa"/>
            <w:vAlign w:val="center"/>
          </w:tcPr>
          <w:p>
            <w:pPr>
              <w:adjustRightInd w:val="0"/>
              <w:snapToGrid w:val="0"/>
              <w:jc w:val="center"/>
              <w:rPr>
                <w:color w:val="auto"/>
                <w:highlight w:val="none"/>
              </w:rPr>
            </w:pPr>
            <w:r>
              <w:rPr>
                <w:rFonts w:hint="eastAsia"/>
                <w:color w:val="auto"/>
                <w:highlight w:val="none"/>
              </w:rPr>
              <w:t>7</w:t>
            </w:r>
          </w:p>
        </w:tc>
        <w:tc>
          <w:tcPr>
            <w:tcW w:w="8618" w:type="dxa"/>
            <w:gridSpan w:val="3"/>
            <w:vAlign w:val="center"/>
          </w:tcPr>
          <w:p>
            <w:pPr>
              <w:adjustRightInd w:val="0"/>
              <w:snapToGrid w:val="0"/>
              <w:rPr>
                <w:color w:val="auto"/>
                <w:highlight w:val="none"/>
              </w:rPr>
            </w:pPr>
            <w:r>
              <w:rPr>
                <w:rFonts w:hint="eastAsia"/>
                <w:color w:val="auto"/>
                <w:highlight w:val="none"/>
              </w:rPr>
              <w:t>公司的资质等级（请附上有关证书的扫描件）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268" w:hRule="atLeast"/>
          <w:jc w:val="center"/>
        </w:trPr>
        <w:tc>
          <w:tcPr>
            <w:tcW w:w="1010" w:type="dxa"/>
            <w:vAlign w:val="center"/>
          </w:tcPr>
          <w:p>
            <w:pPr>
              <w:adjustRightInd w:val="0"/>
              <w:snapToGrid w:val="0"/>
              <w:jc w:val="center"/>
              <w:rPr>
                <w:color w:val="auto"/>
                <w:highlight w:val="none"/>
              </w:rPr>
            </w:pPr>
            <w:r>
              <w:rPr>
                <w:rFonts w:hint="eastAsia"/>
                <w:color w:val="auto"/>
                <w:highlight w:val="none"/>
              </w:rPr>
              <w:t>8</w:t>
            </w:r>
          </w:p>
        </w:tc>
        <w:tc>
          <w:tcPr>
            <w:tcW w:w="2917" w:type="dxa"/>
            <w:vAlign w:val="center"/>
          </w:tcPr>
          <w:p>
            <w:pPr>
              <w:adjustRightInd w:val="0"/>
              <w:snapToGrid w:val="0"/>
              <w:rPr>
                <w:color w:val="auto"/>
                <w:highlight w:val="none"/>
              </w:rPr>
            </w:pPr>
            <w:r>
              <w:rPr>
                <w:rFonts w:hint="eastAsia"/>
                <w:color w:val="auto"/>
                <w:highlight w:val="none"/>
              </w:rPr>
              <w:t>其他需要说明的情况</w:t>
            </w:r>
          </w:p>
        </w:tc>
        <w:tc>
          <w:tcPr>
            <w:tcW w:w="5701" w:type="dxa"/>
            <w:gridSpan w:val="2"/>
            <w:vAlign w:val="center"/>
          </w:tcPr>
          <w:p>
            <w:pPr>
              <w:adjustRightInd w:val="0"/>
              <w:snapToGrid w:val="0"/>
              <w:rPr>
                <w:color w:val="auto"/>
                <w:highlight w:val="none"/>
              </w:rPr>
            </w:pPr>
          </w:p>
        </w:tc>
      </w:tr>
    </w:tbl>
    <w:p>
      <w:pPr>
        <w:adjustRightInd w:val="0"/>
        <w:snapToGrid w:val="0"/>
        <w:spacing w:line="360" w:lineRule="auto"/>
        <w:rPr>
          <w:color w:val="auto"/>
          <w:highlight w:val="none"/>
        </w:rPr>
      </w:pPr>
    </w:p>
    <w:p>
      <w:pPr>
        <w:adjustRightInd w:val="0"/>
        <w:snapToGrid w:val="0"/>
        <w:spacing w:line="360" w:lineRule="auto"/>
        <w:rPr>
          <w:b/>
          <w:bCs/>
          <w:color w:val="auto"/>
          <w:sz w:val="21"/>
          <w:szCs w:val="21"/>
          <w:highlight w:val="none"/>
        </w:rPr>
      </w:pPr>
      <w:r>
        <w:rPr>
          <w:rFonts w:hint="eastAsia"/>
          <w:b/>
          <w:bCs/>
          <w:color w:val="auto"/>
          <w:sz w:val="21"/>
          <w:szCs w:val="21"/>
          <w:highlight w:val="none"/>
        </w:rPr>
        <w:t>说明：所有供应商都须填写此表。</w:t>
      </w: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r>
        <w:rPr>
          <w:rFonts w:hint="eastAsia"/>
          <w:color w:val="auto"/>
          <w:highlight w:val="none"/>
        </w:rPr>
        <w:t>供应商名称（盖章）：</w:t>
      </w:r>
    </w:p>
    <w:p>
      <w:pPr>
        <w:adjustRightInd w:val="0"/>
        <w:snapToGrid w:val="0"/>
        <w:spacing w:line="360" w:lineRule="auto"/>
        <w:rPr>
          <w:color w:val="auto"/>
          <w:highlight w:val="none"/>
        </w:rPr>
      </w:pPr>
      <w:r>
        <w:rPr>
          <w:rFonts w:hint="eastAsia"/>
          <w:color w:val="auto"/>
          <w:highlight w:val="none"/>
        </w:rPr>
        <w:t>供应商代表签字：</w:t>
      </w:r>
    </w:p>
    <w:p>
      <w:pPr>
        <w:adjustRightInd w:val="0"/>
        <w:snapToGrid w:val="0"/>
        <w:spacing w:line="360" w:lineRule="auto"/>
        <w:rPr>
          <w:color w:val="auto"/>
          <w:highlight w:val="none"/>
        </w:rPr>
      </w:pPr>
      <w:r>
        <w:rPr>
          <w:rFonts w:hint="eastAsia"/>
          <w:color w:val="auto"/>
          <w:highlight w:val="none"/>
        </w:rPr>
        <w:t>日期：________年____月____日</w:t>
      </w:r>
    </w:p>
    <w:p>
      <w:pPr>
        <w:rPr>
          <w:color w:val="auto"/>
          <w:highlight w:val="none"/>
        </w:rPr>
      </w:pPr>
      <w:r>
        <w:rPr>
          <w:rFonts w:hint="eastAsia"/>
          <w:color w:val="auto"/>
          <w:highlight w:val="none"/>
        </w:rPr>
        <w:br w:type="page"/>
      </w:r>
    </w:p>
    <w:p>
      <w:pPr>
        <w:adjustRightInd w:val="0"/>
        <w:snapToGrid w:val="0"/>
        <w:spacing w:line="360" w:lineRule="auto"/>
        <w:jc w:val="center"/>
        <w:outlineLvl w:val="2"/>
        <w:rPr>
          <w:b/>
          <w:bCs/>
          <w:color w:val="auto"/>
          <w:highlight w:val="none"/>
        </w:rPr>
      </w:pPr>
      <w:r>
        <w:rPr>
          <w:rFonts w:hint="eastAsia"/>
          <w:b/>
          <w:bCs/>
          <w:color w:val="auto"/>
          <w:highlight w:val="none"/>
        </w:rPr>
        <w:t>（6）投标人同类合同一览表</w:t>
      </w:r>
    </w:p>
    <w:tbl>
      <w:tblPr>
        <w:tblStyle w:val="10"/>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8"/>
        <w:gridCol w:w="1268"/>
        <w:gridCol w:w="1282"/>
        <w:gridCol w:w="1432"/>
        <w:gridCol w:w="1256"/>
        <w:gridCol w:w="899"/>
        <w:gridCol w:w="995"/>
        <w:gridCol w:w="17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adjustRightInd w:val="0"/>
              <w:snapToGrid w:val="0"/>
              <w:jc w:val="center"/>
              <w:rPr>
                <w:b/>
                <w:bCs/>
                <w:color w:val="auto"/>
                <w:highlight w:val="none"/>
              </w:rPr>
            </w:pPr>
            <w:r>
              <w:rPr>
                <w:rFonts w:hint="eastAsia"/>
                <w:b/>
                <w:bCs/>
                <w:color w:val="auto"/>
                <w:highlight w:val="none"/>
              </w:rPr>
              <w:t>序号</w:t>
            </w:r>
          </w:p>
        </w:tc>
        <w:tc>
          <w:tcPr>
            <w:tcW w:w="1268" w:type="dxa"/>
            <w:vAlign w:val="center"/>
          </w:tcPr>
          <w:p>
            <w:pPr>
              <w:adjustRightInd w:val="0"/>
              <w:snapToGrid w:val="0"/>
              <w:jc w:val="center"/>
              <w:rPr>
                <w:b/>
                <w:bCs/>
                <w:color w:val="auto"/>
                <w:highlight w:val="none"/>
              </w:rPr>
            </w:pPr>
            <w:r>
              <w:rPr>
                <w:rFonts w:hint="eastAsia"/>
                <w:b/>
                <w:bCs/>
                <w:color w:val="auto"/>
                <w:highlight w:val="none"/>
              </w:rPr>
              <w:t>采购人</w:t>
            </w:r>
          </w:p>
        </w:tc>
        <w:tc>
          <w:tcPr>
            <w:tcW w:w="1282" w:type="dxa"/>
            <w:vAlign w:val="center"/>
          </w:tcPr>
          <w:p>
            <w:pPr>
              <w:adjustRightInd w:val="0"/>
              <w:snapToGrid w:val="0"/>
              <w:jc w:val="center"/>
              <w:rPr>
                <w:b/>
                <w:bCs/>
                <w:color w:val="auto"/>
                <w:highlight w:val="none"/>
              </w:rPr>
            </w:pPr>
            <w:r>
              <w:rPr>
                <w:rFonts w:hint="eastAsia"/>
                <w:b/>
                <w:bCs/>
                <w:color w:val="auto"/>
                <w:highlight w:val="none"/>
              </w:rPr>
              <w:t>项目名称</w:t>
            </w:r>
          </w:p>
        </w:tc>
        <w:tc>
          <w:tcPr>
            <w:tcW w:w="1432" w:type="dxa"/>
            <w:vAlign w:val="center"/>
          </w:tcPr>
          <w:p>
            <w:pPr>
              <w:adjustRightInd w:val="0"/>
              <w:snapToGrid w:val="0"/>
              <w:jc w:val="center"/>
              <w:rPr>
                <w:b/>
                <w:bCs/>
                <w:color w:val="auto"/>
                <w:highlight w:val="none"/>
              </w:rPr>
            </w:pPr>
            <w:r>
              <w:rPr>
                <w:rFonts w:hint="eastAsia"/>
                <w:b/>
                <w:bCs/>
                <w:color w:val="auto"/>
                <w:highlight w:val="none"/>
              </w:rPr>
              <w:t>数量</w:t>
            </w:r>
          </w:p>
        </w:tc>
        <w:tc>
          <w:tcPr>
            <w:tcW w:w="1256" w:type="dxa"/>
            <w:vAlign w:val="center"/>
          </w:tcPr>
          <w:p>
            <w:pPr>
              <w:adjustRightInd w:val="0"/>
              <w:snapToGrid w:val="0"/>
              <w:jc w:val="center"/>
              <w:rPr>
                <w:b/>
                <w:bCs/>
                <w:color w:val="auto"/>
                <w:highlight w:val="none"/>
              </w:rPr>
            </w:pPr>
            <w:r>
              <w:rPr>
                <w:rFonts w:hint="eastAsia"/>
                <w:b/>
                <w:bCs/>
                <w:color w:val="auto"/>
                <w:highlight w:val="none"/>
              </w:rPr>
              <w:t>合同金额</w:t>
            </w:r>
          </w:p>
          <w:p>
            <w:pPr>
              <w:adjustRightInd w:val="0"/>
              <w:snapToGrid w:val="0"/>
              <w:jc w:val="center"/>
              <w:rPr>
                <w:b/>
                <w:bCs/>
                <w:color w:val="auto"/>
                <w:highlight w:val="none"/>
              </w:rPr>
            </w:pPr>
            <w:r>
              <w:rPr>
                <w:rFonts w:hint="eastAsia"/>
                <w:b/>
                <w:bCs/>
                <w:color w:val="auto"/>
                <w:highlight w:val="none"/>
              </w:rPr>
              <w:t>（万元）</w:t>
            </w:r>
          </w:p>
        </w:tc>
        <w:tc>
          <w:tcPr>
            <w:tcW w:w="899" w:type="dxa"/>
            <w:vAlign w:val="center"/>
          </w:tcPr>
          <w:p>
            <w:pPr>
              <w:adjustRightInd w:val="0"/>
              <w:snapToGrid w:val="0"/>
              <w:jc w:val="center"/>
              <w:rPr>
                <w:b/>
                <w:bCs/>
                <w:color w:val="auto"/>
                <w:highlight w:val="none"/>
              </w:rPr>
            </w:pPr>
            <w:r>
              <w:rPr>
                <w:rFonts w:hint="eastAsia"/>
                <w:b/>
                <w:bCs/>
                <w:color w:val="auto"/>
                <w:highlight w:val="none"/>
              </w:rPr>
              <w:t>附件页码</w:t>
            </w:r>
          </w:p>
        </w:tc>
        <w:tc>
          <w:tcPr>
            <w:tcW w:w="995" w:type="dxa"/>
            <w:vAlign w:val="center"/>
          </w:tcPr>
          <w:p>
            <w:pPr>
              <w:adjustRightInd w:val="0"/>
              <w:snapToGrid w:val="0"/>
              <w:jc w:val="center"/>
              <w:rPr>
                <w:b/>
                <w:bCs/>
                <w:color w:val="auto"/>
                <w:highlight w:val="none"/>
              </w:rPr>
            </w:pPr>
            <w:r>
              <w:rPr>
                <w:rFonts w:hint="eastAsia"/>
                <w:b/>
                <w:bCs/>
                <w:color w:val="auto"/>
                <w:highlight w:val="none"/>
              </w:rPr>
              <w:t>合同签订时间</w:t>
            </w:r>
          </w:p>
        </w:tc>
        <w:tc>
          <w:tcPr>
            <w:tcW w:w="1718" w:type="dxa"/>
            <w:vAlign w:val="center"/>
          </w:tcPr>
          <w:p>
            <w:pPr>
              <w:adjustRightInd w:val="0"/>
              <w:snapToGrid w:val="0"/>
              <w:jc w:val="center"/>
              <w:rPr>
                <w:b/>
                <w:bCs/>
                <w:color w:val="auto"/>
                <w:highlight w:val="none"/>
              </w:rPr>
            </w:pPr>
            <w:r>
              <w:rPr>
                <w:rFonts w:hint="eastAsia"/>
                <w:b/>
                <w:bCs/>
                <w:color w:val="auto"/>
                <w:highlight w:val="none"/>
              </w:rPr>
              <w:t>采购人联系人</w:t>
            </w:r>
          </w:p>
          <w:p>
            <w:pPr>
              <w:adjustRightInd w:val="0"/>
              <w:snapToGrid w:val="0"/>
              <w:jc w:val="center"/>
              <w:rPr>
                <w:b/>
                <w:bCs/>
                <w:color w:val="auto"/>
                <w:highlight w:val="none"/>
              </w:rPr>
            </w:pPr>
            <w:r>
              <w:rPr>
                <w:rFonts w:hint="eastAsia"/>
                <w:b/>
                <w:bCs/>
                <w:color w:val="auto"/>
                <w:highlight w:val="none"/>
              </w:rPr>
              <w:t>联系方式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adjustRightInd w:val="0"/>
              <w:snapToGrid w:val="0"/>
              <w:jc w:val="center"/>
              <w:rPr>
                <w:color w:val="auto"/>
                <w:highlight w:val="none"/>
              </w:rPr>
            </w:pPr>
          </w:p>
        </w:tc>
        <w:tc>
          <w:tcPr>
            <w:tcW w:w="1268" w:type="dxa"/>
            <w:vAlign w:val="center"/>
          </w:tcPr>
          <w:p>
            <w:pPr>
              <w:adjustRightInd w:val="0"/>
              <w:snapToGrid w:val="0"/>
              <w:jc w:val="center"/>
              <w:rPr>
                <w:color w:val="auto"/>
                <w:highlight w:val="none"/>
              </w:rPr>
            </w:pPr>
          </w:p>
        </w:tc>
        <w:tc>
          <w:tcPr>
            <w:tcW w:w="1282" w:type="dxa"/>
            <w:vAlign w:val="center"/>
          </w:tcPr>
          <w:p>
            <w:pPr>
              <w:adjustRightInd w:val="0"/>
              <w:snapToGrid w:val="0"/>
              <w:jc w:val="center"/>
              <w:rPr>
                <w:color w:val="auto"/>
                <w:highlight w:val="none"/>
              </w:rPr>
            </w:pPr>
          </w:p>
        </w:tc>
        <w:tc>
          <w:tcPr>
            <w:tcW w:w="1432" w:type="dxa"/>
            <w:vAlign w:val="center"/>
          </w:tcPr>
          <w:p>
            <w:pPr>
              <w:adjustRightInd w:val="0"/>
              <w:snapToGrid w:val="0"/>
              <w:jc w:val="center"/>
              <w:rPr>
                <w:color w:val="auto"/>
                <w:highlight w:val="none"/>
              </w:rPr>
            </w:pPr>
          </w:p>
        </w:tc>
        <w:tc>
          <w:tcPr>
            <w:tcW w:w="1256" w:type="dxa"/>
            <w:vAlign w:val="center"/>
          </w:tcPr>
          <w:p>
            <w:pPr>
              <w:adjustRightInd w:val="0"/>
              <w:snapToGrid w:val="0"/>
              <w:jc w:val="center"/>
              <w:rPr>
                <w:color w:val="auto"/>
                <w:highlight w:val="none"/>
              </w:rPr>
            </w:pPr>
          </w:p>
        </w:tc>
        <w:tc>
          <w:tcPr>
            <w:tcW w:w="899" w:type="dxa"/>
            <w:vAlign w:val="center"/>
          </w:tcPr>
          <w:p>
            <w:pPr>
              <w:adjustRightInd w:val="0"/>
              <w:snapToGrid w:val="0"/>
              <w:jc w:val="center"/>
              <w:rPr>
                <w:color w:val="auto"/>
                <w:highlight w:val="none"/>
              </w:rPr>
            </w:pPr>
          </w:p>
        </w:tc>
        <w:tc>
          <w:tcPr>
            <w:tcW w:w="995" w:type="dxa"/>
            <w:vAlign w:val="center"/>
          </w:tcPr>
          <w:p>
            <w:pPr>
              <w:adjustRightInd w:val="0"/>
              <w:snapToGrid w:val="0"/>
              <w:jc w:val="center"/>
              <w:rPr>
                <w:color w:val="auto"/>
                <w:highlight w:val="none"/>
              </w:rPr>
            </w:pPr>
          </w:p>
        </w:tc>
        <w:tc>
          <w:tcPr>
            <w:tcW w:w="1718" w:type="dxa"/>
            <w:vAlign w:val="center"/>
          </w:tcPr>
          <w:p>
            <w:pPr>
              <w:adjustRightInd w:val="0"/>
              <w:snapToGrid w:val="0"/>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adjustRightInd w:val="0"/>
              <w:snapToGrid w:val="0"/>
              <w:jc w:val="center"/>
              <w:rPr>
                <w:color w:val="auto"/>
                <w:highlight w:val="none"/>
              </w:rPr>
            </w:pPr>
          </w:p>
        </w:tc>
        <w:tc>
          <w:tcPr>
            <w:tcW w:w="1268" w:type="dxa"/>
            <w:vAlign w:val="center"/>
          </w:tcPr>
          <w:p>
            <w:pPr>
              <w:adjustRightInd w:val="0"/>
              <w:snapToGrid w:val="0"/>
              <w:jc w:val="center"/>
              <w:rPr>
                <w:color w:val="auto"/>
                <w:highlight w:val="none"/>
              </w:rPr>
            </w:pPr>
          </w:p>
        </w:tc>
        <w:tc>
          <w:tcPr>
            <w:tcW w:w="1282" w:type="dxa"/>
            <w:vAlign w:val="center"/>
          </w:tcPr>
          <w:p>
            <w:pPr>
              <w:adjustRightInd w:val="0"/>
              <w:snapToGrid w:val="0"/>
              <w:jc w:val="center"/>
              <w:rPr>
                <w:color w:val="auto"/>
                <w:highlight w:val="none"/>
              </w:rPr>
            </w:pPr>
          </w:p>
        </w:tc>
        <w:tc>
          <w:tcPr>
            <w:tcW w:w="1432" w:type="dxa"/>
            <w:vAlign w:val="center"/>
          </w:tcPr>
          <w:p>
            <w:pPr>
              <w:adjustRightInd w:val="0"/>
              <w:snapToGrid w:val="0"/>
              <w:jc w:val="center"/>
              <w:rPr>
                <w:color w:val="auto"/>
                <w:highlight w:val="none"/>
              </w:rPr>
            </w:pPr>
          </w:p>
        </w:tc>
        <w:tc>
          <w:tcPr>
            <w:tcW w:w="1256" w:type="dxa"/>
            <w:vAlign w:val="center"/>
          </w:tcPr>
          <w:p>
            <w:pPr>
              <w:adjustRightInd w:val="0"/>
              <w:snapToGrid w:val="0"/>
              <w:jc w:val="center"/>
              <w:rPr>
                <w:color w:val="auto"/>
                <w:highlight w:val="none"/>
              </w:rPr>
            </w:pPr>
          </w:p>
        </w:tc>
        <w:tc>
          <w:tcPr>
            <w:tcW w:w="899" w:type="dxa"/>
            <w:vAlign w:val="center"/>
          </w:tcPr>
          <w:p>
            <w:pPr>
              <w:adjustRightInd w:val="0"/>
              <w:snapToGrid w:val="0"/>
              <w:jc w:val="center"/>
              <w:rPr>
                <w:color w:val="auto"/>
                <w:highlight w:val="none"/>
              </w:rPr>
            </w:pPr>
          </w:p>
        </w:tc>
        <w:tc>
          <w:tcPr>
            <w:tcW w:w="995" w:type="dxa"/>
            <w:vAlign w:val="center"/>
          </w:tcPr>
          <w:p>
            <w:pPr>
              <w:adjustRightInd w:val="0"/>
              <w:snapToGrid w:val="0"/>
              <w:jc w:val="center"/>
              <w:rPr>
                <w:color w:val="auto"/>
                <w:highlight w:val="none"/>
              </w:rPr>
            </w:pPr>
          </w:p>
        </w:tc>
        <w:tc>
          <w:tcPr>
            <w:tcW w:w="1718" w:type="dxa"/>
            <w:vAlign w:val="center"/>
          </w:tcPr>
          <w:p>
            <w:pPr>
              <w:adjustRightInd w:val="0"/>
              <w:snapToGrid w:val="0"/>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adjustRightInd w:val="0"/>
              <w:snapToGrid w:val="0"/>
              <w:jc w:val="center"/>
              <w:rPr>
                <w:color w:val="auto"/>
                <w:highlight w:val="none"/>
              </w:rPr>
            </w:pPr>
          </w:p>
        </w:tc>
        <w:tc>
          <w:tcPr>
            <w:tcW w:w="1268" w:type="dxa"/>
            <w:vAlign w:val="center"/>
          </w:tcPr>
          <w:p>
            <w:pPr>
              <w:adjustRightInd w:val="0"/>
              <w:snapToGrid w:val="0"/>
              <w:jc w:val="center"/>
              <w:rPr>
                <w:color w:val="auto"/>
                <w:highlight w:val="none"/>
              </w:rPr>
            </w:pPr>
          </w:p>
        </w:tc>
        <w:tc>
          <w:tcPr>
            <w:tcW w:w="1282" w:type="dxa"/>
            <w:vAlign w:val="center"/>
          </w:tcPr>
          <w:p>
            <w:pPr>
              <w:adjustRightInd w:val="0"/>
              <w:snapToGrid w:val="0"/>
              <w:jc w:val="center"/>
              <w:rPr>
                <w:color w:val="auto"/>
                <w:highlight w:val="none"/>
              </w:rPr>
            </w:pPr>
          </w:p>
        </w:tc>
        <w:tc>
          <w:tcPr>
            <w:tcW w:w="1432" w:type="dxa"/>
            <w:vAlign w:val="center"/>
          </w:tcPr>
          <w:p>
            <w:pPr>
              <w:adjustRightInd w:val="0"/>
              <w:snapToGrid w:val="0"/>
              <w:jc w:val="center"/>
              <w:rPr>
                <w:color w:val="auto"/>
                <w:highlight w:val="none"/>
              </w:rPr>
            </w:pPr>
          </w:p>
        </w:tc>
        <w:tc>
          <w:tcPr>
            <w:tcW w:w="1256" w:type="dxa"/>
            <w:vAlign w:val="center"/>
          </w:tcPr>
          <w:p>
            <w:pPr>
              <w:adjustRightInd w:val="0"/>
              <w:snapToGrid w:val="0"/>
              <w:jc w:val="center"/>
              <w:rPr>
                <w:color w:val="auto"/>
                <w:highlight w:val="none"/>
              </w:rPr>
            </w:pPr>
          </w:p>
        </w:tc>
        <w:tc>
          <w:tcPr>
            <w:tcW w:w="899" w:type="dxa"/>
            <w:vAlign w:val="center"/>
          </w:tcPr>
          <w:p>
            <w:pPr>
              <w:adjustRightInd w:val="0"/>
              <w:snapToGrid w:val="0"/>
              <w:jc w:val="center"/>
              <w:rPr>
                <w:color w:val="auto"/>
                <w:highlight w:val="none"/>
              </w:rPr>
            </w:pPr>
          </w:p>
        </w:tc>
        <w:tc>
          <w:tcPr>
            <w:tcW w:w="995" w:type="dxa"/>
            <w:vAlign w:val="center"/>
          </w:tcPr>
          <w:p>
            <w:pPr>
              <w:adjustRightInd w:val="0"/>
              <w:snapToGrid w:val="0"/>
              <w:jc w:val="center"/>
              <w:rPr>
                <w:color w:val="auto"/>
                <w:highlight w:val="none"/>
              </w:rPr>
            </w:pPr>
          </w:p>
        </w:tc>
        <w:tc>
          <w:tcPr>
            <w:tcW w:w="1718" w:type="dxa"/>
            <w:vAlign w:val="center"/>
          </w:tcPr>
          <w:p>
            <w:pPr>
              <w:adjustRightInd w:val="0"/>
              <w:snapToGrid w:val="0"/>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adjustRightInd w:val="0"/>
              <w:snapToGrid w:val="0"/>
              <w:jc w:val="center"/>
              <w:rPr>
                <w:color w:val="auto"/>
                <w:highlight w:val="none"/>
              </w:rPr>
            </w:pPr>
          </w:p>
        </w:tc>
        <w:tc>
          <w:tcPr>
            <w:tcW w:w="1268" w:type="dxa"/>
            <w:vAlign w:val="center"/>
          </w:tcPr>
          <w:p>
            <w:pPr>
              <w:adjustRightInd w:val="0"/>
              <w:snapToGrid w:val="0"/>
              <w:jc w:val="center"/>
              <w:rPr>
                <w:color w:val="auto"/>
                <w:highlight w:val="none"/>
              </w:rPr>
            </w:pPr>
          </w:p>
        </w:tc>
        <w:tc>
          <w:tcPr>
            <w:tcW w:w="1282" w:type="dxa"/>
            <w:vAlign w:val="center"/>
          </w:tcPr>
          <w:p>
            <w:pPr>
              <w:adjustRightInd w:val="0"/>
              <w:snapToGrid w:val="0"/>
              <w:jc w:val="center"/>
              <w:rPr>
                <w:color w:val="auto"/>
                <w:highlight w:val="none"/>
              </w:rPr>
            </w:pPr>
          </w:p>
        </w:tc>
        <w:tc>
          <w:tcPr>
            <w:tcW w:w="1432" w:type="dxa"/>
            <w:vAlign w:val="center"/>
          </w:tcPr>
          <w:p>
            <w:pPr>
              <w:adjustRightInd w:val="0"/>
              <w:snapToGrid w:val="0"/>
              <w:jc w:val="center"/>
              <w:rPr>
                <w:color w:val="auto"/>
                <w:highlight w:val="none"/>
              </w:rPr>
            </w:pPr>
          </w:p>
        </w:tc>
        <w:tc>
          <w:tcPr>
            <w:tcW w:w="1256" w:type="dxa"/>
            <w:vAlign w:val="center"/>
          </w:tcPr>
          <w:p>
            <w:pPr>
              <w:adjustRightInd w:val="0"/>
              <w:snapToGrid w:val="0"/>
              <w:jc w:val="center"/>
              <w:rPr>
                <w:color w:val="auto"/>
                <w:highlight w:val="none"/>
              </w:rPr>
            </w:pPr>
          </w:p>
        </w:tc>
        <w:tc>
          <w:tcPr>
            <w:tcW w:w="899" w:type="dxa"/>
            <w:vAlign w:val="center"/>
          </w:tcPr>
          <w:p>
            <w:pPr>
              <w:adjustRightInd w:val="0"/>
              <w:snapToGrid w:val="0"/>
              <w:jc w:val="center"/>
              <w:rPr>
                <w:color w:val="auto"/>
                <w:highlight w:val="none"/>
              </w:rPr>
            </w:pPr>
          </w:p>
        </w:tc>
        <w:tc>
          <w:tcPr>
            <w:tcW w:w="995" w:type="dxa"/>
            <w:vAlign w:val="center"/>
          </w:tcPr>
          <w:p>
            <w:pPr>
              <w:adjustRightInd w:val="0"/>
              <w:snapToGrid w:val="0"/>
              <w:jc w:val="center"/>
              <w:rPr>
                <w:color w:val="auto"/>
                <w:highlight w:val="none"/>
              </w:rPr>
            </w:pPr>
          </w:p>
        </w:tc>
        <w:tc>
          <w:tcPr>
            <w:tcW w:w="1718" w:type="dxa"/>
            <w:vAlign w:val="center"/>
          </w:tcPr>
          <w:p>
            <w:pPr>
              <w:adjustRightInd w:val="0"/>
              <w:snapToGrid w:val="0"/>
              <w:jc w:val="center"/>
              <w:rPr>
                <w:color w:val="auto"/>
                <w:highlight w:val="none"/>
              </w:rPr>
            </w:pPr>
          </w:p>
        </w:tc>
      </w:tr>
    </w:tbl>
    <w:p>
      <w:pPr>
        <w:adjustRightInd w:val="0"/>
        <w:snapToGrid w:val="0"/>
        <w:spacing w:line="360" w:lineRule="auto"/>
        <w:rPr>
          <w:color w:val="auto"/>
          <w:highlight w:val="none"/>
        </w:rPr>
      </w:pPr>
    </w:p>
    <w:p>
      <w:pPr>
        <w:adjustRightInd w:val="0"/>
        <w:snapToGrid w:val="0"/>
        <w:spacing w:line="360" w:lineRule="auto"/>
        <w:rPr>
          <w:b/>
          <w:bCs/>
          <w:color w:val="auto"/>
          <w:sz w:val="21"/>
          <w:szCs w:val="21"/>
          <w:highlight w:val="none"/>
        </w:rPr>
      </w:pPr>
      <w:r>
        <w:rPr>
          <w:rFonts w:hint="eastAsia"/>
          <w:b/>
          <w:bCs/>
          <w:color w:val="auto"/>
          <w:sz w:val="21"/>
          <w:szCs w:val="21"/>
          <w:highlight w:val="none"/>
        </w:rPr>
        <w:t>说明：</w:t>
      </w:r>
    </w:p>
    <w:p>
      <w:pPr>
        <w:adjustRightInd w:val="0"/>
        <w:snapToGrid w:val="0"/>
        <w:spacing w:line="360" w:lineRule="auto"/>
        <w:rPr>
          <w:b/>
          <w:bCs/>
          <w:color w:val="auto"/>
          <w:sz w:val="21"/>
          <w:szCs w:val="21"/>
          <w:highlight w:val="none"/>
        </w:rPr>
      </w:pPr>
      <w:r>
        <w:rPr>
          <w:rFonts w:hint="eastAsia"/>
          <w:b/>
          <w:bCs/>
          <w:color w:val="auto"/>
          <w:sz w:val="21"/>
          <w:szCs w:val="21"/>
          <w:highlight w:val="none"/>
        </w:rPr>
        <w:t>1.供应商须提供上述业绩合同扫描件；</w:t>
      </w:r>
    </w:p>
    <w:p>
      <w:pPr>
        <w:adjustRightInd w:val="0"/>
        <w:snapToGrid w:val="0"/>
        <w:spacing w:line="360" w:lineRule="auto"/>
        <w:rPr>
          <w:b/>
          <w:bCs/>
          <w:color w:val="auto"/>
          <w:sz w:val="21"/>
          <w:szCs w:val="21"/>
          <w:highlight w:val="none"/>
        </w:rPr>
      </w:pPr>
      <w:r>
        <w:rPr>
          <w:rFonts w:hint="eastAsia"/>
          <w:b/>
          <w:bCs/>
          <w:color w:val="auto"/>
          <w:sz w:val="21"/>
          <w:szCs w:val="21"/>
          <w:highlight w:val="none"/>
        </w:rPr>
        <w:t>2.所有合同扫描件应清晰，应能体现合同签订时间、双方签字盖章等内容；</w:t>
      </w:r>
    </w:p>
    <w:p>
      <w:pPr>
        <w:adjustRightInd w:val="0"/>
        <w:snapToGrid w:val="0"/>
        <w:spacing w:line="360" w:lineRule="auto"/>
        <w:rPr>
          <w:b/>
          <w:bCs/>
          <w:color w:val="auto"/>
          <w:sz w:val="21"/>
          <w:szCs w:val="21"/>
          <w:highlight w:val="none"/>
        </w:rPr>
      </w:pPr>
      <w:r>
        <w:rPr>
          <w:rFonts w:hint="eastAsia"/>
          <w:b/>
          <w:bCs/>
          <w:color w:val="auto"/>
          <w:sz w:val="21"/>
          <w:szCs w:val="21"/>
          <w:highlight w:val="none"/>
        </w:rPr>
        <w:t>3.供应商应在不涉及商业秘密的前提下尽可能提供详细的合同扫描件内容。</w:t>
      </w: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r>
        <w:rPr>
          <w:rFonts w:hint="eastAsia"/>
          <w:color w:val="auto"/>
          <w:highlight w:val="none"/>
        </w:rPr>
        <w:t>供应商名称（盖章）：</w:t>
      </w:r>
    </w:p>
    <w:p>
      <w:pPr>
        <w:adjustRightInd w:val="0"/>
        <w:snapToGrid w:val="0"/>
        <w:spacing w:line="360" w:lineRule="auto"/>
        <w:rPr>
          <w:color w:val="auto"/>
          <w:highlight w:val="none"/>
        </w:rPr>
      </w:pPr>
      <w:r>
        <w:rPr>
          <w:rFonts w:hint="eastAsia"/>
          <w:color w:val="auto"/>
          <w:highlight w:val="none"/>
        </w:rPr>
        <w:t>供应商代表签字：</w:t>
      </w:r>
    </w:p>
    <w:p>
      <w:pPr>
        <w:adjustRightInd w:val="0"/>
        <w:snapToGrid w:val="0"/>
        <w:spacing w:line="360" w:lineRule="auto"/>
        <w:rPr>
          <w:color w:val="auto"/>
          <w:highlight w:val="none"/>
        </w:rPr>
      </w:pPr>
      <w:r>
        <w:rPr>
          <w:rFonts w:hint="eastAsia"/>
          <w:color w:val="auto"/>
          <w:highlight w:val="none"/>
        </w:rPr>
        <w:t>日期：________年____月____日</w:t>
      </w:r>
    </w:p>
    <w:p>
      <w:pPr>
        <w:rPr>
          <w:color w:val="auto"/>
          <w:highlight w:val="none"/>
        </w:rPr>
      </w:pPr>
      <w:r>
        <w:rPr>
          <w:rFonts w:hint="eastAsia"/>
          <w:color w:val="auto"/>
          <w:highlight w:val="none"/>
        </w:rPr>
        <w:br w:type="page"/>
      </w:r>
    </w:p>
    <w:p>
      <w:pPr>
        <w:adjustRightInd w:val="0"/>
        <w:snapToGrid w:val="0"/>
        <w:spacing w:line="360" w:lineRule="auto"/>
        <w:jc w:val="center"/>
        <w:outlineLvl w:val="2"/>
        <w:rPr>
          <w:b/>
          <w:bCs/>
          <w:color w:val="auto"/>
          <w:highlight w:val="none"/>
        </w:rPr>
      </w:pPr>
      <w:r>
        <w:rPr>
          <w:rFonts w:hint="eastAsia"/>
          <w:b/>
          <w:bCs/>
          <w:color w:val="auto"/>
          <w:highlight w:val="none"/>
        </w:rPr>
        <w:t>（</w:t>
      </w:r>
      <w:r>
        <w:rPr>
          <w:b/>
          <w:bCs/>
          <w:color w:val="auto"/>
          <w:highlight w:val="none"/>
        </w:rPr>
        <w:t>7</w:t>
      </w:r>
      <w:r>
        <w:rPr>
          <w:rFonts w:hint="eastAsia"/>
          <w:b/>
          <w:bCs/>
          <w:color w:val="auto"/>
          <w:highlight w:val="none"/>
        </w:rPr>
        <w:t>）采购需求偏离表</w:t>
      </w:r>
    </w:p>
    <w:p>
      <w:pPr>
        <w:adjustRightInd w:val="0"/>
        <w:snapToGrid w:val="0"/>
        <w:spacing w:line="360" w:lineRule="auto"/>
        <w:rPr>
          <w:color w:val="auto"/>
          <w:highlight w:val="none"/>
        </w:rPr>
      </w:pPr>
      <w:r>
        <w:rPr>
          <w:rFonts w:hint="eastAsia"/>
          <w:color w:val="auto"/>
          <w:highlight w:val="none"/>
        </w:rPr>
        <w:t>采 购 人：杭州电子科技大学</w:t>
      </w:r>
    </w:p>
    <w:p>
      <w:pPr>
        <w:adjustRightInd w:val="0"/>
        <w:snapToGrid w:val="0"/>
        <w:spacing w:line="360" w:lineRule="auto"/>
        <w:rPr>
          <w:color w:val="auto"/>
          <w:highlight w:val="none"/>
        </w:rPr>
      </w:pPr>
      <w:r>
        <w:rPr>
          <w:rFonts w:hint="eastAsia"/>
          <w:color w:val="auto"/>
          <w:highlight w:val="none"/>
        </w:rPr>
        <w:t>项目名称：示波器、数据处理卡等</w:t>
      </w:r>
    </w:p>
    <w:p>
      <w:pPr>
        <w:adjustRightInd w:val="0"/>
        <w:snapToGrid w:val="0"/>
        <w:spacing w:line="360" w:lineRule="auto"/>
        <w:rPr>
          <w:color w:val="auto"/>
          <w:highlight w:val="none"/>
        </w:rPr>
      </w:pPr>
      <w:r>
        <w:rPr>
          <w:rFonts w:hint="eastAsia"/>
          <w:color w:val="auto"/>
          <w:highlight w:val="none"/>
        </w:rPr>
        <w:t>项目编号：QSZB-Z(H)-B21352(CS)</w:t>
      </w:r>
    </w:p>
    <w:tbl>
      <w:tblPr>
        <w:tblStyle w:val="10"/>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4"/>
        <w:gridCol w:w="3286"/>
        <w:gridCol w:w="2911"/>
        <w:gridCol w:w="24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jc w:val="center"/>
              <w:rPr>
                <w:b/>
                <w:bCs/>
                <w:color w:val="auto"/>
                <w:sz w:val="21"/>
                <w:szCs w:val="21"/>
                <w:highlight w:val="none"/>
              </w:rPr>
            </w:pPr>
            <w:r>
              <w:rPr>
                <w:rFonts w:hint="eastAsia"/>
                <w:b/>
                <w:bCs/>
                <w:color w:val="auto"/>
                <w:sz w:val="21"/>
                <w:szCs w:val="21"/>
                <w:highlight w:val="none"/>
              </w:rPr>
              <w:t>序号</w:t>
            </w:r>
          </w:p>
        </w:tc>
        <w:tc>
          <w:tcPr>
            <w:tcW w:w="3286" w:type="dxa"/>
            <w:vAlign w:val="center"/>
          </w:tcPr>
          <w:p>
            <w:pPr>
              <w:adjustRightInd w:val="0"/>
              <w:snapToGrid w:val="0"/>
              <w:jc w:val="center"/>
              <w:rPr>
                <w:b/>
                <w:bCs/>
                <w:color w:val="auto"/>
                <w:sz w:val="21"/>
                <w:szCs w:val="21"/>
                <w:highlight w:val="none"/>
              </w:rPr>
            </w:pPr>
            <w:r>
              <w:rPr>
                <w:rFonts w:hint="eastAsia"/>
                <w:b/>
                <w:bCs/>
                <w:color w:val="auto"/>
                <w:sz w:val="21"/>
                <w:szCs w:val="21"/>
                <w:highlight w:val="none"/>
              </w:rPr>
              <w:t>磋商文件要求</w:t>
            </w:r>
          </w:p>
        </w:tc>
        <w:tc>
          <w:tcPr>
            <w:tcW w:w="2911" w:type="dxa"/>
            <w:vAlign w:val="center"/>
          </w:tcPr>
          <w:p>
            <w:pPr>
              <w:adjustRightInd w:val="0"/>
              <w:snapToGrid w:val="0"/>
              <w:jc w:val="center"/>
              <w:rPr>
                <w:b/>
                <w:bCs/>
                <w:color w:val="auto"/>
                <w:sz w:val="21"/>
                <w:szCs w:val="21"/>
                <w:highlight w:val="none"/>
              </w:rPr>
            </w:pPr>
            <w:r>
              <w:rPr>
                <w:rFonts w:hint="eastAsia"/>
                <w:b/>
                <w:bCs/>
                <w:color w:val="auto"/>
                <w:sz w:val="21"/>
                <w:szCs w:val="21"/>
                <w:highlight w:val="none"/>
              </w:rPr>
              <w:t>响应规格</w:t>
            </w:r>
          </w:p>
        </w:tc>
        <w:tc>
          <w:tcPr>
            <w:tcW w:w="2407" w:type="dxa"/>
            <w:vAlign w:val="center"/>
          </w:tcPr>
          <w:p>
            <w:pPr>
              <w:adjustRightInd w:val="0"/>
              <w:snapToGrid w:val="0"/>
              <w:jc w:val="center"/>
              <w:rPr>
                <w:b/>
                <w:bCs/>
                <w:color w:val="auto"/>
                <w:sz w:val="21"/>
                <w:szCs w:val="21"/>
                <w:highlight w:val="none"/>
              </w:rPr>
            </w:pPr>
            <w:r>
              <w:rPr>
                <w:rFonts w:hint="eastAsia"/>
                <w:b/>
                <w:bCs/>
                <w:color w:val="auto"/>
                <w:sz w:val="21"/>
                <w:szCs w:val="21"/>
                <w:highlight w:val="none"/>
              </w:rPr>
              <w:t>是否偏离（提供说明）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9628" w:type="dxa"/>
            <w:gridSpan w:val="4"/>
            <w:vAlign w:val="center"/>
          </w:tcPr>
          <w:p>
            <w:pPr>
              <w:adjustRightInd w:val="0"/>
              <w:snapToGrid w:val="0"/>
              <w:rPr>
                <w:b/>
                <w:bCs/>
                <w:color w:val="auto"/>
                <w:sz w:val="21"/>
                <w:szCs w:val="21"/>
                <w:highlight w:val="none"/>
              </w:rPr>
            </w:pPr>
            <w:r>
              <w:rPr>
                <w:rFonts w:hint="eastAsia"/>
                <w:b/>
                <w:bCs/>
                <w:color w:val="auto"/>
                <w:sz w:val="21"/>
                <w:szCs w:val="21"/>
                <w:highlight w:val="none"/>
              </w:rPr>
              <w:t>采购资金的支付方式、时间、条件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jc w:val="center"/>
              <w:rPr>
                <w:color w:val="auto"/>
                <w:sz w:val="21"/>
                <w:szCs w:val="21"/>
                <w:highlight w:val="none"/>
              </w:rPr>
            </w:pPr>
            <w:r>
              <w:rPr>
                <w:rFonts w:hint="eastAsia"/>
                <w:color w:val="auto"/>
                <w:sz w:val="21"/>
                <w:szCs w:val="21"/>
                <w:highlight w:val="none"/>
              </w:rPr>
              <w:t>1</w:t>
            </w:r>
          </w:p>
        </w:tc>
        <w:tc>
          <w:tcPr>
            <w:tcW w:w="3286" w:type="dxa"/>
            <w:vAlign w:val="center"/>
          </w:tcPr>
          <w:p>
            <w:pPr>
              <w:adjustRightInd w:val="0"/>
              <w:snapToGrid w:val="0"/>
              <w:jc w:val="center"/>
              <w:rPr>
                <w:color w:val="auto"/>
                <w:sz w:val="21"/>
                <w:szCs w:val="21"/>
                <w:highlight w:val="none"/>
              </w:rPr>
            </w:pPr>
          </w:p>
        </w:tc>
        <w:tc>
          <w:tcPr>
            <w:tcW w:w="2911" w:type="dxa"/>
            <w:vAlign w:val="center"/>
          </w:tcPr>
          <w:p>
            <w:pPr>
              <w:adjustRightInd w:val="0"/>
              <w:snapToGrid w:val="0"/>
              <w:jc w:val="center"/>
              <w:rPr>
                <w:color w:val="auto"/>
                <w:sz w:val="21"/>
                <w:szCs w:val="21"/>
                <w:highlight w:val="none"/>
              </w:rPr>
            </w:pPr>
          </w:p>
        </w:tc>
        <w:tc>
          <w:tcPr>
            <w:tcW w:w="2407" w:type="dxa"/>
            <w:vAlign w:val="center"/>
          </w:tcPr>
          <w:p>
            <w:pPr>
              <w:adjustRightInd w:val="0"/>
              <w:snapToGrid w:val="0"/>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jc w:val="center"/>
              <w:rPr>
                <w:color w:val="auto"/>
                <w:sz w:val="21"/>
                <w:szCs w:val="21"/>
                <w:highlight w:val="none"/>
              </w:rPr>
            </w:pPr>
            <w:r>
              <w:rPr>
                <w:rFonts w:hint="eastAsia"/>
                <w:color w:val="auto"/>
                <w:sz w:val="21"/>
                <w:szCs w:val="21"/>
                <w:highlight w:val="none"/>
              </w:rPr>
              <w:t>2</w:t>
            </w:r>
          </w:p>
        </w:tc>
        <w:tc>
          <w:tcPr>
            <w:tcW w:w="3286" w:type="dxa"/>
            <w:vAlign w:val="center"/>
          </w:tcPr>
          <w:p>
            <w:pPr>
              <w:adjustRightInd w:val="0"/>
              <w:snapToGrid w:val="0"/>
              <w:jc w:val="center"/>
              <w:rPr>
                <w:color w:val="auto"/>
                <w:sz w:val="21"/>
                <w:szCs w:val="21"/>
                <w:highlight w:val="none"/>
              </w:rPr>
            </w:pPr>
          </w:p>
        </w:tc>
        <w:tc>
          <w:tcPr>
            <w:tcW w:w="2911" w:type="dxa"/>
            <w:vAlign w:val="center"/>
          </w:tcPr>
          <w:p>
            <w:pPr>
              <w:adjustRightInd w:val="0"/>
              <w:snapToGrid w:val="0"/>
              <w:jc w:val="center"/>
              <w:rPr>
                <w:color w:val="auto"/>
                <w:sz w:val="21"/>
                <w:szCs w:val="21"/>
                <w:highlight w:val="none"/>
              </w:rPr>
            </w:pPr>
          </w:p>
        </w:tc>
        <w:tc>
          <w:tcPr>
            <w:tcW w:w="2407" w:type="dxa"/>
            <w:vAlign w:val="center"/>
          </w:tcPr>
          <w:p>
            <w:pPr>
              <w:adjustRightInd w:val="0"/>
              <w:snapToGrid w:val="0"/>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jc w:val="center"/>
              <w:rPr>
                <w:color w:val="auto"/>
                <w:sz w:val="21"/>
                <w:szCs w:val="21"/>
                <w:highlight w:val="none"/>
              </w:rPr>
            </w:pPr>
            <w:r>
              <w:rPr>
                <w:rFonts w:hint="eastAsia"/>
                <w:color w:val="auto"/>
                <w:sz w:val="21"/>
                <w:szCs w:val="21"/>
                <w:highlight w:val="none"/>
              </w:rPr>
              <w:t>……</w:t>
            </w:r>
          </w:p>
        </w:tc>
        <w:tc>
          <w:tcPr>
            <w:tcW w:w="3286" w:type="dxa"/>
            <w:vAlign w:val="center"/>
          </w:tcPr>
          <w:p>
            <w:pPr>
              <w:adjustRightInd w:val="0"/>
              <w:snapToGrid w:val="0"/>
              <w:jc w:val="center"/>
              <w:rPr>
                <w:color w:val="auto"/>
                <w:sz w:val="21"/>
                <w:szCs w:val="21"/>
                <w:highlight w:val="none"/>
              </w:rPr>
            </w:pPr>
          </w:p>
        </w:tc>
        <w:tc>
          <w:tcPr>
            <w:tcW w:w="2911" w:type="dxa"/>
            <w:vAlign w:val="center"/>
          </w:tcPr>
          <w:p>
            <w:pPr>
              <w:adjustRightInd w:val="0"/>
              <w:snapToGrid w:val="0"/>
              <w:jc w:val="center"/>
              <w:rPr>
                <w:color w:val="auto"/>
                <w:sz w:val="21"/>
                <w:szCs w:val="21"/>
                <w:highlight w:val="none"/>
              </w:rPr>
            </w:pPr>
          </w:p>
        </w:tc>
        <w:tc>
          <w:tcPr>
            <w:tcW w:w="2407" w:type="dxa"/>
            <w:vAlign w:val="center"/>
          </w:tcPr>
          <w:p>
            <w:pPr>
              <w:adjustRightInd w:val="0"/>
              <w:snapToGrid w:val="0"/>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397" w:hRule="atLeast"/>
          <w:jc w:val="center"/>
        </w:trPr>
        <w:tc>
          <w:tcPr>
            <w:tcW w:w="9628" w:type="dxa"/>
            <w:gridSpan w:val="4"/>
            <w:vAlign w:val="center"/>
          </w:tcPr>
          <w:p>
            <w:pPr>
              <w:adjustRightInd w:val="0"/>
              <w:snapToGrid w:val="0"/>
              <w:rPr>
                <w:color w:val="auto"/>
                <w:sz w:val="21"/>
                <w:szCs w:val="21"/>
                <w:highlight w:val="none"/>
              </w:rPr>
            </w:pPr>
            <w:r>
              <w:rPr>
                <w:rFonts w:hint="eastAsia"/>
                <w:b/>
                <w:bCs/>
                <w:color w:val="auto"/>
                <w:sz w:val="21"/>
                <w:szCs w:val="21"/>
                <w:highlight w:val="none"/>
              </w:rPr>
              <w:t>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jc w:val="center"/>
              <w:rPr>
                <w:color w:val="auto"/>
                <w:sz w:val="21"/>
                <w:szCs w:val="21"/>
                <w:highlight w:val="none"/>
              </w:rPr>
            </w:pPr>
            <w:r>
              <w:rPr>
                <w:rFonts w:hint="eastAsia"/>
                <w:color w:val="auto"/>
                <w:sz w:val="21"/>
                <w:szCs w:val="21"/>
                <w:highlight w:val="none"/>
              </w:rPr>
              <w:t>1</w:t>
            </w:r>
          </w:p>
        </w:tc>
        <w:tc>
          <w:tcPr>
            <w:tcW w:w="3286" w:type="dxa"/>
            <w:vAlign w:val="center"/>
          </w:tcPr>
          <w:p>
            <w:pPr>
              <w:adjustRightInd w:val="0"/>
              <w:snapToGrid w:val="0"/>
              <w:jc w:val="center"/>
              <w:rPr>
                <w:color w:val="auto"/>
                <w:sz w:val="21"/>
                <w:szCs w:val="21"/>
                <w:highlight w:val="none"/>
              </w:rPr>
            </w:pPr>
          </w:p>
        </w:tc>
        <w:tc>
          <w:tcPr>
            <w:tcW w:w="2911" w:type="dxa"/>
            <w:vAlign w:val="center"/>
          </w:tcPr>
          <w:p>
            <w:pPr>
              <w:adjustRightInd w:val="0"/>
              <w:snapToGrid w:val="0"/>
              <w:jc w:val="center"/>
              <w:rPr>
                <w:color w:val="auto"/>
                <w:sz w:val="21"/>
                <w:szCs w:val="21"/>
                <w:highlight w:val="none"/>
              </w:rPr>
            </w:pPr>
          </w:p>
        </w:tc>
        <w:tc>
          <w:tcPr>
            <w:tcW w:w="2407" w:type="dxa"/>
            <w:vAlign w:val="center"/>
          </w:tcPr>
          <w:p>
            <w:pPr>
              <w:adjustRightInd w:val="0"/>
              <w:snapToGrid w:val="0"/>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jc w:val="center"/>
              <w:rPr>
                <w:color w:val="auto"/>
                <w:sz w:val="21"/>
                <w:szCs w:val="21"/>
                <w:highlight w:val="none"/>
              </w:rPr>
            </w:pPr>
            <w:r>
              <w:rPr>
                <w:rFonts w:hint="eastAsia"/>
                <w:color w:val="auto"/>
                <w:sz w:val="21"/>
                <w:szCs w:val="21"/>
                <w:highlight w:val="none"/>
              </w:rPr>
              <w:t>2</w:t>
            </w:r>
          </w:p>
        </w:tc>
        <w:tc>
          <w:tcPr>
            <w:tcW w:w="3286" w:type="dxa"/>
            <w:vAlign w:val="center"/>
          </w:tcPr>
          <w:p>
            <w:pPr>
              <w:adjustRightInd w:val="0"/>
              <w:snapToGrid w:val="0"/>
              <w:jc w:val="center"/>
              <w:rPr>
                <w:color w:val="auto"/>
                <w:sz w:val="21"/>
                <w:szCs w:val="21"/>
                <w:highlight w:val="none"/>
              </w:rPr>
            </w:pPr>
          </w:p>
        </w:tc>
        <w:tc>
          <w:tcPr>
            <w:tcW w:w="2911" w:type="dxa"/>
            <w:vAlign w:val="center"/>
          </w:tcPr>
          <w:p>
            <w:pPr>
              <w:adjustRightInd w:val="0"/>
              <w:snapToGrid w:val="0"/>
              <w:jc w:val="center"/>
              <w:rPr>
                <w:color w:val="auto"/>
                <w:sz w:val="21"/>
                <w:szCs w:val="21"/>
                <w:highlight w:val="none"/>
              </w:rPr>
            </w:pPr>
          </w:p>
        </w:tc>
        <w:tc>
          <w:tcPr>
            <w:tcW w:w="2407" w:type="dxa"/>
            <w:vAlign w:val="center"/>
          </w:tcPr>
          <w:p>
            <w:pPr>
              <w:adjustRightInd w:val="0"/>
              <w:snapToGrid w:val="0"/>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jc w:val="center"/>
              <w:rPr>
                <w:color w:val="auto"/>
                <w:sz w:val="21"/>
                <w:szCs w:val="21"/>
                <w:highlight w:val="none"/>
              </w:rPr>
            </w:pPr>
            <w:r>
              <w:rPr>
                <w:rFonts w:hint="eastAsia"/>
                <w:color w:val="auto"/>
                <w:sz w:val="21"/>
                <w:szCs w:val="21"/>
                <w:highlight w:val="none"/>
              </w:rPr>
              <w:t>……</w:t>
            </w:r>
          </w:p>
        </w:tc>
        <w:tc>
          <w:tcPr>
            <w:tcW w:w="3286" w:type="dxa"/>
            <w:vAlign w:val="center"/>
          </w:tcPr>
          <w:p>
            <w:pPr>
              <w:adjustRightInd w:val="0"/>
              <w:snapToGrid w:val="0"/>
              <w:jc w:val="center"/>
              <w:rPr>
                <w:color w:val="auto"/>
                <w:sz w:val="21"/>
                <w:szCs w:val="21"/>
                <w:highlight w:val="none"/>
              </w:rPr>
            </w:pPr>
          </w:p>
        </w:tc>
        <w:tc>
          <w:tcPr>
            <w:tcW w:w="2911" w:type="dxa"/>
            <w:vAlign w:val="center"/>
          </w:tcPr>
          <w:p>
            <w:pPr>
              <w:adjustRightInd w:val="0"/>
              <w:snapToGrid w:val="0"/>
              <w:jc w:val="center"/>
              <w:rPr>
                <w:color w:val="auto"/>
                <w:sz w:val="21"/>
                <w:szCs w:val="21"/>
                <w:highlight w:val="none"/>
              </w:rPr>
            </w:pPr>
          </w:p>
        </w:tc>
        <w:tc>
          <w:tcPr>
            <w:tcW w:w="2407" w:type="dxa"/>
            <w:vAlign w:val="center"/>
          </w:tcPr>
          <w:p>
            <w:pPr>
              <w:adjustRightInd w:val="0"/>
              <w:snapToGrid w:val="0"/>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9628" w:type="dxa"/>
            <w:gridSpan w:val="4"/>
            <w:vAlign w:val="center"/>
          </w:tcPr>
          <w:p>
            <w:pPr>
              <w:adjustRightInd w:val="0"/>
              <w:snapToGrid w:val="0"/>
              <w:rPr>
                <w:color w:val="auto"/>
                <w:sz w:val="21"/>
                <w:szCs w:val="21"/>
                <w:highlight w:val="none"/>
              </w:rPr>
            </w:pPr>
            <w:r>
              <w:rPr>
                <w:rFonts w:hint="eastAsia"/>
                <w:b/>
                <w:bCs/>
                <w:color w:val="auto"/>
                <w:sz w:val="21"/>
                <w:szCs w:val="21"/>
                <w:highlight w:val="none"/>
              </w:rPr>
              <w:t>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jc w:val="center"/>
              <w:rPr>
                <w:color w:val="auto"/>
                <w:sz w:val="21"/>
                <w:szCs w:val="21"/>
                <w:highlight w:val="none"/>
              </w:rPr>
            </w:pPr>
            <w:r>
              <w:rPr>
                <w:rFonts w:hint="eastAsia"/>
                <w:color w:val="auto"/>
                <w:sz w:val="21"/>
                <w:szCs w:val="21"/>
                <w:highlight w:val="none"/>
              </w:rPr>
              <w:t>1</w:t>
            </w:r>
          </w:p>
        </w:tc>
        <w:tc>
          <w:tcPr>
            <w:tcW w:w="3286" w:type="dxa"/>
            <w:vAlign w:val="center"/>
          </w:tcPr>
          <w:p>
            <w:pPr>
              <w:adjustRightInd w:val="0"/>
              <w:snapToGrid w:val="0"/>
              <w:jc w:val="center"/>
              <w:rPr>
                <w:color w:val="auto"/>
                <w:sz w:val="21"/>
                <w:szCs w:val="21"/>
                <w:highlight w:val="none"/>
              </w:rPr>
            </w:pPr>
          </w:p>
        </w:tc>
        <w:tc>
          <w:tcPr>
            <w:tcW w:w="2911" w:type="dxa"/>
            <w:vAlign w:val="center"/>
          </w:tcPr>
          <w:p>
            <w:pPr>
              <w:adjustRightInd w:val="0"/>
              <w:snapToGrid w:val="0"/>
              <w:jc w:val="center"/>
              <w:rPr>
                <w:color w:val="auto"/>
                <w:sz w:val="21"/>
                <w:szCs w:val="21"/>
                <w:highlight w:val="none"/>
              </w:rPr>
            </w:pPr>
          </w:p>
        </w:tc>
        <w:tc>
          <w:tcPr>
            <w:tcW w:w="2407" w:type="dxa"/>
            <w:vAlign w:val="center"/>
          </w:tcPr>
          <w:p>
            <w:pPr>
              <w:adjustRightInd w:val="0"/>
              <w:snapToGrid w:val="0"/>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jc w:val="center"/>
              <w:rPr>
                <w:color w:val="auto"/>
                <w:sz w:val="21"/>
                <w:szCs w:val="21"/>
                <w:highlight w:val="none"/>
              </w:rPr>
            </w:pPr>
            <w:r>
              <w:rPr>
                <w:rFonts w:hint="eastAsia"/>
                <w:color w:val="auto"/>
                <w:sz w:val="21"/>
                <w:szCs w:val="21"/>
                <w:highlight w:val="none"/>
              </w:rPr>
              <w:t>2</w:t>
            </w:r>
          </w:p>
        </w:tc>
        <w:tc>
          <w:tcPr>
            <w:tcW w:w="3286" w:type="dxa"/>
            <w:vAlign w:val="center"/>
          </w:tcPr>
          <w:p>
            <w:pPr>
              <w:adjustRightInd w:val="0"/>
              <w:snapToGrid w:val="0"/>
              <w:jc w:val="center"/>
              <w:rPr>
                <w:color w:val="auto"/>
                <w:sz w:val="21"/>
                <w:szCs w:val="21"/>
                <w:highlight w:val="none"/>
              </w:rPr>
            </w:pPr>
          </w:p>
        </w:tc>
        <w:tc>
          <w:tcPr>
            <w:tcW w:w="2911" w:type="dxa"/>
            <w:vAlign w:val="center"/>
          </w:tcPr>
          <w:p>
            <w:pPr>
              <w:adjustRightInd w:val="0"/>
              <w:snapToGrid w:val="0"/>
              <w:jc w:val="center"/>
              <w:rPr>
                <w:color w:val="auto"/>
                <w:sz w:val="21"/>
                <w:szCs w:val="21"/>
                <w:highlight w:val="none"/>
              </w:rPr>
            </w:pPr>
          </w:p>
        </w:tc>
        <w:tc>
          <w:tcPr>
            <w:tcW w:w="2407" w:type="dxa"/>
            <w:vAlign w:val="center"/>
          </w:tcPr>
          <w:p>
            <w:pPr>
              <w:adjustRightInd w:val="0"/>
              <w:snapToGrid w:val="0"/>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jc w:val="center"/>
              <w:rPr>
                <w:color w:val="auto"/>
                <w:sz w:val="21"/>
                <w:szCs w:val="21"/>
                <w:highlight w:val="none"/>
              </w:rPr>
            </w:pPr>
            <w:r>
              <w:rPr>
                <w:rFonts w:hint="eastAsia"/>
                <w:color w:val="auto"/>
                <w:sz w:val="21"/>
                <w:szCs w:val="21"/>
                <w:highlight w:val="none"/>
              </w:rPr>
              <w:t>……</w:t>
            </w:r>
          </w:p>
        </w:tc>
        <w:tc>
          <w:tcPr>
            <w:tcW w:w="3286" w:type="dxa"/>
            <w:vAlign w:val="center"/>
          </w:tcPr>
          <w:p>
            <w:pPr>
              <w:adjustRightInd w:val="0"/>
              <w:snapToGrid w:val="0"/>
              <w:jc w:val="center"/>
              <w:rPr>
                <w:color w:val="auto"/>
                <w:sz w:val="21"/>
                <w:szCs w:val="21"/>
                <w:highlight w:val="none"/>
              </w:rPr>
            </w:pPr>
          </w:p>
        </w:tc>
        <w:tc>
          <w:tcPr>
            <w:tcW w:w="2911" w:type="dxa"/>
            <w:vAlign w:val="center"/>
          </w:tcPr>
          <w:p>
            <w:pPr>
              <w:adjustRightInd w:val="0"/>
              <w:snapToGrid w:val="0"/>
              <w:jc w:val="center"/>
              <w:rPr>
                <w:color w:val="auto"/>
                <w:sz w:val="21"/>
                <w:szCs w:val="21"/>
                <w:highlight w:val="none"/>
              </w:rPr>
            </w:pPr>
          </w:p>
        </w:tc>
        <w:tc>
          <w:tcPr>
            <w:tcW w:w="2407" w:type="dxa"/>
            <w:vAlign w:val="center"/>
          </w:tcPr>
          <w:p>
            <w:pPr>
              <w:adjustRightInd w:val="0"/>
              <w:snapToGrid w:val="0"/>
              <w:jc w:val="center"/>
              <w:rPr>
                <w:color w:val="auto"/>
                <w:sz w:val="21"/>
                <w:szCs w:val="21"/>
                <w:highlight w:val="none"/>
              </w:rPr>
            </w:pPr>
          </w:p>
        </w:tc>
      </w:tr>
    </w:tbl>
    <w:p>
      <w:pPr>
        <w:adjustRightInd w:val="0"/>
        <w:snapToGrid w:val="0"/>
        <w:spacing w:line="360" w:lineRule="auto"/>
        <w:rPr>
          <w:color w:val="auto"/>
          <w:highlight w:val="none"/>
        </w:rPr>
      </w:pPr>
    </w:p>
    <w:p>
      <w:pPr>
        <w:adjustRightInd w:val="0"/>
        <w:snapToGrid w:val="0"/>
        <w:spacing w:line="360" w:lineRule="auto"/>
        <w:rPr>
          <w:b/>
          <w:bCs/>
          <w:color w:val="auto"/>
          <w:sz w:val="21"/>
          <w:szCs w:val="21"/>
          <w:highlight w:val="none"/>
        </w:rPr>
      </w:pPr>
      <w:r>
        <w:rPr>
          <w:rFonts w:hint="eastAsia"/>
          <w:b/>
          <w:bCs/>
          <w:color w:val="auto"/>
          <w:sz w:val="21"/>
          <w:szCs w:val="21"/>
          <w:highlight w:val="none"/>
        </w:rPr>
        <w:t>说明：</w:t>
      </w:r>
    </w:p>
    <w:p>
      <w:pPr>
        <w:adjustRightInd w:val="0"/>
        <w:snapToGrid w:val="0"/>
        <w:spacing w:line="360" w:lineRule="auto"/>
        <w:rPr>
          <w:b/>
          <w:bCs/>
          <w:color w:val="auto"/>
          <w:sz w:val="21"/>
          <w:szCs w:val="21"/>
          <w:highlight w:val="none"/>
        </w:rPr>
      </w:pPr>
      <w:r>
        <w:rPr>
          <w:rFonts w:hint="eastAsia"/>
          <w:b/>
          <w:bCs/>
          <w:color w:val="auto"/>
          <w:sz w:val="21"/>
          <w:szCs w:val="21"/>
          <w:highlight w:val="none"/>
        </w:rPr>
        <w:t>1.逐项按照磋商文件要求填写响应规格；</w:t>
      </w:r>
    </w:p>
    <w:p>
      <w:pPr>
        <w:adjustRightInd w:val="0"/>
        <w:snapToGrid w:val="0"/>
        <w:spacing w:line="360" w:lineRule="auto"/>
        <w:rPr>
          <w:b/>
          <w:bCs/>
          <w:color w:val="auto"/>
          <w:sz w:val="21"/>
          <w:szCs w:val="21"/>
          <w:highlight w:val="none"/>
        </w:rPr>
      </w:pPr>
      <w:r>
        <w:rPr>
          <w:rFonts w:hint="eastAsia"/>
          <w:b/>
          <w:bCs/>
          <w:color w:val="auto"/>
          <w:sz w:val="21"/>
          <w:szCs w:val="21"/>
          <w:highlight w:val="none"/>
        </w:rPr>
        <w:t>2.偏离说明是指对磋商文件要求存在不同之处的解释说明。偏离系指：正偏离（高于采购需求）、负偏离（低于采购需求）、无偏离（满足采购需求）；</w:t>
      </w:r>
    </w:p>
    <w:p>
      <w:pPr>
        <w:adjustRightInd w:val="0"/>
        <w:snapToGrid w:val="0"/>
        <w:spacing w:line="360" w:lineRule="auto"/>
        <w:rPr>
          <w:b/>
          <w:bCs/>
          <w:color w:val="auto"/>
          <w:sz w:val="21"/>
          <w:szCs w:val="21"/>
          <w:highlight w:val="none"/>
        </w:rPr>
      </w:pPr>
      <w:r>
        <w:rPr>
          <w:rFonts w:hint="eastAsia"/>
          <w:b/>
          <w:bCs/>
          <w:color w:val="auto"/>
          <w:sz w:val="21"/>
          <w:szCs w:val="21"/>
          <w:highlight w:val="none"/>
        </w:rPr>
        <w:t>3.如不填写或未如实填写，自行承担磋商响应风险。</w:t>
      </w: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r>
        <w:rPr>
          <w:rFonts w:hint="eastAsia"/>
          <w:color w:val="auto"/>
          <w:highlight w:val="none"/>
        </w:rPr>
        <w:t>供应商名称（盖章）：</w:t>
      </w:r>
    </w:p>
    <w:p>
      <w:pPr>
        <w:adjustRightInd w:val="0"/>
        <w:snapToGrid w:val="0"/>
        <w:spacing w:line="360" w:lineRule="auto"/>
        <w:rPr>
          <w:color w:val="auto"/>
          <w:highlight w:val="none"/>
        </w:rPr>
      </w:pPr>
      <w:r>
        <w:rPr>
          <w:rFonts w:hint="eastAsia"/>
          <w:color w:val="auto"/>
          <w:highlight w:val="none"/>
        </w:rPr>
        <w:t>供应商代表签字：</w:t>
      </w:r>
    </w:p>
    <w:p>
      <w:pPr>
        <w:adjustRightInd w:val="0"/>
        <w:snapToGrid w:val="0"/>
        <w:spacing w:line="360" w:lineRule="auto"/>
        <w:rPr>
          <w:color w:val="auto"/>
          <w:highlight w:val="none"/>
        </w:rPr>
      </w:pPr>
      <w:r>
        <w:rPr>
          <w:rFonts w:hint="eastAsia"/>
          <w:color w:val="auto"/>
          <w:highlight w:val="none"/>
        </w:rPr>
        <w:t>日期：________年____月____日</w:t>
      </w:r>
    </w:p>
    <w:p>
      <w:pPr>
        <w:rPr>
          <w:color w:val="auto"/>
          <w:highlight w:val="none"/>
        </w:rPr>
      </w:pPr>
      <w:r>
        <w:rPr>
          <w:rFonts w:hint="eastAsia"/>
          <w:color w:val="auto"/>
          <w:highlight w:val="none"/>
        </w:rPr>
        <w:br w:type="page"/>
      </w:r>
    </w:p>
    <w:p>
      <w:pPr>
        <w:adjustRightInd w:val="0"/>
        <w:snapToGrid w:val="0"/>
        <w:spacing w:line="360" w:lineRule="auto"/>
        <w:jc w:val="center"/>
        <w:outlineLvl w:val="2"/>
        <w:rPr>
          <w:b/>
          <w:bCs/>
          <w:color w:val="auto"/>
          <w:highlight w:val="none"/>
        </w:rPr>
      </w:pPr>
      <w:r>
        <w:rPr>
          <w:rFonts w:hint="eastAsia"/>
          <w:b/>
          <w:bCs/>
          <w:color w:val="auto"/>
          <w:highlight w:val="none"/>
        </w:rPr>
        <w:t>（</w:t>
      </w:r>
      <w:r>
        <w:rPr>
          <w:b/>
          <w:bCs/>
          <w:color w:val="auto"/>
          <w:highlight w:val="none"/>
        </w:rPr>
        <w:t>8</w:t>
      </w:r>
      <w:r>
        <w:rPr>
          <w:rFonts w:hint="eastAsia"/>
          <w:b/>
          <w:bCs/>
          <w:color w:val="auto"/>
          <w:highlight w:val="none"/>
        </w:rPr>
        <w:t>）货物配置清单、原厂出厂配置表</w:t>
      </w:r>
    </w:p>
    <w:p>
      <w:pPr>
        <w:adjustRightInd w:val="0"/>
        <w:snapToGrid w:val="0"/>
        <w:spacing w:line="360" w:lineRule="auto"/>
        <w:rPr>
          <w:color w:val="auto"/>
          <w:highlight w:val="none"/>
        </w:rPr>
      </w:pPr>
      <w:r>
        <w:rPr>
          <w:rFonts w:hint="eastAsia"/>
          <w:b/>
          <w:bCs/>
          <w:color w:val="auto"/>
          <w:highlight w:val="none"/>
        </w:rPr>
        <w:t>货物配置清单</w:t>
      </w:r>
      <w:r>
        <w:rPr>
          <w:rFonts w:hint="eastAsia"/>
          <w:color w:val="auto"/>
          <w:highlight w:val="none"/>
        </w:rPr>
        <w:t>（不含报价）</w:t>
      </w:r>
    </w:p>
    <w:tbl>
      <w:tblPr>
        <w:tblStyle w:val="10"/>
        <w:tblW w:w="962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4"/>
        <w:gridCol w:w="1839"/>
        <w:gridCol w:w="1105"/>
        <w:gridCol w:w="1394"/>
        <w:gridCol w:w="1089"/>
        <w:gridCol w:w="1061"/>
        <w:gridCol w:w="23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834" w:type="dxa"/>
            <w:vAlign w:val="center"/>
          </w:tcPr>
          <w:p>
            <w:pPr>
              <w:adjustRightInd w:val="0"/>
              <w:snapToGrid w:val="0"/>
              <w:jc w:val="center"/>
              <w:rPr>
                <w:color w:val="auto"/>
                <w:highlight w:val="none"/>
              </w:rPr>
            </w:pPr>
            <w:r>
              <w:rPr>
                <w:rFonts w:hint="eastAsia"/>
                <w:color w:val="auto"/>
                <w:highlight w:val="none"/>
              </w:rPr>
              <w:t>序号</w:t>
            </w:r>
          </w:p>
        </w:tc>
        <w:tc>
          <w:tcPr>
            <w:tcW w:w="1839" w:type="dxa"/>
            <w:vAlign w:val="center"/>
          </w:tcPr>
          <w:p>
            <w:pPr>
              <w:adjustRightInd w:val="0"/>
              <w:snapToGrid w:val="0"/>
              <w:jc w:val="center"/>
              <w:rPr>
                <w:color w:val="auto"/>
                <w:highlight w:val="none"/>
              </w:rPr>
            </w:pPr>
            <w:r>
              <w:rPr>
                <w:rFonts w:hint="eastAsia"/>
                <w:color w:val="auto"/>
                <w:highlight w:val="none"/>
              </w:rPr>
              <w:t>货物名称</w:t>
            </w:r>
          </w:p>
        </w:tc>
        <w:tc>
          <w:tcPr>
            <w:tcW w:w="1105" w:type="dxa"/>
            <w:vAlign w:val="center"/>
          </w:tcPr>
          <w:p>
            <w:pPr>
              <w:adjustRightInd w:val="0"/>
              <w:snapToGrid w:val="0"/>
              <w:jc w:val="center"/>
              <w:rPr>
                <w:color w:val="auto"/>
                <w:highlight w:val="none"/>
              </w:rPr>
            </w:pPr>
            <w:r>
              <w:rPr>
                <w:rFonts w:hint="eastAsia"/>
                <w:color w:val="auto"/>
                <w:highlight w:val="none"/>
              </w:rPr>
              <w:t>品牌</w:t>
            </w:r>
          </w:p>
        </w:tc>
        <w:tc>
          <w:tcPr>
            <w:tcW w:w="1394" w:type="dxa"/>
            <w:vAlign w:val="center"/>
          </w:tcPr>
          <w:p>
            <w:pPr>
              <w:adjustRightInd w:val="0"/>
              <w:snapToGrid w:val="0"/>
              <w:jc w:val="center"/>
              <w:rPr>
                <w:color w:val="auto"/>
                <w:highlight w:val="none"/>
              </w:rPr>
            </w:pPr>
            <w:r>
              <w:rPr>
                <w:rFonts w:hint="eastAsia"/>
                <w:color w:val="auto"/>
                <w:highlight w:val="none"/>
              </w:rPr>
              <w:t>规格型号</w:t>
            </w:r>
          </w:p>
        </w:tc>
        <w:tc>
          <w:tcPr>
            <w:tcW w:w="1089" w:type="dxa"/>
            <w:vAlign w:val="center"/>
          </w:tcPr>
          <w:p>
            <w:pPr>
              <w:adjustRightInd w:val="0"/>
              <w:snapToGrid w:val="0"/>
              <w:jc w:val="center"/>
              <w:rPr>
                <w:color w:val="auto"/>
                <w:highlight w:val="none"/>
              </w:rPr>
            </w:pPr>
            <w:r>
              <w:rPr>
                <w:rFonts w:hint="eastAsia"/>
                <w:color w:val="auto"/>
                <w:highlight w:val="none"/>
              </w:rPr>
              <w:t>产地</w:t>
            </w:r>
          </w:p>
        </w:tc>
        <w:tc>
          <w:tcPr>
            <w:tcW w:w="1061" w:type="dxa"/>
            <w:vAlign w:val="center"/>
          </w:tcPr>
          <w:p>
            <w:pPr>
              <w:adjustRightInd w:val="0"/>
              <w:snapToGrid w:val="0"/>
              <w:jc w:val="center"/>
              <w:rPr>
                <w:color w:val="auto"/>
                <w:highlight w:val="none"/>
              </w:rPr>
            </w:pPr>
            <w:r>
              <w:rPr>
                <w:rFonts w:hint="eastAsia"/>
                <w:color w:val="auto"/>
                <w:highlight w:val="none"/>
              </w:rPr>
              <w:t>数量</w:t>
            </w:r>
          </w:p>
        </w:tc>
        <w:tc>
          <w:tcPr>
            <w:tcW w:w="2302" w:type="dxa"/>
            <w:vAlign w:val="center"/>
          </w:tcPr>
          <w:p>
            <w:pPr>
              <w:adjustRightInd w:val="0"/>
              <w:snapToGrid w:val="0"/>
              <w:jc w:val="center"/>
              <w:rPr>
                <w:color w:val="auto"/>
                <w:highlight w:val="none"/>
              </w:rPr>
            </w:pPr>
            <w:r>
              <w:rPr>
                <w:rFonts w:hint="eastAsia"/>
                <w:color w:val="auto"/>
                <w:highlight w:val="none"/>
              </w:rPr>
              <w:t>配置（可另附页）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834" w:type="dxa"/>
            <w:vAlign w:val="center"/>
          </w:tcPr>
          <w:p>
            <w:pPr>
              <w:adjustRightInd w:val="0"/>
              <w:snapToGrid w:val="0"/>
              <w:jc w:val="center"/>
              <w:rPr>
                <w:color w:val="auto"/>
                <w:highlight w:val="none"/>
              </w:rPr>
            </w:pPr>
          </w:p>
        </w:tc>
        <w:tc>
          <w:tcPr>
            <w:tcW w:w="1839" w:type="dxa"/>
            <w:vAlign w:val="center"/>
          </w:tcPr>
          <w:p>
            <w:pPr>
              <w:adjustRightInd w:val="0"/>
              <w:snapToGrid w:val="0"/>
              <w:jc w:val="center"/>
              <w:rPr>
                <w:color w:val="auto"/>
                <w:highlight w:val="none"/>
              </w:rPr>
            </w:pPr>
          </w:p>
        </w:tc>
        <w:tc>
          <w:tcPr>
            <w:tcW w:w="1105" w:type="dxa"/>
            <w:vAlign w:val="center"/>
          </w:tcPr>
          <w:p>
            <w:pPr>
              <w:adjustRightInd w:val="0"/>
              <w:snapToGrid w:val="0"/>
              <w:jc w:val="center"/>
              <w:rPr>
                <w:color w:val="auto"/>
                <w:highlight w:val="none"/>
              </w:rPr>
            </w:pPr>
          </w:p>
        </w:tc>
        <w:tc>
          <w:tcPr>
            <w:tcW w:w="1394" w:type="dxa"/>
            <w:vAlign w:val="center"/>
          </w:tcPr>
          <w:p>
            <w:pPr>
              <w:adjustRightInd w:val="0"/>
              <w:snapToGrid w:val="0"/>
              <w:jc w:val="center"/>
              <w:rPr>
                <w:color w:val="auto"/>
                <w:highlight w:val="none"/>
              </w:rPr>
            </w:pPr>
          </w:p>
        </w:tc>
        <w:tc>
          <w:tcPr>
            <w:tcW w:w="1089" w:type="dxa"/>
            <w:vAlign w:val="center"/>
          </w:tcPr>
          <w:p>
            <w:pPr>
              <w:adjustRightInd w:val="0"/>
              <w:snapToGrid w:val="0"/>
              <w:jc w:val="center"/>
              <w:rPr>
                <w:color w:val="auto"/>
                <w:highlight w:val="none"/>
              </w:rPr>
            </w:pPr>
          </w:p>
        </w:tc>
        <w:tc>
          <w:tcPr>
            <w:tcW w:w="1061" w:type="dxa"/>
            <w:vAlign w:val="center"/>
          </w:tcPr>
          <w:p>
            <w:pPr>
              <w:adjustRightInd w:val="0"/>
              <w:snapToGrid w:val="0"/>
              <w:jc w:val="center"/>
              <w:rPr>
                <w:color w:val="auto"/>
                <w:highlight w:val="none"/>
              </w:rPr>
            </w:pPr>
          </w:p>
        </w:tc>
        <w:tc>
          <w:tcPr>
            <w:tcW w:w="2302" w:type="dxa"/>
            <w:vAlign w:val="center"/>
          </w:tcPr>
          <w:p>
            <w:pPr>
              <w:adjustRightInd w:val="0"/>
              <w:snapToGrid w:val="0"/>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834" w:type="dxa"/>
            <w:vAlign w:val="center"/>
          </w:tcPr>
          <w:p>
            <w:pPr>
              <w:adjustRightInd w:val="0"/>
              <w:snapToGrid w:val="0"/>
              <w:jc w:val="center"/>
              <w:rPr>
                <w:color w:val="auto"/>
                <w:highlight w:val="none"/>
              </w:rPr>
            </w:pPr>
          </w:p>
        </w:tc>
        <w:tc>
          <w:tcPr>
            <w:tcW w:w="1839" w:type="dxa"/>
            <w:vAlign w:val="center"/>
          </w:tcPr>
          <w:p>
            <w:pPr>
              <w:adjustRightInd w:val="0"/>
              <w:snapToGrid w:val="0"/>
              <w:jc w:val="center"/>
              <w:rPr>
                <w:color w:val="auto"/>
                <w:highlight w:val="none"/>
              </w:rPr>
            </w:pPr>
          </w:p>
        </w:tc>
        <w:tc>
          <w:tcPr>
            <w:tcW w:w="1105" w:type="dxa"/>
            <w:vAlign w:val="center"/>
          </w:tcPr>
          <w:p>
            <w:pPr>
              <w:adjustRightInd w:val="0"/>
              <w:snapToGrid w:val="0"/>
              <w:jc w:val="center"/>
              <w:rPr>
                <w:color w:val="auto"/>
                <w:highlight w:val="none"/>
              </w:rPr>
            </w:pPr>
          </w:p>
        </w:tc>
        <w:tc>
          <w:tcPr>
            <w:tcW w:w="1394" w:type="dxa"/>
            <w:vAlign w:val="center"/>
          </w:tcPr>
          <w:p>
            <w:pPr>
              <w:adjustRightInd w:val="0"/>
              <w:snapToGrid w:val="0"/>
              <w:jc w:val="center"/>
              <w:rPr>
                <w:color w:val="auto"/>
                <w:highlight w:val="none"/>
              </w:rPr>
            </w:pPr>
          </w:p>
        </w:tc>
        <w:tc>
          <w:tcPr>
            <w:tcW w:w="1089" w:type="dxa"/>
            <w:vAlign w:val="center"/>
          </w:tcPr>
          <w:p>
            <w:pPr>
              <w:adjustRightInd w:val="0"/>
              <w:snapToGrid w:val="0"/>
              <w:jc w:val="center"/>
              <w:rPr>
                <w:color w:val="auto"/>
                <w:highlight w:val="none"/>
              </w:rPr>
            </w:pPr>
          </w:p>
        </w:tc>
        <w:tc>
          <w:tcPr>
            <w:tcW w:w="1061" w:type="dxa"/>
            <w:vAlign w:val="center"/>
          </w:tcPr>
          <w:p>
            <w:pPr>
              <w:adjustRightInd w:val="0"/>
              <w:snapToGrid w:val="0"/>
              <w:jc w:val="center"/>
              <w:rPr>
                <w:color w:val="auto"/>
                <w:highlight w:val="none"/>
              </w:rPr>
            </w:pPr>
          </w:p>
        </w:tc>
        <w:tc>
          <w:tcPr>
            <w:tcW w:w="2302" w:type="dxa"/>
            <w:vAlign w:val="center"/>
          </w:tcPr>
          <w:p>
            <w:pPr>
              <w:adjustRightInd w:val="0"/>
              <w:snapToGrid w:val="0"/>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834" w:type="dxa"/>
            <w:vAlign w:val="center"/>
          </w:tcPr>
          <w:p>
            <w:pPr>
              <w:adjustRightInd w:val="0"/>
              <w:snapToGrid w:val="0"/>
              <w:jc w:val="center"/>
              <w:rPr>
                <w:color w:val="auto"/>
                <w:highlight w:val="none"/>
              </w:rPr>
            </w:pPr>
          </w:p>
        </w:tc>
        <w:tc>
          <w:tcPr>
            <w:tcW w:w="1839" w:type="dxa"/>
            <w:vAlign w:val="center"/>
          </w:tcPr>
          <w:p>
            <w:pPr>
              <w:adjustRightInd w:val="0"/>
              <w:snapToGrid w:val="0"/>
              <w:jc w:val="center"/>
              <w:rPr>
                <w:color w:val="auto"/>
                <w:highlight w:val="none"/>
              </w:rPr>
            </w:pPr>
          </w:p>
        </w:tc>
        <w:tc>
          <w:tcPr>
            <w:tcW w:w="1105" w:type="dxa"/>
            <w:vAlign w:val="center"/>
          </w:tcPr>
          <w:p>
            <w:pPr>
              <w:adjustRightInd w:val="0"/>
              <w:snapToGrid w:val="0"/>
              <w:jc w:val="center"/>
              <w:rPr>
                <w:color w:val="auto"/>
                <w:highlight w:val="none"/>
              </w:rPr>
            </w:pPr>
          </w:p>
        </w:tc>
        <w:tc>
          <w:tcPr>
            <w:tcW w:w="1394" w:type="dxa"/>
            <w:vAlign w:val="center"/>
          </w:tcPr>
          <w:p>
            <w:pPr>
              <w:adjustRightInd w:val="0"/>
              <w:snapToGrid w:val="0"/>
              <w:jc w:val="center"/>
              <w:rPr>
                <w:color w:val="auto"/>
                <w:highlight w:val="none"/>
              </w:rPr>
            </w:pPr>
          </w:p>
        </w:tc>
        <w:tc>
          <w:tcPr>
            <w:tcW w:w="1089" w:type="dxa"/>
            <w:vAlign w:val="center"/>
          </w:tcPr>
          <w:p>
            <w:pPr>
              <w:adjustRightInd w:val="0"/>
              <w:snapToGrid w:val="0"/>
              <w:jc w:val="center"/>
              <w:rPr>
                <w:color w:val="auto"/>
                <w:highlight w:val="none"/>
              </w:rPr>
            </w:pPr>
          </w:p>
        </w:tc>
        <w:tc>
          <w:tcPr>
            <w:tcW w:w="1061" w:type="dxa"/>
            <w:vAlign w:val="center"/>
          </w:tcPr>
          <w:p>
            <w:pPr>
              <w:adjustRightInd w:val="0"/>
              <w:snapToGrid w:val="0"/>
              <w:jc w:val="center"/>
              <w:rPr>
                <w:color w:val="auto"/>
                <w:highlight w:val="none"/>
              </w:rPr>
            </w:pPr>
          </w:p>
        </w:tc>
        <w:tc>
          <w:tcPr>
            <w:tcW w:w="2302" w:type="dxa"/>
            <w:vAlign w:val="center"/>
          </w:tcPr>
          <w:p>
            <w:pPr>
              <w:adjustRightInd w:val="0"/>
              <w:snapToGrid w:val="0"/>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834" w:type="dxa"/>
            <w:vAlign w:val="center"/>
          </w:tcPr>
          <w:p>
            <w:pPr>
              <w:adjustRightInd w:val="0"/>
              <w:snapToGrid w:val="0"/>
              <w:jc w:val="center"/>
              <w:rPr>
                <w:color w:val="auto"/>
                <w:highlight w:val="none"/>
              </w:rPr>
            </w:pPr>
          </w:p>
        </w:tc>
        <w:tc>
          <w:tcPr>
            <w:tcW w:w="1839" w:type="dxa"/>
            <w:vAlign w:val="center"/>
          </w:tcPr>
          <w:p>
            <w:pPr>
              <w:adjustRightInd w:val="0"/>
              <w:snapToGrid w:val="0"/>
              <w:jc w:val="center"/>
              <w:rPr>
                <w:color w:val="auto"/>
                <w:highlight w:val="none"/>
              </w:rPr>
            </w:pPr>
          </w:p>
        </w:tc>
        <w:tc>
          <w:tcPr>
            <w:tcW w:w="1105" w:type="dxa"/>
            <w:vAlign w:val="center"/>
          </w:tcPr>
          <w:p>
            <w:pPr>
              <w:adjustRightInd w:val="0"/>
              <w:snapToGrid w:val="0"/>
              <w:jc w:val="center"/>
              <w:rPr>
                <w:color w:val="auto"/>
                <w:highlight w:val="none"/>
              </w:rPr>
            </w:pPr>
          </w:p>
        </w:tc>
        <w:tc>
          <w:tcPr>
            <w:tcW w:w="1394" w:type="dxa"/>
            <w:vAlign w:val="center"/>
          </w:tcPr>
          <w:p>
            <w:pPr>
              <w:adjustRightInd w:val="0"/>
              <w:snapToGrid w:val="0"/>
              <w:jc w:val="center"/>
              <w:rPr>
                <w:color w:val="auto"/>
                <w:highlight w:val="none"/>
              </w:rPr>
            </w:pPr>
          </w:p>
        </w:tc>
        <w:tc>
          <w:tcPr>
            <w:tcW w:w="1089" w:type="dxa"/>
            <w:vAlign w:val="center"/>
          </w:tcPr>
          <w:p>
            <w:pPr>
              <w:adjustRightInd w:val="0"/>
              <w:snapToGrid w:val="0"/>
              <w:jc w:val="center"/>
              <w:rPr>
                <w:color w:val="auto"/>
                <w:highlight w:val="none"/>
              </w:rPr>
            </w:pPr>
          </w:p>
        </w:tc>
        <w:tc>
          <w:tcPr>
            <w:tcW w:w="1061" w:type="dxa"/>
            <w:vAlign w:val="center"/>
          </w:tcPr>
          <w:p>
            <w:pPr>
              <w:adjustRightInd w:val="0"/>
              <w:snapToGrid w:val="0"/>
              <w:jc w:val="center"/>
              <w:rPr>
                <w:color w:val="auto"/>
                <w:highlight w:val="none"/>
              </w:rPr>
            </w:pPr>
          </w:p>
        </w:tc>
        <w:tc>
          <w:tcPr>
            <w:tcW w:w="2302" w:type="dxa"/>
            <w:vAlign w:val="center"/>
          </w:tcPr>
          <w:p>
            <w:pPr>
              <w:adjustRightInd w:val="0"/>
              <w:snapToGrid w:val="0"/>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834" w:type="dxa"/>
            <w:vAlign w:val="center"/>
          </w:tcPr>
          <w:p>
            <w:pPr>
              <w:adjustRightInd w:val="0"/>
              <w:snapToGrid w:val="0"/>
              <w:jc w:val="center"/>
              <w:rPr>
                <w:color w:val="auto"/>
                <w:highlight w:val="none"/>
              </w:rPr>
            </w:pPr>
          </w:p>
        </w:tc>
        <w:tc>
          <w:tcPr>
            <w:tcW w:w="1839" w:type="dxa"/>
            <w:vAlign w:val="center"/>
          </w:tcPr>
          <w:p>
            <w:pPr>
              <w:adjustRightInd w:val="0"/>
              <w:snapToGrid w:val="0"/>
              <w:jc w:val="center"/>
              <w:rPr>
                <w:color w:val="auto"/>
                <w:highlight w:val="none"/>
              </w:rPr>
            </w:pPr>
          </w:p>
        </w:tc>
        <w:tc>
          <w:tcPr>
            <w:tcW w:w="1105" w:type="dxa"/>
            <w:vAlign w:val="center"/>
          </w:tcPr>
          <w:p>
            <w:pPr>
              <w:adjustRightInd w:val="0"/>
              <w:snapToGrid w:val="0"/>
              <w:jc w:val="center"/>
              <w:rPr>
                <w:color w:val="auto"/>
                <w:highlight w:val="none"/>
              </w:rPr>
            </w:pPr>
          </w:p>
        </w:tc>
        <w:tc>
          <w:tcPr>
            <w:tcW w:w="1394" w:type="dxa"/>
            <w:vAlign w:val="center"/>
          </w:tcPr>
          <w:p>
            <w:pPr>
              <w:adjustRightInd w:val="0"/>
              <w:snapToGrid w:val="0"/>
              <w:jc w:val="center"/>
              <w:rPr>
                <w:color w:val="auto"/>
                <w:highlight w:val="none"/>
              </w:rPr>
            </w:pPr>
          </w:p>
        </w:tc>
        <w:tc>
          <w:tcPr>
            <w:tcW w:w="1089" w:type="dxa"/>
            <w:vAlign w:val="center"/>
          </w:tcPr>
          <w:p>
            <w:pPr>
              <w:adjustRightInd w:val="0"/>
              <w:snapToGrid w:val="0"/>
              <w:jc w:val="center"/>
              <w:rPr>
                <w:color w:val="auto"/>
                <w:highlight w:val="none"/>
              </w:rPr>
            </w:pPr>
          </w:p>
        </w:tc>
        <w:tc>
          <w:tcPr>
            <w:tcW w:w="1061" w:type="dxa"/>
            <w:vAlign w:val="center"/>
          </w:tcPr>
          <w:p>
            <w:pPr>
              <w:adjustRightInd w:val="0"/>
              <w:snapToGrid w:val="0"/>
              <w:jc w:val="center"/>
              <w:rPr>
                <w:color w:val="auto"/>
                <w:highlight w:val="none"/>
              </w:rPr>
            </w:pPr>
          </w:p>
        </w:tc>
        <w:tc>
          <w:tcPr>
            <w:tcW w:w="2302" w:type="dxa"/>
            <w:vAlign w:val="center"/>
          </w:tcPr>
          <w:p>
            <w:pPr>
              <w:adjustRightInd w:val="0"/>
              <w:snapToGrid w:val="0"/>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834" w:type="dxa"/>
            <w:vAlign w:val="center"/>
          </w:tcPr>
          <w:p>
            <w:pPr>
              <w:adjustRightInd w:val="0"/>
              <w:snapToGrid w:val="0"/>
              <w:jc w:val="center"/>
              <w:rPr>
                <w:color w:val="auto"/>
                <w:highlight w:val="none"/>
              </w:rPr>
            </w:pPr>
          </w:p>
        </w:tc>
        <w:tc>
          <w:tcPr>
            <w:tcW w:w="1839" w:type="dxa"/>
            <w:vAlign w:val="center"/>
          </w:tcPr>
          <w:p>
            <w:pPr>
              <w:adjustRightInd w:val="0"/>
              <w:snapToGrid w:val="0"/>
              <w:jc w:val="center"/>
              <w:rPr>
                <w:color w:val="auto"/>
                <w:highlight w:val="none"/>
              </w:rPr>
            </w:pPr>
          </w:p>
        </w:tc>
        <w:tc>
          <w:tcPr>
            <w:tcW w:w="1105" w:type="dxa"/>
            <w:vAlign w:val="center"/>
          </w:tcPr>
          <w:p>
            <w:pPr>
              <w:adjustRightInd w:val="0"/>
              <w:snapToGrid w:val="0"/>
              <w:jc w:val="center"/>
              <w:rPr>
                <w:color w:val="auto"/>
                <w:highlight w:val="none"/>
              </w:rPr>
            </w:pPr>
          </w:p>
        </w:tc>
        <w:tc>
          <w:tcPr>
            <w:tcW w:w="1394" w:type="dxa"/>
            <w:vAlign w:val="center"/>
          </w:tcPr>
          <w:p>
            <w:pPr>
              <w:adjustRightInd w:val="0"/>
              <w:snapToGrid w:val="0"/>
              <w:jc w:val="center"/>
              <w:rPr>
                <w:color w:val="auto"/>
                <w:highlight w:val="none"/>
              </w:rPr>
            </w:pPr>
          </w:p>
        </w:tc>
        <w:tc>
          <w:tcPr>
            <w:tcW w:w="1089" w:type="dxa"/>
            <w:vAlign w:val="center"/>
          </w:tcPr>
          <w:p>
            <w:pPr>
              <w:adjustRightInd w:val="0"/>
              <w:snapToGrid w:val="0"/>
              <w:jc w:val="center"/>
              <w:rPr>
                <w:color w:val="auto"/>
                <w:highlight w:val="none"/>
              </w:rPr>
            </w:pPr>
          </w:p>
        </w:tc>
        <w:tc>
          <w:tcPr>
            <w:tcW w:w="1061" w:type="dxa"/>
            <w:vAlign w:val="center"/>
          </w:tcPr>
          <w:p>
            <w:pPr>
              <w:adjustRightInd w:val="0"/>
              <w:snapToGrid w:val="0"/>
              <w:jc w:val="center"/>
              <w:rPr>
                <w:color w:val="auto"/>
                <w:highlight w:val="none"/>
              </w:rPr>
            </w:pPr>
          </w:p>
        </w:tc>
        <w:tc>
          <w:tcPr>
            <w:tcW w:w="2302" w:type="dxa"/>
            <w:vAlign w:val="center"/>
          </w:tcPr>
          <w:p>
            <w:pPr>
              <w:adjustRightInd w:val="0"/>
              <w:snapToGrid w:val="0"/>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834" w:type="dxa"/>
            <w:vAlign w:val="center"/>
          </w:tcPr>
          <w:p>
            <w:pPr>
              <w:adjustRightInd w:val="0"/>
              <w:snapToGrid w:val="0"/>
              <w:jc w:val="center"/>
              <w:rPr>
                <w:color w:val="auto"/>
                <w:highlight w:val="none"/>
              </w:rPr>
            </w:pPr>
          </w:p>
        </w:tc>
        <w:tc>
          <w:tcPr>
            <w:tcW w:w="1839" w:type="dxa"/>
            <w:vAlign w:val="center"/>
          </w:tcPr>
          <w:p>
            <w:pPr>
              <w:adjustRightInd w:val="0"/>
              <w:snapToGrid w:val="0"/>
              <w:jc w:val="center"/>
              <w:rPr>
                <w:color w:val="auto"/>
                <w:highlight w:val="none"/>
              </w:rPr>
            </w:pPr>
          </w:p>
        </w:tc>
        <w:tc>
          <w:tcPr>
            <w:tcW w:w="1105" w:type="dxa"/>
            <w:vAlign w:val="center"/>
          </w:tcPr>
          <w:p>
            <w:pPr>
              <w:adjustRightInd w:val="0"/>
              <w:snapToGrid w:val="0"/>
              <w:jc w:val="center"/>
              <w:rPr>
                <w:color w:val="auto"/>
                <w:highlight w:val="none"/>
              </w:rPr>
            </w:pPr>
          </w:p>
        </w:tc>
        <w:tc>
          <w:tcPr>
            <w:tcW w:w="1394" w:type="dxa"/>
            <w:vAlign w:val="center"/>
          </w:tcPr>
          <w:p>
            <w:pPr>
              <w:adjustRightInd w:val="0"/>
              <w:snapToGrid w:val="0"/>
              <w:jc w:val="center"/>
              <w:rPr>
                <w:color w:val="auto"/>
                <w:highlight w:val="none"/>
              </w:rPr>
            </w:pPr>
          </w:p>
        </w:tc>
        <w:tc>
          <w:tcPr>
            <w:tcW w:w="1089" w:type="dxa"/>
            <w:vAlign w:val="center"/>
          </w:tcPr>
          <w:p>
            <w:pPr>
              <w:adjustRightInd w:val="0"/>
              <w:snapToGrid w:val="0"/>
              <w:jc w:val="center"/>
              <w:rPr>
                <w:color w:val="auto"/>
                <w:highlight w:val="none"/>
              </w:rPr>
            </w:pPr>
          </w:p>
        </w:tc>
        <w:tc>
          <w:tcPr>
            <w:tcW w:w="1061" w:type="dxa"/>
            <w:vAlign w:val="center"/>
          </w:tcPr>
          <w:p>
            <w:pPr>
              <w:adjustRightInd w:val="0"/>
              <w:snapToGrid w:val="0"/>
              <w:jc w:val="center"/>
              <w:rPr>
                <w:color w:val="auto"/>
                <w:highlight w:val="none"/>
              </w:rPr>
            </w:pPr>
          </w:p>
        </w:tc>
        <w:tc>
          <w:tcPr>
            <w:tcW w:w="2302" w:type="dxa"/>
            <w:vAlign w:val="center"/>
          </w:tcPr>
          <w:p>
            <w:pPr>
              <w:adjustRightInd w:val="0"/>
              <w:snapToGrid w:val="0"/>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834" w:type="dxa"/>
            <w:vAlign w:val="center"/>
          </w:tcPr>
          <w:p>
            <w:pPr>
              <w:adjustRightInd w:val="0"/>
              <w:snapToGrid w:val="0"/>
              <w:jc w:val="center"/>
              <w:rPr>
                <w:color w:val="auto"/>
                <w:highlight w:val="none"/>
              </w:rPr>
            </w:pPr>
          </w:p>
        </w:tc>
        <w:tc>
          <w:tcPr>
            <w:tcW w:w="1839" w:type="dxa"/>
            <w:vAlign w:val="center"/>
          </w:tcPr>
          <w:p>
            <w:pPr>
              <w:adjustRightInd w:val="0"/>
              <w:snapToGrid w:val="0"/>
              <w:jc w:val="center"/>
              <w:rPr>
                <w:color w:val="auto"/>
                <w:highlight w:val="none"/>
              </w:rPr>
            </w:pPr>
          </w:p>
        </w:tc>
        <w:tc>
          <w:tcPr>
            <w:tcW w:w="1105" w:type="dxa"/>
            <w:vAlign w:val="center"/>
          </w:tcPr>
          <w:p>
            <w:pPr>
              <w:adjustRightInd w:val="0"/>
              <w:snapToGrid w:val="0"/>
              <w:jc w:val="center"/>
              <w:rPr>
                <w:color w:val="auto"/>
                <w:highlight w:val="none"/>
              </w:rPr>
            </w:pPr>
          </w:p>
        </w:tc>
        <w:tc>
          <w:tcPr>
            <w:tcW w:w="1394" w:type="dxa"/>
            <w:vAlign w:val="center"/>
          </w:tcPr>
          <w:p>
            <w:pPr>
              <w:adjustRightInd w:val="0"/>
              <w:snapToGrid w:val="0"/>
              <w:jc w:val="center"/>
              <w:rPr>
                <w:color w:val="auto"/>
                <w:highlight w:val="none"/>
              </w:rPr>
            </w:pPr>
          </w:p>
        </w:tc>
        <w:tc>
          <w:tcPr>
            <w:tcW w:w="1089" w:type="dxa"/>
            <w:vAlign w:val="center"/>
          </w:tcPr>
          <w:p>
            <w:pPr>
              <w:adjustRightInd w:val="0"/>
              <w:snapToGrid w:val="0"/>
              <w:jc w:val="center"/>
              <w:rPr>
                <w:color w:val="auto"/>
                <w:highlight w:val="none"/>
              </w:rPr>
            </w:pPr>
          </w:p>
        </w:tc>
        <w:tc>
          <w:tcPr>
            <w:tcW w:w="1061" w:type="dxa"/>
            <w:vAlign w:val="center"/>
          </w:tcPr>
          <w:p>
            <w:pPr>
              <w:adjustRightInd w:val="0"/>
              <w:snapToGrid w:val="0"/>
              <w:jc w:val="center"/>
              <w:rPr>
                <w:color w:val="auto"/>
                <w:highlight w:val="none"/>
              </w:rPr>
            </w:pPr>
          </w:p>
        </w:tc>
        <w:tc>
          <w:tcPr>
            <w:tcW w:w="2302" w:type="dxa"/>
            <w:vAlign w:val="center"/>
          </w:tcPr>
          <w:p>
            <w:pPr>
              <w:adjustRightInd w:val="0"/>
              <w:snapToGrid w:val="0"/>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834" w:type="dxa"/>
            <w:vAlign w:val="center"/>
          </w:tcPr>
          <w:p>
            <w:pPr>
              <w:adjustRightInd w:val="0"/>
              <w:snapToGrid w:val="0"/>
              <w:jc w:val="center"/>
              <w:rPr>
                <w:color w:val="auto"/>
                <w:highlight w:val="none"/>
              </w:rPr>
            </w:pPr>
          </w:p>
        </w:tc>
        <w:tc>
          <w:tcPr>
            <w:tcW w:w="1839" w:type="dxa"/>
            <w:vAlign w:val="center"/>
          </w:tcPr>
          <w:p>
            <w:pPr>
              <w:adjustRightInd w:val="0"/>
              <w:snapToGrid w:val="0"/>
              <w:jc w:val="center"/>
              <w:rPr>
                <w:color w:val="auto"/>
                <w:highlight w:val="none"/>
              </w:rPr>
            </w:pPr>
          </w:p>
        </w:tc>
        <w:tc>
          <w:tcPr>
            <w:tcW w:w="1105" w:type="dxa"/>
            <w:vAlign w:val="center"/>
          </w:tcPr>
          <w:p>
            <w:pPr>
              <w:adjustRightInd w:val="0"/>
              <w:snapToGrid w:val="0"/>
              <w:jc w:val="center"/>
              <w:rPr>
                <w:color w:val="auto"/>
                <w:highlight w:val="none"/>
              </w:rPr>
            </w:pPr>
          </w:p>
        </w:tc>
        <w:tc>
          <w:tcPr>
            <w:tcW w:w="1394" w:type="dxa"/>
            <w:vAlign w:val="center"/>
          </w:tcPr>
          <w:p>
            <w:pPr>
              <w:adjustRightInd w:val="0"/>
              <w:snapToGrid w:val="0"/>
              <w:jc w:val="center"/>
              <w:rPr>
                <w:color w:val="auto"/>
                <w:highlight w:val="none"/>
              </w:rPr>
            </w:pPr>
          </w:p>
        </w:tc>
        <w:tc>
          <w:tcPr>
            <w:tcW w:w="1089" w:type="dxa"/>
            <w:vAlign w:val="center"/>
          </w:tcPr>
          <w:p>
            <w:pPr>
              <w:adjustRightInd w:val="0"/>
              <w:snapToGrid w:val="0"/>
              <w:jc w:val="center"/>
              <w:rPr>
                <w:color w:val="auto"/>
                <w:highlight w:val="none"/>
              </w:rPr>
            </w:pPr>
          </w:p>
        </w:tc>
        <w:tc>
          <w:tcPr>
            <w:tcW w:w="1061" w:type="dxa"/>
            <w:vAlign w:val="center"/>
          </w:tcPr>
          <w:p>
            <w:pPr>
              <w:adjustRightInd w:val="0"/>
              <w:snapToGrid w:val="0"/>
              <w:jc w:val="center"/>
              <w:rPr>
                <w:color w:val="auto"/>
                <w:highlight w:val="none"/>
              </w:rPr>
            </w:pPr>
          </w:p>
        </w:tc>
        <w:tc>
          <w:tcPr>
            <w:tcW w:w="2302" w:type="dxa"/>
            <w:vAlign w:val="center"/>
          </w:tcPr>
          <w:p>
            <w:pPr>
              <w:adjustRightInd w:val="0"/>
              <w:snapToGrid w:val="0"/>
              <w:jc w:val="center"/>
              <w:rPr>
                <w:color w:val="auto"/>
                <w:highlight w:val="none"/>
              </w:rPr>
            </w:pPr>
          </w:p>
        </w:tc>
      </w:tr>
    </w:tbl>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r>
        <w:rPr>
          <w:rFonts w:hint="eastAsia"/>
          <w:color w:val="auto"/>
          <w:highlight w:val="none"/>
        </w:rPr>
        <w:t>供应商名称（盖章）：</w:t>
      </w:r>
    </w:p>
    <w:p>
      <w:pPr>
        <w:adjustRightInd w:val="0"/>
        <w:snapToGrid w:val="0"/>
        <w:spacing w:line="360" w:lineRule="auto"/>
        <w:rPr>
          <w:color w:val="auto"/>
          <w:highlight w:val="none"/>
        </w:rPr>
      </w:pPr>
      <w:r>
        <w:rPr>
          <w:rFonts w:hint="eastAsia"/>
          <w:color w:val="auto"/>
          <w:highlight w:val="none"/>
        </w:rPr>
        <w:t>供应商代表签字：</w:t>
      </w:r>
    </w:p>
    <w:p>
      <w:pPr>
        <w:adjustRightInd w:val="0"/>
        <w:snapToGrid w:val="0"/>
        <w:spacing w:line="360" w:lineRule="auto"/>
        <w:rPr>
          <w:color w:val="auto"/>
          <w:highlight w:val="none"/>
        </w:rPr>
      </w:pPr>
      <w:r>
        <w:rPr>
          <w:rFonts w:hint="eastAsia"/>
          <w:color w:val="auto"/>
          <w:highlight w:val="none"/>
        </w:rPr>
        <w:t>日期：________年____月____日</w:t>
      </w: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b/>
          <w:bCs/>
          <w:color w:val="auto"/>
          <w:highlight w:val="none"/>
        </w:rPr>
      </w:pPr>
      <w:r>
        <w:rPr>
          <w:rFonts w:hint="eastAsia"/>
          <w:b/>
          <w:bCs/>
          <w:color w:val="auto"/>
          <w:highlight w:val="none"/>
        </w:rPr>
        <w:t>原厂出厂配置表</w:t>
      </w:r>
    </w:p>
    <w:p>
      <w:pPr>
        <w:rPr>
          <w:color w:val="auto"/>
          <w:highlight w:val="none"/>
        </w:rPr>
      </w:pPr>
      <w:r>
        <w:rPr>
          <w:rFonts w:hint="eastAsia"/>
          <w:color w:val="auto"/>
          <w:highlight w:val="none"/>
        </w:rPr>
        <w:br w:type="page"/>
      </w:r>
    </w:p>
    <w:p>
      <w:pPr>
        <w:adjustRightInd w:val="0"/>
        <w:snapToGrid w:val="0"/>
        <w:spacing w:line="360" w:lineRule="auto"/>
        <w:jc w:val="center"/>
        <w:outlineLvl w:val="2"/>
        <w:rPr>
          <w:b/>
          <w:bCs/>
          <w:color w:val="auto"/>
          <w:highlight w:val="none"/>
        </w:rPr>
      </w:pPr>
      <w:r>
        <w:rPr>
          <w:rFonts w:hint="eastAsia"/>
          <w:b/>
          <w:bCs/>
          <w:color w:val="auto"/>
          <w:highlight w:val="none"/>
        </w:rPr>
        <w:t>（</w:t>
      </w:r>
      <w:r>
        <w:rPr>
          <w:b/>
          <w:bCs/>
          <w:color w:val="auto"/>
          <w:highlight w:val="none"/>
        </w:rPr>
        <w:t>9</w:t>
      </w:r>
      <w:r>
        <w:rPr>
          <w:rFonts w:hint="eastAsia"/>
          <w:b/>
          <w:bCs/>
          <w:color w:val="auto"/>
          <w:highlight w:val="none"/>
        </w:rPr>
        <w:t>）技术支持资料</w:t>
      </w:r>
    </w:p>
    <w:p>
      <w:pPr>
        <w:adjustRightInd w:val="0"/>
        <w:snapToGrid w:val="0"/>
        <w:spacing w:line="360" w:lineRule="auto"/>
        <w:rPr>
          <w:b/>
          <w:bCs/>
          <w:color w:val="auto"/>
          <w:sz w:val="21"/>
          <w:szCs w:val="21"/>
          <w:highlight w:val="none"/>
        </w:rPr>
      </w:pPr>
      <w:r>
        <w:rPr>
          <w:rFonts w:hint="eastAsia"/>
          <w:b/>
          <w:bCs/>
          <w:color w:val="auto"/>
          <w:sz w:val="21"/>
          <w:szCs w:val="21"/>
          <w:highlight w:val="none"/>
        </w:rPr>
        <w:t>说明：</w:t>
      </w:r>
    </w:p>
    <w:p>
      <w:pPr>
        <w:adjustRightInd w:val="0"/>
        <w:snapToGrid w:val="0"/>
        <w:spacing w:line="360" w:lineRule="auto"/>
        <w:rPr>
          <w:b/>
          <w:bCs/>
          <w:color w:val="auto"/>
          <w:sz w:val="21"/>
          <w:szCs w:val="21"/>
          <w:highlight w:val="none"/>
        </w:rPr>
      </w:pPr>
      <w:r>
        <w:rPr>
          <w:rFonts w:hint="eastAsia"/>
          <w:b/>
          <w:bCs/>
          <w:color w:val="auto"/>
          <w:sz w:val="21"/>
          <w:szCs w:val="21"/>
          <w:highlight w:val="none"/>
        </w:rPr>
        <w:t>1.供应商提供技术支持资料以证明其对技术指标的应答；</w:t>
      </w:r>
    </w:p>
    <w:p>
      <w:pPr>
        <w:adjustRightInd w:val="0"/>
        <w:snapToGrid w:val="0"/>
        <w:spacing w:line="360" w:lineRule="auto"/>
        <w:rPr>
          <w:b/>
          <w:bCs/>
          <w:color w:val="auto"/>
          <w:sz w:val="21"/>
          <w:szCs w:val="21"/>
          <w:highlight w:val="none"/>
        </w:rPr>
      </w:pPr>
      <w:r>
        <w:rPr>
          <w:rFonts w:hint="eastAsia"/>
          <w:b/>
          <w:bCs/>
          <w:color w:val="auto"/>
          <w:sz w:val="21"/>
          <w:szCs w:val="21"/>
          <w:highlight w:val="none"/>
        </w:rPr>
        <w:t>2.技术支持资料应是制造商公开发布的印刷资料（官网材料、彩页、Datasheet）或由有关政府部门或检测机构合法出具的文件或报告；</w:t>
      </w:r>
    </w:p>
    <w:p>
      <w:pPr>
        <w:adjustRightInd w:val="0"/>
        <w:snapToGrid w:val="0"/>
        <w:spacing w:line="360" w:lineRule="auto"/>
        <w:rPr>
          <w:b/>
          <w:bCs/>
          <w:color w:val="auto"/>
          <w:sz w:val="21"/>
          <w:szCs w:val="21"/>
          <w:highlight w:val="none"/>
        </w:rPr>
      </w:pPr>
      <w:r>
        <w:rPr>
          <w:rFonts w:hint="eastAsia"/>
          <w:b/>
          <w:bCs/>
          <w:color w:val="auto"/>
          <w:sz w:val="21"/>
          <w:szCs w:val="21"/>
          <w:highlight w:val="none"/>
        </w:rPr>
        <w:t>3.不符合上述要求的资料，可被视为是无效的技术支持资料；</w:t>
      </w:r>
    </w:p>
    <w:p>
      <w:pPr>
        <w:adjustRightInd w:val="0"/>
        <w:snapToGrid w:val="0"/>
        <w:spacing w:line="360" w:lineRule="auto"/>
        <w:rPr>
          <w:b/>
          <w:bCs/>
          <w:color w:val="auto"/>
          <w:sz w:val="21"/>
          <w:szCs w:val="21"/>
          <w:highlight w:val="none"/>
        </w:rPr>
      </w:pPr>
      <w:r>
        <w:rPr>
          <w:rFonts w:hint="eastAsia"/>
          <w:b/>
          <w:bCs/>
          <w:color w:val="auto"/>
          <w:sz w:val="21"/>
          <w:szCs w:val="21"/>
          <w:highlight w:val="none"/>
        </w:rPr>
        <w:t>4.如上述资料之间存在不一致的，以有关政府部门或检测机构合法出具的文件或报告为准；</w:t>
      </w:r>
    </w:p>
    <w:p>
      <w:pPr>
        <w:adjustRightInd w:val="0"/>
        <w:snapToGrid w:val="0"/>
        <w:spacing w:line="360" w:lineRule="auto"/>
        <w:rPr>
          <w:b/>
          <w:bCs/>
          <w:color w:val="auto"/>
          <w:sz w:val="21"/>
          <w:szCs w:val="21"/>
          <w:highlight w:val="none"/>
        </w:rPr>
      </w:pPr>
      <w:r>
        <w:rPr>
          <w:rFonts w:hint="eastAsia"/>
          <w:b/>
          <w:bCs/>
          <w:color w:val="auto"/>
          <w:sz w:val="21"/>
          <w:szCs w:val="21"/>
          <w:highlight w:val="none"/>
        </w:rPr>
        <w:t>5.若对技术指标的应答无技术支持资料证明，磋商小组可不予承认，并可认为该应答不符合磋商文件要求，将作出不利于供应商的技术评审，其后果将由供应商自行承担；</w:t>
      </w:r>
    </w:p>
    <w:p>
      <w:pPr>
        <w:adjustRightInd w:val="0"/>
        <w:snapToGrid w:val="0"/>
        <w:spacing w:line="360" w:lineRule="auto"/>
        <w:rPr>
          <w:b/>
          <w:bCs/>
          <w:color w:val="auto"/>
          <w:sz w:val="21"/>
          <w:szCs w:val="21"/>
          <w:highlight w:val="none"/>
        </w:rPr>
      </w:pPr>
      <w:r>
        <w:rPr>
          <w:rFonts w:hint="eastAsia"/>
          <w:b/>
          <w:bCs/>
          <w:color w:val="auto"/>
          <w:sz w:val="21"/>
          <w:szCs w:val="21"/>
          <w:highlight w:val="none"/>
        </w:rPr>
        <w:t>6.供应商可提供同等于或优于磋商文件要求的货物和服务。</w:t>
      </w:r>
    </w:p>
    <w:p>
      <w:pPr>
        <w:rPr>
          <w:color w:val="auto"/>
          <w:highlight w:val="none"/>
        </w:rPr>
      </w:pPr>
      <w:r>
        <w:rPr>
          <w:rFonts w:hint="eastAsia"/>
          <w:color w:val="auto"/>
          <w:highlight w:val="none"/>
        </w:rPr>
        <w:br w:type="page"/>
      </w:r>
    </w:p>
    <w:p>
      <w:pPr>
        <w:adjustRightInd w:val="0"/>
        <w:snapToGrid w:val="0"/>
        <w:spacing w:line="360" w:lineRule="auto"/>
        <w:rPr>
          <w:color w:val="auto"/>
          <w:highlight w:val="none"/>
        </w:rPr>
      </w:pPr>
    </w:p>
    <w:p>
      <w:pPr>
        <w:spacing w:line="360" w:lineRule="auto"/>
        <w:jc w:val="center"/>
        <w:outlineLvl w:val="2"/>
        <w:rPr>
          <w:b/>
          <w:color w:val="auto"/>
          <w:spacing w:val="-6"/>
          <w:highlight w:val="none"/>
        </w:rPr>
      </w:pPr>
      <w:bookmarkStart w:id="38" w:name="_Hlk71885757"/>
      <w:r>
        <w:rPr>
          <w:rFonts w:hint="eastAsia"/>
          <w:b/>
          <w:color w:val="auto"/>
          <w:spacing w:val="-6"/>
          <w:highlight w:val="none"/>
        </w:rPr>
        <w:t>（1</w:t>
      </w:r>
      <w:r>
        <w:rPr>
          <w:b/>
          <w:color w:val="auto"/>
          <w:spacing w:val="-6"/>
          <w:highlight w:val="none"/>
        </w:rPr>
        <w:t>0</w:t>
      </w:r>
      <w:r>
        <w:rPr>
          <w:rFonts w:hint="eastAsia"/>
          <w:b/>
          <w:color w:val="auto"/>
          <w:spacing w:val="-6"/>
          <w:highlight w:val="none"/>
        </w:rPr>
        <w:t>）技术方案</w:t>
      </w:r>
    </w:p>
    <w:p>
      <w:pPr>
        <w:spacing w:line="360" w:lineRule="auto"/>
        <w:rPr>
          <w:b/>
          <w:color w:val="auto"/>
          <w:spacing w:val="-6"/>
          <w:highlight w:val="none"/>
        </w:rPr>
      </w:pPr>
      <w:r>
        <w:rPr>
          <w:rFonts w:hint="eastAsia"/>
          <w:b/>
          <w:color w:val="auto"/>
          <w:spacing w:val="-6"/>
          <w:highlight w:val="none"/>
        </w:rPr>
        <w:t>项目实施方案</w:t>
      </w:r>
    </w:p>
    <w:p>
      <w:pPr>
        <w:spacing w:line="360" w:lineRule="auto"/>
        <w:rPr>
          <w:b/>
          <w:color w:val="auto"/>
          <w:spacing w:val="-6"/>
          <w:highlight w:val="none"/>
        </w:rPr>
      </w:pPr>
      <w:r>
        <w:rPr>
          <w:rFonts w:hint="eastAsia"/>
          <w:b/>
          <w:color w:val="auto"/>
          <w:spacing w:val="-6"/>
          <w:highlight w:val="none"/>
        </w:rPr>
        <w:t>安装调试验收</w:t>
      </w:r>
    </w:p>
    <w:p>
      <w:pPr>
        <w:spacing w:line="360" w:lineRule="auto"/>
        <w:rPr>
          <w:b/>
          <w:color w:val="auto"/>
          <w:spacing w:val="-6"/>
          <w:highlight w:val="none"/>
        </w:rPr>
      </w:pPr>
      <w:r>
        <w:rPr>
          <w:rFonts w:hint="eastAsia"/>
          <w:b/>
          <w:color w:val="auto"/>
          <w:spacing w:val="-6"/>
          <w:highlight w:val="none"/>
        </w:rPr>
        <w:t>售后服务</w:t>
      </w:r>
    </w:p>
    <w:p>
      <w:pPr>
        <w:spacing w:line="360" w:lineRule="auto"/>
        <w:rPr>
          <w:b/>
          <w:color w:val="auto"/>
          <w:spacing w:val="-6"/>
          <w:highlight w:val="none"/>
        </w:rPr>
      </w:pPr>
      <w:r>
        <w:rPr>
          <w:rFonts w:hint="eastAsia"/>
          <w:b/>
          <w:color w:val="auto"/>
          <w:spacing w:val="-6"/>
          <w:highlight w:val="none"/>
        </w:rPr>
        <w:t>技术服务、培训</w:t>
      </w:r>
    </w:p>
    <w:p>
      <w:pPr>
        <w:spacing w:line="360" w:lineRule="auto"/>
        <w:rPr>
          <w:b/>
          <w:color w:val="auto"/>
          <w:spacing w:val="-6"/>
          <w:highlight w:val="none"/>
        </w:rPr>
      </w:pPr>
      <w:r>
        <w:rPr>
          <w:rFonts w:hint="eastAsia"/>
          <w:b/>
          <w:color w:val="auto"/>
          <w:spacing w:val="-6"/>
          <w:highlight w:val="none"/>
        </w:rPr>
        <w:t>配件耗材</w:t>
      </w:r>
    </w:p>
    <w:p>
      <w:pPr>
        <w:spacing w:line="360" w:lineRule="auto"/>
        <w:rPr>
          <w:b/>
          <w:color w:val="auto"/>
          <w:spacing w:val="-6"/>
          <w:highlight w:val="none"/>
        </w:rPr>
      </w:pPr>
    </w:p>
    <w:p>
      <w:pPr>
        <w:spacing w:line="360" w:lineRule="auto"/>
        <w:rPr>
          <w:b/>
          <w:color w:val="auto"/>
          <w:spacing w:val="-6"/>
          <w:highlight w:val="none"/>
        </w:rPr>
      </w:pPr>
    </w:p>
    <w:p>
      <w:pPr>
        <w:widowControl/>
        <w:jc w:val="left"/>
        <w:rPr>
          <w:b/>
          <w:color w:val="auto"/>
          <w:highlight w:val="none"/>
        </w:rPr>
      </w:pPr>
      <w:r>
        <w:rPr>
          <w:b/>
          <w:color w:val="auto"/>
          <w:highlight w:val="none"/>
        </w:rPr>
        <w:br w:type="page"/>
      </w:r>
    </w:p>
    <w:p>
      <w:pPr>
        <w:spacing w:line="360" w:lineRule="auto"/>
        <w:jc w:val="center"/>
        <w:outlineLvl w:val="2"/>
        <w:rPr>
          <w:b/>
          <w:color w:val="auto"/>
          <w:highlight w:val="none"/>
        </w:rPr>
      </w:pPr>
      <w:r>
        <w:rPr>
          <w:rFonts w:hint="eastAsia"/>
          <w:b/>
          <w:color w:val="auto"/>
          <w:highlight w:val="none"/>
        </w:rPr>
        <w:t>（</w:t>
      </w:r>
      <w:r>
        <w:rPr>
          <w:b/>
          <w:color w:val="auto"/>
          <w:highlight w:val="none"/>
        </w:rPr>
        <w:t>11</w:t>
      </w:r>
      <w:r>
        <w:rPr>
          <w:rFonts w:hint="eastAsia"/>
          <w:b/>
          <w:color w:val="auto"/>
          <w:highlight w:val="none"/>
        </w:rPr>
        <w:t>）节能环保产品证明材料</w:t>
      </w:r>
    </w:p>
    <w:p>
      <w:pPr>
        <w:spacing w:line="360" w:lineRule="auto"/>
        <w:rPr>
          <w:b/>
          <w:color w:val="auto"/>
          <w:sz w:val="21"/>
          <w:szCs w:val="21"/>
          <w:highlight w:val="none"/>
        </w:rPr>
      </w:pPr>
      <w:r>
        <w:rPr>
          <w:rFonts w:hint="eastAsia"/>
          <w:b/>
          <w:color w:val="auto"/>
          <w:sz w:val="21"/>
          <w:szCs w:val="21"/>
          <w:highlight w:val="none"/>
        </w:rPr>
        <w:t>说明：响应产品属于品目清单范围且提供国家确定的认证机构出具的有效的节能产品、环境标志产品认证证书（扫描件加盖公章）。</w:t>
      </w:r>
    </w:p>
    <w:p>
      <w:pPr>
        <w:spacing w:line="360" w:lineRule="auto"/>
        <w:rPr>
          <w:b/>
          <w:color w:val="auto"/>
          <w:spacing w:val="-6"/>
          <w:highlight w:val="none"/>
        </w:rPr>
      </w:pPr>
    </w:p>
    <w:p>
      <w:pPr>
        <w:spacing w:line="360" w:lineRule="auto"/>
        <w:rPr>
          <w:b/>
          <w:color w:val="auto"/>
          <w:spacing w:val="-6"/>
          <w:highlight w:val="none"/>
        </w:rPr>
      </w:pPr>
    </w:p>
    <w:p>
      <w:pPr>
        <w:spacing w:line="360" w:lineRule="auto"/>
        <w:outlineLvl w:val="2"/>
        <w:rPr>
          <w:b/>
          <w:color w:val="auto"/>
          <w:spacing w:val="-6"/>
          <w:highlight w:val="none"/>
        </w:rPr>
      </w:pPr>
      <w:r>
        <w:rPr>
          <w:rFonts w:hint="eastAsia"/>
          <w:b/>
          <w:color w:val="auto"/>
          <w:spacing w:val="-6"/>
          <w:highlight w:val="none"/>
        </w:rPr>
        <w:t>（12</w:t>
      </w:r>
      <w:r>
        <w:rPr>
          <w:b/>
          <w:color w:val="auto"/>
          <w:spacing w:val="-6"/>
          <w:highlight w:val="none"/>
        </w:rPr>
        <w:t>）</w:t>
      </w:r>
      <w:r>
        <w:rPr>
          <w:rFonts w:hint="eastAsia"/>
          <w:b/>
          <w:color w:val="auto"/>
          <w:spacing w:val="-6"/>
          <w:highlight w:val="none"/>
        </w:rPr>
        <w:t>供应商</w:t>
      </w:r>
      <w:r>
        <w:rPr>
          <w:b/>
          <w:color w:val="auto"/>
          <w:spacing w:val="-6"/>
          <w:highlight w:val="none"/>
        </w:rPr>
        <w:t>需要说明的其他文件和材料</w:t>
      </w:r>
      <w:bookmarkEnd w:id="38"/>
    </w:p>
    <w:p>
      <w:pPr>
        <w:rPr>
          <w:b/>
          <w:color w:val="auto"/>
          <w:spacing w:val="-6"/>
          <w:highlight w:val="none"/>
        </w:rPr>
      </w:pPr>
      <w:r>
        <w:rPr>
          <w:b/>
          <w:color w:val="auto"/>
          <w:spacing w:val="-6"/>
          <w:highlight w:val="none"/>
        </w:rPr>
        <w:br w:type="page"/>
      </w:r>
    </w:p>
    <w:p>
      <w:pPr>
        <w:suppressAutoHyphens/>
        <w:spacing w:after="180"/>
        <w:outlineLvl w:val="0"/>
        <w:rPr>
          <w:b/>
          <w:color w:val="auto"/>
          <w:spacing w:val="-6"/>
          <w:kern w:val="0"/>
          <w:szCs w:val="20"/>
          <w:highlight w:val="none"/>
        </w:rPr>
      </w:pPr>
      <w:r>
        <w:rPr>
          <w:rFonts w:hint="eastAsia"/>
          <w:b/>
          <w:color w:val="auto"/>
          <w:spacing w:val="-6"/>
          <w:kern w:val="0"/>
          <w:szCs w:val="20"/>
          <w:highlight w:val="none"/>
        </w:rPr>
        <w:t>其他：</w:t>
      </w:r>
    </w:p>
    <w:p>
      <w:pPr>
        <w:suppressAutoHyphens/>
        <w:spacing w:after="180"/>
        <w:jc w:val="center"/>
        <w:outlineLvl w:val="0"/>
        <w:rPr>
          <w:color w:val="auto"/>
          <w:kern w:val="0"/>
          <w:highlight w:val="none"/>
        </w:rPr>
      </w:pPr>
      <w:r>
        <w:rPr>
          <w:rFonts w:hint="eastAsia"/>
          <w:b/>
          <w:color w:val="auto"/>
          <w:spacing w:val="-6"/>
          <w:kern w:val="0"/>
          <w:szCs w:val="20"/>
          <w:highlight w:val="none"/>
        </w:rPr>
        <w:t>政府</w:t>
      </w:r>
      <w:r>
        <w:rPr>
          <w:rFonts w:hint="eastAsia"/>
          <w:b/>
          <w:color w:val="auto"/>
          <w:kern w:val="0"/>
          <w:highlight w:val="none"/>
        </w:rPr>
        <w:t>采购活动现场确认声明书</w:t>
      </w:r>
    </w:p>
    <w:p>
      <w:pPr>
        <w:spacing w:line="360" w:lineRule="auto"/>
        <w:rPr>
          <w:color w:val="auto"/>
          <w:highlight w:val="none"/>
        </w:rPr>
      </w:pPr>
      <w:r>
        <w:rPr>
          <w:rFonts w:hint="eastAsia"/>
          <w:color w:val="auto"/>
          <w:highlight w:val="none"/>
        </w:rPr>
        <w:t>浙江求是招标代理有限公司：</w:t>
      </w:r>
    </w:p>
    <w:p>
      <w:pPr>
        <w:spacing w:line="360" w:lineRule="auto"/>
        <w:ind w:firstLine="480" w:firstLineChars="200"/>
        <w:jc w:val="left"/>
        <w:rPr>
          <w:color w:val="auto"/>
          <w:highlight w:val="none"/>
        </w:rPr>
      </w:pPr>
      <w:r>
        <w:rPr>
          <w:rFonts w:hint="eastAsia"/>
          <w:color w:val="auto"/>
          <w:highlight w:val="none"/>
        </w:rPr>
        <w:t>本人经由</w:t>
      </w:r>
      <w:r>
        <w:rPr>
          <w:rFonts w:hint="eastAsia"/>
          <w:color w:val="auto"/>
          <w:highlight w:val="none"/>
          <w:u w:val="single"/>
        </w:rPr>
        <w:t xml:space="preserve">                                    </w:t>
      </w:r>
      <w:r>
        <w:rPr>
          <w:rFonts w:hint="eastAsia"/>
          <w:color w:val="auto"/>
          <w:highlight w:val="none"/>
        </w:rPr>
        <w:t>（单位）负责人（法人代表）</w:t>
      </w:r>
    </w:p>
    <w:p>
      <w:pPr>
        <w:spacing w:line="360" w:lineRule="auto"/>
        <w:jc w:val="left"/>
        <w:rPr>
          <w:color w:val="auto"/>
          <w:highlight w:val="none"/>
        </w:rPr>
      </w:pPr>
      <w:r>
        <w:rPr>
          <w:rFonts w:hint="eastAsia"/>
          <w:color w:val="auto"/>
          <w:highlight w:val="none"/>
          <w:u w:val="single"/>
        </w:rPr>
        <w:t xml:space="preserve">          </w:t>
      </w:r>
      <w:r>
        <w:rPr>
          <w:rFonts w:hint="eastAsia"/>
          <w:color w:val="auto"/>
          <w:highlight w:val="none"/>
        </w:rPr>
        <w:t>（姓名）合法授权杭州电子科技大学示波器、数据处理卡等项目（编号：QSZB-Z(H)-B21352(CS)）采购活动，经与本单位法人代表（负责人）联系确认，现就有关公平竞争事项郑重声明如下：</w:t>
      </w:r>
    </w:p>
    <w:p>
      <w:pPr>
        <w:spacing w:line="360" w:lineRule="auto"/>
        <w:rPr>
          <w:color w:val="auto"/>
          <w:highlight w:val="none"/>
        </w:rPr>
      </w:pPr>
      <w:r>
        <w:rPr>
          <w:rFonts w:hint="eastAsia"/>
          <w:color w:val="auto"/>
          <w:highlight w:val="none"/>
        </w:rPr>
        <w:t>一、本单位与采购人之间：</w:t>
      </w:r>
    </w:p>
    <w:p>
      <w:pPr>
        <w:spacing w:line="360" w:lineRule="auto"/>
        <w:rPr>
          <w:color w:val="auto"/>
          <w:highlight w:val="none"/>
        </w:rPr>
      </w:pPr>
      <w:r>
        <w:rPr>
          <w:rFonts w:hint="eastAsia"/>
          <w:color w:val="auto"/>
          <w:highlight w:val="none"/>
        </w:rPr>
        <w:t>□不存在利害关系；</w:t>
      </w:r>
    </w:p>
    <w:p>
      <w:pPr>
        <w:spacing w:line="360" w:lineRule="auto"/>
        <w:rPr>
          <w:color w:val="auto"/>
          <w:highlight w:val="none"/>
        </w:rPr>
      </w:pPr>
      <w:r>
        <w:rPr>
          <w:rFonts w:hint="eastAsia"/>
          <w:color w:val="auto"/>
          <w:highlight w:val="none"/>
        </w:rPr>
        <w:t>□存在下列利害关系：</w:t>
      </w:r>
    </w:p>
    <w:p>
      <w:pPr>
        <w:spacing w:line="360" w:lineRule="auto"/>
        <w:rPr>
          <w:color w:val="auto"/>
          <w:highlight w:val="none"/>
        </w:rPr>
      </w:pPr>
      <w:r>
        <w:rPr>
          <w:rFonts w:hint="eastAsia"/>
          <w:color w:val="auto"/>
          <w:highlight w:val="none"/>
        </w:rPr>
        <w:t xml:space="preserve">  A.投资关系    B.行政隶属关系    C.业务指导关系</w:t>
      </w:r>
    </w:p>
    <w:p>
      <w:pPr>
        <w:spacing w:line="360" w:lineRule="auto"/>
        <w:rPr>
          <w:color w:val="auto"/>
          <w:highlight w:val="none"/>
        </w:rPr>
      </w:pPr>
      <w:r>
        <w:rPr>
          <w:rFonts w:hint="eastAsia"/>
          <w:color w:val="auto"/>
          <w:highlight w:val="none"/>
        </w:rPr>
        <w:t xml:space="preserve">  D.其他可能影响采购公正的利害关系（如有，请如实说明）</w:t>
      </w:r>
      <w:r>
        <w:rPr>
          <w:rFonts w:hint="eastAsia"/>
          <w:color w:val="auto"/>
          <w:highlight w:val="none"/>
          <w:u w:val="single"/>
        </w:rPr>
        <w:t xml:space="preserve">                 </w:t>
      </w:r>
      <w:r>
        <w:rPr>
          <w:rFonts w:hint="eastAsia"/>
          <w:color w:val="auto"/>
          <w:highlight w:val="none"/>
        </w:rPr>
        <w:t>。</w:t>
      </w:r>
    </w:p>
    <w:p>
      <w:pPr>
        <w:spacing w:line="360" w:lineRule="auto"/>
        <w:rPr>
          <w:color w:val="auto"/>
          <w:highlight w:val="none"/>
        </w:rPr>
      </w:pPr>
      <w:r>
        <w:rPr>
          <w:rFonts w:hint="eastAsia"/>
          <w:color w:val="auto"/>
          <w:highlight w:val="none"/>
        </w:rPr>
        <w:t>二、现已清楚知道参加本项目采购活动的其他所有投标人名称，本单位：</w:t>
      </w:r>
    </w:p>
    <w:p>
      <w:pPr>
        <w:spacing w:line="360" w:lineRule="auto"/>
        <w:rPr>
          <w:color w:val="auto"/>
          <w:highlight w:val="none"/>
        </w:rPr>
      </w:pPr>
      <w:r>
        <w:rPr>
          <w:rFonts w:hint="eastAsia"/>
          <w:color w:val="auto"/>
          <w:highlight w:val="none"/>
        </w:rPr>
        <w:t>□与其他所有投标人之间均不存在利害关系；</w:t>
      </w:r>
    </w:p>
    <w:p>
      <w:pPr>
        <w:spacing w:line="360" w:lineRule="auto"/>
        <w:rPr>
          <w:color w:val="auto"/>
          <w:highlight w:val="none"/>
        </w:rPr>
      </w:pPr>
      <w:r>
        <w:rPr>
          <w:rFonts w:hint="eastAsia"/>
          <w:color w:val="auto"/>
          <w:highlight w:val="none"/>
        </w:rPr>
        <w:t>□与</w:t>
      </w:r>
      <w:r>
        <w:rPr>
          <w:rFonts w:hint="eastAsia"/>
          <w:color w:val="auto"/>
          <w:highlight w:val="none"/>
          <w:u w:val="single"/>
        </w:rPr>
        <w:t xml:space="preserve">           </w:t>
      </w:r>
      <w:r>
        <w:rPr>
          <w:rFonts w:hint="eastAsia"/>
          <w:color w:val="auto"/>
          <w:highlight w:val="none"/>
        </w:rPr>
        <w:t>（投标人名称）之间存在下列利害关系：</w:t>
      </w:r>
    </w:p>
    <w:p>
      <w:pPr>
        <w:spacing w:line="360" w:lineRule="auto"/>
        <w:rPr>
          <w:color w:val="auto"/>
          <w:highlight w:val="none"/>
        </w:rPr>
      </w:pPr>
      <w:r>
        <w:rPr>
          <w:rFonts w:hint="eastAsia"/>
          <w:color w:val="auto"/>
          <w:highlight w:val="none"/>
        </w:rPr>
        <w:t xml:space="preserve">  A.法定代表人或负责人或实际控制人是同一人</w:t>
      </w:r>
    </w:p>
    <w:p>
      <w:pPr>
        <w:spacing w:line="360" w:lineRule="auto"/>
        <w:rPr>
          <w:color w:val="auto"/>
          <w:highlight w:val="none"/>
        </w:rPr>
      </w:pPr>
      <w:r>
        <w:rPr>
          <w:rFonts w:hint="eastAsia"/>
          <w:color w:val="auto"/>
          <w:highlight w:val="none"/>
        </w:rPr>
        <w:t xml:space="preserve">  B.法定代表人或负责人或实际控制人是夫妻关系</w:t>
      </w:r>
    </w:p>
    <w:p>
      <w:pPr>
        <w:spacing w:line="360" w:lineRule="auto"/>
        <w:rPr>
          <w:color w:val="auto"/>
          <w:highlight w:val="none"/>
        </w:rPr>
      </w:pPr>
      <w:r>
        <w:rPr>
          <w:rFonts w:hint="eastAsia"/>
          <w:color w:val="auto"/>
          <w:highlight w:val="none"/>
        </w:rPr>
        <w:t xml:space="preserve">  C.法定代表人或负责人或实际控制人是直系血亲关系</w:t>
      </w:r>
    </w:p>
    <w:p>
      <w:pPr>
        <w:spacing w:line="360" w:lineRule="auto"/>
        <w:rPr>
          <w:color w:val="auto"/>
          <w:highlight w:val="none"/>
        </w:rPr>
      </w:pPr>
      <w:r>
        <w:rPr>
          <w:rFonts w:hint="eastAsia"/>
          <w:color w:val="auto"/>
          <w:highlight w:val="none"/>
        </w:rPr>
        <w:t xml:space="preserve">  D.法定代表人或负责人或实际控制人存在三代以内旁系血亲关系</w:t>
      </w:r>
    </w:p>
    <w:p>
      <w:pPr>
        <w:spacing w:line="360" w:lineRule="auto"/>
        <w:rPr>
          <w:color w:val="auto"/>
          <w:highlight w:val="none"/>
        </w:rPr>
      </w:pPr>
      <w:r>
        <w:rPr>
          <w:rFonts w:hint="eastAsia"/>
          <w:color w:val="auto"/>
          <w:highlight w:val="none"/>
        </w:rPr>
        <w:t xml:space="preserve">  E.法定代表人或负责人或实际控制人存在近姻亲关系</w:t>
      </w:r>
    </w:p>
    <w:p>
      <w:pPr>
        <w:spacing w:line="360" w:lineRule="auto"/>
        <w:rPr>
          <w:color w:val="auto"/>
          <w:highlight w:val="none"/>
        </w:rPr>
      </w:pPr>
      <w:r>
        <w:rPr>
          <w:rFonts w:hint="eastAsia"/>
          <w:color w:val="auto"/>
          <w:highlight w:val="none"/>
        </w:rPr>
        <w:t xml:space="preserve">  F.法定代表人或负责人或实际控制人存在股份控制或实际控制关系</w:t>
      </w:r>
    </w:p>
    <w:p>
      <w:pPr>
        <w:spacing w:line="360" w:lineRule="auto"/>
        <w:rPr>
          <w:color w:val="auto"/>
          <w:highlight w:val="none"/>
        </w:rPr>
      </w:pPr>
      <w:r>
        <w:rPr>
          <w:rFonts w:hint="eastAsia"/>
          <w:color w:val="auto"/>
          <w:highlight w:val="none"/>
        </w:rPr>
        <w:t xml:space="preserve">  G.存在共同直接或间接投资设立子公司、联营企业和合营企业情况</w:t>
      </w:r>
    </w:p>
    <w:p>
      <w:pPr>
        <w:spacing w:line="360" w:lineRule="auto"/>
        <w:rPr>
          <w:color w:val="auto"/>
          <w:highlight w:val="none"/>
        </w:rPr>
      </w:pPr>
      <w:r>
        <w:rPr>
          <w:rFonts w:hint="eastAsia"/>
          <w:color w:val="auto"/>
          <w:highlight w:val="none"/>
        </w:rPr>
        <w:t xml:space="preserve">  H.存在分级代理或代销关系、同一生产制造商关系、管理关系、重要业务（占主营业务收入50%以上）或重要财务往来关系（如融资）等其他实质性控制关系</w:t>
      </w:r>
    </w:p>
    <w:p>
      <w:pPr>
        <w:spacing w:line="360" w:lineRule="auto"/>
        <w:rPr>
          <w:color w:val="auto"/>
          <w:highlight w:val="none"/>
        </w:rPr>
      </w:pPr>
      <w:r>
        <w:rPr>
          <w:rFonts w:hint="eastAsia"/>
          <w:color w:val="auto"/>
          <w:highlight w:val="none"/>
        </w:rPr>
        <w:t xml:space="preserve">  I.其他利害关系情况。</w:t>
      </w:r>
    </w:p>
    <w:p>
      <w:pPr>
        <w:spacing w:line="360" w:lineRule="auto"/>
        <w:rPr>
          <w:color w:val="auto"/>
          <w:highlight w:val="none"/>
        </w:rPr>
      </w:pPr>
      <w:r>
        <w:rPr>
          <w:rFonts w:hint="eastAsia"/>
          <w:color w:val="auto"/>
          <w:highlight w:val="none"/>
        </w:rPr>
        <w:t>三、现已清楚知道并严格遵守政府采购法律法规和现场纪律。</w:t>
      </w:r>
    </w:p>
    <w:p>
      <w:pPr>
        <w:spacing w:line="360" w:lineRule="auto"/>
        <w:rPr>
          <w:color w:val="auto"/>
          <w:highlight w:val="none"/>
        </w:rPr>
      </w:pPr>
      <w:r>
        <w:rPr>
          <w:rFonts w:hint="eastAsia"/>
          <w:color w:val="auto"/>
          <w:highlight w:val="none"/>
        </w:rPr>
        <w:t>四、我发现投标人</w:t>
      </w:r>
      <w:r>
        <w:rPr>
          <w:rFonts w:hint="eastAsia"/>
          <w:color w:val="auto"/>
          <w:highlight w:val="none"/>
          <w:u w:val="single"/>
        </w:rPr>
        <w:t xml:space="preserve">           </w:t>
      </w:r>
      <w:r>
        <w:rPr>
          <w:rFonts w:hint="eastAsia"/>
          <w:color w:val="auto"/>
          <w:highlight w:val="none"/>
        </w:rPr>
        <w:t>之间存在或可能存在上述第二条第</w:t>
      </w:r>
      <w:r>
        <w:rPr>
          <w:rFonts w:hint="eastAsia"/>
          <w:color w:val="auto"/>
          <w:highlight w:val="none"/>
          <w:u w:val="single"/>
        </w:rPr>
        <w:t xml:space="preserve">    </w:t>
      </w:r>
      <w:r>
        <w:rPr>
          <w:rFonts w:hint="eastAsia"/>
          <w:color w:val="auto"/>
          <w:highlight w:val="none"/>
        </w:rPr>
        <w:t>项利害关系。</w:t>
      </w:r>
    </w:p>
    <w:p>
      <w:pPr>
        <w:spacing w:line="360" w:lineRule="auto"/>
        <w:rPr>
          <w:color w:val="auto"/>
          <w:highlight w:val="none"/>
          <w:u w:val="single"/>
        </w:rPr>
      </w:pPr>
      <w:r>
        <w:rPr>
          <w:rFonts w:hint="eastAsia"/>
          <w:color w:val="auto"/>
          <w:highlight w:val="none"/>
          <w:u w:val="single"/>
        </w:rPr>
        <w:t xml:space="preserve">                                                             </w:t>
      </w:r>
    </w:p>
    <w:p>
      <w:pPr>
        <w:spacing w:line="360" w:lineRule="auto"/>
        <w:rPr>
          <w:color w:val="auto"/>
          <w:highlight w:val="none"/>
        </w:rPr>
      </w:pPr>
      <w:r>
        <w:rPr>
          <w:rFonts w:hint="eastAsia"/>
          <w:color w:val="auto"/>
          <w:highlight w:val="none"/>
        </w:rPr>
        <w:t xml:space="preserve">                                投标人代表（签名）：</w:t>
      </w:r>
    </w:p>
    <w:p>
      <w:pPr>
        <w:spacing w:line="360" w:lineRule="auto"/>
        <w:jc w:val="right"/>
        <w:rPr>
          <w:rFonts w:hint="eastAsia" w:eastAsia="宋体"/>
          <w:b/>
          <w:bCs/>
          <w:color w:val="auto"/>
          <w:highlight w:val="none"/>
          <w:lang w:eastAsia="zh-CN"/>
        </w:rPr>
      </w:pPr>
      <w:r>
        <w:rPr>
          <w:rFonts w:hint="eastAsia"/>
          <w:color w:val="auto"/>
          <w:highlight w:val="none"/>
        </w:rPr>
        <w:t>2021年</w:t>
      </w:r>
      <w:r>
        <w:rPr>
          <w:rFonts w:hint="eastAsia"/>
          <w:color w:val="auto"/>
          <w:highlight w:val="none"/>
          <w:lang w:eastAsia="zh-CN"/>
        </w:rPr>
        <w:t>11月1日</w:t>
      </w:r>
    </w:p>
    <w:p>
      <w:pPr>
        <w:spacing w:line="288" w:lineRule="auto"/>
        <w:rPr>
          <w:b/>
          <w:color w:val="auto"/>
          <w:spacing w:val="-6"/>
          <w:highlight w:val="none"/>
        </w:rPr>
      </w:pPr>
      <w:r>
        <w:rPr>
          <w:rFonts w:hint="eastAsia"/>
          <w:b/>
          <w:bCs/>
          <w:color w:val="auto"/>
          <w:highlight w:val="none"/>
        </w:rPr>
        <w:t>备注：投标人须在投标文件解密后，通过电子邮件形式，向邮箱地址（</w:t>
      </w:r>
      <w:r>
        <w:rPr>
          <w:rFonts w:hint="eastAsia"/>
          <w:b/>
          <w:bCs/>
          <w:color w:val="auto"/>
          <w:sz w:val="21"/>
          <w:szCs w:val="21"/>
          <w:highlight w:val="none"/>
        </w:rPr>
        <w:t>zb02@qszb.net</w:t>
      </w:r>
      <w:r>
        <w:rPr>
          <w:rFonts w:hint="eastAsia"/>
          <w:b/>
          <w:bCs/>
          <w:color w:val="auto"/>
          <w:highlight w:val="none"/>
        </w:rPr>
        <w:t>）发送《政府采购活动现场确认声明书》（上表）。</w:t>
      </w:r>
    </w:p>
    <w:sectPr>
      <w:footerReference r:id="rId4" w:type="default"/>
      <w:pgSz w:w="11906" w:h="16838"/>
      <w:pgMar w:top="1247" w:right="1247" w:bottom="1247" w:left="1247" w:header="85" w:footer="867"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8</w:t>
    </w:r>
    <w:r>
      <w:rPr>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center"/>
    </w:pPr>
    <w:r>
      <w:rPr>
        <w:rFonts w:hint="eastAsia"/>
      </w:rPr>
      <w:drawing>
        <wp:inline distT="0" distB="0" distL="114300" distR="114300">
          <wp:extent cx="5905500" cy="676275"/>
          <wp:effectExtent l="0" t="0" r="0" b="9525"/>
          <wp:docPr id="1"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片1"/>
                  <pic:cNvPicPr>
                    <a:picLocks noChangeAspect="1"/>
                  </pic:cNvPicPr>
                </pic:nvPicPr>
                <pic:blipFill>
                  <a:blip r:embed="rId1"/>
                  <a:stretch>
                    <a:fillRect/>
                  </a:stretch>
                </pic:blipFill>
                <pic:spPr>
                  <a:xfrm>
                    <a:off x="0" y="0"/>
                    <a:ext cx="5905500" cy="676275"/>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singleLevel"/>
    <w:tmpl w:val="00000009"/>
    <w:lvl w:ilvl="0" w:tentative="0">
      <w:start w:val="1"/>
      <w:numFmt w:val="decimal"/>
      <w:suff w:val="space"/>
      <w:lvlText w:val="%1."/>
      <w:lvlJc w:val="left"/>
      <w:pPr>
        <w:tabs>
          <w:tab w:val="left" w:pos="0"/>
        </w:tabs>
        <w:ind w:left="0" w:firstLine="0"/>
      </w:pPr>
    </w:lvl>
  </w:abstractNum>
  <w:abstractNum w:abstractNumId="1">
    <w:nsid w:val="2CDC45D6"/>
    <w:multiLevelType w:val="multilevel"/>
    <w:tmpl w:val="2CDC45D6"/>
    <w:lvl w:ilvl="0" w:tentative="0">
      <w:start w:val="1"/>
      <w:numFmt w:val="decimal"/>
      <w:suff w:val="space"/>
      <w:lvlText w:val="%1."/>
      <w:lvlJc w:val="left"/>
      <w:pPr>
        <w:tabs>
          <w:tab w:val="left" w:pos="0"/>
        </w:tabs>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42B7AC5E"/>
    <w:multiLevelType w:val="multilevel"/>
    <w:tmpl w:val="42B7AC5E"/>
    <w:lvl w:ilvl="0" w:tentative="0">
      <w:start w:val="1"/>
      <w:numFmt w:val="decimal"/>
      <w:suff w:val="space"/>
      <w:lvlText w:val="%1."/>
      <w:lvlJc w:val="left"/>
      <w:pPr>
        <w:tabs>
          <w:tab w:val="left" w:pos="0"/>
        </w:tabs>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
    <w:nsid w:val="4B1D6676"/>
    <w:multiLevelType w:val="multilevel"/>
    <w:tmpl w:val="4B1D6676"/>
    <w:lvl w:ilvl="0" w:tentative="0">
      <w:start w:val="1"/>
      <w:numFmt w:val="decimal"/>
      <w:suff w:val="space"/>
      <w:lvlText w:val="%1."/>
      <w:lvlJc w:val="left"/>
      <w:pPr>
        <w:tabs>
          <w:tab w:val="left" w:pos="0"/>
        </w:tabs>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
    <w:nsid w:val="5A321BA0"/>
    <w:multiLevelType w:val="singleLevel"/>
    <w:tmpl w:val="5A321BA0"/>
    <w:lvl w:ilvl="0" w:tentative="0">
      <w:start w:val="1"/>
      <w:numFmt w:val="decimal"/>
      <w:suff w:val="space"/>
      <w:lvlText w:val="%1."/>
      <w:lvlJc w:val="left"/>
    </w:lvl>
  </w:abstractNum>
  <w:abstractNum w:abstractNumId="5">
    <w:nsid w:val="5A321BBB"/>
    <w:multiLevelType w:val="singleLevel"/>
    <w:tmpl w:val="5A321BBB"/>
    <w:lvl w:ilvl="0" w:tentative="0">
      <w:start w:val="1"/>
      <w:numFmt w:val="decimal"/>
      <w:suff w:val="space"/>
      <w:lvlText w:val="%1."/>
      <w:lvlJc w:val="left"/>
    </w:lvl>
  </w:abstractNum>
  <w:abstractNum w:abstractNumId="6">
    <w:nsid w:val="5A321BCE"/>
    <w:multiLevelType w:val="singleLevel"/>
    <w:tmpl w:val="5A321BCE"/>
    <w:lvl w:ilvl="0" w:tentative="0">
      <w:start w:val="1"/>
      <w:numFmt w:val="decimal"/>
      <w:suff w:val="space"/>
      <w:lvlText w:val="%1."/>
      <w:lvlJc w:val="left"/>
    </w:lvl>
  </w:abstractNum>
  <w:num w:numId="1">
    <w:abstractNumId w:val="2"/>
  </w:num>
  <w:num w:numId="2">
    <w:abstractNumId w:val="1"/>
  </w:num>
  <w:num w:numId="3">
    <w:abstractNumId w:val="3"/>
  </w:num>
  <w:num w:numId="4">
    <w:abstractNumId w:val="0"/>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A2E0E20"/>
    <w:rsid w:val="00003692"/>
    <w:rsid w:val="00003FFC"/>
    <w:rsid w:val="0000672B"/>
    <w:rsid w:val="00017F85"/>
    <w:rsid w:val="00020F6F"/>
    <w:rsid w:val="00021B54"/>
    <w:rsid w:val="00021E52"/>
    <w:rsid w:val="0002527B"/>
    <w:rsid w:val="00031B39"/>
    <w:rsid w:val="00081FB8"/>
    <w:rsid w:val="00087AA4"/>
    <w:rsid w:val="000908FB"/>
    <w:rsid w:val="000B0AFC"/>
    <w:rsid w:val="000B2063"/>
    <w:rsid w:val="000B22A6"/>
    <w:rsid w:val="000B6DC3"/>
    <w:rsid w:val="000C36DE"/>
    <w:rsid w:val="000C5B13"/>
    <w:rsid w:val="000E6023"/>
    <w:rsid w:val="000F74F6"/>
    <w:rsid w:val="00110E4C"/>
    <w:rsid w:val="0012475B"/>
    <w:rsid w:val="00127812"/>
    <w:rsid w:val="001303C9"/>
    <w:rsid w:val="0013073F"/>
    <w:rsid w:val="001407E0"/>
    <w:rsid w:val="00142487"/>
    <w:rsid w:val="00145F4F"/>
    <w:rsid w:val="001629F2"/>
    <w:rsid w:val="0016331E"/>
    <w:rsid w:val="00170243"/>
    <w:rsid w:val="001705C9"/>
    <w:rsid w:val="001848A0"/>
    <w:rsid w:val="00187B77"/>
    <w:rsid w:val="001929A5"/>
    <w:rsid w:val="0019560E"/>
    <w:rsid w:val="001A0FAF"/>
    <w:rsid w:val="001A1A5C"/>
    <w:rsid w:val="001A3239"/>
    <w:rsid w:val="001A44F4"/>
    <w:rsid w:val="001A4AFF"/>
    <w:rsid w:val="001B65D4"/>
    <w:rsid w:val="001C0122"/>
    <w:rsid w:val="001C7942"/>
    <w:rsid w:val="001D0286"/>
    <w:rsid w:val="001D1A83"/>
    <w:rsid w:val="001D1E2A"/>
    <w:rsid w:val="001D3848"/>
    <w:rsid w:val="001F4C52"/>
    <w:rsid w:val="00203B7E"/>
    <w:rsid w:val="00203D68"/>
    <w:rsid w:val="0020567E"/>
    <w:rsid w:val="00223344"/>
    <w:rsid w:val="00223367"/>
    <w:rsid w:val="002244D1"/>
    <w:rsid w:val="002365FC"/>
    <w:rsid w:val="00257623"/>
    <w:rsid w:val="00260A9F"/>
    <w:rsid w:val="00271BC7"/>
    <w:rsid w:val="0027404F"/>
    <w:rsid w:val="002847E2"/>
    <w:rsid w:val="00294B8C"/>
    <w:rsid w:val="002A0D65"/>
    <w:rsid w:val="002A143E"/>
    <w:rsid w:val="002A2B06"/>
    <w:rsid w:val="002A497A"/>
    <w:rsid w:val="002B00EC"/>
    <w:rsid w:val="002C0C4E"/>
    <w:rsid w:val="002D5B1A"/>
    <w:rsid w:val="002D60A4"/>
    <w:rsid w:val="002E4A55"/>
    <w:rsid w:val="002E77E1"/>
    <w:rsid w:val="002F39B2"/>
    <w:rsid w:val="003218CB"/>
    <w:rsid w:val="00324DBF"/>
    <w:rsid w:val="00326414"/>
    <w:rsid w:val="003277CE"/>
    <w:rsid w:val="003321D8"/>
    <w:rsid w:val="00333ECD"/>
    <w:rsid w:val="00347DC5"/>
    <w:rsid w:val="003544E6"/>
    <w:rsid w:val="003574D9"/>
    <w:rsid w:val="0036448F"/>
    <w:rsid w:val="003715FC"/>
    <w:rsid w:val="0037467E"/>
    <w:rsid w:val="003875B9"/>
    <w:rsid w:val="00391308"/>
    <w:rsid w:val="00393A98"/>
    <w:rsid w:val="00395B34"/>
    <w:rsid w:val="00396158"/>
    <w:rsid w:val="00396C6A"/>
    <w:rsid w:val="003B5FB4"/>
    <w:rsid w:val="003B7504"/>
    <w:rsid w:val="003C00F7"/>
    <w:rsid w:val="003E0C7F"/>
    <w:rsid w:val="003E3619"/>
    <w:rsid w:val="0040087E"/>
    <w:rsid w:val="00403DFF"/>
    <w:rsid w:val="0040692C"/>
    <w:rsid w:val="00411844"/>
    <w:rsid w:val="00411C4F"/>
    <w:rsid w:val="00414B48"/>
    <w:rsid w:val="004235BA"/>
    <w:rsid w:val="00437E88"/>
    <w:rsid w:val="0044631C"/>
    <w:rsid w:val="00456020"/>
    <w:rsid w:val="00462F48"/>
    <w:rsid w:val="00467FA3"/>
    <w:rsid w:val="00477C08"/>
    <w:rsid w:val="004B27EF"/>
    <w:rsid w:val="004C28D6"/>
    <w:rsid w:val="004C5538"/>
    <w:rsid w:val="004D4CBF"/>
    <w:rsid w:val="004E0163"/>
    <w:rsid w:val="005114AB"/>
    <w:rsid w:val="005160C5"/>
    <w:rsid w:val="00516685"/>
    <w:rsid w:val="005203F2"/>
    <w:rsid w:val="0052060B"/>
    <w:rsid w:val="00521326"/>
    <w:rsid w:val="00530769"/>
    <w:rsid w:val="005314FF"/>
    <w:rsid w:val="00537039"/>
    <w:rsid w:val="00540291"/>
    <w:rsid w:val="00542553"/>
    <w:rsid w:val="0054295B"/>
    <w:rsid w:val="00542E27"/>
    <w:rsid w:val="0054446B"/>
    <w:rsid w:val="00553EFE"/>
    <w:rsid w:val="0056288C"/>
    <w:rsid w:val="00567E90"/>
    <w:rsid w:val="00572430"/>
    <w:rsid w:val="00572A91"/>
    <w:rsid w:val="00576CC0"/>
    <w:rsid w:val="00577E18"/>
    <w:rsid w:val="00585872"/>
    <w:rsid w:val="005A7876"/>
    <w:rsid w:val="005B2FD9"/>
    <w:rsid w:val="005C76EF"/>
    <w:rsid w:val="005E541A"/>
    <w:rsid w:val="005E606B"/>
    <w:rsid w:val="005F1491"/>
    <w:rsid w:val="00604B99"/>
    <w:rsid w:val="00605A26"/>
    <w:rsid w:val="00623375"/>
    <w:rsid w:val="00631899"/>
    <w:rsid w:val="00632793"/>
    <w:rsid w:val="006366F0"/>
    <w:rsid w:val="00647F07"/>
    <w:rsid w:val="00676C52"/>
    <w:rsid w:val="00680911"/>
    <w:rsid w:val="00680A5B"/>
    <w:rsid w:val="006A2DC5"/>
    <w:rsid w:val="006A5A5D"/>
    <w:rsid w:val="006B4656"/>
    <w:rsid w:val="006C3481"/>
    <w:rsid w:val="006C572E"/>
    <w:rsid w:val="006D3BAA"/>
    <w:rsid w:val="006D6167"/>
    <w:rsid w:val="006D7283"/>
    <w:rsid w:val="006E5749"/>
    <w:rsid w:val="006F46B6"/>
    <w:rsid w:val="00707602"/>
    <w:rsid w:val="007325CF"/>
    <w:rsid w:val="00732CDB"/>
    <w:rsid w:val="0073538E"/>
    <w:rsid w:val="00742B0C"/>
    <w:rsid w:val="007453F9"/>
    <w:rsid w:val="00757AD3"/>
    <w:rsid w:val="00757B26"/>
    <w:rsid w:val="00761FCE"/>
    <w:rsid w:val="00763305"/>
    <w:rsid w:val="00766D5A"/>
    <w:rsid w:val="007674CC"/>
    <w:rsid w:val="00776B89"/>
    <w:rsid w:val="00780C77"/>
    <w:rsid w:val="00783DE5"/>
    <w:rsid w:val="007904D7"/>
    <w:rsid w:val="00791767"/>
    <w:rsid w:val="007A2CA3"/>
    <w:rsid w:val="007A543E"/>
    <w:rsid w:val="007B160C"/>
    <w:rsid w:val="007C3C40"/>
    <w:rsid w:val="007D1444"/>
    <w:rsid w:val="007D2661"/>
    <w:rsid w:val="007E681D"/>
    <w:rsid w:val="007F2E8B"/>
    <w:rsid w:val="00800FCE"/>
    <w:rsid w:val="00810FA6"/>
    <w:rsid w:val="00814C63"/>
    <w:rsid w:val="00840FE7"/>
    <w:rsid w:val="00841ADD"/>
    <w:rsid w:val="00843675"/>
    <w:rsid w:val="008639D0"/>
    <w:rsid w:val="00882EE8"/>
    <w:rsid w:val="008B218D"/>
    <w:rsid w:val="008B6837"/>
    <w:rsid w:val="008C688F"/>
    <w:rsid w:val="008D5940"/>
    <w:rsid w:val="008D741F"/>
    <w:rsid w:val="008E0CE8"/>
    <w:rsid w:val="008E337A"/>
    <w:rsid w:val="008E4BFF"/>
    <w:rsid w:val="008F22D6"/>
    <w:rsid w:val="008F37A9"/>
    <w:rsid w:val="00901A56"/>
    <w:rsid w:val="009132BA"/>
    <w:rsid w:val="00915C23"/>
    <w:rsid w:val="00920D1A"/>
    <w:rsid w:val="0092726D"/>
    <w:rsid w:val="00937430"/>
    <w:rsid w:val="00946CA8"/>
    <w:rsid w:val="009637F6"/>
    <w:rsid w:val="00963E72"/>
    <w:rsid w:val="009653D9"/>
    <w:rsid w:val="00966E9D"/>
    <w:rsid w:val="00967418"/>
    <w:rsid w:val="00970A4D"/>
    <w:rsid w:val="009757A5"/>
    <w:rsid w:val="00981D3A"/>
    <w:rsid w:val="009B2D3E"/>
    <w:rsid w:val="009B35EF"/>
    <w:rsid w:val="009B750B"/>
    <w:rsid w:val="009D10C2"/>
    <w:rsid w:val="009E3823"/>
    <w:rsid w:val="009F68B7"/>
    <w:rsid w:val="00A142D1"/>
    <w:rsid w:val="00A22CF0"/>
    <w:rsid w:val="00A2408D"/>
    <w:rsid w:val="00A249C0"/>
    <w:rsid w:val="00A30675"/>
    <w:rsid w:val="00A33906"/>
    <w:rsid w:val="00A42750"/>
    <w:rsid w:val="00A549DF"/>
    <w:rsid w:val="00A6088B"/>
    <w:rsid w:val="00A732F4"/>
    <w:rsid w:val="00A76EBE"/>
    <w:rsid w:val="00A819DE"/>
    <w:rsid w:val="00A81A32"/>
    <w:rsid w:val="00A86E0A"/>
    <w:rsid w:val="00A9606B"/>
    <w:rsid w:val="00AA0EF3"/>
    <w:rsid w:val="00AA31FE"/>
    <w:rsid w:val="00AA3A8D"/>
    <w:rsid w:val="00AA6460"/>
    <w:rsid w:val="00AB2659"/>
    <w:rsid w:val="00AB4295"/>
    <w:rsid w:val="00AC2628"/>
    <w:rsid w:val="00AC2671"/>
    <w:rsid w:val="00AC6923"/>
    <w:rsid w:val="00AD3EB3"/>
    <w:rsid w:val="00AE7769"/>
    <w:rsid w:val="00AE786C"/>
    <w:rsid w:val="00B04CC6"/>
    <w:rsid w:val="00B058CE"/>
    <w:rsid w:val="00B145EA"/>
    <w:rsid w:val="00B273E5"/>
    <w:rsid w:val="00B3599C"/>
    <w:rsid w:val="00B368F7"/>
    <w:rsid w:val="00B44156"/>
    <w:rsid w:val="00B461A3"/>
    <w:rsid w:val="00B60372"/>
    <w:rsid w:val="00B75F72"/>
    <w:rsid w:val="00B8265D"/>
    <w:rsid w:val="00BA1344"/>
    <w:rsid w:val="00BA20EE"/>
    <w:rsid w:val="00BA5B33"/>
    <w:rsid w:val="00BB537B"/>
    <w:rsid w:val="00BC0C37"/>
    <w:rsid w:val="00BC69B9"/>
    <w:rsid w:val="00BD1071"/>
    <w:rsid w:val="00BD48DF"/>
    <w:rsid w:val="00BF12A4"/>
    <w:rsid w:val="00BF7858"/>
    <w:rsid w:val="00C06714"/>
    <w:rsid w:val="00C127D1"/>
    <w:rsid w:val="00C16A0C"/>
    <w:rsid w:val="00C23F1B"/>
    <w:rsid w:val="00C27466"/>
    <w:rsid w:val="00C31136"/>
    <w:rsid w:val="00C419D0"/>
    <w:rsid w:val="00C43452"/>
    <w:rsid w:val="00C57C91"/>
    <w:rsid w:val="00C7549F"/>
    <w:rsid w:val="00C8122C"/>
    <w:rsid w:val="00C86AE4"/>
    <w:rsid w:val="00C87810"/>
    <w:rsid w:val="00C91A0B"/>
    <w:rsid w:val="00CA65D5"/>
    <w:rsid w:val="00CA68BB"/>
    <w:rsid w:val="00CA714D"/>
    <w:rsid w:val="00CC4BB4"/>
    <w:rsid w:val="00CD13BC"/>
    <w:rsid w:val="00CD6284"/>
    <w:rsid w:val="00CF0526"/>
    <w:rsid w:val="00CF3679"/>
    <w:rsid w:val="00D1097C"/>
    <w:rsid w:val="00D150C5"/>
    <w:rsid w:val="00D15194"/>
    <w:rsid w:val="00D15F6A"/>
    <w:rsid w:val="00D32C35"/>
    <w:rsid w:val="00D3372B"/>
    <w:rsid w:val="00D37F05"/>
    <w:rsid w:val="00D5473A"/>
    <w:rsid w:val="00D549C3"/>
    <w:rsid w:val="00D6455C"/>
    <w:rsid w:val="00D66B50"/>
    <w:rsid w:val="00D70BAD"/>
    <w:rsid w:val="00D722AC"/>
    <w:rsid w:val="00D87236"/>
    <w:rsid w:val="00D91A7B"/>
    <w:rsid w:val="00D92F42"/>
    <w:rsid w:val="00D930C1"/>
    <w:rsid w:val="00D938F4"/>
    <w:rsid w:val="00DA38EB"/>
    <w:rsid w:val="00DA6115"/>
    <w:rsid w:val="00DB7001"/>
    <w:rsid w:val="00DD03A9"/>
    <w:rsid w:val="00DD08CA"/>
    <w:rsid w:val="00DD2AFA"/>
    <w:rsid w:val="00DD3361"/>
    <w:rsid w:val="00DD6C5E"/>
    <w:rsid w:val="00DE0018"/>
    <w:rsid w:val="00DF205A"/>
    <w:rsid w:val="00DF5142"/>
    <w:rsid w:val="00E02718"/>
    <w:rsid w:val="00E03F07"/>
    <w:rsid w:val="00E05AC7"/>
    <w:rsid w:val="00E07963"/>
    <w:rsid w:val="00E12310"/>
    <w:rsid w:val="00E30E42"/>
    <w:rsid w:val="00E36D93"/>
    <w:rsid w:val="00E452FC"/>
    <w:rsid w:val="00E565AC"/>
    <w:rsid w:val="00E66BFD"/>
    <w:rsid w:val="00E702BC"/>
    <w:rsid w:val="00E9327B"/>
    <w:rsid w:val="00EC0E91"/>
    <w:rsid w:val="00EC2506"/>
    <w:rsid w:val="00EC5481"/>
    <w:rsid w:val="00ED5C3B"/>
    <w:rsid w:val="00F018F6"/>
    <w:rsid w:val="00F04D51"/>
    <w:rsid w:val="00F05A5D"/>
    <w:rsid w:val="00F0780F"/>
    <w:rsid w:val="00F171A7"/>
    <w:rsid w:val="00F31217"/>
    <w:rsid w:val="00F31415"/>
    <w:rsid w:val="00F40CB5"/>
    <w:rsid w:val="00F54B3E"/>
    <w:rsid w:val="00F5586F"/>
    <w:rsid w:val="00F742BF"/>
    <w:rsid w:val="00F75E1B"/>
    <w:rsid w:val="00F80F99"/>
    <w:rsid w:val="00F83BB5"/>
    <w:rsid w:val="00F9106A"/>
    <w:rsid w:val="00FB1975"/>
    <w:rsid w:val="00FE036D"/>
    <w:rsid w:val="00FE23A5"/>
    <w:rsid w:val="00FE35AF"/>
    <w:rsid w:val="01151B18"/>
    <w:rsid w:val="017966BD"/>
    <w:rsid w:val="018C0E18"/>
    <w:rsid w:val="01C9286B"/>
    <w:rsid w:val="02350109"/>
    <w:rsid w:val="02480D0E"/>
    <w:rsid w:val="024E4980"/>
    <w:rsid w:val="02503267"/>
    <w:rsid w:val="02515B60"/>
    <w:rsid w:val="02AE3211"/>
    <w:rsid w:val="037B50A2"/>
    <w:rsid w:val="03E00C4C"/>
    <w:rsid w:val="04047316"/>
    <w:rsid w:val="04107868"/>
    <w:rsid w:val="042639C4"/>
    <w:rsid w:val="05186D7A"/>
    <w:rsid w:val="05530297"/>
    <w:rsid w:val="05921E89"/>
    <w:rsid w:val="059B7960"/>
    <w:rsid w:val="06073472"/>
    <w:rsid w:val="06155FB9"/>
    <w:rsid w:val="062C0EFB"/>
    <w:rsid w:val="063A4A7C"/>
    <w:rsid w:val="063F01A6"/>
    <w:rsid w:val="063F4856"/>
    <w:rsid w:val="065D4FEB"/>
    <w:rsid w:val="06806222"/>
    <w:rsid w:val="07002843"/>
    <w:rsid w:val="070D5CB2"/>
    <w:rsid w:val="07274707"/>
    <w:rsid w:val="07292075"/>
    <w:rsid w:val="07402809"/>
    <w:rsid w:val="074513B1"/>
    <w:rsid w:val="07530F64"/>
    <w:rsid w:val="07D91574"/>
    <w:rsid w:val="07DD2110"/>
    <w:rsid w:val="081B7496"/>
    <w:rsid w:val="08407E9B"/>
    <w:rsid w:val="08A66635"/>
    <w:rsid w:val="08D10BEF"/>
    <w:rsid w:val="094474E0"/>
    <w:rsid w:val="0949141E"/>
    <w:rsid w:val="095639A6"/>
    <w:rsid w:val="095A626C"/>
    <w:rsid w:val="09D842F7"/>
    <w:rsid w:val="0A621094"/>
    <w:rsid w:val="0A84444E"/>
    <w:rsid w:val="0AB84F29"/>
    <w:rsid w:val="0AC6684F"/>
    <w:rsid w:val="0AF721E9"/>
    <w:rsid w:val="0AFA33F2"/>
    <w:rsid w:val="0B091E63"/>
    <w:rsid w:val="0B164A29"/>
    <w:rsid w:val="0B1B034D"/>
    <w:rsid w:val="0B9D7C1B"/>
    <w:rsid w:val="0BB34A54"/>
    <w:rsid w:val="0BE07CB5"/>
    <w:rsid w:val="0C065496"/>
    <w:rsid w:val="0C0C5636"/>
    <w:rsid w:val="0C201187"/>
    <w:rsid w:val="0C510B2F"/>
    <w:rsid w:val="0C5E11F6"/>
    <w:rsid w:val="0C881272"/>
    <w:rsid w:val="0C965B7D"/>
    <w:rsid w:val="0CB10F8C"/>
    <w:rsid w:val="0CC35546"/>
    <w:rsid w:val="0CC67799"/>
    <w:rsid w:val="0CCF00FE"/>
    <w:rsid w:val="0CEA24D2"/>
    <w:rsid w:val="0D593ED1"/>
    <w:rsid w:val="0D7E01E7"/>
    <w:rsid w:val="0D857B7F"/>
    <w:rsid w:val="0DCE2D8F"/>
    <w:rsid w:val="0DD04469"/>
    <w:rsid w:val="0E141B3D"/>
    <w:rsid w:val="0E253E72"/>
    <w:rsid w:val="0E287F77"/>
    <w:rsid w:val="0E856FED"/>
    <w:rsid w:val="0E8F37B9"/>
    <w:rsid w:val="0EC63E64"/>
    <w:rsid w:val="0ECA7929"/>
    <w:rsid w:val="0EE63652"/>
    <w:rsid w:val="0EEC3D3D"/>
    <w:rsid w:val="0F2F3444"/>
    <w:rsid w:val="0F410792"/>
    <w:rsid w:val="0F627B1B"/>
    <w:rsid w:val="0FE412F8"/>
    <w:rsid w:val="10210889"/>
    <w:rsid w:val="10356A35"/>
    <w:rsid w:val="10AC3582"/>
    <w:rsid w:val="10D1632A"/>
    <w:rsid w:val="10F43800"/>
    <w:rsid w:val="11070506"/>
    <w:rsid w:val="11275087"/>
    <w:rsid w:val="1148776A"/>
    <w:rsid w:val="114B36EF"/>
    <w:rsid w:val="11885CB5"/>
    <w:rsid w:val="118B24F5"/>
    <w:rsid w:val="120A2A2A"/>
    <w:rsid w:val="1272668F"/>
    <w:rsid w:val="12957D69"/>
    <w:rsid w:val="12AB15B0"/>
    <w:rsid w:val="12EC0C50"/>
    <w:rsid w:val="12F05A2A"/>
    <w:rsid w:val="1300503C"/>
    <w:rsid w:val="131F199E"/>
    <w:rsid w:val="13247991"/>
    <w:rsid w:val="13295189"/>
    <w:rsid w:val="13515A7F"/>
    <w:rsid w:val="135B3AAF"/>
    <w:rsid w:val="1394170F"/>
    <w:rsid w:val="13A76668"/>
    <w:rsid w:val="13B02B2B"/>
    <w:rsid w:val="14087B4A"/>
    <w:rsid w:val="1443162A"/>
    <w:rsid w:val="145E0D0D"/>
    <w:rsid w:val="1484023A"/>
    <w:rsid w:val="148C7CEF"/>
    <w:rsid w:val="14A75DDC"/>
    <w:rsid w:val="14E4152A"/>
    <w:rsid w:val="14F36739"/>
    <w:rsid w:val="150C105C"/>
    <w:rsid w:val="15335CBD"/>
    <w:rsid w:val="154B5D0D"/>
    <w:rsid w:val="155417AA"/>
    <w:rsid w:val="155E366F"/>
    <w:rsid w:val="15671077"/>
    <w:rsid w:val="15756EE5"/>
    <w:rsid w:val="157A2AB5"/>
    <w:rsid w:val="15957336"/>
    <w:rsid w:val="159745F6"/>
    <w:rsid w:val="15AC74D8"/>
    <w:rsid w:val="162008E1"/>
    <w:rsid w:val="16423BED"/>
    <w:rsid w:val="165019B8"/>
    <w:rsid w:val="166334CF"/>
    <w:rsid w:val="168E16B6"/>
    <w:rsid w:val="16B10DCA"/>
    <w:rsid w:val="16B7295A"/>
    <w:rsid w:val="16C9249F"/>
    <w:rsid w:val="16CB56F4"/>
    <w:rsid w:val="16F20125"/>
    <w:rsid w:val="17597D27"/>
    <w:rsid w:val="178C7602"/>
    <w:rsid w:val="17C43569"/>
    <w:rsid w:val="18172C34"/>
    <w:rsid w:val="18185598"/>
    <w:rsid w:val="184451C8"/>
    <w:rsid w:val="184C58D3"/>
    <w:rsid w:val="187175DA"/>
    <w:rsid w:val="189A68D7"/>
    <w:rsid w:val="18C97D82"/>
    <w:rsid w:val="18F37C5C"/>
    <w:rsid w:val="190D2A36"/>
    <w:rsid w:val="191C5EFD"/>
    <w:rsid w:val="19295D46"/>
    <w:rsid w:val="19311F7B"/>
    <w:rsid w:val="19335297"/>
    <w:rsid w:val="195041F3"/>
    <w:rsid w:val="198978FC"/>
    <w:rsid w:val="19BE5EE1"/>
    <w:rsid w:val="19D115FD"/>
    <w:rsid w:val="19F84096"/>
    <w:rsid w:val="1A477CEF"/>
    <w:rsid w:val="1AB23249"/>
    <w:rsid w:val="1AC828CA"/>
    <w:rsid w:val="1AE20BCB"/>
    <w:rsid w:val="1AE2213E"/>
    <w:rsid w:val="1B8B535C"/>
    <w:rsid w:val="1BA573C0"/>
    <w:rsid w:val="1BCB0252"/>
    <w:rsid w:val="1C0D34A1"/>
    <w:rsid w:val="1C3E597F"/>
    <w:rsid w:val="1C814F53"/>
    <w:rsid w:val="1C843709"/>
    <w:rsid w:val="1C911CFB"/>
    <w:rsid w:val="1C940833"/>
    <w:rsid w:val="1C9814DF"/>
    <w:rsid w:val="1D4A6348"/>
    <w:rsid w:val="1D5C4ECD"/>
    <w:rsid w:val="1D63527C"/>
    <w:rsid w:val="1D6A3946"/>
    <w:rsid w:val="1D920ECB"/>
    <w:rsid w:val="1DD259C3"/>
    <w:rsid w:val="1DDD0826"/>
    <w:rsid w:val="1DE66993"/>
    <w:rsid w:val="1E654A1D"/>
    <w:rsid w:val="1E6A19B1"/>
    <w:rsid w:val="1E7F799F"/>
    <w:rsid w:val="1ECF46BC"/>
    <w:rsid w:val="1F21633C"/>
    <w:rsid w:val="1F695568"/>
    <w:rsid w:val="1F6E1866"/>
    <w:rsid w:val="1F977015"/>
    <w:rsid w:val="1FBB4EAA"/>
    <w:rsid w:val="1FED4B35"/>
    <w:rsid w:val="1FEF3F3B"/>
    <w:rsid w:val="201102FC"/>
    <w:rsid w:val="204F5235"/>
    <w:rsid w:val="2050381E"/>
    <w:rsid w:val="20621E25"/>
    <w:rsid w:val="20A37CCF"/>
    <w:rsid w:val="20A667BD"/>
    <w:rsid w:val="20CF0226"/>
    <w:rsid w:val="20D21255"/>
    <w:rsid w:val="20D32B57"/>
    <w:rsid w:val="20EB2ED6"/>
    <w:rsid w:val="20EE3995"/>
    <w:rsid w:val="21104680"/>
    <w:rsid w:val="211047A9"/>
    <w:rsid w:val="21FC7B81"/>
    <w:rsid w:val="22136E98"/>
    <w:rsid w:val="223062BE"/>
    <w:rsid w:val="22493B10"/>
    <w:rsid w:val="226B53D9"/>
    <w:rsid w:val="227812F9"/>
    <w:rsid w:val="23040770"/>
    <w:rsid w:val="231959D5"/>
    <w:rsid w:val="233D36EC"/>
    <w:rsid w:val="233F605A"/>
    <w:rsid w:val="23581152"/>
    <w:rsid w:val="23634392"/>
    <w:rsid w:val="23680495"/>
    <w:rsid w:val="236D092F"/>
    <w:rsid w:val="23803567"/>
    <w:rsid w:val="239B159C"/>
    <w:rsid w:val="23AD1BF5"/>
    <w:rsid w:val="23C80CC2"/>
    <w:rsid w:val="23CA2360"/>
    <w:rsid w:val="23FE376C"/>
    <w:rsid w:val="240B7B52"/>
    <w:rsid w:val="24116F34"/>
    <w:rsid w:val="24227489"/>
    <w:rsid w:val="24635A3A"/>
    <w:rsid w:val="249B62E9"/>
    <w:rsid w:val="24EC117C"/>
    <w:rsid w:val="250C4BB6"/>
    <w:rsid w:val="252549CA"/>
    <w:rsid w:val="255D204D"/>
    <w:rsid w:val="2595460B"/>
    <w:rsid w:val="26035BEC"/>
    <w:rsid w:val="26043654"/>
    <w:rsid w:val="26091EBB"/>
    <w:rsid w:val="262B40F9"/>
    <w:rsid w:val="26547AE8"/>
    <w:rsid w:val="269A2C67"/>
    <w:rsid w:val="26E525E4"/>
    <w:rsid w:val="26E60A65"/>
    <w:rsid w:val="2724134C"/>
    <w:rsid w:val="273E0805"/>
    <w:rsid w:val="274507F1"/>
    <w:rsid w:val="27C450A3"/>
    <w:rsid w:val="27C918D2"/>
    <w:rsid w:val="284D099E"/>
    <w:rsid w:val="28ED54B0"/>
    <w:rsid w:val="293209AC"/>
    <w:rsid w:val="2933115D"/>
    <w:rsid w:val="293930E6"/>
    <w:rsid w:val="293C2243"/>
    <w:rsid w:val="29532E82"/>
    <w:rsid w:val="29735566"/>
    <w:rsid w:val="29A212E5"/>
    <w:rsid w:val="29D947EB"/>
    <w:rsid w:val="29E15790"/>
    <w:rsid w:val="29E250EE"/>
    <w:rsid w:val="2A2E0E20"/>
    <w:rsid w:val="2A3A704E"/>
    <w:rsid w:val="2A452B3D"/>
    <w:rsid w:val="2A7654F9"/>
    <w:rsid w:val="2A7B2580"/>
    <w:rsid w:val="2AA23BEC"/>
    <w:rsid w:val="2AAD7231"/>
    <w:rsid w:val="2AF451E9"/>
    <w:rsid w:val="2AFA337A"/>
    <w:rsid w:val="2B1C3428"/>
    <w:rsid w:val="2B2B1C33"/>
    <w:rsid w:val="2B2B446B"/>
    <w:rsid w:val="2B3015E4"/>
    <w:rsid w:val="2B4F3D3D"/>
    <w:rsid w:val="2B6516A3"/>
    <w:rsid w:val="2B6676AF"/>
    <w:rsid w:val="2B8175A1"/>
    <w:rsid w:val="2BFF5D0E"/>
    <w:rsid w:val="2C45590B"/>
    <w:rsid w:val="2C665C52"/>
    <w:rsid w:val="2C7F3A5D"/>
    <w:rsid w:val="2CDC7E42"/>
    <w:rsid w:val="2CF652E7"/>
    <w:rsid w:val="2D1153A4"/>
    <w:rsid w:val="2D614DC2"/>
    <w:rsid w:val="2DA22BE2"/>
    <w:rsid w:val="2E2758AF"/>
    <w:rsid w:val="2E3F744B"/>
    <w:rsid w:val="2E7942E2"/>
    <w:rsid w:val="2F0F13BF"/>
    <w:rsid w:val="2F0F2FF0"/>
    <w:rsid w:val="2F0F3ED9"/>
    <w:rsid w:val="2F5D35AA"/>
    <w:rsid w:val="2F713FC3"/>
    <w:rsid w:val="30116C8D"/>
    <w:rsid w:val="302B091D"/>
    <w:rsid w:val="302F07D9"/>
    <w:rsid w:val="30376BB9"/>
    <w:rsid w:val="307A6BF4"/>
    <w:rsid w:val="31186EB7"/>
    <w:rsid w:val="3179376A"/>
    <w:rsid w:val="31A353BC"/>
    <w:rsid w:val="31B10509"/>
    <w:rsid w:val="31BD5198"/>
    <w:rsid w:val="31C169C5"/>
    <w:rsid w:val="31DB0F40"/>
    <w:rsid w:val="321C1DAA"/>
    <w:rsid w:val="3230228C"/>
    <w:rsid w:val="324637C9"/>
    <w:rsid w:val="32465AA3"/>
    <w:rsid w:val="3253058A"/>
    <w:rsid w:val="327137A1"/>
    <w:rsid w:val="32A97818"/>
    <w:rsid w:val="32B80E90"/>
    <w:rsid w:val="32C75843"/>
    <w:rsid w:val="32CC1C4F"/>
    <w:rsid w:val="32D02B38"/>
    <w:rsid w:val="32F73AE0"/>
    <w:rsid w:val="334A2C5B"/>
    <w:rsid w:val="3365747E"/>
    <w:rsid w:val="33A350EF"/>
    <w:rsid w:val="33F97333"/>
    <w:rsid w:val="341C663B"/>
    <w:rsid w:val="34381FFF"/>
    <w:rsid w:val="343D5485"/>
    <w:rsid w:val="34777905"/>
    <w:rsid w:val="34AB3225"/>
    <w:rsid w:val="34D978D3"/>
    <w:rsid w:val="34E75F40"/>
    <w:rsid w:val="34EF4ACA"/>
    <w:rsid w:val="34FD3DC3"/>
    <w:rsid w:val="357E28FB"/>
    <w:rsid w:val="35A66274"/>
    <w:rsid w:val="35AF2F94"/>
    <w:rsid w:val="35D76993"/>
    <w:rsid w:val="35EB4CF7"/>
    <w:rsid w:val="35F425D5"/>
    <w:rsid w:val="35FF42F7"/>
    <w:rsid w:val="36553987"/>
    <w:rsid w:val="36E466D7"/>
    <w:rsid w:val="371840E5"/>
    <w:rsid w:val="37551903"/>
    <w:rsid w:val="37A25A49"/>
    <w:rsid w:val="37C41E89"/>
    <w:rsid w:val="380C4385"/>
    <w:rsid w:val="388D2882"/>
    <w:rsid w:val="38981BA0"/>
    <w:rsid w:val="38D9238C"/>
    <w:rsid w:val="39171528"/>
    <w:rsid w:val="392C67DF"/>
    <w:rsid w:val="39661F6A"/>
    <w:rsid w:val="39773CF9"/>
    <w:rsid w:val="39AC1200"/>
    <w:rsid w:val="39DB35B8"/>
    <w:rsid w:val="3A043B52"/>
    <w:rsid w:val="3A133610"/>
    <w:rsid w:val="3A651F91"/>
    <w:rsid w:val="3A81387B"/>
    <w:rsid w:val="3A877B34"/>
    <w:rsid w:val="3A937FC1"/>
    <w:rsid w:val="3A982385"/>
    <w:rsid w:val="3AA8016E"/>
    <w:rsid w:val="3AB86CFD"/>
    <w:rsid w:val="3ABB7B6E"/>
    <w:rsid w:val="3ADC0C19"/>
    <w:rsid w:val="3B5932CD"/>
    <w:rsid w:val="3B94546D"/>
    <w:rsid w:val="3B9868BA"/>
    <w:rsid w:val="3BB63E9D"/>
    <w:rsid w:val="3BC30B8A"/>
    <w:rsid w:val="3BDB3237"/>
    <w:rsid w:val="3C047D4B"/>
    <w:rsid w:val="3C355C3F"/>
    <w:rsid w:val="3C5677C7"/>
    <w:rsid w:val="3C631E39"/>
    <w:rsid w:val="3C705704"/>
    <w:rsid w:val="3C9219F0"/>
    <w:rsid w:val="3C997B6E"/>
    <w:rsid w:val="3DB14219"/>
    <w:rsid w:val="3E1F0EB2"/>
    <w:rsid w:val="3E3006DD"/>
    <w:rsid w:val="3E3A43A6"/>
    <w:rsid w:val="3E6C0A8A"/>
    <w:rsid w:val="3E843852"/>
    <w:rsid w:val="3E9632B8"/>
    <w:rsid w:val="3E9F68B5"/>
    <w:rsid w:val="3EB346E9"/>
    <w:rsid w:val="3ECE4E0A"/>
    <w:rsid w:val="3EF05D40"/>
    <w:rsid w:val="3F183797"/>
    <w:rsid w:val="3F491508"/>
    <w:rsid w:val="3F5D7FCB"/>
    <w:rsid w:val="3F5E6491"/>
    <w:rsid w:val="3F9900FB"/>
    <w:rsid w:val="3F9B2115"/>
    <w:rsid w:val="3FEA6AA5"/>
    <w:rsid w:val="40522DD7"/>
    <w:rsid w:val="4094290E"/>
    <w:rsid w:val="410715B3"/>
    <w:rsid w:val="41124712"/>
    <w:rsid w:val="41224FB8"/>
    <w:rsid w:val="414D2866"/>
    <w:rsid w:val="417F7AFD"/>
    <w:rsid w:val="41BE677C"/>
    <w:rsid w:val="41F55CA8"/>
    <w:rsid w:val="42276C78"/>
    <w:rsid w:val="428C51B1"/>
    <w:rsid w:val="432953C8"/>
    <w:rsid w:val="434B609F"/>
    <w:rsid w:val="437322DC"/>
    <w:rsid w:val="43763861"/>
    <w:rsid w:val="43976639"/>
    <w:rsid w:val="43A246D5"/>
    <w:rsid w:val="43C27A16"/>
    <w:rsid w:val="442B1667"/>
    <w:rsid w:val="442D26E8"/>
    <w:rsid w:val="446D5132"/>
    <w:rsid w:val="44711592"/>
    <w:rsid w:val="448955E3"/>
    <w:rsid w:val="44AA53F4"/>
    <w:rsid w:val="44B86C03"/>
    <w:rsid w:val="44DB13AA"/>
    <w:rsid w:val="453647EA"/>
    <w:rsid w:val="455333C3"/>
    <w:rsid w:val="45540B2A"/>
    <w:rsid w:val="45C304E1"/>
    <w:rsid w:val="46084EAB"/>
    <w:rsid w:val="462D32F3"/>
    <w:rsid w:val="463E2755"/>
    <w:rsid w:val="46860526"/>
    <w:rsid w:val="46D139FA"/>
    <w:rsid w:val="46D27040"/>
    <w:rsid w:val="46E35C75"/>
    <w:rsid w:val="47205C30"/>
    <w:rsid w:val="473976EE"/>
    <w:rsid w:val="4755652A"/>
    <w:rsid w:val="47646867"/>
    <w:rsid w:val="476913E2"/>
    <w:rsid w:val="4770795F"/>
    <w:rsid w:val="477418F3"/>
    <w:rsid w:val="4798537B"/>
    <w:rsid w:val="479E69C8"/>
    <w:rsid w:val="47A3367E"/>
    <w:rsid w:val="47D04B77"/>
    <w:rsid w:val="48310E8E"/>
    <w:rsid w:val="48655DAA"/>
    <w:rsid w:val="48695DA4"/>
    <w:rsid w:val="49230D30"/>
    <w:rsid w:val="494657B0"/>
    <w:rsid w:val="49DD655A"/>
    <w:rsid w:val="4A152D6C"/>
    <w:rsid w:val="4A155F64"/>
    <w:rsid w:val="4A307C3D"/>
    <w:rsid w:val="4A561635"/>
    <w:rsid w:val="4A685300"/>
    <w:rsid w:val="4A855391"/>
    <w:rsid w:val="4A915CC1"/>
    <w:rsid w:val="4AA61B68"/>
    <w:rsid w:val="4AF06DC5"/>
    <w:rsid w:val="4B0A6344"/>
    <w:rsid w:val="4B1A6ED1"/>
    <w:rsid w:val="4B1C60E9"/>
    <w:rsid w:val="4BBA2B01"/>
    <w:rsid w:val="4BF800DC"/>
    <w:rsid w:val="4C0D1134"/>
    <w:rsid w:val="4C590C5D"/>
    <w:rsid w:val="4C5D1D5A"/>
    <w:rsid w:val="4D3F1D0A"/>
    <w:rsid w:val="4D562539"/>
    <w:rsid w:val="4D585FDD"/>
    <w:rsid w:val="4D644AE4"/>
    <w:rsid w:val="4D6B732C"/>
    <w:rsid w:val="4D9B2A2A"/>
    <w:rsid w:val="4DBE7DFA"/>
    <w:rsid w:val="4E125F5E"/>
    <w:rsid w:val="4E5E5A05"/>
    <w:rsid w:val="4E805443"/>
    <w:rsid w:val="4E835A83"/>
    <w:rsid w:val="4E87023A"/>
    <w:rsid w:val="4EC93248"/>
    <w:rsid w:val="4ECB500C"/>
    <w:rsid w:val="4EDF069F"/>
    <w:rsid w:val="4EFE5BE2"/>
    <w:rsid w:val="4EFE6728"/>
    <w:rsid w:val="4F05236E"/>
    <w:rsid w:val="4F0B787A"/>
    <w:rsid w:val="4F1203F1"/>
    <w:rsid w:val="4F187DE9"/>
    <w:rsid w:val="4F210F21"/>
    <w:rsid w:val="4F3718E3"/>
    <w:rsid w:val="4F7B269C"/>
    <w:rsid w:val="4FDA0DAB"/>
    <w:rsid w:val="4FEC3BFA"/>
    <w:rsid w:val="507239EE"/>
    <w:rsid w:val="5088341F"/>
    <w:rsid w:val="50AD2A54"/>
    <w:rsid w:val="50BA7E57"/>
    <w:rsid w:val="50D81BF7"/>
    <w:rsid w:val="50E9335E"/>
    <w:rsid w:val="51013988"/>
    <w:rsid w:val="51190415"/>
    <w:rsid w:val="513738A4"/>
    <w:rsid w:val="5154538B"/>
    <w:rsid w:val="519C7C5B"/>
    <w:rsid w:val="51D42DB3"/>
    <w:rsid w:val="51D67140"/>
    <w:rsid w:val="51E95069"/>
    <w:rsid w:val="51F73AE5"/>
    <w:rsid w:val="51F85346"/>
    <w:rsid w:val="52264409"/>
    <w:rsid w:val="52815EB4"/>
    <w:rsid w:val="52BC519A"/>
    <w:rsid w:val="52BF4740"/>
    <w:rsid w:val="52C719B0"/>
    <w:rsid w:val="52E140AC"/>
    <w:rsid w:val="52EE5E34"/>
    <w:rsid w:val="53466485"/>
    <w:rsid w:val="534B63AE"/>
    <w:rsid w:val="53860027"/>
    <w:rsid w:val="53D20C95"/>
    <w:rsid w:val="53E4448B"/>
    <w:rsid w:val="54A83322"/>
    <w:rsid w:val="54A9021D"/>
    <w:rsid w:val="54C066C6"/>
    <w:rsid w:val="54C80C1B"/>
    <w:rsid w:val="54E7165D"/>
    <w:rsid w:val="55066D76"/>
    <w:rsid w:val="552D710B"/>
    <w:rsid w:val="556A04AF"/>
    <w:rsid w:val="557766E3"/>
    <w:rsid w:val="557B0739"/>
    <w:rsid w:val="558E66C9"/>
    <w:rsid w:val="55A5332F"/>
    <w:rsid w:val="55CC5ACC"/>
    <w:rsid w:val="55E36449"/>
    <w:rsid w:val="55F05BDD"/>
    <w:rsid w:val="56226A5D"/>
    <w:rsid w:val="5630006B"/>
    <w:rsid w:val="566136B8"/>
    <w:rsid w:val="569D7FEE"/>
    <w:rsid w:val="56C52FDC"/>
    <w:rsid w:val="56CE0A80"/>
    <w:rsid w:val="56D5788D"/>
    <w:rsid w:val="56F13E4B"/>
    <w:rsid w:val="57063CE5"/>
    <w:rsid w:val="57193C7A"/>
    <w:rsid w:val="57575FE6"/>
    <w:rsid w:val="581731F5"/>
    <w:rsid w:val="5818649C"/>
    <w:rsid w:val="5875284A"/>
    <w:rsid w:val="587C6933"/>
    <w:rsid w:val="58B24F2D"/>
    <w:rsid w:val="58B6757E"/>
    <w:rsid w:val="59427DB3"/>
    <w:rsid w:val="597E6AEA"/>
    <w:rsid w:val="59DA4DF8"/>
    <w:rsid w:val="5A8848BE"/>
    <w:rsid w:val="5ABB33A6"/>
    <w:rsid w:val="5ACE76BA"/>
    <w:rsid w:val="5AF4242B"/>
    <w:rsid w:val="5B7F07E6"/>
    <w:rsid w:val="5BA65572"/>
    <w:rsid w:val="5BCB1B7A"/>
    <w:rsid w:val="5C080B93"/>
    <w:rsid w:val="5C1D29FC"/>
    <w:rsid w:val="5C395E90"/>
    <w:rsid w:val="5C876A5B"/>
    <w:rsid w:val="5CAE640D"/>
    <w:rsid w:val="5CB62421"/>
    <w:rsid w:val="5CF345FA"/>
    <w:rsid w:val="5CF76710"/>
    <w:rsid w:val="5D100813"/>
    <w:rsid w:val="5D214AD4"/>
    <w:rsid w:val="5D2E6143"/>
    <w:rsid w:val="5D4E5810"/>
    <w:rsid w:val="5D5602F4"/>
    <w:rsid w:val="5D6B0ADC"/>
    <w:rsid w:val="5DDC3049"/>
    <w:rsid w:val="5DE3352B"/>
    <w:rsid w:val="5E2454A6"/>
    <w:rsid w:val="5E424FF2"/>
    <w:rsid w:val="5E463BD8"/>
    <w:rsid w:val="5E58304E"/>
    <w:rsid w:val="5E8C73C5"/>
    <w:rsid w:val="5EF26512"/>
    <w:rsid w:val="5F333DDF"/>
    <w:rsid w:val="5F653280"/>
    <w:rsid w:val="60122100"/>
    <w:rsid w:val="602437AA"/>
    <w:rsid w:val="60BF4EDB"/>
    <w:rsid w:val="610E44F1"/>
    <w:rsid w:val="61667655"/>
    <w:rsid w:val="618A71D9"/>
    <w:rsid w:val="61F5057D"/>
    <w:rsid w:val="620D493E"/>
    <w:rsid w:val="620E31A7"/>
    <w:rsid w:val="62227941"/>
    <w:rsid w:val="622E2FB0"/>
    <w:rsid w:val="627243D7"/>
    <w:rsid w:val="6281362B"/>
    <w:rsid w:val="62BB7314"/>
    <w:rsid w:val="62D073C1"/>
    <w:rsid w:val="63646BCD"/>
    <w:rsid w:val="637E0365"/>
    <w:rsid w:val="63F818AF"/>
    <w:rsid w:val="64097F81"/>
    <w:rsid w:val="642928A3"/>
    <w:rsid w:val="643F5712"/>
    <w:rsid w:val="64474946"/>
    <w:rsid w:val="648864C8"/>
    <w:rsid w:val="64AC0F65"/>
    <w:rsid w:val="64AC4D21"/>
    <w:rsid w:val="64DE6188"/>
    <w:rsid w:val="64EA3740"/>
    <w:rsid w:val="65237F12"/>
    <w:rsid w:val="6563017D"/>
    <w:rsid w:val="65A93B6B"/>
    <w:rsid w:val="65F77FAC"/>
    <w:rsid w:val="65FD27F5"/>
    <w:rsid w:val="66973754"/>
    <w:rsid w:val="66C24048"/>
    <w:rsid w:val="67205059"/>
    <w:rsid w:val="674F1686"/>
    <w:rsid w:val="675871CF"/>
    <w:rsid w:val="67A86DEF"/>
    <w:rsid w:val="67BF3F06"/>
    <w:rsid w:val="67C77E13"/>
    <w:rsid w:val="67D7611B"/>
    <w:rsid w:val="67DF2B40"/>
    <w:rsid w:val="67E44C51"/>
    <w:rsid w:val="687F52E8"/>
    <w:rsid w:val="68822D00"/>
    <w:rsid w:val="689E6E93"/>
    <w:rsid w:val="68C04240"/>
    <w:rsid w:val="68FA3F01"/>
    <w:rsid w:val="693442D1"/>
    <w:rsid w:val="695A7DFF"/>
    <w:rsid w:val="6A010AF2"/>
    <w:rsid w:val="6A311016"/>
    <w:rsid w:val="6A705A68"/>
    <w:rsid w:val="6AB662D5"/>
    <w:rsid w:val="6AC87B09"/>
    <w:rsid w:val="6B080012"/>
    <w:rsid w:val="6B6A57BF"/>
    <w:rsid w:val="6B9078C4"/>
    <w:rsid w:val="6BAB28CC"/>
    <w:rsid w:val="6BC327F3"/>
    <w:rsid w:val="6C3124B6"/>
    <w:rsid w:val="6CFC400F"/>
    <w:rsid w:val="6D313AF2"/>
    <w:rsid w:val="6D680F11"/>
    <w:rsid w:val="6D9B6FED"/>
    <w:rsid w:val="6DAB31AB"/>
    <w:rsid w:val="6DD17321"/>
    <w:rsid w:val="6DD55516"/>
    <w:rsid w:val="6E642ECA"/>
    <w:rsid w:val="6E981498"/>
    <w:rsid w:val="6EDD44D5"/>
    <w:rsid w:val="6EE53D65"/>
    <w:rsid w:val="6F0462AF"/>
    <w:rsid w:val="6F5B536E"/>
    <w:rsid w:val="6F6C5A34"/>
    <w:rsid w:val="6F6E75A0"/>
    <w:rsid w:val="6F862021"/>
    <w:rsid w:val="6FDB67F5"/>
    <w:rsid w:val="6FEB7F4E"/>
    <w:rsid w:val="701B7A5A"/>
    <w:rsid w:val="70710D73"/>
    <w:rsid w:val="7075449C"/>
    <w:rsid w:val="7093328D"/>
    <w:rsid w:val="70B94757"/>
    <w:rsid w:val="70C34687"/>
    <w:rsid w:val="70CF457E"/>
    <w:rsid w:val="71493E4B"/>
    <w:rsid w:val="722A7E86"/>
    <w:rsid w:val="723356D8"/>
    <w:rsid w:val="723B1117"/>
    <w:rsid w:val="724F76A0"/>
    <w:rsid w:val="726208DF"/>
    <w:rsid w:val="727B04D4"/>
    <w:rsid w:val="727B4099"/>
    <w:rsid w:val="72A94047"/>
    <w:rsid w:val="72CC7F09"/>
    <w:rsid w:val="730B3575"/>
    <w:rsid w:val="73734FD6"/>
    <w:rsid w:val="73A83D47"/>
    <w:rsid w:val="73AF252F"/>
    <w:rsid w:val="73EE04C5"/>
    <w:rsid w:val="740E4978"/>
    <w:rsid w:val="745844E5"/>
    <w:rsid w:val="74694643"/>
    <w:rsid w:val="74CE1CE7"/>
    <w:rsid w:val="750D3F7B"/>
    <w:rsid w:val="75420951"/>
    <w:rsid w:val="754F755D"/>
    <w:rsid w:val="756A2C5F"/>
    <w:rsid w:val="7597752C"/>
    <w:rsid w:val="75A603BA"/>
    <w:rsid w:val="75EB1E45"/>
    <w:rsid w:val="75FC1264"/>
    <w:rsid w:val="761722E7"/>
    <w:rsid w:val="762557EB"/>
    <w:rsid w:val="764175EF"/>
    <w:rsid w:val="765D4A66"/>
    <w:rsid w:val="7666128B"/>
    <w:rsid w:val="766A38A7"/>
    <w:rsid w:val="766B234E"/>
    <w:rsid w:val="76784A7A"/>
    <w:rsid w:val="76A30D0B"/>
    <w:rsid w:val="76BE27F8"/>
    <w:rsid w:val="76BF2164"/>
    <w:rsid w:val="76C020B2"/>
    <w:rsid w:val="76FE5C18"/>
    <w:rsid w:val="7703408C"/>
    <w:rsid w:val="77090983"/>
    <w:rsid w:val="7715289A"/>
    <w:rsid w:val="77397399"/>
    <w:rsid w:val="773D091D"/>
    <w:rsid w:val="77426719"/>
    <w:rsid w:val="775341E3"/>
    <w:rsid w:val="775B20A7"/>
    <w:rsid w:val="7789074F"/>
    <w:rsid w:val="77AB5374"/>
    <w:rsid w:val="77B72B1A"/>
    <w:rsid w:val="780B47A1"/>
    <w:rsid w:val="783953F6"/>
    <w:rsid w:val="78855B94"/>
    <w:rsid w:val="788C2A25"/>
    <w:rsid w:val="78A55C9A"/>
    <w:rsid w:val="78CB1A27"/>
    <w:rsid w:val="78F146F6"/>
    <w:rsid w:val="793C1D1A"/>
    <w:rsid w:val="797A57B3"/>
    <w:rsid w:val="79904108"/>
    <w:rsid w:val="79B96D27"/>
    <w:rsid w:val="79DD780C"/>
    <w:rsid w:val="79F345E9"/>
    <w:rsid w:val="79F56A7E"/>
    <w:rsid w:val="7A331A23"/>
    <w:rsid w:val="7A4E22EF"/>
    <w:rsid w:val="7A962995"/>
    <w:rsid w:val="7AD91DD2"/>
    <w:rsid w:val="7ADD7AFB"/>
    <w:rsid w:val="7ADF56A9"/>
    <w:rsid w:val="7B3967A5"/>
    <w:rsid w:val="7B3F2806"/>
    <w:rsid w:val="7B8D1DF0"/>
    <w:rsid w:val="7B930120"/>
    <w:rsid w:val="7C750E75"/>
    <w:rsid w:val="7CA41621"/>
    <w:rsid w:val="7CD64B89"/>
    <w:rsid w:val="7CFD1F85"/>
    <w:rsid w:val="7D1136F7"/>
    <w:rsid w:val="7D851B58"/>
    <w:rsid w:val="7DCD0FCE"/>
    <w:rsid w:val="7E2010C6"/>
    <w:rsid w:val="7E4F352C"/>
    <w:rsid w:val="7E8C467E"/>
    <w:rsid w:val="7EC54DBD"/>
    <w:rsid w:val="7EC93871"/>
    <w:rsid w:val="7F097EC6"/>
    <w:rsid w:val="7F2C2FB4"/>
    <w:rsid w:val="7F4935EE"/>
    <w:rsid w:val="7F551A8E"/>
    <w:rsid w:val="7F67411D"/>
    <w:rsid w:val="7F6F60AC"/>
    <w:rsid w:val="7FBE23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iPriority="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宋体" w:hAnsi="宋体" w:eastAsia="宋体" w:cs="宋体"/>
      <w:kern w:val="2"/>
      <w:sz w:val="24"/>
      <w:szCs w:val="24"/>
      <w:lang w:val="en-US" w:eastAsia="zh-CN" w:bidi="ar-SA"/>
    </w:rPr>
  </w:style>
  <w:style w:type="character" w:default="1" w:styleId="11">
    <w:name w:val="Default Paragraph Font"/>
    <w:semiHidden/>
    <w:unhideWhenUsed/>
    <w:uiPriority w:val="1"/>
  </w:style>
  <w:style w:type="table" w:default="1" w:styleId="9">
    <w:name w:val="Normal Table"/>
    <w:semiHidden/>
    <w:unhideWhenUsed/>
    <w:uiPriority w:val="99"/>
    <w:tblPr>
      <w:tblLayout w:type="fixed"/>
      <w:tblCellMar>
        <w:top w:w="0" w:type="dxa"/>
        <w:left w:w="108" w:type="dxa"/>
        <w:bottom w:w="0" w:type="dxa"/>
        <w:right w:w="108" w:type="dxa"/>
      </w:tblCellMar>
    </w:tblPr>
  </w:style>
  <w:style w:type="paragraph" w:styleId="2">
    <w:name w:val="Body Text Indent"/>
    <w:basedOn w:val="1"/>
    <w:link w:val="16"/>
    <w:qFormat/>
    <w:uiPriority w:val="0"/>
    <w:pPr>
      <w:spacing w:line="200" w:lineRule="atLeast"/>
      <w:ind w:firstLine="301"/>
    </w:pPr>
    <w:rPr>
      <w:rFonts w:hAnsi="Courier New" w:cs="Times New Roman"/>
      <w:spacing w:val="-4"/>
      <w:sz w:val="18"/>
      <w:szCs w:val="20"/>
    </w:rPr>
  </w:style>
  <w:style w:type="paragraph" w:styleId="3">
    <w:name w:val="annotation text"/>
    <w:basedOn w:val="1"/>
    <w:link w:val="15"/>
    <w:unhideWhenUsed/>
    <w:qFormat/>
    <w:uiPriority w:val="99"/>
    <w:pPr>
      <w:jc w:val="left"/>
    </w:pPr>
    <w:rPr>
      <w:rFonts w:ascii="Times New Roman" w:hAnsi="Times New Roman" w:cs="Times New Roman"/>
      <w:sz w:val="28"/>
    </w:rPr>
  </w:style>
  <w:style w:type="paragraph" w:styleId="4">
    <w:name w:val="Balloon Text"/>
    <w:basedOn w:val="1"/>
    <w:link w:val="14"/>
    <w:qFormat/>
    <w:uiPriority w:val="0"/>
    <w:rPr>
      <w:sz w:val="18"/>
      <w:szCs w:val="18"/>
    </w:rPr>
  </w:style>
  <w:style w:type="paragraph" w:styleId="5">
    <w:name w:val="footer"/>
    <w:basedOn w:val="1"/>
    <w:link w:val="21"/>
    <w:qFormat/>
    <w:uiPriority w:val="99"/>
    <w:pPr>
      <w:tabs>
        <w:tab w:val="center" w:pos="4153"/>
        <w:tab w:val="right" w:pos="8306"/>
      </w:tabs>
      <w:snapToGrid w:val="0"/>
      <w:jc w:val="left"/>
    </w:pPr>
    <w:rPr>
      <w:sz w:val="18"/>
    </w:rPr>
  </w:style>
  <w:style w:type="paragraph" w:styleId="6">
    <w:name w:val="header"/>
    <w:basedOn w:val="1"/>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annotation subject"/>
    <w:basedOn w:val="3"/>
    <w:next w:val="3"/>
    <w:link w:val="23"/>
    <w:semiHidden/>
    <w:unhideWhenUsed/>
    <w:uiPriority w:val="0"/>
    <w:rPr>
      <w:rFonts w:ascii="宋体" w:hAnsi="宋体" w:cs="宋体"/>
      <w:b/>
      <w:bCs/>
      <w:sz w:val="24"/>
    </w:rPr>
  </w:style>
  <w:style w:type="paragraph" w:styleId="8">
    <w:name w:val="Body Text First Indent 2"/>
    <w:unhideWhenUsed/>
    <w:qFormat/>
    <w:uiPriority w:val="99"/>
    <w:pPr>
      <w:widowControl w:val="0"/>
      <w:spacing w:line="200" w:lineRule="atLeast"/>
      <w:ind w:firstLine="420"/>
      <w:jc w:val="both"/>
    </w:pPr>
    <w:rPr>
      <w:rFonts w:ascii="宋体" w:hAnsi="Courier New" w:eastAsia="宋体" w:cs="Times New Roman"/>
      <w:spacing w:val="-4"/>
      <w:sz w:val="18"/>
      <w:lang w:val="en-US" w:eastAsia="zh-CN" w:bidi="ar-SA"/>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12">
    <w:name w:val="Hyperlink"/>
    <w:basedOn w:val="11"/>
    <w:unhideWhenUsed/>
    <w:qFormat/>
    <w:uiPriority w:val="99"/>
    <w:rPr>
      <w:color w:val="0000FF"/>
      <w:u w:val="single"/>
    </w:rPr>
  </w:style>
  <w:style w:type="character" w:styleId="13">
    <w:name w:val="annotation reference"/>
    <w:unhideWhenUsed/>
    <w:qFormat/>
    <w:uiPriority w:val="99"/>
    <w:rPr>
      <w:sz w:val="21"/>
      <w:szCs w:val="21"/>
    </w:rPr>
  </w:style>
  <w:style w:type="character" w:customStyle="1" w:styleId="14">
    <w:name w:val="批注框文本 Char"/>
    <w:basedOn w:val="11"/>
    <w:link w:val="4"/>
    <w:qFormat/>
    <w:uiPriority w:val="0"/>
    <w:rPr>
      <w:rFonts w:ascii="宋体" w:hAnsi="宋体" w:cs="宋体"/>
      <w:kern w:val="2"/>
      <w:sz w:val="18"/>
      <w:szCs w:val="18"/>
    </w:rPr>
  </w:style>
  <w:style w:type="character" w:customStyle="1" w:styleId="15">
    <w:name w:val="批注文字 Char"/>
    <w:basedOn w:val="11"/>
    <w:link w:val="3"/>
    <w:qFormat/>
    <w:uiPriority w:val="99"/>
    <w:rPr>
      <w:kern w:val="2"/>
      <w:sz w:val="28"/>
      <w:szCs w:val="24"/>
    </w:rPr>
  </w:style>
  <w:style w:type="character" w:customStyle="1" w:styleId="16">
    <w:name w:val="正文文本缩进 Char"/>
    <w:link w:val="2"/>
    <w:qFormat/>
    <w:uiPriority w:val="0"/>
    <w:rPr>
      <w:rFonts w:ascii="宋体" w:hAnsi="Courier New"/>
      <w:spacing w:val="-4"/>
      <w:kern w:val="2"/>
      <w:sz w:val="18"/>
    </w:rPr>
  </w:style>
  <w:style w:type="character" w:customStyle="1" w:styleId="17">
    <w:name w:val="正文文本缩进 字符"/>
    <w:basedOn w:val="11"/>
    <w:qFormat/>
    <w:uiPriority w:val="0"/>
    <w:rPr>
      <w:rFonts w:ascii="宋体" w:hAnsi="宋体" w:cs="宋体"/>
      <w:kern w:val="2"/>
      <w:sz w:val="24"/>
      <w:szCs w:val="24"/>
    </w:rPr>
  </w:style>
  <w:style w:type="character" w:customStyle="1" w:styleId="18">
    <w:name w:val="正文文本缩进 字符2"/>
    <w:qFormat/>
    <w:uiPriority w:val="0"/>
    <w:rPr>
      <w:rFonts w:ascii="宋体" w:hAnsi="Courier New"/>
      <w:spacing w:val="-4"/>
      <w:kern w:val="2"/>
      <w:sz w:val="18"/>
    </w:rPr>
  </w:style>
  <w:style w:type="character" w:customStyle="1" w:styleId="19">
    <w:name w:val="未处理的提及1"/>
    <w:basedOn w:val="11"/>
    <w:unhideWhenUsed/>
    <w:qFormat/>
    <w:uiPriority w:val="99"/>
    <w:rPr>
      <w:color w:val="605E5C"/>
      <w:shd w:val="clear" w:color="auto" w:fill="E1DFDD"/>
    </w:rPr>
  </w:style>
  <w:style w:type="paragraph" w:customStyle="1" w:styleId="20">
    <w:name w:val="列出段落1"/>
    <w:basedOn w:val="1"/>
    <w:qFormat/>
    <w:uiPriority w:val="99"/>
    <w:pPr>
      <w:ind w:firstLine="420" w:firstLineChars="200"/>
    </w:pPr>
  </w:style>
  <w:style w:type="character" w:customStyle="1" w:styleId="21">
    <w:name w:val="页脚 Char"/>
    <w:basedOn w:val="11"/>
    <w:link w:val="5"/>
    <w:qFormat/>
    <w:uiPriority w:val="99"/>
    <w:rPr>
      <w:rFonts w:ascii="宋体" w:hAnsi="宋体" w:cs="宋体"/>
      <w:kern w:val="2"/>
      <w:sz w:val="18"/>
      <w:szCs w:val="24"/>
    </w:rPr>
  </w:style>
  <w:style w:type="paragraph" w:styleId="22">
    <w:name w:val="List Paragraph"/>
    <w:basedOn w:val="1"/>
    <w:unhideWhenUsed/>
    <w:uiPriority w:val="99"/>
    <w:pPr>
      <w:ind w:firstLine="420" w:firstLineChars="200"/>
    </w:pPr>
  </w:style>
  <w:style w:type="character" w:customStyle="1" w:styleId="23">
    <w:name w:val="批注主题 Char"/>
    <w:basedOn w:val="15"/>
    <w:link w:val="7"/>
    <w:semiHidden/>
    <w:qFormat/>
    <w:uiPriority w:val="0"/>
    <w:rPr>
      <w:rFonts w:ascii="宋体" w:hAnsi="宋体" w:cs="宋体"/>
      <w:b/>
      <w:bCs/>
      <w:kern w:val="2"/>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52C3C80-73D3-4455-BF27-33720257B6CF}">
  <ds:schemaRefs/>
</ds:datastoreItem>
</file>

<file path=docProps/app.xml><?xml version="1.0" encoding="utf-8"?>
<Properties xmlns="http://schemas.openxmlformats.org/officeDocument/2006/extended-properties" xmlns:vt="http://schemas.openxmlformats.org/officeDocument/2006/docPropsVTypes">
  <Template>Normal.dotm</Template>
  <Pages>61</Pages>
  <Words>5524</Words>
  <Characters>31492</Characters>
  <Lines>262</Lines>
  <Paragraphs>73</Paragraphs>
  <TotalTime>69</TotalTime>
  <ScaleCrop>false</ScaleCrop>
  <LinksUpToDate>false</LinksUpToDate>
  <CharactersWithSpaces>36943</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2020-03-27T07:28:00Z</dcterms:created>
  <dc:creator>Administrator</dc:creator>
  <cp:lastModifiedBy>翡冷翠的一夜</cp:lastModifiedBy>
  <cp:lastPrinted>2020-04-01T05:56:00Z</cp:lastPrinted>
  <dcterms:modified xsi:type="dcterms:W3CDTF">2021-10-19T01:52:16Z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1FEA08D6CC1646EA9AB55F3690B74F08</vt:lpwstr>
  </property>
</Properties>
</file>