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211745569"/>
      <w:bookmarkStart w:id="1" w:name="_Toc82873328"/>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420"/>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7048342"/>
      <w:bookmarkStart w:id="6" w:name="_Toc296944495"/>
      <w:bookmarkStart w:id="7" w:name="_Toc297120456"/>
      <w:bookmarkStart w:id="8" w:name="_Toc292559361"/>
      <w:bookmarkStart w:id="9" w:name="_Toc296503156"/>
      <w:bookmarkStart w:id="10" w:name="_Toc296891196"/>
      <w:bookmarkStart w:id="11" w:name="_Toc296890984"/>
      <w:bookmarkStart w:id="12" w:name="_Toc296346657"/>
      <w:bookmarkStart w:id="13" w:name="_Toc296347155"/>
      <w:bookmarkStart w:id="14" w:name="_Toc292559866"/>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12677986"/>
      <w:bookmarkStart w:id="31" w:name="_Toc300934943"/>
      <w:bookmarkStart w:id="32" w:name="_Toc318581155"/>
      <w:bookmarkStart w:id="33" w:name="_Toc304295521"/>
      <w:bookmarkStart w:id="34" w:name="_Toc303539100"/>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3539101"/>
      <w:bookmarkStart w:id="36" w:name="_Toc312677987"/>
      <w:bookmarkStart w:id="37" w:name="_Toc304295522"/>
      <w:bookmarkStart w:id="38" w:name="_Toc318581156"/>
      <w:bookmarkStart w:id="39"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2559362"/>
      <w:bookmarkStart w:id="48" w:name="_Toc292559867"/>
      <w:bookmarkStart w:id="49" w:name="_Toc297120457"/>
      <w:bookmarkStart w:id="50" w:name="_Toc296347156"/>
      <w:bookmarkStart w:id="51" w:name="_Toc296890985"/>
      <w:bookmarkStart w:id="52" w:name="_Toc296346658"/>
      <w:bookmarkStart w:id="53" w:name="_Toc296503157"/>
      <w:bookmarkStart w:id="54" w:name="_Toc296891197"/>
      <w:bookmarkStart w:id="55" w:name="_Toc297048343"/>
      <w:bookmarkStart w:id="56" w:name="_Toc296944496"/>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2559363"/>
      <w:bookmarkStart w:id="66" w:name="_Toc296891198"/>
      <w:bookmarkStart w:id="67" w:name="_Toc296503158"/>
      <w:bookmarkStart w:id="68" w:name="_Toc292559868"/>
      <w:bookmarkStart w:id="69" w:name="_Toc297048344"/>
      <w:bookmarkStart w:id="70" w:name="_Toc297120458"/>
      <w:bookmarkStart w:id="71" w:name="_Toc296347157"/>
      <w:bookmarkStart w:id="72" w:name="_Toc296944497"/>
      <w:bookmarkStart w:id="73" w:name="_Toc296346659"/>
      <w:bookmarkStart w:id="74" w:name="_Toc296890986"/>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6890987"/>
      <w:bookmarkStart w:id="88" w:name="_Toc296891199"/>
      <w:bookmarkStart w:id="89" w:name="_Toc303539102"/>
      <w:bookmarkStart w:id="90" w:name="_Toc296944498"/>
      <w:bookmarkStart w:id="91" w:name="_Toc296347158"/>
      <w:bookmarkStart w:id="92" w:name="_Toc296503159"/>
      <w:bookmarkStart w:id="93" w:name="_Toc300934945"/>
      <w:bookmarkStart w:id="94" w:name="_Toc304295523"/>
      <w:bookmarkStart w:id="95" w:name="_Toc296346660"/>
      <w:bookmarkStart w:id="96" w:name="_Toc292559869"/>
      <w:bookmarkStart w:id="97" w:name="_Toc292559364"/>
      <w:bookmarkStart w:id="98" w:name="_Toc297216151"/>
      <w:bookmarkStart w:id="99" w:name="_Toc297048345"/>
      <w:bookmarkStart w:id="100" w:name="_Toc297123492"/>
      <w:bookmarkStart w:id="101" w:name="_Toc297120459"/>
      <w:bookmarkStart w:id="102" w:name="_Toc31267798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6346661"/>
      <w:bookmarkStart w:id="104" w:name="_Toc297123493"/>
      <w:bookmarkStart w:id="105" w:name="_Toc296347159"/>
      <w:bookmarkStart w:id="106" w:name="_Toc296503160"/>
      <w:bookmarkStart w:id="107" w:name="_Toc296944499"/>
      <w:bookmarkStart w:id="108" w:name="_Toc303539103"/>
      <w:bookmarkStart w:id="109" w:name="_Toc296891200"/>
      <w:bookmarkStart w:id="110" w:name="_Toc297216152"/>
      <w:bookmarkStart w:id="111" w:name="_Toc292559870"/>
      <w:bookmarkStart w:id="112" w:name="_Toc300934946"/>
      <w:bookmarkStart w:id="113" w:name="_Toc297120460"/>
      <w:bookmarkStart w:id="114" w:name="_Toc296890988"/>
      <w:bookmarkStart w:id="115" w:name="_Toc304295524"/>
      <w:bookmarkStart w:id="116" w:name="_Toc297048346"/>
      <w:bookmarkStart w:id="117" w:name="_Toc292559365"/>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0934947"/>
      <w:bookmarkStart w:id="122" w:name="_Toc296346662"/>
      <w:bookmarkStart w:id="123" w:name="_Toc297216153"/>
      <w:bookmarkStart w:id="124" w:name="_Toc296890989"/>
      <w:bookmarkStart w:id="125" w:name="_Toc303539104"/>
      <w:bookmarkStart w:id="126" w:name="_Toc296891201"/>
      <w:bookmarkStart w:id="127" w:name="_Toc296503161"/>
      <w:bookmarkStart w:id="128" w:name="_Toc297120461"/>
      <w:bookmarkStart w:id="129" w:name="_Toc297123494"/>
      <w:bookmarkStart w:id="130" w:name="_Toc296347160"/>
      <w:bookmarkStart w:id="131" w:name="_Toc297048347"/>
      <w:bookmarkStart w:id="132" w:name="_Toc304295525"/>
      <w:bookmarkStart w:id="133" w:name="_Toc296944500"/>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1202"/>
      <w:bookmarkStart w:id="139" w:name="_Toc292559871"/>
      <w:bookmarkStart w:id="140" w:name="_Toc296503162"/>
      <w:bookmarkStart w:id="141" w:name="_Toc297120462"/>
      <w:bookmarkStart w:id="142" w:name="_Toc292559366"/>
      <w:bookmarkStart w:id="143" w:name="_Toc297048348"/>
      <w:bookmarkStart w:id="144" w:name="_Toc296890990"/>
      <w:bookmarkStart w:id="145" w:name="_Toc296347161"/>
      <w:bookmarkStart w:id="146" w:name="_Toc296346663"/>
      <w:bookmarkStart w:id="147" w:name="_Toc296944501"/>
      <w:bookmarkStart w:id="148" w:name="_Toc267251413"/>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7048349"/>
      <w:bookmarkStart w:id="163" w:name="_Toc296944502"/>
      <w:bookmarkStart w:id="164" w:name="_Toc292559872"/>
      <w:bookmarkStart w:id="165" w:name="_Toc296503163"/>
      <w:bookmarkStart w:id="166" w:name="_Toc296890991"/>
      <w:bookmarkStart w:id="167" w:name="_Toc296346664"/>
      <w:bookmarkStart w:id="168" w:name="_Toc296891203"/>
      <w:bookmarkStart w:id="169" w:name="_Toc296347162"/>
      <w:bookmarkStart w:id="170" w:name="_Toc297120463"/>
      <w:bookmarkStart w:id="171" w:name="_Toc292559367"/>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18581164"/>
      <w:bookmarkStart w:id="173" w:name="_Toc303539106"/>
      <w:bookmarkStart w:id="174" w:name="_Toc312677997"/>
      <w:bookmarkStart w:id="175" w:name="_Toc300934949"/>
      <w:bookmarkStart w:id="176" w:name="_Toc297216155"/>
      <w:bookmarkStart w:id="177" w:name="_Toc297123496"/>
      <w:bookmarkStart w:id="178"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297216173"/>
      <w:bookmarkStart w:id="187" w:name="_Toc304295541"/>
      <w:bookmarkStart w:id="188" w:name="_Toc312678005"/>
      <w:bookmarkStart w:id="189" w:name="_Toc312677479"/>
      <w:bookmarkStart w:id="190" w:name="_Toc303539123"/>
      <w:bookmarkStart w:id="191" w:name="_Toc297123514"/>
      <w:bookmarkStart w:id="192"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12677484"/>
      <w:bookmarkStart w:id="194" w:name="_Toc300934968"/>
      <w:bookmarkStart w:id="195" w:name="_Toc297216175"/>
      <w:bookmarkStart w:id="196" w:name="_Toc303539125"/>
      <w:bookmarkStart w:id="197" w:name="_Toc297123516"/>
      <w:bookmarkStart w:id="198" w:name="_Toc304295546"/>
      <w:bookmarkStart w:id="199" w:name="_Toc312678010"/>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8581169"/>
      <w:bookmarkStart w:id="202" w:name="_Toc312678012"/>
      <w:bookmarkStart w:id="203" w:name="_Toc312677486"/>
      <w:bookmarkStart w:id="204" w:name="_Toc303539127"/>
      <w:bookmarkStart w:id="205" w:name="_Toc297123518"/>
      <w:bookmarkStart w:id="206" w:name="_Toc300934970"/>
      <w:bookmarkStart w:id="207" w:name="_Toc297216177"/>
      <w:bookmarkStart w:id="208" w:name="_Toc30429554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312678015"/>
      <w:bookmarkStart w:id="215" w:name="_Toc297216178"/>
      <w:bookmarkStart w:id="216" w:name="_Toc303539128"/>
      <w:bookmarkStart w:id="217" w:name="_Toc300934971"/>
      <w:bookmarkStart w:id="218" w:name="_Toc297123519"/>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03539129"/>
      <w:bookmarkStart w:id="221" w:name="_Toc304295550"/>
      <w:bookmarkStart w:id="222" w:name="_Toc318581172"/>
      <w:bookmarkStart w:id="223" w:name="_Toc300934972"/>
      <w:bookmarkStart w:id="224" w:name="_Toc312678016"/>
      <w:bookmarkStart w:id="225" w:name="_Toc297216179"/>
      <w:bookmarkStart w:id="226" w:name="_Toc297123520"/>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04295551"/>
      <w:bookmarkStart w:id="228" w:name="_Toc297216180"/>
      <w:bookmarkStart w:id="229" w:name="_Toc297123521"/>
      <w:bookmarkStart w:id="230" w:name="_Toc300934973"/>
      <w:bookmarkStart w:id="231" w:name="_Toc303539130"/>
      <w:bookmarkStart w:id="232" w:name="_Toc312678017"/>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296891207"/>
      <w:bookmarkStart w:id="237" w:name="_Toc300934979"/>
      <w:bookmarkStart w:id="238" w:name="_Toc297123527"/>
      <w:bookmarkStart w:id="239" w:name="_Toc303539136"/>
      <w:bookmarkStart w:id="240" w:name="_Toc296503167"/>
      <w:bookmarkStart w:id="241" w:name="_Toc296944506"/>
      <w:bookmarkStart w:id="242" w:name="_Toc292559372"/>
      <w:bookmarkStart w:id="243" w:name="_Toc292559877"/>
      <w:bookmarkStart w:id="244" w:name="_Toc296346668"/>
      <w:bookmarkStart w:id="245" w:name="_Toc297120467"/>
      <w:bookmarkStart w:id="246" w:name="_Toc312677493"/>
      <w:bookmarkStart w:id="247" w:name="_Toc280868654"/>
      <w:bookmarkStart w:id="248" w:name="_Toc296890995"/>
      <w:bookmarkStart w:id="249" w:name="_Toc312678019"/>
      <w:bookmarkStart w:id="250" w:name="_Toc297216186"/>
      <w:bookmarkStart w:id="251" w:name="_Toc304295556"/>
      <w:bookmarkStart w:id="252" w:name="_Toc297048353"/>
      <w:bookmarkStart w:id="253" w:name="_Toc296347166"/>
      <w:bookmarkStart w:id="254" w:name="_Toc280868655"/>
      <w:bookmarkStart w:id="255" w:name="_Toc267251424"/>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318581173"/>
      <w:bookmarkStart w:id="260" w:name="_Toc296891208"/>
      <w:bookmarkStart w:id="261" w:name="_Toc300934980"/>
      <w:bookmarkStart w:id="262" w:name="_Toc296890996"/>
      <w:bookmarkStart w:id="263" w:name="_Toc296944507"/>
      <w:bookmarkStart w:id="264" w:name="_Toc297048354"/>
      <w:bookmarkStart w:id="265" w:name="_Toc297123528"/>
      <w:bookmarkStart w:id="266" w:name="_Toc312677494"/>
      <w:bookmarkStart w:id="267" w:name="_Toc303539137"/>
      <w:bookmarkStart w:id="268" w:name="_Toc296346669"/>
      <w:bookmarkStart w:id="269" w:name="_Toc297120468"/>
      <w:bookmarkStart w:id="270" w:name="_Toc296503168"/>
      <w:bookmarkStart w:id="271" w:name="_Toc297216187"/>
      <w:bookmarkStart w:id="272" w:name="_Toc304295557"/>
      <w:bookmarkStart w:id="273" w:name="_Toc296347167"/>
      <w:bookmarkStart w:id="274" w:name="_Toc312678020"/>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8021"/>
      <w:bookmarkStart w:id="278" w:name="_Toc312677495"/>
      <w:bookmarkStart w:id="279" w:name="_Toc300934982"/>
      <w:bookmarkStart w:id="280" w:name="_Toc303539139"/>
      <w:bookmarkStart w:id="281" w:name="_Toc297123533"/>
      <w:bookmarkStart w:id="282" w:name="_Toc304295559"/>
      <w:bookmarkStart w:id="283" w:name="_Toc297216192"/>
      <w:bookmarkStart w:id="284" w:name="_Toc296347172"/>
      <w:bookmarkStart w:id="285" w:name="_Toc292559883"/>
      <w:bookmarkStart w:id="286" w:name="_Toc296891213"/>
      <w:bookmarkStart w:id="287" w:name="_Toc292559378"/>
      <w:bookmarkStart w:id="288" w:name="_Toc296346674"/>
      <w:bookmarkStart w:id="289" w:name="_Toc297048359"/>
      <w:bookmarkStart w:id="290" w:name="_Toc296503173"/>
      <w:bookmarkStart w:id="291" w:name="_Toc296891001"/>
      <w:bookmarkStart w:id="292" w:name="_Toc296944512"/>
      <w:bookmarkStart w:id="293" w:name="_Toc267251427"/>
      <w:bookmarkStart w:id="294" w:name="_Toc267251428"/>
      <w:bookmarkStart w:id="295" w:name="_Toc297120473"/>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312678022"/>
      <w:bookmarkStart w:id="297" w:name="_Toc303539140"/>
      <w:bookmarkStart w:id="298" w:name="_Toc300934983"/>
      <w:bookmarkStart w:id="299" w:name="_Toc312677496"/>
      <w:bookmarkStart w:id="300" w:name="_Toc297216193"/>
      <w:bookmarkStart w:id="301" w:name="_Toc297123534"/>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04295561"/>
      <w:bookmarkStart w:id="304" w:name="_Toc297216194"/>
      <w:bookmarkStart w:id="305" w:name="_Toc303539141"/>
      <w:bookmarkStart w:id="306" w:name="_Toc312677497"/>
      <w:bookmarkStart w:id="307" w:name="_Toc297123535"/>
      <w:bookmarkStart w:id="308" w:name="_Toc312678023"/>
      <w:bookmarkStart w:id="309" w:name="_Toc300934984"/>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3539142"/>
      <w:bookmarkStart w:id="312" w:name="_Toc297123536"/>
      <w:bookmarkStart w:id="313" w:name="_Toc297216195"/>
      <w:bookmarkStart w:id="314" w:name="_Toc300934985"/>
      <w:bookmarkStart w:id="315" w:name="_Toc312677498"/>
      <w:bookmarkStart w:id="316" w:name="_Toc304295562"/>
      <w:bookmarkStart w:id="317" w:name="_Toc312678024"/>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346694"/>
      <w:bookmarkStart w:id="321" w:name="_Toc297120493"/>
      <w:bookmarkStart w:id="322" w:name="_Toc296891021"/>
      <w:bookmarkStart w:id="323" w:name="_Toc292559903"/>
      <w:bookmarkStart w:id="324" w:name="_Toc312678025"/>
      <w:bookmarkStart w:id="325" w:name="_Toc304295566"/>
      <w:bookmarkStart w:id="326" w:name="_Toc303539146"/>
      <w:bookmarkStart w:id="327" w:name="_Toc296347192"/>
      <w:bookmarkStart w:id="328" w:name="_Toc300934989"/>
      <w:bookmarkStart w:id="329" w:name="_Toc297123540"/>
      <w:bookmarkStart w:id="330" w:name="_Toc292559398"/>
      <w:bookmarkStart w:id="331" w:name="_Toc312677499"/>
      <w:bookmarkStart w:id="332" w:name="_Toc296891233"/>
      <w:bookmarkStart w:id="333" w:name="_Toc297048379"/>
      <w:bookmarkStart w:id="334" w:name="_Toc296503193"/>
      <w:bookmarkStart w:id="335" w:name="_Toc297216199"/>
      <w:bookmarkStart w:id="336" w:name="_Toc296944532"/>
      <w:bookmarkStart w:id="337" w:name="_Toc267251440"/>
      <w:bookmarkStart w:id="338" w:name="_Toc267251441"/>
      <w:bookmarkStart w:id="339" w:name="_Toc267251433"/>
      <w:bookmarkStart w:id="340" w:name="_Toc267251439"/>
      <w:bookmarkStart w:id="341" w:name="_Toc267251437"/>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303539147"/>
      <w:bookmarkStart w:id="345" w:name="_Toc296503194"/>
      <w:bookmarkStart w:id="346" w:name="_Toc297123541"/>
      <w:bookmarkStart w:id="347" w:name="_Toc297048380"/>
      <w:bookmarkStart w:id="348" w:name="_Toc312678026"/>
      <w:bookmarkStart w:id="349" w:name="_Toc296944533"/>
      <w:bookmarkStart w:id="350" w:name="_Toc304295567"/>
      <w:bookmarkStart w:id="351" w:name="_Toc297120494"/>
      <w:bookmarkStart w:id="352" w:name="_Toc296891234"/>
      <w:bookmarkStart w:id="353" w:name="_Toc296891022"/>
      <w:bookmarkStart w:id="354" w:name="_Toc292559399"/>
      <w:bookmarkStart w:id="355" w:name="_Toc312677500"/>
      <w:bookmarkStart w:id="356" w:name="_Toc296347193"/>
      <w:bookmarkStart w:id="357" w:name="_Toc297216200"/>
      <w:bookmarkStart w:id="358" w:name="_Toc292559904"/>
      <w:bookmarkStart w:id="359" w:name="_Toc300934990"/>
      <w:bookmarkStart w:id="360" w:name="_Toc296346695"/>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20812"/>
      <w:bookmarkStart w:id="362" w:name="_Toc3374"/>
      <w:bookmarkStart w:id="363" w:name="_Toc19724"/>
      <w:bookmarkStart w:id="364" w:name="_Toc7719"/>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0"/>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0"/>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0"/>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304295577"/>
      <w:bookmarkStart w:id="367" w:name="_Toc303539157"/>
      <w:bookmarkStart w:id="368" w:name="_Toc296347200"/>
      <w:bookmarkStart w:id="369" w:name="_Toc297120501"/>
      <w:bookmarkStart w:id="370" w:name="_Toc297216209"/>
      <w:bookmarkStart w:id="371" w:name="_Toc296944540"/>
      <w:bookmarkStart w:id="372" w:name="_Toc297048387"/>
      <w:bookmarkStart w:id="373" w:name="_Toc292559406"/>
      <w:bookmarkStart w:id="374" w:name="_Toc312678039"/>
      <w:bookmarkStart w:id="375" w:name="_Toc296503201"/>
      <w:bookmarkStart w:id="376" w:name="_Toc296346702"/>
      <w:bookmarkStart w:id="377" w:name="_Toc297123550"/>
      <w:bookmarkStart w:id="378" w:name="_Toc292559911"/>
      <w:bookmarkStart w:id="379" w:name="_Toc296891241"/>
      <w:bookmarkStart w:id="380" w:name="_Toc300935000"/>
      <w:bookmarkStart w:id="381" w:name="_Toc296891029"/>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7120505"/>
      <w:bookmarkStart w:id="383" w:name="_Toc296891033"/>
      <w:bookmarkStart w:id="384" w:name="_Toc296503205"/>
      <w:bookmarkStart w:id="385" w:name="_Toc292559915"/>
      <w:bookmarkStart w:id="386" w:name="_Toc296891245"/>
      <w:bookmarkStart w:id="387" w:name="_Toc296346706"/>
      <w:bookmarkStart w:id="388" w:name="_Toc296944544"/>
      <w:bookmarkStart w:id="389" w:name="_Toc297048391"/>
      <w:bookmarkStart w:id="390" w:name="_Toc292559410"/>
      <w:bookmarkStart w:id="391" w:name="_Toc296347204"/>
      <w:bookmarkStart w:id="392" w:name="_Toc300935002"/>
      <w:bookmarkStart w:id="393" w:name="_Toc304295579"/>
      <w:bookmarkStart w:id="394" w:name="_Toc303539159"/>
      <w:bookmarkStart w:id="395" w:name="_Toc361220573"/>
      <w:bookmarkStart w:id="396" w:name="_Toc297123552"/>
      <w:bookmarkStart w:id="397" w:name="_Toc312678040"/>
      <w:bookmarkStart w:id="398" w:name="_Toc297216211"/>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92559916"/>
      <w:bookmarkStart w:id="410" w:name="_Toc267251461"/>
      <w:bookmarkStart w:id="411" w:name="_Toc297120506"/>
      <w:bookmarkStart w:id="412" w:name="_Toc296891246"/>
      <w:bookmarkStart w:id="413" w:name="_Toc296347205"/>
      <w:bookmarkStart w:id="414" w:name="_Toc297048392"/>
      <w:bookmarkStart w:id="415" w:name="_Toc296891034"/>
      <w:bookmarkStart w:id="416" w:name="_Toc296944545"/>
      <w:bookmarkStart w:id="417" w:name="_Toc296346707"/>
      <w:bookmarkStart w:id="418" w:name="_Toc296503206"/>
      <w:bookmarkStart w:id="419" w:name="_Toc312678041"/>
      <w:bookmarkStart w:id="420" w:name="_Toc303539160"/>
      <w:bookmarkStart w:id="421" w:name="_Toc304295580"/>
      <w:bookmarkStart w:id="422" w:name="_Toc297123553"/>
      <w:bookmarkStart w:id="423" w:name="_Toc297216212"/>
      <w:bookmarkStart w:id="424" w:name="_Toc300935003"/>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304295581"/>
      <w:bookmarkStart w:id="430" w:name="_Toc300935004"/>
      <w:bookmarkStart w:id="431" w:name="_Toc297216213"/>
      <w:bookmarkStart w:id="432" w:name="_Toc312678042"/>
      <w:bookmarkStart w:id="433" w:name="_Toc297123554"/>
      <w:bookmarkStart w:id="434" w:name="_Toc303539161"/>
      <w:bookmarkStart w:id="435" w:name="_Toc296891247"/>
      <w:bookmarkStart w:id="436" w:name="_Toc296346708"/>
      <w:bookmarkStart w:id="437" w:name="_Toc296347206"/>
      <w:bookmarkStart w:id="438" w:name="_Toc296944546"/>
      <w:bookmarkStart w:id="439" w:name="_Toc292559917"/>
      <w:bookmarkStart w:id="440" w:name="_Toc296891035"/>
      <w:bookmarkStart w:id="441" w:name="_Toc292559412"/>
      <w:bookmarkStart w:id="442" w:name="_Toc297120507"/>
      <w:bookmarkStart w:id="443" w:name="_Toc296503207"/>
      <w:bookmarkStart w:id="444"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292559921"/>
      <w:bookmarkStart w:id="454" w:name="_Toc296347210"/>
      <w:bookmarkStart w:id="455" w:name="_Toc296346712"/>
      <w:bookmarkStart w:id="456" w:name="_Toc297048397"/>
      <w:bookmarkStart w:id="457" w:name="_Toc296503211"/>
      <w:bookmarkStart w:id="458" w:name="_Toc292559416"/>
      <w:bookmarkStart w:id="459" w:name="_Toc303539163"/>
      <w:bookmarkStart w:id="460" w:name="_Toc300935006"/>
      <w:bookmarkStart w:id="461" w:name="_Toc296891039"/>
      <w:bookmarkStart w:id="462" w:name="_Toc297123556"/>
      <w:bookmarkStart w:id="463" w:name="_Toc296944550"/>
      <w:bookmarkStart w:id="464" w:name="_Toc297120511"/>
      <w:bookmarkStart w:id="465" w:name="_Toc296891251"/>
      <w:bookmarkStart w:id="466" w:name="_Toc297216215"/>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346720"/>
      <w:bookmarkStart w:id="472" w:name="_Toc296891047"/>
      <w:bookmarkStart w:id="473" w:name="_Toc292559424"/>
      <w:bookmarkStart w:id="474" w:name="_Toc304295593"/>
      <w:bookmarkStart w:id="475" w:name="_Toc297120519"/>
      <w:bookmarkStart w:id="476" w:name="_Toc296891259"/>
      <w:bookmarkStart w:id="477" w:name="_Toc312678053"/>
      <w:bookmarkStart w:id="478" w:name="_Toc296944558"/>
      <w:bookmarkStart w:id="479" w:name="_Toc303539172"/>
      <w:bookmarkStart w:id="480" w:name="_Toc297048405"/>
      <w:bookmarkStart w:id="481" w:name="_Toc300935015"/>
      <w:bookmarkStart w:id="482" w:name="_Toc296347218"/>
      <w:bookmarkStart w:id="483" w:name="_Toc297216223"/>
      <w:bookmarkStart w:id="484" w:name="_Toc297123564"/>
      <w:bookmarkStart w:id="485" w:name="_Toc292559929"/>
      <w:bookmarkStart w:id="486" w:name="_Toc296503219"/>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2559933"/>
      <w:bookmarkStart w:id="490" w:name="_Toc296944562"/>
      <w:bookmarkStart w:id="491" w:name="_Toc303539173"/>
      <w:bookmarkStart w:id="492" w:name="_Toc297120523"/>
      <w:bookmarkStart w:id="493" w:name="_Toc297216224"/>
      <w:bookmarkStart w:id="494" w:name="_Toc296503223"/>
      <w:bookmarkStart w:id="495" w:name="_Toc296346724"/>
      <w:bookmarkStart w:id="496" w:name="_Toc312678056"/>
      <w:bookmarkStart w:id="497" w:name="_Toc292559428"/>
      <w:bookmarkStart w:id="498" w:name="_Toc296891263"/>
      <w:bookmarkStart w:id="499" w:name="_Toc296347222"/>
      <w:bookmarkStart w:id="500" w:name="_Toc300935016"/>
      <w:bookmarkStart w:id="501" w:name="_Toc297048409"/>
      <w:bookmarkStart w:id="502" w:name="_Toc297123565"/>
      <w:bookmarkStart w:id="503" w:name="_Toc304295596"/>
      <w:bookmarkStart w:id="504" w:name="_Toc296891051"/>
      <w:bookmarkStart w:id="505" w:name="_Toc267251473"/>
      <w:bookmarkStart w:id="506" w:name="_Toc267251476"/>
      <w:bookmarkStart w:id="507" w:name="_Toc267251471"/>
      <w:bookmarkStart w:id="508" w:name="_Toc267251472"/>
      <w:bookmarkStart w:id="509" w:name="_Toc267251475"/>
      <w:bookmarkStart w:id="510" w:name="_Toc267251470"/>
      <w:bookmarkStart w:id="511" w:name="_Toc267251474"/>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6"/>
      <w:bookmarkStart w:id="534" w:name="_Toc267251488"/>
      <w:bookmarkStart w:id="535" w:name="_Toc267251489"/>
      <w:bookmarkStart w:id="536" w:name="_Toc267251496"/>
      <w:bookmarkStart w:id="537" w:name="_Toc267251497"/>
      <w:bookmarkStart w:id="538" w:name="_Toc267251501"/>
      <w:bookmarkStart w:id="539" w:name="_Toc267251492"/>
      <w:bookmarkStart w:id="540" w:name="_Toc267251494"/>
      <w:bookmarkStart w:id="541" w:name="_Toc267251502"/>
      <w:bookmarkStart w:id="542" w:name="_Toc267251495"/>
      <w:bookmarkStart w:id="543" w:name="_Toc267251499"/>
      <w:bookmarkStart w:id="544" w:name="_Toc267251503"/>
      <w:bookmarkStart w:id="545" w:name="_Toc267251493"/>
      <w:bookmarkStart w:id="546" w:name="_Toc267251491"/>
      <w:bookmarkStart w:id="547" w:name="_Toc267251498"/>
      <w:bookmarkStart w:id="548" w:name="_Toc267251506"/>
      <w:bookmarkStart w:id="549" w:name="_Toc267251504"/>
      <w:bookmarkStart w:id="550" w:name="_Toc267251507"/>
      <w:bookmarkStart w:id="551" w:name="_Toc267251508"/>
      <w:bookmarkStart w:id="552" w:name="_Toc267251513"/>
      <w:bookmarkStart w:id="553" w:name="_Toc267251514"/>
      <w:bookmarkStart w:id="554" w:name="_Toc267251510"/>
      <w:bookmarkStart w:id="555" w:name="_Toc267251515"/>
      <w:bookmarkStart w:id="556" w:name="_Toc267251511"/>
      <w:bookmarkStart w:id="557" w:name="_Toc267251509"/>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873317"/>
      <w:bookmarkStart w:id="591" w:name="_Toc82338234"/>
      <w:bookmarkStart w:id="592" w:name="_Toc211745566"/>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36683578"/>
      <w:bookmarkStart w:id="596" w:name="_Toc396297233"/>
      <w:bookmarkStart w:id="597" w:name="_Toc34557553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96297234"/>
      <w:bookmarkStart w:id="600" w:name="_Toc336683579"/>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jc w:val="center"/>
              <w:rPr>
                <w:rFonts w:hAnsi="宋体" w:cs="Arial"/>
                <w:sz w:val="24"/>
              </w:rPr>
            </w:pPr>
          </w:p>
        </w:tc>
        <w:tc>
          <w:tcPr>
            <w:tcW w:w="1984" w:type="dxa"/>
            <w:vAlign w:val="center"/>
          </w:tcPr>
          <w:p>
            <w:pPr>
              <w:pStyle w:val="7"/>
              <w:adjustRightInd w:val="0"/>
              <w:snapToGrid w:val="0"/>
              <w:spacing w:line="440" w:lineRule="exact"/>
              <w:jc w:val="center"/>
              <w:rPr>
                <w:rFonts w:hAnsi="宋体" w:cs="Arial"/>
                <w:sz w:val="24"/>
              </w:rPr>
            </w:pPr>
          </w:p>
        </w:tc>
        <w:tc>
          <w:tcPr>
            <w:tcW w:w="1701" w:type="dxa"/>
            <w:vAlign w:val="center"/>
          </w:tcPr>
          <w:p>
            <w:pPr>
              <w:pStyle w:val="7"/>
              <w:adjustRightInd w:val="0"/>
              <w:snapToGrid w:val="0"/>
              <w:spacing w:line="440" w:lineRule="exact"/>
              <w:jc w:val="center"/>
              <w:rPr>
                <w:rFonts w:hAnsi="宋体" w:cs="Arial"/>
                <w:sz w:val="24"/>
              </w:rPr>
            </w:pPr>
          </w:p>
        </w:tc>
        <w:tc>
          <w:tcPr>
            <w:tcW w:w="1815" w:type="dxa"/>
            <w:vAlign w:val="center"/>
          </w:tcPr>
          <w:p>
            <w:pPr>
              <w:pStyle w:val="7"/>
              <w:adjustRightInd w:val="0"/>
              <w:snapToGrid w:val="0"/>
              <w:spacing w:line="440" w:lineRule="exact"/>
              <w:jc w:val="center"/>
              <w:rPr>
                <w:rFonts w:hAnsi="宋体" w:cs="Arial"/>
                <w:sz w:val="24"/>
              </w:rPr>
            </w:pPr>
          </w:p>
        </w:tc>
        <w:tc>
          <w:tcPr>
            <w:tcW w:w="1445" w:type="dxa"/>
            <w:vAlign w:val="center"/>
          </w:tcPr>
          <w:p>
            <w:pPr>
              <w:pStyle w:val="7"/>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37774582"/>
            <w:bookmarkStart w:id="605" w:name="_Toc469473461"/>
            <w:bookmarkStart w:id="606" w:name="_Toc37774550"/>
            <w:bookmarkStart w:id="607" w:name="_Toc18251"/>
            <w:bookmarkStart w:id="608" w:name="_Toc9328"/>
            <w:bookmarkStart w:id="609" w:name="_Toc336683576"/>
            <w:bookmarkStart w:id="610" w:name="_Toc396297236"/>
            <w:bookmarkStart w:id="611" w:name="_Toc345575535"/>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8476"/>
            <w:bookmarkStart w:id="613" w:name="_Toc37774583"/>
            <w:bookmarkStart w:id="614" w:name="_Toc6403"/>
            <w:bookmarkStart w:id="615" w:name="_Toc469473462"/>
            <w:bookmarkStart w:id="616"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0" w:firstLineChars="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rPr>
                <w:rFonts w:ascii="仿宋" w:hAnsi="仿宋" w:eastAsia="仿宋" w:cs="仿宋"/>
                <w:sz w:val="24"/>
              </w:rPr>
            </w:pPr>
            <w:r>
              <w:rPr>
                <w:rFonts w:hint="eastAsia" w:ascii="仿宋" w:hAnsi="仿宋" w:eastAsia="仿宋" w:cs="仿宋"/>
                <w:sz w:val="24"/>
              </w:rPr>
              <w:t>总报价（大写）：</w:t>
            </w:r>
          </w:p>
        </w:tc>
      </w:tr>
    </w:tbl>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60288;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on="f" focussize="0,0"/>
                  <v:stroke weight="0.5pt" color="#000000" joinstyle="round"/>
                  <v:imagedata o:title=""/>
                  <o:lock v:ext="edit" aspectratio="f"/>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12" w:type="dxa"/>
            <w:vAlign w:val="center"/>
          </w:tcPr>
          <w:p>
            <w:pPr>
              <w:widowControl/>
              <w:tabs>
                <w:tab w:val="center" w:pos="4755"/>
                <w:tab w:val="right" w:pos="9070"/>
              </w:tabs>
              <w:autoSpaceDN w:val="0"/>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总报价(大写):</w:t>
            </w:r>
          </w:p>
        </w:tc>
      </w:tr>
    </w:tbl>
    <w:p>
      <w:pPr>
        <w:autoSpaceDN w:val="0"/>
        <w:rPr>
          <w:rFonts w:ascii="仿宋" w:hAnsi="仿宋" w:eastAsia="仿宋" w:cs="仿宋"/>
          <w:sz w:val="24"/>
        </w:rPr>
      </w:pPr>
      <w:r>
        <w:rPr>
          <w:rFonts w:hint="eastAsia" w:ascii="仿宋" w:hAnsi="仿宋" w:eastAsia="仿宋" w:cs="仿宋"/>
          <w:sz w:val="24"/>
        </w:rPr>
        <w:t>注:本表适用于：</w:t>
      </w:r>
    </w:p>
    <w:p>
      <w:pPr>
        <w:autoSpaceDN w:val="0"/>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rPr>
          <w:rFonts w:ascii="仿宋" w:hAnsi="仿宋" w:eastAsia="仿宋" w:cs="仿宋"/>
          <w:sz w:val="24"/>
        </w:rPr>
      </w:pPr>
      <w:r>
        <w:rPr>
          <w:rFonts w:hint="eastAsia" w:ascii="仿宋" w:hAnsi="仿宋" w:eastAsia="仿宋" w:cs="仿宋"/>
          <w:sz w:val="24"/>
        </w:rPr>
        <w:t>（2）其余采购项目的单位工程报价汇总。</w:t>
      </w:r>
    </w:p>
    <w:p>
      <w:pPr>
        <w:autoSpaceDN w:val="0"/>
        <w:rPr>
          <w:rFonts w:ascii="仿宋" w:hAnsi="仿宋" w:eastAsia="仿宋" w:cs="仿宋"/>
          <w:sz w:val="24"/>
        </w:rPr>
      </w:pP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bl>
    <w:p>
      <w:pPr>
        <w:autoSpaceDN w:val="0"/>
        <w:rPr>
          <w:rFonts w:ascii="仿宋" w:hAnsi="仿宋" w:eastAsia="仿宋" w:cs="仿宋"/>
          <w:sz w:val="24"/>
        </w:rPr>
      </w:pPr>
    </w:p>
    <w:p>
      <w:pPr>
        <w:autoSpaceDN w:val="0"/>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autoSpaceDN w:val="0"/>
        <w:rPr>
          <w:rFonts w:hAnsi="仿宋" w:eastAsia="仿宋"/>
          <w:sz w:val="22"/>
          <w:szCs w:val="22"/>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rPr>
          <w:rFonts w:ascii="仿宋" w:hAnsi="仿宋" w:eastAsia="仿宋" w:cs="仿宋"/>
          <w:sz w:val="24"/>
        </w:rPr>
      </w:pPr>
    </w:p>
    <w:p>
      <w:pPr>
        <w:autoSpaceDN w:val="0"/>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w:t>
            </w:r>
          </w:p>
          <w:p>
            <w:pPr>
              <w:autoSpaceDN w:val="0"/>
              <w:rPr>
                <w:rFonts w:ascii="仿宋" w:hAnsi="仿宋" w:eastAsia="仿宋" w:cs="仿宋"/>
                <w:sz w:val="24"/>
              </w:rPr>
            </w:pPr>
            <w:r>
              <w:rPr>
                <w:rFonts w:hint="eastAsia" w:ascii="仿宋" w:hAnsi="仿宋" w:eastAsia="仿宋" w:cs="仿宋"/>
                <w:sz w:val="24"/>
              </w:rPr>
              <w:t>描述</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rPr>
                <w:rFonts w:ascii="仿宋" w:hAnsi="仿宋" w:eastAsia="仿宋" w:cs="仿宋"/>
                <w:sz w:val="24"/>
              </w:rPr>
            </w:pPr>
          </w:p>
        </w:tc>
        <w:tc>
          <w:tcPr>
            <w:tcW w:w="1272" w:type="dxa"/>
            <w:vMerge w:val="continue"/>
            <w:noWrap/>
            <w:vAlign w:val="center"/>
          </w:tcPr>
          <w:p>
            <w:pPr>
              <w:autoSpaceDN w:val="0"/>
              <w:rPr>
                <w:rFonts w:ascii="仿宋" w:hAnsi="仿宋" w:eastAsia="仿宋" w:cs="仿宋"/>
                <w:sz w:val="24"/>
              </w:rPr>
            </w:pPr>
          </w:p>
        </w:tc>
        <w:tc>
          <w:tcPr>
            <w:tcW w:w="1440" w:type="dxa"/>
            <w:vMerge w:val="continue"/>
            <w:noWrap/>
            <w:vAlign w:val="center"/>
          </w:tcPr>
          <w:p>
            <w:pPr>
              <w:autoSpaceDN w:val="0"/>
              <w:rPr>
                <w:rFonts w:ascii="仿宋" w:hAnsi="仿宋" w:eastAsia="仿宋" w:cs="仿宋"/>
                <w:sz w:val="24"/>
              </w:rPr>
            </w:pPr>
          </w:p>
        </w:tc>
        <w:tc>
          <w:tcPr>
            <w:tcW w:w="1440" w:type="dxa"/>
            <w:vMerge w:val="continue"/>
            <w:noWrap/>
          </w:tcPr>
          <w:p>
            <w:pPr>
              <w:autoSpaceDN w:val="0"/>
              <w:rPr>
                <w:rFonts w:ascii="仿宋" w:hAnsi="仿宋" w:eastAsia="仿宋" w:cs="仿宋"/>
                <w:sz w:val="24"/>
              </w:rPr>
            </w:pPr>
          </w:p>
        </w:tc>
        <w:tc>
          <w:tcPr>
            <w:tcW w:w="1260" w:type="dxa"/>
            <w:vMerge w:val="continue"/>
            <w:noWrap/>
          </w:tcPr>
          <w:p>
            <w:pPr>
              <w:autoSpaceDN w:val="0"/>
              <w:rPr>
                <w:rFonts w:ascii="仿宋" w:hAnsi="仿宋" w:eastAsia="仿宋" w:cs="仿宋"/>
                <w:sz w:val="24"/>
              </w:rPr>
            </w:pPr>
          </w:p>
        </w:tc>
        <w:tc>
          <w:tcPr>
            <w:tcW w:w="1260" w:type="dxa"/>
            <w:vMerge w:val="continue"/>
            <w:noWrap/>
            <w:vAlign w:val="center"/>
          </w:tcPr>
          <w:p>
            <w:pPr>
              <w:autoSpaceDN w:val="0"/>
              <w:rPr>
                <w:rFonts w:ascii="仿宋" w:hAnsi="仿宋" w:eastAsia="仿宋" w:cs="仿宋"/>
                <w:sz w:val="24"/>
              </w:rPr>
            </w:pPr>
          </w:p>
        </w:tc>
        <w:tc>
          <w:tcPr>
            <w:tcW w:w="1236" w:type="dxa"/>
            <w:vMerge w:val="continue"/>
            <w:noWrap/>
            <w:vAlign w:val="center"/>
          </w:tcPr>
          <w:p>
            <w:pPr>
              <w:autoSpaceDN w:val="0"/>
              <w:rPr>
                <w:rFonts w:ascii="仿宋" w:hAnsi="仿宋" w:eastAsia="仿宋" w:cs="仿宋"/>
                <w:sz w:val="24"/>
              </w:rPr>
            </w:pPr>
          </w:p>
        </w:tc>
        <w:tc>
          <w:tcPr>
            <w:tcW w:w="1026" w:type="dxa"/>
            <w:vMerge w:val="continue"/>
            <w:noWrap/>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center"/>
              <w:rPr>
                <w:rFonts w:ascii="仿宋" w:hAnsi="仿宋" w:eastAsia="仿宋" w:cs="仿宋"/>
                <w:sz w:val="24"/>
              </w:rPr>
            </w:pPr>
            <w:r>
              <w:rPr>
                <w:rFonts w:hint="eastAsia" w:ascii="仿宋" w:hAnsi="仿宋" w:eastAsia="仿宋" w:cs="仿宋"/>
                <w:sz w:val="24"/>
              </w:rPr>
              <w:t>（2）</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（3）</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（4）</w:t>
            </w:r>
          </w:p>
        </w:tc>
        <w:tc>
          <w:tcPr>
            <w:tcW w:w="1260" w:type="dxa"/>
            <w:noWrap/>
          </w:tcPr>
          <w:p>
            <w:pPr>
              <w:autoSpaceDN w:val="0"/>
              <w:jc w:val="center"/>
              <w:rPr>
                <w:rFonts w:ascii="仿宋" w:hAnsi="仿宋" w:eastAsia="仿宋" w:cs="仿宋"/>
                <w:sz w:val="24"/>
              </w:rPr>
            </w:pPr>
            <w:r>
              <w:rPr>
                <w:rFonts w:hint="eastAsia" w:ascii="仿宋" w:hAnsi="仿宋" w:eastAsia="仿宋" w:cs="仿宋"/>
                <w:sz w:val="24"/>
              </w:rPr>
              <w:t>（5）</w:t>
            </w: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76"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大型机械设备进出场及安拆</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施工降水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施工排水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地下、地下设施或建筑物的临时保护措施</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rPr>
                <w:rFonts w:ascii="仿宋" w:hAnsi="仿宋" w:eastAsia="仿宋" w:cs="仿宋"/>
                <w:sz w:val="24"/>
              </w:rPr>
            </w:pPr>
          </w:p>
        </w:tc>
        <w:tc>
          <w:tcPr>
            <w:tcW w:w="1272" w:type="dxa"/>
            <w:noWrap/>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模板</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bl>
    <w:p>
      <w:pPr>
        <w:autoSpaceDN w:val="0"/>
        <w:jc w:val="center"/>
        <w:rPr>
          <w:rFonts w:ascii="Times New Roman" w:hAnsi="Cambria" w:eastAsia="宋体" w:cs="Times New Roman"/>
          <w:b/>
          <w:bCs/>
          <w:kern w:val="2"/>
          <w:sz w:val="28"/>
          <w:szCs w:val="28"/>
          <w:lang w:val="en-US" w:eastAsia="zh-CN" w:bidi="ar-SA"/>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ascii="Times New Roman" w:hAnsi="Cambria" w:eastAsia="宋体" w:cs="Times New Roman"/>
          <w:b/>
          <w:bCs/>
          <w:kern w:val="2"/>
          <w:sz w:val="28"/>
          <w:szCs w:val="28"/>
          <w:lang w:val="en-US" w:eastAsia="zh-CN" w:bidi="ar-SA"/>
        </w:rPr>
        <w:t>1-4  其他项目清单及计价表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rPr>
                <w:rFonts w:ascii="仿宋" w:hAnsi="仿宋" w:eastAsia="仿宋" w:cs="仿宋"/>
                <w:sz w:val="24"/>
              </w:rPr>
            </w:pP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bl>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jc w:val="center"/>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注：表中（1）～（4）由采购人按需要提出。</w:t>
      </w:r>
    </w:p>
    <w:p>
      <w:pPr>
        <w:autoSpaceDN w:val="0"/>
        <w:rPr>
          <w:rFonts w:eastAsia="仿宋"/>
          <w:sz w:val="22"/>
          <w:szCs w:val="22"/>
        </w:rPr>
      </w:pPr>
    </w:p>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r>
              <w:rPr>
                <w:rFonts w:hint="eastAsia" w:ascii="仿宋" w:hAnsi="仿宋" w:eastAsia="仿宋" w:cs="仿宋"/>
                <w:sz w:val="24"/>
              </w:rPr>
              <w:t>（1）</w:t>
            </w:r>
          </w:p>
        </w:tc>
        <w:tc>
          <w:tcPr>
            <w:tcW w:w="3068" w:type="dxa"/>
            <w:noWrap/>
          </w:tcPr>
          <w:p>
            <w:pPr>
              <w:autoSpaceDN w:val="0"/>
              <w:rPr>
                <w:rFonts w:ascii="仿宋" w:hAnsi="仿宋" w:eastAsia="仿宋" w:cs="仿宋"/>
                <w:sz w:val="24"/>
              </w:rPr>
            </w:pPr>
            <w:r>
              <w:rPr>
                <w:rFonts w:hint="eastAsia" w:ascii="仿宋" w:hAnsi="仿宋" w:eastAsia="仿宋" w:cs="仿宋"/>
                <w:sz w:val="24"/>
              </w:rPr>
              <w:t>（2）</w:t>
            </w:r>
          </w:p>
        </w:tc>
        <w:tc>
          <w:tcPr>
            <w:tcW w:w="1323" w:type="dxa"/>
            <w:noWrap/>
          </w:tcPr>
          <w:p>
            <w:pPr>
              <w:autoSpaceDN w:val="0"/>
              <w:rPr>
                <w:rFonts w:ascii="仿宋" w:hAnsi="仿宋" w:eastAsia="仿宋" w:cs="仿宋"/>
                <w:sz w:val="24"/>
              </w:rPr>
            </w:pPr>
            <w:r>
              <w:rPr>
                <w:rFonts w:hint="eastAsia" w:ascii="仿宋" w:hAnsi="仿宋" w:eastAsia="仿宋" w:cs="仿宋"/>
                <w:sz w:val="24"/>
              </w:rPr>
              <w:t>工日</w:t>
            </w: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注：本表（1）、（2）栏由采购人按需要提出。</w:t>
      </w:r>
    </w:p>
    <w:p>
      <w:pPr>
        <w:autoSpaceDN w:val="0"/>
        <w:rPr>
          <w:rFonts w:ascii="仿宋" w:hAnsi="仿宋" w:eastAsia="仿宋" w:cs="仿宋"/>
          <w:sz w:val="24"/>
        </w:rPr>
      </w:pPr>
    </w:p>
    <w:p>
      <w:pPr>
        <w:autoSpaceDN w:val="0"/>
        <w:rPr>
          <w:rFonts w:ascii="仿宋" w:hAnsi="仿宋" w:eastAsia="仿宋" w:cs="仿宋"/>
          <w:sz w:val="24"/>
        </w:rPr>
      </w:pPr>
    </w:p>
    <w:p>
      <w:pPr>
        <w:autoSpaceDN w:val="0"/>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台班</w:t>
            </w: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rPr>
          <w:rFonts w:eastAsia="仿宋"/>
          <w:sz w:val="22"/>
          <w:szCs w:val="22"/>
        </w:rPr>
      </w:pPr>
    </w:p>
    <w:p>
      <w:pPr>
        <w:autoSpaceDN w:val="0"/>
        <w:rPr>
          <w:rFonts w:eastAsia="仿宋"/>
          <w:sz w:val="22"/>
          <w:szCs w:val="22"/>
        </w:rPr>
      </w:pPr>
    </w:p>
    <w:p>
      <w:pPr>
        <w:autoSpaceDN w:val="0"/>
        <w:rPr>
          <w:rFonts w:eastAsia="仿宋"/>
          <w:sz w:val="22"/>
          <w:szCs w:val="22"/>
        </w:rPr>
      </w:pPr>
    </w:p>
    <w:p>
      <w:pPr>
        <w:autoSpaceDN w:val="0"/>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autoSpaceDN w:val="0"/>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360"/>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360"/>
              <w:jc w:val="center"/>
              <w:rPr>
                <w:rFonts w:ascii="仿宋" w:hAnsi="仿宋" w:eastAsia="仿宋" w:cs="仿宋"/>
                <w:sz w:val="24"/>
              </w:rPr>
            </w:pPr>
          </w:p>
        </w:tc>
      </w:tr>
    </w:tbl>
    <w:p>
      <w:pPr>
        <w:widowControl/>
        <w:tabs>
          <w:tab w:val="center" w:pos="4755"/>
          <w:tab w:val="right" w:pos="9070"/>
        </w:tabs>
        <w:autoSpaceDN w:val="0"/>
        <w:rPr>
          <w:rFonts w:ascii="仿宋" w:hAnsi="仿宋" w:eastAsia="仿宋" w:cs="仿宋"/>
          <w:sz w:val="24"/>
        </w:rPr>
      </w:pPr>
    </w:p>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rPr>
          <w:rFonts w:ascii="仿宋" w:hAnsi="仿宋" w:eastAsia="仿宋" w:cs="仿宋"/>
          <w:sz w:val="24"/>
        </w:rPr>
      </w:pPr>
      <w:r>
        <w:rPr>
          <w:rFonts w:hint="eastAsia" w:ascii="仿宋" w:hAnsi="仿宋" w:eastAsia="仿宋" w:cs="仿宋"/>
          <w:sz w:val="24"/>
        </w:rPr>
        <w:t>项目编码:                                             计量单位：</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rPr>
          <w:rFonts w:ascii="新宋体" w:hAnsi="新宋体" w:eastAsia="新宋体" w:cs="新宋体"/>
          <w:sz w:val="24"/>
        </w:rPr>
      </w:pPr>
      <w:r>
        <w:rPr>
          <w:rFonts w:hint="eastAsia" w:ascii="新宋体" w:hAnsi="新宋体" w:eastAsia="新宋体" w:cs="新宋体"/>
          <w:sz w:val="24"/>
        </w:rPr>
        <w:t>项目编码:                                            计量单位：</w:t>
      </w:r>
    </w:p>
    <w:p>
      <w:pPr>
        <w:autoSpaceDN w:val="0"/>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bl>
    <w:p>
      <w:pPr>
        <w:widowControl/>
        <w:tabs>
          <w:tab w:val="center" w:pos="4755"/>
          <w:tab w:val="right" w:pos="9070"/>
        </w:tabs>
        <w:autoSpaceDN w:val="0"/>
        <w:jc w:val="left"/>
        <w:rPr>
          <w:rFonts w:ascii="新宋体" w:hAnsi="新宋体" w:eastAsia="新宋体" w:cs="新宋体"/>
          <w:sz w:val="24"/>
        </w:rPr>
      </w:pPr>
    </w:p>
    <w:p>
      <w:pPr>
        <w:autoSpaceDN w:val="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合计</w:t>
            </w: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sz w:val="24"/>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bookmarkEnd w:id="590"/>
    <w:bookmarkEnd w:id="591"/>
    <w:bookmarkEnd w:id="592"/>
    <w:p>
      <w:pPr>
        <w:widowControl/>
        <w:spacing w:line="360" w:lineRule="auto"/>
        <w:jc w:val="left"/>
        <w:rPr>
          <w:rFonts w:ascii="宋体" w:hAnsi="宋体" w:cs="宋体"/>
          <w:b/>
          <w:bCs/>
          <w:szCs w:val="32"/>
        </w:rPr>
      </w:pPr>
      <w:bookmarkStart w:id="619" w:name="_Toc230930642"/>
      <w:bookmarkStart w:id="620" w:name="_Toc396297239"/>
      <w:bookmarkStart w:id="621" w:name="_Toc345575549"/>
      <w:bookmarkStart w:id="622" w:name="_Toc335138374"/>
      <w:bookmarkStart w:id="623" w:name="_Toc303030576"/>
      <w:bookmarkStart w:id="624" w:name="_Toc184635147"/>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35138375"/>
      <w:bookmarkStart w:id="626" w:name="_Toc303030577"/>
      <w:bookmarkStart w:id="627" w:name="_Toc230930643"/>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kern w:val="0"/>
        </w:rPr>
      </w:pPr>
      <w:bookmarkStart w:id="628" w:name="_Toc204944488"/>
      <w:bookmarkStart w:id="629" w:name="_Toc208051215"/>
      <w:bookmarkStart w:id="630" w:name="_Toc335138376"/>
      <w:bookmarkStart w:id="631" w:name="_Toc191897610"/>
      <w:bookmarkStart w:id="632" w:name="_Toc303030578"/>
      <w:bookmarkStart w:id="633" w:name="_Toc227658251"/>
      <w:bookmarkStart w:id="634" w:name="_Toc179623472"/>
      <w:bookmarkStart w:id="635" w:name="_Toc179801514"/>
      <w:bookmarkStart w:id="636" w:name="_Toc208484561"/>
      <w:r>
        <w:rPr>
          <w:rFonts w:hint="eastAsia" w:ascii="宋体" w:hAnsi="宋体" w:cs="宋体"/>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kern w:val="0"/>
        </w:rPr>
        <w:t>格式</w:t>
      </w:r>
    </w:p>
    <w:p>
      <w:pPr>
        <w:autoSpaceDE w:val="0"/>
        <w:autoSpaceDN w:val="0"/>
        <w:adjustRightInd w:val="0"/>
        <w:spacing w:line="360" w:lineRule="auto"/>
        <w:ind w:firstLine="420" w:firstLineChars="200"/>
        <w:jc w:val="left"/>
        <w:rPr>
          <w:rFonts w:hint="eastAsia" w:ascii="宋体" w:hAnsi="宋体" w:eastAsia="宋体" w:cs="宋体"/>
          <w:kern w:val="0"/>
          <w:sz w:val="21"/>
          <w:szCs w:val="24"/>
          <w:lang w:val="en-US" w:eastAsia="zh-CN" w:bidi="ar-SA"/>
        </w:rPr>
      </w:pPr>
      <w:r>
        <w:rPr>
          <w:rFonts w:hint="eastAsia" w:ascii="宋体" w:hAnsi="宋体" w:eastAsia="宋体" w:cs="宋体"/>
          <w:kern w:val="0"/>
          <w:sz w:val="21"/>
          <w:szCs w:val="24"/>
          <w:lang w:val="en-US" w:eastAsia="zh-CN" w:bidi="ar-SA"/>
        </w:rPr>
        <w:t>详见附件1</w:t>
      </w:r>
    </w:p>
    <w:p>
      <w:pPr>
        <w:autoSpaceDE w:val="0"/>
        <w:autoSpaceDN w:val="0"/>
        <w:adjustRightInd w:val="0"/>
        <w:spacing w:line="360" w:lineRule="auto"/>
        <w:ind w:firstLine="420" w:firstLineChars="200"/>
        <w:jc w:val="left"/>
        <w:rPr>
          <w:rFonts w:hint="eastAsia" w:ascii="宋体" w:hAnsi="宋体" w:cs="宋体"/>
          <w:kern w:val="0"/>
        </w:rPr>
      </w:pPr>
    </w:p>
    <w:p>
      <w:pPr>
        <w:autoSpaceDE w:val="0"/>
        <w:autoSpaceDN w:val="0"/>
        <w:adjustRightInd w:val="0"/>
        <w:spacing w:line="360" w:lineRule="auto"/>
        <w:ind w:firstLine="420" w:firstLineChars="200"/>
        <w:jc w:val="left"/>
      </w:pPr>
      <w:r>
        <w:rPr>
          <w:rFonts w:hint="eastAsia" w:ascii="宋体" w:hAnsi="宋体" w:cs="宋体"/>
          <w:kern w:val="0"/>
        </w:rPr>
        <w:t>（</w:t>
      </w:r>
      <w:r>
        <w:rPr>
          <w:rFonts w:hint="eastAsia" w:ascii="宋体" w:hAnsi="宋体" w:cs="宋体"/>
          <w:kern w:val="0"/>
          <w:lang w:val="en-US" w:eastAsia="zh-CN"/>
        </w:rPr>
        <w:t>三</w:t>
      </w:r>
      <w:r>
        <w:rPr>
          <w:rFonts w:hint="eastAsia" w:ascii="宋体" w:hAnsi="宋体" w:cs="宋体"/>
          <w:kern w:val="0"/>
        </w:rPr>
        <w:t>）</w:t>
      </w:r>
      <w:r>
        <w:rPr>
          <w:rFonts w:hint="eastAsia" w:ascii="宋体" w:hAnsi="宋体" w:cs="宋体"/>
          <w:kern w:val="0"/>
          <w:lang w:val="en-US" w:eastAsia="zh-CN"/>
        </w:rPr>
        <w:t>符合性审查</w:t>
      </w:r>
      <w:r>
        <w:rPr>
          <w:rFonts w:hint="eastAsia" w:ascii="宋体" w:hAnsi="宋体" w:cs="宋体"/>
          <w:kern w:val="0"/>
        </w:rPr>
        <w:t>资料格式</w:t>
      </w:r>
    </w:p>
    <w:p>
      <w:pPr>
        <w:autoSpaceDE w:val="0"/>
        <w:autoSpaceDN w:val="0"/>
        <w:adjustRightInd w:val="0"/>
        <w:spacing w:line="360" w:lineRule="auto"/>
        <w:ind w:firstLine="420" w:firstLineChars="200"/>
        <w:jc w:val="left"/>
        <w:rPr>
          <w:rFonts w:hint="eastAsia" w:ascii="宋体" w:hAnsi="宋体" w:eastAsia="宋体" w:cs="宋体"/>
          <w:kern w:val="0"/>
          <w:lang w:val="en-US" w:eastAsia="zh-CN"/>
        </w:rPr>
      </w:pPr>
      <w:r>
        <w:rPr>
          <w:rFonts w:hint="eastAsia" w:ascii="宋体" w:hAnsi="宋体" w:cs="宋体"/>
          <w:kern w:val="0"/>
        </w:rPr>
        <w:t>详见附件</w:t>
      </w:r>
      <w:r>
        <w:rPr>
          <w:rFonts w:hint="eastAsia" w:ascii="宋体" w:hAnsi="宋体" w:cs="宋体"/>
          <w:kern w:val="0"/>
          <w:lang w:val="en-US" w:eastAsia="zh-CN"/>
        </w:rPr>
        <w:t>2</w:t>
      </w:r>
    </w:p>
    <w:p>
      <w:pPr>
        <w:spacing w:line="360" w:lineRule="auto"/>
        <w:jc w:val="both"/>
        <w:outlineLvl w:val="2"/>
        <w:rPr>
          <w:rFonts w:ascii="宋体" w:hAnsi="宋体" w:cs="宋体"/>
        </w:rPr>
      </w:pPr>
      <w:bookmarkStart w:id="637" w:name="_Toc191897470"/>
      <w:bookmarkStart w:id="638" w:name="_Toc204944489"/>
      <w:bookmarkStart w:id="639" w:name="_Toc179801515"/>
      <w:bookmarkStart w:id="640" w:name="_Toc208484562"/>
      <w:bookmarkStart w:id="641" w:name="_Toc208051216"/>
      <w:bookmarkStart w:id="642" w:name="_Toc227658252"/>
      <w:bookmarkStart w:id="643" w:name="_Toc191897611"/>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8051217"/>
      <w:bookmarkStart w:id="645" w:name="_Toc335138377"/>
      <w:bookmarkStart w:id="646" w:name="_Toc208484563"/>
      <w:bookmarkStart w:id="647" w:name="_Toc179623474"/>
      <w:bookmarkStart w:id="648" w:name="_Toc227658253"/>
      <w:bookmarkStart w:id="649" w:name="_Toc303030579"/>
      <w:bookmarkStart w:id="650" w:name="_Toc179801516"/>
      <w:bookmarkStart w:id="651" w:name="_Toc204944490"/>
      <w:bookmarkStart w:id="652" w:name="_Toc191897612"/>
      <w:r>
        <w:rPr>
          <w:rFonts w:hint="eastAsia" w:ascii="宋体" w:hAnsi="宋体" w:cs="宋体"/>
          <w:sz w:val="28"/>
          <w:szCs w:val="36"/>
        </w:rPr>
        <w:t>附件</w:t>
      </w:r>
      <w:r>
        <w:rPr>
          <w:rFonts w:hint="eastAsia" w:ascii="宋体" w:hAnsi="宋体" w:cs="宋体"/>
          <w:sz w:val="28"/>
          <w:szCs w:val="36"/>
          <w:lang w:val="en-US" w:eastAsia="zh-CN"/>
        </w:rPr>
        <w:t>1</w:t>
      </w:r>
      <w:r>
        <w:rPr>
          <w:rFonts w:hint="eastAsia" w:ascii="宋体" w:hAnsi="宋体" w:cs="宋体"/>
          <w:sz w:val="28"/>
          <w:szCs w:val="36"/>
        </w:rPr>
        <w:t>：</w:t>
      </w:r>
      <w:r>
        <w:rPr>
          <w:rFonts w:hint="eastAsia" w:ascii="宋体" w:hAnsi="宋体" w:cs="宋体"/>
          <w:sz w:val="28"/>
          <w:szCs w:val="36"/>
          <w:lang w:val="en-US" w:eastAsia="zh-CN"/>
        </w:rPr>
        <w:t xml:space="preserve">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b/>
                <w:bCs/>
              </w:rPr>
            </w:pPr>
          </w:p>
          <w:p>
            <w:pPr>
              <w:spacing w:line="300" w:lineRule="exact"/>
              <w:rPr>
                <w:rFonts w:ascii="宋体" w:hAnsi="宋体" w:cs="宋体"/>
                <w:b/>
                <w:bCs/>
              </w:rPr>
            </w:pPr>
          </w:p>
          <w:p>
            <w:pPr>
              <w:spacing w:line="300" w:lineRule="exact"/>
              <w:rPr>
                <w:rFonts w:ascii="宋体" w:hAnsi="宋体" w:cs="宋体"/>
                <w:b/>
                <w:bCs/>
              </w:rPr>
            </w:pPr>
          </w:p>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w:t>
            </w:r>
            <w:r>
              <w:rPr>
                <w:rFonts w:hint="eastAsia"/>
                <w:b/>
                <w:bCs/>
                <w:lang w:val="en-US" w:eastAsia="zh-CN"/>
              </w:rPr>
              <w:t>市政公用</w:t>
            </w:r>
            <w:r>
              <w:rPr>
                <w:rFonts w:hint="eastAsia"/>
                <w:b/>
                <w:bCs/>
              </w:rPr>
              <w:t>工程</w:t>
            </w:r>
            <w:r>
              <w:rPr>
                <w:rFonts w:hint="eastAsia"/>
                <w:b/>
                <w:bCs/>
                <w:lang w:val="en-US" w:eastAsia="zh-CN"/>
              </w:rPr>
              <w:t>施工</w:t>
            </w:r>
            <w:r>
              <w:rPr>
                <w:rFonts w:hint="eastAsia"/>
                <w:b/>
                <w:bCs/>
              </w:rPr>
              <w:t>总承包</w:t>
            </w:r>
            <w:r>
              <w:rPr>
                <w:rFonts w:hint="eastAsia"/>
                <w:b/>
                <w:bCs/>
                <w:lang w:val="en-US" w:eastAsia="zh-CN"/>
              </w:rPr>
              <w:t>三</w:t>
            </w:r>
            <w:r>
              <w:rPr>
                <w:rFonts w:hint="eastAsia"/>
                <w:b/>
                <w:bCs/>
              </w:rPr>
              <w:t>级及以上资质。具有有效期内的安全生产许可证。供应商项目负责人具有</w:t>
            </w:r>
            <w:r>
              <w:rPr>
                <w:rFonts w:hint="eastAsia"/>
                <w:b/>
                <w:bCs/>
                <w:lang w:val="en-US" w:eastAsia="zh-CN"/>
              </w:rPr>
              <w:t>市政</w:t>
            </w:r>
            <w:r>
              <w:rPr>
                <w:rFonts w:hint="eastAsia"/>
                <w:b/>
                <w:bCs/>
              </w:rPr>
              <w:t>工程二级及以上建造师注册证书。拟派现场安全生产专职管理人员具有“三类人员”有效C类证书</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245088215"/>
      <w:bookmarkStart w:id="654" w:name="_Toc396297240"/>
      <w:bookmarkStart w:id="655" w:name="_Toc345575550"/>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default" w:ascii="宋体" w:hAnsi="宋体" w:cs="宋体"/>
          <w:sz w:val="44"/>
          <w:szCs w:val="32"/>
          <w:lang w:val="en-US" w:eastAsia="zh-CN"/>
        </w:rPr>
      </w:pPr>
      <w:r>
        <w:rPr>
          <w:rFonts w:hint="eastAsia" w:ascii="宋体" w:hAnsi="宋体" w:cs="宋体"/>
          <w:b/>
          <w:bCs/>
        </w:rPr>
        <w:t>附件</w:t>
      </w:r>
      <w:r>
        <w:rPr>
          <w:rFonts w:hint="eastAsia" w:ascii="宋体" w:hAnsi="宋体" w:cs="宋体"/>
          <w:b/>
          <w:bCs/>
          <w:lang w:val="en-US" w:eastAsia="zh-CN"/>
        </w:rPr>
        <w:t>2</w:t>
      </w:r>
      <w:r>
        <w:rPr>
          <w:rFonts w:hint="eastAsia" w:ascii="宋体" w:hAnsi="宋体" w:cs="宋体"/>
          <w:b/>
          <w:bCs/>
        </w:rPr>
        <w:t>：</w:t>
      </w:r>
      <w:r>
        <w:rPr>
          <w:rFonts w:hint="eastAsia" w:hAnsi="宋体" w:cs="宋体"/>
          <w:b/>
          <w:bCs/>
          <w:lang w:val="en-US" w:eastAsia="zh-CN"/>
        </w:rPr>
        <w:t xml:space="preserve"> </w:t>
      </w:r>
      <w:r>
        <w:rPr>
          <w:rFonts w:hint="eastAsia" w:hAnsi="宋体" w:cs="宋体"/>
          <w:lang w:val="en-US" w:eastAsia="zh-CN"/>
        </w:rPr>
        <w:t xml:space="preserve">              </w:t>
      </w:r>
      <w:r>
        <w:rPr>
          <w:rFonts w:hint="eastAsia" w:ascii="宋体" w:hAnsi="宋体" w:cs="宋体"/>
          <w:b/>
          <w:bCs/>
          <w:sz w:val="44"/>
          <w:szCs w:val="32"/>
          <w:lang w:val="en-US" w:eastAsia="zh-CN"/>
        </w:rPr>
        <w:t>符合性审查</w:t>
      </w:r>
      <w:r>
        <w:rPr>
          <w:rFonts w:hint="eastAsia" w:hAnsi="宋体" w:cs="宋体"/>
          <w:b/>
          <w:bCs/>
          <w:sz w:val="44"/>
          <w:szCs w:val="32"/>
          <w:lang w:val="en-US" w:eastAsia="zh-CN"/>
        </w:rPr>
        <w:t>条件</w:t>
      </w:r>
    </w:p>
    <w:p>
      <w:pPr>
        <w:pStyle w:val="2"/>
        <w:ind w:left="0" w:leftChars="0" w:firstLine="0" w:firstLineChars="0"/>
        <w:rPr>
          <w:rFonts w:hint="default" w:ascii="宋体" w:hAnsi="宋体" w:cs="宋体"/>
          <w:sz w:val="44"/>
          <w:szCs w:val="32"/>
          <w:lang w:val="en-US" w:eastAsia="zh-CN"/>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pStyle w:val="2"/>
              <w:ind w:left="0" w:leftChars="0" w:firstLine="422" w:firstLineChars="200"/>
              <w:rPr>
                <w:b/>
                <w:bCs/>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bl>
    <w:p>
      <w:pPr>
        <w:pStyle w:val="2"/>
        <w:ind w:left="0" w:leftChars="0" w:firstLine="0" w:firstLineChars="0"/>
        <w:rPr>
          <w:rFonts w:hint="eastAsia" w:ascii="宋体" w:hAnsi="宋体" w:cs="宋体"/>
        </w:rPr>
      </w:pPr>
      <w:r>
        <w:rPr>
          <w:rFonts w:hint="eastAsia" w:ascii="宋体" w:hAnsi="宋体" w:cs="宋体"/>
        </w:rPr>
        <w:t>注:按本格式和要求提供。</w:t>
      </w: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42511944"/>
      <w:bookmarkStart w:id="657" w:name="_Toc4902"/>
      <w:bookmarkStart w:id="658" w:name="_Toc297115119"/>
      <w:bookmarkStart w:id="659" w:name="_Toc16054"/>
      <w:bookmarkStart w:id="660" w:name="_Toc359357397"/>
      <w:r>
        <w:rPr>
          <w:rFonts w:cs="Arial"/>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661" w:name="_Toc16086"/>
      <w:bookmarkStart w:id="662" w:name="_Toc297115120"/>
      <w:bookmarkStart w:id="663" w:name="_Toc359357398"/>
      <w:bookmarkStart w:id="664" w:name="_Toc42511945"/>
      <w:bookmarkStart w:id="665" w:name="_Toc12018"/>
      <w:r>
        <w:rPr>
          <w:rFonts w:cs="Arial"/>
        </w:rPr>
        <w:t>劳动力计划表</w:t>
      </w:r>
      <w:bookmarkEnd w:id="661"/>
      <w:bookmarkEnd w:id="662"/>
      <w:bookmarkEnd w:id="663"/>
      <w:bookmarkEnd w:id="664"/>
      <w:bookmarkEnd w:id="665"/>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18537"/>
      <w:bookmarkStart w:id="667" w:name="_Toc359357399"/>
      <w:bookmarkStart w:id="668" w:name="_Toc42511946"/>
      <w:bookmarkStart w:id="669" w:name="_Toc297115123"/>
      <w:bookmarkStart w:id="670" w:name="_Toc25747"/>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50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47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1488" w:type="dxa"/>
            <w:vAlign w:val="center"/>
          </w:tcPr>
          <w:p>
            <w:pPr>
              <w:jc w:val="center"/>
              <w:rPr>
                <w:rFonts w:ascii="Arial" w:hAnsi="Arial" w:cs="Arial"/>
                <w:kern w:val="0"/>
                <w:szCs w:val="28"/>
              </w:rPr>
            </w:pPr>
            <w:r>
              <w:rPr>
                <w:rFonts w:ascii="Arial" w:hAnsi="Arial" w:cs="Arial"/>
                <w:kern w:val="0"/>
                <w:szCs w:val="28"/>
              </w:rPr>
              <w:t>原服务单位</w:t>
            </w:r>
          </w:p>
        </w:tc>
        <w:tc>
          <w:tcPr>
            <w:tcW w:w="889" w:type="dxa"/>
            <w:vAlign w:val="center"/>
          </w:tcPr>
          <w:p>
            <w:pPr>
              <w:jc w:val="center"/>
              <w:rPr>
                <w:rFonts w:ascii="Arial" w:hAnsi="Arial" w:cs="Arial"/>
                <w:kern w:val="0"/>
                <w:szCs w:val="28"/>
              </w:rPr>
            </w:pPr>
            <w:r>
              <w:rPr>
                <w:rFonts w:ascii="Arial" w:hAnsi="Arial" w:cs="Arial"/>
                <w:kern w:val="0"/>
                <w:szCs w:val="28"/>
              </w:rPr>
              <w:t>项目数</w:t>
            </w:r>
          </w:p>
        </w:tc>
        <w:tc>
          <w:tcPr>
            <w:tcW w:w="1589"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1488" w:type="dxa"/>
          </w:tcPr>
          <w:p>
            <w:pPr>
              <w:spacing w:line="360" w:lineRule="auto"/>
              <w:rPr>
                <w:rFonts w:ascii="Arial" w:hAnsi="Arial" w:cs="Arial"/>
                <w:kern w:val="0"/>
                <w:szCs w:val="28"/>
              </w:rPr>
            </w:pPr>
          </w:p>
        </w:tc>
        <w:tc>
          <w:tcPr>
            <w:tcW w:w="889" w:type="dxa"/>
          </w:tcPr>
          <w:p>
            <w:pPr>
              <w:spacing w:line="360" w:lineRule="auto"/>
              <w:rPr>
                <w:rFonts w:ascii="Arial" w:hAnsi="Arial" w:cs="Arial"/>
                <w:kern w:val="0"/>
                <w:szCs w:val="28"/>
              </w:rPr>
            </w:pPr>
          </w:p>
        </w:tc>
        <w:tc>
          <w:tcPr>
            <w:tcW w:w="1589"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19557"/>
      <w:bookmarkStart w:id="672" w:name="_Toc4251194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6032"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755"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755"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1496"/>
      <w:bookmarkStart w:id="678" w:name="_Toc26555"/>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69"/>
      </w:pPr>
    </w:p>
    <w:p/>
    <w:p>
      <w:pPr>
        <w:pStyle w:val="5"/>
      </w:pPr>
    </w:p>
    <w:p>
      <w:pPr>
        <w:adjustRightInd w:val="0"/>
        <w:spacing w:line="360" w:lineRule="auto"/>
        <w:jc w:val="center"/>
        <w:rPr>
          <w:rFonts w:cs="Calibri"/>
          <w:b/>
          <w:bCs/>
          <w:sz w:val="24"/>
        </w:rPr>
      </w:pPr>
    </w:p>
    <w:p>
      <w:pPr>
        <w:adjustRightInd w:val="0"/>
        <w:spacing w:line="360" w:lineRule="auto"/>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4F4893"/>
    <w:rsid w:val="01981F77"/>
    <w:rsid w:val="01AB56B6"/>
    <w:rsid w:val="01C506B1"/>
    <w:rsid w:val="02E30FB0"/>
    <w:rsid w:val="02F4678E"/>
    <w:rsid w:val="03040DB4"/>
    <w:rsid w:val="03127217"/>
    <w:rsid w:val="03195712"/>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133958"/>
    <w:rsid w:val="0C313BDE"/>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4F40D8"/>
    <w:rsid w:val="11627CCB"/>
    <w:rsid w:val="11D81D1D"/>
    <w:rsid w:val="121D4DA6"/>
    <w:rsid w:val="122C2389"/>
    <w:rsid w:val="12366631"/>
    <w:rsid w:val="124B6E1E"/>
    <w:rsid w:val="1263004B"/>
    <w:rsid w:val="12846BC3"/>
    <w:rsid w:val="12883761"/>
    <w:rsid w:val="128B0AD7"/>
    <w:rsid w:val="12F303D4"/>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A314AF"/>
    <w:rsid w:val="1B18382E"/>
    <w:rsid w:val="1B52059B"/>
    <w:rsid w:val="1B785E1E"/>
    <w:rsid w:val="1B8247B0"/>
    <w:rsid w:val="1BEC3964"/>
    <w:rsid w:val="1BFD12D6"/>
    <w:rsid w:val="1C177904"/>
    <w:rsid w:val="1C2166D2"/>
    <w:rsid w:val="1C352FCB"/>
    <w:rsid w:val="1C3B34B2"/>
    <w:rsid w:val="1C5B70C4"/>
    <w:rsid w:val="1CF41BBF"/>
    <w:rsid w:val="1CF90C1E"/>
    <w:rsid w:val="1CF94291"/>
    <w:rsid w:val="1D315D2D"/>
    <w:rsid w:val="1DE5056E"/>
    <w:rsid w:val="1DEC17C4"/>
    <w:rsid w:val="1DFD78BA"/>
    <w:rsid w:val="1E086C80"/>
    <w:rsid w:val="1E0B1E5B"/>
    <w:rsid w:val="1E131E61"/>
    <w:rsid w:val="1EA543A2"/>
    <w:rsid w:val="1EB03C21"/>
    <w:rsid w:val="1F3A60D0"/>
    <w:rsid w:val="1F8A401D"/>
    <w:rsid w:val="1FA75E40"/>
    <w:rsid w:val="20264887"/>
    <w:rsid w:val="20347E9E"/>
    <w:rsid w:val="203E2B13"/>
    <w:rsid w:val="20472A98"/>
    <w:rsid w:val="205A7F44"/>
    <w:rsid w:val="208C266E"/>
    <w:rsid w:val="209B7680"/>
    <w:rsid w:val="20B33D43"/>
    <w:rsid w:val="21061DC7"/>
    <w:rsid w:val="21B93937"/>
    <w:rsid w:val="21BE3E54"/>
    <w:rsid w:val="21E01579"/>
    <w:rsid w:val="21E767EB"/>
    <w:rsid w:val="227D4193"/>
    <w:rsid w:val="2289046F"/>
    <w:rsid w:val="22F80B40"/>
    <w:rsid w:val="22F9532C"/>
    <w:rsid w:val="23452FA8"/>
    <w:rsid w:val="23653F32"/>
    <w:rsid w:val="23A4798B"/>
    <w:rsid w:val="241F31F8"/>
    <w:rsid w:val="24700784"/>
    <w:rsid w:val="24722A38"/>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EE5249"/>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44502A"/>
    <w:rsid w:val="337B6B4A"/>
    <w:rsid w:val="341764C7"/>
    <w:rsid w:val="344809FA"/>
    <w:rsid w:val="346C2A8B"/>
    <w:rsid w:val="34B809C9"/>
    <w:rsid w:val="34CC0B47"/>
    <w:rsid w:val="34D447A9"/>
    <w:rsid w:val="34E43053"/>
    <w:rsid w:val="35591ECE"/>
    <w:rsid w:val="356B0B27"/>
    <w:rsid w:val="35992045"/>
    <w:rsid w:val="359B3B6C"/>
    <w:rsid w:val="35AC570C"/>
    <w:rsid w:val="35B361B5"/>
    <w:rsid w:val="35C55BB6"/>
    <w:rsid w:val="35FB1165"/>
    <w:rsid w:val="3641320A"/>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533F2B"/>
    <w:rsid w:val="3B713841"/>
    <w:rsid w:val="3BD01B51"/>
    <w:rsid w:val="3BD45F4B"/>
    <w:rsid w:val="3BE32154"/>
    <w:rsid w:val="3C125C62"/>
    <w:rsid w:val="3C3570DC"/>
    <w:rsid w:val="3C4D4E71"/>
    <w:rsid w:val="3C722543"/>
    <w:rsid w:val="3CDB69FF"/>
    <w:rsid w:val="3CE905C4"/>
    <w:rsid w:val="3D5B45F5"/>
    <w:rsid w:val="3DA539BF"/>
    <w:rsid w:val="3E5E3CBA"/>
    <w:rsid w:val="3E79238D"/>
    <w:rsid w:val="3E9926C7"/>
    <w:rsid w:val="3E9C1281"/>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6157D"/>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24887"/>
    <w:rsid w:val="4A962A3F"/>
    <w:rsid w:val="4AA2394E"/>
    <w:rsid w:val="4ABD676B"/>
    <w:rsid w:val="4B1851EE"/>
    <w:rsid w:val="4B884EA9"/>
    <w:rsid w:val="4B966664"/>
    <w:rsid w:val="4BA76D8E"/>
    <w:rsid w:val="4C100436"/>
    <w:rsid w:val="4C4F7E00"/>
    <w:rsid w:val="4C8218E0"/>
    <w:rsid w:val="4CDB3AD4"/>
    <w:rsid w:val="4D0317FE"/>
    <w:rsid w:val="4D054A21"/>
    <w:rsid w:val="4D5135D1"/>
    <w:rsid w:val="4DEB5FEA"/>
    <w:rsid w:val="4E1B33E0"/>
    <w:rsid w:val="4E634143"/>
    <w:rsid w:val="4F2576D0"/>
    <w:rsid w:val="4F5A1A06"/>
    <w:rsid w:val="4F7E05B9"/>
    <w:rsid w:val="4F9F2B44"/>
    <w:rsid w:val="4FFF663D"/>
    <w:rsid w:val="501C792F"/>
    <w:rsid w:val="509176A9"/>
    <w:rsid w:val="5124051D"/>
    <w:rsid w:val="51477EF6"/>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AA49C1"/>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2FD297C"/>
    <w:rsid w:val="632629AA"/>
    <w:rsid w:val="63BB7FB6"/>
    <w:rsid w:val="63FE2002"/>
    <w:rsid w:val="648F289D"/>
    <w:rsid w:val="64D85D95"/>
    <w:rsid w:val="652324CF"/>
    <w:rsid w:val="653D6DE7"/>
    <w:rsid w:val="656E056D"/>
    <w:rsid w:val="65884793"/>
    <w:rsid w:val="66046E31"/>
    <w:rsid w:val="665E5A2D"/>
    <w:rsid w:val="668559B9"/>
    <w:rsid w:val="66CD0329"/>
    <w:rsid w:val="66E2041B"/>
    <w:rsid w:val="66E51A61"/>
    <w:rsid w:val="66FE7402"/>
    <w:rsid w:val="670342D9"/>
    <w:rsid w:val="68252525"/>
    <w:rsid w:val="68530388"/>
    <w:rsid w:val="685E7AF2"/>
    <w:rsid w:val="68912C31"/>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10B34C9"/>
    <w:rsid w:val="71680ECF"/>
    <w:rsid w:val="71BB06F6"/>
    <w:rsid w:val="71C301D2"/>
    <w:rsid w:val="7206518C"/>
    <w:rsid w:val="721645E8"/>
    <w:rsid w:val="72C92829"/>
    <w:rsid w:val="7377726D"/>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0810F5"/>
    <w:rsid w:val="77330299"/>
    <w:rsid w:val="774F73F7"/>
    <w:rsid w:val="77594AD0"/>
    <w:rsid w:val="777C1B09"/>
    <w:rsid w:val="778950BD"/>
    <w:rsid w:val="779F41D9"/>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4117BA"/>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75</Pages>
  <Words>61244</Words>
  <Characters>67145</Characters>
  <Lines>4160</Lines>
  <Paragraphs>3626</Paragraphs>
  <TotalTime>0</TotalTime>
  <ScaleCrop>false</ScaleCrop>
  <LinksUpToDate>false</LinksUpToDate>
  <CharactersWithSpaces>72994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2024-07-15T10:41:17Z</dcterms:modified>
  <dc:title>杭州电子科技大学教学及活动空间改造提升工程棚下网球场地改造工程</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