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7F6E6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69B10451">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highlight w:val="none"/>
              </w:rPr>
              <w:t>一、工程概</w:t>
            </w:r>
            <w:r>
              <w:rPr>
                <w:rFonts w:hint="eastAsia" w:ascii="宋体" w:hAnsi="宋体" w:eastAsia="宋体" w:cs="宋体"/>
                <w:color w:val="000000"/>
                <w:szCs w:val="21"/>
                <w:highlight w:val="none"/>
              </w:rPr>
              <w:t>况：</w:t>
            </w:r>
            <w:r>
              <w:rPr>
                <w:rFonts w:hint="eastAsia" w:ascii="宋体" w:hAnsi="宋体" w:eastAsia="宋体" w:cs="宋体"/>
                <w:color w:val="000000"/>
                <w:highlight w:val="none"/>
              </w:rPr>
              <w:t>杭州电子科技大学教学及活动空间改造提升工程棚下网球场地改造工程。具体内容和工程做法详见施工图及设计说明。</w:t>
            </w:r>
            <w:bookmarkStart w:id="0" w:name="_GoBack"/>
            <w:bookmarkEnd w:id="0"/>
          </w:p>
          <w:p w14:paraId="73A93737">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二、工程招标范围：根据业主提供的图纸确</w:t>
            </w:r>
            <w:r>
              <w:rPr>
                <w:rFonts w:hint="eastAsia" w:ascii="宋体" w:hAnsi="宋体" w:eastAsia="宋体" w:cs="宋体"/>
                <w:color w:val="000000"/>
                <w:highlight w:val="none"/>
              </w:rPr>
              <w:t>定的范围。</w:t>
            </w:r>
          </w:p>
          <w:p w14:paraId="64D0B3B0">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三、编制依据：</w:t>
            </w:r>
          </w:p>
          <w:p w14:paraId="48817EB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1.《建设工程工程量清单计价规范》（GB50500—2013）；</w:t>
            </w:r>
          </w:p>
          <w:p w14:paraId="6131C74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.《通用安装工程工程量计算规范》（GB5085</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—2013）；</w:t>
            </w:r>
          </w:p>
          <w:p w14:paraId="073C173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市政</w:t>
            </w:r>
            <w:r>
              <w:rPr>
                <w:rFonts w:hint="eastAsia" w:ascii="宋体" w:hAnsi="宋体" w:eastAsia="宋体" w:cs="宋体"/>
                <w:color w:val="000000"/>
                <w:szCs w:val="21"/>
                <w:highlight w:val="none"/>
              </w:rPr>
              <w:t>工程工程量计算规范》（GB5085</w:t>
            </w: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—2013）；</w:t>
            </w:r>
          </w:p>
          <w:p w14:paraId="6DDAC4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．《浙江省建设工程工程量清单计价指引》（2013版）；</w:t>
            </w:r>
          </w:p>
          <w:p w14:paraId="2DFE3BD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．《关于印发建设工程工程量计算规范（2013）浙江省补充规定的通知》（浙建站计﹝2013﹞63号）；</w:t>
            </w:r>
          </w:p>
          <w:p w14:paraId="6C8B323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．《杭州市建设工程工程量清单计价实施细则（2018年修订）》；</w:t>
            </w:r>
          </w:p>
          <w:p w14:paraId="2AE7C39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．《浙江省建设工程计价规则》（2018版）；</w:t>
            </w:r>
          </w:p>
          <w:p w14:paraId="4DC250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8.《关于增值税调整后我省建设工程计价依据增值税税率及有关计价调整的通知》（浙建建发[2019]92号 ）；</w:t>
            </w:r>
          </w:p>
          <w:p w14:paraId="5EA6766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14:paraId="31AB1A1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10.《省建设厅关于调整建筑工程安全文明施工费的通知》（浙建建发[2022]37号）；</w:t>
            </w:r>
          </w:p>
          <w:p w14:paraId="0BF1C0A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11.关于贯彻《省建设厅关于调整建筑工程安全文明施工费的通知》的通知（杭建市发[2022]54号）；</w:t>
            </w:r>
          </w:p>
          <w:p w14:paraId="390424F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．省、市建设行政主管部门以及工程造价管理机构颁发的相关计价办法和计价规定；</w:t>
            </w:r>
          </w:p>
          <w:p w14:paraId="6B4DD17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．其他与工程项目有关的规范、标准和技术资料；</w:t>
            </w:r>
          </w:p>
          <w:p w14:paraId="48BC800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w:t>
            </w:r>
            <w:r>
              <w:rPr>
                <w:rFonts w:hint="eastAsia" w:ascii="宋体" w:hAnsi="宋体" w:eastAsia="宋体" w:cs="宋体"/>
                <w:color w:val="000000"/>
                <w:szCs w:val="21"/>
                <w:highlight w:val="none"/>
              </w:rPr>
              <w:t>．施工现场实际情况、工程特点、常规施工方案；</w:t>
            </w:r>
          </w:p>
          <w:p w14:paraId="46849D1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15</w:t>
            </w:r>
            <w:r>
              <w:rPr>
                <w:rFonts w:hint="eastAsia" w:ascii="宋体" w:hAnsi="宋体" w:eastAsia="宋体" w:cs="宋体"/>
                <w:color w:val="000000"/>
                <w:szCs w:val="21"/>
                <w:highlight w:val="none"/>
              </w:rPr>
              <w:t>．业主提供的设计图纸。</w:t>
            </w:r>
          </w:p>
          <w:p w14:paraId="192D55FE">
            <w:pPr>
              <w:pStyle w:val="3"/>
              <w:keepNext w:val="0"/>
              <w:keepLines w:val="0"/>
              <w:pageBreakBefore w:val="0"/>
              <w:widowControl w:val="0"/>
              <w:tabs>
                <w:tab w:val="left" w:pos="3060"/>
              </w:tabs>
              <w:kinsoku/>
              <w:wordWrap/>
              <w:overflowPunct/>
              <w:topLinePunct w:val="0"/>
              <w:bidi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四、报价要求：</w:t>
            </w:r>
          </w:p>
          <w:p w14:paraId="497B0503">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1．工程量清单应与投标人须知，通用合同条款、专用合同条款、技术标准和要求及图纸等文件结合起来查阅与理解，并根据现场实际情况综合考虑报价；</w:t>
            </w:r>
          </w:p>
          <w:p w14:paraId="53A0E639">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72189ED4">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274696BD">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4．安全文明施工基本费费率不得低于《浙江省建设工程计价规则》（2018版）规定的下限，按市区工程计取，其中疫情常态化防控及“智慧工地”费用计取按照：浙建建发[2022]37号文件</w:t>
            </w:r>
            <w:r>
              <w:rPr>
                <w:rFonts w:hint="eastAsia" w:ascii="宋体" w:hAnsi="宋体" w:eastAsia="宋体" w:cs="宋体"/>
                <w:color w:val="000000"/>
                <w:highlight w:val="none"/>
                <w:lang w:val="en-US" w:eastAsia="zh-CN"/>
              </w:rPr>
              <w:t>执行</w:t>
            </w:r>
            <w:r>
              <w:rPr>
                <w:rFonts w:hint="eastAsia" w:ascii="宋体" w:hAnsi="宋体" w:eastAsia="宋体" w:cs="宋体"/>
                <w:color w:val="000000"/>
                <w:highlight w:val="none"/>
              </w:rPr>
              <w:t>，包含在安全文明施工费内</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rPr>
              <w:t>具体如下：</w:t>
            </w:r>
          </w:p>
          <w:p w14:paraId="0BE19862">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8.81</w:t>
            </w:r>
            <w:r>
              <w:rPr>
                <w:rFonts w:hint="eastAsia" w:ascii="宋体" w:hAnsi="宋体" w:eastAsia="宋体" w:cs="宋体"/>
                <w:color w:val="000000"/>
                <w:highlight w:val="none"/>
              </w:rPr>
              <w:t>%；</w:t>
            </w:r>
          </w:p>
          <w:p w14:paraId="7D466EA9">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5．规费费率不得低于《浙江省建设工程计价规则》（2018版）的30%，具体如下：</w:t>
            </w:r>
          </w:p>
          <w:p w14:paraId="294B205B">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5.63</w:t>
            </w:r>
            <w:r>
              <w:rPr>
                <w:rFonts w:hint="eastAsia" w:ascii="宋体" w:hAnsi="宋体" w:eastAsia="宋体" w:cs="宋体"/>
                <w:color w:val="000000"/>
                <w:highlight w:val="none"/>
              </w:rPr>
              <w:t>%；</w:t>
            </w:r>
          </w:p>
          <w:p w14:paraId="558DF543">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6．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 xml:space="preserve"> 384号文件，杭建招标造价中心</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84号文件结合本项目实际情况，自行考虑，包含在企业管理费内。同时，投标人必须对企业管理费中所包含的</w:t>
            </w:r>
            <w:r>
              <w:rPr>
                <w:rFonts w:hint="eastAsia" w:ascii="宋体" w:hAnsi="宋体" w:eastAsia="宋体" w:cs="宋体"/>
                <w:color w:val="000000"/>
                <w:highlight w:val="none"/>
                <w:lang w:val="en-US" w:eastAsia="zh-CN"/>
              </w:rPr>
              <w:t>现场</w:t>
            </w:r>
            <w:r>
              <w:rPr>
                <w:rFonts w:hint="eastAsia" w:ascii="宋体" w:hAnsi="宋体" w:eastAsia="宋体" w:cs="宋体"/>
                <w:color w:val="000000"/>
                <w:highlight w:val="none"/>
              </w:rPr>
              <w:t>临时宿舍</w:t>
            </w:r>
            <w:r>
              <w:rPr>
                <w:rFonts w:hint="eastAsia" w:ascii="宋体" w:hAnsi="宋体" w:eastAsia="宋体" w:cs="宋体"/>
                <w:color w:val="000000"/>
                <w:highlight w:val="none"/>
                <w:lang w:val="en-US" w:eastAsia="zh-CN"/>
              </w:rPr>
              <w:t>空调设施、安全生产责任保险等</w:t>
            </w:r>
            <w:r>
              <w:rPr>
                <w:rFonts w:hint="eastAsia" w:ascii="宋体" w:hAnsi="宋体" w:eastAsia="宋体" w:cs="宋体"/>
                <w:color w:val="000000"/>
                <w:highlight w:val="none"/>
              </w:rPr>
              <w:t>费用，在相应的清单明细表中</w:t>
            </w:r>
            <w:r>
              <w:rPr>
                <w:rFonts w:hint="eastAsia" w:ascii="宋体" w:hAnsi="宋体" w:eastAsia="宋体" w:cs="宋体"/>
                <w:color w:val="000000"/>
                <w:highlight w:val="none"/>
                <w:lang w:val="en-US" w:eastAsia="zh-CN"/>
              </w:rPr>
              <w:t>(表2-5)</w:t>
            </w:r>
            <w:r>
              <w:rPr>
                <w:rFonts w:hint="eastAsia" w:ascii="宋体" w:hAnsi="宋体" w:eastAsia="宋体" w:cs="宋体"/>
                <w:color w:val="000000"/>
                <w:highlight w:val="none"/>
              </w:rPr>
              <w:t>进行单独费用报价分析。具体如下：</w:t>
            </w:r>
          </w:p>
          <w:p w14:paraId="16F045DB">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eastAsia="zh-CN"/>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工程：取费基数为“人工费+机械费”，最低费率为：2.</w:t>
            </w:r>
            <w:r>
              <w:rPr>
                <w:rFonts w:hint="eastAsia" w:ascii="宋体" w:hAnsi="宋体" w:eastAsia="宋体" w:cs="宋体"/>
                <w:color w:val="000000"/>
                <w:highlight w:val="none"/>
                <w:lang w:val="en-US" w:eastAsia="zh-CN"/>
              </w:rPr>
              <w:t>56</w:t>
            </w:r>
            <w:r>
              <w:rPr>
                <w:rFonts w:hint="eastAsia" w:ascii="宋体" w:hAnsi="宋体" w:eastAsia="宋体" w:cs="宋体"/>
                <w:color w:val="000000"/>
                <w:highlight w:val="none"/>
              </w:rPr>
              <w:t>%</w:t>
            </w:r>
            <w:r>
              <w:rPr>
                <w:rFonts w:hint="eastAsia" w:ascii="宋体" w:hAnsi="宋体" w:eastAsia="宋体" w:cs="宋体"/>
                <w:color w:val="000000"/>
                <w:highlight w:val="none"/>
                <w:lang w:eastAsia="zh-CN"/>
              </w:rPr>
              <w:t>；</w:t>
            </w:r>
          </w:p>
          <w:p w14:paraId="6C130BD4">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rPr>
              <w:t>7．税金应根据《浙江省建设工程计价规则》（2018版）的规定及浙建建发[2019]92号的相关规定以（税前工程造价）为取费基数, 取费费率为：9%</w:t>
            </w:r>
            <w:r>
              <w:rPr>
                <w:rFonts w:hint="eastAsia" w:ascii="宋体" w:hAnsi="宋体" w:eastAsia="宋体" w:cs="宋体"/>
                <w:color w:val="000000"/>
                <w:highlight w:val="none"/>
                <w:lang w:eastAsia="zh-CN"/>
              </w:rPr>
              <w:t>。</w:t>
            </w:r>
          </w:p>
          <w:p w14:paraId="23B6A061">
            <w:pPr>
              <w:pStyle w:val="3"/>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000000"/>
              </w:rPr>
            </w:pPr>
            <w:r>
              <w:rPr>
                <w:rFonts w:hint="eastAsia" w:ascii="宋体" w:hAnsi="宋体" w:eastAsia="宋体" w:cs="宋体"/>
                <w:color w:val="000000"/>
                <w:lang w:val="en-US" w:eastAsia="zh-CN"/>
              </w:rPr>
              <w:t>五</w:t>
            </w:r>
            <w:r>
              <w:rPr>
                <w:rFonts w:hint="eastAsia" w:ascii="宋体" w:hAnsi="宋体" w:eastAsia="宋体" w:cs="宋体"/>
                <w:color w:val="000000"/>
              </w:rPr>
              <w:t>、</w:t>
            </w:r>
            <w:r>
              <w:rPr>
                <w:rFonts w:hint="eastAsia" w:ascii="宋体" w:hAnsi="宋体" w:eastAsia="宋体" w:cs="宋体"/>
                <w:color w:val="000000"/>
                <w:lang w:eastAsia="zh-CN"/>
              </w:rPr>
              <w:t>材料</w:t>
            </w:r>
            <w:r>
              <w:rPr>
                <w:rFonts w:hint="eastAsia" w:ascii="宋体" w:hAnsi="宋体" w:eastAsia="宋体" w:cs="宋体"/>
                <w:color w:val="000000"/>
              </w:rPr>
              <w:t>：</w:t>
            </w:r>
          </w:p>
          <w:p w14:paraId="6A8E5185">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一</w:t>
            </w:r>
            <w:r>
              <w:rPr>
                <w:rFonts w:hint="eastAsia" w:ascii="宋体" w:hAnsi="宋体" w:eastAsia="宋体" w:cs="宋体"/>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3CBEBC9A">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二</w:t>
            </w:r>
            <w:r>
              <w:rPr>
                <w:rFonts w:hint="eastAsia" w:ascii="宋体" w:hAnsi="宋体" w:eastAsia="宋体" w:cs="宋体"/>
                <w:szCs w:val="21"/>
              </w:rPr>
              <w:t>）其他的设备、材料等采购：</w:t>
            </w:r>
          </w:p>
          <w:p w14:paraId="3462B2FE">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eastAsia="宋体" w:cs="宋体"/>
                <w:szCs w:val="21"/>
                <w:lang w:eastAsia="zh-CN"/>
              </w:rPr>
              <w:t>；</w:t>
            </w:r>
          </w:p>
          <w:p w14:paraId="072893F9">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eastAsia="宋体" w:cs="宋体"/>
                <w:szCs w:val="21"/>
                <w:lang w:eastAsia="zh-CN"/>
              </w:rPr>
              <w:t>；</w:t>
            </w:r>
          </w:p>
          <w:p w14:paraId="3DA3778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kern w:val="0"/>
                <w:szCs w:val="21"/>
                <w:lang w:val="zh-CN"/>
              </w:rPr>
            </w:pPr>
            <w:r>
              <w:rPr>
                <w:rFonts w:hint="eastAsia" w:ascii="宋体" w:hAnsi="宋体" w:eastAsia="宋体" w:cs="宋体"/>
                <w:szCs w:val="21"/>
              </w:rPr>
              <w:t>3、招标人有权对材料品牌进行变更，投标人应服从并做好配合工作。</w:t>
            </w:r>
            <w:r>
              <w:rPr>
                <w:rFonts w:hint="eastAsia" w:ascii="宋体" w:hAnsi="宋体" w:eastAsia="宋体" w:cs="宋体"/>
                <w:kern w:val="0"/>
                <w:szCs w:val="21"/>
                <w:lang w:val="zh-CN"/>
              </w:rPr>
              <w:t xml:space="preserve">   </w:t>
            </w:r>
          </w:p>
          <w:p w14:paraId="6A827A25">
            <w:pPr>
              <w:pStyle w:val="3"/>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000000"/>
                <w:lang w:val="en-US" w:eastAsia="zh-CN"/>
              </w:rPr>
            </w:pPr>
            <w:r>
              <w:rPr>
                <w:rFonts w:hint="eastAsia" w:ascii="宋体" w:hAnsi="宋体" w:eastAsia="宋体" w:cs="宋体"/>
                <w:color w:val="000000"/>
                <w:lang w:val="en-US" w:eastAsia="zh-CN"/>
              </w:rPr>
              <w:t>六、其他说明：</w:t>
            </w:r>
          </w:p>
          <w:p w14:paraId="62819D5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CF4C1B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384CB8A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223DF56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2F32CD9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3903F7B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6073D0B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036F643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03E0781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0FC6F21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3D8C6D1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56CBBC5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750502A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4828E6F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713AA40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4ABB3040">
            <w:pPr>
              <w:tabs>
                <w:tab w:val="left" w:pos="0"/>
              </w:tabs>
              <w:topLinePunct/>
              <w:spacing w:line="440" w:lineRule="exact"/>
              <w:jc w:val="left"/>
              <w:rPr>
                <w:rFonts w:hint="eastAsia" w:ascii="宋体" w:hAnsi="宋体" w:eastAsia="宋体" w:cs="宋体"/>
                <w:color w:val="000000"/>
                <w:lang w:val="zh-CN" w:eastAsia="zh-CN"/>
              </w:rPr>
            </w:pPr>
            <w:r>
              <w:rPr>
                <w:rFonts w:hint="eastAsia" w:ascii="宋体" w:hAnsi="宋体" w:eastAsia="宋体" w:cs="宋体"/>
                <w:color w:val="000000"/>
                <w:lang w:val="en-US" w:eastAsia="zh-CN"/>
              </w:rPr>
              <w:t>七</w:t>
            </w:r>
            <w:r>
              <w:rPr>
                <w:rFonts w:hint="eastAsia" w:ascii="宋体" w:hAnsi="宋体" w:eastAsia="宋体" w:cs="宋体"/>
                <w:color w:val="000000"/>
                <w:lang w:val="zh-CN" w:eastAsia="zh-CN"/>
              </w:rPr>
              <w:t>、其他不详之处，详见国家及地方标准。</w:t>
            </w:r>
          </w:p>
          <w:p w14:paraId="68D52DB0">
            <w:pPr>
              <w:keepNext w:val="0"/>
              <w:keepLines w:val="0"/>
              <w:pageBreakBefore w:val="0"/>
              <w:widowControl w:val="0"/>
              <w:tabs>
                <w:tab w:val="left" w:pos="0"/>
              </w:tabs>
              <w:kinsoku/>
              <w:wordWrap/>
              <w:overflowPunct/>
              <w:topLinePunct/>
              <w:autoSpaceDE/>
              <w:autoSpaceDN/>
              <w:bidi w:val="0"/>
              <w:adjustRightInd/>
              <w:snapToGrid/>
              <w:spacing w:line="360" w:lineRule="auto"/>
              <w:jc w:val="both"/>
              <w:textAlignment w:val="auto"/>
              <w:rPr>
                <w:rFonts w:hint="eastAsia" w:ascii="宋体" w:hAnsi="宋体" w:eastAsia="宋体" w:cs="宋体"/>
                <w:color w:val="000000"/>
                <w:sz w:val="21"/>
                <w:szCs w:val="21"/>
                <w:lang w:val="zh-CN" w:eastAsia="zh-CN"/>
              </w:rPr>
            </w:pPr>
            <w:r>
              <w:rPr>
                <w:rFonts w:hint="eastAsia" w:ascii="宋体" w:hAnsi="宋体" w:eastAsia="宋体" w:cs="宋体"/>
                <w:b/>
                <w:kern w:val="1"/>
                <w:sz w:val="21"/>
                <w:szCs w:val="21"/>
              </w:rPr>
              <w:t>品牌推荐表：</w:t>
            </w:r>
          </w:p>
          <w:p w14:paraId="0025CB7D">
            <w:pPr>
              <w:keepNext w:val="0"/>
              <w:keepLines w:val="0"/>
              <w:pageBreakBefore w:val="0"/>
              <w:widowControl w:val="0"/>
              <w:kinsoku/>
              <w:wordWrap/>
              <w:overflowPunct/>
              <w:autoSpaceDE/>
              <w:autoSpaceDN/>
              <w:bidi w:val="0"/>
              <w:adjustRightInd/>
              <w:snapToGrid/>
              <w:spacing w:line="360" w:lineRule="auto"/>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7"/>
              <w:tblW w:w="0" w:type="auto"/>
              <w:tblInd w:w="202" w:type="dxa"/>
              <w:tblLayout w:type="autofit"/>
              <w:tblCellMar>
                <w:top w:w="0" w:type="dxa"/>
                <w:left w:w="108" w:type="dxa"/>
                <w:bottom w:w="0" w:type="dxa"/>
                <w:right w:w="108" w:type="dxa"/>
              </w:tblCellMar>
            </w:tblPr>
            <w:tblGrid>
              <w:gridCol w:w="678"/>
              <w:gridCol w:w="2268"/>
              <w:gridCol w:w="2637"/>
              <w:gridCol w:w="1470"/>
              <w:gridCol w:w="1200"/>
            </w:tblGrid>
            <w:tr w14:paraId="3EA103D1">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7F23AB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6C11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198D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6A0C7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39549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备注</w:t>
                  </w:r>
                </w:p>
              </w:tc>
            </w:tr>
            <w:tr w14:paraId="0B3763BC">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DB4F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9CD18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网球场地面</w:t>
                  </w:r>
                </w:p>
                <w:p w14:paraId="1F212D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（丙烯酸地面）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E6CEA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托柏斯、力特、腾威</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5E2711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F12B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或相当于</w:t>
                  </w:r>
                </w:p>
              </w:tc>
            </w:tr>
          </w:tbl>
          <w:p w14:paraId="4A165DC0">
            <w:pPr>
              <w:pStyle w:val="3"/>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lang w:val="zh-CN" w:eastAsia="zh-CN"/>
              </w:rPr>
            </w:pPr>
          </w:p>
        </w:tc>
      </w:tr>
    </w:tbl>
    <w:p w14:paraId="338A8BBA">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73DBE">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9A5333F">
                          <w:pPr>
                            <w:pStyle w:val="3"/>
                            <w:tabs>
                              <w:tab w:val="left" w:pos="0"/>
                            </w:tabs>
                            <w:jc w:val="center"/>
                            <w:rPr>
                              <w:b/>
                              <w:sz w:val="48"/>
                              <w:szCs w:val="48"/>
                            </w:rPr>
                          </w:pPr>
                          <w:r>
                            <w:rPr>
                              <w:rFonts w:hint="eastAsia"/>
                              <w:b/>
                              <w:sz w:val="48"/>
                              <w:szCs w:val="48"/>
                            </w:rPr>
                            <w:t>工程量清单编制总说明</w:t>
                          </w:r>
                        </w:p>
                        <w:p w14:paraId="56A0CAD7">
                          <w:pPr>
                            <w:jc w:val="left"/>
                            <w:rPr>
                              <w:rFonts w:asciiTheme="minorEastAsia" w:hAnsiTheme="minorEastAsia" w:eastAsiaTheme="minorEastAsia" w:cstheme="minorEastAsia"/>
                              <w:szCs w:val="21"/>
                            </w:rPr>
                          </w:pPr>
                          <w:r>
                            <w:rPr>
                              <w:rFonts w:hint="eastAsia" w:ascii="宋体" w:hAnsi="宋体" w:eastAsia="宋体" w:cs="宋体"/>
                              <w:sz w:val="20"/>
                              <w:szCs w:val="20"/>
                            </w:rPr>
                            <w:t xml:space="preserve">工程名称: </w:t>
                          </w:r>
                          <w:r>
                            <w:rPr>
                              <w:rFonts w:hint="eastAsia" w:ascii="宋体" w:hAnsi="宋体" w:eastAsia="宋体" w:cs="宋体"/>
                              <w:color w:val="000000"/>
                              <w:sz w:val="20"/>
                              <w:szCs w:val="20"/>
                              <w:highlight w:val="none"/>
                            </w:rPr>
                            <w:t>杭州电子科技大学教学及活动空间改造提升工程棚下网球场地改造工程</w:t>
                          </w:r>
                          <w:r>
                            <w:rPr>
                              <w:rFonts w:hint="eastAsia" w:ascii="宋体" w:hAnsi="宋体" w:eastAsia="宋体" w:cs="宋体"/>
                              <w:color w:val="000000"/>
                              <w:sz w:val="21"/>
                              <w:szCs w:val="21"/>
                            </w:rPr>
                            <w:t xml:space="preserve"> </w:t>
                          </w:r>
                          <w:r>
                            <w:rPr>
                              <w:rFonts w:hint="eastAsia" w:ascii="宋体" w:hAnsi="宋体" w:eastAsia="宋体" w:cs="宋体"/>
                              <w:sz w:val="16"/>
                              <w:szCs w:val="16"/>
                            </w:rPr>
                            <w:t>第</w:t>
                          </w:r>
                          <w:r>
                            <w:rPr>
                              <w:rFonts w:hint="eastAsia" w:ascii="宋体" w:hAnsi="宋体" w:eastAsia="宋体" w:cs="宋体"/>
                              <w:sz w:val="16"/>
                              <w:szCs w:val="16"/>
                            </w:rPr>
                            <w:fldChar w:fldCharType="begin"/>
                          </w:r>
                          <w:r>
                            <w:rPr>
                              <w:rFonts w:hint="eastAsia" w:ascii="宋体" w:hAnsi="宋体" w:eastAsia="宋体" w:cs="宋体"/>
                              <w:sz w:val="16"/>
                              <w:szCs w:val="16"/>
                            </w:rPr>
                            <w:instrText xml:space="preserve">PAGE  \* Arabic  \* MERGEFORMAT</w:instrText>
                          </w:r>
                          <w:r>
                            <w:rPr>
                              <w:rFonts w:hint="eastAsia" w:ascii="宋体" w:hAnsi="宋体" w:eastAsia="宋体" w:cs="宋体"/>
                              <w:sz w:val="16"/>
                              <w:szCs w:val="16"/>
                            </w:rPr>
                            <w:fldChar w:fldCharType="separate"/>
                          </w:r>
                          <w:r>
                            <w:rPr>
                              <w:rFonts w:hint="eastAsia" w:ascii="宋体" w:hAnsi="宋体" w:eastAsia="宋体" w:cs="宋体"/>
                              <w:sz w:val="16"/>
                              <w:szCs w:val="16"/>
                            </w:rPr>
                            <w:t>1</w:t>
                          </w:r>
                          <w:r>
                            <w:rPr>
                              <w:rFonts w:hint="eastAsia" w:ascii="宋体" w:hAnsi="宋体" w:eastAsia="宋体" w:cs="宋体"/>
                              <w:sz w:val="16"/>
                              <w:szCs w:val="16"/>
                            </w:rPr>
                            <w:fldChar w:fldCharType="end"/>
                          </w:r>
                          <w:r>
                            <w:rPr>
                              <w:rFonts w:hint="eastAsia" w:ascii="宋体" w:hAnsi="宋体" w:eastAsia="宋体" w:cs="宋体"/>
                              <w:sz w:val="16"/>
                              <w:szCs w:val="16"/>
                            </w:rPr>
                            <w:t>页，</w:t>
                          </w:r>
                          <w:r>
                            <w:rPr>
                              <w:rFonts w:hint="eastAsia" w:asciiTheme="minorEastAsia" w:hAnsiTheme="minorEastAsia" w:eastAsiaTheme="minorEastAsia" w:cstheme="minorEastAsia"/>
                              <w:sz w:val="16"/>
                              <w:szCs w:val="16"/>
                            </w:rPr>
                            <w:t>共</w:t>
                          </w:r>
                          <w:r>
                            <w:rPr>
                              <w:rFonts w:hint="eastAsia" w:asciiTheme="minorEastAsia" w:hAnsiTheme="minorEastAsia" w:eastAsiaTheme="minorEastAsia" w:cstheme="minorEastAsia"/>
                              <w:sz w:val="16"/>
                              <w:szCs w:val="16"/>
                              <w:lang w:val="en-US" w:eastAsia="zh-CN"/>
                            </w:rPr>
                            <w:t>4页</w:t>
                          </w:r>
                        </w:p>
                        <w:p w14:paraId="279DABBF"/>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9A5333F">
                    <w:pPr>
                      <w:pStyle w:val="3"/>
                      <w:tabs>
                        <w:tab w:val="left" w:pos="0"/>
                      </w:tabs>
                      <w:jc w:val="center"/>
                      <w:rPr>
                        <w:b/>
                        <w:sz w:val="48"/>
                        <w:szCs w:val="48"/>
                      </w:rPr>
                    </w:pPr>
                    <w:r>
                      <w:rPr>
                        <w:rFonts w:hint="eastAsia"/>
                        <w:b/>
                        <w:sz w:val="48"/>
                        <w:szCs w:val="48"/>
                      </w:rPr>
                      <w:t>工程量清单编制总说明</w:t>
                    </w:r>
                  </w:p>
                  <w:p w14:paraId="56A0CAD7">
                    <w:pPr>
                      <w:jc w:val="left"/>
                      <w:rPr>
                        <w:rFonts w:asciiTheme="minorEastAsia" w:hAnsiTheme="minorEastAsia" w:eastAsiaTheme="minorEastAsia" w:cstheme="minorEastAsia"/>
                        <w:szCs w:val="21"/>
                      </w:rPr>
                    </w:pPr>
                    <w:r>
                      <w:rPr>
                        <w:rFonts w:hint="eastAsia" w:ascii="宋体" w:hAnsi="宋体" w:eastAsia="宋体" w:cs="宋体"/>
                        <w:sz w:val="20"/>
                        <w:szCs w:val="20"/>
                      </w:rPr>
                      <w:t xml:space="preserve">工程名称: </w:t>
                    </w:r>
                    <w:r>
                      <w:rPr>
                        <w:rFonts w:hint="eastAsia" w:ascii="宋体" w:hAnsi="宋体" w:eastAsia="宋体" w:cs="宋体"/>
                        <w:color w:val="000000"/>
                        <w:sz w:val="20"/>
                        <w:szCs w:val="20"/>
                        <w:highlight w:val="none"/>
                      </w:rPr>
                      <w:t>杭州电子科技大学教学及活动空间改造提升工程棚下网球场地改造工程</w:t>
                    </w:r>
                    <w:r>
                      <w:rPr>
                        <w:rFonts w:hint="eastAsia" w:ascii="宋体" w:hAnsi="宋体" w:eastAsia="宋体" w:cs="宋体"/>
                        <w:color w:val="000000"/>
                        <w:sz w:val="21"/>
                        <w:szCs w:val="21"/>
                      </w:rPr>
                      <w:t xml:space="preserve"> </w:t>
                    </w:r>
                    <w:r>
                      <w:rPr>
                        <w:rFonts w:hint="eastAsia" w:ascii="宋体" w:hAnsi="宋体" w:eastAsia="宋体" w:cs="宋体"/>
                        <w:sz w:val="16"/>
                        <w:szCs w:val="16"/>
                      </w:rPr>
                      <w:t>第</w:t>
                    </w:r>
                    <w:r>
                      <w:rPr>
                        <w:rFonts w:hint="eastAsia" w:ascii="宋体" w:hAnsi="宋体" w:eastAsia="宋体" w:cs="宋体"/>
                        <w:sz w:val="16"/>
                        <w:szCs w:val="16"/>
                      </w:rPr>
                      <w:fldChar w:fldCharType="begin"/>
                    </w:r>
                    <w:r>
                      <w:rPr>
                        <w:rFonts w:hint="eastAsia" w:ascii="宋体" w:hAnsi="宋体" w:eastAsia="宋体" w:cs="宋体"/>
                        <w:sz w:val="16"/>
                        <w:szCs w:val="16"/>
                      </w:rPr>
                      <w:instrText xml:space="preserve">PAGE  \* Arabic  \* MERGEFORMAT</w:instrText>
                    </w:r>
                    <w:r>
                      <w:rPr>
                        <w:rFonts w:hint="eastAsia" w:ascii="宋体" w:hAnsi="宋体" w:eastAsia="宋体" w:cs="宋体"/>
                        <w:sz w:val="16"/>
                        <w:szCs w:val="16"/>
                      </w:rPr>
                      <w:fldChar w:fldCharType="separate"/>
                    </w:r>
                    <w:r>
                      <w:rPr>
                        <w:rFonts w:hint="eastAsia" w:ascii="宋体" w:hAnsi="宋体" w:eastAsia="宋体" w:cs="宋体"/>
                        <w:sz w:val="16"/>
                        <w:szCs w:val="16"/>
                      </w:rPr>
                      <w:t>1</w:t>
                    </w:r>
                    <w:r>
                      <w:rPr>
                        <w:rFonts w:hint="eastAsia" w:ascii="宋体" w:hAnsi="宋体" w:eastAsia="宋体" w:cs="宋体"/>
                        <w:sz w:val="16"/>
                        <w:szCs w:val="16"/>
                      </w:rPr>
                      <w:fldChar w:fldCharType="end"/>
                    </w:r>
                    <w:r>
                      <w:rPr>
                        <w:rFonts w:hint="eastAsia" w:ascii="宋体" w:hAnsi="宋体" w:eastAsia="宋体" w:cs="宋体"/>
                        <w:sz w:val="16"/>
                        <w:szCs w:val="16"/>
                      </w:rPr>
                      <w:t>页，</w:t>
                    </w:r>
                    <w:r>
                      <w:rPr>
                        <w:rFonts w:hint="eastAsia" w:asciiTheme="minorEastAsia" w:hAnsiTheme="minorEastAsia" w:eastAsiaTheme="minorEastAsia" w:cstheme="minorEastAsia"/>
                        <w:sz w:val="16"/>
                        <w:szCs w:val="16"/>
                      </w:rPr>
                      <w:t>共</w:t>
                    </w:r>
                    <w:r>
                      <w:rPr>
                        <w:rFonts w:hint="eastAsia" w:asciiTheme="minorEastAsia" w:hAnsiTheme="minorEastAsia" w:eastAsiaTheme="minorEastAsia" w:cstheme="minorEastAsia"/>
                        <w:sz w:val="16"/>
                        <w:szCs w:val="16"/>
                        <w:lang w:val="en-US" w:eastAsia="zh-CN"/>
                      </w:rPr>
                      <w:t>4页</w:t>
                    </w:r>
                  </w:p>
                  <w:p w14:paraId="279DABBF"/>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B464036"/>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3C438DE"/>
    <w:rsid w:val="54016821"/>
    <w:rsid w:val="56C63E25"/>
    <w:rsid w:val="57255D0E"/>
    <w:rsid w:val="585821BA"/>
    <w:rsid w:val="587766E0"/>
    <w:rsid w:val="588C69A8"/>
    <w:rsid w:val="591F3539"/>
    <w:rsid w:val="5C5F065B"/>
    <w:rsid w:val="5CE9261B"/>
    <w:rsid w:val="5F681F1D"/>
    <w:rsid w:val="5FDE3F8D"/>
    <w:rsid w:val="644A7BC0"/>
    <w:rsid w:val="65614110"/>
    <w:rsid w:val="6563635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E44282"/>
    <w:rsid w:val="7CB052A6"/>
    <w:rsid w:val="7CCD2F68"/>
    <w:rsid w:val="7D8B76B8"/>
    <w:rsid w:val="7E435130"/>
    <w:rsid w:val="7F486EB3"/>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2997</Words>
  <Characters>3182</Characters>
  <Lines>13</Lines>
  <Paragraphs>3</Paragraphs>
  <TotalTime>4</TotalTime>
  <ScaleCrop>false</ScaleCrop>
  <LinksUpToDate>false</LinksUpToDate>
  <CharactersWithSpaces>3194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2024-07-12T08:05:20Z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CC07AE87BEEE4EF0BA3A4B2C2397955B</vt:lpwstr>
  </property>
</Properties>
</file>