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7B68C8">
      <w:pPr>
        <w:adjustRightInd w:val="0"/>
        <w:snapToGrid w:val="0"/>
        <w:spacing w:line="288" w:lineRule="auto"/>
        <w:rPr>
          <w:rFonts w:ascii="楷体" w:hAnsi="楷体" w:eastAsia="楷体" w:cs="Times New Roman"/>
          <w:b/>
          <w:color w:val="auto"/>
          <w:spacing w:val="-6"/>
          <w:sz w:val="44"/>
          <w:szCs w:val="44"/>
          <w:highlight w:val="none"/>
        </w:rPr>
      </w:pPr>
    </w:p>
    <w:p w14:paraId="41C108BF">
      <w:pPr>
        <w:adjustRightInd w:val="0"/>
        <w:snapToGrid w:val="0"/>
        <w:spacing w:line="288" w:lineRule="auto"/>
        <w:rPr>
          <w:rFonts w:ascii="楷体" w:hAnsi="楷体" w:eastAsia="楷体" w:cs="Times New Roman"/>
          <w:b/>
          <w:color w:val="auto"/>
          <w:spacing w:val="-6"/>
          <w:sz w:val="44"/>
          <w:szCs w:val="44"/>
          <w:highlight w:val="none"/>
        </w:rPr>
      </w:pPr>
    </w:p>
    <w:p w14:paraId="1A4A5E79">
      <w:pPr>
        <w:adjustRightInd w:val="0"/>
        <w:snapToGrid w:val="0"/>
        <w:spacing w:line="288" w:lineRule="auto"/>
        <w:rPr>
          <w:rFonts w:ascii="楷体" w:hAnsi="楷体" w:eastAsia="楷体" w:cs="Times New Roman"/>
          <w:b/>
          <w:color w:val="auto"/>
          <w:spacing w:val="-6"/>
          <w:sz w:val="44"/>
          <w:szCs w:val="44"/>
          <w:highlight w:val="none"/>
        </w:rPr>
      </w:pPr>
    </w:p>
    <w:p w14:paraId="0A37DAE0">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14:paraId="7B8E39BA">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物理虚拟仿真实验及仪器采购</w:t>
      </w:r>
    </w:p>
    <w:p w14:paraId="17F23AE8">
      <w:pPr>
        <w:adjustRightInd w:val="0"/>
        <w:snapToGrid w:val="0"/>
        <w:spacing w:line="288" w:lineRule="auto"/>
        <w:jc w:val="center"/>
        <w:rPr>
          <w:rFonts w:ascii="楷体" w:hAnsi="楷体" w:eastAsia="楷体" w:cs="楷体"/>
          <w:b/>
          <w:bCs/>
          <w:color w:val="auto"/>
          <w:sz w:val="48"/>
          <w:szCs w:val="48"/>
          <w:highlight w:val="none"/>
        </w:rPr>
      </w:pPr>
    </w:p>
    <w:p w14:paraId="785FDCB5">
      <w:pPr>
        <w:adjustRightInd w:val="0"/>
        <w:snapToGrid w:val="0"/>
        <w:spacing w:line="288" w:lineRule="auto"/>
        <w:jc w:val="center"/>
        <w:rPr>
          <w:rFonts w:ascii="楷体" w:hAnsi="楷体" w:eastAsia="楷体" w:cs="楷体"/>
          <w:b/>
          <w:bCs/>
          <w:color w:val="auto"/>
          <w:sz w:val="48"/>
          <w:szCs w:val="48"/>
          <w:highlight w:val="none"/>
        </w:rPr>
      </w:pPr>
    </w:p>
    <w:p w14:paraId="4A3FAC56">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14:paraId="70195F72">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14:paraId="6E6E639F">
      <w:pPr>
        <w:adjustRightInd w:val="0"/>
        <w:snapToGrid w:val="0"/>
        <w:spacing w:line="288" w:lineRule="auto"/>
        <w:jc w:val="center"/>
        <w:rPr>
          <w:rFonts w:ascii="楷体" w:hAnsi="楷体" w:eastAsia="楷体" w:cs="楷体"/>
          <w:b/>
          <w:bCs/>
          <w:color w:val="auto"/>
          <w:sz w:val="36"/>
          <w:szCs w:val="36"/>
          <w:highlight w:val="none"/>
        </w:rPr>
      </w:pPr>
    </w:p>
    <w:p w14:paraId="0BD27693">
      <w:pPr>
        <w:adjustRightInd w:val="0"/>
        <w:snapToGrid w:val="0"/>
        <w:spacing w:line="288" w:lineRule="auto"/>
        <w:jc w:val="center"/>
        <w:rPr>
          <w:rFonts w:ascii="楷体" w:hAnsi="楷体" w:eastAsia="楷体" w:cs="楷体"/>
          <w:b/>
          <w:bCs/>
          <w:color w:val="auto"/>
          <w:sz w:val="36"/>
          <w:szCs w:val="36"/>
          <w:highlight w:val="none"/>
        </w:rPr>
      </w:pPr>
    </w:p>
    <w:p w14:paraId="537AA789">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物理虚拟仿真实验及仪器采购</w:t>
      </w:r>
    </w:p>
    <w:p w14:paraId="62F54FF6">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QSZB-Z(H)-B24466(CS)L</w:t>
      </w:r>
    </w:p>
    <w:p w14:paraId="3C9722DC">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14:paraId="43A5FDFE">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14:paraId="2A322ACC">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rPr>
        <w:t>[2024]55452号</w:t>
      </w:r>
    </w:p>
    <w:p w14:paraId="4B3FE318">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14:paraId="6BF15D15">
      <w:pPr>
        <w:adjustRightInd w:val="0"/>
        <w:snapToGrid w:val="0"/>
        <w:spacing w:line="288" w:lineRule="auto"/>
        <w:rPr>
          <w:rFonts w:ascii="楷体" w:hAnsi="楷体" w:eastAsia="楷体" w:cs="楷体"/>
          <w:b/>
          <w:bCs/>
          <w:color w:val="auto"/>
          <w:sz w:val="30"/>
          <w:szCs w:val="30"/>
          <w:highlight w:val="none"/>
        </w:rPr>
      </w:pPr>
    </w:p>
    <w:p w14:paraId="24B2FE88">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14:paraId="6651E10B">
      <w:pPr>
        <w:adjustRightInd w:val="0"/>
        <w:snapToGrid w:val="0"/>
        <w:spacing w:line="288" w:lineRule="auto"/>
        <w:rPr>
          <w:rFonts w:ascii="楷体" w:hAnsi="楷体" w:eastAsia="楷体" w:cs="楷体"/>
          <w:b/>
          <w:bCs/>
          <w:color w:val="auto"/>
          <w:sz w:val="30"/>
          <w:szCs w:val="30"/>
          <w:highlight w:val="none"/>
        </w:rPr>
      </w:pPr>
    </w:p>
    <w:p w14:paraId="30340C3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14:paraId="755B3DB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14:paraId="6C4B1F59">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14:paraId="16F97673">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14:paraId="17B3E913">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14:paraId="532A233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14:paraId="0AEE99F1">
      <w:pPr>
        <w:widowControl/>
        <w:jc w:val="left"/>
        <w:rPr>
          <w:color w:val="auto"/>
          <w:highlight w:val="none"/>
        </w:rPr>
      </w:pPr>
    </w:p>
    <w:p w14:paraId="0A054003">
      <w:pPr>
        <w:widowControl/>
        <w:jc w:val="left"/>
        <w:rPr>
          <w:color w:val="auto"/>
          <w:highlight w:val="none"/>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14:paraId="65B6930C">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14:paraId="49CCB97B">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14:paraId="5F072168">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物理虚拟仿真实验及仪器采购</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2024年11月5日13:30:00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14:paraId="67E3B442">
      <w:pPr>
        <w:adjustRightInd w:val="0"/>
        <w:snapToGrid w:val="0"/>
        <w:spacing w:line="288" w:lineRule="auto"/>
        <w:rPr>
          <w:b/>
          <w:color w:val="auto"/>
          <w:sz w:val="21"/>
          <w:szCs w:val="21"/>
          <w:highlight w:val="none"/>
        </w:rPr>
      </w:pPr>
      <w:bookmarkStart w:id="0" w:name="_Toc35393621"/>
      <w:bookmarkStart w:id="1" w:name="_Toc28359079"/>
      <w:bookmarkStart w:id="2" w:name="_Toc28359002"/>
      <w:bookmarkStart w:id="3" w:name="_Toc35393790"/>
      <w:bookmarkStart w:id="4" w:name="_Hlk24379207"/>
      <w:r>
        <w:rPr>
          <w:rFonts w:hint="eastAsia"/>
          <w:b/>
          <w:color w:val="auto"/>
          <w:sz w:val="21"/>
          <w:szCs w:val="21"/>
          <w:highlight w:val="none"/>
        </w:rPr>
        <w:t>一、项目基本情况</w:t>
      </w:r>
      <w:bookmarkEnd w:id="0"/>
      <w:bookmarkEnd w:id="1"/>
      <w:bookmarkEnd w:id="2"/>
      <w:bookmarkEnd w:id="3"/>
    </w:p>
    <w:p w14:paraId="3C9EB42D">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QSZB-Z(H)-B24466(CS)L</w:t>
      </w:r>
    </w:p>
    <w:p w14:paraId="3A79761B">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物理虚拟仿真实验及仪器采购</w:t>
      </w:r>
    </w:p>
    <w:p w14:paraId="4CB267A9">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14:paraId="2D0828DE">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w:t>
      </w:r>
      <w:r>
        <w:rPr>
          <w:rFonts w:hint="eastAsia"/>
          <w:color w:val="auto"/>
          <w:sz w:val="21"/>
          <w:szCs w:val="21"/>
          <w:highlight w:val="none"/>
          <w:lang w:val="en-US" w:eastAsia="zh-CN"/>
        </w:rPr>
        <w:t>1060380元</w:t>
      </w:r>
    </w:p>
    <w:p w14:paraId="30724871">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最高限价：1060380元</w:t>
      </w:r>
    </w:p>
    <w:p w14:paraId="4FB6390F">
      <w:pPr>
        <w:adjustRightInd w:val="0"/>
        <w:snapToGrid w:val="0"/>
        <w:spacing w:line="288" w:lineRule="auto"/>
        <w:ind w:firstLine="420" w:firstLineChars="200"/>
        <w:rPr>
          <w:rFonts w:hint="default"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lang w:val="en-US" w:eastAsia="zh-CN"/>
        </w:rPr>
        <w:t>自合同签订之日起30日内交付并安装完毕</w:t>
      </w:r>
    </w:p>
    <w:p w14:paraId="4E5E8608">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本项目（是）接受联合体响应。</w:t>
      </w:r>
    </w:p>
    <w:p w14:paraId="122EC58F">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58ACD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56676C2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14:paraId="054F468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14:paraId="7D52F8E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14:paraId="2BB11DC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14:paraId="1D1B14E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14:paraId="174B5B2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rPr>
              <w:t>是否允许采购进口产品</w:t>
            </w:r>
          </w:p>
        </w:tc>
      </w:tr>
      <w:tr w14:paraId="4D386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3C8DBB3">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006" w:type="dxa"/>
            <w:tcBorders>
              <w:right w:val="single" w:color="auto" w:sz="4" w:space="0"/>
              <w:tl2br w:val="nil"/>
              <w:tr2bl w:val="nil"/>
            </w:tcBorders>
            <w:vAlign w:val="center"/>
          </w:tcPr>
          <w:p w14:paraId="74CF1265">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物理虚拟仿真实验及仪器采购</w:t>
            </w:r>
          </w:p>
        </w:tc>
        <w:tc>
          <w:tcPr>
            <w:tcW w:w="708" w:type="dxa"/>
            <w:tcBorders>
              <w:tl2br w:val="nil"/>
              <w:tr2bl w:val="nil"/>
            </w:tcBorders>
            <w:vAlign w:val="center"/>
          </w:tcPr>
          <w:p w14:paraId="43530CFD">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709" w:type="dxa"/>
            <w:tcBorders>
              <w:tl2br w:val="nil"/>
              <w:tr2bl w:val="nil"/>
            </w:tcBorders>
            <w:vAlign w:val="center"/>
          </w:tcPr>
          <w:p w14:paraId="6709753F">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批</w:t>
            </w:r>
          </w:p>
        </w:tc>
        <w:tc>
          <w:tcPr>
            <w:tcW w:w="3119" w:type="dxa"/>
            <w:tcBorders>
              <w:right w:val="single" w:color="auto" w:sz="4" w:space="0"/>
              <w:tl2br w:val="nil"/>
              <w:tr2bl w:val="nil"/>
            </w:tcBorders>
            <w:vAlign w:val="center"/>
          </w:tcPr>
          <w:p w14:paraId="2E0D4DCF">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详见第二章 采购需求</w:t>
            </w:r>
          </w:p>
        </w:tc>
        <w:tc>
          <w:tcPr>
            <w:tcW w:w="1276" w:type="dxa"/>
            <w:tcBorders>
              <w:right w:val="single" w:color="auto" w:sz="4" w:space="0"/>
              <w:tl2br w:val="nil"/>
              <w:tr2bl w:val="nil"/>
            </w:tcBorders>
            <w:vAlign w:val="center"/>
          </w:tcPr>
          <w:p w14:paraId="14F48E79">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否</w:t>
            </w:r>
          </w:p>
        </w:tc>
      </w:tr>
    </w:tbl>
    <w:p w14:paraId="5D3AB7D1">
      <w:pPr>
        <w:adjustRightInd w:val="0"/>
        <w:snapToGrid w:val="0"/>
        <w:spacing w:line="288" w:lineRule="auto"/>
        <w:rPr>
          <w:b/>
          <w:color w:val="auto"/>
          <w:sz w:val="21"/>
          <w:szCs w:val="21"/>
          <w:highlight w:val="none"/>
        </w:rPr>
      </w:pPr>
      <w:bookmarkStart w:id="5" w:name="_Toc35393622"/>
      <w:bookmarkStart w:id="6" w:name="_Toc28359080"/>
      <w:bookmarkStart w:id="7" w:name="_Toc35393791"/>
      <w:bookmarkStart w:id="8" w:name="_Toc28359003"/>
      <w:r>
        <w:rPr>
          <w:rFonts w:hint="eastAsia"/>
          <w:b/>
          <w:color w:val="auto"/>
          <w:sz w:val="21"/>
          <w:szCs w:val="21"/>
          <w:highlight w:val="none"/>
        </w:rPr>
        <w:t>二、申请人的资格要求：</w:t>
      </w:r>
      <w:bookmarkEnd w:id="5"/>
      <w:bookmarkEnd w:id="6"/>
      <w:bookmarkEnd w:id="7"/>
      <w:bookmarkEnd w:id="8"/>
    </w:p>
    <w:p w14:paraId="02DDC422">
      <w:pPr>
        <w:adjustRightInd w:val="0"/>
        <w:snapToGrid w:val="0"/>
        <w:spacing w:line="288" w:lineRule="auto"/>
        <w:ind w:firstLine="420" w:firstLineChars="200"/>
        <w:rPr>
          <w:rFonts w:cs="Times New Roman"/>
          <w:bCs/>
          <w:color w:val="auto"/>
          <w:sz w:val="21"/>
          <w:szCs w:val="21"/>
          <w:highlight w:val="none"/>
        </w:rPr>
      </w:pPr>
      <w:bookmarkStart w:id="9" w:name="_Toc28359004"/>
      <w:bookmarkStart w:id="10" w:name="_Toc28359081"/>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p>
    <w:p w14:paraId="57D13685">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本项目专门面向中小企业采购，需按要求提交《中小企业声明函》。提供货物全部由中小企业制造，即货物由中小企业生产且使用该中小企业商号或者注册商标；供应商提供的货物既有中小企业制造货物，也有大型企业制造货物的，不符合本项目资格要求。监狱企业、残疾人福利性单位视同小型、微型企业；</w:t>
      </w:r>
    </w:p>
    <w:p w14:paraId="219F253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14:paraId="4DD90332">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14:paraId="3171D5D6">
      <w:pPr>
        <w:adjustRightInd w:val="0"/>
        <w:snapToGrid w:val="0"/>
        <w:spacing w:line="288" w:lineRule="auto"/>
        <w:ind w:firstLine="420" w:firstLineChars="200"/>
        <w:rPr>
          <w:color w:val="auto"/>
          <w:sz w:val="21"/>
          <w:szCs w:val="21"/>
          <w:highlight w:val="none"/>
        </w:rPr>
      </w:pPr>
      <w:bookmarkStart w:id="13" w:name="_Toc35393624"/>
      <w:bookmarkStart w:id="14" w:name="_Toc35393793"/>
      <w:bookmarkStart w:id="15" w:name="_Toc28359082"/>
      <w:bookmarkStart w:id="16" w:name="_Toc28359005"/>
      <w:r>
        <w:rPr>
          <w:rFonts w:hint="eastAsia"/>
          <w:color w:val="auto"/>
          <w:sz w:val="21"/>
          <w:szCs w:val="21"/>
          <w:highlight w:val="none"/>
        </w:rPr>
        <w:t>时间：</w:t>
      </w:r>
      <w:r>
        <w:rPr>
          <w:rFonts w:hint="eastAsia"/>
          <w:color w:val="auto"/>
          <w:sz w:val="21"/>
          <w:szCs w:val="21"/>
          <w:highlight w:val="none"/>
          <w:lang w:eastAsia="zh-CN"/>
        </w:rPr>
        <w:t>202</w:t>
      </w:r>
      <w:r>
        <w:rPr>
          <w:rFonts w:hint="eastAsia"/>
          <w:color w:val="auto"/>
          <w:sz w:val="21"/>
          <w:szCs w:val="21"/>
          <w:highlight w:val="none"/>
          <w:lang w:val="en-US" w:eastAsia="zh-CN"/>
        </w:rPr>
        <w:t>4</w:t>
      </w:r>
      <w:r>
        <w:rPr>
          <w:rFonts w:hint="eastAsia"/>
          <w:color w:val="auto"/>
          <w:sz w:val="21"/>
          <w:szCs w:val="21"/>
          <w:highlight w:val="none"/>
          <w:lang w:eastAsia="zh-CN"/>
        </w:rPr>
        <w:t>年</w:t>
      </w:r>
      <w:r>
        <w:rPr>
          <w:rFonts w:hint="eastAsia"/>
          <w:color w:val="auto"/>
          <w:sz w:val="21"/>
          <w:szCs w:val="21"/>
          <w:highlight w:val="none"/>
          <w:lang w:val="en-US" w:eastAsia="zh-CN"/>
        </w:rPr>
        <w:t>10</w:t>
      </w:r>
      <w:r>
        <w:rPr>
          <w:rFonts w:hint="eastAsia"/>
          <w:color w:val="auto"/>
          <w:sz w:val="21"/>
          <w:szCs w:val="21"/>
          <w:highlight w:val="none"/>
        </w:rPr>
        <w:t>月</w:t>
      </w:r>
      <w:r>
        <w:rPr>
          <w:rFonts w:hint="eastAsia"/>
          <w:color w:val="auto"/>
          <w:sz w:val="21"/>
          <w:szCs w:val="21"/>
          <w:highlight w:val="none"/>
          <w:lang w:val="en-US" w:eastAsia="zh-CN"/>
        </w:rPr>
        <w:t>24</w:t>
      </w:r>
      <w:r>
        <w:rPr>
          <w:rFonts w:hint="eastAsia"/>
          <w:color w:val="auto"/>
          <w:sz w:val="21"/>
          <w:szCs w:val="21"/>
          <w:highlight w:val="none"/>
        </w:rPr>
        <w:t>日至</w:t>
      </w:r>
      <w:r>
        <w:rPr>
          <w:rFonts w:hint="eastAsia"/>
          <w:color w:val="auto"/>
          <w:sz w:val="21"/>
          <w:szCs w:val="21"/>
          <w:highlight w:val="none"/>
          <w:lang w:eastAsia="zh-CN"/>
        </w:rPr>
        <w:t>2024年11月5日</w:t>
      </w:r>
      <w:r>
        <w:rPr>
          <w:rFonts w:hint="eastAsia"/>
          <w:color w:val="auto"/>
          <w:sz w:val="21"/>
          <w:szCs w:val="21"/>
          <w:highlight w:val="none"/>
        </w:rPr>
        <w:t>，每天上午00:00至12:00，下午12:00至23:59（北京时间，线上获取法定节假日均可，线下获取文件法定节假日除外）</w:t>
      </w:r>
    </w:p>
    <w:p w14:paraId="572FE41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14:paraId="03C88F2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14:paraId="6151022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14:paraId="541585B5">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14:paraId="0E387A23">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2024年11月5日13:30:00</w:t>
      </w:r>
      <w:r>
        <w:rPr>
          <w:rFonts w:hint="eastAsia"/>
          <w:bCs/>
          <w:color w:val="auto"/>
          <w:sz w:val="21"/>
          <w:szCs w:val="21"/>
          <w:highlight w:val="none"/>
        </w:rPr>
        <w:t>（北京时间）</w:t>
      </w:r>
    </w:p>
    <w:p w14:paraId="56ECD50C">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14:paraId="7E8B3900">
      <w:pPr>
        <w:adjustRightInd w:val="0"/>
        <w:snapToGrid w:val="0"/>
        <w:spacing w:line="288" w:lineRule="auto"/>
        <w:rPr>
          <w:b/>
          <w:color w:val="auto"/>
          <w:sz w:val="21"/>
          <w:szCs w:val="21"/>
          <w:highlight w:val="none"/>
        </w:rPr>
      </w:pPr>
      <w:bookmarkStart w:id="17" w:name="_Toc28359007"/>
      <w:bookmarkStart w:id="18" w:name="_Toc35393794"/>
      <w:bookmarkStart w:id="19" w:name="_Toc35393625"/>
      <w:bookmarkStart w:id="20" w:name="_Toc28359084"/>
      <w:r>
        <w:rPr>
          <w:rFonts w:hint="eastAsia"/>
          <w:b/>
          <w:color w:val="auto"/>
          <w:sz w:val="21"/>
          <w:szCs w:val="21"/>
          <w:highlight w:val="none"/>
        </w:rPr>
        <w:t>五、响应文件开启</w:t>
      </w:r>
    </w:p>
    <w:p w14:paraId="45BB6AD7">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2024年11月5日13:30:00</w:t>
      </w:r>
      <w:r>
        <w:rPr>
          <w:rFonts w:hint="eastAsia"/>
          <w:bCs/>
          <w:color w:val="auto"/>
          <w:sz w:val="21"/>
          <w:szCs w:val="21"/>
          <w:highlight w:val="none"/>
        </w:rPr>
        <w:t>（北京时间）</w:t>
      </w:r>
    </w:p>
    <w:p w14:paraId="58E960AC">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w:t>
      </w:r>
      <w:r>
        <w:rPr>
          <w:rFonts w:hint="eastAsia" w:cs="Times New Roman"/>
          <w:color w:val="auto"/>
          <w:sz w:val="21"/>
          <w:szCs w:val="21"/>
          <w:highlight w:val="none"/>
          <w:lang w:val="en-US" w:eastAsia="zh-CN"/>
        </w:rPr>
        <w:t>16</w:t>
      </w:r>
      <w:r>
        <w:rPr>
          <w:rFonts w:hint="eastAsia" w:cs="Times New Roman"/>
          <w:color w:val="auto"/>
          <w:sz w:val="21"/>
          <w:szCs w:val="21"/>
          <w:highlight w:val="none"/>
        </w:rPr>
        <w:t>楼（求是招标会议室</w:t>
      </w:r>
      <w:r>
        <w:rPr>
          <w:rFonts w:hint="eastAsia" w:cs="Times New Roman"/>
          <w:color w:val="auto"/>
          <w:sz w:val="21"/>
          <w:szCs w:val="21"/>
          <w:highlight w:val="none"/>
          <w:lang w:val="en-US" w:eastAsia="zh-CN"/>
        </w:rPr>
        <w:t>5</w:t>
      </w:r>
      <w:r>
        <w:rPr>
          <w:rFonts w:hint="eastAsia" w:cs="Times New Roman"/>
          <w:color w:val="auto"/>
          <w:sz w:val="21"/>
          <w:szCs w:val="21"/>
          <w:highlight w:val="none"/>
        </w:rPr>
        <w:t>）</w:t>
      </w:r>
    </w:p>
    <w:p w14:paraId="6A17049A">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14:paraId="6D267E17">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14:paraId="0C5FB00D">
      <w:pPr>
        <w:adjustRightInd w:val="0"/>
        <w:snapToGrid w:val="0"/>
        <w:spacing w:line="288" w:lineRule="auto"/>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14:paraId="1F3C82AB">
      <w:pPr>
        <w:adjustRightInd w:val="0"/>
        <w:snapToGrid w:val="0"/>
        <w:spacing w:line="288" w:lineRule="auto"/>
        <w:ind w:firstLine="420" w:firstLineChars="200"/>
        <w:rPr>
          <w:rFonts w:cs="Times New Roman"/>
          <w:color w:val="auto"/>
          <w:sz w:val="21"/>
          <w:szCs w:val="21"/>
          <w:highlight w:val="none"/>
        </w:rPr>
      </w:pPr>
      <w:bookmarkStart w:id="23" w:name="_Hlk97039575"/>
      <w:bookmarkStart w:id="24" w:name="_Toc35393627"/>
      <w:bookmarkStart w:id="25" w:name="_Toc28359085"/>
      <w:bookmarkStart w:id="26" w:name="_Toc35393796"/>
      <w:bookmarkStart w:id="27" w:name="_Toc28359008"/>
      <w:r>
        <w:rPr>
          <w:rFonts w:hint="eastAsia" w:cs="Times New Roman"/>
          <w:color w:val="auto"/>
          <w:sz w:val="21"/>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0BF36B14">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729683">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02A525D7">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14:paraId="271D616C">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w:t>
      </w:r>
      <w:r>
        <w:rPr>
          <w:rFonts w:hint="eastAsia" w:cs="Times New Roman"/>
          <w:color w:val="auto"/>
          <w:sz w:val="21"/>
          <w:szCs w:val="21"/>
          <w:highlight w:val="none"/>
        </w:rPr>
        <w:t>支持科技创新、</w:t>
      </w:r>
      <w:r>
        <w:rPr>
          <w:rFonts w:cs="Times New Roman"/>
          <w:color w:val="auto"/>
          <w:sz w:val="21"/>
          <w:szCs w:val="21"/>
          <w:highlight w:val="none"/>
        </w:rPr>
        <w:t>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bookmarkEnd w:id="23"/>
    <w:p w14:paraId="4DFBA99D">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8"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14:paraId="6C34B939">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4"/>
      <w:bookmarkEnd w:id="25"/>
      <w:bookmarkEnd w:id="26"/>
      <w:bookmarkEnd w:id="27"/>
    </w:p>
    <w:p w14:paraId="0475AB69">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1.采购人信息</w:t>
      </w:r>
    </w:p>
    <w:p w14:paraId="69AA86B3">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名称：杭州电子科技大学</w:t>
      </w:r>
    </w:p>
    <w:p w14:paraId="1D00675C">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地址：杭州市钱塘区白杨街道2号大街1158号</w:t>
      </w:r>
    </w:p>
    <w:p w14:paraId="1793F71F">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传真：/</w:t>
      </w:r>
    </w:p>
    <w:p w14:paraId="143F383B">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项目联系人（询问）：</w:t>
      </w:r>
      <w:r>
        <w:rPr>
          <w:rFonts w:hint="eastAsia"/>
          <w:color w:val="auto"/>
          <w:sz w:val="21"/>
          <w:szCs w:val="21"/>
          <w:highlight w:val="none"/>
          <w:lang w:val="en-US" w:eastAsia="zh-CN"/>
        </w:rPr>
        <w:t>陈</w:t>
      </w:r>
      <w:r>
        <w:rPr>
          <w:rFonts w:hint="eastAsia"/>
          <w:color w:val="auto"/>
          <w:sz w:val="21"/>
          <w:szCs w:val="21"/>
          <w:highlight w:val="none"/>
        </w:rPr>
        <w:t>老师</w:t>
      </w:r>
    </w:p>
    <w:p w14:paraId="10A9496E">
      <w:pPr>
        <w:adjustRightInd w:val="0"/>
        <w:snapToGrid w:val="0"/>
        <w:spacing w:line="288" w:lineRule="auto"/>
        <w:ind w:firstLine="424" w:firstLineChars="202"/>
        <w:rPr>
          <w:rFonts w:hint="eastAsia"/>
          <w:color w:val="auto"/>
          <w:sz w:val="21"/>
          <w:szCs w:val="21"/>
          <w:highlight w:val="none"/>
          <w:lang w:val="en-US" w:eastAsia="zh-CN"/>
        </w:rPr>
      </w:pPr>
      <w:r>
        <w:rPr>
          <w:rFonts w:hint="eastAsia"/>
          <w:color w:val="auto"/>
          <w:sz w:val="21"/>
          <w:szCs w:val="21"/>
          <w:highlight w:val="none"/>
        </w:rPr>
        <w:t>项目联系方式（询问）：</w:t>
      </w:r>
      <w:r>
        <w:rPr>
          <w:rFonts w:hint="eastAsia"/>
          <w:color w:val="auto"/>
          <w:sz w:val="21"/>
          <w:szCs w:val="21"/>
          <w:highlight w:val="none"/>
          <w:lang w:val="en-US" w:eastAsia="zh-CN"/>
        </w:rPr>
        <w:t>15158111948</w:t>
      </w:r>
    </w:p>
    <w:p w14:paraId="004C29F3">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质疑联系人：李老师</w:t>
      </w:r>
    </w:p>
    <w:p w14:paraId="5D787FD4">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14:paraId="60F3AA1F">
      <w:pPr>
        <w:adjustRightInd w:val="0"/>
        <w:snapToGrid w:val="0"/>
        <w:spacing w:line="288" w:lineRule="auto"/>
        <w:ind w:firstLine="424" w:firstLineChars="202"/>
        <w:rPr>
          <w:color w:val="auto"/>
          <w:sz w:val="21"/>
          <w:szCs w:val="21"/>
          <w:highlight w:val="none"/>
        </w:rPr>
      </w:pPr>
    </w:p>
    <w:p w14:paraId="0608F249">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14:paraId="04FE7758">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14:paraId="6156B190">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173号中田大厦21楼</w:t>
      </w:r>
    </w:p>
    <w:p w14:paraId="2FFAC85F">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14:paraId="23CBEF0F">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项目联系人（询问）：</w:t>
      </w:r>
      <w:r>
        <w:rPr>
          <w:rFonts w:hint="eastAsia"/>
          <w:color w:val="auto"/>
          <w:sz w:val="21"/>
          <w:szCs w:val="21"/>
          <w:highlight w:val="none"/>
          <w:lang w:eastAsia="zh-CN"/>
        </w:rPr>
        <w:t>陈应俭、俞炳</w:t>
      </w:r>
    </w:p>
    <w:p w14:paraId="6B627EC8">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项目联系方式（询问）：</w:t>
      </w:r>
      <w:r>
        <w:rPr>
          <w:rFonts w:hint="eastAsia"/>
          <w:color w:val="auto"/>
          <w:sz w:val="21"/>
          <w:szCs w:val="21"/>
          <w:highlight w:val="none"/>
          <w:lang w:eastAsia="zh-CN"/>
        </w:rPr>
        <w:t>0571-87670302</w:t>
      </w:r>
    </w:p>
    <w:p w14:paraId="21BEE737">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质疑联系人：</w:t>
      </w:r>
      <w:r>
        <w:rPr>
          <w:rFonts w:hint="eastAsia"/>
          <w:color w:val="auto"/>
          <w:sz w:val="21"/>
          <w:szCs w:val="21"/>
          <w:highlight w:val="none"/>
          <w:lang w:val="en-US" w:eastAsia="zh-CN"/>
        </w:rPr>
        <w:t>周安琪</w:t>
      </w:r>
    </w:p>
    <w:p w14:paraId="0021379E">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14:paraId="008A603F">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14:paraId="7D504D1F">
      <w:pPr>
        <w:adjustRightInd w:val="0"/>
        <w:snapToGrid w:val="0"/>
        <w:spacing w:line="288" w:lineRule="auto"/>
        <w:ind w:firstLine="424" w:firstLineChars="202"/>
        <w:rPr>
          <w:rFonts w:cs="Times New Roman"/>
          <w:color w:val="auto"/>
          <w:sz w:val="21"/>
          <w:szCs w:val="21"/>
          <w:highlight w:val="none"/>
        </w:rPr>
      </w:pPr>
    </w:p>
    <w:p w14:paraId="2062F535">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3.同级政府采购监督管理部门</w:t>
      </w:r>
    </w:p>
    <w:p w14:paraId="599986D8">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名称：浙江省财政厅政府采购监管处、浙江省政府采购行政裁决服务中心（杭州）</w:t>
      </w:r>
    </w:p>
    <w:p w14:paraId="38575DFD">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地址：杭州市上城区清泰街549号城建综合大楼11楼（快递仅限ems或顺丰）</w:t>
      </w:r>
    </w:p>
    <w:p w14:paraId="0A40C86F">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传真：/</w:t>
      </w:r>
    </w:p>
    <w:p w14:paraId="1779EBFF">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联系人：朱女士、王女士</w:t>
      </w:r>
    </w:p>
    <w:p w14:paraId="484BA648">
      <w:pPr>
        <w:adjustRightInd w:val="0"/>
        <w:snapToGrid w:val="0"/>
        <w:spacing w:line="288" w:lineRule="auto"/>
        <w:ind w:firstLine="425" w:firstLineChars="215"/>
        <w:rPr>
          <w:rFonts w:cs="Times New Roman"/>
          <w:color w:val="auto"/>
          <w:spacing w:val="-6"/>
          <w:sz w:val="21"/>
          <w:szCs w:val="21"/>
          <w:highlight w:val="none"/>
        </w:rPr>
      </w:pPr>
      <w:r>
        <w:rPr>
          <w:rFonts w:hint="eastAsia" w:cs="Times New Roman"/>
          <w:color w:val="auto"/>
          <w:spacing w:val="-6"/>
          <w:sz w:val="21"/>
          <w:szCs w:val="21"/>
          <w:highlight w:val="none"/>
        </w:rPr>
        <w:t>监督投诉电话：0571-87227671,0571-87800218</w:t>
      </w:r>
      <w:bookmarkStart w:id="70" w:name="_GoBack"/>
      <w:bookmarkEnd w:id="70"/>
    </w:p>
    <w:p w14:paraId="0A3ED981">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政策咨询：何一平、冯华，0571-87058424、87055741</w:t>
      </w:r>
    </w:p>
    <w:p w14:paraId="7C3085C2">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预算金额未达100万元的采购项目，由采购人处理采购争议。</w:t>
      </w:r>
    </w:p>
    <w:p w14:paraId="5FCCB1A3">
      <w:pPr>
        <w:adjustRightInd w:val="0"/>
        <w:snapToGrid w:val="0"/>
        <w:spacing w:line="288" w:lineRule="auto"/>
        <w:rPr>
          <w:rFonts w:cs="Times New Roman"/>
          <w:color w:val="auto"/>
          <w:spacing w:val="-6"/>
          <w:sz w:val="21"/>
          <w:szCs w:val="21"/>
          <w:highlight w:val="none"/>
        </w:rPr>
      </w:pPr>
    </w:p>
    <w:p w14:paraId="125FF735">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若对项目采购电子交易系统操作有疑问，可登录政采云（</w:t>
      </w:r>
      <w:r>
        <w:rPr>
          <w:rFonts w:cs="Times New Roman"/>
          <w:color w:val="auto"/>
          <w:spacing w:val="-6"/>
          <w:sz w:val="21"/>
          <w:szCs w:val="21"/>
          <w:highlight w:val="none"/>
        </w:rPr>
        <w:t>https://www.zcygov.cn/），点击右侧咨询小采，获取采小蜜智能服务管家帮助，或拨打政采云服务热线</w:t>
      </w:r>
      <w:r>
        <w:rPr>
          <w:rFonts w:hint="eastAsia" w:cs="Times New Roman"/>
          <w:color w:val="auto"/>
          <w:spacing w:val="-6"/>
          <w:sz w:val="21"/>
          <w:szCs w:val="21"/>
          <w:highlight w:val="none"/>
          <w:lang w:val="en-US" w:eastAsia="zh-CN"/>
        </w:rPr>
        <w:t>95763</w:t>
      </w:r>
      <w:r>
        <w:rPr>
          <w:rFonts w:cs="Times New Roman"/>
          <w:color w:val="auto"/>
          <w:spacing w:val="-6"/>
          <w:sz w:val="21"/>
          <w:szCs w:val="21"/>
          <w:highlight w:val="none"/>
        </w:rPr>
        <w:t>获取热线服务帮助。</w:t>
      </w:r>
    </w:p>
    <w:p w14:paraId="3CF76D2C">
      <w:pPr>
        <w:adjustRightInd w:val="0"/>
        <w:snapToGrid w:val="0"/>
        <w:spacing w:line="288" w:lineRule="auto"/>
        <w:ind w:firstLine="396" w:firstLineChars="200"/>
        <w:rPr>
          <w:rFonts w:cs="Times New Roman"/>
          <w:color w:val="auto"/>
          <w:sz w:val="21"/>
          <w:szCs w:val="21"/>
          <w:highlight w:val="none"/>
        </w:rPr>
      </w:pPr>
      <w:r>
        <w:rPr>
          <w:rFonts w:cs="Times New Roman"/>
          <w:color w:val="auto"/>
          <w:spacing w:val="-6"/>
          <w:sz w:val="21"/>
          <w:szCs w:val="21"/>
          <w:highlight w:val="none"/>
        </w:rPr>
        <w:t>CA问题联系电话（人工）：汇信CA400-888-4636；天谷CA400-087-8198。</w:t>
      </w:r>
    </w:p>
    <w:p w14:paraId="799EE99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96EE171">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14:paraId="35490F9A">
      <w:pPr>
        <w:adjustRightInd w:val="0"/>
        <w:snapToGrid w:val="0"/>
        <w:spacing w:line="288" w:lineRule="auto"/>
        <w:jc w:val="left"/>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3"/>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107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4A0CC5">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bookmarkStart w:id="29" w:name="_Hlk45005599"/>
            <w:r>
              <w:rPr>
                <w:rFonts w:hint="eastAsia"/>
                <w:b/>
                <w:bCs/>
                <w:color w:val="auto"/>
                <w:sz w:val="21"/>
                <w:szCs w:val="21"/>
                <w:highlight w:val="none"/>
              </w:rPr>
              <w:t>序号</w:t>
            </w:r>
          </w:p>
        </w:tc>
        <w:tc>
          <w:tcPr>
            <w:tcW w:w="3256" w:type="dxa"/>
            <w:vAlign w:val="center"/>
          </w:tcPr>
          <w:p w14:paraId="7D05635B">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政策名称</w:t>
            </w:r>
          </w:p>
        </w:tc>
        <w:tc>
          <w:tcPr>
            <w:tcW w:w="5529" w:type="dxa"/>
            <w:vAlign w:val="center"/>
          </w:tcPr>
          <w:p w14:paraId="49746822">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内容</w:t>
            </w:r>
          </w:p>
        </w:tc>
      </w:tr>
      <w:tr w14:paraId="06F9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69B5721">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1</w:t>
            </w:r>
          </w:p>
        </w:tc>
        <w:tc>
          <w:tcPr>
            <w:tcW w:w="3256" w:type="dxa"/>
            <w:vAlign w:val="center"/>
          </w:tcPr>
          <w:p w14:paraId="7B1AD0F8">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529" w:type="dxa"/>
            <w:vAlign w:val="center"/>
          </w:tcPr>
          <w:p w14:paraId="46859554">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不允许采购进口产品</w:t>
            </w:r>
          </w:p>
        </w:tc>
      </w:tr>
      <w:tr w14:paraId="309D8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4740808B">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2</w:t>
            </w:r>
          </w:p>
        </w:tc>
        <w:tc>
          <w:tcPr>
            <w:tcW w:w="3256" w:type="dxa"/>
            <w:vAlign w:val="center"/>
          </w:tcPr>
          <w:p w14:paraId="74ACFD6A">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529" w:type="dxa"/>
            <w:vAlign w:val="center"/>
          </w:tcPr>
          <w:p w14:paraId="0142274D">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14:paraId="5D8B7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29B3F025">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3</w:t>
            </w:r>
          </w:p>
        </w:tc>
        <w:tc>
          <w:tcPr>
            <w:tcW w:w="3256" w:type="dxa"/>
            <w:vAlign w:val="center"/>
          </w:tcPr>
          <w:p w14:paraId="607CC33E">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529" w:type="dxa"/>
            <w:vAlign w:val="center"/>
          </w:tcPr>
          <w:p w14:paraId="6C4E259B">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提供材料详见磋商文件第六章“商务和技术文件”</w:t>
            </w:r>
          </w:p>
        </w:tc>
      </w:tr>
      <w:tr w14:paraId="4049E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57C599">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4</w:t>
            </w:r>
          </w:p>
        </w:tc>
        <w:tc>
          <w:tcPr>
            <w:tcW w:w="3256" w:type="dxa"/>
            <w:vAlign w:val="center"/>
          </w:tcPr>
          <w:p w14:paraId="7E8D0A9C">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政府采购支持科技创新</w:t>
            </w:r>
          </w:p>
        </w:tc>
        <w:tc>
          <w:tcPr>
            <w:tcW w:w="5529" w:type="dxa"/>
            <w:vAlign w:val="center"/>
          </w:tcPr>
          <w:p w14:paraId="3C5EA136">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提供材料详见磋商文件第六章“商务和技术文件”</w:t>
            </w:r>
          </w:p>
        </w:tc>
      </w:tr>
      <w:tr w14:paraId="4458E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D3AE118">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5</w:t>
            </w:r>
          </w:p>
        </w:tc>
        <w:tc>
          <w:tcPr>
            <w:tcW w:w="3256" w:type="dxa"/>
            <w:vAlign w:val="center"/>
          </w:tcPr>
          <w:p w14:paraId="010AA2CD">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529" w:type="dxa"/>
            <w:vAlign w:val="center"/>
          </w:tcPr>
          <w:p w14:paraId="258B7E50">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w:t>
            </w:r>
            <w:r>
              <w:rPr>
                <w:rFonts w:hint="eastAsia"/>
                <w:color w:val="auto"/>
                <w:sz w:val="21"/>
                <w:szCs w:val="21"/>
                <w:highlight w:val="none"/>
                <w:lang w:val="en-US" w:eastAsia="zh-CN"/>
              </w:rPr>
              <w:t>资格</w:t>
            </w:r>
            <w:r>
              <w:rPr>
                <w:rFonts w:hint="eastAsia"/>
                <w:color w:val="auto"/>
                <w:sz w:val="21"/>
                <w:szCs w:val="21"/>
                <w:highlight w:val="none"/>
              </w:rPr>
              <w:t>文件”</w:t>
            </w:r>
          </w:p>
          <w:p w14:paraId="535EC71E">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本项目属性为：货物</w:t>
            </w:r>
          </w:p>
          <w:p w14:paraId="26308D53">
            <w:pPr>
              <w:keepNext w:val="0"/>
              <w:keepLines w:val="0"/>
              <w:suppressLineNumbers w:val="0"/>
              <w:adjustRightInd w:val="0"/>
              <w:snapToGrid w:val="0"/>
              <w:spacing w:before="0" w:beforeAutospacing="0" w:after="0" w:afterAutospacing="0" w:line="288" w:lineRule="auto"/>
              <w:ind w:left="0" w:right="0"/>
              <w:jc w:val="left"/>
              <w:rPr>
                <w:rFonts w:hint="eastAsia" w:eastAsia="宋体" w:cs="Times New Roman"/>
                <w:b/>
                <w:bCs/>
                <w:color w:val="auto"/>
                <w:sz w:val="21"/>
                <w:szCs w:val="21"/>
                <w:highlight w:val="none"/>
                <w:lang w:val="en-US" w:eastAsia="zh-CN"/>
              </w:rPr>
            </w:pPr>
            <w:r>
              <w:rPr>
                <w:rFonts w:hint="eastAsia" w:cs="Times New Roman"/>
                <w:b/>
                <w:bCs/>
                <w:color w:val="auto"/>
                <w:sz w:val="21"/>
                <w:szCs w:val="21"/>
                <w:highlight w:val="none"/>
              </w:rPr>
              <w:t>采购标的对应的中小企业划分标准所属行业：</w:t>
            </w:r>
            <w:r>
              <w:rPr>
                <w:rFonts w:hint="eastAsia" w:cs="Times New Roman"/>
                <w:b/>
                <w:bCs/>
                <w:color w:val="auto"/>
                <w:sz w:val="21"/>
                <w:szCs w:val="21"/>
                <w:highlight w:val="none"/>
                <w:lang w:val="en-US" w:eastAsia="zh-CN"/>
              </w:rPr>
              <w:t>工业</w:t>
            </w:r>
          </w:p>
          <w:p w14:paraId="5BB51830">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7570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AEA5BB">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6</w:t>
            </w:r>
          </w:p>
        </w:tc>
        <w:tc>
          <w:tcPr>
            <w:tcW w:w="3256" w:type="dxa"/>
            <w:vAlign w:val="center"/>
          </w:tcPr>
          <w:p w14:paraId="7FA571E5">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529" w:type="dxa"/>
            <w:vAlign w:val="center"/>
          </w:tcPr>
          <w:p w14:paraId="78D00656">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olor w:val="auto"/>
                <w:sz w:val="21"/>
                <w:szCs w:val="21"/>
                <w:highlight w:val="none"/>
              </w:rPr>
              <w:t>提供材料详见磋商文件第六章“资格文件”</w:t>
            </w:r>
          </w:p>
        </w:tc>
      </w:tr>
      <w:tr w14:paraId="4518D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74B8DF5">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7</w:t>
            </w:r>
          </w:p>
        </w:tc>
        <w:tc>
          <w:tcPr>
            <w:tcW w:w="3256" w:type="dxa"/>
            <w:vAlign w:val="center"/>
          </w:tcPr>
          <w:p w14:paraId="7D8A1BCD">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529" w:type="dxa"/>
            <w:vAlign w:val="center"/>
          </w:tcPr>
          <w:p w14:paraId="6D8F1EB8">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提供材料详见磋商文件第六章“资格文件”</w:t>
            </w:r>
          </w:p>
        </w:tc>
      </w:tr>
      <w:bookmarkEnd w:id="29"/>
    </w:tbl>
    <w:p w14:paraId="5054AF91">
      <w:pPr>
        <w:adjustRightInd w:val="0"/>
        <w:snapToGrid w:val="0"/>
        <w:spacing w:line="288" w:lineRule="auto"/>
        <w:jc w:val="left"/>
        <w:rPr>
          <w:color w:val="auto"/>
          <w:sz w:val="21"/>
          <w:szCs w:val="21"/>
          <w:highlight w:val="none"/>
        </w:rPr>
      </w:pPr>
    </w:p>
    <w:p w14:paraId="3209EC1B">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5C6DD5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A4CD8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C571BD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1.合同签订后5个工作日内，</w:t>
            </w:r>
            <w:r>
              <w:rPr>
                <w:rFonts w:hint="eastAsia" w:cs="宋体"/>
                <w:color w:val="auto"/>
                <w:spacing w:val="-6"/>
                <w:kern w:val="0"/>
                <w:sz w:val="21"/>
                <w:szCs w:val="21"/>
                <w:highlight w:val="none"/>
                <w:lang w:eastAsia="zh-CN" w:bidi="ar"/>
              </w:rPr>
              <w:t>供应商</w:t>
            </w:r>
            <w:r>
              <w:rPr>
                <w:rFonts w:hint="eastAsia" w:ascii="宋体" w:hAnsi="宋体" w:eastAsia="宋体" w:cs="宋体"/>
                <w:color w:val="auto"/>
                <w:spacing w:val="-6"/>
                <w:kern w:val="0"/>
                <w:sz w:val="21"/>
                <w:szCs w:val="21"/>
                <w:highlight w:val="none"/>
                <w:lang w:bidi="ar"/>
              </w:rPr>
              <w:t>向采购人提交合同总价1%的履约保证金，履约保证金在合同履约期间无违约情形的，项目验收结束后，于7个工作日内退还（不计息）；</w:t>
            </w:r>
          </w:p>
          <w:p w14:paraId="67EC272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2.提交方式：支票、汇票、本票或金融机构、担保机构出具的保函等非现金形式。</w:t>
            </w:r>
          </w:p>
          <w:p w14:paraId="1B30A2D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注：履约保证金如采用银行转账方式提交，具体转账信息如下：</w:t>
            </w:r>
          </w:p>
          <w:p w14:paraId="370D8A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收款单位（户名）：杭州电子科技大学</w:t>
            </w:r>
          </w:p>
          <w:p w14:paraId="4EEBEC4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开户银行：工行高新支行</w:t>
            </w:r>
          </w:p>
          <w:p w14:paraId="32302F8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银行账号：1202026209008806216</w:t>
            </w:r>
          </w:p>
        </w:tc>
      </w:tr>
      <w:tr w14:paraId="5018C3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1869" w:type="dxa"/>
            <w:tcBorders>
              <w:top w:val="single" w:color="auto" w:sz="4" w:space="0"/>
              <w:left w:val="single" w:color="auto" w:sz="4" w:space="0"/>
              <w:bottom w:val="single" w:color="auto" w:sz="4" w:space="0"/>
              <w:right w:val="single" w:color="auto" w:sz="4" w:space="0"/>
            </w:tcBorders>
            <w:vAlign w:val="center"/>
          </w:tcPr>
          <w:p w14:paraId="491E87B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bookmarkStart w:id="30" w:name="_Hlk45005608"/>
            <w:r>
              <w:rPr>
                <w:rFonts w:hint="eastAsia" w:ascii="宋体" w:hAnsi="宋体" w:eastAsia="宋体"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38BCE41C">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1.供应商为中小企业的，合同生效以及具备实施条件后7个工作日内，且</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已向采购人提交银行、保险公司等金融机构出具的预付款保函的，采购人向</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支付合同总价的40%；货物在</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安装调试完毕并经采购人验收合格后，采购人在收到发票后7个工作日内，向</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支付合同总价的60%。</w:t>
            </w:r>
          </w:p>
          <w:p w14:paraId="400BC3D9">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2.</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为大型企业的，合同生效以及具备实施条件后7个工作日内，且</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已向采购人提交银行、保险公司等金融机构出具的预付款保函的，采购人向</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支付合同总价的30%；货物在</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安装调试完毕并经采购人验收合格后，采购人在收到发票后7个工作日内，向</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支付合同总价的70%。</w:t>
            </w:r>
          </w:p>
          <w:p w14:paraId="6A2BEE2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3.在签订合同时，</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明确表示无需预付款或者主动要求降低预付款比例的，可降低预付款比例（预付款保函同步调整）。</w:t>
            </w:r>
          </w:p>
          <w:p w14:paraId="21E13CBE">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4.签订合同时</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明确表示无需预付款的，可以采用以下付款方式：</w:t>
            </w:r>
          </w:p>
          <w:p w14:paraId="5FB5C56D">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①货到分期付款：货物送达并经采购人初步验收并收到发票后10个工作日内，采购人向</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支付合同总价的70%；货物由</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安装调试完毕并经采购人验收合格后，收到发票后10个工作日内，采购人向</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支付合同总价的30%。</w:t>
            </w:r>
          </w:p>
          <w:p w14:paraId="68DA6769">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②货到一次性支付：全部货物送达安装调试完毕，经采购人验收合格，收到发票后10个工作日内，采购人向</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支付全部合同价款。</w:t>
            </w:r>
          </w:p>
          <w:p w14:paraId="2DE7812C">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注：付款前，</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须交纳合同约定的履约保证金（如有）并提供采购人财务处开具的履约保证金收据，</w:t>
            </w:r>
            <w:r>
              <w:rPr>
                <w:rFonts w:hint="eastAsia"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向采购人开具等额有效的合格增值税专用发票。采购人开票信息如下：</w:t>
            </w:r>
          </w:p>
          <w:p w14:paraId="7F00CF86">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单位名称：杭州电子科技大学。税号：12330000470009026T</w:t>
            </w:r>
          </w:p>
          <w:p w14:paraId="6ADE8A33">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开户银行：工行杭州高新支行。账号：1202026209008806216</w:t>
            </w:r>
          </w:p>
        </w:tc>
      </w:tr>
      <w:bookmarkEnd w:id="30"/>
    </w:tbl>
    <w:p w14:paraId="2E559BBC">
      <w:pPr>
        <w:adjustRightInd w:val="0"/>
        <w:snapToGrid w:val="0"/>
        <w:spacing w:line="288" w:lineRule="auto"/>
        <w:rPr>
          <w:color w:val="auto"/>
          <w:sz w:val="21"/>
          <w:szCs w:val="21"/>
          <w:highlight w:val="none"/>
        </w:rPr>
      </w:pPr>
    </w:p>
    <w:p w14:paraId="16B36800">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3"/>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147F47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66BFE3D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31" w:name="_Hlk97039632"/>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40F238FD">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r>
              <w:rPr>
                <w:rFonts w:hint="eastAsia"/>
                <w:color w:val="auto"/>
                <w:sz w:val="21"/>
                <w:szCs w:val="21"/>
                <w:highlight w:val="none"/>
                <w:lang w:val="en-US" w:eastAsia="zh-CN"/>
              </w:rPr>
              <w:t>自合同签订之日起30日内交付并安装完毕</w:t>
            </w:r>
          </w:p>
        </w:tc>
      </w:tr>
      <w:tr w14:paraId="311B1B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4798A6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914FB0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采购人指定地点</w:t>
            </w:r>
          </w:p>
        </w:tc>
      </w:tr>
      <w:bookmarkEnd w:id="31"/>
      <w:tr w14:paraId="4F6A15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7BBE57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7C229A6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年，项目验收合格后开始计算</w:t>
            </w:r>
          </w:p>
        </w:tc>
      </w:tr>
      <w:tr w14:paraId="692551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E30D36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6710E13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14:paraId="25FAAE51">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质保期内出现无法排除的故障，供应商需无条件更换同型号产品。</w:t>
            </w:r>
          </w:p>
          <w:p w14:paraId="32F13F8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质保期满后，供应商继续为采购人服务，仅收取零配件成本费。</w:t>
            </w:r>
          </w:p>
          <w:p w14:paraId="39A9C7E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4.</w:t>
            </w:r>
            <w:r>
              <w:rPr>
                <w:rFonts w:hint="eastAsia"/>
                <w:color w:val="auto"/>
                <w:sz w:val="21"/>
                <w:szCs w:val="21"/>
                <w:highlight w:val="none"/>
              </w:rPr>
              <w:t>因人为因素出现的故障不在免费保修范围内。</w:t>
            </w:r>
          </w:p>
          <w:p w14:paraId="5CC326E9">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u w:val="single"/>
              </w:rPr>
            </w:pPr>
            <w:r>
              <w:rPr>
                <w:rFonts w:hint="default"/>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如在使用过程中发生质量问题，供应商维修响应时间：1小时以内；</w:t>
            </w:r>
          </w:p>
          <w:p w14:paraId="513E7908">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u w:val="single"/>
              </w:rPr>
            </w:pPr>
            <w:r>
              <w:rPr>
                <w:rFonts w:hint="eastAsia"/>
                <w:color w:val="auto"/>
                <w:sz w:val="21"/>
                <w:szCs w:val="21"/>
                <w:highlight w:val="none"/>
                <w:u w:val="single"/>
              </w:rPr>
              <w:t>电话技术支持时间：2小时以内；</w:t>
            </w:r>
          </w:p>
          <w:p w14:paraId="797109A2">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u w:val="single"/>
              </w:rPr>
              <w:t>对于通过电话、邮件等远程技术支持不能解决的问题，供应商应在12小时内派遣相关人员赶赴现场，48小时内维修完毕；发生紧急抢修事故的，供应商应在接到采购人通知后2小时内到达现场抢修，并于到达现场6小时之内排除故障。供应商未在约定时间内修复的或同一货物经2次维修后仍不能稳定、可靠运行的，采购人有权要求供应商免费更换。</w:t>
            </w:r>
          </w:p>
        </w:tc>
      </w:tr>
      <w:tr w14:paraId="1F94C9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9D68E7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1EA68CF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1.验收由采购人负责实施；</w:t>
            </w:r>
          </w:p>
          <w:p w14:paraId="678A03B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2.验收依据：</w:t>
            </w:r>
          </w:p>
          <w:p w14:paraId="7A00BAA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2.1合同、磋商文件、响应文件；</w:t>
            </w:r>
          </w:p>
          <w:p w14:paraId="72A78B63">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2.2供应商提供的技术规格、经采购人认可的合同货物的有效检验文件；</w:t>
            </w:r>
          </w:p>
          <w:p w14:paraId="5E56861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14:paraId="3C9261E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21D2FD5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4.验收合格的条件：</w:t>
            </w:r>
          </w:p>
          <w:p w14:paraId="34551C4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4.1所供货物符合产品标准和合同的要求；</w:t>
            </w:r>
          </w:p>
          <w:p w14:paraId="5498EDD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4.2在进行测试和验收过程中发现的问题已被解决并得到采购人的认可；</w:t>
            </w:r>
          </w:p>
          <w:p w14:paraId="68AFDB9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4.3合同中规定的所有货物和材料均已交付；</w:t>
            </w:r>
          </w:p>
          <w:p w14:paraId="3420ED9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4.4所供货物已通过使用单位组织的验收；</w:t>
            </w:r>
          </w:p>
          <w:p w14:paraId="41C59BB2">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4.5所有相关的技术文件及资料均已提交并得到接受。</w:t>
            </w:r>
          </w:p>
        </w:tc>
      </w:tr>
      <w:tr w14:paraId="5C340C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80D71F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5337972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供应商应按磋商文件规定的货物性能、技术要求、质量标准向采购人提供未经使用的全新产品，符合国家法律法规规定和技术规格、质量标准的出厂原装合格产品。</w:t>
            </w:r>
          </w:p>
          <w:p w14:paraId="2E18475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.技术支持：</w:t>
            </w:r>
          </w:p>
          <w:p w14:paraId="07A24742">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供应商应及时免费提供合同货物软件的升级，免费提供合同货物新功能和应用的资料。</w:t>
            </w:r>
          </w:p>
          <w:p w14:paraId="09B9985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.安装调试：</w:t>
            </w:r>
            <w:r>
              <w:rPr>
                <w:rFonts w:hint="default"/>
                <w:color w:val="auto"/>
                <w:sz w:val="21"/>
                <w:szCs w:val="21"/>
                <w:highlight w:val="none"/>
              </w:rPr>
              <w:t xml:space="preserve"> </w:t>
            </w:r>
          </w:p>
          <w:p w14:paraId="07557524">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.1安装地点：采购人指定地点；</w:t>
            </w:r>
          </w:p>
          <w:p w14:paraId="753A841C">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14:paraId="2C54EBD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14:paraId="6DCA01D9">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.4安装标准：符合我国国家有关技术规范要求和技术标准，所有的软件和硬件必须保证同时安装到位；</w:t>
            </w:r>
          </w:p>
          <w:p w14:paraId="6AD5E683">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.5供应商免费提供合同货物的安装服务；</w:t>
            </w:r>
          </w:p>
          <w:p w14:paraId="3F6365C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.6供应商在响应文件中应提供安装调试计划、对安装场地和环境的要求。</w:t>
            </w:r>
          </w:p>
          <w:p w14:paraId="30E87CB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4</w:t>
            </w:r>
            <w:r>
              <w:rPr>
                <w:rFonts w:hint="eastAsia"/>
                <w:color w:val="auto"/>
                <w:sz w:val="21"/>
                <w:szCs w:val="21"/>
                <w:highlight w:val="none"/>
              </w:rPr>
              <w:t>.供应商应提供质保期满后主要零部件报价单、质保期满后维护费、软件升级及其相关服务内容；</w:t>
            </w:r>
          </w:p>
          <w:p w14:paraId="5293FA3F">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5</w:t>
            </w:r>
            <w:r>
              <w:rPr>
                <w:rFonts w:hint="eastAsia"/>
                <w:color w:val="auto"/>
                <w:sz w:val="21"/>
                <w:szCs w:val="21"/>
                <w:highlight w:val="none"/>
              </w:rPr>
              <w:t>.供货时提供有关的全套技术文件。</w:t>
            </w:r>
          </w:p>
          <w:p w14:paraId="491230A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6</w:t>
            </w:r>
            <w:r>
              <w:rPr>
                <w:rFonts w:hint="default"/>
                <w:color w:val="auto"/>
                <w:sz w:val="21"/>
                <w:szCs w:val="21"/>
                <w:highlight w:val="none"/>
              </w:rPr>
              <w:t>.</w:t>
            </w:r>
            <w:r>
              <w:rPr>
                <w:rFonts w:hint="eastAsia" w:cs="Times New Roman"/>
                <w:color w:val="auto"/>
                <w:spacing w:val="-6"/>
                <w:sz w:val="21"/>
                <w:szCs w:val="21"/>
                <w:highlight w:val="none"/>
              </w:rPr>
              <w:t>供应商应保证所提供的货物或其中任何一部分均不会侵犯第三方的知识产权。</w:t>
            </w:r>
          </w:p>
        </w:tc>
      </w:tr>
      <w:tr w14:paraId="1A48C2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274C60F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68F4C141">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供应商应对采购人的操作人员、维修人员免费进行培训；</w:t>
            </w:r>
          </w:p>
          <w:p w14:paraId="2FD03479">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供应商应提供相应的培训计划；</w:t>
            </w:r>
          </w:p>
          <w:p w14:paraId="2586BDE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上述内容的实现方式、时间、地点、人数应在响应文件中详细说明。</w:t>
            </w:r>
          </w:p>
        </w:tc>
      </w:tr>
    </w:tbl>
    <w:p w14:paraId="66FA4962">
      <w:pPr>
        <w:adjustRightInd w:val="0"/>
        <w:snapToGrid w:val="0"/>
        <w:spacing w:line="288" w:lineRule="auto"/>
        <w:rPr>
          <w:color w:val="auto"/>
          <w:sz w:val="21"/>
          <w:szCs w:val="21"/>
          <w:highlight w:val="none"/>
        </w:rPr>
      </w:pPr>
    </w:p>
    <w:p w14:paraId="77572B6A">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14:paraId="1ED21EDA">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bookmarkStart w:id="32" w:name="_Hlk97039652"/>
      <w:r>
        <w:rPr>
          <w:rFonts w:hint="eastAsia"/>
          <w:color w:val="auto"/>
          <w:sz w:val="21"/>
          <w:szCs w:val="21"/>
          <w:highlight w:val="none"/>
        </w:rPr>
        <w:t>如技术要求中未注明需执行的国家相关标准、行业标准、地方标准或者其他标准、规范的，执行最新标准、规范。</w:t>
      </w:r>
      <w:bookmarkEnd w:id="32"/>
    </w:p>
    <w:p w14:paraId="4C037D82">
      <w:pPr>
        <w:adjustRightInd w:val="0"/>
        <w:snapToGrid w:val="0"/>
        <w:spacing w:line="288" w:lineRule="auto"/>
        <w:rPr>
          <w:rFonts w:hint="default" w:eastAsia="宋体"/>
          <w:b/>
          <w:bCs/>
          <w:color w:val="auto"/>
          <w:sz w:val="21"/>
          <w:szCs w:val="21"/>
          <w:highlight w:val="none"/>
          <w:lang w:val="en-US" w:eastAsia="zh-CN"/>
        </w:rPr>
      </w:pPr>
      <w:r>
        <w:rPr>
          <w:b/>
          <w:bCs/>
          <w:color w:val="auto"/>
          <w:sz w:val="21"/>
          <w:szCs w:val="21"/>
          <w:highlight w:val="none"/>
        </w:rPr>
        <w:t>2</w:t>
      </w:r>
      <w:r>
        <w:rPr>
          <w:rFonts w:hint="eastAsia"/>
          <w:b/>
          <w:bCs/>
          <w:color w:val="auto"/>
          <w:sz w:val="21"/>
          <w:szCs w:val="21"/>
          <w:highlight w:val="none"/>
        </w:rPr>
        <w:t>.需实现的功能或者目标：</w:t>
      </w:r>
      <w:r>
        <w:rPr>
          <w:rFonts w:hint="eastAsia"/>
          <w:b w:val="0"/>
          <w:bCs w:val="0"/>
          <w:color w:val="auto"/>
          <w:sz w:val="21"/>
          <w:szCs w:val="21"/>
          <w:highlight w:val="none"/>
          <w:lang w:val="en-US" w:eastAsia="zh-CN"/>
        </w:rPr>
        <w:t>满足物理虚拟仿真实验及仪器的使用需求。</w:t>
      </w:r>
    </w:p>
    <w:p w14:paraId="430A945B">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2121"/>
        <w:gridCol w:w="627"/>
        <w:gridCol w:w="614"/>
        <w:gridCol w:w="6039"/>
      </w:tblGrid>
      <w:tr w14:paraId="5D82F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7B1D4D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2121" w:type="dxa"/>
            <w:vAlign w:val="center"/>
          </w:tcPr>
          <w:p w14:paraId="52EE08F1">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627" w:type="dxa"/>
            <w:vAlign w:val="center"/>
          </w:tcPr>
          <w:p w14:paraId="2B03A990">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614" w:type="dxa"/>
            <w:vAlign w:val="center"/>
          </w:tcPr>
          <w:p w14:paraId="1228EDB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6039" w:type="dxa"/>
            <w:vAlign w:val="center"/>
          </w:tcPr>
          <w:p w14:paraId="035F888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（功能或者目标）、质量、安全、技术规格、物理特性等要求</w:t>
            </w:r>
          </w:p>
        </w:tc>
      </w:tr>
      <w:tr w14:paraId="6D848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DE3B540">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w:t>
            </w:r>
          </w:p>
        </w:tc>
        <w:tc>
          <w:tcPr>
            <w:tcW w:w="2121" w:type="dxa"/>
            <w:vAlign w:val="center"/>
          </w:tcPr>
          <w:p w14:paraId="77F7F0F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螺线管磁场测定仪</w:t>
            </w:r>
          </w:p>
        </w:tc>
        <w:tc>
          <w:tcPr>
            <w:tcW w:w="627" w:type="dxa"/>
            <w:vAlign w:val="center"/>
          </w:tcPr>
          <w:p w14:paraId="3E7961BD">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25</w:t>
            </w:r>
          </w:p>
        </w:tc>
        <w:tc>
          <w:tcPr>
            <w:tcW w:w="614" w:type="dxa"/>
            <w:vAlign w:val="center"/>
          </w:tcPr>
          <w:p w14:paraId="676EB8F4">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套</w:t>
            </w:r>
          </w:p>
        </w:tc>
        <w:tc>
          <w:tcPr>
            <w:tcW w:w="6039" w:type="dxa"/>
            <w:vAlign w:val="center"/>
          </w:tcPr>
          <w:p w14:paraId="14D75D2F">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1.（GaAs）霍尔传感器，N型；磁场测量范围：-67mT ～ 67mT；★2.螺线管参数：螺线管长度：L=280mm，螺线管内径D内=14mm，外径D外=34mm，匝数：N=2700±10 匝；螺线管轴线中心最大均匀磁场＞12mT；</w:t>
            </w:r>
          </w:p>
          <w:p w14:paraId="1D727BF3">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3.直流恒流源：</w:t>
            </w:r>
          </w:p>
          <w:p w14:paraId="1B572794">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3.1 直流恒流源1：输出电流0～1000mA连续可调，三位半数字显示；</w:t>
            </w:r>
          </w:p>
          <w:p w14:paraId="146964AF">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3.2 直流恒流源2：输出电流0～5.0mA连续可调，三位半数字显示；</w:t>
            </w:r>
          </w:p>
          <w:p w14:paraId="0F8A5866">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4.数字电压表量程：0～1999.9mV、0～199.99mV；量程自动切换，最小分辨率 0.01mV；四位半数字显示。</w:t>
            </w:r>
          </w:p>
          <w:p w14:paraId="0CE6D142">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★5.配套对应上述对应实验名称项目内容的虚拟仿真实验系统，供学生正式开展上述实验之前进行预习和模拟实验操作等。</w:t>
            </w:r>
          </w:p>
        </w:tc>
      </w:tr>
      <w:tr w14:paraId="7145E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23B8E8FE">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p>
        </w:tc>
        <w:tc>
          <w:tcPr>
            <w:tcW w:w="2121" w:type="dxa"/>
            <w:vAlign w:val="center"/>
          </w:tcPr>
          <w:p w14:paraId="6517EA50">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伏安特性实验仪</w:t>
            </w:r>
          </w:p>
        </w:tc>
        <w:tc>
          <w:tcPr>
            <w:tcW w:w="627" w:type="dxa"/>
            <w:vAlign w:val="center"/>
          </w:tcPr>
          <w:p w14:paraId="2C7B225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12</w:t>
            </w:r>
          </w:p>
        </w:tc>
        <w:tc>
          <w:tcPr>
            <w:tcW w:w="614" w:type="dxa"/>
            <w:vAlign w:val="center"/>
          </w:tcPr>
          <w:p w14:paraId="67C94108">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0A0E43C0">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1.输出电压：0～16V，负载电流：0～0.2A；</w:t>
            </w:r>
          </w:p>
          <w:p w14:paraId="77A58A06">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2.输出电压稳定性：优于1×10-4/小时；输出波纹：≤1mVrms，负载稳定性：优于1×10-3；输出设有短路和过流保护电路，输出电流最大为0.2A；输出电压调节：分粗调、细调；</w:t>
            </w:r>
          </w:p>
          <w:p w14:paraId="49F8F4E3">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3.四位半数字电压表：2V和20V两档，准确度0.2%；</w:t>
            </w:r>
          </w:p>
          <w:p w14:paraId="7E6A9EDE">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4.四位半数字电流表：2mA，20mA和200mA三档，准确度0.5%；</w:t>
            </w:r>
          </w:p>
          <w:p w14:paraId="4DDB1BB2">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5.可变电阻：（0～10）×（1000+100+10）Ω；</w:t>
            </w:r>
          </w:p>
          <w:p w14:paraId="4BE08073">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★6.配套对应上述对应实验名称项目内容的虚拟仿真实验系统，供学生正式开展上述实验之前进行预习和模拟实验操作等。</w:t>
            </w:r>
          </w:p>
          <w:p w14:paraId="38A7B154">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7.含五种待测元件。</w:t>
            </w:r>
          </w:p>
        </w:tc>
      </w:tr>
      <w:tr w14:paraId="7B16C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7949310">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3</w:t>
            </w:r>
          </w:p>
        </w:tc>
        <w:tc>
          <w:tcPr>
            <w:tcW w:w="2121" w:type="dxa"/>
            <w:vAlign w:val="center"/>
          </w:tcPr>
          <w:p w14:paraId="4E0592AA">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非平衡直流电桥</w:t>
            </w:r>
          </w:p>
        </w:tc>
        <w:tc>
          <w:tcPr>
            <w:tcW w:w="627" w:type="dxa"/>
            <w:vAlign w:val="center"/>
          </w:tcPr>
          <w:p w14:paraId="3E241EFE">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6</w:t>
            </w:r>
          </w:p>
        </w:tc>
        <w:tc>
          <w:tcPr>
            <w:tcW w:w="614" w:type="dxa"/>
            <w:vAlign w:val="center"/>
          </w:tcPr>
          <w:p w14:paraId="16419534">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37D9B2D6">
            <w:pPr>
              <w:pStyle w:val="38"/>
              <w:keepNext w:val="0"/>
              <w:keepLines w:val="0"/>
              <w:suppressLineNumbers w:val="0"/>
              <w:spacing w:before="53"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1.测量范围：</w:t>
            </w:r>
          </w:p>
          <w:p w14:paraId="40454F7C">
            <w:pPr>
              <w:keepNext w:val="0"/>
              <w:keepLines w:val="0"/>
              <w:numPr>
                <w:ilvl w:val="0"/>
                <w:numId w:val="0"/>
              </w:numPr>
              <w:suppressLineNumbers w:val="0"/>
              <w:spacing w:before="0" w:beforeAutospacing="0" w:after="0" w:afterAutospacing="0" w:line="240" w:lineRule="auto"/>
              <w:ind w:left="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单臂电桥：0.01Ω～11.1111MΩ，测量精度：±0.1%；</w:t>
            </w:r>
          </w:p>
          <w:p w14:paraId="546F0AA4">
            <w:pPr>
              <w:keepNext w:val="0"/>
              <w:keepLines w:val="0"/>
              <w:numPr>
                <w:ilvl w:val="0"/>
                <w:numId w:val="0"/>
              </w:numPr>
              <w:suppressLineNumbers w:val="0"/>
              <w:spacing w:before="0" w:beforeAutospacing="0" w:after="0" w:afterAutospacing="0" w:line="240" w:lineRule="auto"/>
              <w:ind w:left="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非平衡电桥：1Ω～11.1111MΩ，测量精度：±0.1%；</w:t>
            </w:r>
          </w:p>
          <w:p w14:paraId="33534F05">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非平衡电桥最小调节量：0.01Ω（可组成等臂电桥、立式电桥、卧式电桥、功率电桥）测量多种连续变化的物理量；精度±1%；</w:t>
            </w:r>
          </w:p>
          <w:p w14:paraId="713BC67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3.RX：向上变化：100%，向下变化：70%；</w:t>
            </w:r>
          </w:p>
          <w:p w14:paraId="018A6D9D">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4.面板标有自组桥路图形，便于学生自组各种桥式电路；</w:t>
            </w:r>
          </w:p>
          <w:p w14:paraId="31662B2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5.内附电压和电流型数字式检流计；</w:t>
            </w:r>
          </w:p>
          <w:p w14:paraId="79645684">
            <w:pPr>
              <w:keepNext w:val="0"/>
              <w:keepLines w:val="0"/>
              <w:widowControl w:val="0"/>
              <w:numPr>
                <w:ilvl w:val="0"/>
                <w:numId w:val="0"/>
              </w:numPr>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6.另配 FQJ-2 非平衡电桥加热装置；</w:t>
            </w:r>
          </w:p>
          <w:p w14:paraId="6C61051A">
            <w:pPr>
              <w:keepNext w:val="0"/>
              <w:keepLines w:val="0"/>
              <w:widowControl w:val="0"/>
              <w:numPr>
                <w:ilvl w:val="0"/>
                <w:numId w:val="0"/>
              </w:numPr>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★7.配套对应上述对应实验名称项目内容的虚拟仿真实验系统，供学生正式开展上述实验之前进行预习和模拟实验操作等。</w:t>
            </w:r>
          </w:p>
        </w:tc>
      </w:tr>
      <w:tr w14:paraId="342C4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578D460A">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p>
        </w:tc>
        <w:tc>
          <w:tcPr>
            <w:tcW w:w="2121" w:type="dxa"/>
            <w:vAlign w:val="center"/>
          </w:tcPr>
          <w:p w14:paraId="1B5BCE6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非平衡电桥加热装置</w:t>
            </w:r>
          </w:p>
        </w:tc>
        <w:tc>
          <w:tcPr>
            <w:tcW w:w="627" w:type="dxa"/>
            <w:vAlign w:val="center"/>
          </w:tcPr>
          <w:p w14:paraId="3946BA00">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22</w:t>
            </w:r>
          </w:p>
        </w:tc>
        <w:tc>
          <w:tcPr>
            <w:tcW w:w="614" w:type="dxa"/>
            <w:vAlign w:val="center"/>
          </w:tcPr>
          <w:p w14:paraId="3C84C6F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0917BC2B">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1.仪器采用恒流源、变压器隔离、低电压加热；</w:t>
            </w:r>
          </w:p>
          <w:p w14:paraId="6B9172E0">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2.PID智能温度控制参数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温度传感器①，温度传感器③，智能温度控制：温度传感器①，温度传感器②实时测量可记录、作图、数据保存和通过USB输出(Excel格式)；</w:t>
            </w:r>
          </w:p>
          <w:p w14:paraId="51E5F172">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3.一路实时记录间隔：0.1S～99S可设定。数据保存；另路数据采集器采集并记录(最多1000组)</w:t>
            </w:r>
            <w:r>
              <w:rPr>
                <w:rFonts w:hint="eastAsia" w:ascii="宋体" w:hAnsi="宋体" w:eastAsia="宋体" w:cs="宋体"/>
                <w:color w:val="auto"/>
                <w:sz w:val="21"/>
                <w:szCs w:val="21"/>
                <w:highlight w:val="none"/>
                <w:lang w:eastAsia="zh-CN"/>
              </w:rPr>
              <w:t>；</w:t>
            </w:r>
          </w:p>
          <w:p w14:paraId="00E14695">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4.计时：000.01S～999.99S～9999.9S～99999S自动转换；</w:t>
            </w:r>
          </w:p>
          <w:p w14:paraId="4D1BE32E">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5.控制温度范围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室温～120℃</w:t>
            </w:r>
            <w:r>
              <w:rPr>
                <w:rFonts w:hint="eastAsia" w:ascii="宋体" w:hAnsi="宋体" w:eastAsia="宋体" w:cs="宋体"/>
                <w:color w:val="auto"/>
                <w:sz w:val="21"/>
                <w:szCs w:val="21"/>
                <w:highlight w:val="none"/>
                <w:lang w:eastAsia="zh-CN"/>
              </w:rPr>
              <w:t>；</w:t>
            </w:r>
          </w:p>
          <w:p w14:paraId="7E45CF0D">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6.安全报警：超过最高设定值5℃，控温传感器脱离加热系统2分钟自动停止</w:t>
            </w:r>
            <w:r>
              <w:rPr>
                <w:rFonts w:hint="eastAsia" w:ascii="宋体" w:hAnsi="宋体" w:eastAsia="宋体" w:cs="宋体"/>
                <w:color w:val="auto"/>
                <w:sz w:val="21"/>
                <w:szCs w:val="21"/>
                <w:highlight w:val="none"/>
                <w:lang w:eastAsia="zh-CN"/>
              </w:rPr>
              <w:t>；</w:t>
            </w:r>
          </w:p>
          <w:p w14:paraId="03C3C6AB">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7.自整定：用户方便设定根据本地环境温度自动整定PID值（断电自动保存功能）；</w:t>
            </w:r>
          </w:p>
          <w:p w14:paraId="266724C4">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8.液晶显示屏：彩色电容触摸屏，显示分辨率</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480×272；</w:t>
            </w:r>
          </w:p>
          <w:p w14:paraId="54D90862">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9.控制按键：模拟图形电容触摸；</w:t>
            </w:r>
          </w:p>
          <w:p w14:paraId="5C76A8DA">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10.装置配有Cu50铜电阻；正温度系数热敏电阻；负温度系数热敏电阻等三种传感器；</w:t>
            </w:r>
          </w:p>
          <w:p w14:paraId="002068D0">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11.留有专用管孔用于自制传感器实验；并可根据用户要求增加不同传感器；</w:t>
            </w:r>
          </w:p>
          <w:p w14:paraId="0B19E319">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12.本装置</w:t>
            </w:r>
            <w:r>
              <w:rPr>
                <w:rFonts w:hint="eastAsia" w:ascii="宋体" w:hAnsi="宋体" w:eastAsia="宋体" w:cs="宋体"/>
                <w:color w:val="auto"/>
                <w:sz w:val="21"/>
                <w:szCs w:val="21"/>
                <w:highlight w:val="none"/>
                <w:lang w:val="en-US" w:eastAsia="zh-CN"/>
              </w:rPr>
              <w:t>具有</w:t>
            </w:r>
            <w:r>
              <w:rPr>
                <w:rFonts w:hint="eastAsia" w:ascii="宋体" w:hAnsi="宋体" w:eastAsia="宋体" w:cs="宋体"/>
                <w:color w:val="auto"/>
                <w:sz w:val="21"/>
                <w:szCs w:val="21"/>
                <w:highlight w:val="none"/>
              </w:rPr>
              <w:t>良好的保温、隔热、防烫措施；采用安全低电压加热；</w:t>
            </w:r>
          </w:p>
          <w:p w14:paraId="45294A42">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13.可设计成分辨率0.1℃的数字温度计；</w:t>
            </w:r>
          </w:p>
          <w:p w14:paraId="5462E6B8">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14.可用机内风扇强制快速降温</w:t>
            </w:r>
            <w:r>
              <w:rPr>
                <w:rFonts w:hint="eastAsia" w:ascii="宋体" w:hAnsi="宋体" w:eastAsia="宋体" w:cs="宋体"/>
                <w:color w:val="auto"/>
                <w:sz w:val="21"/>
                <w:szCs w:val="21"/>
                <w:highlight w:val="none"/>
                <w:lang w:eastAsia="zh-CN"/>
              </w:rPr>
              <w:t>；</w:t>
            </w:r>
          </w:p>
          <w:p w14:paraId="2C315710">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lang w:val="en-US"/>
              </w:rPr>
            </w:pPr>
            <w:r>
              <w:rPr>
                <w:rFonts w:hint="eastAsia" w:ascii="宋体" w:hAnsi="宋体" w:eastAsia="宋体" w:cs="宋体"/>
                <w:bCs/>
                <w:color w:val="auto"/>
                <w:kern w:val="2"/>
                <w:sz w:val="21"/>
                <w:szCs w:val="21"/>
                <w:highlight w:val="none"/>
                <w:lang w:val="en-US" w:eastAsia="zh-CN" w:bidi="ar"/>
              </w:rPr>
              <w:t>★15.配套对应上述对应实验名称项目内容的虚拟仿真实验系统，供学生正式开展上述实验之前进行预习和模拟实验操作等。</w:t>
            </w:r>
          </w:p>
        </w:tc>
      </w:tr>
      <w:tr w14:paraId="13B6C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4D8FAFB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5</w:t>
            </w:r>
          </w:p>
        </w:tc>
        <w:tc>
          <w:tcPr>
            <w:tcW w:w="2121" w:type="dxa"/>
            <w:vAlign w:val="center"/>
          </w:tcPr>
          <w:p w14:paraId="3E67D018">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积木式巨磁电阻效应及应用实验仪（配变温霍尔效应）</w:t>
            </w:r>
          </w:p>
        </w:tc>
        <w:tc>
          <w:tcPr>
            <w:tcW w:w="627" w:type="dxa"/>
            <w:vAlign w:val="center"/>
          </w:tcPr>
          <w:p w14:paraId="764A3CE8">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p>
        </w:tc>
        <w:tc>
          <w:tcPr>
            <w:tcW w:w="614" w:type="dxa"/>
            <w:vAlign w:val="center"/>
          </w:tcPr>
          <w:p w14:paraId="6EF8F75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65D1F3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
                <w:bCs w:val="0"/>
                <w:color w:val="auto"/>
                <w:kern w:val="2"/>
                <w:sz w:val="21"/>
                <w:szCs w:val="21"/>
                <w:highlight w:val="none"/>
              </w:rPr>
            </w:pPr>
            <w:r>
              <w:rPr>
                <w:rFonts w:hint="eastAsia" w:ascii="宋体" w:hAnsi="宋体" w:eastAsia="宋体" w:cs="宋体"/>
                <w:b/>
                <w:bCs w:val="0"/>
                <w:color w:val="auto"/>
                <w:kern w:val="2"/>
                <w:sz w:val="21"/>
                <w:szCs w:val="21"/>
                <w:highlight w:val="none"/>
                <w:lang w:val="en-US" w:eastAsia="zh-CN" w:bidi="ar"/>
              </w:rPr>
              <w:t>一、实验内容：</w:t>
            </w:r>
          </w:p>
          <w:p w14:paraId="24FD8F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1.GMR传感器的磁电转换特性测量（B-V曲线）；</w:t>
            </w:r>
          </w:p>
          <w:p w14:paraId="23470E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2.GMR磁阻特性测量（B-R曲线），区分磁屏蔽电阻和非屏蔽电阻，测量磁阻MR值；</w:t>
            </w:r>
          </w:p>
          <w:p w14:paraId="033948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3.GMR开关传感器的磁电转换特性曲线测量；</w:t>
            </w:r>
          </w:p>
          <w:p w14:paraId="05D4876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4.利用GMR传感器测量电流；</w:t>
            </w:r>
          </w:p>
          <w:p w14:paraId="76360D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5.设计测试电路测量GMR梯度传感器内电阻磁阻特性（B-R曲线）；</w:t>
            </w:r>
          </w:p>
          <w:p w14:paraId="466203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6.GMR梯度传感器的特性及角位移测量应用；</w:t>
            </w:r>
          </w:p>
          <w:p w14:paraId="30F49B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7.磁记录与读出实验。本实验无需液氮，在-20℃～140℃温度范围内，针对N型和P型霍尔样品，安全完成变温霍尔效应实验。</w:t>
            </w:r>
          </w:p>
          <w:p w14:paraId="45959F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8.测量不同样品（包括3个N型和1个P型材料）的霍尔电压、工作电压与温度的关系；</w:t>
            </w:r>
          </w:p>
          <w:p w14:paraId="0E087F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9.研究不同样品的霍尔系数、电导率、载流子迁移率与温度的关系曲线；</w:t>
            </w:r>
          </w:p>
          <w:p w14:paraId="131B2C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10.通过霍尔电压与温度的关系，计算处于本征激发区的样品的禁带宽度；</w:t>
            </w:r>
          </w:p>
          <w:p w14:paraId="6AFB6B1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11.研究不同样品的磁阻效应；</w:t>
            </w:r>
          </w:p>
          <w:p w14:paraId="38822F4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12.研究室温下霍尔电压与工作电流的关系，计算室温下的霍尔灵敏度；</w:t>
            </w:r>
          </w:p>
          <w:p w14:paraId="48F4A42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13.研究室温下霍尔电压与磁感应强度的关系。</w:t>
            </w:r>
          </w:p>
          <w:p w14:paraId="45A762D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
                <w:bCs w:val="0"/>
                <w:color w:val="auto"/>
                <w:kern w:val="2"/>
                <w:sz w:val="21"/>
                <w:szCs w:val="21"/>
                <w:highlight w:val="none"/>
                <w:lang w:val="en-US" w:eastAsia="zh-CN" w:bidi="ar"/>
              </w:rPr>
            </w:pPr>
            <w:r>
              <w:rPr>
                <w:rFonts w:hint="eastAsia" w:ascii="宋体" w:hAnsi="宋体" w:eastAsia="宋体" w:cs="宋体"/>
                <w:b/>
                <w:bCs w:val="0"/>
                <w:color w:val="auto"/>
                <w:kern w:val="2"/>
                <w:sz w:val="21"/>
                <w:szCs w:val="21"/>
                <w:highlight w:val="none"/>
                <w:lang w:val="en-US" w:eastAsia="zh-CN" w:bidi="ar"/>
              </w:rPr>
              <w:t>二、仪器组成：</w:t>
            </w:r>
          </w:p>
          <w:p w14:paraId="057EBA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多功能物理测试仪、实验电源、温控电源、C型电磁铁、双刀双掷开关盒、变温霍尔待测模块。</w:t>
            </w:r>
          </w:p>
          <w:p w14:paraId="1486B1D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
                <w:bCs w:val="0"/>
                <w:color w:val="auto"/>
                <w:kern w:val="2"/>
                <w:sz w:val="21"/>
                <w:szCs w:val="21"/>
                <w:highlight w:val="none"/>
              </w:rPr>
            </w:pPr>
            <w:r>
              <w:rPr>
                <w:rFonts w:hint="eastAsia" w:ascii="宋体" w:hAnsi="宋体" w:eastAsia="宋体" w:cs="宋体"/>
                <w:b/>
                <w:bCs w:val="0"/>
                <w:color w:val="auto"/>
                <w:kern w:val="2"/>
                <w:sz w:val="21"/>
                <w:szCs w:val="21"/>
                <w:highlight w:val="none"/>
                <w:lang w:val="en-US" w:eastAsia="zh-CN" w:bidi="ar"/>
              </w:rPr>
              <w:t>三、技术参数：</w:t>
            </w:r>
          </w:p>
          <w:p w14:paraId="0ED914B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1.温度范围：-20℃～+140℃；</w:t>
            </w:r>
          </w:p>
          <w:p w14:paraId="38BECE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2.测温精度：优于±0.5℃；</w:t>
            </w:r>
          </w:p>
          <w:p w14:paraId="0FBE0C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3.禁带宽度测量相对误差：优于±5%。</w:t>
            </w:r>
          </w:p>
          <w:p w14:paraId="7A31A4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4.实验温度在-20℃～+120℃相对安全的范围内；</w:t>
            </w:r>
          </w:p>
          <w:p w14:paraId="2DAAD3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5.利用半导体热电片可以实现实验温度范围内任一温度（精确到0.1℃）的稳定调节，优于液氮不能稳定的单向升温过程，同时不引入耗材和管理成本（如液氮）；</w:t>
            </w:r>
          </w:p>
          <w:p w14:paraId="0F8D69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6.温度测量准确、响应迅速，即使手动调节也能达到1分钟内温度基本稳定；</w:t>
            </w:r>
          </w:p>
          <w:p w14:paraId="563D87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7.待测样品种类丰富，包含四种半导体材料、两种不同导电类型。可以采用两种实验方法对样品的霍尔系数和电导率进行测量；</w:t>
            </w:r>
          </w:p>
          <w:p w14:paraId="2E43C2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8.采用通用万用表，可在多场景、多实验中使用；</w:t>
            </w:r>
          </w:p>
          <w:p w14:paraId="1992B3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9.工作电流和励磁电流均可调，可以完成变温霍尔效应实验和室温霍尔效应的相关实验内容。</w:t>
            </w:r>
          </w:p>
        </w:tc>
      </w:tr>
      <w:tr w14:paraId="42C94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2E57FBD9">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6</w:t>
            </w:r>
          </w:p>
        </w:tc>
        <w:tc>
          <w:tcPr>
            <w:tcW w:w="2121" w:type="dxa"/>
            <w:vAlign w:val="center"/>
          </w:tcPr>
          <w:p w14:paraId="55C71ED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热学综合实验平台</w:t>
            </w:r>
          </w:p>
        </w:tc>
        <w:tc>
          <w:tcPr>
            <w:tcW w:w="627" w:type="dxa"/>
            <w:vAlign w:val="center"/>
          </w:tcPr>
          <w:p w14:paraId="5B434A3E">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p>
        </w:tc>
        <w:tc>
          <w:tcPr>
            <w:tcW w:w="614" w:type="dxa"/>
            <w:vAlign w:val="center"/>
          </w:tcPr>
          <w:p w14:paraId="6CF1B404">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2A690B39">
            <w:pPr>
              <w:keepNext w:val="0"/>
              <w:keepLines w:val="0"/>
              <w:suppressLineNumbers w:val="0"/>
              <w:spacing w:before="0" w:beforeAutospacing="0" w:after="0" w:afterAutospacing="0" w:line="240" w:lineRule="auto"/>
              <w:ind w:left="0" w:right="0"/>
              <w:jc w:val="lef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一、</w:t>
            </w:r>
            <w:r>
              <w:rPr>
                <w:rFonts w:hint="eastAsia" w:ascii="宋体" w:hAnsi="宋体" w:eastAsia="宋体" w:cs="宋体"/>
                <w:b/>
                <w:bCs w:val="0"/>
                <w:color w:val="auto"/>
                <w:sz w:val="21"/>
                <w:szCs w:val="21"/>
                <w:highlight w:val="none"/>
              </w:rPr>
              <w:t>实验内容：</w:t>
            </w:r>
          </w:p>
          <w:p w14:paraId="47CEE727">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理想气体状态方程实验：</w:t>
            </w:r>
          </w:p>
          <w:p w14:paraId="067D54A4">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 xml:space="preserve">.1 </w:t>
            </w:r>
            <w:r>
              <w:rPr>
                <w:rFonts w:hint="eastAsia" w:ascii="宋体" w:hAnsi="宋体" w:eastAsia="宋体" w:cs="宋体"/>
                <w:bCs/>
                <w:color w:val="auto"/>
                <w:sz w:val="21"/>
                <w:szCs w:val="21"/>
                <w:highlight w:val="none"/>
              </w:rPr>
              <w:t>研究等温条件下，一定质量气体的压强与体积的关系，验证波义耳-马略特定律；</w:t>
            </w:r>
          </w:p>
          <w:p w14:paraId="62667B70">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1.2 </w:t>
            </w:r>
            <w:r>
              <w:rPr>
                <w:rFonts w:hint="eastAsia" w:ascii="宋体" w:hAnsi="宋体" w:eastAsia="宋体" w:cs="宋体"/>
                <w:bCs/>
                <w:color w:val="auto"/>
                <w:sz w:val="21"/>
                <w:szCs w:val="21"/>
                <w:highlight w:val="none"/>
              </w:rPr>
              <w:t>研究等容条件下，一定质量气体的温度与压强的关系，验证查理定律；</w:t>
            </w:r>
          </w:p>
          <w:p w14:paraId="068AFD4E">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1.3 </w:t>
            </w:r>
            <w:r>
              <w:rPr>
                <w:rFonts w:hint="eastAsia" w:ascii="宋体" w:hAnsi="宋体" w:eastAsia="宋体" w:cs="宋体"/>
                <w:bCs/>
                <w:color w:val="auto"/>
                <w:sz w:val="21"/>
                <w:szCs w:val="21"/>
                <w:highlight w:val="none"/>
              </w:rPr>
              <w:t>研究等压条件下，一定质量气体的温度与体积的关系，验证盖•吕萨克定律；</w:t>
            </w:r>
          </w:p>
          <w:p w14:paraId="5798CD9A">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1.4 </w:t>
            </w:r>
            <w:r>
              <w:rPr>
                <w:rFonts w:hint="eastAsia" w:ascii="宋体" w:hAnsi="宋体" w:eastAsia="宋体" w:cs="宋体"/>
                <w:bCs/>
                <w:color w:val="auto"/>
                <w:sz w:val="21"/>
                <w:szCs w:val="21"/>
                <w:highlight w:val="none"/>
              </w:rPr>
              <w:t>计算一定气体的物质的量；</w:t>
            </w:r>
          </w:p>
          <w:p w14:paraId="4FB0F7C0">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1.5 </w:t>
            </w:r>
            <w:r>
              <w:rPr>
                <w:rFonts w:hint="eastAsia" w:ascii="宋体" w:hAnsi="宋体" w:eastAsia="宋体" w:cs="宋体"/>
                <w:bCs/>
                <w:color w:val="auto"/>
                <w:sz w:val="21"/>
                <w:szCs w:val="21"/>
                <w:highlight w:val="none"/>
              </w:rPr>
              <w:t>计算普适气体常量。</w:t>
            </w:r>
          </w:p>
          <w:p w14:paraId="67A58201">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温度传感器特性研究实验：</w:t>
            </w:r>
          </w:p>
          <w:p w14:paraId="591FA822">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2.1 </w:t>
            </w:r>
            <w:r>
              <w:rPr>
                <w:rFonts w:hint="eastAsia" w:ascii="宋体" w:hAnsi="宋体" w:eastAsia="宋体" w:cs="宋体"/>
                <w:bCs/>
                <w:color w:val="auto"/>
                <w:sz w:val="21"/>
                <w:szCs w:val="21"/>
                <w:highlight w:val="none"/>
              </w:rPr>
              <w:t>研究不同温度下，RTD温度传感器的电阻变化，绘制R-T关系曲线；</w:t>
            </w:r>
          </w:p>
          <w:p w14:paraId="6347A3A4">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 xml:space="preserve">.2 </w:t>
            </w:r>
            <w:r>
              <w:rPr>
                <w:rFonts w:hint="eastAsia" w:ascii="宋体" w:hAnsi="宋体" w:eastAsia="宋体" w:cs="宋体"/>
                <w:bCs/>
                <w:color w:val="auto"/>
                <w:sz w:val="21"/>
                <w:szCs w:val="21"/>
                <w:highlight w:val="none"/>
              </w:rPr>
              <w:t>研究不同温度下，PTC温度传感器的电阻变化，绘制lnR-T关系曲线；</w:t>
            </w:r>
          </w:p>
          <w:p w14:paraId="10C04F12">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2.3 </w:t>
            </w:r>
            <w:r>
              <w:rPr>
                <w:rFonts w:hint="eastAsia" w:ascii="宋体" w:hAnsi="宋体" w:eastAsia="宋体" w:cs="宋体"/>
                <w:bCs/>
                <w:color w:val="auto"/>
                <w:sz w:val="21"/>
                <w:szCs w:val="21"/>
                <w:highlight w:val="none"/>
              </w:rPr>
              <w:t>研究不同温度下，NTC温度传感器的电阻变化，绘制lnR-1/T关系曲线；</w:t>
            </w:r>
          </w:p>
          <w:p w14:paraId="470ECB9D">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2.4 </w:t>
            </w:r>
            <w:r>
              <w:rPr>
                <w:rFonts w:hint="eastAsia" w:ascii="宋体" w:hAnsi="宋体" w:eastAsia="宋体" w:cs="宋体"/>
                <w:bCs/>
                <w:color w:val="auto"/>
                <w:sz w:val="21"/>
                <w:szCs w:val="21"/>
                <w:highlight w:val="none"/>
              </w:rPr>
              <w:t>研究不同温度下，PN结温度传感器的电压变化，绘制U-T关系曲线；</w:t>
            </w:r>
          </w:p>
          <w:p w14:paraId="6EA4183B">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2.5 </w:t>
            </w:r>
            <w:r>
              <w:rPr>
                <w:rFonts w:hint="eastAsia" w:ascii="宋体" w:hAnsi="宋体" w:eastAsia="宋体" w:cs="宋体"/>
                <w:bCs/>
                <w:color w:val="auto"/>
                <w:sz w:val="21"/>
                <w:szCs w:val="21"/>
                <w:highlight w:val="none"/>
              </w:rPr>
              <w:t>研究不同温度下，LM35集成温度传感器的电压变化，绘制U-T关系曲线；</w:t>
            </w:r>
          </w:p>
          <w:p w14:paraId="36A01A9E">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2.6 </w:t>
            </w:r>
            <w:r>
              <w:rPr>
                <w:rFonts w:hint="eastAsia" w:ascii="宋体" w:hAnsi="宋体" w:eastAsia="宋体" w:cs="宋体"/>
                <w:bCs/>
                <w:color w:val="auto"/>
                <w:sz w:val="21"/>
                <w:szCs w:val="21"/>
                <w:highlight w:val="none"/>
              </w:rPr>
              <w:t>研究不同温度下，AD590集成温度传感器的电流变化，绘制I-T关系曲线；</w:t>
            </w:r>
          </w:p>
          <w:p w14:paraId="44480EAB">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2.7 </w:t>
            </w:r>
            <w:r>
              <w:rPr>
                <w:rFonts w:hint="eastAsia" w:ascii="宋体" w:hAnsi="宋体" w:eastAsia="宋体" w:cs="宋体"/>
                <w:bCs/>
                <w:color w:val="auto"/>
                <w:sz w:val="21"/>
                <w:szCs w:val="21"/>
                <w:highlight w:val="none"/>
              </w:rPr>
              <w:t>研究不同温度下，热电偶温度传感器工作端的电压变化，绘制ΔU-ΔT关系曲线；</w:t>
            </w:r>
          </w:p>
          <w:p w14:paraId="5F304D46">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2.8 </w:t>
            </w:r>
            <w:r>
              <w:rPr>
                <w:rFonts w:hint="eastAsia" w:ascii="宋体" w:hAnsi="宋体" w:eastAsia="宋体" w:cs="宋体"/>
                <w:bCs/>
                <w:color w:val="auto"/>
                <w:sz w:val="21"/>
                <w:szCs w:val="21"/>
                <w:highlight w:val="none"/>
              </w:rPr>
              <w:t>研究不同温度下，红外热电堆温度传感器工作端的电压变化，绘制ΔU-ΔT关系曲线；</w:t>
            </w:r>
          </w:p>
          <w:p w14:paraId="6235C4AE">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2.9 </w:t>
            </w:r>
            <w:r>
              <w:rPr>
                <w:rFonts w:hint="eastAsia" w:ascii="宋体" w:hAnsi="宋体" w:eastAsia="宋体" w:cs="宋体"/>
                <w:bCs/>
                <w:color w:val="auto"/>
                <w:sz w:val="21"/>
                <w:szCs w:val="21"/>
                <w:highlight w:val="none"/>
              </w:rPr>
              <w:t>演示红外热释电温度探测器的应用</w:t>
            </w:r>
            <w:r>
              <w:rPr>
                <w:rFonts w:hint="eastAsia" w:ascii="宋体" w:hAnsi="宋体" w:eastAsia="宋体" w:cs="宋体"/>
                <w:bCs/>
                <w:color w:val="auto"/>
                <w:sz w:val="21"/>
                <w:szCs w:val="21"/>
                <w:highlight w:val="none"/>
                <w:lang w:eastAsia="zh-CN"/>
              </w:rPr>
              <w:t>。</w:t>
            </w:r>
          </w:p>
          <w:p w14:paraId="0ADE23FC">
            <w:pPr>
              <w:keepNext w:val="0"/>
              <w:keepLines w:val="0"/>
              <w:suppressLineNumbers w:val="0"/>
              <w:spacing w:before="0" w:beforeAutospacing="0" w:after="0" w:afterAutospacing="0" w:line="240" w:lineRule="auto"/>
              <w:ind w:left="0" w:right="0"/>
              <w:jc w:val="lef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技术参数</w:t>
            </w:r>
            <w:r>
              <w:rPr>
                <w:rFonts w:hint="eastAsia" w:ascii="宋体" w:hAnsi="宋体" w:eastAsia="宋体" w:cs="宋体"/>
                <w:b/>
                <w:bCs/>
                <w:color w:val="auto"/>
                <w:sz w:val="21"/>
                <w:szCs w:val="21"/>
                <w:highlight w:val="none"/>
                <w:lang w:eastAsia="zh-CN"/>
              </w:rPr>
              <w:t>：</w:t>
            </w:r>
          </w:p>
          <w:p w14:paraId="0717428F">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系统组成：系统采用模块化设计，由气体定律实验装置、数字温度计、数字压强计、直流稳压电源、压强传感器、温控台、热电偶热电堆传感器特性测试单元、传感器特性测试单元、热释电红外探测单元、PT1000温度传感器、PTC热敏电阻温度传感器、NTC热敏电阻温度传感器、PN结温度传感器、LM35集成温度传感器、AD590集成温度传感器、热电偶温度传感器、热电堆型红外辐射传感器、万用表等组成</w:t>
            </w:r>
            <w:r>
              <w:rPr>
                <w:rFonts w:hint="eastAsia" w:ascii="宋体" w:hAnsi="宋体" w:eastAsia="宋体" w:cs="宋体"/>
                <w:color w:val="auto"/>
                <w:sz w:val="21"/>
                <w:szCs w:val="21"/>
                <w:highlight w:val="none"/>
                <w:lang w:eastAsia="zh-CN"/>
              </w:rPr>
              <w:t>；</w:t>
            </w:r>
          </w:p>
          <w:p w14:paraId="22610A6B">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pacing w:val="5"/>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理想气体状态方程实验：</w:t>
            </w:r>
          </w:p>
          <w:p w14:paraId="7FD9739F">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 </w:t>
            </w:r>
            <w:r>
              <w:rPr>
                <w:rFonts w:hint="eastAsia" w:ascii="宋体" w:hAnsi="宋体" w:eastAsia="宋体" w:cs="宋体"/>
                <w:color w:val="auto"/>
                <w:sz w:val="21"/>
                <w:szCs w:val="21"/>
                <w:highlight w:val="none"/>
              </w:rPr>
              <w:t>普适气体常数测量相对误差：≤5%；</w:t>
            </w:r>
          </w:p>
          <w:p w14:paraId="5435A946">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2.2 </w:t>
            </w:r>
            <w:r>
              <w:rPr>
                <w:rFonts w:hint="eastAsia" w:ascii="宋体" w:hAnsi="宋体" w:eastAsia="宋体" w:cs="宋体"/>
                <w:color w:val="auto"/>
                <w:sz w:val="21"/>
                <w:szCs w:val="21"/>
                <w:highlight w:val="none"/>
              </w:rPr>
              <w:t>采用控制变量法进行实验，同一装置上同时验证波义耳-马略特定律、查理定律、盖•吕萨克定律三个定律</w:t>
            </w:r>
            <w:r>
              <w:rPr>
                <w:rFonts w:hint="eastAsia" w:ascii="宋体" w:hAnsi="宋体" w:eastAsia="宋体" w:cs="宋体"/>
                <w:color w:val="auto"/>
                <w:sz w:val="21"/>
                <w:szCs w:val="21"/>
                <w:highlight w:val="none"/>
                <w:lang w:eastAsia="zh-CN"/>
              </w:rPr>
              <w:t>；</w:t>
            </w:r>
          </w:p>
          <w:p w14:paraId="29ABCEB4">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温度传感器特性研究实验：</w:t>
            </w:r>
          </w:p>
          <w:p w14:paraId="3F2594ED">
            <w:pPr>
              <w:pStyle w:val="3"/>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 </w:t>
            </w:r>
            <w:r>
              <w:rPr>
                <w:rFonts w:hint="eastAsia" w:ascii="宋体" w:hAnsi="宋体" w:eastAsia="宋体" w:cs="宋体"/>
                <w:color w:val="auto"/>
                <w:sz w:val="21"/>
                <w:szCs w:val="21"/>
                <w:highlight w:val="none"/>
              </w:rPr>
              <w:t>实验温度范围：包含-10℃～+70℃</w:t>
            </w:r>
          </w:p>
          <w:p w14:paraId="1FCF1128">
            <w:pPr>
              <w:pStyle w:val="3"/>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 </w:t>
            </w:r>
            <w:r>
              <w:rPr>
                <w:rFonts w:hint="eastAsia" w:ascii="宋体" w:hAnsi="宋体" w:eastAsia="宋体" w:cs="宋体"/>
                <w:color w:val="auto"/>
                <w:sz w:val="21"/>
                <w:szCs w:val="21"/>
                <w:highlight w:val="none"/>
              </w:rPr>
              <w:t>8种温度传感器探头设计分离开放透明，以开放电路板为实验平台，完成多种温度传感器的特性测试和应用，传感器可随意更换、添加：</w:t>
            </w:r>
          </w:p>
          <w:p w14:paraId="65D1E2D4">
            <w:pPr>
              <w:pStyle w:val="40"/>
              <w:keepNext w:val="0"/>
              <w:keepLines w:val="0"/>
              <w:widowControl/>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PT1000温度传感器：结果相对误差：≤5%</w:t>
            </w:r>
            <w:r>
              <w:rPr>
                <w:rFonts w:hint="eastAsia" w:ascii="宋体" w:hAnsi="宋体" w:eastAsia="宋体" w:cs="宋体"/>
                <w:color w:val="auto"/>
                <w:sz w:val="21"/>
                <w:szCs w:val="21"/>
                <w:highlight w:val="none"/>
                <w:lang w:eastAsia="zh-CN"/>
              </w:rPr>
              <w:t>；</w:t>
            </w:r>
          </w:p>
          <w:p w14:paraId="3FF7BACE">
            <w:pPr>
              <w:pStyle w:val="40"/>
              <w:keepNext w:val="0"/>
              <w:keepLines w:val="0"/>
              <w:widowControl/>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PTC热敏电阻温度传感器</w:t>
            </w:r>
            <w:r>
              <w:rPr>
                <w:rFonts w:hint="eastAsia" w:ascii="宋体" w:hAnsi="宋体" w:eastAsia="宋体" w:cs="宋体"/>
                <w:color w:val="auto"/>
                <w:sz w:val="21"/>
                <w:szCs w:val="21"/>
                <w:highlight w:val="none"/>
                <w:lang w:eastAsia="zh-CN"/>
              </w:rPr>
              <w:t>；</w:t>
            </w:r>
          </w:p>
          <w:p w14:paraId="1DC637DF">
            <w:pPr>
              <w:pStyle w:val="40"/>
              <w:keepNext w:val="0"/>
              <w:keepLines w:val="0"/>
              <w:widowControl/>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NTC热敏电阻温度传感器</w:t>
            </w:r>
            <w:r>
              <w:rPr>
                <w:rFonts w:hint="eastAsia" w:ascii="宋体" w:hAnsi="宋体" w:eastAsia="宋体" w:cs="宋体"/>
                <w:color w:val="auto"/>
                <w:sz w:val="21"/>
                <w:szCs w:val="21"/>
                <w:highlight w:val="none"/>
                <w:lang w:eastAsia="zh-CN"/>
              </w:rPr>
              <w:t>；</w:t>
            </w:r>
          </w:p>
          <w:p w14:paraId="585A20FB">
            <w:pPr>
              <w:pStyle w:val="40"/>
              <w:keepNext w:val="0"/>
              <w:keepLines w:val="0"/>
              <w:widowControl/>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PN结温度传感器：结果相对误差：≤5%</w:t>
            </w:r>
            <w:r>
              <w:rPr>
                <w:rFonts w:hint="eastAsia" w:ascii="宋体" w:hAnsi="宋体" w:eastAsia="宋体" w:cs="宋体"/>
                <w:color w:val="auto"/>
                <w:sz w:val="21"/>
                <w:szCs w:val="21"/>
                <w:highlight w:val="none"/>
                <w:lang w:eastAsia="zh-CN"/>
              </w:rPr>
              <w:t>；</w:t>
            </w:r>
          </w:p>
          <w:p w14:paraId="14B01527">
            <w:pPr>
              <w:pStyle w:val="40"/>
              <w:keepNext w:val="0"/>
              <w:keepLines w:val="0"/>
              <w:widowControl/>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LM35集成温度传感器：结果相对误差：≤5%</w:t>
            </w:r>
            <w:r>
              <w:rPr>
                <w:rFonts w:hint="eastAsia" w:ascii="宋体" w:hAnsi="宋体" w:eastAsia="宋体" w:cs="宋体"/>
                <w:color w:val="auto"/>
                <w:sz w:val="21"/>
                <w:szCs w:val="21"/>
                <w:highlight w:val="none"/>
                <w:lang w:eastAsia="zh-CN"/>
              </w:rPr>
              <w:t>；</w:t>
            </w:r>
          </w:p>
          <w:p w14:paraId="42283616">
            <w:pPr>
              <w:pStyle w:val="40"/>
              <w:keepNext w:val="0"/>
              <w:keepLines w:val="0"/>
              <w:widowControl/>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AD590集成温度传感器：结果相对误差：≤5%</w:t>
            </w:r>
            <w:r>
              <w:rPr>
                <w:rFonts w:hint="eastAsia" w:ascii="宋体" w:hAnsi="宋体" w:eastAsia="宋体" w:cs="宋体"/>
                <w:color w:val="auto"/>
                <w:sz w:val="21"/>
                <w:szCs w:val="21"/>
                <w:highlight w:val="none"/>
                <w:lang w:eastAsia="zh-CN"/>
              </w:rPr>
              <w:t>；</w:t>
            </w:r>
          </w:p>
          <w:p w14:paraId="1BAFB752">
            <w:pPr>
              <w:pStyle w:val="40"/>
              <w:keepNext w:val="0"/>
              <w:keepLines w:val="0"/>
              <w:widowControl/>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热电偶温度传感器：T型热电偶；</w:t>
            </w:r>
          </w:p>
          <w:p w14:paraId="3F1889A6">
            <w:pPr>
              <w:pStyle w:val="40"/>
              <w:keepNext w:val="0"/>
              <w:keepLines w:val="0"/>
              <w:widowControl/>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热电堆型红外辐射传感器：非接触式测温、观察不同热源其电压的变化</w:t>
            </w:r>
            <w:r>
              <w:rPr>
                <w:rFonts w:hint="eastAsia" w:ascii="宋体" w:hAnsi="宋体" w:eastAsia="宋体" w:cs="宋体"/>
                <w:color w:val="auto"/>
                <w:sz w:val="21"/>
                <w:szCs w:val="21"/>
                <w:highlight w:val="none"/>
                <w:lang w:eastAsia="zh-CN"/>
              </w:rPr>
              <w:t>；</w:t>
            </w:r>
          </w:p>
          <w:p w14:paraId="2B657C5F">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气体定律实验装置</w:t>
            </w:r>
            <w:r>
              <w:rPr>
                <w:rFonts w:hint="eastAsia" w:ascii="宋体" w:hAnsi="宋体" w:eastAsia="宋体" w:cs="宋体"/>
                <w:color w:val="auto"/>
                <w:sz w:val="21"/>
                <w:szCs w:val="21"/>
                <w:highlight w:val="none"/>
                <w:lang w:eastAsia="zh-CN"/>
              </w:rPr>
              <w:t>：</w:t>
            </w:r>
          </w:p>
          <w:p w14:paraId="6F6124E5">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 xml:space="preserve">4.1 </w:t>
            </w:r>
            <w:r>
              <w:rPr>
                <w:rFonts w:hint="eastAsia" w:ascii="宋体" w:hAnsi="宋体" w:eastAsia="宋体" w:cs="宋体"/>
                <w:color w:val="auto"/>
                <w:sz w:val="21"/>
                <w:szCs w:val="21"/>
                <w:highlight w:val="none"/>
              </w:rPr>
              <w:t>采用薄膜电加热空气腔技术（非半导体器件加热），玻璃腔体壁电加热膜透明可见，腔内活塞、温度传感器等清晰可视，可视范围＞180°；腔体内气体温度范围：室温～100℃；圆柱形热腔表面电加热的电阻率均匀度：≥96%</w:t>
            </w:r>
            <w:r>
              <w:rPr>
                <w:rFonts w:hint="eastAsia" w:ascii="宋体" w:hAnsi="宋体" w:eastAsia="宋体" w:cs="宋体"/>
                <w:color w:val="auto"/>
                <w:sz w:val="21"/>
                <w:szCs w:val="21"/>
                <w:highlight w:val="none"/>
                <w:lang w:eastAsia="zh-CN"/>
              </w:rPr>
              <w:t>；</w:t>
            </w:r>
          </w:p>
          <w:p w14:paraId="7CD163F7">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4.2 </w:t>
            </w:r>
            <w:r>
              <w:rPr>
                <w:rFonts w:hint="eastAsia" w:ascii="宋体" w:hAnsi="宋体" w:eastAsia="宋体" w:cs="宋体"/>
                <w:color w:val="auto"/>
                <w:sz w:val="21"/>
                <w:szCs w:val="21"/>
                <w:highlight w:val="none"/>
              </w:rPr>
              <w:t>采用活塞螺纹旋进方式，调节顺畅、连续、稳定。位置调节准确性优于±0.1mm，带限位功能，避免活塞碰撞置于加热管内部的温度传感器</w:t>
            </w:r>
            <w:r>
              <w:rPr>
                <w:rFonts w:hint="eastAsia" w:ascii="宋体" w:hAnsi="宋体" w:eastAsia="宋体" w:cs="宋体"/>
                <w:color w:val="auto"/>
                <w:sz w:val="21"/>
                <w:szCs w:val="21"/>
                <w:highlight w:val="none"/>
                <w:lang w:eastAsia="zh-CN"/>
              </w:rPr>
              <w:t>；</w:t>
            </w:r>
          </w:p>
          <w:p w14:paraId="07F507D3">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4.3 </w:t>
            </w:r>
            <w:r>
              <w:rPr>
                <w:rFonts w:hint="eastAsia" w:ascii="宋体" w:hAnsi="宋体" w:eastAsia="宋体" w:cs="宋体"/>
                <w:color w:val="auto"/>
                <w:sz w:val="21"/>
                <w:szCs w:val="21"/>
                <w:highlight w:val="none"/>
              </w:rPr>
              <w:t>气体压强变化范围：约70kPa；</w:t>
            </w:r>
          </w:p>
          <w:p w14:paraId="5E39DE53">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4.4 </w:t>
            </w:r>
            <w:r>
              <w:rPr>
                <w:rFonts w:hint="eastAsia" w:ascii="宋体" w:hAnsi="宋体" w:eastAsia="宋体" w:cs="宋体"/>
                <w:color w:val="auto"/>
                <w:sz w:val="21"/>
                <w:szCs w:val="21"/>
                <w:highlight w:val="none"/>
              </w:rPr>
              <w:t>气体体积范围：60mL～120mL，气体最大体积130mL，分度值1mL；</w:t>
            </w:r>
          </w:p>
          <w:p w14:paraId="6D130A97">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4.5 </w:t>
            </w:r>
            <w:r>
              <w:rPr>
                <w:rFonts w:hint="eastAsia" w:ascii="宋体" w:hAnsi="宋体" w:eastAsia="宋体" w:cs="宋体"/>
                <w:color w:val="auto"/>
                <w:sz w:val="21"/>
                <w:szCs w:val="21"/>
                <w:highlight w:val="none"/>
              </w:rPr>
              <w:t>耐压200kPa</w:t>
            </w:r>
            <w:r>
              <w:rPr>
                <w:rFonts w:hint="eastAsia" w:ascii="宋体" w:hAnsi="宋体" w:eastAsia="宋体" w:cs="宋体"/>
                <w:color w:val="auto"/>
                <w:sz w:val="21"/>
                <w:szCs w:val="21"/>
                <w:highlight w:val="none"/>
                <w:lang w:eastAsia="zh-CN"/>
              </w:rPr>
              <w:t>；</w:t>
            </w:r>
          </w:p>
          <w:p w14:paraId="0E8A270A">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温控台</w:t>
            </w:r>
          </w:p>
          <w:p w14:paraId="65085890">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 xml:space="preserve">5.1 </w:t>
            </w:r>
            <w:r>
              <w:rPr>
                <w:rFonts w:hint="eastAsia" w:ascii="宋体" w:hAnsi="宋体" w:eastAsia="宋体" w:cs="宋体"/>
                <w:color w:val="auto"/>
                <w:sz w:val="21"/>
                <w:szCs w:val="21"/>
                <w:highlight w:val="none"/>
              </w:rPr>
              <w:t>控温范围：-10℃～+70℃（在环境温度25℃时），控温方式：PID控制，控温精度：≤± 0.5℃，通过半导体致冷片（12V/5A）纯电控变温</w:t>
            </w:r>
            <w:r>
              <w:rPr>
                <w:rFonts w:hint="eastAsia" w:ascii="宋体" w:hAnsi="宋体" w:eastAsia="宋体" w:cs="宋体"/>
                <w:color w:val="auto"/>
                <w:sz w:val="21"/>
                <w:szCs w:val="21"/>
                <w:highlight w:val="none"/>
                <w:lang w:eastAsia="zh-CN"/>
              </w:rPr>
              <w:t>；</w:t>
            </w:r>
          </w:p>
          <w:p w14:paraId="0C3A736B">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 xml:space="preserve">5.2 </w:t>
            </w:r>
            <w:r>
              <w:rPr>
                <w:rFonts w:hint="eastAsia" w:ascii="宋体" w:hAnsi="宋体" w:eastAsia="宋体" w:cs="宋体"/>
                <w:color w:val="auto"/>
                <w:sz w:val="21"/>
                <w:szCs w:val="21"/>
                <w:highlight w:val="none"/>
              </w:rPr>
              <w:t>具备3个温度传感器通道，可同时测量多个温度传感器；采用准金属体作为等温介质，等温块体测温而非空腔方式，实现温度均匀分布</w:t>
            </w:r>
            <w:r>
              <w:rPr>
                <w:rFonts w:hint="eastAsia" w:ascii="宋体" w:hAnsi="宋体" w:eastAsia="宋体" w:cs="宋体"/>
                <w:color w:val="auto"/>
                <w:sz w:val="21"/>
                <w:szCs w:val="21"/>
                <w:highlight w:val="none"/>
                <w:lang w:eastAsia="zh-CN"/>
              </w:rPr>
              <w:t>；</w:t>
            </w:r>
          </w:p>
          <w:p w14:paraId="396A80F3">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5.3 </w:t>
            </w:r>
            <w:r>
              <w:rPr>
                <w:rFonts w:hint="eastAsia" w:ascii="宋体" w:hAnsi="宋体" w:eastAsia="宋体" w:cs="宋体"/>
                <w:color w:val="auto"/>
                <w:sz w:val="21"/>
                <w:szCs w:val="21"/>
                <w:highlight w:val="none"/>
              </w:rPr>
              <w:t>具有制冷、制热和故障指示功能；具有上电自检、超温保护、超压保护、极性切换保护功能；具有未接传感器、超范围异常显示功能</w:t>
            </w:r>
            <w:r>
              <w:rPr>
                <w:rFonts w:hint="eastAsia" w:ascii="宋体" w:hAnsi="宋体" w:eastAsia="宋体" w:cs="宋体"/>
                <w:color w:val="auto"/>
                <w:sz w:val="21"/>
                <w:szCs w:val="21"/>
                <w:highlight w:val="none"/>
                <w:lang w:eastAsia="zh-CN"/>
              </w:rPr>
              <w:t>；</w:t>
            </w:r>
          </w:p>
          <w:p w14:paraId="45E1C324">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5.4 </w:t>
            </w:r>
            <w:r>
              <w:rPr>
                <w:rFonts w:hint="eastAsia" w:ascii="宋体" w:hAnsi="宋体" w:eastAsia="宋体" w:cs="宋体"/>
                <w:color w:val="auto"/>
                <w:sz w:val="21"/>
                <w:szCs w:val="21"/>
                <w:highlight w:val="none"/>
              </w:rPr>
              <w:t>散热方式：热管鳍片结构的风冷散热，风扇含控制和故障检测功能</w:t>
            </w:r>
            <w:r>
              <w:rPr>
                <w:rFonts w:hint="eastAsia" w:ascii="宋体" w:hAnsi="宋体" w:eastAsia="宋体" w:cs="宋体"/>
                <w:color w:val="auto"/>
                <w:sz w:val="21"/>
                <w:szCs w:val="21"/>
                <w:highlight w:val="none"/>
                <w:lang w:eastAsia="zh-CN"/>
              </w:rPr>
              <w:t>；</w:t>
            </w:r>
          </w:p>
          <w:p w14:paraId="30B04DDA">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热电偶传感器特性测试单元：电压放大倍数：100；</w:t>
            </w:r>
          </w:p>
          <w:p w14:paraId="102298E6">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热电堆传感器特性测试单元热电堆区：电压放大倍数：100；</w:t>
            </w:r>
          </w:p>
          <w:p w14:paraId="1A50632F">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传感器特性测试单元</w:t>
            </w:r>
            <w:r>
              <w:rPr>
                <w:rFonts w:hint="eastAsia" w:ascii="宋体" w:hAnsi="宋体" w:eastAsia="宋体" w:cs="宋体"/>
                <w:color w:val="auto"/>
                <w:sz w:val="21"/>
                <w:szCs w:val="21"/>
                <w:highlight w:val="none"/>
                <w:lang w:eastAsia="zh-CN"/>
              </w:rPr>
              <w:t>：</w:t>
            </w:r>
          </w:p>
          <w:p w14:paraId="18F9BB52">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8.1 </w:t>
            </w:r>
            <w:r>
              <w:rPr>
                <w:rFonts w:hint="eastAsia" w:ascii="宋体" w:hAnsi="宋体" w:eastAsia="宋体" w:cs="宋体"/>
                <w:color w:val="auto"/>
                <w:sz w:val="21"/>
                <w:szCs w:val="21"/>
                <w:highlight w:val="none"/>
              </w:rPr>
              <w:t>相同测试功能区域：2组；</w:t>
            </w:r>
          </w:p>
          <w:p w14:paraId="3F9409F0">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8.2 </w:t>
            </w:r>
            <w:r>
              <w:rPr>
                <w:rFonts w:hint="eastAsia" w:ascii="宋体" w:hAnsi="宋体" w:eastAsia="宋体" w:cs="宋体"/>
                <w:color w:val="auto"/>
                <w:sz w:val="21"/>
                <w:szCs w:val="21"/>
                <w:highlight w:val="none"/>
              </w:rPr>
              <w:t>电源三档切换：</w:t>
            </w:r>
          </w:p>
          <w:p w14:paraId="2D4E0B2A">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8.3 </w:t>
            </w:r>
            <w:r>
              <w:rPr>
                <w:rFonts w:hint="eastAsia" w:ascii="宋体" w:hAnsi="宋体" w:eastAsia="宋体" w:cs="宋体"/>
                <w:color w:val="auto"/>
                <w:sz w:val="21"/>
                <w:szCs w:val="21"/>
                <w:highlight w:val="none"/>
              </w:rPr>
              <w:t>电流源：1mA；</w:t>
            </w:r>
          </w:p>
          <w:p w14:paraId="260F0EF8">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8.4 </w:t>
            </w:r>
            <w:r>
              <w:rPr>
                <w:rFonts w:hint="eastAsia" w:ascii="宋体" w:hAnsi="宋体" w:eastAsia="宋体" w:cs="宋体"/>
                <w:color w:val="auto"/>
                <w:sz w:val="21"/>
                <w:szCs w:val="21"/>
                <w:highlight w:val="none"/>
              </w:rPr>
              <w:t>NULL档：空档；</w:t>
            </w:r>
          </w:p>
          <w:p w14:paraId="2ABE093A">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8.5 </w:t>
            </w:r>
            <w:r>
              <w:rPr>
                <w:rFonts w:hint="eastAsia" w:ascii="宋体" w:hAnsi="宋体" w:eastAsia="宋体" w:cs="宋体"/>
                <w:color w:val="auto"/>
                <w:sz w:val="21"/>
                <w:szCs w:val="21"/>
                <w:highlight w:val="none"/>
              </w:rPr>
              <w:t>电压源：7V；</w:t>
            </w:r>
          </w:p>
          <w:p w14:paraId="5774B456">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热释电红外探测单元</w:t>
            </w:r>
            <w:r>
              <w:rPr>
                <w:rFonts w:hint="eastAsia" w:ascii="宋体" w:hAnsi="宋体" w:eastAsia="宋体" w:cs="宋体"/>
                <w:color w:val="auto"/>
                <w:sz w:val="21"/>
                <w:szCs w:val="21"/>
                <w:highlight w:val="none"/>
                <w:lang w:eastAsia="zh-CN"/>
              </w:rPr>
              <w:t>：</w:t>
            </w:r>
          </w:p>
          <w:p w14:paraId="33371EE9">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9.1 </w:t>
            </w:r>
            <w:r>
              <w:rPr>
                <w:rFonts w:hint="eastAsia" w:ascii="宋体" w:hAnsi="宋体" w:eastAsia="宋体" w:cs="宋体"/>
                <w:color w:val="auto"/>
                <w:sz w:val="21"/>
                <w:szCs w:val="21"/>
                <w:highlight w:val="none"/>
              </w:rPr>
              <w:t>模式选择两档切换：可重复触发、不可重复触发</w:t>
            </w:r>
            <w:r>
              <w:rPr>
                <w:rFonts w:hint="eastAsia" w:ascii="宋体" w:hAnsi="宋体" w:eastAsia="宋体" w:cs="宋体"/>
                <w:color w:val="auto"/>
                <w:sz w:val="21"/>
                <w:szCs w:val="21"/>
                <w:highlight w:val="none"/>
                <w:lang w:eastAsia="zh-CN"/>
              </w:rPr>
              <w:t>；</w:t>
            </w:r>
          </w:p>
          <w:p w14:paraId="64A9980D">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9.2 </w:t>
            </w:r>
            <w:r>
              <w:rPr>
                <w:rFonts w:hint="eastAsia" w:ascii="宋体" w:hAnsi="宋体" w:eastAsia="宋体" w:cs="宋体"/>
                <w:color w:val="auto"/>
                <w:sz w:val="21"/>
                <w:szCs w:val="21"/>
                <w:highlight w:val="none"/>
              </w:rPr>
              <w:t>两种菲涅尔透镜类型：半球形、一字形</w:t>
            </w:r>
            <w:r>
              <w:rPr>
                <w:rFonts w:hint="eastAsia" w:ascii="宋体" w:hAnsi="宋体" w:eastAsia="宋体" w:cs="宋体"/>
                <w:color w:val="auto"/>
                <w:sz w:val="21"/>
                <w:szCs w:val="21"/>
                <w:highlight w:val="none"/>
                <w:lang w:eastAsia="zh-CN"/>
              </w:rPr>
              <w:t>；</w:t>
            </w:r>
          </w:p>
          <w:p w14:paraId="593B0888">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9.3 </w:t>
            </w:r>
            <w:r>
              <w:rPr>
                <w:rFonts w:hint="eastAsia" w:ascii="宋体" w:hAnsi="宋体" w:eastAsia="宋体" w:cs="宋体"/>
                <w:color w:val="auto"/>
                <w:sz w:val="21"/>
                <w:szCs w:val="21"/>
                <w:highlight w:val="none"/>
              </w:rPr>
              <w:t>灵敏度、封锁时间、延迟时间连续可调</w:t>
            </w:r>
            <w:r>
              <w:rPr>
                <w:rFonts w:hint="eastAsia" w:ascii="宋体" w:hAnsi="宋体" w:eastAsia="宋体" w:cs="宋体"/>
                <w:color w:val="auto"/>
                <w:sz w:val="21"/>
                <w:szCs w:val="21"/>
                <w:highlight w:val="none"/>
                <w:lang w:eastAsia="zh-CN"/>
              </w:rPr>
              <w:t>；</w:t>
            </w:r>
          </w:p>
          <w:p w14:paraId="48C33321">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数字温度计</w:t>
            </w:r>
            <w:r>
              <w:rPr>
                <w:rFonts w:hint="eastAsia" w:ascii="宋体" w:hAnsi="宋体" w:eastAsia="宋体" w:cs="宋体"/>
                <w:color w:val="auto"/>
                <w:sz w:val="21"/>
                <w:szCs w:val="21"/>
                <w:highlight w:val="none"/>
                <w:lang w:eastAsia="zh-CN"/>
              </w:rPr>
              <w:t>：</w:t>
            </w:r>
          </w:p>
          <w:p w14:paraId="038D5E25">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10.1 </w:t>
            </w:r>
            <w:r>
              <w:rPr>
                <w:rFonts w:hint="eastAsia" w:ascii="宋体" w:hAnsi="宋体" w:eastAsia="宋体" w:cs="宋体"/>
                <w:color w:val="auto"/>
                <w:sz w:val="21"/>
                <w:szCs w:val="21"/>
                <w:highlight w:val="none"/>
              </w:rPr>
              <w:t>显示范围：−55℃～+155℃</w:t>
            </w:r>
            <w:r>
              <w:rPr>
                <w:rFonts w:hint="eastAsia" w:ascii="宋体" w:hAnsi="宋体" w:eastAsia="宋体" w:cs="宋体"/>
                <w:color w:val="auto"/>
                <w:sz w:val="21"/>
                <w:szCs w:val="21"/>
                <w:highlight w:val="none"/>
                <w:lang w:eastAsia="zh-CN"/>
              </w:rPr>
              <w:t>；</w:t>
            </w:r>
          </w:p>
          <w:p w14:paraId="61616D28">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10.2 </w:t>
            </w:r>
            <w:r>
              <w:rPr>
                <w:rFonts w:hint="eastAsia" w:ascii="宋体" w:hAnsi="宋体" w:eastAsia="宋体" w:cs="宋体"/>
                <w:color w:val="auto"/>
                <w:sz w:val="21"/>
                <w:szCs w:val="21"/>
                <w:highlight w:val="none"/>
              </w:rPr>
              <w:t>显示分辨率：0.1℃</w:t>
            </w:r>
            <w:r>
              <w:rPr>
                <w:rFonts w:hint="eastAsia" w:ascii="宋体" w:hAnsi="宋体" w:eastAsia="宋体" w:cs="宋体"/>
                <w:color w:val="auto"/>
                <w:sz w:val="21"/>
                <w:szCs w:val="21"/>
                <w:highlight w:val="none"/>
                <w:lang w:eastAsia="zh-CN"/>
              </w:rPr>
              <w:t>；</w:t>
            </w:r>
          </w:p>
          <w:p w14:paraId="71A58ED0">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10.3 </w:t>
            </w:r>
            <w:r>
              <w:rPr>
                <w:rFonts w:hint="eastAsia" w:ascii="宋体" w:hAnsi="宋体" w:eastAsia="宋体" w:cs="宋体"/>
                <w:color w:val="auto"/>
                <w:sz w:val="21"/>
                <w:szCs w:val="21"/>
                <w:highlight w:val="none"/>
              </w:rPr>
              <w:t>具有未接传感器、超范围异常显示功能</w:t>
            </w:r>
            <w:r>
              <w:rPr>
                <w:rFonts w:hint="eastAsia" w:ascii="宋体" w:hAnsi="宋体" w:eastAsia="宋体" w:cs="宋体"/>
                <w:color w:val="auto"/>
                <w:sz w:val="21"/>
                <w:szCs w:val="21"/>
                <w:highlight w:val="none"/>
                <w:lang w:eastAsia="zh-CN"/>
              </w:rPr>
              <w:t>；</w:t>
            </w:r>
          </w:p>
          <w:p w14:paraId="7764C85B">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数字压强计</w:t>
            </w:r>
            <w:r>
              <w:rPr>
                <w:rFonts w:hint="eastAsia" w:ascii="宋体" w:hAnsi="宋体" w:eastAsia="宋体" w:cs="宋体"/>
                <w:color w:val="auto"/>
                <w:sz w:val="21"/>
                <w:szCs w:val="21"/>
                <w:highlight w:val="none"/>
                <w:lang w:eastAsia="zh-CN"/>
              </w:rPr>
              <w:t>：</w:t>
            </w:r>
          </w:p>
          <w:p w14:paraId="70674291">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11.1 </w:t>
            </w:r>
            <w:r>
              <w:rPr>
                <w:rFonts w:hint="eastAsia" w:ascii="宋体" w:hAnsi="宋体" w:eastAsia="宋体" w:cs="宋体"/>
                <w:color w:val="auto"/>
                <w:sz w:val="21"/>
                <w:szCs w:val="21"/>
                <w:highlight w:val="none"/>
              </w:rPr>
              <w:t>显示范围：20～210kPa</w:t>
            </w:r>
            <w:r>
              <w:rPr>
                <w:rFonts w:hint="eastAsia" w:ascii="宋体" w:hAnsi="宋体" w:eastAsia="宋体" w:cs="宋体"/>
                <w:color w:val="auto"/>
                <w:sz w:val="21"/>
                <w:szCs w:val="21"/>
                <w:highlight w:val="none"/>
                <w:lang w:eastAsia="zh-CN"/>
              </w:rPr>
              <w:t>；</w:t>
            </w:r>
          </w:p>
          <w:p w14:paraId="4471AA17">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11.2 </w:t>
            </w:r>
            <w:r>
              <w:rPr>
                <w:rFonts w:hint="eastAsia" w:ascii="宋体" w:hAnsi="宋体" w:eastAsia="宋体" w:cs="宋体"/>
                <w:color w:val="auto"/>
                <w:sz w:val="21"/>
                <w:szCs w:val="21"/>
                <w:highlight w:val="none"/>
              </w:rPr>
              <w:t>显示分辨率：0.1kPa</w:t>
            </w:r>
            <w:r>
              <w:rPr>
                <w:rFonts w:hint="eastAsia" w:ascii="宋体" w:hAnsi="宋体" w:eastAsia="宋体" w:cs="宋体"/>
                <w:color w:val="auto"/>
                <w:sz w:val="21"/>
                <w:szCs w:val="21"/>
                <w:highlight w:val="none"/>
                <w:lang w:eastAsia="zh-CN"/>
              </w:rPr>
              <w:t>；</w:t>
            </w:r>
          </w:p>
          <w:p w14:paraId="5797001B">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11.3 </w:t>
            </w:r>
            <w:r>
              <w:rPr>
                <w:rFonts w:hint="eastAsia" w:ascii="宋体" w:hAnsi="宋体" w:eastAsia="宋体" w:cs="宋体"/>
                <w:color w:val="auto"/>
                <w:sz w:val="21"/>
                <w:szCs w:val="21"/>
                <w:highlight w:val="none"/>
              </w:rPr>
              <w:t>具有未接传感器、超范围异常显示功能</w:t>
            </w:r>
            <w:r>
              <w:rPr>
                <w:rFonts w:hint="eastAsia" w:ascii="宋体" w:hAnsi="宋体" w:eastAsia="宋体" w:cs="宋体"/>
                <w:color w:val="auto"/>
                <w:sz w:val="21"/>
                <w:szCs w:val="21"/>
                <w:highlight w:val="none"/>
                <w:lang w:eastAsia="zh-CN"/>
              </w:rPr>
              <w:t>；</w:t>
            </w:r>
          </w:p>
          <w:p w14:paraId="56EBFE26">
            <w:pPr>
              <w:keepNext w:val="0"/>
              <w:keepLines w:val="0"/>
              <w:numPr>
                <w:ilvl w:val="0"/>
                <w:numId w:val="0"/>
              </w:numPr>
              <w:suppressLineNumbers w:val="0"/>
              <w:spacing w:before="0" w:beforeAutospacing="0" w:after="0" w:afterAutospacing="0" w:line="240" w:lineRule="auto"/>
              <w:ind w:left="0" w:leftChars="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直流稳压电源</w:t>
            </w:r>
            <w:r>
              <w:rPr>
                <w:rFonts w:hint="eastAsia" w:ascii="宋体" w:hAnsi="宋体" w:eastAsia="宋体" w:cs="宋体"/>
                <w:color w:val="auto"/>
                <w:sz w:val="21"/>
                <w:szCs w:val="21"/>
                <w:highlight w:val="none"/>
                <w:lang w:eastAsia="zh-CN"/>
              </w:rPr>
              <w:t>：</w:t>
            </w:r>
          </w:p>
          <w:p w14:paraId="3681D8B0">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12.1 </w:t>
            </w:r>
            <w:r>
              <w:rPr>
                <w:rFonts w:hint="eastAsia" w:ascii="宋体" w:hAnsi="宋体" w:eastAsia="宋体" w:cs="宋体"/>
                <w:color w:val="auto"/>
                <w:sz w:val="21"/>
                <w:szCs w:val="21"/>
                <w:highlight w:val="none"/>
              </w:rPr>
              <w:t>连续可调电压范围：0～30V</w:t>
            </w:r>
            <w:r>
              <w:rPr>
                <w:rFonts w:hint="eastAsia" w:ascii="宋体" w:hAnsi="宋体" w:eastAsia="宋体" w:cs="宋体"/>
                <w:color w:val="auto"/>
                <w:sz w:val="21"/>
                <w:szCs w:val="21"/>
                <w:highlight w:val="none"/>
                <w:lang w:eastAsia="zh-CN"/>
              </w:rPr>
              <w:t>；</w:t>
            </w:r>
          </w:p>
          <w:p w14:paraId="39E60473">
            <w:pPr>
              <w:keepNext w:val="0"/>
              <w:keepLines w:val="0"/>
              <w:numPr>
                <w:ilvl w:val="0"/>
                <w:numId w:val="0"/>
              </w:numPr>
              <w:suppressLineNumbers w:val="0"/>
              <w:spacing w:before="0" w:beforeAutospacing="0" w:after="0" w:afterAutospacing="0" w:line="240" w:lineRule="auto"/>
              <w:ind w:left="0" w:right="0" w:righ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12.2 </w:t>
            </w:r>
            <w:r>
              <w:rPr>
                <w:rFonts w:hint="eastAsia" w:ascii="宋体" w:hAnsi="宋体" w:eastAsia="宋体" w:cs="宋体"/>
                <w:color w:val="auto"/>
                <w:sz w:val="21"/>
                <w:szCs w:val="21"/>
                <w:highlight w:val="none"/>
              </w:rPr>
              <w:t>显示分辨率0.1V</w:t>
            </w:r>
            <w:r>
              <w:rPr>
                <w:rFonts w:hint="eastAsia" w:ascii="宋体" w:hAnsi="宋体" w:eastAsia="宋体" w:cs="宋体"/>
                <w:color w:val="auto"/>
                <w:sz w:val="21"/>
                <w:szCs w:val="21"/>
                <w:highlight w:val="none"/>
                <w:lang w:eastAsia="zh-CN"/>
              </w:rPr>
              <w:t>。</w:t>
            </w:r>
          </w:p>
        </w:tc>
      </w:tr>
      <w:tr w14:paraId="535E7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B2D25DD">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7</w:t>
            </w:r>
          </w:p>
        </w:tc>
        <w:tc>
          <w:tcPr>
            <w:tcW w:w="2121" w:type="dxa"/>
            <w:vAlign w:val="center"/>
          </w:tcPr>
          <w:p w14:paraId="03F78EB0">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落球法变温粘滞系数实验仪</w:t>
            </w:r>
          </w:p>
        </w:tc>
        <w:tc>
          <w:tcPr>
            <w:tcW w:w="627" w:type="dxa"/>
            <w:vAlign w:val="center"/>
          </w:tcPr>
          <w:p w14:paraId="6C19CE7B">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p>
        </w:tc>
        <w:tc>
          <w:tcPr>
            <w:tcW w:w="614" w:type="dxa"/>
            <w:vAlign w:val="center"/>
          </w:tcPr>
          <w:p w14:paraId="4068F2D4">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37329BA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
                <w:bCs w:val="0"/>
                <w:color w:val="auto"/>
                <w:kern w:val="2"/>
                <w:sz w:val="21"/>
                <w:szCs w:val="21"/>
                <w:highlight w:val="none"/>
              </w:rPr>
            </w:pPr>
            <w:r>
              <w:rPr>
                <w:rFonts w:hint="eastAsia" w:ascii="宋体" w:hAnsi="宋体" w:eastAsia="宋体" w:cs="宋体"/>
                <w:b/>
                <w:bCs w:val="0"/>
                <w:color w:val="auto"/>
                <w:kern w:val="2"/>
                <w:sz w:val="21"/>
                <w:szCs w:val="21"/>
                <w:highlight w:val="none"/>
                <w:lang w:val="en-US" w:eastAsia="zh-CN" w:bidi="ar"/>
              </w:rPr>
              <w:t>一、实验内容：</w:t>
            </w:r>
          </w:p>
          <w:p w14:paraId="402366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1.学习落球法测粘滞系数的原理；</w:t>
            </w:r>
          </w:p>
          <w:p w14:paraId="11AA34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2.了解PID温控仪原理以及使用方法；</w:t>
            </w:r>
          </w:p>
          <w:p w14:paraId="60F45D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3.用螺旋测微器测直径，练习用停表计时；</w:t>
            </w:r>
          </w:p>
          <w:p w14:paraId="5E0551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4.用落球法测量不同温度下蓖麻油的粘度；</w:t>
            </w:r>
          </w:p>
          <w:p w14:paraId="3DE5F9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5.研究小球直径对实验结果的影响。</w:t>
            </w:r>
          </w:p>
          <w:p w14:paraId="24AF7F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
                <w:bCs w:val="0"/>
                <w:color w:val="auto"/>
                <w:kern w:val="2"/>
                <w:sz w:val="21"/>
                <w:szCs w:val="21"/>
                <w:highlight w:val="none"/>
                <w:lang w:val="en-US" w:eastAsia="zh-CN" w:bidi="ar"/>
              </w:rPr>
            </w:pPr>
            <w:r>
              <w:rPr>
                <w:rFonts w:hint="eastAsia" w:ascii="宋体" w:hAnsi="宋体" w:eastAsia="宋体" w:cs="宋体"/>
                <w:b/>
                <w:bCs w:val="0"/>
                <w:color w:val="auto"/>
                <w:kern w:val="2"/>
                <w:sz w:val="21"/>
                <w:szCs w:val="21"/>
                <w:highlight w:val="none"/>
                <w:lang w:val="en-US" w:eastAsia="zh-CN" w:bidi="ar"/>
              </w:rPr>
              <w:t>二、仪器组成：</w:t>
            </w:r>
          </w:p>
          <w:p w14:paraId="126403A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开放式PID温控仪、恒温水箱、粘滞系数实验装置。</w:t>
            </w:r>
          </w:p>
          <w:p w14:paraId="6FB86A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
                <w:bCs w:val="0"/>
                <w:color w:val="auto"/>
                <w:kern w:val="2"/>
                <w:sz w:val="21"/>
                <w:szCs w:val="21"/>
                <w:highlight w:val="none"/>
                <w:lang w:val="en-US" w:eastAsia="zh-CN" w:bidi="ar"/>
              </w:rPr>
            </w:pPr>
            <w:r>
              <w:rPr>
                <w:rFonts w:hint="eastAsia" w:ascii="宋体" w:hAnsi="宋体" w:eastAsia="宋体" w:cs="宋体"/>
                <w:b/>
                <w:bCs w:val="0"/>
                <w:color w:val="auto"/>
                <w:kern w:val="2"/>
                <w:sz w:val="21"/>
                <w:szCs w:val="21"/>
                <w:highlight w:val="none"/>
                <w:lang w:val="en-US" w:eastAsia="zh-CN" w:bidi="ar"/>
              </w:rPr>
              <w:t>三、技术指标：</w:t>
            </w:r>
          </w:p>
          <w:p w14:paraId="40F3B5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1.控温范围：室温～60℃；</w:t>
            </w:r>
          </w:p>
          <w:p w14:paraId="4C47727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2.控温精度：优于±0.2℃；</w:t>
            </w:r>
          </w:p>
          <w:p w14:paraId="631288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3.粘滞系数测量相对误差：优于±3%；</w:t>
            </w:r>
          </w:p>
          <w:p w14:paraId="68F736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4.加热方法：循环水加热，保证温度一致性及测量精度。水电分离的教学用物理；</w:t>
            </w:r>
          </w:p>
          <w:p w14:paraId="3488B7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5.实验水循环控温装置：</w:t>
            </w:r>
          </w:p>
          <w:p w14:paraId="6A505F5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5.1 水箱：大口径注水截面积≥120cm</w:t>
            </w:r>
            <w:r>
              <w:rPr>
                <w:rFonts w:hint="eastAsia" w:ascii="宋体" w:hAnsi="宋体" w:eastAsia="宋体" w:cs="宋体"/>
                <w:bCs/>
                <w:color w:val="auto"/>
                <w:kern w:val="2"/>
                <w:sz w:val="21"/>
                <w:szCs w:val="21"/>
                <w:highlight w:val="none"/>
                <w:vertAlign w:val="superscript"/>
                <w:lang w:val="en-US" w:eastAsia="zh-CN" w:bidi="ar"/>
              </w:rPr>
              <w:t>2</w:t>
            </w:r>
            <w:r>
              <w:rPr>
                <w:rFonts w:hint="eastAsia" w:ascii="宋体" w:hAnsi="宋体" w:eastAsia="宋体" w:cs="宋体"/>
                <w:bCs/>
                <w:color w:val="auto"/>
                <w:kern w:val="2"/>
                <w:sz w:val="21"/>
                <w:szCs w:val="21"/>
                <w:highlight w:val="none"/>
                <w:lang w:val="en-US" w:eastAsia="zh-CN" w:bidi="ar"/>
              </w:rPr>
              <w:t>，带盖；</w:t>
            </w:r>
          </w:p>
          <w:p w14:paraId="013666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5.2 传感器：含温度传感器和液位传感器，分别对水箱进行温度监控和液位监控；</w:t>
            </w:r>
          </w:p>
          <w:p w14:paraId="1F8DB9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5.3 执行器：含电加热器、风扇和水泵，循环水量：8L/min；</w:t>
            </w:r>
          </w:p>
          <w:p w14:paraId="5FE351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5.4 温控仪：</w:t>
            </w:r>
          </w:p>
          <w:p w14:paraId="7F7BE4D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5.4.1 ≥5英寸彩色液晶显示屏，分辨率≥800×480 px；</w:t>
            </w:r>
          </w:p>
          <w:p w14:paraId="6571B19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★5.4.2 可显示加热过程的起始温度、目标温度、温度和功率同步曲线、加热时间、静态误差、动态误差等</w:t>
            </w:r>
            <w:r>
              <w:rPr>
                <w:rFonts w:hint="eastAsia" w:ascii="宋体" w:hAnsi="宋体" w:eastAsia="宋体" w:cs="宋体"/>
                <w:b/>
                <w:bCs w:val="0"/>
                <w:color w:val="auto"/>
                <w:kern w:val="2"/>
                <w:sz w:val="21"/>
                <w:szCs w:val="21"/>
                <w:highlight w:val="none"/>
                <w:lang w:val="en-US" w:eastAsia="zh-CN" w:bidi="ar"/>
              </w:rPr>
              <w:t>（提供证明材料）</w:t>
            </w:r>
            <w:r>
              <w:rPr>
                <w:rFonts w:hint="eastAsia" w:ascii="宋体" w:hAnsi="宋体" w:eastAsia="宋体" w:cs="宋体"/>
                <w:bCs/>
                <w:color w:val="auto"/>
                <w:kern w:val="2"/>
                <w:sz w:val="21"/>
                <w:szCs w:val="21"/>
                <w:highlight w:val="none"/>
                <w:lang w:val="en-US" w:eastAsia="zh-CN" w:bidi="ar"/>
              </w:rPr>
              <w:t>；</w:t>
            </w:r>
          </w:p>
          <w:p w14:paraId="0E1A2F6C">
            <w:pPr>
              <w:keepNext w:val="0"/>
              <w:keepLines w:val="0"/>
              <w:widowControl w:val="0"/>
              <w:suppressLineNumbers w:val="0"/>
              <w:spacing w:before="0" w:beforeAutospacing="0" w:after="0" w:afterAutospacing="0" w:line="240" w:lineRule="auto"/>
              <w:ind w:left="0" w:right="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5.4.3 P、I、D参数对学生开放，可自行设定</w:t>
            </w:r>
            <w:r>
              <w:rPr>
                <w:rFonts w:hint="eastAsia" w:ascii="宋体" w:hAnsi="宋体" w:eastAsia="宋体" w:cs="宋体"/>
                <w:b/>
                <w:bCs w:val="0"/>
                <w:color w:val="auto"/>
                <w:kern w:val="2"/>
                <w:sz w:val="21"/>
                <w:szCs w:val="21"/>
                <w:highlight w:val="none"/>
                <w:lang w:val="en-US" w:eastAsia="zh-CN" w:bidi="ar"/>
              </w:rPr>
              <w:t>（提供证明材料）</w:t>
            </w:r>
            <w:r>
              <w:rPr>
                <w:rFonts w:hint="eastAsia" w:ascii="宋体" w:hAnsi="宋体" w:eastAsia="宋体" w:cs="宋体"/>
                <w:bCs/>
                <w:color w:val="auto"/>
                <w:kern w:val="2"/>
                <w:sz w:val="21"/>
                <w:szCs w:val="21"/>
                <w:highlight w:val="none"/>
                <w:lang w:val="en-US" w:eastAsia="zh-CN" w:bidi="ar"/>
              </w:rPr>
              <w:t>：</w:t>
            </w:r>
          </w:p>
          <w:p w14:paraId="02E6AE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（1）P参数调节范围：0～99，步距1；</w:t>
            </w:r>
          </w:p>
          <w:p w14:paraId="4D4515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（2）I参数调节范围：0～99，步距1；</w:t>
            </w:r>
          </w:p>
          <w:p w14:paraId="703DE1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（3）D参数调节范围：0～9.9，步距0.1；</w:t>
            </w:r>
          </w:p>
          <w:p w14:paraId="3B8C83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5.4.4 超温保护：温度超过65℃，显示屏报警，停止加热，同时风扇工作，加快降温以保护实验仪；</w:t>
            </w:r>
          </w:p>
          <w:p w14:paraId="6DBFCA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5.4.5 缺水保护（含防干烧）：低于设定液位，蜂鸣报警，显示屏报警，停止加热；</w:t>
            </w:r>
          </w:p>
          <w:p w14:paraId="503D58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5.5 教学用物理实验装置：</w:t>
            </w:r>
          </w:p>
          <w:p w14:paraId="6047C5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5.5.1 双层玻管：内径21mm，高度约400mm，刻度0～300mm。</w:t>
            </w:r>
          </w:p>
          <w:p w14:paraId="44FADEB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5.5.2 样品球直径：1mm、1.5mm、2mm三种。</w:t>
            </w:r>
          </w:p>
        </w:tc>
      </w:tr>
      <w:tr w14:paraId="2BBC4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7A47B64">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8</w:t>
            </w:r>
          </w:p>
        </w:tc>
        <w:tc>
          <w:tcPr>
            <w:tcW w:w="2121" w:type="dxa"/>
            <w:vAlign w:val="center"/>
          </w:tcPr>
          <w:p w14:paraId="1E093D1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磁学综合实验平台（模块化模式）</w:t>
            </w:r>
          </w:p>
        </w:tc>
        <w:tc>
          <w:tcPr>
            <w:tcW w:w="627" w:type="dxa"/>
            <w:vAlign w:val="center"/>
          </w:tcPr>
          <w:p w14:paraId="3642C95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p>
        </w:tc>
        <w:tc>
          <w:tcPr>
            <w:tcW w:w="614" w:type="dxa"/>
            <w:vAlign w:val="center"/>
          </w:tcPr>
          <w:p w14:paraId="0D5D45B4">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4F31EB29">
            <w:pPr>
              <w:keepNext w:val="0"/>
              <w:keepLines w:val="0"/>
              <w:suppressLineNumbers w:val="0"/>
              <w:spacing w:before="0" w:beforeAutospacing="0" w:after="0" w:afterAutospacing="0" w:line="240" w:lineRule="auto"/>
              <w:ind w:left="0" w:right="0"/>
              <w:jc w:val="lef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一、</w:t>
            </w:r>
            <w:r>
              <w:rPr>
                <w:rFonts w:hint="eastAsia" w:ascii="宋体" w:hAnsi="宋体" w:eastAsia="宋体" w:cs="宋体"/>
                <w:b/>
                <w:bCs w:val="0"/>
                <w:color w:val="auto"/>
                <w:sz w:val="21"/>
                <w:szCs w:val="21"/>
                <w:highlight w:val="none"/>
              </w:rPr>
              <w:t>实验内容：</w:t>
            </w:r>
          </w:p>
          <w:p w14:paraId="3609AE72">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测量霍尔电压与励磁电流的关系；</w:t>
            </w:r>
          </w:p>
          <w:p w14:paraId="145C423E">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测量霍尔电压与工作电流的关系；</w:t>
            </w:r>
          </w:p>
          <w:p w14:paraId="6E4BAFBB">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计算霍尔元件的灵敏度；</w:t>
            </w:r>
          </w:p>
          <w:p w14:paraId="54877A17">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测量螺线管中磁感应强度的大小及分布情况；</w:t>
            </w:r>
          </w:p>
          <w:p w14:paraId="4D87F269">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测量单个线圈磁感应强度的大小及分布情况；</w:t>
            </w:r>
          </w:p>
          <w:p w14:paraId="398338EF">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测量亥姆赫兹线圈磁感应强度的大小及分布情况；</w:t>
            </w:r>
          </w:p>
          <w:p w14:paraId="07676190">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测量电磁铁隙空间磁场的大小及分布情况；</w:t>
            </w:r>
          </w:p>
          <w:p w14:paraId="1BD0FDAC">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研究各向异性（AMR）磁阻传感器的特性；</w:t>
            </w:r>
          </w:p>
          <w:p w14:paraId="65465846">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研究巨磁电阻（GMR）传感器的特性；</w:t>
            </w:r>
          </w:p>
          <w:p w14:paraId="0A004EE9">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研究隧道磁电阻（TMR）传感器的物性；</w:t>
            </w:r>
          </w:p>
          <w:p w14:paraId="78EB64F6">
            <w:pPr>
              <w:keepNext w:val="0"/>
              <w:keepLines w:val="0"/>
              <w:suppressLineNumbers w:val="0"/>
              <w:spacing w:before="0" w:beforeAutospacing="0" w:after="0" w:afterAutospacing="0" w:line="24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比较分析各种磁传感器的本质，探究各自的应用领域。</w:t>
            </w:r>
          </w:p>
          <w:p w14:paraId="57364D17">
            <w:pPr>
              <w:keepNext w:val="0"/>
              <w:keepLines w:val="0"/>
              <w:suppressLineNumbers w:val="0"/>
              <w:spacing w:before="0" w:beforeAutospacing="0" w:after="0" w:afterAutospacing="0" w:line="240" w:lineRule="auto"/>
              <w:ind w:left="0" w:right="0"/>
              <w:jc w:val="left"/>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val="en-US" w:eastAsia="zh-CN"/>
              </w:rPr>
              <w:t>二、</w:t>
            </w:r>
            <w:r>
              <w:rPr>
                <w:rFonts w:hint="eastAsia" w:ascii="宋体" w:hAnsi="宋体" w:eastAsia="宋体" w:cs="宋体"/>
                <w:b/>
                <w:bCs w:val="0"/>
                <w:color w:val="auto"/>
                <w:sz w:val="21"/>
                <w:szCs w:val="21"/>
                <w:highlight w:val="none"/>
              </w:rPr>
              <w:t>技术参数</w:t>
            </w:r>
            <w:r>
              <w:rPr>
                <w:rFonts w:hint="eastAsia" w:ascii="宋体" w:hAnsi="宋体" w:eastAsia="宋体" w:cs="宋体"/>
                <w:b/>
                <w:bCs w:val="0"/>
                <w:color w:val="auto"/>
                <w:sz w:val="21"/>
                <w:szCs w:val="21"/>
                <w:highlight w:val="none"/>
                <w:lang w:eastAsia="zh-CN"/>
              </w:rPr>
              <w:t>：</w:t>
            </w:r>
          </w:p>
          <w:p w14:paraId="593862F1">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模块化实验设计：本设备主要由多功能物理测试仪、实验电源、横向霍尔传感器、轴向霍尔传感器、巨磁阻传感器、隧道磁电阻传感器、磁性隧道结、各向异性传感器、各传感器适配器、螺线管、C型磁铁、共轴线圈、二维移动座、角位移应用模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非接触电流测量模块、非接触角度/角速度测量模块等实验模块组成。</w:t>
            </w:r>
          </w:p>
          <w:p w14:paraId="63388D7E">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★2.通用性多功能物理测试仪</w:t>
            </w:r>
            <w:r>
              <w:rPr>
                <w:rFonts w:hint="eastAsia" w:ascii="宋体" w:hAnsi="宋体" w:eastAsia="宋体" w:cs="宋体"/>
                <w:color w:val="auto"/>
                <w:sz w:val="21"/>
                <w:szCs w:val="21"/>
                <w:highlight w:val="none"/>
                <w:lang w:eastAsia="zh-CN"/>
              </w:rPr>
              <w:t>：</w:t>
            </w:r>
          </w:p>
          <w:p w14:paraId="0B9901BA">
            <w:pPr>
              <w:keepNext w:val="0"/>
              <w:keepLines w:val="0"/>
              <w:suppressLineNumbers w:val="0"/>
              <w:spacing w:before="0" w:beforeAutospacing="0" w:after="0" w:afterAutospacing="0" w:line="240" w:lineRule="auto"/>
              <w:ind w:left="0" w:right="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2.1 </w:t>
            </w:r>
            <w:r>
              <w:rPr>
                <w:rFonts w:hint="eastAsia" w:ascii="宋体" w:hAnsi="宋体" w:eastAsia="宋体" w:cs="宋体"/>
                <w:color w:val="auto"/>
                <w:sz w:val="21"/>
                <w:szCs w:val="21"/>
                <w:highlight w:val="none"/>
              </w:rPr>
              <w:t>4通道模拟输入：-2V～+2V，频率&lt;1Hz，搭配传感器可自动显示测量物理量</w:t>
            </w:r>
            <w:r>
              <w:rPr>
                <w:rFonts w:hint="eastAsia" w:ascii="宋体" w:hAnsi="宋体" w:eastAsia="宋体" w:cs="宋体"/>
                <w:iCs/>
                <w:color w:val="auto"/>
                <w:sz w:val="21"/>
                <w:szCs w:val="21"/>
                <w:highlight w:val="none"/>
              </w:rPr>
              <w:t>（如电压、电流、温度、压力…）</w:t>
            </w:r>
            <w:r>
              <w:rPr>
                <w:rFonts w:hint="eastAsia" w:ascii="宋体" w:hAnsi="宋体" w:eastAsia="宋体" w:cs="宋体"/>
                <w:iCs/>
                <w:color w:val="auto"/>
                <w:sz w:val="21"/>
                <w:szCs w:val="21"/>
                <w:highlight w:val="none"/>
                <w:lang w:eastAsia="zh-CN"/>
              </w:rPr>
              <w:t>；</w:t>
            </w:r>
          </w:p>
          <w:p w14:paraId="07E40614">
            <w:pPr>
              <w:keepNext w:val="0"/>
              <w:keepLines w:val="0"/>
              <w:suppressLineNumbers w:val="0"/>
              <w:spacing w:before="0" w:beforeAutospacing="0" w:after="0" w:afterAutospacing="0" w:line="240"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 </w:t>
            </w:r>
            <w:r>
              <w:rPr>
                <w:rFonts w:hint="eastAsia" w:ascii="宋体" w:hAnsi="宋体" w:eastAsia="宋体" w:cs="宋体"/>
                <w:color w:val="auto"/>
                <w:sz w:val="21"/>
                <w:szCs w:val="21"/>
                <w:highlight w:val="none"/>
              </w:rPr>
              <w:t>显示屏：彩色液晶显示屏，分辨率800×480px；</w:t>
            </w:r>
          </w:p>
          <w:p w14:paraId="51C9E802">
            <w:pPr>
              <w:keepNext w:val="0"/>
              <w:keepLines w:val="0"/>
              <w:suppressLineNumbers w:val="0"/>
              <w:spacing w:before="0" w:beforeAutospacing="0" w:after="0" w:afterAutospacing="0" w:line="240" w:lineRule="auto"/>
              <w:ind w:left="0" w:right="0"/>
              <w:jc w:val="both"/>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val="en-US" w:eastAsia="zh-CN"/>
              </w:rPr>
              <w:t xml:space="preserve">2.3 </w:t>
            </w:r>
            <w:r>
              <w:rPr>
                <w:rFonts w:hint="eastAsia" w:ascii="宋体" w:hAnsi="宋体" w:eastAsia="宋体" w:cs="宋体"/>
                <w:iCs/>
                <w:color w:val="auto"/>
                <w:sz w:val="21"/>
                <w:szCs w:val="21"/>
                <w:highlight w:val="none"/>
              </w:rPr>
              <w:t>可绘制任意通道间关系图像；</w:t>
            </w:r>
          </w:p>
          <w:p w14:paraId="49D67E27">
            <w:pPr>
              <w:keepNext w:val="0"/>
              <w:keepLines w:val="0"/>
              <w:suppressLineNumbers w:val="0"/>
              <w:spacing w:before="0" w:beforeAutospacing="0" w:after="0" w:afterAutospacing="0" w:line="240" w:lineRule="auto"/>
              <w:ind w:left="0" w:right="0"/>
              <w:jc w:val="both"/>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lang w:val="en-US" w:eastAsia="zh-CN"/>
              </w:rPr>
              <w:t xml:space="preserve">2.4 </w:t>
            </w:r>
            <w:r>
              <w:rPr>
                <w:rFonts w:hint="eastAsia" w:ascii="宋体" w:hAnsi="宋体" w:eastAsia="宋体" w:cs="宋体"/>
                <w:color w:val="auto"/>
                <w:sz w:val="21"/>
                <w:szCs w:val="21"/>
                <w:highlight w:val="none"/>
              </w:rPr>
              <w:t>3种显示方式：表头、曲线、数据表格，方便数据记录及物理状态观察；</w:t>
            </w:r>
          </w:p>
          <w:p w14:paraId="44B26773">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3.实验电源</w:t>
            </w:r>
            <w:r>
              <w:rPr>
                <w:rFonts w:hint="eastAsia" w:ascii="宋体" w:hAnsi="宋体" w:eastAsia="宋体" w:cs="宋体"/>
                <w:color w:val="auto"/>
                <w:sz w:val="21"/>
                <w:szCs w:val="21"/>
                <w:highlight w:val="none"/>
                <w:lang w:eastAsia="zh-CN"/>
              </w:rPr>
              <w:t>：</w:t>
            </w:r>
          </w:p>
          <w:p w14:paraId="0B3772FC">
            <w:pPr>
              <w:pStyle w:val="3"/>
              <w:keepNext w:val="0"/>
              <w:keepLines w:val="0"/>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3.1 </w:t>
            </w:r>
            <w:r>
              <w:rPr>
                <w:rFonts w:hint="eastAsia" w:ascii="宋体" w:hAnsi="宋体" w:eastAsia="宋体" w:cs="宋体"/>
                <w:color w:val="auto"/>
                <w:sz w:val="21"/>
                <w:szCs w:val="21"/>
                <w:highlight w:val="none"/>
              </w:rPr>
              <w:t>电流源输出范围：0-1000mA连续可调。100mA档，分辨率0.1mA，1000mA档，分辨率1mA</w:t>
            </w:r>
            <w:r>
              <w:rPr>
                <w:rFonts w:hint="eastAsia" w:ascii="宋体" w:hAnsi="宋体" w:eastAsia="宋体" w:cs="宋体"/>
                <w:color w:val="auto"/>
                <w:sz w:val="21"/>
                <w:szCs w:val="21"/>
                <w:highlight w:val="none"/>
                <w:lang w:eastAsia="zh-CN"/>
              </w:rPr>
              <w:t>；</w:t>
            </w:r>
          </w:p>
          <w:p w14:paraId="6942D69B">
            <w:pPr>
              <w:pStyle w:val="3"/>
              <w:keepNext w:val="0"/>
              <w:keepLines w:val="0"/>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3.2 </w:t>
            </w:r>
            <w:r>
              <w:rPr>
                <w:rFonts w:hint="eastAsia" w:ascii="宋体" w:hAnsi="宋体" w:eastAsia="宋体" w:cs="宋体"/>
                <w:color w:val="auto"/>
                <w:sz w:val="21"/>
                <w:szCs w:val="21"/>
                <w:highlight w:val="none"/>
              </w:rPr>
              <w:t>电压源输出范围：0～30V连续可调。4 V档，分辨率0.001V。30 V档，分辨率0.01V</w:t>
            </w:r>
            <w:r>
              <w:rPr>
                <w:rFonts w:hint="eastAsia" w:ascii="宋体" w:hAnsi="宋体" w:eastAsia="宋体" w:cs="宋体"/>
                <w:color w:val="auto"/>
                <w:sz w:val="21"/>
                <w:szCs w:val="21"/>
                <w:highlight w:val="none"/>
                <w:lang w:eastAsia="zh-CN"/>
              </w:rPr>
              <w:t>；</w:t>
            </w:r>
          </w:p>
          <w:p w14:paraId="442FE6D4">
            <w:pPr>
              <w:pStyle w:val="3"/>
              <w:keepNext w:val="0"/>
              <w:keepLines w:val="0"/>
              <w:suppressLineNumbers w:val="0"/>
              <w:spacing w:before="0" w:beforeAutospacing="0" w:after="0" w:afterAutospacing="0" w:line="240" w:lineRule="auto"/>
              <w:ind w:left="0" w:leftChars="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3.3 </w:t>
            </w:r>
            <w:r>
              <w:rPr>
                <w:rFonts w:hint="eastAsia" w:ascii="宋体" w:hAnsi="宋体" w:eastAsia="宋体" w:cs="宋体"/>
                <w:color w:val="auto"/>
                <w:sz w:val="21"/>
                <w:szCs w:val="21"/>
                <w:highlight w:val="none"/>
              </w:rPr>
              <w:t>独立传感器供电电源：±12V独立输出，±0.8V@200mA</w:t>
            </w:r>
            <w:r>
              <w:rPr>
                <w:rFonts w:hint="eastAsia" w:ascii="宋体" w:hAnsi="宋体" w:eastAsia="宋体" w:cs="宋体"/>
                <w:color w:val="auto"/>
                <w:sz w:val="21"/>
                <w:szCs w:val="21"/>
                <w:highlight w:val="none"/>
                <w:lang w:eastAsia="zh-CN"/>
              </w:rPr>
              <w:t>；</w:t>
            </w:r>
          </w:p>
          <w:p w14:paraId="7CB729C7">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4.轴向霍尔传感器模块：磁感应方向为霍尔筒的轴线方向，霍尔元件的灵敏度＞150mV/（mA·T），不等位电势U</w:t>
            </w:r>
            <w:r>
              <w:rPr>
                <w:rFonts w:hint="eastAsia" w:ascii="宋体" w:hAnsi="宋体" w:eastAsia="宋体" w:cs="宋体"/>
                <w:color w:val="auto"/>
                <w:sz w:val="21"/>
                <w:szCs w:val="21"/>
                <w:highlight w:val="none"/>
                <w:vertAlign w:val="subscript"/>
              </w:rPr>
              <w:t>O</w:t>
            </w:r>
            <w:r>
              <w:rPr>
                <w:rFonts w:hint="eastAsia" w:ascii="宋体" w:hAnsi="宋体" w:eastAsia="宋体" w:cs="宋体"/>
                <w:color w:val="auto"/>
                <w:sz w:val="21"/>
                <w:szCs w:val="21"/>
                <w:highlight w:val="none"/>
              </w:rPr>
              <w:t>≤2mV（工作电流I</w:t>
            </w:r>
            <w:r>
              <w:rPr>
                <w:rFonts w:hint="eastAsia" w:ascii="宋体" w:hAnsi="宋体" w:eastAsia="宋体" w:cs="宋体"/>
                <w:color w:val="auto"/>
                <w:sz w:val="21"/>
                <w:szCs w:val="21"/>
                <w:highlight w:val="none"/>
                <w:vertAlign w:val="subscript"/>
              </w:rPr>
              <w:t>S</w:t>
            </w:r>
            <w:r>
              <w:rPr>
                <w:rFonts w:hint="eastAsia" w:ascii="宋体" w:hAnsi="宋体" w:eastAsia="宋体" w:cs="宋体"/>
                <w:color w:val="auto"/>
                <w:sz w:val="21"/>
                <w:szCs w:val="21"/>
                <w:highlight w:val="none"/>
              </w:rPr>
              <w:t>=4mA时）</w:t>
            </w:r>
            <w:r>
              <w:rPr>
                <w:rFonts w:hint="eastAsia" w:ascii="宋体" w:hAnsi="宋体" w:eastAsia="宋体" w:cs="宋体"/>
                <w:color w:val="auto"/>
                <w:sz w:val="21"/>
                <w:szCs w:val="21"/>
                <w:highlight w:val="none"/>
                <w:lang w:eastAsia="zh-CN"/>
              </w:rPr>
              <w:t>；</w:t>
            </w:r>
          </w:p>
          <w:p w14:paraId="19CAC489">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5.横向霍尔传感器模块：霍尔传感器的磁感应方向为印制板的法线方向，霍尔元件的灵敏度＞150mV/（mA·T），不等位电势U</w:t>
            </w:r>
            <w:r>
              <w:rPr>
                <w:rFonts w:hint="eastAsia" w:ascii="宋体" w:hAnsi="宋体" w:eastAsia="宋体" w:cs="宋体"/>
                <w:color w:val="auto"/>
                <w:sz w:val="21"/>
                <w:szCs w:val="21"/>
                <w:highlight w:val="none"/>
                <w:vertAlign w:val="subscript"/>
              </w:rPr>
              <w:t>O</w:t>
            </w:r>
            <w:r>
              <w:rPr>
                <w:rFonts w:hint="eastAsia" w:ascii="宋体" w:hAnsi="宋体" w:eastAsia="宋体" w:cs="宋体"/>
                <w:color w:val="auto"/>
                <w:sz w:val="21"/>
                <w:szCs w:val="21"/>
                <w:highlight w:val="none"/>
              </w:rPr>
              <w:t>≤2mV（工作电流I</w:t>
            </w:r>
            <w:r>
              <w:rPr>
                <w:rFonts w:hint="eastAsia" w:ascii="宋体" w:hAnsi="宋体" w:eastAsia="宋体" w:cs="宋体"/>
                <w:color w:val="auto"/>
                <w:sz w:val="21"/>
                <w:szCs w:val="21"/>
                <w:highlight w:val="none"/>
                <w:vertAlign w:val="subscript"/>
              </w:rPr>
              <w:t>S</w:t>
            </w:r>
            <w:r>
              <w:rPr>
                <w:rFonts w:hint="eastAsia" w:ascii="宋体" w:hAnsi="宋体" w:eastAsia="宋体" w:cs="宋体"/>
                <w:color w:val="auto"/>
                <w:sz w:val="21"/>
                <w:szCs w:val="21"/>
                <w:highlight w:val="none"/>
              </w:rPr>
              <w:t>=4mA时）</w:t>
            </w:r>
            <w:r>
              <w:rPr>
                <w:rFonts w:hint="eastAsia" w:ascii="宋体" w:hAnsi="宋体" w:eastAsia="宋体" w:cs="宋体"/>
                <w:color w:val="auto"/>
                <w:sz w:val="21"/>
                <w:szCs w:val="21"/>
                <w:highlight w:val="none"/>
                <w:lang w:eastAsia="zh-CN"/>
              </w:rPr>
              <w:t>；</w:t>
            </w:r>
          </w:p>
          <w:p w14:paraId="12E27E62">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6.各向异性磁阻传感器模块（AMR）：传感器可绕法线方向旋转0～90°，磁感应方向为传感器轴线方向，传感器灵敏度约为1mV/V/Gs</w:t>
            </w:r>
            <w:r>
              <w:rPr>
                <w:rFonts w:hint="eastAsia" w:ascii="宋体" w:hAnsi="宋体" w:eastAsia="宋体" w:cs="宋体"/>
                <w:color w:val="auto"/>
                <w:sz w:val="21"/>
                <w:szCs w:val="21"/>
                <w:highlight w:val="none"/>
                <w:lang w:eastAsia="zh-CN"/>
              </w:rPr>
              <w:t>；</w:t>
            </w:r>
          </w:p>
          <w:p w14:paraId="16173B70">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7.巨磁电阻传感器模块（GMR）：磁感应方向为传感器轴线方向，灵敏度约为3mV/V/Gs</w:t>
            </w:r>
            <w:r>
              <w:rPr>
                <w:rFonts w:hint="eastAsia" w:ascii="宋体" w:hAnsi="宋体" w:eastAsia="宋体" w:cs="宋体"/>
                <w:color w:val="auto"/>
                <w:sz w:val="21"/>
                <w:szCs w:val="21"/>
                <w:highlight w:val="none"/>
                <w:lang w:eastAsia="zh-CN"/>
              </w:rPr>
              <w:t>；</w:t>
            </w:r>
          </w:p>
          <w:p w14:paraId="144FF641">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8.隧道磁电阻传感器模块（TMR）：磁感应方向为传感器轴线方向，灵敏度约为5.0mV/V/Gs</w:t>
            </w:r>
            <w:r>
              <w:rPr>
                <w:rFonts w:hint="eastAsia" w:ascii="宋体" w:hAnsi="宋体" w:eastAsia="宋体" w:cs="宋体"/>
                <w:color w:val="auto"/>
                <w:sz w:val="21"/>
                <w:szCs w:val="21"/>
                <w:highlight w:val="none"/>
                <w:lang w:eastAsia="zh-CN"/>
              </w:rPr>
              <w:t>；</w:t>
            </w:r>
          </w:p>
          <w:p w14:paraId="5AA6E8CA">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9.磁性隧道结模块（MTJ）：磁敏感方向沿印制板的轴线方向，结内阻为135KΩ～155kΩ</w:t>
            </w:r>
            <w:r>
              <w:rPr>
                <w:rFonts w:hint="eastAsia" w:ascii="宋体" w:hAnsi="宋体" w:eastAsia="宋体" w:cs="宋体"/>
                <w:color w:val="auto"/>
                <w:sz w:val="21"/>
                <w:szCs w:val="21"/>
                <w:highlight w:val="none"/>
                <w:lang w:eastAsia="zh-CN"/>
              </w:rPr>
              <w:t>；</w:t>
            </w:r>
          </w:p>
          <w:p w14:paraId="503D6AAB">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10.长直螺线管：绕线部分长度300 mm，密度＞10000匝/m，长时间使用时励磁电流≤1.0 A。轴线中心最大磁感应强度＞12.5 mT</w:t>
            </w:r>
            <w:r>
              <w:rPr>
                <w:rFonts w:hint="eastAsia" w:ascii="宋体" w:hAnsi="宋体" w:eastAsia="宋体" w:cs="宋体"/>
                <w:color w:val="auto"/>
                <w:sz w:val="21"/>
                <w:szCs w:val="21"/>
                <w:highlight w:val="none"/>
                <w:lang w:eastAsia="zh-CN"/>
              </w:rPr>
              <w:t>；</w:t>
            </w:r>
          </w:p>
          <w:p w14:paraId="5F32016E">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11.C型电磁铁：磁隙8mm，中心点最大磁感应强度＞220mT，励磁电流≤1.0A</w:t>
            </w:r>
            <w:r>
              <w:rPr>
                <w:rFonts w:hint="eastAsia" w:ascii="宋体" w:hAnsi="宋体" w:eastAsia="宋体" w:cs="宋体"/>
                <w:color w:val="auto"/>
                <w:sz w:val="21"/>
                <w:szCs w:val="21"/>
                <w:highlight w:val="none"/>
                <w:lang w:eastAsia="zh-CN"/>
              </w:rPr>
              <w:t>；</w:t>
            </w:r>
          </w:p>
          <w:p w14:paraId="1C6DB49A">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12.共轴线圈：由两个完全一样的圆线圈组成，单个线圈的匝数为450匝，绕线部分等效半径为100mm。励磁电流≤1.0A，轴线中心最大磁感应强度约为3.35mT</w:t>
            </w:r>
            <w:r>
              <w:rPr>
                <w:rFonts w:hint="eastAsia" w:ascii="宋体" w:hAnsi="宋体" w:eastAsia="宋体" w:cs="宋体"/>
                <w:color w:val="auto"/>
                <w:sz w:val="21"/>
                <w:szCs w:val="21"/>
                <w:highlight w:val="none"/>
                <w:lang w:eastAsia="zh-CN"/>
              </w:rPr>
              <w:t>；</w:t>
            </w:r>
          </w:p>
          <w:p w14:paraId="37B6310B">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13.磁性遂道结特性研究适配器：输入信号范围 ± 200 uA，分辨率分别为0.01uA</w:t>
            </w:r>
            <w:r>
              <w:rPr>
                <w:rFonts w:hint="eastAsia" w:ascii="宋体" w:hAnsi="宋体" w:eastAsia="宋体" w:cs="宋体"/>
                <w:color w:val="auto"/>
                <w:sz w:val="21"/>
                <w:szCs w:val="21"/>
                <w:highlight w:val="none"/>
                <w:lang w:eastAsia="zh-CN"/>
              </w:rPr>
              <w:t>；</w:t>
            </w:r>
          </w:p>
          <w:p w14:paraId="63843634">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14.霍尔传感特性研究适配器：输入信号范围 ±200 mV分辨率分别为0.01mV</w:t>
            </w:r>
            <w:r>
              <w:rPr>
                <w:rFonts w:hint="eastAsia" w:ascii="宋体" w:hAnsi="宋体" w:eastAsia="宋体" w:cs="宋体"/>
                <w:color w:val="auto"/>
                <w:sz w:val="21"/>
                <w:szCs w:val="21"/>
                <w:highlight w:val="none"/>
                <w:lang w:eastAsia="zh-CN"/>
              </w:rPr>
              <w:t>；</w:t>
            </w:r>
          </w:p>
          <w:p w14:paraId="62206678">
            <w:pPr>
              <w:pStyle w:val="3"/>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15.巨磁电阻传感特性研究适配器：输入信号范围 ± 2 V分辨率分别为0.1mV</w:t>
            </w:r>
            <w:r>
              <w:rPr>
                <w:rFonts w:hint="eastAsia" w:ascii="宋体" w:hAnsi="宋体" w:eastAsia="宋体" w:cs="宋体"/>
                <w:color w:val="auto"/>
                <w:sz w:val="21"/>
                <w:szCs w:val="21"/>
                <w:highlight w:val="none"/>
                <w:lang w:eastAsia="zh-CN"/>
              </w:rPr>
              <w:t>；</w:t>
            </w:r>
          </w:p>
          <w:p w14:paraId="2CE2A6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16.霍尔传感特性研究适配器：输入信号范围 ± 2 V分辨率分别为0.1mV。</w:t>
            </w:r>
          </w:p>
        </w:tc>
      </w:tr>
      <w:tr w14:paraId="0CE6D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2D5262A2">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9</w:t>
            </w:r>
          </w:p>
        </w:tc>
        <w:tc>
          <w:tcPr>
            <w:tcW w:w="2121" w:type="dxa"/>
            <w:vAlign w:val="center"/>
          </w:tcPr>
          <w:p w14:paraId="0A785AEE">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物理虚拟仿真实验</w:t>
            </w:r>
          </w:p>
          <w:p w14:paraId="28F4685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（核心产品）</w:t>
            </w:r>
          </w:p>
        </w:tc>
        <w:tc>
          <w:tcPr>
            <w:tcW w:w="627" w:type="dxa"/>
            <w:vAlign w:val="center"/>
          </w:tcPr>
          <w:p w14:paraId="149F89F3">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w:t>
            </w:r>
          </w:p>
        </w:tc>
        <w:tc>
          <w:tcPr>
            <w:tcW w:w="614" w:type="dxa"/>
            <w:vAlign w:val="center"/>
          </w:tcPr>
          <w:p w14:paraId="3329A1DC">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4B48575D">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基于组件的虚拟仿真实验内容（2.5D版）：动态磁滞回线的测量、分光计实验、三线摆法测刚体的转动惯量、椭偏仪测折射率和薄膜厚度、塞曼效应实验、拉曼光谱实验、光强调制法测光速；液体表面张力系数的测定、用转筒法和落球法测液体的粘度实验、密立根油滴实验；</w:t>
            </w:r>
          </w:p>
          <w:p w14:paraId="06954294">
            <w:pPr>
              <w:keepNext w:val="0"/>
              <w:keepLines w:val="0"/>
              <w:widowControl w:val="0"/>
              <w:numPr>
                <w:ilvl w:val="0"/>
                <w:numId w:val="0"/>
              </w:numPr>
              <w:suppressLineNumbers w:val="0"/>
              <w:spacing w:before="0" w:beforeAutospacing="0" w:after="0" w:afterAutospacing="0" w:line="240"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2.基于组件的虚拟仿真实验内容（3D版）：</w:t>
            </w:r>
            <w:r>
              <w:rPr>
                <w:rFonts w:hint="eastAsia" w:ascii="宋体" w:hAnsi="宋体" w:eastAsia="宋体" w:cs="宋体"/>
                <w:iCs/>
                <w:color w:val="auto"/>
                <w:kern w:val="0"/>
                <w:sz w:val="21"/>
                <w:szCs w:val="21"/>
                <w:highlight w:val="none"/>
                <w:lang w:val="en-US" w:eastAsia="zh-CN" w:bidi="ar"/>
              </w:rPr>
              <w:t>拉曼光谱实验；全息实验；</w:t>
            </w:r>
          </w:p>
          <w:p w14:paraId="785ABCC4">
            <w:pPr>
              <w:keepNext w:val="0"/>
              <w:keepLines w:val="0"/>
              <w:widowControl w:val="0"/>
              <w:numPr>
                <w:ilvl w:val="0"/>
                <w:numId w:val="0"/>
              </w:numPr>
              <w:suppressLineNumbers w:val="0"/>
              <w:spacing w:before="0" w:beforeAutospacing="0" w:after="0" w:afterAutospacing="0" w:line="240"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3.光学虚拟仿真实验内容：氦氖激光光束光斑大小和发散角的测量；全息光栅制作技术及特性研究；</w:t>
            </w:r>
          </w:p>
          <w:p w14:paraId="7B75568A">
            <w:pPr>
              <w:keepNext w:val="0"/>
              <w:keepLines w:val="0"/>
              <w:widowControl w:val="0"/>
              <w:numPr>
                <w:ilvl w:val="0"/>
                <w:numId w:val="0"/>
              </w:numPr>
              <w:suppressLineNumbers w:val="0"/>
              <w:spacing w:before="0" w:beforeAutospacing="0" w:after="0" w:afterAutospacing="0" w:line="240" w:lineRule="auto"/>
              <w:ind w:left="0" w:leftChars="0" w:right="0" w:right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4.核物理及原子物理虚拟仿真实验：核磁共振实验；卢瑟福散射；核辐射防护及快速电子动能与动量相对论关系的验证；核磁共振成像技术；</w:t>
            </w:r>
          </w:p>
          <w:p w14:paraId="722A05D9">
            <w:pPr>
              <w:keepNext w:val="0"/>
              <w:keepLines w:val="0"/>
              <w:widowControl w:val="0"/>
              <w:numPr>
                <w:ilvl w:val="0"/>
                <w:numId w:val="0"/>
              </w:numPr>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5.量子仿真系列实验：量子干涉现象探究。</w:t>
            </w:r>
          </w:p>
        </w:tc>
      </w:tr>
      <w:tr w14:paraId="7B4BD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621BCE2A">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10</w:t>
            </w:r>
          </w:p>
        </w:tc>
        <w:tc>
          <w:tcPr>
            <w:tcW w:w="2121" w:type="dxa"/>
            <w:vAlign w:val="center"/>
          </w:tcPr>
          <w:p w14:paraId="511D712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光纤通信综合实验箱</w:t>
            </w:r>
          </w:p>
        </w:tc>
        <w:tc>
          <w:tcPr>
            <w:tcW w:w="627" w:type="dxa"/>
            <w:vAlign w:val="center"/>
          </w:tcPr>
          <w:p w14:paraId="2FF9B749">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p>
        </w:tc>
        <w:tc>
          <w:tcPr>
            <w:tcW w:w="614" w:type="dxa"/>
            <w:vAlign w:val="center"/>
          </w:tcPr>
          <w:p w14:paraId="6A76623B">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756DA2F8">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配有一套1310nm一体化光端机，标配一套1550nm激光器和光探测器组成的光收发模块；</w:t>
            </w:r>
          </w:p>
          <w:p w14:paraId="660FACE8">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配有数字光收发模块和模拟光收发模块；配有单模光纤传输模块，有多模光纤传输模块；平台有完整的光通信码型变换功能，系统具备信源至电通路、电通路至光端机、光端机至光通路自由组合联线功能；</w:t>
            </w:r>
          </w:p>
          <w:p w14:paraId="1A4C676D">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内置有网络接口、USB接口、视频接口、两个电话接口、PDH接口、误码测试模块，提供SDH配套教学软件</w:t>
            </w:r>
            <w:r>
              <w:rPr>
                <w:rFonts w:hint="eastAsia" w:ascii="宋体" w:hAnsi="宋体" w:eastAsia="宋体" w:cs="宋体"/>
                <w:color w:val="auto"/>
                <w:sz w:val="21"/>
                <w:szCs w:val="21"/>
                <w:highlight w:val="none"/>
                <w:lang w:eastAsia="zh-CN"/>
              </w:rPr>
              <w:t>；</w:t>
            </w:r>
          </w:p>
          <w:p w14:paraId="2BD6C96F">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4.支持</w:t>
            </w:r>
            <w:r>
              <w:rPr>
                <w:rFonts w:hint="eastAsia" w:ascii="宋体" w:hAnsi="宋体" w:eastAsia="宋体" w:cs="宋体"/>
                <w:color w:val="auto"/>
                <w:sz w:val="21"/>
                <w:szCs w:val="21"/>
                <w:highlight w:val="none"/>
              </w:rPr>
              <w:t>实验项目：无光告警、自动光功率控制APC、消光比测试、PII曲线测试、平均发光功率测试、光端机接收灵敏度测试、光器件性能测试、光通信系统、光传输PDH时隙配置和SDH组帧、帧结构解析、帧定位帧开销等实验。</w:t>
            </w:r>
          </w:p>
        </w:tc>
      </w:tr>
      <w:tr w14:paraId="5417E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4FE7678">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11</w:t>
            </w:r>
          </w:p>
        </w:tc>
        <w:tc>
          <w:tcPr>
            <w:tcW w:w="2121" w:type="dxa"/>
            <w:vAlign w:val="center"/>
          </w:tcPr>
          <w:p w14:paraId="70A1D180">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光电模拟电路实验箱</w:t>
            </w:r>
          </w:p>
        </w:tc>
        <w:tc>
          <w:tcPr>
            <w:tcW w:w="627" w:type="dxa"/>
            <w:vAlign w:val="center"/>
          </w:tcPr>
          <w:p w14:paraId="56E7B6C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5</w:t>
            </w:r>
          </w:p>
        </w:tc>
        <w:tc>
          <w:tcPr>
            <w:tcW w:w="614" w:type="dxa"/>
            <w:vAlign w:val="center"/>
          </w:tcPr>
          <w:p w14:paraId="4EFB7C50">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3B0AE6E9">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1.实验平台采用主板加模块结构，每个模块上标有电路原理图，便于了解电路组成及工作原理；</w:t>
            </w:r>
          </w:p>
          <w:p w14:paraId="6E2CD885">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2.各单元器件由锁紧式插孔将引线引出，可按照各实验项目搭建电路；</w:t>
            </w:r>
          </w:p>
          <w:p w14:paraId="54BB6932">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3.配套基于浏览器的实验电路仿真软件，学生能在客户端进行工作点调整、信号源参数配置、输出信号测试等实验预习；</w:t>
            </w:r>
          </w:p>
          <w:p w14:paraId="3E1315E5">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4.配套模拟电路综合仪表模块，模块内置TFT彩色触摸液晶显示屏，能产生：DDS信号源、可编程直流电压、可编程衰减信号，并能实现晶体管测试仪功能。</w:t>
            </w:r>
          </w:p>
        </w:tc>
      </w:tr>
      <w:tr w14:paraId="2D2B1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43873A0D">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12</w:t>
            </w:r>
          </w:p>
        </w:tc>
        <w:tc>
          <w:tcPr>
            <w:tcW w:w="2121" w:type="dxa"/>
            <w:vAlign w:val="center"/>
          </w:tcPr>
          <w:p w14:paraId="7CA9F3F1">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通信系统综合实验箱</w:t>
            </w:r>
          </w:p>
        </w:tc>
        <w:tc>
          <w:tcPr>
            <w:tcW w:w="627" w:type="dxa"/>
            <w:vAlign w:val="center"/>
          </w:tcPr>
          <w:p w14:paraId="1F36295C">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p>
        </w:tc>
        <w:tc>
          <w:tcPr>
            <w:tcW w:w="614" w:type="dxa"/>
            <w:vAlign w:val="center"/>
          </w:tcPr>
          <w:p w14:paraId="2FAA3602">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110A68AD">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平台具备通信工程类学生完成通信原理实验、通信系统实验、创新开发实验、实验考核等功能，实验平台能进行虚拟实体仿真操作实验、现场操作实验、远程网络操控实体实验、动态加载二次开发实验等多种实验手段；</w:t>
            </w:r>
          </w:p>
          <w:p w14:paraId="5EA3625B">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2.TFT液品框图显示；</w:t>
            </w:r>
          </w:p>
          <w:p w14:paraId="14971163">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3.支持Linux+QT人机对话；</w:t>
            </w:r>
          </w:p>
          <w:p w14:paraId="3CDF3D35">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4.支持APP缺省参数恢复；</w:t>
            </w:r>
          </w:p>
          <w:p w14:paraId="169C2CFA">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5.频带载频连续可调；</w:t>
            </w:r>
          </w:p>
          <w:p w14:paraId="1CE94E66">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6.配备全功能误码仪；</w:t>
            </w:r>
          </w:p>
          <w:p w14:paraId="6BC691AF">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7.支持APP故障设置(实验考核)；</w:t>
            </w:r>
          </w:p>
          <w:p w14:paraId="0CD51738">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bCs/>
                <w:color w:val="auto"/>
                <w:kern w:val="2"/>
                <w:sz w:val="21"/>
                <w:szCs w:val="21"/>
                <w:highlight w:val="none"/>
                <w:lang w:val="en-US" w:eastAsia="zh-CN" w:bidi="ar"/>
              </w:rPr>
            </w:pPr>
            <w:r>
              <w:rPr>
                <w:rFonts w:hint="eastAsia" w:ascii="宋体" w:hAnsi="宋体" w:eastAsia="宋体" w:cs="宋体"/>
                <w:bCs/>
                <w:color w:val="auto"/>
                <w:kern w:val="2"/>
                <w:sz w:val="21"/>
                <w:szCs w:val="21"/>
                <w:highlight w:val="none"/>
                <w:lang w:val="en-US" w:eastAsia="zh-CN" w:bidi="ar"/>
              </w:rPr>
              <w:t>8.支持同络远程固件升级；</w:t>
            </w:r>
          </w:p>
          <w:p w14:paraId="0926E6EA">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9.硬件资源全开放，所有实验均能二次开发。</w:t>
            </w:r>
          </w:p>
        </w:tc>
      </w:tr>
      <w:tr w14:paraId="62395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F9EA3AD">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13</w:t>
            </w:r>
          </w:p>
        </w:tc>
        <w:tc>
          <w:tcPr>
            <w:tcW w:w="2121" w:type="dxa"/>
            <w:vAlign w:val="center"/>
          </w:tcPr>
          <w:p w14:paraId="1D74B91D">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固体激光原理与技术综合实验仪</w:t>
            </w:r>
          </w:p>
        </w:tc>
        <w:tc>
          <w:tcPr>
            <w:tcW w:w="627" w:type="dxa"/>
            <w:vAlign w:val="center"/>
          </w:tcPr>
          <w:p w14:paraId="2525D078">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p>
        </w:tc>
        <w:tc>
          <w:tcPr>
            <w:tcW w:w="614" w:type="dxa"/>
            <w:vAlign w:val="center"/>
          </w:tcPr>
          <w:p w14:paraId="2EA9E285">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4A65DA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
                <w:bCs w:val="0"/>
                <w:color w:val="auto"/>
                <w:kern w:val="2"/>
                <w:sz w:val="21"/>
                <w:szCs w:val="21"/>
                <w:highlight w:val="none"/>
              </w:rPr>
            </w:pPr>
            <w:r>
              <w:rPr>
                <w:rFonts w:hint="eastAsia" w:ascii="宋体" w:hAnsi="宋体" w:eastAsia="宋体" w:cs="宋体"/>
                <w:b/>
                <w:bCs w:val="0"/>
                <w:color w:val="auto"/>
                <w:kern w:val="2"/>
                <w:sz w:val="21"/>
                <w:szCs w:val="21"/>
                <w:highlight w:val="none"/>
                <w:lang w:val="en-US" w:eastAsia="zh-CN" w:bidi="ar"/>
              </w:rPr>
              <w:t>一、实验内容：</w:t>
            </w:r>
          </w:p>
          <w:p w14:paraId="0897F1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1.808nm 半导体泵浦光源的 I-P 曲线测量及阈值研究；</w:t>
            </w:r>
          </w:p>
          <w:p w14:paraId="659AF6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2.1064nm 固体激光谐振腔设计与调整；</w:t>
            </w:r>
          </w:p>
          <w:p w14:paraId="1A4132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3.1064nm 固体激光输出模式调整及变化研究；</w:t>
            </w:r>
          </w:p>
          <w:p w14:paraId="03AAAA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4.1064nm 固体激光输出功率测量及斜效率曲线研究；</w:t>
            </w:r>
          </w:p>
          <w:p w14:paraId="31B38F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5.固体激光腔内倍频 532nm 调整观察，匹配角与倍频效率关系研究；</w:t>
            </w:r>
          </w:p>
          <w:p w14:paraId="16C566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6.固体激光腔内被动调 Q 搭建；</w:t>
            </w:r>
          </w:p>
          <w:p w14:paraId="0476D95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7.调 Q 脉冲输出重频、脉宽测量以及变化规律研究。</w:t>
            </w:r>
          </w:p>
        </w:tc>
      </w:tr>
      <w:tr w14:paraId="3796B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0B1CB2E">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14</w:t>
            </w:r>
          </w:p>
        </w:tc>
        <w:tc>
          <w:tcPr>
            <w:tcW w:w="2121" w:type="dxa"/>
            <w:vAlign w:val="center"/>
          </w:tcPr>
          <w:p w14:paraId="2EDF866B">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掺铒光纤放大器工作特性与参数测量实验仪</w:t>
            </w:r>
          </w:p>
        </w:tc>
        <w:tc>
          <w:tcPr>
            <w:tcW w:w="627" w:type="dxa"/>
            <w:vAlign w:val="center"/>
          </w:tcPr>
          <w:p w14:paraId="6D2F7A69">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p>
        </w:tc>
        <w:tc>
          <w:tcPr>
            <w:tcW w:w="614" w:type="dxa"/>
            <w:vAlign w:val="center"/>
          </w:tcPr>
          <w:p w14:paraId="6B0BCA5B">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套</w:t>
            </w:r>
          </w:p>
        </w:tc>
        <w:tc>
          <w:tcPr>
            <w:tcW w:w="6039" w:type="dxa"/>
            <w:vAlign w:val="center"/>
          </w:tcPr>
          <w:p w14:paraId="60B2A7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1.EDFA 主机：工作波长1550nm，最大输出功率：17dBM，输入功率：-40dbm—0dbm,接口FC/APC；</w:t>
            </w:r>
          </w:p>
          <w:p w14:paraId="3B0901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2.激光光源：波长：1550nmDFB，单模光纤端口：FC/PC，功率连续可调，最高功率约2mW；</w:t>
            </w:r>
          </w:p>
          <w:p w14:paraId="00B45B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3.光功率计：双通道测量端口，光纤接口FC，标定波长：850、980、1310、1490、1550、1625nm，可测功率范围：-50到17dbm，dbm与mW可同时显示；</w:t>
            </w:r>
          </w:p>
          <w:p w14:paraId="02CE32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4.隔离器峰值隔离度：＞38dB；</w:t>
            </w:r>
          </w:p>
          <w:p w14:paraId="295FAE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5.光可变衰减器,衰减范围：0-40dB，稳定性：+/-0.1dB；</w:t>
            </w:r>
          </w:p>
          <w:p w14:paraId="027E70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6.光纤跳线：1m FC/PC FC/APC；</w:t>
            </w:r>
          </w:p>
          <w:p w14:paraId="250ED9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7.精密机械调整架：角度精度：±4′，分辨率：0.005mm，调节机构保证等双轴等高，横向偏差：1′，纵向偏差：1′；</w:t>
            </w:r>
          </w:p>
          <w:p w14:paraId="626A33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bCs/>
                <w:color w:val="auto"/>
                <w:kern w:val="2"/>
                <w:sz w:val="21"/>
                <w:szCs w:val="21"/>
                <w:highlight w:val="none"/>
                <w:lang w:val="en-US" w:eastAsia="zh-CN" w:bidi="ar"/>
              </w:rPr>
              <w:t>8.光学元件：BK7 A级精密退火材料，焦距：±2%，直径：-0.2mm，中心偏差：3′，光圈：1-5；局部误差：0.2-0.5，面粗糙度：60/40（Scratch/Dig），氟化镁增透膜镀膜，有效孔径：90%。</w:t>
            </w:r>
          </w:p>
        </w:tc>
      </w:tr>
    </w:tbl>
    <w:p w14:paraId="15D08882">
      <w:pPr>
        <w:adjustRightInd w:val="0"/>
        <w:snapToGrid w:val="0"/>
        <w:spacing w:line="288" w:lineRule="auto"/>
        <w:rPr>
          <w:rFonts w:cs="Times New Roman"/>
          <w:b/>
          <w:bCs/>
          <w:color w:val="auto"/>
          <w:sz w:val="21"/>
          <w:szCs w:val="21"/>
          <w:highlight w:val="none"/>
        </w:rPr>
      </w:pPr>
    </w:p>
    <w:p w14:paraId="6A5767CA">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2582A30B">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14:paraId="029BFC90">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21B8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12ACD8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14:paraId="04C807A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14:paraId="71DC86D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14:paraId="01394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B02DCB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14:paraId="11BF2DB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14:paraId="7EDB483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杭州电子科技大学物理虚拟仿真实验及仪器采购</w:t>
            </w:r>
            <w:r>
              <w:rPr>
                <w:rFonts w:hint="eastAsia"/>
                <w:color w:val="auto"/>
                <w:sz w:val="21"/>
                <w:szCs w:val="21"/>
                <w:highlight w:val="none"/>
              </w:rPr>
              <w:t>的磋商、评审、成交、验收、合同履约、付款等（法律、法规另有规定的，从其规定）。</w:t>
            </w:r>
          </w:p>
        </w:tc>
      </w:tr>
      <w:tr w14:paraId="07209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809B823">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14:paraId="53F25D3A">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14:paraId="18B2746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14:paraId="3A9F1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D1654B4">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14:paraId="09474420">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14:paraId="64B28D4D">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▲1</w:t>
            </w:r>
            <w:r>
              <w:rPr>
                <w:rFonts w:hint="default"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p>
          <w:p w14:paraId="10416B6F">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2</w:t>
            </w:r>
            <w:r>
              <w:rPr>
                <w:rFonts w:hint="eastAsia" w:cstheme="minorBidi"/>
                <w:color w:val="auto"/>
                <w:sz w:val="21"/>
                <w:szCs w:val="21"/>
                <w:highlight w:val="none"/>
              </w:rPr>
              <w:t>.</w:t>
            </w:r>
            <w:r>
              <w:rPr>
                <w:rFonts w:hint="default"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hint="default" w:cstheme="minorBidi"/>
                <w:color w:val="auto"/>
                <w:sz w:val="21"/>
                <w:szCs w:val="21"/>
                <w:highlight w:val="none"/>
              </w:rPr>
              <w:t>，须提供</w:t>
            </w:r>
            <w:r>
              <w:rPr>
                <w:rFonts w:hint="default" w:cstheme="minorBidi"/>
                <w:bCs/>
                <w:color w:val="auto"/>
                <w:sz w:val="21"/>
                <w:szCs w:val="21"/>
                <w:highlight w:val="none"/>
              </w:rPr>
              <w:t>授权</w:t>
            </w:r>
            <w:r>
              <w:rPr>
                <w:rFonts w:hint="eastAsia" w:cstheme="minorBidi"/>
                <w:bCs/>
                <w:color w:val="auto"/>
                <w:sz w:val="21"/>
                <w:szCs w:val="21"/>
                <w:highlight w:val="none"/>
              </w:rPr>
              <w:t>委托</w:t>
            </w:r>
            <w:r>
              <w:rPr>
                <w:rFonts w:hint="default" w:cstheme="minorBidi"/>
                <w:bCs/>
                <w:color w:val="auto"/>
                <w:sz w:val="21"/>
                <w:szCs w:val="21"/>
                <w:highlight w:val="none"/>
              </w:rPr>
              <w:t>书</w:t>
            </w:r>
            <w:r>
              <w:rPr>
                <w:rFonts w:hint="eastAsia" w:cstheme="minorBidi"/>
                <w:color w:val="auto"/>
                <w:sz w:val="21"/>
                <w:szCs w:val="21"/>
                <w:highlight w:val="none"/>
              </w:rPr>
              <w:t>（格式详见磋商文件第六章）和授权代表社保缴纳证明（</w:t>
            </w:r>
            <w:r>
              <w:rPr>
                <w:rFonts w:hint="eastAsia" w:cstheme="minorBidi"/>
                <w:color w:val="auto"/>
                <w:sz w:val="21"/>
                <w:szCs w:val="21"/>
                <w:highlight w:val="none"/>
                <w:lang w:eastAsia="zh-CN"/>
              </w:rPr>
              <w:t>2024年1月（含）</w:t>
            </w:r>
            <w:r>
              <w:rPr>
                <w:rFonts w:hint="default" w:cstheme="minorBidi"/>
                <w:color w:val="auto"/>
                <w:sz w:val="21"/>
                <w:szCs w:val="21"/>
                <w:highlight w:val="none"/>
              </w:rPr>
              <w:t>以后任意一月）；</w:t>
            </w:r>
          </w:p>
          <w:p w14:paraId="1796ABF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14:paraId="2B3AD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B1209F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14:paraId="2E95DFA7">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14:paraId="675B49D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14:paraId="7AE8BE4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4E7AE8D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32587BEF">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33"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代理服务费收费标准（差额累进）：</w:t>
            </w:r>
          </w:p>
          <w:tbl>
            <w:tblPr>
              <w:tblStyle w:val="14"/>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0147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517" w:type="dxa"/>
                  <w:vAlign w:val="center"/>
                </w:tcPr>
                <w:p w14:paraId="43FCB65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14:paraId="2F84E9D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14:paraId="088F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517" w:type="dxa"/>
                  <w:vAlign w:val="center"/>
                </w:tcPr>
                <w:p w14:paraId="63E0D1D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14:paraId="09C964F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tr w14:paraId="75793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4862FC9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100-500</w:t>
                  </w:r>
                </w:p>
              </w:tc>
              <w:tc>
                <w:tcPr>
                  <w:tcW w:w="2338" w:type="dxa"/>
                  <w:vAlign w:val="center"/>
                </w:tcPr>
                <w:p w14:paraId="416E9708">
                  <w:pPr>
                    <w:keepNext w:val="0"/>
                    <w:keepLines w:val="0"/>
                    <w:suppressLineNumbers w:val="0"/>
                    <w:adjustRightInd w:val="0"/>
                    <w:snapToGrid w:val="0"/>
                    <w:spacing w:before="0" w:beforeAutospacing="0" w:after="0" w:afterAutospacing="0" w:line="288" w:lineRule="auto"/>
                    <w:ind w:left="0" w:right="0"/>
                    <w:jc w:val="center"/>
                    <w:rPr>
                      <w:rFonts w:hint="default" w:eastAsia="宋体"/>
                      <w:color w:val="auto"/>
                      <w:kern w:val="0"/>
                      <w:sz w:val="21"/>
                      <w:szCs w:val="21"/>
                      <w:highlight w:val="none"/>
                      <w:lang w:val="en-US" w:eastAsia="zh-CN"/>
                    </w:rPr>
                  </w:pPr>
                  <w:r>
                    <w:rPr>
                      <w:rFonts w:hint="eastAsia"/>
                      <w:color w:val="auto"/>
                      <w:kern w:val="0"/>
                      <w:sz w:val="21"/>
                      <w:szCs w:val="21"/>
                      <w:highlight w:val="none"/>
                      <w:lang w:val="en-US" w:eastAsia="zh-CN"/>
                    </w:rPr>
                    <w:t>0.77</w:t>
                  </w:r>
                </w:p>
              </w:tc>
            </w:tr>
            <w:bookmarkEnd w:id="33"/>
          </w:tbl>
          <w:p w14:paraId="0FCCA21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r w14:paraId="71A95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1D79EA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14:paraId="1D34FF6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14:paraId="1C1B067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14:paraId="6F9C5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1FFE8C5">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14:paraId="6335B16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14:paraId="31BDDD99">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本项目（是）接受联合体响应。</w:t>
            </w:r>
          </w:p>
        </w:tc>
      </w:tr>
      <w:tr w14:paraId="717E6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3250D6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14:paraId="47B64E3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14:paraId="1D8705EF">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1.本项目不允许转包；</w:t>
            </w:r>
          </w:p>
          <w:p w14:paraId="518D60B4">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rFonts w:hint="default"/>
                <w:color w:val="auto"/>
                <w:sz w:val="21"/>
                <w:szCs w:val="21"/>
                <w:highlight w:val="none"/>
              </w:rPr>
              <w:t>可以分包履行的（非主体、非关键性的工作）具体内容、金额或者比例：</w:t>
            </w:r>
            <w:r>
              <w:rPr>
                <w:rFonts w:hint="eastAsia"/>
                <w:color w:val="auto"/>
                <w:sz w:val="21"/>
                <w:szCs w:val="21"/>
                <w:highlight w:val="none"/>
                <w:u w:val="single"/>
                <w:lang w:val="en-US" w:eastAsia="zh-CN"/>
              </w:rPr>
              <w:t>货物运输</w:t>
            </w:r>
            <w:r>
              <w:rPr>
                <w:rFonts w:hint="default"/>
                <w:color w:val="auto"/>
                <w:sz w:val="21"/>
                <w:szCs w:val="21"/>
                <w:highlight w:val="none"/>
                <w:u w:val="single"/>
              </w:rPr>
              <w:t>。</w:t>
            </w:r>
          </w:p>
          <w:p w14:paraId="0DE1D482">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tc>
      </w:tr>
      <w:tr w14:paraId="7461B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0E5BC3">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14:paraId="5C0C708A">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14:paraId="4953FADE">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4"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14:paraId="6F0EB31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14:paraId="77DC973B">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047472BB">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4"/>
          </w:p>
        </w:tc>
      </w:tr>
      <w:tr w14:paraId="13D6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EEA2B1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14:paraId="0719A2F5">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14:paraId="13744E82">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14:paraId="21295F6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14:paraId="41EA8EAC">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14:paraId="63ABB3D1">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w:t>
            </w:r>
          </w:p>
          <w:p w14:paraId="0D43A0C4">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highlight w:val="none"/>
              </w:rPr>
            </w:pPr>
            <w:r>
              <w:rPr>
                <w:rFonts w:hint="eastAsia" w:cs="Times New Roman"/>
                <w:color w:val="auto"/>
                <w:sz w:val="21"/>
                <w:szCs w:val="21"/>
                <w:highlight w:val="none"/>
              </w:rPr>
              <w:t>中小企业声明函（若属于中小企业）</w:t>
            </w:r>
          </w:p>
          <w:p w14:paraId="3C9CEE39">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highlight w:val="none"/>
              </w:rPr>
            </w:pPr>
            <w:r>
              <w:rPr>
                <w:rFonts w:hint="eastAsia" w:cs="Times New Roman"/>
                <w:color w:val="auto"/>
                <w:sz w:val="21"/>
                <w:szCs w:val="21"/>
                <w:highlight w:val="none"/>
              </w:rPr>
              <w:t>属于监狱企业的证明文件（若属于监狱企业）</w:t>
            </w:r>
          </w:p>
          <w:p w14:paraId="4CAD10D8">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highlight w:val="none"/>
              </w:rPr>
            </w:pPr>
            <w:r>
              <w:rPr>
                <w:rFonts w:hint="eastAsia" w:cs="Times New Roman"/>
                <w:color w:val="auto"/>
                <w:sz w:val="21"/>
                <w:szCs w:val="21"/>
                <w:highlight w:val="none"/>
              </w:rPr>
              <w:t>残疾人福利性单位声明函（若属于残疾人福利性单位）</w:t>
            </w:r>
          </w:p>
          <w:p w14:paraId="76FF8579">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联合协议、分包意向协议（如有）</w:t>
            </w:r>
          </w:p>
          <w:p w14:paraId="2983EAF9">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证明材料：无</w:t>
            </w:r>
          </w:p>
        </w:tc>
      </w:tr>
      <w:tr w14:paraId="35742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C871CC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14:paraId="0EC6097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14:paraId="406B7AE9">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14:paraId="3B80873D">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14:paraId="1C73B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7F33A09">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14:paraId="719AA6AD">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14:paraId="609D9694">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14:paraId="17515DE1">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.本次磋商采用人民币报价；</w:t>
            </w:r>
          </w:p>
          <w:p w14:paraId="39B5883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14:paraId="1967806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w:t>
            </w:r>
            <w:r>
              <w:rPr>
                <w:rFonts w:hint="eastAsia"/>
                <w:color w:val="auto"/>
                <w:sz w:val="21"/>
                <w:szCs w:val="21"/>
                <w:highlight w:val="none"/>
              </w:rPr>
              <w:t>采购人将以合同形式有偿取得货物、工程和服务，不接受供应商给予的赠品、回扣或者与采购无关的其他商品、服务</w:t>
            </w:r>
            <w:r>
              <w:rPr>
                <w:rFonts w:hint="default"/>
                <w:color w:val="auto"/>
                <w:sz w:val="21"/>
                <w:szCs w:val="21"/>
                <w:highlight w:val="none"/>
              </w:rPr>
              <w:t>。</w:t>
            </w:r>
          </w:p>
        </w:tc>
      </w:tr>
      <w:tr w14:paraId="77038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D914D9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14:paraId="71C0E135">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14:paraId="5C762E0C">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14:paraId="3B7B7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2F27D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14:paraId="6797B6FC">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14:paraId="28D64F81">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14:paraId="496FC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E4DF9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14:paraId="716DF38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14:paraId="212939B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14:paraId="5A5E0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BAC03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14:paraId="57C50E70">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14:paraId="17B1281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14:paraId="3BF54D98">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2BED3768">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14:paraId="4AC081F4">
      <w:pPr>
        <w:adjustRightInd w:val="0"/>
        <w:snapToGrid w:val="0"/>
        <w:spacing w:line="288" w:lineRule="auto"/>
        <w:ind w:firstLine="420" w:firstLineChars="200"/>
        <w:rPr>
          <w:color w:val="auto"/>
          <w:sz w:val="21"/>
          <w:szCs w:val="21"/>
          <w:highlight w:val="none"/>
        </w:rPr>
      </w:pPr>
      <w:bookmarkStart w:id="35" w:name="_Hlk97039780"/>
      <w:r>
        <w:rPr>
          <w:rFonts w:hint="eastAsia"/>
          <w:color w:val="auto"/>
          <w:sz w:val="21"/>
          <w:szCs w:val="21"/>
          <w:highlight w:val="none"/>
        </w:rPr>
        <w:t>供应商应仔细阅读磋商文件的所有内容，按照磋商文件的要求提交响应文件，并对所提供的全部资料的真实性承担法律责任。</w:t>
      </w:r>
    </w:p>
    <w:bookmarkEnd w:id="35"/>
    <w:p w14:paraId="62CB04E6">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14:paraId="438B657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杭州电子科技大学物理虚拟仿真实验及仪器采购</w:t>
      </w:r>
      <w:r>
        <w:rPr>
          <w:rFonts w:hint="eastAsia"/>
          <w:color w:val="auto"/>
          <w:sz w:val="21"/>
          <w:szCs w:val="21"/>
          <w:highlight w:val="none"/>
        </w:rPr>
        <w:t>的磋商、评审、成交、验收、合同履约、付款等（法律、法规另有规定的，从其规定）。</w:t>
      </w:r>
    </w:p>
    <w:p w14:paraId="18ACAB37">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14:paraId="6D7FB83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14:paraId="3A8D9A3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14:paraId="3462B20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14:paraId="05B9508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14:paraId="7557D3B3">
      <w:pPr>
        <w:adjustRightInd w:val="0"/>
        <w:snapToGrid w:val="0"/>
        <w:spacing w:line="288" w:lineRule="auto"/>
        <w:ind w:firstLine="420" w:firstLineChars="200"/>
        <w:rPr>
          <w:rFonts w:cs="Times New Roman"/>
          <w:color w:val="auto"/>
          <w:sz w:val="21"/>
          <w:szCs w:val="21"/>
          <w:highlight w:val="none"/>
        </w:rPr>
      </w:pPr>
      <w:bookmarkStart w:id="36"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14:paraId="20D8ACD5">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bookmarkEnd w:id="36"/>
    <w:p w14:paraId="36018EDA">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14:paraId="6E3DC995">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14:paraId="350536C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14:paraId="63A9EB9C">
      <w:pPr>
        <w:adjustRightInd w:val="0"/>
        <w:snapToGrid w:val="0"/>
        <w:spacing w:line="288" w:lineRule="auto"/>
        <w:rPr>
          <w:b/>
          <w:bCs/>
          <w:color w:val="auto"/>
          <w:sz w:val="21"/>
          <w:szCs w:val="21"/>
          <w:highlight w:val="none"/>
        </w:rPr>
      </w:pPr>
      <w:r>
        <w:rPr>
          <w:rFonts w:hint="eastAsia"/>
          <w:b/>
          <w:bCs/>
          <w:color w:val="auto"/>
          <w:sz w:val="21"/>
          <w:szCs w:val="21"/>
          <w:highlight w:val="none"/>
        </w:rPr>
        <w:t>（四）竞争性磋商委托</w:t>
      </w:r>
    </w:p>
    <w:p w14:paraId="46FDDA3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p>
    <w:p w14:paraId="21E22BE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2.供应商代表不是法定代表人（单位负责人、自然人本人）的，须提供授权委托书（格式详见磋商文件第六章）</w:t>
      </w:r>
      <w:r>
        <w:rPr>
          <w:rFonts w:hint="eastAsia"/>
          <w:color w:val="auto"/>
          <w:sz w:val="21"/>
          <w:szCs w:val="21"/>
          <w:highlight w:val="none"/>
        </w:rPr>
        <w:t>和授权代表社保缴纳证明（</w:t>
      </w:r>
      <w:r>
        <w:rPr>
          <w:rFonts w:hint="eastAsia"/>
          <w:color w:val="auto"/>
          <w:sz w:val="21"/>
          <w:szCs w:val="21"/>
          <w:highlight w:val="none"/>
          <w:lang w:eastAsia="zh-CN"/>
        </w:rPr>
        <w:t>2024年1月（含）</w:t>
      </w:r>
      <w:r>
        <w:rPr>
          <w:color w:val="auto"/>
          <w:sz w:val="21"/>
          <w:szCs w:val="21"/>
          <w:highlight w:val="none"/>
        </w:rPr>
        <w:t>以后任意一月）；</w:t>
      </w:r>
    </w:p>
    <w:p w14:paraId="66FCDA6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14:paraId="205432E7">
      <w:pPr>
        <w:adjustRightInd w:val="0"/>
        <w:snapToGrid w:val="0"/>
        <w:spacing w:line="288" w:lineRule="auto"/>
        <w:rPr>
          <w:b/>
          <w:bCs/>
          <w:color w:val="auto"/>
          <w:sz w:val="21"/>
          <w:szCs w:val="21"/>
          <w:highlight w:val="none"/>
        </w:rPr>
      </w:pPr>
      <w:r>
        <w:rPr>
          <w:rFonts w:hint="eastAsia"/>
          <w:b/>
          <w:bCs/>
          <w:color w:val="auto"/>
          <w:sz w:val="21"/>
          <w:szCs w:val="21"/>
          <w:highlight w:val="none"/>
        </w:rPr>
        <w:t>（五）磋商费用</w:t>
      </w:r>
    </w:p>
    <w:p w14:paraId="7216059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14:paraId="2B01952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0194147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6492939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4"/>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4D912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3767C1F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14:paraId="69C54BA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14:paraId="0E6BC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73A53B4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14:paraId="7102802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tr w14:paraId="230B7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5DCC0EB5">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100-500</w:t>
            </w:r>
          </w:p>
        </w:tc>
        <w:tc>
          <w:tcPr>
            <w:tcW w:w="2338" w:type="dxa"/>
            <w:vAlign w:val="center"/>
          </w:tcPr>
          <w:p w14:paraId="7509E47A">
            <w:pPr>
              <w:keepNext w:val="0"/>
              <w:keepLines w:val="0"/>
              <w:suppressLineNumbers w:val="0"/>
              <w:adjustRightInd w:val="0"/>
              <w:snapToGrid w:val="0"/>
              <w:spacing w:before="0" w:beforeAutospacing="0" w:after="0" w:afterAutospacing="0" w:line="288" w:lineRule="auto"/>
              <w:ind w:left="0" w:right="0"/>
              <w:jc w:val="center"/>
              <w:rPr>
                <w:rFonts w:hint="default" w:eastAsia="宋体"/>
                <w:color w:val="auto"/>
                <w:kern w:val="0"/>
                <w:sz w:val="21"/>
                <w:szCs w:val="21"/>
                <w:highlight w:val="none"/>
                <w:lang w:val="en-US" w:eastAsia="zh-CN"/>
              </w:rPr>
            </w:pPr>
            <w:r>
              <w:rPr>
                <w:rFonts w:hint="eastAsia"/>
                <w:color w:val="auto"/>
                <w:kern w:val="0"/>
                <w:sz w:val="21"/>
                <w:szCs w:val="21"/>
                <w:highlight w:val="none"/>
                <w:lang w:val="en-US" w:eastAsia="zh-CN"/>
              </w:rPr>
              <w:t>0.77</w:t>
            </w:r>
          </w:p>
        </w:tc>
      </w:tr>
    </w:tbl>
    <w:p w14:paraId="100F909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14:paraId="02800559">
      <w:pPr>
        <w:adjustRightInd w:val="0"/>
        <w:snapToGrid w:val="0"/>
        <w:spacing w:line="288" w:lineRule="auto"/>
        <w:rPr>
          <w:b/>
          <w:bCs/>
          <w:color w:val="auto"/>
          <w:sz w:val="21"/>
          <w:szCs w:val="21"/>
          <w:highlight w:val="none"/>
        </w:rPr>
      </w:pPr>
      <w:r>
        <w:rPr>
          <w:rFonts w:hint="eastAsia"/>
          <w:b/>
          <w:bCs/>
          <w:color w:val="auto"/>
          <w:sz w:val="21"/>
          <w:szCs w:val="21"/>
          <w:highlight w:val="none"/>
        </w:rPr>
        <w:t>（六）联合体响应</w:t>
      </w:r>
    </w:p>
    <w:p w14:paraId="235BD02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本项目（是）接受联合体响应。</w:t>
      </w:r>
    </w:p>
    <w:p w14:paraId="2D28ACBE">
      <w:pPr>
        <w:spacing w:line="288" w:lineRule="auto"/>
        <w:ind w:firstLine="420" w:firstLineChars="200"/>
        <w:rPr>
          <w:rFonts w:cs="Times New Roman"/>
          <w:color w:val="auto"/>
          <w:sz w:val="21"/>
          <w:szCs w:val="22"/>
          <w:highlight w:val="none"/>
        </w:rPr>
      </w:pPr>
      <w:bookmarkStart w:id="37" w:name="_Hlk104288918"/>
      <w:r>
        <w:rPr>
          <w:rFonts w:hint="eastAsia" w:cs="Times New Roman"/>
          <w:color w:val="auto"/>
          <w:sz w:val="21"/>
          <w:szCs w:val="22"/>
          <w:highlight w:val="none"/>
        </w:rPr>
        <w:t>两个以上的自然人、法人或者其他组织可以组成一个联合体，以一个供应商的身份共同参加政府采购。</w:t>
      </w:r>
    </w:p>
    <w:p w14:paraId="2DF43B5F">
      <w:pPr>
        <w:adjustRightInd w:val="0"/>
        <w:snapToGrid w:val="0"/>
        <w:spacing w:line="288" w:lineRule="auto"/>
        <w:ind w:firstLine="420" w:firstLineChars="200"/>
        <w:rPr>
          <w:color w:val="auto"/>
          <w:sz w:val="21"/>
          <w:szCs w:val="21"/>
          <w:highlight w:val="none"/>
        </w:rPr>
      </w:pPr>
      <w:r>
        <w:rPr>
          <w:rFonts w:hint="eastAsia" w:cs="Times New Roman"/>
          <w:color w:val="auto"/>
          <w:sz w:val="21"/>
          <w:szCs w:val="22"/>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7"/>
    </w:p>
    <w:p w14:paraId="78EF89CB">
      <w:pPr>
        <w:adjustRightInd w:val="0"/>
        <w:snapToGrid w:val="0"/>
        <w:spacing w:line="288" w:lineRule="auto"/>
        <w:rPr>
          <w:b/>
          <w:bCs/>
          <w:color w:val="auto"/>
          <w:sz w:val="21"/>
          <w:szCs w:val="21"/>
          <w:highlight w:val="none"/>
        </w:rPr>
      </w:pPr>
      <w:r>
        <w:rPr>
          <w:rFonts w:hint="eastAsia"/>
          <w:b/>
          <w:bCs/>
          <w:color w:val="auto"/>
          <w:sz w:val="21"/>
          <w:szCs w:val="21"/>
          <w:highlight w:val="none"/>
        </w:rPr>
        <w:t>（七）转包与分包</w:t>
      </w:r>
    </w:p>
    <w:p w14:paraId="69C823FC">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1.本项目不允许转包；</w:t>
      </w:r>
    </w:p>
    <w:p w14:paraId="348EF395">
      <w:pPr>
        <w:adjustRightInd w:val="0"/>
        <w:snapToGrid w:val="0"/>
        <w:spacing w:line="288" w:lineRule="auto"/>
        <w:ind w:firstLine="424" w:firstLineChars="202"/>
        <w:jc w:val="left"/>
        <w:rPr>
          <w:color w:val="auto"/>
          <w:sz w:val="21"/>
          <w:szCs w:val="21"/>
          <w:highlight w:val="none"/>
        </w:rPr>
      </w:pPr>
      <w:r>
        <w:rPr>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color w:val="auto"/>
          <w:sz w:val="21"/>
          <w:szCs w:val="21"/>
          <w:highlight w:val="none"/>
        </w:rPr>
        <w:t>可以分包履行的（非主体、非关键性的工作）具体内容、金额或者比例：</w:t>
      </w:r>
      <w:r>
        <w:rPr>
          <w:rFonts w:hint="eastAsia"/>
          <w:color w:val="auto"/>
          <w:sz w:val="21"/>
          <w:szCs w:val="21"/>
          <w:highlight w:val="none"/>
          <w:u w:val="single"/>
          <w:lang w:val="en-US" w:eastAsia="zh-CN"/>
        </w:rPr>
        <w:t>货物运输</w:t>
      </w:r>
      <w:r>
        <w:rPr>
          <w:color w:val="auto"/>
          <w:sz w:val="21"/>
          <w:szCs w:val="21"/>
          <w:highlight w:val="none"/>
          <w:u w:val="single"/>
        </w:rPr>
        <w:t>。</w:t>
      </w:r>
    </w:p>
    <w:p w14:paraId="296B0D7F">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p w14:paraId="7B03FB5F">
      <w:pPr>
        <w:adjustRightInd w:val="0"/>
        <w:snapToGrid w:val="0"/>
        <w:spacing w:line="288" w:lineRule="auto"/>
        <w:rPr>
          <w:b/>
          <w:bCs/>
          <w:color w:val="auto"/>
          <w:sz w:val="21"/>
          <w:szCs w:val="21"/>
          <w:highlight w:val="none"/>
        </w:rPr>
      </w:pPr>
      <w:r>
        <w:rPr>
          <w:rFonts w:hint="eastAsia"/>
          <w:b/>
          <w:bCs/>
          <w:color w:val="auto"/>
          <w:sz w:val="21"/>
          <w:szCs w:val="21"/>
          <w:highlight w:val="none"/>
        </w:rPr>
        <w:t>（八）质疑和投诉</w:t>
      </w:r>
    </w:p>
    <w:p w14:paraId="28788EF2">
      <w:pPr>
        <w:adjustRightInd w:val="0"/>
        <w:snapToGrid w:val="0"/>
        <w:spacing w:line="288" w:lineRule="auto"/>
        <w:ind w:firstLine="396" w:firstLineChars="200"/>
        <w:jc w:val="left"/>
        <w:rPr>
          <w:rFonts w:cs="Times New Roman"/>
          <w:color w:val="auto"/>
          <w:spacing w:val="-6"/>
          <w:sz w:val="21"/>
          <w:szCs w:val="21"/>
          <w:highlight w:val="none"/>
        </w:rPr>
      </w:pPr>
      <w:bookmarkStart w:id="38" w:name="_Hlk92273406"/>
      <w:bookmarkStart w:id="39"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8"/>
    </w:p>
    <w:p w14:paraId="70C386B0">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14:paraId="3A96598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14:paraId="47409B3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14:paraId="2ADBB69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14:paraId="0671821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14:paraId="3DFB68F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14:paraId="0BAB8CA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14:paraId="01BE15D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14:paraId="6951AFF7">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14:paraId="20E3FF4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14:paraId="0D1CEAE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14:paraId="168560A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14:paraId="357B6D9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14:paraId="6CBDC60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9"/>
    <w:p w14:paraId="60C7853E">
      <w:pPr>
        <w:adjustRightInd w:val="0"/>
        <w:snapToGrid w:val="0"/>
        <w:spacing w:line="288" w:lineRule="auto"/>
        <w:outlineLvl w:val="2"/>
        <w:rPr>
          <w:b/>
          <w:color w:val="auto"/>
          <w:spacing w:val="-6"/>
          <w:kern w:val="0"/>
          <w:sz w:val="21"/>
          <w:szCs w:val="21"/>
          <w:highlight w:val="none"/>
        </w:rPr>
      </w:pPr>
      <w:bookmarkStart w:id="40"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14:paraId="53E5F42E">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w:t>
      </w:r>
      <w:r>
        <w:rPr>
          <w:rFonts w:hint="eastAsia" w:cs="Times New Roman"/>
          <w:color w:val="auto"/>
          <w:spacing w:val="-6"/>
          <w:sz w:val="21"/>
          <w:szCs w:val="21"/>
          <w:highlight w:val="none"/>
          <w:lang w:eastAsia="zh-CN"/>
        </w:rPr>
        <w:t>采购代理机构</w:t>
      </w:r>
      <w:r>
        <w:rPr>
          <w:rFonts w:cs="Times New Roman"/>
          <w:color w:val="auto"/>
          <w:spacing w:val="-6"/>
          <w:sz w:val="21"/>
          <w:szCs w:val="21"/>
          <w:highlight w:val="none"/>
        </w:rPr>
        <w:t>不会对其加以限制，仍将按照公平竞争原则实施采购）。</w:t>
      </w:r>
    </w:p>
    <w:p w14:paraId="1E8A2F1A">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14:paraId="34DB01A2">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14:paraId="3B3E70F5">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14:paraId="03E211B5">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14:paraId="44FBF4EB">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28957F26">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3.支持科技创新</w:t>
      </w:r>
    </w:p>
    <w:p w14:paraId="276673A6">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bookmarkStart w:id="41" w:name="_Hlk106875293"/>
    </w:p>
    <w:bookmarkEnd w:id="41"/>
    <w:p w14:paraId="395EDE42">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4.支持中小企业发展</w:t>
      </w:r>
    </w:p>
    <w:p w14:paraId="68316904">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14:paraId="7BD5754E">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14:paraId="61907607">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14:paraId="4D3A9CC8">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14:paraId="3D309F37">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14:paraId="77E7BDC4">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14:paraId="36A62E4B">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lang w:eastAsia="zh-CN"/>
        </w:rPr>
        <w:t>10%</w:t>
      </w:r>
      <w:r>
        <w:rPr>
          <w:rFonts w:cs="Times New Roman"/>
          <w:color w:val="auto"/>
          <w:spacing w:val="-6"/>
          <w:sz w:val="21"/>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lang w:eastAsia="zh-CN"/>
        </w:rPr>
        <w:t>4%</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14:paraId="56471CB0">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14:paraId="491BAD5E">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166A2E52">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14:paraId="3812FE89">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40"/>
    </w:p>
    <w:p w14:paraId="1159B36A">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14:paraId="37DDF56B">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CA4280F">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14:paraId="763DBD47">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14:paraId="4599C6B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14:paraId="48191E5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14:paraId="709855F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14:paraId="777227F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14:paraId="4297C06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14:paraId="7114FBA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14:paraId="0493801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14:paraId="357839E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14:paraId="320EB8DC">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14:paraId="3C6B992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14:paraId="3C508D8C">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14:paraId="695C043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14:paraId="2D8FB98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14:paraId="3BBCC3F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14:paraId="297A07E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14:paraId="7BF0E0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14:paraId="796B7CC4">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210CF70">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14:paraId="6ADC93B3">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14:paraId="2608C822">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14:paraId="0AB9F66F">
      <w:pPr>
        <w:adjustRightInd w:val="0"/>
        <w:snapToGrid w:val="0"/>
        <w:spacing w:line="288" w:lineRule="auto"/>
        <w:ind w:firstLine="396" w:firstLineChars="200"/>
        <w:jc w:val="left"/>
        <w:rPr>
          <w:rFonts w:cs="Times New Roman"/>
          <w:color w:val="auto"/>
          <w:spacing w:val="-6"/>
          <w:sz w:val="21"/>
          <w:szCs w:val="21"/>
          <w:highlight w:val="none"/>
        </w:rPr>
      </w:pPr>
      <w:bookmarkStart w:id="42" w:name="_Hlk97039967"/>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14:paraId="50797EDE">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bookmarkEnd w:id="42"/>
    <w:p w14:paraId="53DBCAB8">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14:paraId="11A36DE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3F037B2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43" w:name="_Hlk96329193"/>
      <w:r>
        <w:rPr>
          <w:rFonts w:hint="eastAsia"/>
          <w:color w:val="auto"/>
          <w:sz w:val="21"/>
          <w:szCs w:val="21"/>
          <w:highlight w:val="none"/>
        </w:rPr>
        <w:t>，供应商应写全称。</w:t>
      </w:r>
      <w:bookmarkEnd w:id="43"/>
    </w:p>
    <w:p w14:paraId="2DA63028">
      <w:pPr>
        <w:adjustRightInd w:val="0"/>
        <w:snapToGrid w:val="0"/>
        <w:spacing w:line="288" w:lineRule="auto"/>
        <w:ind w:firstLine="420" w:firstLineChars="200"/>
        <w:rPr>
          <w:color w:val="auto"/>
          <w:sz w:val="21"/>
          <w:szCs w:val="21"/>
          <w:highlight w:val="none"/>
        </w:rPr>
      </w:pPr>
      <w:r>
        <w:rPr>
          <w:color w:val="auto"/>
          <w:sz w:val="21"/>
          <w:szCs w:val="21"/>
          <w:highlight w:val="none"/>
        </w:rPr>
        <w:t>3.响应文件不得涂改，若有修改错漏处，须由供应商加盖公章，或者由供应商代表签名。响应文件因字迹潦草或表达不清所引起的后果由供应商负责。</w:t>
      </w:r>
    </w:p>
    <w:p w14:paraId="28BB1652">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14:paraId="45DFC8A1">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14:paraId="2ABC7025">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14:paraId="098046D8">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0A25983D">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14:paraId="5579C8E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14:paraId="2300574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14:paraId="66F1317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14:paraId="52E1C4A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14:paraId="4005B46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14:paraId="7F8A389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14:paraId="7607ACA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w:t>
      </w:r>
      <w:r>
        <w:rPr>
          <w:rFonts w:hint="eastAsia"/>
          <w:color w:val="auto"/>
          <w:sz w:val="21"/>
          <w:szCs w:val="21"/>
          <w:highlight w:val="none"/>
          <w:u w:val="single"/>
        </w:rPr>
        <w:t>项目名称、标项、供应商名称</w:t>
      </w:r>
      <w:r>
        <w:rPr>
          <w:rFonts w:hint="eastAsia"/>
          <w:color w:val="auto"/>
          <w:sz w:val="21"/>
          <w:szCs w:val="21"/>
          <w:highlight w:val="none"/>
        </w:rPr>
        <w:t>并加盖公章（非电子签章），供应商逾期送达或者未密封包装的备份响应文件采购代理机构将予以拒收；</w:t>
      </w:r>
    </w:p>
    <w:p w14:paraId="21E6408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14:paraId="19327C8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14:paraId="091325F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14:paraId="3F6FB2DC">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14:paraId="56973E31">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14:paraId="0ECB4683">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22DFB16C">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14:paraId="68BA41C4">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14:paraId="09D9C1C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14:paraId="1E2A6866">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14:paraId="675551B4">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14:paraId="586BE3A4">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14:paraId="747CAECD">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14:paraId="2B769B9A">
      <w:pPr>
        <w:adjustRightInd w:val="0"/>
        <w:snapToGrid w:val="0"/>
        <w:spacing w:line="288" w:lineRule="auto"/>
        <w:ind w:firstLine="420" w:firstLineChars="200"/>
        <w:jc w:val="left"/>
        <w:rPr>
          <w:rFonts w:cs="Times New Roman"/>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采购人将以合同形式有偿取得货物、工程和服务，不接受供应商给予的赠品、回扣或者与采购无关的其他商品、服务</w:t>
      </w:r>
      <w:r>
        <w:rPr>
          <w:color w:val="auto"/>
          <w:sz w:val="21"/>
          <w:szCs w:val="21"/>
          <w:highlight w:val="none"/>
        </w:rPr>
        <w:t>。</w:t>
      </w:r>
    </w:p>
    <w:p w14:paraId="56D05486">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14:paraId="27A501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14:paraId="0B0573F6">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14:paraId="7DCDC749">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14:paraId="2710C19B">
      <w:pPr>
        <w:adjustRightInd w:val="0"/>
        <w:snapToGrid w:val="0"/>
        <w:spacing w:line="288" w:lineRule="auto"/>
        <w:ind w:firstLine="420" w:firstLineChars="200"/>
        <w:rPr>
          <w:color w:val="auto"/>
          <w:sz w:val="21"/>
          <w:szCs w:val="21"/>
          <w:highlight w:val="none"/>
        </w:rPr>
      </w:pPr>
      <w:bookmarkStart w:id="44" w:name="_Hlk97039899"/>
      <w:r>
        <w:rPr>
          <w:rFonts w:hint="eastAsia"/>
          <w:color w:val="auto"/>
          <w:sz w:val="21"/>
          <w:szCs w:val="21"/>
          <w:highlight w:val="none"/>
        </w:rPr>
        <w:t>未响应磋商文件“▲”标记条款要求的，响应无效。</w:t>
      </w:r>
    </w:p>
    <w:bookmarkEnd w:id="44"/>
    <w:p w14:paraId="7CA55D2C">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14:paraId="34DF8F4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w:t>
      </w:r>
    </w:p>
    <w:p w14:paraId="59FBB38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w:t>
      </w:r>
    </w:p>
    <w:p w14:paraId="352E1665">
      <w:pPr>
        <w:adjustRightInd w:val="0"/>
        <w:snapToGrid w:val="0"/>
        <w:spacing w:line="288" w:lineRule="auto"/>
        <w:ind w:firstLine="420" w:firstLineChars="200"/>
        <w:rPr>
          <w:color w:val="auto"/>
          <w:sz w:val="21"/>
          <w:szCs w:val="21"/>
          <w:highlight w:val="none"/>
        </w:rPr>
      </w:pPr>
      <w:bookmarkStart w:id="45" w:name="_Hlk97039841"/>
      <w:r>
        <w:rPr>
          <w:rFonts w:hint="eastAsia"/>
          <w:color w:val="auto"/>
          <w:sz w:val="21"/>
          <w:szCs w:val="21"/>
          <w:highlight w:val="none"/>
        </w:rPr>
        <w:t>（3）资格文件未按要求签署、盖章。</w:t>
      </w:r>
    </w:p>
    <w:p w14:paraId="7C48A8D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bookmarkEnd w:id="45"/>
    <w:p w14:paraId="77540441">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14:paraId="78375AC5">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w:t>
      </w:r>
    </w:p>
    <w:p w14:paraId="5A4CD27C">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2）未提供或未按要求提供响应函、授权委托书；</w:t>
      </w:r>
    </w:p>
    <w:p w14:paraId="03DCAE93">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3）委托授权代表参加</w:t>
      </w:r>
      <w:r>
        <w:rPr>
          <w:rFonts w:hint="eastAsia"/>
          <w:color w:val="auto"/>
          <w:sz w:val="21"/>
          <w:szCs w:val="21"/>
          <w:highlight w:val="none"/>
        </w:rPr>
        <w:t>采购活动</w:t>
      </w:r>
      <w:r>
        <w:rPr>
          <w:color w:val="auto"/>
          <w:sz w:val="21"/>
          <w:szCs w:val="21"/>
          <w:highlight w:val="none"/>
        </w:rPr>
        <w:t>但未提供符合要求的授权代表社保缴纳证明；</w:t>
      </w:r>
    </w:p>
    <w:p w14:paraId="3A1AC078">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w:t>
      </w:r>
    </w:p>
    <w:p w14:paraId="30C89DDF">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w:t>
      </w:r>
      <w:r>
        <w:rPr>
          <w:rFonts w:hint="eastAsia"/>
          <w:color w:val="auto"/>
          <w:spacing w:val="-6"/>
          <w:sz w:val="21"/>
          <w:szCs w:val="21"/>
          <w:highlight w:val="none"/>
        </w:rPr>
        <w:t>视为采购人不能接受的附加条件；</w:t>
      </w:r>
    </w:p>
    <w:p w14:paraId="4C44E9D7">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w:t>
      </w:r>
    </w:p>
    <w:p w14:paraId="4577F7E1">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w:t>
      </w:r>
    </w:p>
    <w:p w14:paraId="09B8140A">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14:paraId="49030772">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14:paraId="4B8F9669">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w:t>
      </w:r>
    </w:p>
    <w:p w14:paraId="26A4FEED">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（2）最后报价具有选择性</w:t>
      </w:r>
      <w:r>
        <w:rPr>
          <w:rFonts w:hint="eastAsia"/>
          <w:color w:val="auto"/>
          <w:sz w:val="21"/>
          <w:szCs w:val="21"/>
          <w:highlight w:val="none"/>
          <w:lang w:eastAsia="zh-CN"/>
        </w:rPr>
        <w:t>；</w:t>
      </w:r>
    </w:p>
    <w:p w14:paraId="5CF008B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（3）未按规定提交磋商记录或最后报价的，视为退出磋商，响应无效。</w:t>
      </w:r>
    </w:p>
    <w:p w14:paraId="72852549">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2DC48F12">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14:paraId="006EBCF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14:paraId="403E35B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14:paraId="4366564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14:paraId="745F6AC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14:paraId="2175F2E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14:paraId="2A8B377D">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6788172A">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14:paraId="672677D7">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14:paraId="2E61E124">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14:paraId="7D80FC7E">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14:paraId="099A2CEB">
      <w:pPr>
        <w:adjustRightInd w:val="0"/>
        <w:snapToGrid w:val="0"/>
        <w:spacing w:line="288" w:lineRule="auto"/>
        <w:ind w:firstLine="398" w:firstLineChars="200"/>
        <w:rPr>
          <w:rFonts w:cs="Times New Roman"/>
          <w:b/>
          <w:bCs/>
          <w:color w:val="auto"/>
          <w:spacing w:val="-6"/>
          <w:sz w:val="21"/>
          <w:szCs w:val="21"/>
          <w:highlight w:val="none"/>
        </w:rPr>
      </w:pPr>
    </w:p>
    <w:p w14:paraId="4AF0998F">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14:paraId="6204A9F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D78978E">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14:paraId="7660BD76">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48C3150">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14:paraId="5B408AAA">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14:paraId="7466BF07">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14:paraId="604F378D">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14:paraId="77CB0FAE">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通过资格审查的供应商不足3家的，不再评审。</w:t>
      </w:r>
    </w:p>
    <w:p w14:paraId="2D61BC62">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14:paraId="49BEA96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14:paraId="6093205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14:paraId="01B88F3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16D25561">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14:paraId="713F1C4A">
      <w:pPr>
        <w:adjustRightInd w:val="0"/>
        <w:snapToGrid w:val="0"/>
        <w:spacing w:line="288" w:lineRule="auto"/>
        <w:ind w:firstLine="422" w:firstLineChars="201"/>
        <w:rPr>
          <w:color w:val="auto"/>
          <w:kern w:val="0"/>
          <w:sz w:val="21"/>
          <w:szCs w:val="21"/>
          <w:highlight w:val="none"/>
        </w:rPr>
      </w:pPr>
      <w:r>
        <w:rPr>
          <w:rFonts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highlight w:val="none"/>
        </w:rPr>
        <w:t>。</w:t>
      </w:r>
    </w:p>
    <w:p w14:paraId="3FC801B9">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14:paraId="2C7B7CE3">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14:paraId="616E4D11">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14:paraId="0B2CAFCC">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14:paraId="5FAC23A8">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4FF3E60F">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14:paraId="7BF17840">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提交磋商记录，并由供应商代表签名或者加盖公章。</w:t>
      </w:r>
    </w:p>
    <w:p w14:paraId="32241802">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14:paraId="2613E0F0">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14:paraId="50E1F03B">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14:paraId="138AC172">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14:paraId="09DA9C2D">
      <w:pPr>
        <w:adjustRightInd w:val="0"/>
        <w:snapToGrid w:val="0"/>
        <w:spacing w:line="288" w:lineRule="auto"/>
        <w:ind w:firstLine="420" w:firstLineChars="200"/>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14:paraId="61715D80">
      <w:pPr>
        <w:adjustRightInd w:val="0"/>
        <w:snapToGrid w:val="0"/>
        <w:spacing w:line="288" w:lineRule="auto"/>
        <w:ind w:firstLine="422" w:firstLineChars="200"/>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最后报价出现前后不一致的，按照下列规定修正：</w:t>
      </w:r>
    </w:p>
    <w:p w14:paraId="09F222DA">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（一）最后报价内容与响应文件中相应内容不一致的，以最后报价为准；</w:t>
      </w:r>
    </w:p>
    <w:p w14:paraId="1FF65603">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（二）大写金额和小写金额不一致的，以大写金额为准；</w:t>
      </w:r>
    </w:p>
    <w:p w14:paraId="3E6B2067">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（三）单价金额小数点或者百分比有明显错位的，以最后报价的总价为准，并修改单价；</w:t>
      </w:r>
    </w:p>
    <w:p w14:paraId="7FCB5F28">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（四）总价金额与按单价汇总金额不一致的，以单价金额计算结果为准。</w:t>
      </w:r>
    </w:p>
    <w:p w14:paraId="313470FE">
      <w:pPr>
        <w:adjustRightInd w:val="0"/>
        <w:snapToGrid w:val="0"/>
        <w:spacing w:line="288" w:lineRule="auto"/>
        <w:ind w:firstLine="424" w:firstLineChars="202"/>
        <w:rPr>
          <w:rFonts w:cs="Arial"/>
          <w:color w:val="auto"/>
          <w:kern w:val="0"/>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同时出现两种以上不一致的，按照前款规定的顺序修正。修正后的报价经供应商电子签名（加盖公章）、法定代表人或授权代表签字确认后产生约束力，供应商不确认的，其响应无效。</w:t>
      </w:r>
    </w:p>
    <w:p w14:paraId="10FBF018">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14:paraId="42D77CD1">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14:paraId="62DEF021">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14:paraId="72366261">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14:paraId="30B85348">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14:paraId="55629AC0">
      <w:pPr>
        <w:adjustRightInd w:val="0"/>
        <w:snapToGrid w:val="0"/>
        <w:spacing w:line="288" w:lineRule="auto"/>
        <w:ind w:firstLine="424" w:firstLineChars="202"/>
        <w:rPr>
          <w:rFonts w:cs="Arial"/>
          <w:color w:val="auto"/>
          <w:kern w:val="0"/>
          <w:sz w:val="21"/>
          <w:szCs w:val="21"/>
          <w:highlight w:val="none"/>
        </w:rPr>
      </w:pPr>
      <w:bookmarkStart w:id="46"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6"/>
    <w:p w14:paraId="22D24627">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14:paraId="222A70BD">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14:paraId="71E2461E">
      <w:pPr>
        <w:adjustRightInd w:val="0"/>
        <w:snapToGrid w:val="0"/>
        <w:spacing w:line="288" w:lineRule="auto"/>
        <w:ind w:firstLine="424" w:firstLineChars="202"/>
        <w:rPr>
          <w:rFonts w:hint="eastAsia" w:eastAsia="宋体" w:cs="Arial"/>
          <w:color w:val="auto"/>
          <w:kern w:val="0"/>
          <w:sz w:val="21"/>
          <w:szCs w:val="21"/>
          <w:highlight w:val="none"/>
          <w:lang w:eastAsia="zh-CN"/>
        </w:rPr>
      </w:pPr>
      <w:r>
        <w:rPr>
          <w:rFonts w:hint="eastAsia" w:ascii="宋体" w:hAnsi="宋体" w:eastAsia="宋体"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14:paraId="74949808">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14:paraId="238C34FC">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编写评审报告</w:t>
      </w:r>
    </w:p>
    <w:p w14:paraId="0A675BE7">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2D2456FB">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14:paraId="11D47E4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14:paraId="535FA7E1">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14:paraId="0718EE23">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14:paraId="3DCDC982">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14:paraId="36D4C9F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5CC7A8A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14:paraId="6D48094A">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14:paraId="6CBC8A3E">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14:paraId="2152648C">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498F59B0">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72C53F40">
      <w:pPr>
        <w:adjustRightInd w:val="0"/>
        <w:snapToGrid w:val="0"/>
        <w:spacing w:line="288" w:lineRule="auto"/>
        <w:rPr>
          <w:color w:val="auto"/>
          <w:sz w:val="21"/>
          <w:szCs w:val="21"/>
          <w:highlight w:val="none"/>
        </w:rPr>
      </w:pPr>
    </w:p>
    <w:p w14:paraId="61C0967E">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14:paraId="3FF1CC7C">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44D38538">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14:paraId="231F9F7A">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7DC5A4FB">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342A1D3">
      <w:pPr>
        <w:adjustRightInd w:val="0"/>
        <w:snapToGrid w:val="0"/>
        <w:spacing w:line="288" w:lineRule="auto"/>
        <w:rPr>
          <w:color w:val="auto"/>
          <w:sz w:val="21"/>
          <w:szCs w:val="21"/>
          <w:highlight w:val="none"/>
        </w:rPr>
      </w:pPr>
    </w:p>
    <w:p w14:paraId="62DBE00C">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14:paraId="79A1B11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14:paraId="5E86674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14:paraId="4D6B116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14:paraId="78996D7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14:paraId="7160219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14:paraId="012A08B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14:paraId="06BCF1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14:paraId="3A49395C">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14:paraId="4E513C25">
      <w:pPr>
        <w:adjustRightInd w:val="0"/>
        <w:snapToGrid w:val="0"/>
        <w:spacing w:line="288" w:lineRule="auto"/>
        <w:rPr>
          <w:b/>
          <w:bCs/>
          <w:color w:val="auto"/>
          <w:sz w:val="21"/>
          <w:szCs w:val="21"/>
          <w:highlight w:val="none"/>
        </w:rPr>
      </w:pPr>
      <w:r>
        <w:rPr>
          <w:rFonts w:hint="eastAsia"/>
          <w:b/>
          <w:bCs/>
          <w:color w:val="auto"/>
          <w:sz w:val="21"/>
          <w:szCs w:val="21"/>
          <w:highlight w:val="none"/>
        </w:rPr>
        <w:t>一、评审方法</w:t>
      </w:r>
    </w:p>
    <w:p w14:paraId="1D104E3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14:paraId="698FBC6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14:paraId="64A3497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7D5870B9">
      <w:pPr>
        <w:adjustRightInd w:val="0"/>
        <w:snapToGrid w:val="0"/>
        <w:spacing w:line="288" w:lineRule="auto"/>
        <w:rPr>
          <w:b/>
          <w:bCs/>
          <w:color w:val="auto"/>
          <w:sz w:val="21"/>
          <w:szCs w:val="21"/>
          <w:highlight w:val="none"/>
        </w:rPr>
      </w:pPr>
      <w:r>
        <w:rPr>
          <w:rFonts w:hint="eastAsia"/>
          <w:b/>
          <w:bCs/>
          <w:color w:val="auto"/>
          <w:sz w:val="21"/>
          <w:szCs w:val="21"/>
          <w:highlight w:val="none"/>
        </w:rPr>
        <w:t>二、评审标准</w:t>
      </w:r>
    </w:p>
    <w:tbl>
      <w:tblPr>
        <w:tblStyle w:val="1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0"/>
        <w:gridCol w:w="682"/>
        <w:gridCol w:w="7111"/>
      </w:tblGrid>
      <w:tr w14:paraId="213F4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Align w:val="center"/>
          </w:tcPr>
          <w:p w14:paraId="69AF656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47" w:name="_Hlk117025274"/>
            <w:r>
              <w:rPr>
                <w:rFonts w:hint="eastAsia"/>
                <w:b/>
                <w:bCs/>
                <w:color w:val="auto"/>
                <w:sz w:val="21"/>
                <w:szCs w:val="21"/>
                <w:highlight w:val="none"/>
              </w:rPr>
              <w:t>评审因素</w:t>
            </w:r>
          </w:p>
        </w:tc>
        <w:tc>
          <w:tcPr>
            <w:tcW w:w="682" w:type="dxa"/>
            <w:vAlign w:val="center"/>
          </w:tcPr>
          <w:p w14:paraId="3686BFF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分值</w:t>
            </w:r>
          </w:p>
        </w:tc>
        <w:tc>
          <w:tcPr>
            <w:tcW w:w="7111" w:type="dxa"/>
            <w:vAlign w:val="center"/>
          </w:tcPr>
          <w:p w14:paraId="3C3273F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评分细则</w:t>
            </w:r>
          </w:p>
        </w:tc>
      </w:tr>
      <w:tr w14:paraId="22245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514AAAA4">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价格分（30）</w:t>
            </w:r>
          </w:p>
        </w:tc>
      </w:tr>
      <w:tr w14:paraId="5D74E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1700" w:type="dxa"/>
            <w:tcBorders>
              <w:top w:val="single" w:color="auto" w:sz="4" w:space="0"/>
              <w:left w:val="single" w:color="auto" w:sz="4" w:space="0"/>
              <w:bottom w:val="single" w:color="auto" w:sz="4" w:space="0"/>
              <w:right w:val="single" w:color="auto" w:sz="4" w:space="0"/>
            </w:tcBorders>
            <w:vAlign w:val="center"/>
          </w:tcPr>
          <w:p w14:paraId="71EE6CFA">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highlight w:val="none"/>
              </w:rPr>
            </w:pPr>
            <w:r>
              <w:rPr>
                <w:rFonts w:hint="eastAsia"/>
                <w:b/>
                <w:color w:val="auto"/>
                <w:sz w:val="21"/>
                <w:szCs w:val="21"/>
                <w:highlight w:val="none"/>
                <w:lang w:bidi="ar"/>
              </w:rPr>
              <w:t>最后磋商报价</w:t>
            </w:r>
          </w:p>
        </w:tc>
        <w:tc>
          <w:tcPr>
            <w:tcW w:w="682" w:type="dxa"/>
            <w:tcBorders>
              <w:top w:val="single" w:color="auto" w:sz="4" w:space="0"/>
              <w:left w:val="single" w:color="auto" w:sz="4" w:space="0"/>
              <w:bottom w:val="single" w:color="auto" w:sz="4" w:space="0"/>
              <w:right w:val="single" w:color="auto" w:sz="4" w:space="0"/>
            </w:tcBorders>
            <w:vAlign w:val="center"/>
          </w:tcPr>
          <w:p w14:paraId="7785788C">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highlight w:val="none"/>
              </w:rPr>
            </w:pPr>
            <w:r>
              <w:rPr>
                <w:rFonts w:hint="eastAsia"/>
                <w:b/>
                <w:color w:val="auto"/>
                <w:sz w:val="21"/>
                <w:szCs w:val="21"/>
                <w:highlight w:val="none"/>
                <w:lang w:bidi="ar"/>
              </w:rPr>
              <w:t>30</w:t>
            </w:r>
          </w:p>
        </w:tc>
        <w:tc>
          <w:tcPr>
            <w:tcW w:w="7111" w:type="dxa"/>
            <w:tcBorders>
              <w:top w:val="single" w:color="auto" w:sz="4" w:space="0"/>
              <w:left w:val="single" w:color="auto" w:sz="4" w:space="0"/>
              <w:bottom w:val="single" w:color="auto" w:sz="4" w:space="0"/>
              <w:right w:val="single" w:color="auto" w:sz="4" w:space="0"/>
            </w:tcBorders>
            <w:vAlign w:val="center"/>
          </w:tcPr>
          <w:p w14:paraId="78356C6A">
            <w:pPr>
              <w:keepNext w:val="0"/>
              <w:keepLines w:val="0"/>
              <w:suppressLineNumbers w:val="0"/>
              <w:adjustRightInd w:val="0"/>
              <w:snapToGrid w:val="0"/>
              <w:spacing w:before="0" w:beforeAutospacing="0" w:after="0" w:afterAutospacing="0"/>
              <w:ind w:left="0" w:right="0"/>
              <w:rPr>
                <w:rFonts w:hint="default"/>
                <w:color w:val="auto"/>
                <w:sz w:val="21"/>
                <w:szCs w:val="21"/>
                <w:highlight w:val="none"/>
              </w:rPr>
            </w:pPr>
            <w:r>
              <w:rPr>
                <w:rFonts w:hint="eastAsia"/>
                <w:color w:val="auto"/>
                <w:sz w:val="21"/>
                <w:szCs w:val="21"/>
                <w:highlight w:val="none"/>
                <w:lang w:bidi="ar"/>
              </w:rPr>
              <w:t>价格分统一采用低价优先法计算，即满足磋商文件要求且最后报价最低的供应商的价格为磋商基准价，其价格分为满分。其他供应商的价格分统一按照下列公式计算：</w:t>
            </w:r>
          </w:p>
          <w:p w14:paraId="79828614">
            <w:pPr>
              <w:keepNext w:val="0"/>
              <w:keepLines w:val="0"/>
              <w:suppressLineNumbers w:val="0"/>
              <w:adjustRightInd w:val="0"/>
              <w:snapToGrid w:val="0"/>
              <w:spacing w:before="0" w:beforeAutospacing="0" w:after="0" w:afterAutospacing="0"/>
              <w:ind w:left="0" w:right="0"/>
              <w:rPr>
                <w:rFonts w:hint="default"/>
                <w:color w:val="auto"/>
                <w:sz w:val="21"/>
                <w:szCs w:val="21"/>
                <w:highlight w:val="none"/>
              </w:rPr>
            </w:pPr>
            <w:r>
              <w:rPr>
                <w:rFonts w:hint="eastAsia"/>
                <w:color w:val="auto"/>
                <w:sz w:val="21"/>
                <w:szCs w:val="21"/>
                <w:highlight w:val="none"/>
                <w:lang w:bidi="ar"/>
              </w:rPr>
              <w:t>磋商报价得分=（磋商基准价/最后磋商报价）×30%×100</w:t>
            </w:r>
          </w:p>
        </w:tc>
      </w:tr>
      <w:tr w14:paraId="56914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789B2751">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商务分（5）</w:t>
            </w:r>
          </w:p>
        </w:tc>
      </w:tr>
      <w:tr w14:paraId="70BD2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700" w:type="dxa"/>
            <w:vAlign w:val="center"/>
          </w:tcPr>
          <w:p w14:paraId="7ACC841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业绩</w:t>
            </w:r>
          </w:p>
        </w:tc>
        <w:tc>
          <w:tcPr>
            <w:tcW w:w="682" w:type="dxa"/>
            <w:vAlign w:val="center"/>
          </w:tcPr>
          <w:p w14:paraId="45B1FE3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3</w:t>
            </w:r>
          </w:p>
        </w:tc>
        <w:tc>
          <w:tcPr>
            <w:tcW w:w="7111" w:type="dxa"/>
            <w:vAlign w:val="center"/>
          </w:tcPr>
          <w:p w14:paraId="6252C983">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【客观分】响应方自202</w:t>
            </w:r>
            <w:r>
              <w:rPr>
                <w:rFonts w:hint="eastAsia"/>
                <w:color w:val="auto"/>
                <w:sz w:val="21"/>
                <w:szCs w:val="21"/>
                <w:highlight w:val="none"/>
                <w:lang w:val="en-US" w:eastAsia="zh-CN"/>
              </w:rPr>
              <w:t>1</w:t>
            </w:r>
            <w:r>
              <w:rPr>
                <w:rFonts w:hint="eastAsia"/>
                <w:color w:val="auto"/>
                <w:sz w:val="21"/>
                <w:szCs w:val="21"/>
                <w:highlight w:val="none"/>
              </w:rPr>
              <w:t>年1月1日以来（以合同签订时间为准）同类合同业绩（以提供的完整合同扫描件为准）：每提供1份合同业绩得1分，最高得3分。</w:t>
            </w:r>
          </w:p>
        </w:tc>
      </w:tr>
      <w:tr w14:paraId="3C4C5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Align w:val="center"/>
          </w:tcPr>
          <w:p w14:paraId="67895B8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政策功能</w:t>
            </w:r>
          </w:p>
        </w:tc>
        <w:tc>
          <w:tcPr>
            <w:tcW w:w="682" w:type="dxa"/>
            <w:vAlign w:val="center"/>
          </w:tcPr>
          <w:p w14:paraId="535B050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2</w:t>
            </w:r>
          </w:p>
        </w:tc>
        <w:tc>
          <w:tcPr>
            <w:tcW w:w="7111" w:type="dxa"/>
            <w:vAlign w:val="center"/>
          </w:tcPr>
          <w:p w14:paraId="77D78F8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【客观分】响应产品属于品目清单范围且提供国家确定的认证机构出具的有效的节能产品认证证书（扫描件）的得1分；</w:t>
            </w:r>
          </w:p>
          <w:p w14:paraId="1539326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响应产品属于品目清单范围且提供国家确定的认证机构出具的有效的环境标志产品认证证书（扫描件）的得1分；</w:t>
            </w:r>
          </w:p>
          <w:p w14:paraId="7C60A769">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注：政府强制采购的节能产品的除外。</w:t>
            </w:r>
          </w:p>
        </w:tc>
      </w:tr>
      <w:tr w14:paraId="0C711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6DA0C7C7">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技术分（65）</w:t>
            </w:r>
          </w:p>
        </w:tc>
      </w:tr>
      <w:tr w14:paraId="01CFE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Align w:val="center"/>
          </w:tcPr>
          <w:p w14:paraId="7FE2281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技术响应程度</w:t>
            </w:r>
          </w:p>
        </w:tc>
        <w:tc>
          <w:tcPr>
            <w:tcW w:w="682" w:type="dxa"/>
            <w:vAlign w:val="center"/>
          </w:tcPr>
          <w:p w14:paraId="649B641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25</w:t>
            </w:r>
          </w:p>
        </w:tc>
        <w:tc>
          <w:tcPr>
            <w:tcW w:w="7111" w:type="dxa"/>
            <w:vAlign w:val="center"/>
          </w:tcPr>
          <w:p w14:paraId="0758278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【客观分】不符合（负偏离）技术要求中标注“</w:t>
            </w:r>
            <w:bookmarkStart w:id="48" w:name="_Hlk117025051"/>
            <w:r>
              <w:rPr>
                <w:rFonts w:hint="eastAsia"/>
                <w:color w:val="auto"/>
                <w:sz w:val="21"/>
                <w:szCs w:val="21"/>
                <w:highlight w:val="none"/>
              </w:rPr>
              <w:t>▲</w:t>
            </w:r>
            <w:bookmarkEnd w:id="48"/>
            <w:r>
              <w:rPr>
                <w:rFonts w:hint="eastAsia"/>
                <w:color w:val="auto"/>
                <w:sz w:val="21"/>
                <w:szCs w:val="21"/>
                <w:highlight w:val="none"/>
              </w:rPr>
              <w:t>”条款（不可偏离）的响应无效；</w:t>
            </w:r>
          </w:p>
          <w:p w14:paraId="70E1CE1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满足磋商文件明确的全部技术条款要求的该项得满分；</w:t>
            </w:r>
          </w:p>
          <w:p w14:paraId="254CFA9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技术条款低于技术要求（负偏离）的，</w:t>
            </w:r>
            <w:r>
              <w:rPr>
                <w:rFonts w:hint="eastAsia"/>
                <w:color w:val="auto"/>
                <w:sz w:val="21"/>
                <w:szCs w:val="21"/>
                <w:highlight w:val="none"/>
                <w:lang w:val="en-US" w:eastAsia="zh-CN"/>
              </w:rPr>
              <w:t>标注“</w:t>
            </w:r>
            <w:r>
              <w:rPr>
                <w:rFonts w:hint="eastAsia" w:ascii="宋体" w:hAnsi="宋体" w:eastAsia="宋体" w:cs="宋体"/>
                <w:color w:val="auto"/>
                <w:sz w:val="21"/>
                <w:szCs w:val="21"/>
                <w:highlight w:val="none"/>
                <w:lang w:val="en-US" w:eastAsia="zh-CN"/>
              </w:rPr>
              <w:t>★</w:t>
            </w:r>
            <w:r>
              <w:rPr>
                <w:rFonts w:hint="eastAsia"/>
                <w:color w:val="auto"/>
                <w:sz w:val="21"/>
                <w:szCs w:val="21"/>
                <w:highlight w:val="none"/>
                <w:lang w:val="en-US" w:eastAsia="zh-CN"/>
              </w:rPr>
              <w:t>”的</w:t>
            </w:r>
            <w:r>
              <w:rPr>
                <w:rFonts w:hint="eastAsia"/>
                <w:color w:val="auto"/>
                <w:sz w:val="21"/>
                <w:szCs w:val="21"/>
                <w:highlight w:val="none"/>
              </w:rPr>
              <w:t>每项扣</w:t>
            </w:r>
            <w:r>
              <w:rPr>
                <w:rFonts w:hint="eastAsia"/>
                <w:color w:val="auto"/>
                <w:sz w:val="21"/>
                <w:szCs w:val="21"/>
                <w:highlight w:val="none"/>
                <w:lang w:val="en-US" w:eastAsia="zh-CN"/>
              </w:rPr>
              <w:t>3</w:t>
            </w:r>
            <w:r>
              <w:rPr>
                <w:rFonts w:hint="eastAsia"/>
                <w:color w:val="auto"/>
                <w:sz w:val="21"/>
                <w:szCs w:val="21"/>
                <w:highlight w:val="none"/>
              </w:rPr>
              <w:t>分</w:t>
            </w:r>
            <w:r>
              <w:rPr>
                <w:rFonts w:hint="eastAsia"/>
                <w:color w:val="auto"/>
                <w:sz w:val="21"/>
                <w:szCs w:val="21"/>
                <w:highlight w:val="none"/>
                <w:lang w:eastAsia="zh-CN"/>
              </w:rPr>
              <w:t>，</w:t>
            </w:r>
            <w:r>
              <w:rPr>
                <w:rFonts w:hint="eastAsia"/>
                <w:color w:val="auto"/>
                <w:sz w:val="21"/>
                <w:szCs w:val="21"/>
                <w:highlight w:val="none"/>
                <w:lang w:val="en-US" w:eastAsia="zh-CN"/>
              </w:rPr>
              <w:t>未标注“★”的每项扣2分</w:t>
            </w:r>
            <w:r>
              <w:rPr>
                <w:rFonts w:hint="eastAsia"/>
                <w:color w:val="auto"/>
                <w:sz w:val="21"/>
                <w:szCs w:val="21"/>
                <w:highlight w:val="none"/>
              </w:rPr>
              <w:t>；</w:t>
            </w:r>
          </w:p>
          <w:p w14:paraId="4D9F99D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负偏离</w:t>
            </w:r>
            <w:r>
              <w:rPr>
                <w:rFonts w:hint="eastAsia"/>
                <w:color w:val="auto"/>
                <w:sz w:val="21"/>
                <w:szCs w:val="21"/>
                <w:highlight w:val="none"/>
                <w:lang w:val="en-US" w:eastAsia="zh-CN"/>
              </w:rPr>
              <w:t>扣分25分</w:t>
            </w:r>
            <w:r>
              <w:rPr>
                <w:rFonts w:hint="eastAsia"/>
                <w:color w:val="auto"/>
                <w:sz w:val="21"/>
                <w:szCs w:val="21"/>
                <w:highlight w:val="none"/>
              </w:rPr>
              <w:t>及以上的视为采购人不能接受的附加条件。</w:t>
            </w:r>
          </w:p>
        </w:tc>
      </w:tr>
      <w:tr w14:paraId="24918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Merge w:val="restart"/>
            <w:tcBorders>
              <w:top w:val="single" w:color="auto" w:sz="4" w:space="0"/>
              <w:left w:val="single" w:color="auto" w:sz="4" w:space="0"/>
              <w:right w:val="single" w:color="auto" w:sz="4" w:space="0"/>
            </w:tcBorders>
            <w:vAlign w:val="center"/>
          </w:tcPr>
          <w:p w14:paraId="1AFFD85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color w:val="auto"/>
                <w:sz w:val="21"/>
                <w:szCs w:val="21"/>
                <w:highlight w:val="none"/>
                <w:lang w:bidi="ar"/>
              </w:rPr>
              <w:t>产品功能及配置</w:t>
            </w:r>
          </w:p>
        </w:tc>
        <w:tc>
          <w:tcPr>
            <w:tcW w:w="682" w:type="dxa"/>
            <w:tcBorders>
              <w:top w:val="single" w:color="auto" w:sz="4" w:space="0"/>
              <w:left w:val="single" w:color="auto" w:sz="4" w:space="0"/>
              <w:bottom w:val="single" w:color="auto" w:sz="4" w:space="0"/>
              <w:right w:val="single" w:color="auto" w:sz="4" w:space="0"/>
            </w:tcBorders>
            <w:vAlign w:val="center"/>
          </w:tcPr>
          <w:p w14:paraId="4CCFE97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3A1D7EA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【主观分】响应产品功能满足项目特点和实际需要，功能先进，后续维护成本低（评分范围：5</w:t>
            </w:r>
            <w:r>
              <w:rPr>
                <w:rFonts w:hint="eastAsia"/>
                <w:color w:val="auto"/>
                <w:sz w:val="21"/>
                <w:szCs w:val="21"/>
                <w:highlight w:val="none"/>
                <w:lang w:eastAsia="zh-CN" w:bidi="ar"/>
              </w:rPr>
              <w:t>,</w:t>
            </w:r>
            <w:r>
              <w:rPr>
                <w:rFonts w:hint="eastAsia"/>
                <w:color w:val="auto"/>
                <w:sz w:val="21"/>
                <w:szCs w:val="21"/>
                <w:highlight w:val="none"/>
                <w:lang w:bidi="ar"/>
              </w:rPr>
              <w:t>4</w:t>
            </w:r>
            <w:r>
              <w:rPr>
                <w:rFonts w:hint="eastAsia"/>
                <w:color w:val="auto"/>
                <w:sz w:val="21"/>
                <w:szCs w:val="21"/>
                <w:highlight w:val="none"/>
                <w:lang w:eastAsia="zh-CN" w:bidi="ar"/>
              </w:rPr>
              <w:t>,</w:t>
            </w:r>
            <w:r>
              <w:rPr>
                <w:rFonts w:hint="eastAsia"/>
                <w:color w:val="auto"/>
                <w:sz w:val="21"/>
                <w:szCs w:val="21"/>
                <w:highlight w:val="none"/>
                <w:lang w:bidi="ar"/>
              </w:rPr>
              <w:t>3</w:t>
            </w:r>
            <w:r>
              <w:rPr>
                <w:rFonts w:hint="eastAsia"/>
                <w:color w:val="auto"/>
                <w:sz w:val="21"/>
                <w:szCs w:val="21"/>
                <w:highlight w:val="none"/>
                <w:lang w:eastAsia="zh-CN" w:bidi="ar"/>
              </w:rPr>
              <w:t>,</w:t>
            </w:r>
            <w:r>
              <w:rPr>
                <w:rFonts w:hint="eastAsia"/>
                <w:color w:val="auto"/>
                <w:sz w:val="21"/>
                <w:szCs w:val="21"/>
                <w:highlight w:val="none"/>
                <w:lang w:bidi="ar"/>
              </w:rPr>
              <w:t>2</w:t>
            </w:r>
            <w:r>
              <w:rPr>
                <w:rFonts w:hint="eastAsia"/>
                <w:color w:val="auto"/>
                <w:sz w:val="21"/>
                <w:szCs w:val="21"/>
                <w:highlight w:val="none"/>
                <w:lang w:eastAsia="zh-CN" w:bidi="ar"/>
              </w:rPr>
              <w:t>,</w:t>
            </w:r>
            <w:r>
              <w:rPr>
                <w:rFonts w:hint="eastAsia"/>
                <w:color w:val="auto"/>
                <w:sz w:val="21"/>
                <w:szCs w:val="21"/>
                <w:highlight w:val="none"/>
                <w:lang w:bidi="ar"/>
              </w:rPr>
              <w:t>1</w:t>
            </w:r>
            <w:r>
              <w:rPr>
                <w:rFonts w:hint="eastAsia"/>
                <w:color w:val="auto"/>
                <w:sz w:val="21"/>
                <w:szCs w:val="21"/>
                <w:highlight w:val="none"/>
                <w:lang w:eastAsia="zh-CN" w:bidi="ar"/>
              </w:rPr>
              <w:t>,</w:t>
            </w:r>
            <w:r>
              <w:rPr>
                <w:rFonts w:hint="eastAsia"/>
                <w:color w:val="auto"/>
                <w:sz w:val="21"/>
                <w:szCs w:val="21"/>
                <w:highlight w:val="none"/>
                <w:lang w:bidi="ar"/>
              </w:rPr>
              <w:t>0）。</w:t>
            </w:r>
          </w:p>
        </w:tc>
      </w:tr>
      <w:tr w14:paraId="6CB8C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Merge w:val="continue"/>
            <w:tcBorders>
              <w:left w:val="single" w:color="auto" w:sz="4" w:space="0"/>
              <w:bottom w:val="single" w:color="auto" w:sz="4" w:space="0"/>
              <w:right w:val="single" w:color="auto" w:sz="4" w:space="0"/>
            </w:tcBorders>
            <w:vAlign w:val="center"/>
          </w:tcPr>
          <w:p w14:paraId="49A374A0">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p>
        </w:tc>
        <w:tc>
          <w:tcPr>
            <w:tcW w:w="682" w:type="dxa"/>
            <w:tcBorders>
              <w:top w:val="single" w:color="auto" w:sz="4" w:space="0"/>
              <w:left w:val="single" w:color="auto" w:sz="4" w:space="0"/>
              <w:bottom w:val="single" w:color="auto" w:sz="4" w:space="0"/>
              <w:right w:val="single" w:color="auto" w:sz="4" w:space="0"/>
            </w:tcBorders>
            <w:vAlign w:val="center"/>
          </w:tcPr>
          <w:p w14:paraId="19D4A2B0">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1CA8B2A1">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lang w:bidi="ar"/>
              </w:rPr>
            </w:pPr>
            <w:r>
              <w:rPr>
                <w:rFonts w:hint="eastAsia"/>
                <w:color w:val="auto"/>
                <w:sz w:val="21"/>
                <w:szCs w:val="21"/>
                <w:highlight w:val="none"/>
                <w:lang w:bidi="ar"/>
              </w:rPr>
              <w:t>【主观分】响应产品配置合理，兼容性强（评分范围：5,4,3,2,1,0）。</w:t>
            </w:r>
          </w:p>
        </w:tc>
      </w:tr>
      <w:tr w14:paraId="665B6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31A9ECD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项目实施方案</w:t>
            </w:r>
          </w:p>
        </w:tc>
        <w:tc>
          <w:tcPr>
            <w:tcW w:w="682" w:type="dxa"/>
            <w:tcBorders>
              <w:top w:val="single" w:color="auto" w:sz="4" w:space="0"/>
              <w:left w:val="single" w:color="auto" w:sz="4" w:space="0"/>
              <w:bottom w:val="single" w:color="auto" w:sz="4" w:space="0"/>
              <w:right w:val="single" w:color="auto" w:sz="4" w:space="0"/>
            </w:tcBorders>
            <w:vAlign w:val="center"/>
          </w:tcPr>
          <w:p w14:paraId="024845B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01E2EB32">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【主观分】项目实施计划详细完整，符合项目进度要求，投入人员数量丰富（评分范围：5,4,3,2,1,0）。</w:t>
            </w:r>
          </w:p>
        </w:tc>
      </w:tr>
      <w:tr w14:paraId="3F7C4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71FA601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安装调试</w:t>
            </w:r>
          </w:p>
        </w:tc>
        <w:tc>
          <w:tcPr>
            <w:tcW w:w="682" w:type="dxa"/>
            <w:tcBorders>
              <w:top w:val="single" w:color="auto" w:sz="4" w:space="0"/>
              <w:left w:val="single" w:color="auto" w:sz="4" w:space="0"/>
              <w:bottom w:val="single" w:color="auto" w:sz="4" w:space="0"/>
              <w:right w:val="single" w:color="auto" w:sz="4" w:space="0"/>
            </w:tcBorders>
            <w:vAlign w:val="center"/>
          </w:tcPr>
          <w:p w14:paraId="7321F6C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0409776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【主观分】安装、调试方法或方案详细完整，各种措施合理可行，有助于项目实施（评分范围：5,4,3,2,1,0）。</w:t>
            </w:r>
          </w:p>
        </w:tc>
      </w:tr>
      <w:tr w14:paraId="6AA24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14DCBB6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售后服务</w:t>
            </w:r>
          </w:p>
        </w:tc>
        <w:tc>
          <w:tcPr>
            <w:tcW w:w="682" w:type="dxa"/>
            <w:tcBorders>
              <w:top w:val="single" w:color="auto" w:sz="4" w:space="0"/>
              <w:left w:val="single" w:color="auto" w:sz="4" w:space="0"/>
              <w:bottom w:val="single" w:color="auto" w:sz="4" w:space="0"/>
              <w:right w:val="single" w:color="auto" w:sz="4" w:space="0"/>
            </w:tcBorders>
            <w:vAlign w:val="center"/>
          </w:tcPr>
          <w:p w14:paraId="4FC06E7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4C32659F">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【主观分】售后服务方案、售后服务承诺可行，服务承诺落实的保障措施强（评分范围：5,4,3,2,1,0）。</w:t>
            </w:r>
          </w:p>
        </w:tc>
      </w:tr>
      <w:tr w14:paraId="64B06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67AF5FE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技术服务、培训</w:t>
            </w:r>
          </w:p>
        </w:tc>
        <w:tc>
          <w:tcPr>
            <w:tcW w:w="682" w:type="dxa"/>
            <w:tcBorders>
              <w:top w:val="single" w:color="auto" w:sz="4" w:space="0"/>
              <w:left w:val="single" w:color="auto" w:sz="4" w:space="0"/>
              <w:bottom w:val="single" w:color="auto" w:sz="4" w:space="0"/>
              <w:right w:val="single" w:color="auto" w:sz="4" w:space="0"/>
            </w:tcBorders>
            <w:vAlign w:val="center"/>
          </w:tcPr>
          <w:p w14:paraId="050059B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1EC73CA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【主观分】服务力量和服务保障措施强，培训计划内容、培训范围完整且有针对性（评分范围：5,4,3,2,1,0）。</w:t>
            </w:r>
          </w:p>
        </w:tc>
      </w:tr>
      <w:tr w14:paraId="67613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5DF3676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配件耗材</w:t>
            </w:r>
          </w:p>
        </w:tc>
        <w:tc>
          <w:tcPr>
            <w:tcW w:w="682" w:type="dxa"/>
            <w:tcBorders>
              <w:top w:val="single" w:color="auto" w:sz="4" w:space="0"/>
              <w:left w:val="single" w:color="auto" w:sz="4" w:space="0"/>
              <w:bottom w:val="single" w:color="auto" w:sz="4" w:space="0"/>
              <w:right w:val="single" w:color="auto" w:sz="4" w:space="0"/>
            </w:tcBorders>
            <w:vAlign w:val="center"/>
          </w:tcPr>
          <w:p w14:paraId="04E2B0E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52A145C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【主观分】质保期满后配件、附件、备品备件的收费标准合理，配件、附件、备品备件的保障措施强（评分范围：5,4,3,2,1,0）。</w:t>
            </w:r>
          </w:p>
        </w:tc>
      </w:tr>
      <w:tr w14:paraId="275B5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77462160">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r>
              <w:rPr>
                <w:rFonts w:hint="eastAsia"/>
                <w:b/>
                <w:bCs/>
                <w:color w:val="auto"/>
                <w:sz w:val="21"/>
                <w:szCs w:val="21"/>
                <w:highlight w:val="none"/>
              </w:rPr>
              <w:t>服务响应效率保障</w:t>
            </w:r>
          </w:p>
        </w:tc>
        <w:tc>
          <w:tcPr>
            <w:tcW w:w="682" w:type="dxa"/>
            <w:tcBorders>
              <w:top w:val="single" w:color="auto" w:sz="4" w:space="0"/>
              <w:left w:val="single" w:color="auto" w:sz="4" w:space="0"/>
              <w:bottom w:val="single" w:color="auto" w:sz="4" w:space="0"/>
              <w:right w:val="single" w:color="auto" w:sz="4" w:space="0"/>
            </w:tcBorders>
            <w:vAlign w:val="center"/>
          </w:tcPr>
          <w:p w14:paraId="051988E6">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4A706ABB">
            <w:pPr>
              <w:keepNext w:val="0"/>
              <w:keepLines w:val="0"/>
              <w:suppressLineNumbers w:val="0"/>
              <w:adjustRightInd w:val="0"/>
              <w:snapToGrid w:val="0"/>
              <w:spacing w:before="0" w:beforeAutospacing="0" w:after="0" w:afterAutospacing="0" w:line="288" w:lineRule="auto"/>
              <w:ind w:left="0" w:right="0"/>
              <w:rPr>
                <w:rFonts w:hint="default"/>
                <w:color w:val="auto"/>
                <w:highlight w:val="none"/>
              </w:rPr>
            </w:pPr>
            <w:r>
              <w:rPr>
                <w:rFonts w:hint="eastAsia"/>
                <w:color w:val="auto"/>
                <w:sz w:val="21"/>
                <w:szCs w:val="21"/>
                <w:highlight w:val="none"/>
                <w:lang w:bidi="ar"/>
              </w:rPr>
              <w:t>【主观分】响应方服务响应效率承诺可行性强、保障服务质量的措施有针对性（评分范围：5,4,3,2,1,0）。</w:t>
            </w:r>
          </w:p>
        </w:tc>
      </w:tr>
      <w:bookmarkEnd w:id="47"/>
    </w:tbl>
    <w:p w14:paraId="7BD44C42">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r>
        <w:rPr>
          <w:rFonts w:hint="eastAsia"/>
          <w:b/>
          <w:color w:val="auto"/>
          <w:sz w:val="21"/>
          <w:szCs w:val="21"/>
          <w:highlight w:val="none"/>
        </w:rPr>
        <w:t>本项目专门面向中小企业采购，不再执行价格评审优惠的扶持政策。</w:t>
      </w:r>
    </w:p>
    <w:p w14:paraId="24F297A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727B724">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14:paraId="4C128878">
      <w:pPr>
        <w:spacing w:line="360" w:lineRule="auto"/>
        <w:ind w:firstLine="562" w:firstLineChars="200"/>
        <w:jc w:val="center"/>
        <w:rPr>
          <w:rFonts w:ascii="Times New Roman" w:hAnsi="Times New Roman" w:eastAsia="宋体" w:cs="Times New Roman"/>
          <w:b/>
          <w:bCs/>
          <w:color w:val="auto"/>
          <w:kern w:val="0"/>
          <w:sz w:val="28"/>
          <w:szCs w:val="28"/>
          <w:highlight w:val="none"/>
        </w:rPr>
      </w:pPr>
      <w:r>
        <w:rPr>
          <w:rFonts w:hint="eastAsia" w:ascii="Times New Roman" w:hAnsi="Times New Roman" w:eastAsia="宋体" w:cs="Times New Roman"/>
          <w:b/>
          <w:bCs/>
          <w:color w:val="auto"/>
          <w:kern w:val="0"/>
          <w:sz w:val="28"/>
          <w:szCs w:val="28"/>
          <w:highlight w:val="none"/>
        </w:rPr>
        <w:t>杭州电子科技大学采购合同（非免税货物类）</w:t>
      </w:r>
    </w:p>
    <w:p w14:paraId="62B59D5B">
      <w:pPr>
        <w:spacing w:line="360" w:lineRule="auto"/>
        <w:ind w:firstLine="420" w:firstLineChars="200"/>
        <w:jc w:val="right"/>
        <w:rPr>
          <w:rFonts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合同编号_</w:t>
      </w:r>
      <w:r>
        <w:rPr>
          <w:rFonts w:ascii="Times New Roman" w:hAnsi="Times New Roman" w:eastAsia="宋体" w:cs="Times New Roman"/>
          <w:color w:val="auto"/>
          <w:kern w:val="0"/>
          <w:sz w:val="21"/>
          <w:szCs w:val="20"/>
          <w:highlight w:val="none"/>
        </w:rPr>
        <w:t xml:space="preserve">________________ </w:t>
      </w:r>
    </w:p>
    <w:p w14:paraId="726C80C6">
      <w:pPr>
        <w:spacing w:line="288" w:lineRule="auto"/>
        <w:ind w:firstLine="396" w:firstLineChars="200"/>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确认书号：</w:t>
      </w:r>
    </w:p>
    <w:p w14:paraId="2F5857AB">
      <w:pPr>
        <w:spacing w:line="288" w:lineRule="auto"/>
        <w:ind w:firstLine="396" w:firstLineChars="200"/>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项目编号：</w:t>
      </w:r>
    </w:p>
    <w:p w14:paraId="4C588EE1">
      <w:pPr>
        <w:spacing w:line="288" w:lineRule="auto"/>
        <w:ind w:firstLine="420" w:firstLineChars="200"/>
        <w:jc w:val="left"/>
        <w:rPr>
          <w:rFonts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甲方（采购人）：杭州电子科技大学</w:t>
      </w:r>
    </w:p>
    <w:p w14:paraId="7EEF914B">
      <w:pPr>
        <w:spacing w:line="288" w:lineRule="auto"/>
        <w:ind w:firstLine="420" w:firstLineChars="200"/>
        <w:jc w:val="left"/>
        <w:rPr>
          <w:rFonts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乙方（供应商）：</w:t>
      </w:r>
    </w:p>
    <w:p w14:paraId="57079B58">
      <w:pPr>
        <w:spacing w:line="288" w:lineRule="auto"/>
        <w:ind w:firstLine="396" w:firstLineChars="200"/>
        <w:jc w:val="left"/>
        <w:rPr>
          <w:rFonts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采购代理机构（鉴证方）：</w:t>
      </w:r>
      <w:r>
        <w:rPr>
          <w:rFonts w:hint="eastAsia" w:ascii="Times New Roman" w:hAnsi="Times New Roman" w:eastAsia="宋体" w:cs="Times New Roman"/>
          <w:color w:val="auto"/>
          <w:kern w:val="0"/>
          <w:sz w:val="21"/>
          <w:szCs w:val="20"/>
          <w:highlight w:val="none"/>
        </w:rPr>
        <w:t>浙江求是招标代理有限公司</w:t>
      </w:r>
    </w:p>
    <w:p w14:paraId="5A4A01D8">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为了保护甲乙双方合法权益，根据项目</w:t>
      </w:r>
      <w:r>
        <w:rPr>
          <w:rFonts w:hint="eastAsia" w:ascii="宋体" w:hAnsi="宋体" w:eastAsia="宋体" w:cs="宋体"/>
          <w:color w:val="auto"/>
          <w:kern w:val="0"/>
          <w:sz w:val="21"/>
          <w:szCs w:val="21"/>
          <w:highlight w:val="none"/>
          <w:u w:val="single"/>
        </w:rPr>
        <w:t>物理虚拟仿真实验及仪器采购</w:t>
      </w:r>
      <w:r>
        <w:rPr>
          <w:rFonts w:hint="eastAsia" w:ascii="宋体" w:hAnsi="宋体" w:eastAsia="宋体" w:cs="宋体"/>
          <w:color w:val="auto"/>
          <w:kern w:val="0"/>
          <w:sz w:val="21"/>
          <w:szCs w:val="21"/>
          <w:highlight w:val="none"/>
        </w:rPr>
        <w:t>（项目编号</w:t>
      </w:r>
      <w:r>
        <w:rPr>
          <w:rFonts w:hint="eastAsia" w:cs="宋体"/>
          <w:color w:val="auto"/>
          <w:kern w:val="0"/>
          <w:sz w:val="21"/>
          <w:szCs w:val="21"/>
          <w:highlight w:val="none"/>
          <w:u w:val="single"/>
          <w:lang w:eastAsia="zh-CN"/>
        </w:rPr>
        <w:t>QSZB-Z(H)-B24466(CS)L</w:t>
      </w:r>
      <w:r>
        <w:rPr>
          <w:rFonts w:hint="eastAsia" w:ascii="宋体" w:hAnsi="宋体" w:eastAsia="宋体" w:cs="宋体"/>
          <w:color w:val="auto"/>
          <w:kern w:val="0"/>
          <w:sz w:val="21"/>
          <w:szCs w:val="21"/>
          <w:highlight w:val="none"/>
        </w:rPr>
        <w:t>）的</w:t>
      </w:r>
      <w:r>
        <w:rPr>
          <w:rFonts w:hint="eastAsia" w:ascii="宋体" w:hAnsi="宋体" w:eastAsia="宋体" w:cs="宋体"/>
          <w:color w:val="auto"/>
          <w:kern w:val="0"/>
          <w:sz w:val="21"/>
          <w:szCs w:val="21"/>
          <w:highlight w:val="none"/>
          <w:u w:val="single"/>
        </w:rPr>
        <w:t xml:space="preserve"> </w:t>
      </w:r>
      <w:r>
        <w:rPr>
          <w:rFonts w:hint="eastAsia" w:cs="宋体"/>
          <w:color w:val="auto"/>
          <w:kern w:val="0"/>
          <w:sz w:val="21"/>
          <w:szCs w:val="21"/>
          <w:highlight w:val="none"/>
          <w:u w:val="single"/>
          <w:lang w:val="en-US" w:eastAsia="zh-CN"/>
        </w:rPr>
        <w:t>竞争性磋商</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的中标（成交）结果，签署本合同，以资共同遵守。</w:t>
      </w:r>
    </w:p>
    <w:p w14:paraId="3B9B26D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一、采购货物与合同价格</w:t>
      </w:r>
    </w:p>
    <w:tbl>
      <w:tblPr>
        <w:tblStyle w:val="1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353"/>
        <w:gridCol w:w="3410"/>
        <w:gridCol w:w="767"/>
        <w:gridCol w:w="847"/>
        <w:gridCol w:w="1286"/>
        <w:gridCol w:w="1208"/>
      </w:tblGrid>
      <w:tr w14:paraId="2EC78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57" w:type="dxa"/>
            <w:tcBorders>
              <w:top w:val="single" w:color="auto" w:sz="4" w:space="0"/>
              <w:left w:val="single" w:color="auto" w:sz="4" w:space="0"/>
              <w:bottom w:val="single" w:color="auto" w:sz="4" w:space="0"/>
              <w:right w:val="single" w:color="auto" w:sz="4" w:space="0"/>
            </w:tcBorders>
            <w:vAlign w:val="center"/>
          </w:tcPr>
          <w:p w14:paraId="2366F211">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353" w:type="dxa"/>
            <w:tcBorders>
              <w:top w:val="single" w:color="auto" w:sz="4" w:space="0"/>
              <w:left w:val="single" w:color="auto" w:sz="4" w:space="0"/>
              <w:bottom w:val="single" w:color="auto" w:sz="4" w:space="0"/>
              <w:right w:val="single" w:color="auto" w:sz="4" w:space="0"/>
            </w:tcBorders>
            <w:vAlign w:val="center"/>
          </w:tcPr>
          <w:p w14:paraId="47C867FD">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货物名称</w:t>
            </w:r>
          </w:p>
        </w:tc>
        <w:tc>
          <w:tcPr>
            <w:tcW w:w="3410" w:type="dxa"/>
            <w:tcBorders>
              <w:top w:val="single" w:color="auto" w:sz="4" w:space="0"/>
              <w:left w:val="single" w:color="auto" w:sz="4" w:space="0"/>
              <w:bottom w:val="single" w:color="auto" w:sz="4" w:space="0"/>
              <w:right w:val="single" w:color="auto" w:sz="4" w:space="0"/>
            </w:tcBorders>
            <w:vAlign w:val="center"/>
          </w:tcPr>
          <w:p w14:paraId="14408CC7">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品牌、型号等</w:t>
            </w:r>
          </w:p>
        </w:tc>
        <w:tc>
          <w:tcPr>
            <w:tcW w:w="767" w:type="dxa"/>
            <w:tcBorders>
              <w:top w:val="single" w:color="auto" w:sz="4" w:space="0"/>
              <w:left w:val="single" w:color="auto" w:sz="4" w:space="0"/>
              <w:bottom w:val="single" w:color="auto" w:sz="4" w:space="0"/>
              <w:right w:val="single" w:color="auto" w:sz="4" w:space="0"/>
            </w:tcBorders>
            <w:vAlign w:val="center"/>
          </w:tcPr>
          <w:p w14:paraId="25FDBAF7">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847" w:type="dxa"/>
            <w:tcBorders>
              <w:top w:val="single" w:color="auto" w:sz="4" w:space="0"/>
              <w:left w:val="single" w:color="auto" w:sz="4" w:space="0"/>
              <w:bottom w:val="single" w:color="auto" w:sz="4" w:space="0"/>
              <w:right w:val="single" w:color="auto" w:sz="4" w:space="0"/>
            </w:tcBorders>
            <w:vAlign w:val="center"/>
          </w:tcPr>
          <w:p w14:paraId="4F762240">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w:t>
            </w:r>
          </w:p>
        </w:tc>
        <w:tc>
          <w:tcPr>
            <w:tcW w:w="1286" w:type="dxa"/>
            <w:tcBorders>
              <w:top w:val="single" w:color="auto" w:sz="4" w:space="0"/>
              <w:left w:val="single" w:color="auto" w:sz="4" w:space="0"/>
              <w:bottom w:val="single" w:color="auto" w:sz="4" w:space="0"/>
              <w:right w:val="single" w:color="auto" w:sz="4" w:space="0"/>
            </w:tcBorders>
            <w:vAlign w:val="center"/>
          </w:tcPr>
          <w:p w14:paraId="31A356BD">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单价</w:t>
            </w:r>
          </w:p>
        </w:tc>
        <w:tc>
          <w:tcPr>
            <w:tcW w:w="1208" w:type="dxa"/>
            <w:tcBorders>
              <w:top w:val="single" w:color="auto" w:sz="4" w:space="0"/>
              <w:left w:val="single" w:color="auto" w:sz="4" w:space="0"/>
              <w:bottom w:val="single" w:color="auto" w:sz="4" w:space="0"/>
              <w:right w:val="single" w:color="auto" w:sz="4" w:space="0"/>
            </w:tcBorders>
            <w:vAlign w:val="center"/>
          </w:tcPr>
          <w:p w14:paraId="1102EB19">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总价</w:t>
            </w:r>
          </w:p>
        </w:tc>
      </w:tr>
      <w:tr w14:paraId="4FF1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14:paraId="0714421F">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353" w:type="dxa"/>
            <w:tcBorders>
              <w:top w:val="single" w:color="auto" w:sz="4" w:space="0"/>
              <w:left w:val="single" w:color="auto" w:sz="4" w:space="0"/>
              <w:bottom w:val="single" w:color="auto" w:sz="4" w:space="0"/>
              <w:right w:val="single" w:color="auto" w:sz="4" w:space="0"/>
            </w:tcBorders>
            <w:vAlign w:val="center"/>
          </w:tcPr>
          <w:p w14:paraId="4DD6C2B1">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3410" w:type="dxa"/>
            <w:tcBorders>
              <w:top w:val="single" w:color="auto" w:sz="4" w:space="0"/>
              <w:left w:val="single" w:color="auto" w:sz="4" w:space="0"/>
              <w:bottom w:val="single" w:color="auto" w:sz="4" w:space="0"/>
              <w:right w:val="single" w:color="auto" w:sz="4" w:space="0"/>
            </w:tcBorders>
            <w:vAlign w:val="center"/>
          </w:tcPr>
          <w:p w14:paraId="372CF5F8">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品牌、型号、详细技术参数（技术参数可以合同附件方式提供）</w:t>
            </w:r>
          </w:p>
        </w:tc>
        <w:tc>
          <w:tcPr>
            <w:tcW w:w="767" w:type="dxa"/>
            <w:tcBorders>
              <w:top w:val="single" w:color="auto" w:sz="4" w:space="0"/>
              <w:left w:val="single" w:color="auto" w:sz="4" w:space="0"/>
              <w:bottom w:val="single" w:color="auto" w:sz="4" w:space="0"/>
              <w:right w:val="single" w:color="auto" w:sz="4" w:space="0"/>
            </w:tcBorders>
            <w:vAlign w:val="center"/>
          </w:tcPr>
          <w:p w14:paraId="29D2BD33">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14:paraId="5B6DC4B9">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1286" w:type="dxa"/>
            <w:tcBorders>
              <w:top w:val="single" w:color="auto" w:sz="4" w:space="0"/>
              <w:left w:val="single" w:color="auto" w:sz="4" w:space="0"/>
              <w:bottom w:val="single" w:color="auto" w:sz="4" w:space="0"/>
              <w:right w:val="single" w:color="auto" w:sz="4" w:space="0"/>
            </w:tcBorders>
            <w:vAlign w:val="center"/>
          </w:tcPr>
          <w:p w14:paraId="5DB89CFD">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472EBCC6">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r>
      <w:tr w14:paraId="5F14D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14:paraId="1EF2C203">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1353" w:type="dxa"/>
            <w:tcBorders>
              <w:top w:val="single" w:color="auto" w:sz="4" w:space="0"/>
              <w:left w:val="single" w:color="auto" w:sz="4" w:space="0"/>
              <w:bottom w:val="single" w:color="auto" w:sz="4" w:space="0"/>
              <w:right w:val="single" w:color="auto" w:sz="4" w:space="0"/>
            </w:tcBorders>
            <w:vAlign w:val="center"/>
          </w:tcPr>
          <w:p w14:paraId="6BC36228">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3410" w:type="dxa"/>
            <w:tcBorders>
              <w:top w:val="single" w:color="auto" w:sz="4" w:space="0"/>
              <w:left w:val="single" w:color="auto" w:sz="4" w:space="0"/>
              <w:bottom w:val="single" w:color="auto" w:sz="4" w:space="0"/>
              <w:right w:val="single" w:color="auto" w:sz="4" w:space="0"/>
            </w:tcBorders>
            <w:vAlign w:val="center"/>
          </w:tcPr>
          <w:p w14:paraId="11D41CBF">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767" w:type="dxa"/>
            <w:tcBorders>
              <w:top w:val="single" w:color="auto" w:sz="4" w:space="0"/>
              <w:left w:val="single" w:color="auto" w:sz="4" w:space="0"/>
              <w:bottom w:val="single" w:color="auto" w:sz="4" w:space="0"/>
              <w:right w:val="single" w:color="auto" w:sz="4" w:space="0"/>
            </w:tcBorders>
            <w:vAlign w:val="center"/>
          </w:tcPr>
          <w:p w14:paraId="65BEEFED">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14:paraId="24809725">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1286" w:type="dxa"/>
            <w:tcBorders>
              <w:top w:val="single" w:color="auto" w:sz="4" w:space="0"/>
              <w:left w:val="single" w:color="auto" w:sz="4" w:space="0"/>
              <w:bottom w:val="single" w:color="auto" w:sz="4" w:space="0"/>
              <w:right w:val="single" w:color="auto" w:sz="4" w:space="0"/>
            </w:tcBorders>
            <w:vAlign w:val="center"/>
          </w:tcPr>
          <w:p w14:paraId="05DC8088">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6D2BA55B">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1"/>
                <w:highlight w:val="none"/>
              </w:rPr>
            </w:pPr>
          </w:p>
        </w:tc>
      </w:tr>
      <w:tr w14:paraId="42B17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14:paraId="1962EE2D">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合同总价（元，人民币）：小写￥              ，大写：</w:t>
            </w:r>
          </w:p>
        </w:tc>
      </w:tr>
    </w:tbl>
    <w:p w14:paraId="288176D8">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10A9CE0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二、供货范围</w:t>
      </w:r>
    </w:p>
    <w:p w14:paraId="3A05965C">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合同供货范围包括所有合同货物、相关的技术资料。</w:t>
      </w:r>
    </w:p>
    <w:p w14:paraId="0BC718D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6B87AA1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三、质保期、履约保证金与货款结算</w:t>
      </w:r>
    </w:p>
    <w:p w14:paraId="44E77928">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质保期：自验收合格之日起，整机质保期</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年，其中</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（配件名称）质保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年（如需要）。超过质保期的货物，终生维修，维修时只收部件成本费。软件的质保期即维护期，乙方应提供升级服务。质保期内质保维护升级等费用包含在合同总价中，不额外收取。</w:t>
      </w:r>
    </w:p>
    <w:p w14:paraId="5BBB356E">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2.履约保证金（如无则删除本条款）</w:t>
      </w:r>
      <w:r>
        <w:rPr>
          <w:rFonts w:hint="eastAsia" w:ascii="宋体" w:hAnsi="宋体" w:eastAsia="宋体" w:cs="宋体"/>
          <w:b/>
          <w:bCs/>
          <w:color w:val="auto"/>
          <w:kern w:val="0"/>
          <w:sz w:val="21"/>
          <w:szCs w:val="21"/>
          <w:highlight w:val="none"/>
        </w:rPr>
        <w:t>：</w:t>
      </w:r>
      <w:r>
        <w:rPr>
          <w:rFonts w:hint="eastAsia" w:ascii="宋体" w:hAnsi="宋体" w:eastAsia="宋体" w:cs="宋体"/>
          <w:color w:val="auto"/>
          <w:kern w:val="0"/>
          <w:sz w:val="21"/>
          <w:szCs w:val="21"/>
          <w:highlight w:val="none"/>
        </w:rPr>
        <w:t>合同总金额的</w:t>
      </w:r>
      <w:r>
        <w:rPr>
          <w:rFonts w:hint="eastAsia" w:ascii="宋体" w:hAnsi="宋体" w:eastAsia="宋体" w:cs="宋体"/>
          <w:color w:val="auto"/>
          <w:kern w:val="0"/>
          <w:sz w:val="21"/>
          <w:szCs w:val="21"/>
          <w:highlight w:val="none"/>
          <w:u w:val="single"/>
        </w:rPr>
        <w:t xml:space="preserve"> 1 </w:t>
      </w:r>
      <w:r>
        <w:rPr>
          <w:rFonts w:hint="eastAsia" w:ascii="宋体" w:hAnsi="宋体" w:eastAsia="宋体" w:cs="宋体"/>
          <w:color w:val="auto"/>
          <w:kern w:val="0"/>
          <w:sz w:val="21"/>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3B579BD1">
      <w:pPr>
        <w:spacing w:line="288" w:lineRule="auto"/>
        <w:ind w:firstLine="420" w:firstLineChars="200"/>
        <w:jc w:val="left"/>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货款结算（根据项目要求、采购文件、采购结果，按以下方式选择填写）：</w:t>
      </w:r>
    </w:p>
    <w:p w14:paraId="3F0992A3">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pacing w:val="-6"/>
          <w:kern w:val="0"/>
          <w:sz w:val="21"/>
          <w:szCs w:val="21"/>
          <w:highlight w:val="none"/>
        </w:rPr>
        <w:t>1</w:t>
      </w:r>
      <w:r>
        <w:rPr>
          <w:rFonts w:hint="eastAsia" w:ascii="宋体" w:hAnsi="宋体" w:eastAsia="宋体" w:cs="宋体"/>
          <w:color w:val="auto"/>
          <w:kern w:val="0"/>
          <w:sz w:val="21"/>
          <w:szCs w:val="21"/>
          <w:highlight w:val="none"/>
        </w:rPr>
        <w:t>）预付款方式：</w:t>
      </w:r>
    </w:p>
    <w:p w14:paraId="311B8EFA">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rPr>
        <w:t>40</w:t>
      </w:r>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rPr>
        <w:t>60</w:t>
      </w:r>
      <w:r>
        <w:rPr>
          <w:rFonts w:hint="eastAsia" w:ascii="宋体" w:hAnsi="宋体" w:eastAsia="宋体" w:cs="宋体"/>
          <w:color w:val="auto"/>
          <w:kern w:val="0"/>
          <w:sz w:val="21"/>
          <w:szCs w:val="21"/>
          <w:highlight w:val="none"/>
        </w:rPr>
        <w:t>%。</w:t>
      </w:r>
    </w:p>
    <w:p w14:paraId="51BADB91">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rPr>
        <w:t>30</w:t>
      </w:r>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rPr>
        <w:t>70</w:t>
      </w:r>
      <w:r>
        <w:rPr>
          <w:rFonts w:hint="eastAsia" w:ascii="宋体" w:hAnsi="宋体" w:eastAsia="宋体" w:cs="宋体"/>
          <w:color w:val="auto"/>
          <w:kern w:val="0"/>
          <w:sz w:val="21"/>
          <w:szCs w:val="21"/>
          <w:highlight w:val="none"/>
        </w:rPr>
        <w:t>%。</w:t>
      </w:r>
    </w:p>
    <w:p w14:paraId="2A677F7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③在签订合同时，乙方明确表示主动要求降低预付款比例的，可降低预付款比例（预付款保函同步调整）。</w:t>
      </w:r>
    </w:p>
    <w:p w14:paraId="4A68EB2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（2）签订合同时乙方明确表示无需预付款或乙方为大型企业的，可以采用以下付款方式：</w:t>
      </w:r>
    </w:p>
    <w:p w14:paraId="62246165">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w:t>
      </w:r>
      <w:r>
        <w:rPr>
          <w:rFonts w:hint="eastAsia" w:ascii="宋体" w:hAnsi="宋体" w:eastAsia="宋体" w:cs="宋体"/>
          <w:bCs/>
          <w:color w:val="auto"/>
          <w:kern w:val="0"/>
          <w:sz w:val="21"/>
          <w:szCs w:val="21"/>
          <w:highlight w:val="none"/>
        </w:rPr>
        <w:t>货到分期付款：</w:t>
      </w:r>
      <w:r>
        <w:rPr>
          <w:rFonts w:hint="eastAsia" w:ascii="宋体" w:hAnsi="宋体" w:eastAsia="宋体" w:cs="宋体"/>
          <w:color w:val="auto"/>
          <w:kern w:val="0"/>
          <w:sz w:val="21"/>
          <w:szCs w:val="21"/>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14:paraId="019BAAA2">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②货到一次性支付：全部货物送达安装调试完毕，经甲方验收合格，收到发票后10个工作日内，甲方向乙方支付全部合同价款。</w:t>
      </w:r>
    </w:p>
    <w:p w14:paraId="518E4D8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③其它支付形式：</w:t>
      </w:r>
    </w:p>
    <w:p w14:paraId="5BF59E2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付款前，乙方须交纳合同约定的履约保证金（如有）并提供甲方财务处开具的履约保证金收据，乙方向甲方开具等额有效的合格增值税专用发票。甲方开票信息如下：</w:t>
      </w:r>
    </w:p>
    <w:p w14:paraId="50C0A60E">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单位名称：杭州电子科技大学。税号：12330000470009026T</w:t>
      </w:r>
    </w:p>
    <w:p w14:paraId="7A446534">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开户银行：工行杭州高新支行。账号：1202026209008806216</w:t>
      </w:r>
    </w:p>
    <w:p w14:paraId="72DAD873">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四、知识产权 </w:t>
      </w:r>
    </w:p>
    <w:p w14:paraId="2A24EAE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9" w:name="_Hlk155103594"/>
    </w:p>
    <w:bookmarkEnd w:id="49"/>
    <w:p w14:paraId="5E6F1C60">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2.涉及产品定做的，甲方交付给乙方的设计图纸、样品、模具等商业秘密和知识产权归属于甲方，许可乙方在合同范围内使用，乙方负有保密责任。</w:t>
      </w:r>
    </w:p>
    <w:p w14:paraId="4EC5DA7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乙方违反上述条款导致甲方受损的，由此所导致的所有责任以及甲方所支付的所有费用（包括但不限于律师费、诉讼费等）均由乙方承担。</w:t>
      </w:r>
    </w:p>
    <w:p w14:paraId="679CD845">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五、转包或分包</w:t>
      </w:r>
    </w:p>
    <w:p w14:paraId="5F154324">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本合同范围的货物，应由乙方直接供应，不得转让他人供应。</w:t>
      </w:r>
    </w:p>
    <w:p w14:paraId="14561F32">
      <w:pPr>
        <w:spacing w:line="288" w:lineRule="auto"/>
        <w:ind w:firstLine="420" w:firstLineChars="200"/>
        <w:rPr>
          <w:rFonts w:ascii="宋体" w:hAnsi="宋体" w:eastAsia="宋体" w:cs="宋体"/>
          <w:snapToGrid w:val="0"/>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snapToGrid w:val="0"/>
          <w:color w:val="auto"/>
          <w:spacing w:val="-6"/>
          <w:sz w:val="21"/>
          <w:szCs w:val="21"/>
          <w:highlight w:val="none"/>
        </w:rPr>
        <w:t>.</w:t>
      </w:r>
      <w:r>
        <w:rPr>
          <w:rFonts w:hint="eastAsia" w:ascii="宋体" w:hAnsi="宋体" w:eastAsia="宋体" w:cs="宋体"/>
          <w:snapToGrid w:val="0"/>
          <w:color w:val="auto"/>
          <w:sz w:val="21"/>
          <w:szCs w:val="21"/>
          <w:highlight w:val="none"/>
        </w:rPr>
        <w:t>除非得到甲方的书面同意，乙方不得将本合同范围的货物分包给他人供应。</w:t>
      </w:r>
    </w:p>
    <w:p w14:paraId="54B519AD">
      <w:pPr>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pacing w:val="-6"/>
          <w:sz w:val="21"/>
          <w:szCs w:val="21"/>
          <w:highlight w:val="none"/>
        </w:rPr>
        <w:t>.</w:t>
      </w:r>
      <w:r>
        <w:rPr>
          <w:rFonts w:hint="eastAsia" w:ascii="宋体" w:hAnsi="宋体" w:eastAsia="宋体" w:cs="宋体"/>
          <w:color w:val="auto"/>
          <w:sz w:val="21"/>
          <w:szCs w:val="21"/>
          <w:highlight w:val="none"/>
        </w:rPr>
        <w:t>如有转让或未经甲方同意的分包行为，甲方有权解除合同，没收履约保证金并追究乙方的违约责任。</w:t>
      </w:r>
    </w:p>
    <w:p w14:paraId="3806802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六、货物交付</w:t>
      </w:r>
    </w:p>
    <w:p w14:paraId="44405E1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交货期：自合同签订之日起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日内。</w:t>
      </w:r>
    </w:p>
    <w:p w14:paraId="07073D4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交货方式：</w:t>
      </w:r>
      <w:bookmarkStart w:id="50" w:name="_Hlk155602651"/>
      <w:r>
        <w:rPr>
          <w:rFonts w:hint="eastAsia" w:ascii="宋体" w:hAnsi="宋体" w:eastAsia="宋体" w:cs="宋体"/>
          <w:color w:val="auto"/>
          <w:kern w:val="0"/>
          <w:sz w:val="21"/>
          <w:szCs w:val="21"/>
          <w:highlight w:val="none"/>
        </w:rPr>
        <w:t>　　　送货上门　　</w:t>
      </w:r>
      <w:bookmarkStart w:id="51" w:name="_Hlk155602451"/>
      <w:r>
        <w:rPr>
          <w:rFonts w:hint="eastAsia" w:ascii="宋体" w:hAnsi="宋体" w:eastAsia="宋体" w:cs="宋体"/>
          <w:color w:val="auto"/>
          <w:kern w:val="0"/>
          <w:sz w:val="21"/>
          <w:szCs w:val="21"/>
          <w:highlight w:val="none"/>
        </w:rPr>
        <w:t>。</w:t>
      </w:r>
      <w:bookmarkEnd w:id="50"/>
      <w:bookmarkEnd w:id="51"/>
    </w:p>
    <w:p w14:paraId="1998146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交货地点：</w:t>
      </w:r>
      <w:bookmarkStart w:id="52" w:name="_Hlk155602663"/>
      <w:r>
        <w:rPr>
          <w:rFonts w:hint="eastAsia" w:ascii="宋体" w:hAnsi="宋体" w:eastAsia="宋体" w:cs="宋体"/>
          <w:color w:val="auto"/>
          <w:kern w:val="0"/>
          <w:sz w:val="21"/>
          <w:szCs w:val="21"/>
          <w:highlight w:val="none"/>
        </w:rPr>
        <w:t xml:space="preserve"> 　　甲方指定地点　 。</w:t>
      </w:r>
      <w:bookmarkEnd w:id="52"/>
    </w:p>
    <w:p w14:paraId="63347FD4">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联系人及电话：</w:t>
      </w:r>
      <w:bookmarkStart w:id="53" w:name="_Hlk155181628"/>
      <w:r>
        <w:rPr>
          <w:rFonts w:hint="eastAsia" w:ascii="宋体" w:hAnsi="宋体" w:eastAsia="宋体" w:cs="宋体"/>
          <w:color w:val="auto"/>
          <w:kern w:val="0"/>
          <w:sz w:val="21"/>
          <w:szCs w:val="21"/>
          <w:highlight w:val="none"/>
        </w:rPr>
        <w:t>甲方 姓名_________联系电话</w:t>
      </w:r>
      <w:r>
        <w:rPr>
          <w:rFonts w:hint="eastAsia" w:ascii="宋体" w:hAnsi="宋体" w:eastAsia="宋体" w:cs="宋体"/>
          <w:color w:val="auto"/>
          <w:kern w:val="0"/>
          <w:sz w:val="21"/>
          <w:szCs w:val="21"/>
          <w:highlight w:val="none"/>
          <w:u w:val="single"/>
        </w:rPr>
        <w:t xml:space="preserve">（办公电话及手机号） </w:t>
      </w:r>
      <w:r>
        <w:rPr>
          <w:rFonts w:hint="eastAsia" w:ascii="宋体" w:hAnsi="宋体" w:eastAsia="宋体" w:cs="宋体"/>
          <w:color w:val="auto"/>
          <w:kern w:val="0"/>
          <w:sz w:val="21"/>
          <w:szCs w:val="21"/>
          <w:highlight w:val="none"/>
        </w:rPr>
        <w:t>；乙方 姓名 __________联系电话</w:t>
      </w:r>
      <w:r>
        <w:rPr>
          <w:rFonts w:hint="eastAsia" w:ascii="宋体" w:hAnsi="宋体" w:eastAsia="宋体" w:cs="宋体"/>
          <w:color w:val="auto"/>
          <w:kern w:val="0"/>
          <w:sz w:val="21"/>
          <w:szCs w:val="21"/>
          <w:highlight w:val="none"/>
          <w:u w:val="single"/>
        </w:rPr>
        <w:t xml:space="preserve">（办公电话及手机号） </w:t>
      </w:r>
      <w:bookmarkEnd w:id="53"/>
      <w:r>
        <w:rPr>
          <w:rFonts w:hint="eastAsia" w:ascii="宋体" w:hAnsi="宋体" w:eastAsia="宋体" w:cs="宋体"/>
          <w:color w:val="auto"/>
          <w:kern w:val="0"/>
          <w:sz w:val="21"/>
          <w:szCs w:val="21"/>
          <w:highlight w:val="none"/>
        </w:rPr>
        <w:t>。</w:t>
      </w:r>
    </w:p>
    <w:p w14:paraId="66BE210E">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乙方应在交货前3日内，以电话或传真向甲方提供交货计划（内容包括合同号、设备名称、型号规格、数量、重量和体积的约数、交货时间、地点、运输安排）。甲方应及时作好准备，办妥一切接货手续。</w:t>
      </w:r>
    </w:p>
    <w:p w14:paraId="1A08FD72">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本合同所有物品运抵甲方现场后，乙方应在确保设备外包装完好无损的情况下向甲方交货，出现货物不全，外包装破损等情况，甲方不予接收，由乙方负责更换，其相关费用由乙方负担。</w:t>
      </w:r>
    </w:p>
    <w:p w14:paraId="180B673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乙方负责在约定期内将货物安全运抵指定地点，运输方式由乙方自行决定，相关费用由乙方承担。运输途中产生的交通事故、人身伤害、财产损失等责任均由乙方自行承担，与甲方无涉。</w:t>
      </w:r>
    </w:p>
    <w:p w14:paraId="18572E3A">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七、安装与验收</w:t>
      </w:r>
    </w:p>
    <w:p w14:paraId="6E4C365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验收由甲方负责实施，甲乙双方验收人员在安装数量和合同价格清单上签字确认。</w:t>
      </w:r>
    </w:p>
    <w:p w14:paraId="483AE8A0">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57AD92A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7357CE6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最终验收：货物经安装调试完成且符合技术要求后，甲方负责在</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54" w:name="_Hlk155181772"/>
    </w:p>
    <w:bookmarkEnd w:id="54"/>
    <w:p w14:paraId="45ABB53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八、质量保证与售后服务</w:t>
      </w:r>
    </w:p>
    <w:p w14:paraId="38276EB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w:t>
      </w:r>
      <w:bookmarkStart w:id="55" w:name="_Hlk154577956"/>
      <w:r>
        <w:rPr>
          <w:rFonts w:hint="eastAsia" w:ascii="宋体" w:hAnsi="宋体" w:eastAsia="宋体" w:cs="宋体"/>
          <w:color w:val="auto"/>
          <w:kern w:val="0"/>
          <w:sz w:val="21"/>
          <w:szCs w:val="21"/>
          <w:highlight w:val="none"/>
        </w:rPr>
        <w:t>应按采购文件规定的货物性能、技术要求、质量标准向甲方提供</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月后生产的，全新未经使用的，符合国家法律规定和技术规格、质量标准的出厂原装合格产品。</w:t>
      </w:r>
      <w:bookmarkEnd w:id="55"/>
    </w:p>
    <w:p w14:paraId="181B3CCC">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售后服务</w:t>
      </w:r>
    </w:p>
    <w:p w14:paraId="53C1C3FC">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2.1远程技术支持：乙方应具有稳定的技术支持队伍和完善的服务支持网络，提供</w:t>
      </w:r>
      <w:r>
        <w:rPr>
          <w:rFonts w:hint="eastAsia" w:ascii="宋体" w:hAnsi="宋体" w:eastAsia="宋体" w:cs="宋体"/>
          <w:color w:val="auto"/>
          <w:kern w:val="0"/>
          <w:sz w:val="21"/>
          <w:szCs w:val="21"/>
          <w:highlight w:val="none"/>
          <w:u w:val="single"/>
        </w:rPr>
        <w:t xml:space="preserve"> 7×24小时 </w:t>
      </w:r>
      <w:r>
        <w:rPr>
          <w:rFonts w:hint="eastAsia" w:ascii="宋体" w:hAnsi="宋体" w:eastAsia="宋体" w:cs="宋体"/>
          <w:color w:val="auto"/>
          <w:kern w:val="0"/>
          <w:sz w:val="21"/>
          <w:szCs w:val="21"/>
          <w:highlight w:val="none"/>
        </w:rPr>
        <w:t>技术支持服务，及时响应甲方的技术服务支持需求，提出有效的解决方案，解决甲方在货物使用过程中遇到的实际问题。</w:t>
      </w:r>
    </w:p>
    <w:p w14:paraId="7CCE60B2">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2.2现场技术支持：对于通过电话、邮件等远程技术支持不能解决的问题，乙方应在</w:t>
      </w:r>
      <w:r>
        <w:rPr>
          <w:rFonts w:hint="eastAsia" w:ascii="宋体" w:hAnsi="宋体" w:eastAsia="宋体" w:cs="宋体"/>
          <w:color w:val="auto"/>
          <w:kern w:val="0"/>
          <w:sz w:val="21"/>
          <w:szCs w:val="21"/>
          <w:highlight w:val="none"/>
          <w:u w:val="single"/>
        </w:rPr>
        <w:t>12</w:t>
      </w:r>
      <w:r>
        <w:rPr>
          <w:rFonts w:hint="eastAsia" w:ascii="宋体" w:hAnsi="宋体" w:eastAsia="宋体" w:cs="宋体"/>
          <w:color w:val="auto"/>
          <w:kern w:val="0"/>
          <w:sz w:val="21"/>
          <w:szCs w:val="21"/>
          <w:highlight w:val="none"/>
        </w:rPr>
        <w:t>小时内派遣相关人员赶赴现场，</w:t>
      </w:r>
      <w:r>
        <w:rPr>
          <w:rFonts w:hint="eastAsia" w:ascii="宋体" w:hAnsi="宋体" w:eastAsia="宋体" w:cs="宋体"/>
          <w:color w:val="auto"/>
          <w:kern w:val="0"/>
          <w:sz w:val="21"/>
          <w:szCs w:val="21"/>
          <w:highlight w:val="none"/>
          <w:u w:val="single"/>
        </w:rPr>
        <w:t>48</w:t>
      </w:r>
      <w:r>
        <w:rPr>
          <w:rFonts w:hint="eastAsia" w:ascii="宋体" w:hAnsi="宋体" w:eastAsia="宋体" w:cs="宋体"/>
          <w:color w:val="auto"/>
          <w:kern w:val="0"/>
          <w:sz w:val="21"/>
          <w:szCs w:val="21"/>
          <w:highlight w:val="none"/>
        </w:rPr>
        <w:t>小时内维修完毕；发生紧急抢修事故的，乙方应在接到甲方通知后</w:t>
      </w:r>
      <w:r>
        <w:rPr>
          <w:rFonts w:hint="eastAsia" w:ascii="宋体" w:hAnsi="宋体" w:eastAsia="宋体" w:cs="宋体"/>
          <w:color w:val="auto"/>
          <w:kern w:val="0"/>
          <w:sz w:val="21"/>
          <w:szCs w:val="21"/>
          <w:highlight w:val="none"/>
          <w:u w:val="single"/>
        </w:rPr>
        <w:t>2</w:t>
      </w:r>
      <w:r>
        <w:rPr>
          <w:rFonts w:hint="eastAsia" w:ascii="宋体" w:hAnsi="宋体" w:eastAsia="宋体" w:cs="宋体"/>
          <w:color w:val="auto"/>
          <w:kern w:val="0"/>
          <w:sz w:val="21"/>
          <w:szCs w:val="21"/>
          <w:highlight w:val="none"/>
        </w:rPr>
        <w:t>小时内到达现场抢修，并于到达现场</w:t>
      </w:r>
      <w:r>
        <w:rPr>
          <w:rFonts w:hint="eastAsia" w:ascii="宋体" w:hAnsi="宋体" w:eastAsia="宋体" w:cs="宋体"/>
          <w:color w:val="auto"/>
          <w:kern w:val="0"/>
          <w:sz w:val="21"/>
          <w:szCs w:val="21"/>
          <w:highlight w:val="none"/>
          <w:u w:val="single"/>
        </w:rPr>
        <w:t>6</w:t>
      </w:r>
      <w:r>
        <w:rPr>
          <w:rFonts w:hint="eastAsia" w:ascii="宋体" w:hAnsi="宋体" w:eastAsia="宋体" w:cs="宋体"/>
          <w:color w:val="auto"/>
          <w:kern w:val="0"/>
          <w:sz w:val="21"/>
          <w:szCs w:val="21"/>
          <w:highlight w:val="none"/>
        </w:rPr>
        <w:t>小时之内排除故障。乙方未在约定时间内修复的或同一货物经</w:t>
      </w:r>
      <w:r>
        <w:rPr>
          <w:rFonts w:hint="eastAsia" w:ascii="宋体" w:hAnsi="宋体" w:eastAsia="宋体" w:cs="宋体"/>
          <w:color w:val="auto"/>
          <w:kern w:val="0"/>
          <w:sz w:val="21"/>
          <w:szCs w:val="21"/>
          <w:highlight w:val="none"/>
          <w:u w:val="single"/>
        </w:rPr>
        <w:t>2</w:t>
      </w:r>
      <w:r>
        <w:rPr>
          <w:rFonts w:hint="eastAsia" w:ascii="宋体" w:hAnsi="宋体" w:eastAsia="宋体" w:cs="宋体"/>
          <w:color w:val="auto"/>
          <w:kern w:val="0"/>
          <w:sz w:val="21"/>
          <w:szCs w:val="21"/>
          <w:highlight w:val="none"/>
        </w:rPr>
        <w:t>次维修后仍不能稳定、可靠运行的，甲方有权要求乙方免费更换。</w:t>
      </w:r>
    </w:p>
    <w:p w14:paraId="0DD4B15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九、保密条款</w:t>
      </w:r>
    </w:p>
    <w:p w14:paraId="60CAB18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7557434">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十、违约责任</w:t>
      </w:r>
    </w:p>
    <w:p w14:paraId="32B16FE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甲方无故逾期验收和办理货款支付手续的，每逾期一日，应按逾期付款总额</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向乙方支付违约金。</w:t>
      </w:r>
    </w:p>
    <w:p w14:paraId="0F0921A2">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乙方逾期交货完工的，每逾期一日，应按合同总价</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向甲方支付违约金。逾期超过约定日期</w:t>
      </w:r>
      <w:r>
        <w:rPr>
          <w:rFonts w:hint="eastAsia" w:ascii="宋体" w:hAnsi="宋体" w:eastAsia="宋体" w:cs="宋体"/>
          <w:color w:val="auto"/>
          <w:kern w:val="0"/>
          <w:sz w:val="21"/>
          <w:szCs w:val="21"/>
          <w:highlight w:val="none"/>
          <w:u w:val="single"/>
        </w:rPr>
        <w:t xml:space="preserve"> 10 </w:t>
      </w:r>
      <w:r>
        <w:rPr>
          <w:rFonts w:hint="eastAsia" w:ascii="宋体" w:hAnsi="宋体" w:eastAsia="宋体" w:cs="宋体"/>
          <w:color w:val="auto"/>
          <w:kern w:val="0"/>
          <w:sz w:val="21"/>
          <w:szCs w:val="21"/>
          <w:highlight w:val="none"/>
        </w:rPr>
        <w:t>个工作日不能交货完工的，甲方有权解除本合同，并要求乙方支付合同总价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14:paraId="2DAD3968">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14:paraId="25609FF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乙方未能按约定要求履行保修义务的，</w:t>
      </w:r>
      <w:bookmarkStart w:id="56" w:name="_Hlk154755811"/>
      <w:r>
        <w:rPr>
          <w:rFonts w:hint="eastAsia" w:ascii="宋体" w:hAnsi="宋体" w:eastAsia="宋体" w:cs="宋体"/>
          <w:color w:val="auto"/>
          <w:kern w:val="0"/>
          <w:sz w:val="21"/>
          <w:szCs w:val="21"/>
          <w:highlight w:val="none"/>
        </w:rPr>
        <w:t>每发生一次应向甲方支付</w:t>
      </w:r>
      <w:r>
        <w:rPr>
          <w:rFonts w:hint="eastAsia" w:ascii="宋体" w:hAnsi="宋体" w:eastAsia="宋体" w:cs="宋体"/>
          <w:color w:val="auto"/>
          <w:kern w:val="0"/>
          <w:sz w:val="21"/>
          <w:szCs w:val="21"/>
          <w:highlight w:val="none"/>
          <w:u w:val="single"/>
        </w:rPr>
        <w:t>3000</w:t>
      </w:r>
      <w:r>
        <w:rPr>
          <w:rFonts w:hint="eastAsia" w:ascii="宋体" w:hAnsi="宋体" w:eastAsia="宋体" w:cs="宋体"/>
          <w:color w:val="auto"/>
          <w:kern w:val="0"/>
          <w:sz w:val="21"/>
          <w:szCs w:val="21"/>
          <w:highlight w:val="none"/>
        </w:rPr>
        <w:t>元的违约金，同时，甲方有权委托第三方进行保修，所产生的费用由乙方承担。</w:t>
      </w:r>
      <w:bookmarkEnd w:id="56"/>
      <w:r>
        <w:rPr>
          <w:rFonts w:hint="eastAsia" w:ascii="宋体" w:hAnsi="宋体" w:eastAsia="宋体" w:cs="宋体"/>
          <w:color w:val="auto"/>
          <w:kern w:val="0"/>
          <w:sz w:val="21"/>
          <w:szCs w:val="21"/>
          <w:highlight w:val="none"/>
        </w:rPr>
        <w:t>若因货物缺陷或乙方服务质量等问题造成甲方或任何人员人身、财产损害的，乙方应承担有关责任并作出相应赔偿。</w:t>
      </w:r>
    </w:p>
    <w:p w14:paraId="45FC3ACC">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 xml:space="preserve">因乙方其他违约行为导致甲方解除合同的，乙方应向甲方支付合同总价 </w:t>
      </w:r>
      <w:r>
        <w:rPr>
          <w:rFonts w:hint="eastAsia" w:ascii="宋体" w:hAnsi="宋体" w:eastAsia="宋体" w:cs="宋体"/>
          <w:color w:val="auto"/>
          <w:kern w:val="0"/>
          <w:sz w:val="21"/>
          <w:szCs w:val="21"/>
          <w:highlight w:val="none"/>
          <w:u w:val="single"/>
        </w:rPr>
        <w:t>5 %</w:t>
      </w:r>
      <w:r>
        <w:rPr>
          <w:rFonts w:hint="eastAsia" w:ascii="宋体" w:hAnsi="宋体" w:eastAsia="宋体" w:cs="宋体"/>
          <w:color w:val="auto"/>
          <w:kern w:val="0"/>
          <w:sz w:val="21"/>
          <w:szCs w:val="21"/>
          <w:highlight w:val="none"/>
        </w:rPr>
        <w:t>的违约金，违约金不足以弥补甲方损失的，乙方还应负责赔偿。</w:t>
      </w:r>
    </w:p>
    <w:p w14:paraId="12447E8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十一、不可抗力</w:t>
      </w:r>
    </w:p>
    <w:p w14:paraId="1A176C8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在合同有效期内，任何一方因不可抗力事件导致不能履行合同，则合同履行期可延长，其延长期与不可抗力影响期相同。</w:t>
      </w:r>
    </w:p>
    <w:p w14:paraId="3D3D72F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本条所述的“不可抗力”系指双方不可预见、不可避免、不可克服的事件。</w:t>
      </w:r>
    </w:p>
    <w:p w14:paraId="079C7DA3">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不可抗力事件发生后，受不可抗力事件影响的一方应在事件发生后3日内通知对方，并寄送有关权威机构出具的证明。同时应立即尽一切合理努力采取措施，消除影响，减少损失。</w:t>
      </w:r>
    </w:p>
    <w:p w14:paraId="434F4302">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不可抗力事件延续30天以上，双方应通过友好协商，确定是否继续履行合同。</w:t>
      </w:r>
    </w:p>
    <w:p w14:paraId="406C0F62">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十二、法律适用与争议解决</w:t>
      </w:r>
    </w:p>
    <w:p w14:paraId="48952330">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本合同的订立、解释、履行及争议解决，均适用中华人民共和国法律。</w:t>
      </w:r>
    </w:p>
    <w:p w14:paraId="74DEF1A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本合同履行过程中发生争议的，甲乙双方应友好协商；协商不成的，任何一方可向甲方所在地人民法院起诉。</w:t>
      </w:r>
    </w:p>
    <w:p w14:paraId="1AFDF715">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十三、合同生效及其他</w:t>
      </w:r>
    </w:p>
    <w:p w14:paraId="6BF15CCC">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本合同经甲、乙双方代表签字并加盖单位公章或合同专用章后生效，甲方的单位公章盖采购中心合同专用章（其他部门公章无效）。</w:t>
      </w:r>
    </w:p>
    <w:p w14:paraId="28198BB8">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346F5133">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本次采购过程中形成的招标（非招标）文件、投标（响应）文件、澄清承诺、补充协议、附件等</w:t>
      </w:r>
      <w:r>
        <w:rPr>
          <w:rFonts w:hint="eastAsia" w:ascii="宋体" w:hAnsi="宋体" w:eastAsia="宋体" w:cs="宋体"/>
          <w:color w:val="auto"/>
          <w:kern w:val="0"/>
          <w:sz w:val="21"/>
          <w:szCs w:val="21"/>
          <w:highlight w:val="none"/>
          <w:lang w:val="zh-CN"/>
        </w:rPr>
        <w:t>为本合同的组成部分，并构成一个整体，需综合解释、相互补充。如果</w:t>
      </w:r>
      <w:r>
        <w:rPr>
          <w:rFonts w:hint="eastAsia" w:ascii="宋体" w:hAnsi="宋体" w:eastAsia="宋体" w:cs="宋体"/>
          <w:color w:val="auto"/>
          <w:kern w:val="0"/>
          <w:sz w:val="21"/>
          <w:szCs w:val="21"/>
          <w:highlight w:val="none"/>
        </w:rPr>
        <w:t>上述</w:t>
      </w:r>
      <w:r>
        <w:rPr>
          <w:rFonts w:hint="eastAsia" w:ascii="宋体" w:hAnsi="宋体" w:eastAsia="宋体" w:cs="宋体"/>
          <w:color w:val="auto"/>
          <w:kern w:val="0"/>
          <w:sz w:val="21"/>
          <w:szCs w:val="21"/>
          <w:highlight w:val="none"/>
          <w:lang w:val="zh-CN"/>
        </w:rPr>
        <w:t>文件内容出现不一致的情形，那么在保证按照采购文件确定的事项的前提下，组成本合同的多个文件的优先适用顺序如下：</w:t>
      </w:r>
    </w:p>
    <w:p w14:paraId="6E2BB97E">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（1）本合同及其补充合同、变更协议；</w:t>
      </w:r>
    </w:p>
    <w:p w14:paraId="2FD1E3C9">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（2）中标（成交）通知书；</w:t>
      </w:r>
    </w:p>
    <w:p w14:paraId="2B90393B">
      <w:pPr>
        <w:spacing w:line="288" w:lineRule="auto"/>
        <w:ind w:firstLine="420" w:firstLineChars="200"/>
        <w:jc w:val="left"/>
        <w:rPr>
          <w:rFonts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（3）投标（</w:t>
      </w:r>
      <w:r>
        <w:rPr>
          <w:rFonts w:hint="eastAsia" w:ascii="宋体" w:hAnsi="宋体" w:eastAsia="宋体" w:cs="宋体"/>
          <w:color w:val="auto"/>
          <w:kern w:val="0"/>
          <w:sz w:val="21"/>
          <w:szCs w:val="21"/>
          <w:highlight w:val="none"/>
          <w:lang w:val="zh-CN"/>
        </w:rPr>
        <w:t>响应）文件（含澄清或者说明文件）；</w:t>
      </w:r>
    </w:p>
    <w:p w14:paraId="71A95F7C">
      <w:pPr>
        <w:spacing w:line="288" w:lineRule="auto"/>
        <w:ind w:firstLine="420" w:firstLineChars="200"/>
        <w:jc w:val="left"/>
        <w:rPr>
          <w:rFonts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（4）招标（非招标）</w:t>
      </w:r>
      <w:r>
        <w:rPr>
          <w:rFonts w:hint="eastAsia" w:ascii="宋体" w:hAnsi="宋体" w:eastAsia="宋体" w:cs="宋体"/>
          <w:color w:val="auto"/>
          <w:kern w:val="0"/>
          <w:sz w:val="21"/>
          <w:szCs w:val="21"/>
          <w:highlight w:val="none"/>
          <w:lang w:val="zh-CN"/>
        </w:rPr>
        <w:t>文件（含澄清或者修改文件）；</w:t>
      </w:r>
    </w:p>
    <w:p w14:paraId="3890ED0E">
      <w:pPr>
        <w:spacing w:line="288" w:lineRule="auto"/>
        <w:ind w:firstLine="420" w:firstLineChars="200"/>
        <w:rPr>
          <w:rFonts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（5）</w:t>
      </w:r>
      <w:r>
        <w:rPr>
          <w:rFonts w:hint="eastAsia" w:ascii="宋体" w:hAnsi="宋体" w:eastAsia="宋体" w:cs="宋体"/>
          <w:snapToGrid w:val="0"/>
          <w:color w:val="auto"/>
          <w:sz w:val="21"/>
          <w:szCs w:val="21"/>
          <w:highlight w:val="none"/>
          <w:lang w:val="zh-CN"/>
        </w:rPr>
        <w:t>其他相关采购文件。</w:t>
      </w:r>
    </w:p>
    <w:p w14:paraId="245B9F45">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本合同未尽事宜，遵照《中华人民共和国民法典》有关条文执行。</w:t>
      </w:r>
    </w:p>
    <w:p w14:paraId="012C6198">
      <w:pPr>
        <w:spacing w:line="288" w:lineRule="auto"/>
        <w:ind w:firstLine="396" w:firstLineChars="200"/>
        <w:jc w:val="left"/>
        <w:rPr>
          <w:rFonts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5.</w:t>
      </w:r>
      <w:r>
        <w:rPr>
          <w:rFonts w:hint="eastAsia" w:ascii="宋体" w:hAnsi="宋体" w:eastAsia="宋体" w:cs="宋体"/>
          <w:color w:val="auto"/>
          <w:kern w:val="0"/>
          <w:sz w:val="21"/>
          <w:szCs w:val="21"/>
          <w:highlight w:val="none"/>
        </w:rPr>
        <w:t>本合同一式伍份，甲方执叁份，乙方执一份，采购代理机构执一份，具有同等法律效力。</w:t>
      </w:r>
    </w:p>
    <w:p w14:paraId="019891FB">
      <w:pPr>
        <w:spacing w:line="288" w:lineRule="auto"/>
        <w:ind w:firstLine="420" w:firstLineChars="200"/>
        <w:jc w:val="left"/>
        <w:rPr>
          <w:rFonts w:ascii="宋体" w:hAnsi="宋体" w:eastAsia="宋体" w:cs="宋体"/>
          <w:color w:val="auto"/>
          <w:kern w:val="0"/>
          <w:sz w:val="21"/>
          <w:szCs w:val="21"/>
          <w:highlight w:val="none"/>
        </w:rPr>
      </w:pPr>
    </w:p>
    <w:p w14:paraId="227B2073">
      <w:pPr>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合同附件：   （附件名称）（如有则填写，如无则删除）</w:t>
      </w:r>
    </w:p>
    <w:p w14:paraId="0A7DD9D5">
      <w:pPr>
        <w:spacing w:line="288" w:lineRule="auto"/>
        <w:ind w:firstLine="420" w:firstLineChars="200"/>
        <w:jc w:val="left"/>
        <w:rPr>
          <w:rFonts w:ascii="宋体" w:hAnsi="宋体" w:eastAsia="宋体" w:cs="宋体"/>
          <w:color w:val="auto"/>
          <w:kern w:val="0"/>
          <w:sz w:val="21"/>
          <w:szCs w:val="21"/>
          <w:highlight w:val="none"/>
        </w:rPr>
      </w:pPr>
    </w:p>
    <w:tbl>
      <w:tblPr>
        <w:tblStyle w:val="13"/>
        <w:tblW w:w="9249" w:type="dxa"/>
        <w:jc w:val="center"/>
        <w:tblLayout w:type="fixed"/>
        <w:tblCellMar>
          <w:top w:w="0" w:type="dxa"/>
          <w:left w:w="108" w:type="dxa"/>
          <w:bottom w:w="0" w:type="dxa"/>
          <w:right w:w="108" w:type="dxa"/>
        </w:tblCellMar>
      </w:tblPr>
      <w:tblGrid>
        <w:gridCol w:w="5073"/>
        <w:gridCol w:w="4176"/>
      </w:tblGrid>
      <w:tr w14:paraId="464DBFFB">
        <w:tblPrEx>
          <w:tblCellMar>
            <w:top w:w="0" w:type="dxa"/>
            <w:left w:w="108" w:type="dxa"/>
            <w:bottom w:w="0" w:type="dxa"/>
            <w:right w:w="108" w:type="dxa"/>
          </w:tblCellMar>
        </w:tblPrEx>
        <w:trPr>
          <w:trHeight w:val="632" w:hRule="atLeast"/>
          <w:jc w:val="center"/>
        </w:trPr>
        <w:tc>
          <w:tcPr>
            <w:tcW w:w="5073" w:type="dxa"/>
            <w:vAlign w:val="center"/>
          </w:tcPr>
          <w:p w14:paraId="1C371677">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甲方：杭州电子科技大学（公章）</w:t>
            </w:r>
          </w:p>
        </w:tc>
        <w:tc>
          <w:tcPr>
            <w:tcW w:w="4176" w:type="dxa"/>
            <w:vAlign w:val="center"/>
          </w:tcPr>
          <w:p w14:paraId="1B09CED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乙方：（公章）</w:t>
            </w:r>
          </w:p>
        </w:tc>
      </w:tr>
      <w:tr w14:paraId="4E036A18">
        <w:tblPrEx>
          <w:tblCellMar>
            <w:top w:w="0" w:type="dxa"/>
            <w:left w:w="108" w:type="dxa"/>
            <w:bottom w:w="0" w:type="dxa"/>
            <w:right w:w="108" w:type="dxa"/>
          </w:tblCellMar>
        </w:tblPrEx>
        <w:trPr>
          <w:trHeight w:val="717" w:hRule="atLeast"/>
          <w:jc w:val="center"/>
        </w:trPr>
        <w:tc>
          <w:tcPr>
            <w:tcW w:w="5073" w:type="dxa"/>
            <w:vAlign w:val="center"/>
          </w:tcPr>
          <w:p w14:paraId="5C9EF7FC">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14:paraId="16BAFC2D">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c>
          <w:tcPr>
            <w:tcW w:w="4176" w:type="dxa"/>
            <w:vAlign w:val="center"/>
          </w:tcPr>
          <w:p w14:paraId="06391F37">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14:paraId="7BC6EE7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r>
      <w:tr w14:paraId="2AD3E59A">
        <w:tblPrEx>
          <w:tblCellMar>
            <w:top w:w="0" w:type="dxa"/>
            <w:left w:w="108" w:type="dxa"/>
            <w:bottom w:w="0" w:type="dxa"/>
            <w:right w:w="108" w:type="dxa"/>
          </w:tblCellMar>
        </w:tblPrEx>
        <w:trPr>
          <w:jc w:val="center"/>
        </w:trPr>
        <w:tc>
          <w:tcPr>
            <w:tcW w:w="5073" w:type="dxa"/>
            <w:vAlign w:val="center"/>
          </w:tcPr>
          <w:p w14:paraId="0A57CEC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地址：杭州下沙高教园区二号大街1158号</w:t>
            </w:r>
          </w:p>
        </w:tc>
        <w:tc>
          <w:tcPr>
            <w:tcW w:w="4176" w:type="dxa"/>
            <w:vAlign w:val="center"/>
          </w:tcPr>
          <w:p w14:paraId="37BE8DD5">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tc>
      </w:tr>
      <w:tr w14:paraId="7CA316FF">
        <w:tblPrEx>
          <w:tblCellMar>
            <w:top w:w="0" w:type="dxa"/>
            <w:left w:w="108" w:type="dxa"/>
            <w:bottom w:w="0" w:type="dxa"/>
            <w:right w:w="108" w:type="dxa"/>
          </w:tblCellMar>
        </w:tblPrEx>
        <w:trPr>
          <w:jc w:val="center"/>
        </w:trPr>
        <w:tc>
          <w:tcPr>
            <w:tcW w:w="5073" w:type="dxa"/>
            <w:vAlign w:val="center"/>
          </w:tcPr>
          <w:p w14:paraId="6638EE0F">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电话： </w:t>
            </w:r>
          </w:p>
        </w:tc>
        <w:tc>
          <w:tcPr>
            <w:tcW w:w="4176" w:type="dxa"/>
            <w:vAlign w:val="center"/>
          </w:tcPr>
          <w:p w14:paraId="2F747F07">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tc>
      </w:tr>
      <w:tr w14:paraId="2E7AFB49">
        <w:tblPrEx>
          <w:tblCellMar>
            <w:top w:w="0" w:type="dxa"/>
            <w:left w:w="108" w:type="dxa"/>
            <w:bottom w:w="0" w:type="dxa"/>
            <w:right w:w="108" w:type="dxa"/>
          </w:tblCellMar>
        </w:tblPrEx>
        <w:trPr>
          <w:jc w:val="center"/>
        </w:trPr>
        <w:tc>
          <w:tcPr>
            <w:tcW w:w="5073" w:type="dxa"/>
            <w:vAlign w:val="center"/>
          </w:tcPr>
          <w:p w14:paraId="12DBF62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开户银行：工行高新支行 </w:t>
            </w:r>
          </w:p>
        </w:tc>
        <w:tc>
          <w:tcPr>
            <w:tcW w:w="4176" w:type="dxa"/>
            <w:vAlign w:val="center"/>
          </w:tcPr>
          <w:p w14:paraId="759C98E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w:t>
            </w:r>
          </w:p>
        </w:tc>
      </w:tr>
      <w:tr w14:paraId="32E09A8B">
        <w:tblPrEx>
          <w:tblCellMar>
            <w:top w:w="0" w:type="dxa"/>
            <w:left w:w="108" w:type="dxa"/>
            <w:bottom w:w="0" w:type="dxa"/>
            <w:right w:w="108" w:type="dxa"/>
          </w:tblCellMar>
        </w:tblPrEx>
        <w:trPr>
          <w:jc w:val="center"/>
        </w:trPr>
        <w:tc>
          <w:tcPr>
            <w:tcW w:w="5073" w:type="dxa"/>
            <w:vAlign w:val="center"/>
          </w:tcPr>
          <w:p w14:paraId="659CC104">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帐号：1202026209008806216</w:t>
            </w:r>
          </w:p>
        </w:tc>
        <w:tc>
          <w:tcPr>
            <w:tcW w:w="4176" w:type="dxa"/>
            <w:vAlign w:val="center"/>
          </w:tcPr>
          <w:p w14:paraId="542F2D8D">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w:t>
            </w:r>
          </w:p>
        </w:tc>
      </w:tr>
      <w:tr w14:paraId="19BEBABD">
        <w:tblPrEx>
          <w:tblCellMar>
            <w:top w:w="0" w:type="dxa"/>
            <w:left w:w="108" w:type="dxa"/>
            <w:bottom w:w="0" w:type="dxa"/>
            <w:right w:w="108" w:type="dxa"/>
          </w:tblCellMar>
        </w:tblPrEx>
        <w:trPr>
          <w:jc w:val="center"/>
        </w:trPr>
        <w:tc>
          <w:tcPr>
            <w:tcW w:w="5073" w:type="dxa"/>
            <w:vAlign w:val="center"/>
          </w:tcPr>
          <w:p w14:paraId="5F23CD3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c>
          <w:tcPr>
            <w:tcW w:w="4176" w:type="dxa"/>
            <w:vAlign w:val="center"/>
          </w:tcPr>
          <w:p w14:paraId="2F2789CC">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r w14:paraId="5AEAA8A0">
        <w:tblPrEx>
          <w:tblCellMar>
            <w:top w:w="0" w:type="dxa"/>
            <w:left w:w="108" w:type="dxa"/>
            <w:bottom w:w="0" w:type="dxa"/>
            <w:right w:w="108" w:type="dxa"/>
          </w:tblCellMar>
        </w:tblPrEx>
        <w:trPr>
          <w:jc w:val="center"/>
        </w:trPr>
        <w:tc>
          <w:tcPr>
            <w:tcW w:w="9249" w:type="dxa"/>
            <w:gridSpan w:val="2"/>
          </w:tcPr>
          <w:p w14:paraId="7EE1755B">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合同鉴证方（公章）：</w:t>
            </w:r>
          </w:p>
          <w:p w14:paraId="752A0D15">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代表人：</w:t>
            </w:r>
          </w:p>
          <w:p w14:paraId="1B854EDE">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p w14:paraId="0F8A5259">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p w14:paraId="424278BA">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p w14:paraId="7FD6B536">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bl>
    <w:p w14:paraId="1AA8E75E">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0AB7BCE">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14:paraId="15EF7AC3">
      <w:pPr>
        <w:adjustRightInd w:val="0"/>
        <w:snapToGrid w:val="0"/>
        <w:spacing w:line="288" w:lineRule="auto"/>
        <w:rPr>
          <w:color w:val="auto"/>
          <w:sz w:val="21"/>
          <w:szCs w:val="21"/>
          <w:highlight w:val="none"/>
        </w:rPr>
      </w:pPr>
    </w:p>
    <w:p w14:paraId="60B48F7C">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14:paraId="3D49684F">
      <w:pPr>
        <w:adjustRightInd w:val="0"/>
        <w:snapToGrid w:val="0"/>
        <w:spacing w:line="288" w:lineRule="auto"/>
        <w:rPr>
          <w:color w:val="auto"/>
          <w:sz w:val="21"/>
          <w:szCs w:val="21"/>
          <w:highlight w:val="none"/>
        </w:rPr>
      </w:pPr>
    </w:p>
    <w:p w14:paraId="155DC7D9">
      <w:pPr>
        <w:adjustRightInd w:val="0"/>
        <w:snapToGrid w:val="0"/>
        <w:spacing w:line="288" w:lineRule="auto"/>
        <w:ind w:firstLine="422" w:firstLineChars="200"/>
        <w:rPr>
          <w:b/>
          <w:bCs/>
          <w:color w:val="auto"/>
          <w:sz w:val="21"/>
          <w:szCs w:val="21"/>
          <w:highlight w:val="none"/>
        </w:rPr>
      </w:pPr>
      <w:bookmarkStart w:id="57" w:name="_Hlk71884160"/>
      <w:r>
        <w:rPr>
          <w:rFonts w:hint="eastAsia"/>
          <w:b/>
          <w:bCs/>
          <w:color w:val="auto"/>
          <w:sz w:val="21"/>
          <w:szCs w:val="21"/>
          <w:highlight w:val="none"/>
        </w:rPr>
        <w:t>▲1.资格文件（单独上传）。资格审查要求的资格证明材料（均需加盖公章）。</w:t>
      </w:r>
    </w:p>
    <w:bookmarkEnd w:id="57"/>
    <w:p w14:paraId="3739038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（1）有效的法人或者其他组织的营业执照等证明文件，自然人的身份证明</w:t>
      </w:r>
    </w:p>
    <w:p w14:paraId="355EE811">
      <w:pPr>
        <w:adjustRightInd w:val="0"/>
        <w:snapToGrid w:val="0"/>
        <w:spacing w:line="288" w:lineRule="auto"/>
        <w:ind w:firstLine="420" w:firstLineChars="200"/>
        <w:rPr>
          <w:color w:val="auto"/>
          <w:sz w:val="21"/>
          <w:szCs w:val="21"/>
          <w:highlight w:val="none"/>
        </w:rPr>
      </w:pPr>
      <w:bookmarkStart w:id="58" w:name="_Hlk71884127"/>
      <w:r>
        <w:rPr>
          <w:rFonts w:hint="eastAsia"/>
          <w:color w:val="auto"/>
          <w:sz w:val="21"/>
          <w:szCs w:val="21"/>
          <w:highlight w:val="none"/>
        </w:rPr>
        <w:t>（</w:t>
      </w:r>
      <w:r>
        <w:rPr>
          <w:color w:val="auto"/>
          <w:sz w:val="21"/>
          <w:szCs w:val="21"/>
          <w:highlight w:val="none"/>
        </w:rPr>
        <w:t>2）符合参加政府采购活动应当具备的一般条件的承诺函</w:t>
      </w:r>
    </w:p>
    <w:p w14:paraId="46342F3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3）落实政府采购政策需满足的资格要求：</w:t>
      </w:r>
    </w:p>
    <w:p w14:paraId="289428D9">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中小企业声明函（若属于中小企业）</w:t>
      </w:r>
    </w:p>
    <w:p w14:paraId="1292CE37">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属于监狱企业的证明文件（若属于监狱企业）</w:t>
      </w:r>
    </w:p>
    <w:p w14:paraId="40CE3D53">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残疾人福利性单位声明函（若属于残疾人福利性单位）</w:t>
      </w:r>
    </w:p>
    <w:p w14:paraId="0F6452EC">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联合协议、分包意向协议（如有）</w:t>
      </w:r>
    </w:p>
    <w:p w14:paraId="15EA5C3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本项目的特定资格要求</w:t>
      </w:r>
      <w:r>
        <w:rPr>
          <w:color w:val="auto"/>
          <w:sz w:val="21"/>
          <w:szCs w:val="21"/>
          <w:highlight w:val="none"/>
        </w:rPr>
        <w:t>证明材料：无</w:t>
      </w:r>
    </w:p>
    <w:p w14:paraId="59F79014">
      <w:pPr>
        <w:adjustRightInd w:val="0"/>
        <w:snapToGrid w:val="0"/>
        <w:spacing w:line="288" w:lineRule="auto"/>
        <w:ind w:firstLine="396" w:firstLineChars="200"/>
        <w:rPr>
          <w:bCs/>
          <w:color w:val="auto"/>
          <w:sz w:val="21"/>
          <w:szCs w:val="21"/>
          <w:highlight w:val="none"/>
        </w:rPr>
      </w:pPr>
      <w:r>
        <w:rPr>
          <w:rFonts w:hint="eastAsia"/>
          <w:bCs/>
          <w:color w:val="auto"/>
          <w:spacing w:val="-6"/>
          <w:sz w:val="21"/>
          <w:szCs w:val="21"/>
          <w:highlight w:val="none"/>
        </w:rPr>
        <w:t>▲</w:t>
      </w:r>
      <w:r>
        <w:rPr>
          <w:rFonts w:hint="eastAsia"/>
          <w:bCs/>
          <w:color w:val="auto"/>
          <w:spacing w:val="-6"/>
          <w:sz w:val="21"/>
          <w:szCs w:val="21"/>
          <w:highlight w:val="none"/>
          <w:lang w:eastAsia="zh-CN"/>
        </w:rPr>
        <w:t>联合体响应的，联合体各方均应提供资格文件材料</w:t>
      </w:r>
      <w:r>
        <w:rPr>
          <w:bCs/>
          <w:color w:val="auto"/>
          <w:spacing w:val="-6"/>
          <w:sz w:val="21"/>
          <w:szCs w:val="21"/>
          <w:highlight w:val="none"/>
        </w:rPr>
        <w:t>。</w:t>
      </w:r>
    </w:p>
    <w:p w14:paraId="4AF0C040">
      <w:pPr>
        <w:adjustRightInd w:val="0"/>
        <w:snapToGrid w:val="0"/>
        <w:spacing w:line="288" w:lineRule="auto"/>
        <w:ind w:firstLine="422" w:firstLineChars="200"/>
        <w:rPr>
          <w:b/>
          <w:bCs/>
          <w:color w:val="auto"/>
          <w:sz w:val="21"/>
          <w:szCs w:val="21"/>
          <w:highlight w:val="none"/>
        </w:rPr>
      </w:pPr>
    </w:p>
    <w:bookmarkEnd w:id="58"/>
    <w:p w14:paraId="42898F2F">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2</w:t>
      </w:r>
      <w:r>
        <w:rPr>
          <w:rFonts w:hint="eastAsia"/>
          <w:b/>
          <w:bCs/>
          <w:color w:val="auto"/>
          <w:sz w:val="21"/>
          <w:szCs w:val="21"/>
          <w:highlight w:val="none"/>
        </w:rPr>
        <w:t>.商务和技术文件（单独上传）</w:t>
      </w:r>
    </w:p>
    <w:p w14:paraId="5F5E6EB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14:paraId="1BD75B6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14:paraId="4E0710A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2024年1月（含）</w:t>
      </w:r>
      <w:r>
        <w:rPr>
          <w:color w:val="auto"/>
          <w:sz w:val="21"/>
          <w:szCs w:val="21"/>
          <w:highlight w:val="none"/>
        </w:rPr>
        <w:t>以后任意一月）</w:t>
      </w:r>
    </w:p>
    <w:p w14:paraId="7CBF732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14:paraId="52817AF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14:paraId="3ABC08B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5）货物配置清单</w:t>
      </w:r>
    </w:p>
    <w:p w14:paraId="35E46471">
      <w:pPr>
        <w:adjustRightInd w:val="0"/>
        <w:snapToGrid w:val="0"/>
        <w:spacing w:line="288" w:lineRule="auto"/>
        <w:ind w:firstLine="420" w:firstLineChars="200"/>
        <w:rPr>
          <w:color w:val="auto"/>
          <w:sz w:val="21"/>
          <w:szCs w:val="21"/>
          <w:highlight w:val="none"/>
        </w:rPr>
      </w:pPr>
      <w:bookmarkStart w:id="59" w:name="_Hlk71884196"/>
      <w:r>
        <w:rPr>
          <w:rFonts w:hint="eastAsia"/>
          <w:color w:val="auto"/>
          <w:sz w:val="21"/>
          <w:szCs w:val="21"/>
          <w:highlight w:val="none"/>
        </w:rPr>
        <w:t>（</w:t>
      </w:r>
      <w:r>
        <w:rPr>
          <w:color w:val="auto"/>
          <w:sz w:val="21"/>
          <w:szCs w:val="21"/>
          <w:highlight w:val="none"/>
        </w:rPr>
        <w:t>6）技术方案</w:t>
      </w:r>
    </w:p>
    <w:p w14:paraId="5064EFBD">
      <w:pPr>
        <w:adjustRightInd w:val="0"/>
        <w:snapToGrid w:val="0"/>
        <w:spacing w:line="288" w:lineRule="auto"/>
        <w:ind w:firstLine="396" w:firstLineChars="200"/>
        <w:jc w:val="left"/>
        <w:rPr>
          <w:rFonts w:hint="eastAsia" w:cs="Times New Roman"/>
          <w:color w:val="auto"/>
          <w:spacing w:val="-6"/>
          <w:sz w:val="21"/>
          <w:szCs w:val="21"/>
          <w:highlight w:val="none"/>
        </w:rPr>
      </w:pPr>
      <w:r>
        <w:rPr>
          <w:rFonts w:hint="eastAsia" w:cs="Times New Roman"/>
          <w:color w:val="auto"/>
          <w:spacing w:val="-6"/>
          <w:sz w:val="21"/>
          <w:szCs w:val="21"/>
          <w:highlight w:val="none"/>
        </w:rPr>
        <w:t>（</w:t>
      </w:r>
      <w:r>
        <w:rPr>
          <w:rFonts w:cs="Times New Roman"/>
          <w:color w:val="auto"/>
          <w:spacing w:val="-6"/>
          <w:sz w:val="21"/>
          <w:szCs w:val="21"/>
          <w:highlight w:val="none"/>
        </w:rPr>
        <w:t>7</w:t>
      </w:r>
      <w:r>
        <w:rPr>
          <w:rFonts w:hint="eastAsia" w:cs="Times New Roman"/>
          <w:color w:val="auto"/>
          <w:spacing w:val="-6"/>
          <w:sz w:val="21"/>
          <w:szCs w:val="21"/>
          <w:highlight w:val="none"/>
        </w:rPr>
        <w:t>）节能、环保产品证明材料</w:t>
      </w:r>
    </w:p>
    <w:p w14:paraId="6A5C62B9">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（8）科技创新相关证明材料</w:t>
      </w:r>
    </w:p>
    <w:p w14:paraId="726709F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9</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59"/>
    </w:p>
    <w:p w14:paraId="7C925DF3">
      <w:pPr>
        <w:adjustRightInd w:val="0"/>
        <w:snapToGrid w:val="0"/>
        <w:spacing w:line="288" w:lineRule="auto"/>
        <w:ind w:firstLine="420" w:firstLineChars="200"/>
        <w:rPr>
          <w:color w:val="auto"/>
          <w:sz w:val="21"/>
          <w:szCs w:val="21"/>
          <w:highlight w:val="none"/>
        </w:rPr>
      </w:pPr>
    </w:p>
    <w:p w14:paraId="13E33326">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3</w:t>
      </w:r>
      <w:r>
        <w:rPr>
          <w:rFonts w:hint="eastAsia"/>
          <w:b/>
          <w:bCs/>
          <w:color w:val="auto"/>
          <w:sz w:val="21"/>
          <w:szCs w:val="21"/>
          <w:highlight w:val="none"/>
        </w:rPr>
        <w:t>.报价文件（单独上传）</w:t>
      </w:r>
    </w:p>
    <w:p w14:paraId="710F7AA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14:paraId="3F4D354A">
      <w:pPr>
        <w:widowControl/>
        <w:jc w:val="left"/>
        <w:rPr>
          <w:color w:val="auto"/>
          <w:sz w:val="21"/>
          <w:szCs w:val="21"/>
          <w:highlight w:val="none"/>
        </w:rPr>
      </w:pPr>
      <w:r>
        <w:rPr>
          <w:color w:val="auto"/>
          <w:sz w:val="21"/>
          <w:szCs w:val="21"/>
          <w:highlight w:val="none"/>
        </w:rPr>
        <w:br w:type="page"/>
      </w:r>
    </w:p>
    <w:p w14:paraId="2C402E32">
      <w:pPr>
        <w:tabs>
          <w:tab w:val="center" w:pos="4706"/>
        </w:tabs>
        <w:adjustRightInd w:val="0"/>
        <w:snapToGrid w:val="0"/>
        <w:spacing w:line="288" w:lineRule="auto"/>
        <w:jc w:val="center"/>
        <w:outlineLvl w:val="2"/>
        <w:rPr>
          <w:rFonts w:cs="Times New Roman"/>
          <w:b/>
          <w:color w:val="auto"/>
          <w:spacing w:val="-6"/>
          <w:sz w:val="21"/>
          <w:szCs w:val="21"/>
          <w:highlight w:val="none"/>
        </w:rPr>
      </w:pPr>
      <w:bookmarkStart w:id="60" w:name="_Hlk140130228"/>
      <w:r>
        <w:rPr>
          <w:rFonts w:hint="eastAsia" w:cs="Times New Roman"/>
          <w:b/>
          <w:color w:val="auto"/>
          <w:spacing w:val="-6"/>
          <w:sz w:val="21"/>
          <w:szCs w:val="21"/>
          <w:highlight w:val="none"/>
        </w:rPr>
        <w:t>评分索引表</w:t>
      </w:r>
    </w:p>
    <w:tbl>
      <w:tblPr>
        <w:tblStyle w:val="1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DCCA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E79006D">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序号</w:t>
            </w:r>
          </w:p>
        </w:tc>
        <w:tc>
          <w:tcPr>
            <w:tcW w:w="2091" w:type="dxa"/>
            <w:vAlign w:val="center"/>
          </w:tcPr>
          <w:p w14:paraId="7A3F097A">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评审因素</w:t>
            </w:r>
          </w:p>
        </w:tc>
        <w:tc>
          <w:tcPr>
            <w:tcW w:w="709" w:type="dxa"/>
            <w:vAlign w:val="center"/>
          </w:tcPr>
          <w:p w14:paraId="7A6CBC1F">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分值</w:t>
            </w:r>
          </w:p>
        </w:tc>
        <w:tc>
          <w:tcPr>
            <w:tcW w:w="3040" w:type="dxa"/>
            <w:vAlign w:val="center"/>
          </w:tcPr>
          <w:p w14:paraId="6C97ACD9">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评分标准</w:t>
            </w:r>
          </w:p>
        </w:tc>
        <w:tc>
          <w:tcPr>
            <w:tcW w:w="967" w:type="dxa"/>
            <w:vAlign w:val="center"/>
          </w:tcPr>
          <w:p w14:paraId="6BDD1FEB">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自评分</w:t>
            </w:r>
          </w:p>
        </w:tc>
        <w:tc>
          <w:tcPr>
            <w:tcW w:w="1053" w:type="dxa"/>
            <w:vAlign w:val="center"/>
          </w:tcPr>
          <w:p w14:paraId="22C2FFD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自评依据</w:t>
            </w:r>
          </w:p>
        </w:tc>
        <w:tc>
          <w:tcPr>
            <w:tcW w:w="882" w:type="dxa"/>
            <w:vAlign w:val="center"/>
          </w:tcPr>
          <w:p w14:paraId="2581901E">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页码</w:t>
            </w:r>
          </w:p>
        </w:tc>
      </w:tr>
      <w:tr w14:paraId="2B699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472494B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商务分</w:t>
            </w:r>
          </w:p>
        </w:tc>
      </w:tr>
      <w:tr w14:paraId="43F0B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5C8F91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52A0A7BC">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3623687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5B5EB34">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6573E2BD">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57582E0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5D85F35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28376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EAED1DE">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00DC50E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25A9CBF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2982FAA">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4B1699D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217DC95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2B05C0D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3A8DE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25357B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2091" w:type="dxa"/>
            <w:vAlign w:val="center"/>
          </w:tcPr>
          <w:p w14:paraId="3EA48A4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709" w:type="dxa"/>
            <w:vAlign w:val="center"/>
          </w:tcPr>
          <w:p w14:paraId="27DDB21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3040" w:type="dxa"/>
            <w:vAlign w:val="center"/>
          </w:tcPr>
          <w:p w14:paraId="41633EE2">
            <w:pPr>
              <w:keepNext w:val="0"/>
              <w:keepLines w:val="0"/>
              <w:suppressLineNumbers w:val="0"/>
              <w:adjustRightInd w:val="0"/>
              <w:snapToGrid w:val="0"/>
              <w:spacing w:before="0" w:beforeAutospacing="0" w:after="0" w:afterAutospacing="0" w:line="288" w:lineRule="auto"/>
              <w:ind w:left="0" w:right="0"/>
              <w:rPr>
                <w:rFonts w:hint="default" w:cs="Times New Roman"/>
                <w:color w:val="auto"/>
                <w:kern w:val="0"/>
                <w:sz w:val="21"/>
                <w:szCs w:val="21"/>
                <w:highlight w:val="none"/>
              </w:rPr>
            </w:pPr>
          </w:p>
        </w:tc>
        <w:tc>
          <w:tcPr>
            <w:tcW w:w="967" w:type="dxa"/>
            <w:vAlign w:val="center"/>
          </w:tcPr>
          <w:p w14:paraId="6777509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1053" w:type="dxa"/>
            <w:vAlign w:val="center"/>
          </w:tcPr>
          <w:p w14:paraId="415055F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882" w:type="dxa"/>
          </w:tcPr>
          <w:p w14:paraId="14957C7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r>
      <w:tr w14:paraId="06B5D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CBF589D">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3C774E8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2F98432E">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CA08CFC">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1E51BA8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5A4F12B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08356D4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46638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6C4831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5F8565C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481ECA0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748FBB71">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3105C93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6FB601E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41111CE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4AD6A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9F7F7A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58FCAB1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3A61D0B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3E3EA2A1">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0EBBF16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377BC0A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147FFA3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37F40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6732B9F">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技术</w:t>
            </w:r>
            <w:r>
              <w:rPr>
                <w:rFonts w:hint="default" w:cs="Times New Roman"/>
                <w:b/>
                <w:color w:val="auto"/>
                <w:spacing w:val="-6"/>
                <w:sz w:val="21"/>
                <w:szCs w:val="21"/>
                <w:highlight w:val="none"/>
              </w:rPr>
              <w:t>分</w:t>
            </w:r>
          </w:p>
        </w:tc>
      </w:tr>
      <w:tr w14:paraId="6BCA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3B8FF7A">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3C00535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5FE93B6C">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082A5CB">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2238647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49168F1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16D62884">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239C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5F7370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16942E7E">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70B6DF9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8D4D26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6026219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2A1CD4E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263E4FE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09F4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D741AF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131AA53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7D90095D">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42E811C8">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506AB73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2EC6C5C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5BEFF6B4">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26D5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F87D77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0A1E562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76669A4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34AAD3CE">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1528D11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5C72B454">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7AEDF86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560B2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45B3B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6305C5EA">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18B056FA">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59E5E77D">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37FC7C0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0A51C7A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60357D5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bl>
    <w:p w14:paraId="2FF1BECC">
      <w:pPr>
        <w:adjustRightInd w:val="0"/>
        <w:snapToGrid w:val="0"/>
        <w:spacing w:line="288" w:lineRule="auto"/>
        <w:rPr>
          <w:rFonts w:cs="Times New Roman"/>
          <w:color w:val="auto"/>
          <w:spacing w:val="-6"/>
          <w:sz w:val="21"/>
          <w:szCs w:val="21"/>
          <w:highlight w:val="none"/>
        </w:rPr>
      </w:pPr>
    </w:p>
    <w:p w14:paraId="5F657855">
      <w:pPr>
        <w:widowControl/>
        <w:jc w:val="left"/>
        <w:rPr>
          <w:rFonts w:cs="Times New Roman"/>
          <w:color w:val="auto"/>
          <w:spacing w:val="-6"/>
          <w:sz w:val="21"/>
          <w:szCs w:val="21"/>
          <w:highlight w:val="none"/>
        </w:rPr>
      </w:pPr>
      <w:r>
        <w:rPr>
          <w:rFonts w:hint="eastAsia" w:cs="Times New Roman"/>
          <w:color w:val="auto"/>
          <w:spacing w:val="-6"/>
          <w:sz w:val="21"/>
          <w:szCs w:val="21"/>
          <w:highlight w:val="none"/>
        </w:rPr>
        <w:t>备注：本表仅为方便磋商小组评审使用，不作为判别响应文件是否有效的依据。</w:t>
      </w:r>
    </w:p>
    <w:bookmarkEnd w:id="60"/>
    <w:p w14:paraId="497B34E3">
      <w:pPr>
        <w:widowControl/>
        <w:jc w:val="left"/>
        <w:rPr>
          <w:b/>
          <w:bCs/>
          <w:color w:val="auto"/>
          <w:sz w:val="21"/>
          <w:szCs w:val="21"/>
          <w:highlight w:val="none"/>
        </w:rPr>
      </w:pPr>
      <w:r>
        <w:rPr>
          <w:b/>
          <w:bCs/>
          <w:color w:val="auto"/>
          <w:sz w:val="21"/>
          <w:szCs w:val="21"/>
          <w:highlight w:val="none"/>
        </w:rPr>
        <w:br w:type="page"/>
      </w:r>
    </w:p>
    <w:p w14:paraId="7DF14F01">
      <w:pPr>
        <w:adjustRightInd w:val="0"/>
        <w:snapToGrid w:val="0"/>
        <w:spacing w:line="288" w:lineRule="auto"/>
        <w:rPr>
          <w:color w:val="auto"/>
          <w:highlight w:val="none"/>
        </w:rPr>
      </w:pPr>
    </w:p>
    <w:p w14:paraId="5AA76319">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14:paraId="488A660A">
      <w:pPr>
        <w:adjustRightInd w:val="0"/>
        <w:snapToGrid w:val="0"/>
        <w:spacing w:line="288" w:lineRule="auto"/>
        <w:jc w:val="center"/>
        <w:rPr>
          <w:b/>
          <w:bCs/>
          <w:color w:val="auto"/>
          <w:sz w:val="21"/>
          <w:szCs w:val="21"/>
          <w:highlight w:val="none"/>
        </w:rPr>
      </w:pPr>
    </w:p>
    <w:p w14:paraId="67F67905">
      <w:pPr>
        <w:adjustRightInd w:val="0"/>
        <w:snapToGrid w:val="0"/>
        <w:spacing w:line="288" w:lineRule="auto"/>
        <w:jc w:val="center"/>
        <w:rPr>
          <w:b/>
          <w:bCs/>
          <w:color w:val="auto"/>
          <w:sz w:val="21"/>
          <w:szCs w:val="21"/>
          <w:highlight w:val="none"/>
        </w:rPr>
      </w:pPr>
    </w:p>
    <w:p w14:paraId="3F9F2D41">
      <w:pPr>
        <w:adjustRightInd w:val="0"/>
        <w:snapToGrid w:val="0"/>
        <w:spacing w:line="288" w:lineRule="auto"/>
        <w:jc w:val="center"/>
        <w:rPr>
          <w:b/>
          <w:bCs/>
          <w:color w:val="auto"/>
          <w:sz w:val="21"/>
          <w:szCs w:val="21"/>
          <w:highlight w:val="none"/>
        </w:rPr>
      </w:pPr>
      <w:bookmarkStart w:id="61" w:name="_Hlk94097338"/>
      <w:r>
        <w:rPr>
          <w:rFonts w:hint="eastAsia"/>
          <w:b/>
          <w:bCs/>
          <w:color w:val="auto"/>
          <w:sz w:val="21"/>
          <w:szCs w:val="21"/>
          <w:highlight w:val="none"/>
        </w:rPr>
        <w:t>资格审查要求的资格证明材料（均需加盖公章）</w:t>
      </w:r>
    </w:p>
    <w:bookmarkEnd w:id="61"/>
    <w:p w14:paraId="0B552A1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7E76A60">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14:paraId="71118F86">
      <w:pPr>
        <w:adjustRightInd w:val="0"/>
        <w:snapToGrid w:val="0"/>
        <w:spacing w:line="288" w:lineRule="auto"/>
        <w:rPr>
          <w:color w:val="auto"/>
          <w:sz w:val="21"/>
          <w:szCs w:val="21"/>
          <w:highlight w:val="none"/>
        </w:rPr>
      </w:pPr>
    </w:p>
    <w:p w14:paraId="5896ABCF">
      <w:pPr>
        <w:adjustRightInd w:val="0"/>
        <w:snapToGrid w:val="0"/>
        <w:spacing w:line="288" w:lineRule="auto"/>
        <w:rPr>
          <w:color w:val="auto"/>
          <w:sz w:val="21"/>
          <w:szCs w:val="21"/>
          <w:highlight w:val="none"/>
        </w:rPr>
      </w:pPr>
      <w:r>
        <w:rPr>
          <w:rFonts w:hint="eastAsia"/>
          <w:color w:val="auto"/>
          <w:sz w:val="21"/>
          <w:szCs w:val="21"/>
          <w:highlight w:val="none"/>
        </w:rPr>
        <w:t>说明：</w:t>
      </w:r>
    </w:p>
    <w:p w14:paraId="031C1FEF">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14:paraId="4F08A4CE">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14:paraId="0383C68F">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14:paraId="75C1E10B">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14:paraId="5D02E8D8">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14:paraId="0C3F7BA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2695A27">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14:paraId="3CD63F93">
      <w:pPr>
        <w:adjustRightInd w:val="0"/>
        <w:snapToGrid w:val="0"/>
        <w:spacing w:line="288" w:lineRule="auto"/>
        <w:rPr>
          <w:rFonts w:cs="Times New Roman"/>
          <w:color w:val="auto"/>
          <w:sz w:val="21"/>
          <w:szCs w:val="21"/>
          <w:highlight w:val="none"/>
          <w:shd w:val="clear" w:color="auto" w:fill="FFFFFF"/>
        </w:rPr>
      </w:pPr>
    </w:p>
    <w:p w14:paraId="76C28DB5">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14:paraId="6BBAA089">
      <w:pPr>
        <w:adjustRightInd w:val="0"/>
        <w:snapToGrid w:val="0"/>
        <w:spacing w:line="288" w:lineRule="auto"/>
        <w:rPr>
          <w:rFonts w:cs="Times New Roman"/>
          <w:color w:val="auto"/>
          <w:spacing w:val="-6"/>
          <w:sz w:val="21"/>
          <w:szCs w:val="21"/>
          <w:highlight w:val="none"/>
        </w:rPr>
      </w:pPr>
    </w:p>
    <w:p w14:paraId="5230C73B">
      <w:pPr>
        <w:adjustRightInd w:val="0"/>
        <w:snapToGrid w:val="0"/>
        <w:spacing w:line="288" w:lineRule="auto"/>
        <w:ind w:firstLine="396" w:firstLineChars="200"/>
        <w:rPr>
          <w:rFonts w:cs="Times New Roman"/>
          <w:color w:val="auto"/>
          <w:spacing w:val="-6"/>
          <w:sz w:val="21"/>
          <w:szCs w:val="21"/>
          <w:highlight w:val="none"/>
        </w:rPr>
      </w:pPr>
      <w:bookmarkStart w:id="62"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14:paraId="7E189CE2">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14:paraId="062151F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14:paraId="43883DA8">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14:paraId="60493BAC">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14:paraId="35951F82">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14:paraId="51175BE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14:paraId="39AAA90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14:paraId="263DF0A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14:paraId="461F26A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14:paraId="5A533FEC">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14:paraId="0CCFBAE5">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14:paraId="53F692C5">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14:paraId="2DDAD274">
      <w:pPr>
        <w:adjustRightInd w:val="0"/>
        <w:snapToGrid w:val="0"/>
        <w:spacing w:line="288" w:lineRule="auto"/>
        <w:rPr>
          <w:rFonts w:cs="Times New Roman"/>
          <w:color w:val="auto"/>
          <w:sz w:val="21"/>
          <w:szCs w:val="21"/>
          <w:highlight w:val="none"/>
        </w:rPr>
      </w:pPr>
    </w:p>
    <w:p w14:paraId="33ADA3CA">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14697773">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2"/>
    <w:p w14:paraId="7A3D3F6B">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2FA4C481">
      <w:pPr>
        <w:adjustRightInd w:val="0"/>
        <w:snapToGrid w:val="0"/>
        <w:spacing w:line="288" w:lineRule="auto"/>
        <w:ind w:firstLine="469" w:firstLineChars="236"/>
        <w:jc w:val="both"/>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p>
    <w:p w14:paraId="0B4A17FC">
      <w:pPr>
        <w:adjustRightInd w:val="0"/>
        <w:snapToGrid w:val="0"/>
        <w:spacing w:line="288" w:lineRule="auto"/>
        <w:ind w:firstLine="469" w:firstLineChars="236"/>
        <w:jc w:val="center"/>
        <w:outlineLvl w:val="2"/>
        <w:rPr>
          <w:b/>
          <w:color w:val="auto"/>
          <w:spacing w:val="-6"/>
          <w:sz w:val="21"/>
          <w:szCs w:val="21"/>
          <w:highlight w:val="none"/>
        </w:rPr>
      </w:pPr>
    </w:p>
    <w:p w14:paraId="70B1E985">
      <w:pPr>
        <w:adjustRightInd w:val="0"/>
        <w:snapToGrid w:val="0"/>
        <w:spacing w:line="288" w:lineRule="auto"/>
        <w:ind w:firstLine="498" w:firstLineChars="236"/>
        <w:jc w:val="center"/>
        <w:outlineLvl w:val="2"/>
        <w:rPr>
          <w:b/>
          <w:bCs/>
          <w:color w:val="auto"/>
          <w:sz w:val="21"/>
          <w:szCs w:val="21"/>
          <w:highlight w:val="none"/>
        </w:rPr>
      </w:pPr>
      <w:r>
        <w:rPr>
          <w:b/>
          <w:bCs/>
          <w:color w:val="auto"/>
          <w:sz w:val="21"/>
          <w:szCs w:val="21"/>
          <w:highlight w:val="none"/>
        </w:rPr>
        <w:t>中小企业声明函（货物）</w:t>
      </w:r>
      <w:r>
        <w:rPr>
          <w:rFonts w:hint="eastAsia"/>
          <w:b/>
          <w:bCs/>
          <w:color w:val="auto"/>
          <w:sz w:val="21"/>
          <w:szCs w:val="21"/>
          <w:highlight w:val="none"/>
        </w:rPr>
        <w:t>（若属于中小企业）</w:t>
      </w:r>
    </w:p>
    <w:p w14:paraId="0E7FDA22">
      <w:pPr>
        <w:adjustRightInd w:val="0"/>
        <w:snapToGrid w:val="0"/>
        <w:spacing w:line="288" w:lineRule="auto"/>
        <w:ind w:firstLine="498" w:firstLineChars="236"/>
        <w:rPr>
          <w:b/>
          <w:color w:val="auto"/>
          <w:sz w:val="21"/>
          <w:szCs w:val="21"/>
          <w:highlight w:val="none"/>
        </w:rPr>
      </w:pPr>
    </w:p>
    <w:p w14:paraId="77C81EA1">
      <w:pPr>
        <w:adjustRightInd w:val="0"/>
        <w:snapToGrid w:val="0"/>
        <w:spacing w:line="288" w:lineRule="auto"/>
        <w:ind w:firstLine="495" w:firstLineChars="236"/>
        <w:rPr>
          <w:i w:val="0"/>
          <w:iCs w:val="0"/>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i w:val="0"/>
          <w:iCs w:val="0"/>
          <w:color w:val="auto"/>
          <w:sz w:val="21"/>
          <w:szCs w:val="21"/>
          <w:highlight w:val="none"/>
        </w:rPr>
        <w:t>﹞</w:t>
      </w:r>
      <w:r>
        <w:rPr>
          <w:i w:val="0"/>
          <w:iCs w:val="0"/>
          <w:color w:val="auto"/>
          <w:sz w:val="21"/>
          <w:szCs w:val="21"/>
          <w:highlight w:val="none"/>
        </w:rPr>
        <w:t>46 号）的规定，本公司（联合体）参加</w:t>
      </w:r>
      <w:r>
        <w:rPr>
          <w:rFonts w:hint="eastAsia"/>
          <w:i w:val="0"/>
          <w:iCs w:val="0"/>
          <w:color w:val="auto"/>
          <w:sz w:val="21"/>
          <w:szCs w:val="21"/>
          <w:highlight w:val="none"/>
          <w:u w:val="single"/>
          <w:lang w:val="en-US" w:eastAsia="zh-CN"/>
        </w:rPr>
        <w:t>杭州电子科技大学</w:t>
      </w:r>
      <w:r>
        <w:rPr>
          <w:i w:val="0"/>
          <w:iCs w:val="0"/>
          <w:color w:val="auto"/>
          <w:sz w:val="21"/>
          <w:szCs w:val="21"/>
          <w:highlight w:val="none"/>
        </w:rPr>
        <w:t>的</w:t>
      </w:r>
      <w:r>
        <w:rPr>
          <w:rFonts w:hint="eastAsia"/>
          <w:i w:val="0"/>
          <w:iCs w:val="0"/>
          <w:color w:val="auto"/>
          <w:sz w:val="21"/>
          <w:szCs w:val="21"/>
          <w:highlight w:val="none"/>
          <w:u w:val="single"/>
        </w:rPr>
        <w:t>物理虚拟仿真实验及仪器采购</w:t>
      </w:r>
      <w:r>
        <w:rPr>
          <w:i w:val="0"/>
          <w:iCs w:val="0"/>
          <w:color w:val="auto"/>
          <w:sz w:val="21"/>
          <w:szCs w:val="21"/>
          <w:highlight w:val="none"/>
        </w:rPr>
        <w:t>采购活动，提供的货物全部由符合政策要求的中小企业制造。相关企业（含联合体中的中小企业、签订分包意向协议的中小企业）的具体情况如下：</w:t>
      </w:r>
    </w:p>
    <w:p w14:paraId="6C1C411E">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u w:val="single"/>
        </w:rPr>
        <w:t>1.</w:t>
      </w:r>
      <w:r>
        <w:rPr>
          <w:rFonts w:hint="eastAsia"/>
          <w:i w:val="0"/>
          <w:iCs w:val="0"/>
          <w:color w:val="auto"/>
          <w:sz w:val="21"/>
          <w:szCs w:val="21"/>
          <w:highlight w:val="none"/>
          <w:u w:val="single"/>
        </w:rPr>
        <w:t>螺线管磁场测定仪</w:t>
      </w:r>
      <w:r>
        <w:rPr>
          <w:i w:val="0"/>
          <w:iCs w:val="0"/>
          <w:color w:val="auto"/>
          <w:sz w:val="21"/>
          <w:szCs w:val="21"/>
          <w:highlight w:val="none"/>
        </w:rPr>
        <w:t>，属于</w:t>
      </w:r>
      <w:r>
        <w:rPr>
          <w:rFonts w:hint="eastAsia"/>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78703771">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2</w:t>
      </w:r>
      <w:r>
        <w:rPr>
          <w:i w:val="0"/>
          <w:iCs w:val="0"/>
          <w:color w:val="auto"/>
          <w:sz w:val="21"/>
          <w:szCs w:val="21"/>
          <w:highlight w:val="none"/>
          <w:u w:val="single"/>
        </w:rPr>
        <w:t>.</w:t>
      </w:r>
      <w:r>
        <w:rPr>
          <w:rFonts w:hint="eastAsia"/>
          <w:i w:val="0"/>
          <w:iCs w:val="0"/>
          <w:color w:val="auto"/>
          <w:sz w:val="21"/>
          <w:szCs w:val="21"/>
          <w:highlight w:val="none"/>
          <w:u w:val="single"/>
        </w:rPr>
        <w:t>伏安特性实验仪</w:t>
      </w:r>
      <w:r>
        <w:rPr>
          <w:i w:val="0"/>
          <w:iCs w:val="0"/>
          <w:color w:val="auto"/>
          <w:sz w:val="21"/>
          <w:szCs w:val="21"/>
          <w:highlight w:val="none"/>
        </w:rPr>
        <w:t>，属于</w:t>
      </w:r>
      <w:r>
        <w:rPr>
          <w:rFonts w:hint="eastAsia" w:ascii="Times New Roman"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29E58EFE">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3</w:t>
      </w:r>
      <w:r>
        <w:rPr>
          <w:i w:val="0"/>
          <w:iCs w:val="0"/>
          <w:color w:val="auto"/>
          <w:sz w:val="21"/>
          <w:szCs w:val="21"/>
          <w:highlight w:val="none"/>
          <w:u w:val="single"/>
        </w:rPr>
        <w:t>.</w:t>
      </w:r>
      <w:r>
        <w:rPr>
          <w:rFonts w:hint="eastAsia"/>
          <w:i w:val="0"/>
          <w:iCs w:val="0"/>
          <w:color w:val="auto"/>
          <w:sz w:val="21"/>
          <w:szCs w:val="21"/>
          <w:highlight w:val="none"/>
          <w:u w:val="single"/>
        </w:rPr>
        <w:t>非平衡直流电桥</w:t>
      </w:r>
      <w:r>
        <w:rPr>
          <w:i w:val="0"/>
          <w:iCs w:val="0"/>
          <w:color w:val="auto"/>
          <w:sz w:val="21"/>
          <w:szCs w:val="21"/>
          <w:highlight w:val="none"/>
        </w:rPr>
        <w:t>，属于</w:t>
      </w:r>
      <w:r>
        <w:rPr>
          <w:rFonts w:hint="eastAsia" w:ascii="宋体"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43505424">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4</w:t>
      </w:r>
      <w:r>
        <w:rPr>
          <w:i w:val="0"/>
          <w:iCs w:val="0"/>
          <w:color w:val="auto"/>
          <w:sz w:val="21"/>
          <w:szCs w:val="21"/>
          <w:highlight w:val="none"/>
          <w:u w:val="single"/>
        </w:rPr>
        <w:t>.</w:t>
      </w:r>
      <w:r>
        <w:rPr>
          <w:rFonts w:hint="eastAsia"/>
          <w:i w:val="0"/>
          <w:iCs w:val="0"/>
          <w:color w:val="auto"/>
          <w:sz w:val="21"/>
          <w:szCs w:val="21"/>
          <w:highlight w:val="none"/>
          <w:u w:val="single"/>
        </w:rPr>
        <w:t>非平衡电桥加热装置</w:t>
      </w:r>
      <w:r>
        <w:rPr>
          <w:i w:val="0"/>
          <w:iCs w:val="0"/>
          <w:color w:val="auto"/>
          <w:sz w:val="21"/>
          <w:szCs w:val="21"/>
          <w:highlight w:val="none"/>
        </w:rPr>
        <w:t>，属于</w:t>
      </w:r>
      <w:r>
        <w:rPr>
          <w:rFonts w:hint="eastAsia" w:ascii="Times New Roman"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212E40C5">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5</w:t>
      </w:r>
      <w:r>
        <w:rPr>
          <w:i w:val="0"/>
          <w:iCs w:val="0"/>
          <w:color w:val="auto"/>
          <w:sz w:val="21"/>
          <w:szCs w:val="21"/>
          <w:highlight w:val="none"/>
          <w:u w:val="single"/>
        </w:rPr>
        <w:t>.</w:t>
      </w:r>
      <w:r>
        <w:rPr>
          <w:rFonts w:hint="eastAsia"/>
          <w:i w:val="0"/>
          <w:iCs w:val="0"/>
          <w:color w:val="auto"/>
          <w:sz w:val="21"/>
          <w:szCs w:val="21"/>
          <w:highlight w:val="none"/>
          <w:u w:val="single"/>
        </w:rPr>
        <w:t>积木式巨磁电阻效应及应用实验仪（配变温霍尔效应）</w:t>
      </w:r>
      <w:r>
        <w:rPr>
          <w:i w:val="0"/>
          <w:iCs w:val="0"/>
          <w:color w:val="auto"/>
          <w:sz w:val="21"/>
          <w:szCs w:val="21"/>
          <w:highlight w:val="none"/>
        </w:rPr>
        <w:t>，属于</w:t>
      </w:r>
      <w:r>
        <w:rPr>
          <w:rFonts w:hint="eastAsia" w:ascii="宋体"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7C1E7300">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6</w:t>
      </w:r>
      <w:r>
        <w:rPr>
          <w:i w:val="0"/>
          <w:iCs w:val="0"/>
          <w:color w:val="auto"/>
          <w:sz w:val="21"/>
          <w:szCs w:val="21"/>
          <w:highlight w:val="none"/>
          <w:u w:val="single"/>
        </w:rPr>
        <w:t>.</w:t>
      </w:r>
      <w:r>
        <w:rPr>
          <w:rFonts w:hint="eastAsia"/>
          <w:i w:val="0"/>
          <w:iCs w:val="0"/>
          <w:color w:val="auto"/>
          <w:sz w:val="21"/>
          <w:szCs w:val="21"/>
          <w:highlight w:val="none"/>
          <w:u w:val="single"/>
        </w:rPr>
        <w:t>热学综合实验平台</w:t>
      </w:r>
      <w:r>
        <w:rPr>
          <w:i w:val="0"/>
          <w:iCs w:val="0"/>
          <w:color w:val="auto"/>
          <w:sz w:val="21"/>
          <w:szCs w:val="21"/>
          <w:highlight w:val="none"/>
        </w:rPr>
        <w:t>，属于</w:t>
      </w:r>
      <w:r>
        <w:rPr>
          <w:rFonts w:hint="eastAsia" w:ascii="Times New Roman"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203B5E42">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7</w:t>
      </w:r>
      <w:r>
        <w:rPr>
          <w:i w:val="0"/>
          <w:iCs w:val="0"/>
          <w:color w:val="auto"/>
          <w:sz w:val="21"/>
          <w:szCs w:val="21"/>
          <w:highlight w:val="none"/>
          <w:u w:val="single"/>
        </w:rPr>
        <w:t>.</w:t>
      </w:r>
      <w:r>
        <w:rPr>
          <w:rFonts w:hint="eastAsia"/>
          <w:i w:val="0"/>
          <w:iCs w:val="0"/>
          <w:color w:val="auto"/>
          <w:sz w:val="21"/>
          <w:szCs w:val="21"/>
          <w:highlight w:val="none"/>
          <w:u w:val="single"/>
        </w:rPr>
        <w:t>落球法变温粘滞系数实验仪</w:t>
      </w:r>
      <w:r>
        <w:rPr>
          <w:i w:val="0"/>
          <w:iCs w:val="0"/>
          <w:color w:val="auto"/>
          <w:sz w:val="21"/>
          <w:szCs w:val="21"/>
          <w:highlight w:val="none"/>
        </w:rPr>
        <w:t>，属于</w:t>
      </w:r>
      <w:r>
        <w:rPr>
          <w:rFonts w:hint="eastAsia" w:ascii="宋体"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4E474DE1">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8</w:t>
      </w:r>
      <w:r>
        <w:rPr>
          <w:i w:val="0"/>
          <w:iCs w:val="0"/>
          <w:color w:val="auto"/>
          <w:sz w:val="21"/>
          <w:szCs w:val="21"/>
          <w:highlight w:val="none"/>
          <w:u w:val="single"/>
        </w:rPr>
        <w:t>.</w:t>
      </w:r>
      <w:r>
        <w:rPr>
          <w:rFonts w:hint="eastAsia"/>
          <w:i w:val="0"/>
          <w:iCs w:val="0"/>
          <w:color w:val="auto"/>
          <w:sz w:val="21"/>
          <w:szCs w:val="21"/>
          <w:highlight w:val="none"/>
          <w:u w:val="single"/>
        </w:rPr>
        <w:t>磁学综合实验平台（模块化模式）</w:t>
      </w:r>
      <w:r>
        <w:rPr>
          <w:i w:val="0"/>
          <w:iCs w:val="0"/>
          <w:color w:val="auto"/>
          <w:sz w:val="21"/>
          <w:szCs w:val="21"/>
          <w:highlight w:val="none"/>
        </w:rPr>
        <w:t>，属于</w:t>
      </w:r>
      <w:r>
        <w:rPr>
          <w:rFonts w:hint="eastAsia" w:ascii="Times New Roman"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3A079042">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9</w:t>
      </w:r>
      <w:r>
        <w:rPr>
          <w:i w:val="0"/>
          <w:iCs w:val="0"/>
          <w:color w:val="auto"/>
          <w:sz w:val="21"/>
          <w:szCs w:val="21"/>
          <w:highlight w:val="none"/>
          <w:u w:val="single"/>
        </w:rPr>
        <w:t>.</w:t>
      </w:r>
      <w:r>
        <w:rPr>
          <w:rFonts w:hint="eastAsia"/>
          <w:i w:val="0"/>
          <w:iCs w:val="0"/>
          <w:color w:val="auto"/>
          <w:sz w:val="21"/>
          <w:szCs w:val="21"/>
          <w:highlight w:val="none"/>
          <w:u w:val="single"/>
        </w:rPr>
        <w:t>物理虚拟仿真实验</w:t>
      </w:r>
      <w:r>
        <w:rPr>
          <w:i w:val="0"/>
          <w:iCs w:val="0"/>
          <w:color w:val="auto"/>
          <w:sz w:val="21"/>
          <w:szCs w:val="21"/>
          <w:highlight w:val="none"/>
        </w:rPr>
        <w:t>，属于</w:t>
      </w:r>
      <w:r>
        <w:rPr>
          <w:rFonts w:hint="eastAsia" w:ascii="宋体"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03948E3A">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10</w:t>
      </w:r>
      <w:r>
        <w:rPr>
          <w:i w:val="0"/>
          <w:iCs w:val="0"/>
          <w:color w:val="auto"/>
          <w:sz w:val="21"/>
          <w:szCs w:val="21"/>
          <w:highlight w:val="none"/>
          <w:u w:val="single"/>
        </w:rPr>
        <w:t>.</w:t>
      </w:r>
      <w:r>
        <w:rPr>
          <w:rFonts w:hint="eastAsia"/>
          <w:i w:val="0"/>
          <w:iCs w:val="0"/>
          <w:color w:val="auto"/>
          <w:sz w:val="21"/>
          <w:szCs w:val="21"/>
          <w:highlight w:val="none"/>
          <w:u w:val="single"/>
        </w:rPr>
        <w:t>光纤通信综合实验箱</w:t>
      </w:r>
      <w:r>
        <w:rPr>
          <w:i w:val="0"/>
          <w:iCs w:val="0"/>
          <w:color w:val="auto"/>
          <w:sz w:val="21"/>
          <w:szCs w:val="21"/>
          <w:highlight w:val="none"/>
        </w:rPr>
        <w:t>，属于</w:t>
      </w:r>
      <w:r>
        <w:rPr>
          <w:rFonts w:hint="eastAsia" w:ascii="Times New Roman"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0F99DE04">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11</w:t>
      </w:r>
      <w:r>
        <w:rPr>
          <w:i w:val="0"/>
          <w:iCs w:val="0"/>
          <w:color w:val="auto"/>
          <w:sz w:val="21"/>
          <w:szCs w:val="21"/>
          <w:highlight w:val="none"/>
          <w:u w:val="single"/>
        </w:rPr>
        <w:t>.</w:t>
      </w:r>
      <w:r>
        <w:rPr>
          <w:rFonts w:hint="eastAsia"/>
          <w:i w:val="0"/>
          <w:iCs w:val="0"/>
          <w:color w:val="auto"/>
          <w:sz w:val="21"/>
          <w:szCs w:val="21"/>
          <w:highlight w:val="none"/>
          <w:u w:val="single"/>
        </w:rPr>
        <w:t>光电模拟电路实验箱</w:t>
      </w:r>
      <w:r>
        <w:rPr>
          <w:i w:val="0"/>
          <w:iCs w:val="0"/>
          <w:color w:val="auto"/>
          <w:sz w:val="21"/>
          <w:szCs w:val="21"/>
          <w:highlight w:val="none"/>
        </w:rPr>
        <w:t>，属于</w:t>
      </w:r>
      <w:r>
        <w:rPr>
          <w:rFonts w:hint="eastAsia" w:ascii="宋体"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587BF711">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12</w:t>
      </w:r>
      <w:r>
        <w:rPr>
          <w:i w:val="0"/>
          <w:iCs w:val="0"/>
          <w:color w:val="auto"/>
          <w:sz w:val="21"/>
          <w:szCs w:val="21"/>
          <w:highlight w:val="none"/>
          <w:u w:val="single"/>
        </w:rPr>
        <w:t>.</w:t>
      </w:r>
      <w:r>
        <w:rPr>
          <w:rFonts w:hint="eastAsia"/>
          <w:i w:val="0"/>
          <w:iCs w:val="0"/>
          <w:color w:val="auto"/>
          <w:sz w:val="21"/>
          <w:szCs w:val="21"/>
          <w:highlight w:val="none"/>
          <w:u w:val="single"/>
        </w:rPr>
        <w:t>通信系统综合实验箱</w:t>
      </w:r>
      <w:r>
        <w:rPr>
          <w:i w:val="0"/>
          <w:iCs w:val="0"/>
          <w:color w:val="auto"/>
          <w:sz w:val="21"/>
          <w:szCs w:val="21"/>
          <w:highlight w:val="none"/>
        </w:rPr>
        <w:t>，属于</w:t>
      </w:r>
      <w:r>
        <w:rPr>
          <w:rFonts w:hint="eastAsia" w:ascii="Times New Roman"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18A619E5">
      <w:pPr>
        <w:adjustRightInd w:val="0"/>
        <w:snapToGrid w:val="0"/>
        <w:spacing w:line="288" w:lineRule="auto"/>
        <w:ind w:firstLine="495" w:firstLineChars="236"/>
        <w:rPr>
          <w:i w:val="0"/>
          <w:iCs w:val="0"/>
          <w:color w:val="auto"/>
          <w:sz w:val="21"/>
          <w:szCs w:val="21"/>
          <w:highlight w:val="none"/>
        </w:rPr>
      </w:pPr>
      <w:r>
        <w:rPr>
          <w:rFonts w:hint="eastAsia" w:ascii="宋体" w:eastAsia="宋体"/>
          <w:i w:val="0"/>
          <w:iCs w:val="0"/>
          <w:color w:val="auto"/>
          <w:sz w:val="21"/>
          <w:szCs w:val="21"/>
          <w:highlight w:val="none"/>
          <w:u w:val="single"/>
          <w:lang w:val="en-US" w:eastAsia="zh-CN"/>
        </w:rPr>
        <w:t>1</w:t>
      </w:r>
      <w:r>
        <w:rPr>
          <w:rFonts w:hint="eastAsia"/>
          <w:i w:val="0"/>
          <w:iCs w:val="0"/>
          <w:color w:val="auto"/>
          <w:sz w:val="21"/>
          <w:szCs w:val="21"/>
          <w:highlight w:val="none"/>
          <w:u w:val="single"/>
          <w:lang w:val="en-US" w:eastAsia="zh-CN"/>
        </w:rPr>
        <w:t>3</w:t>
      </w:r>
      <w:r>
        <w:rPr>
          <w:i w:val="0"/>
          <w:iCs w:val="0"/>
          <w:color w:val="auto"/>
          <w:sz w:val="21"/>
          <w:szCs w:val="21"/>
          <w:highlight w:val="none"/>
          <w:u w:val="single"/>
        </w:rPr>
        <w:t>.</w:t>
      </w:r>
      <w:r>
        <w:rPr>
          <w:rFonts w:hint="eastAsia"/>
          <w:i w:val="0"/>
          <w:iCs w:val="0"/>
          <w:color w:val="auto"/>
          <w:sz w:val="21"/>
          <w:szCs w:val="21"/>
          <w:highlight w:val="none"/>
          <w:u w:val="single"/>
        </w:rPr>
        <w:t>固体激光原理与技术综合实验仪</w:t>
      </w:r>
      <w:r>
        <w:rPr>
          <w:i w:val="0"/>
          <w:iCs w:val="0"/>
          <w:color w:val="auto"/>
          <w:sz w:val="21"/>
          <w:szCs w:val="21"/>
          <w:highlight w:val="none"/>
        </w:rPr>
        <w:t>，属于</w:t>
      </w:r>
      <w:r>
        <w:rPr>
          <w:rFonts w:hint="eastAsia" w:ascii="宋体"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2B23645B">
      <w:pPr>
        <w:adjustRightInd w:val="0"/>
        <w:snapToGrid w:val="0"/>
        <w:spacing w:line="288" w:lineRule="auto"/>
        <w:ind w:firstLine="495" w:firstLineChars="236"/>
        <w:rPr>
          <w:rFonts w:hint="eastAsia" w:eastAsia="宋体"/>
          <w:i w:val="0"/>
          <w:iCs w:val="0"/>
          <w:color w:val="auto"/>
          <w:sz w:val="21"/>
          <w:szCs w:val="21"/>
          <w:highlight w:val="none"/>
          <w:lang w:eastAsia="zh-CN"/>
        </w:rPr>
      </w:pPr>
      <w:r>
        <w:rPr>
          <w:rFonts w:hint="eastAsia" w:ascii="宋体" w:eastAsia="宋体"/>
          <w:i w:val="0"/>
          <w:iCs w:val="0"/>
          <w:color w:val="auto"/>
          <w:sz w:val="21"/>
          <w:szCs w:val="21"/>
          <w:highlight w:val="none"/>
          <w:u w:val="single"/>
          <w:lang w:val="en-US" w:eastAsia="zh-CN"/>
        </w:rPr>
        <w:t>1</w:t>
      </w:r>
      <w:r>
        <w:rPr>
          <w:rFonts w:hint="eastAsia"/>
          <w:i w:val="0"/>
          <w:iCs w:val="0"/>
          <w:color w:val="auto"/>
          <w:sz w:val="21"/>
          <w:szCs w:val="21"/>
          <w:highlight w:val="none"/>
          <w:u w:val="single"/>
          <w:lang w:val="en-US" w:eastAsia="zh-CN"/>
        </w:rPr>
        <w:t>4</w:t>
      </w:r>
      <w:r>
        <w:rPr>
          <w:i w:val="0"/>
          <w:iCs w:val="0"/>
          <w:color w:val="auto"/>
          <w:sz w:val="21"/>
          <w:szCs w:val="21"/>
          <w:highlight w:val="none"/>
          <w:u w:val="single"/>
        </w:rPr>
        <w:t>.</w:t>
      </w:r>
      <w:r>
        <w:rPr>
          <w:rFonts w:hint="eastAsia"/>
          <w:i w:val="0"/>
          <w:iCs w:val="0"/>
          <w:color w:val="auto"/>
          <w:sz w:val="21"/>
          <w:szCs w:val="21"/>
          <w:highlight w:val="none"/>
          <w:u w:val="single"/>
        </w:rPr>
        <w:t>掺铒光纤放大器工作特性与参数测量实验仪</w:t>
      </w:r>
      <w:r>
        <w:rPr>
          <w:i w:val="0"/>
          <w:iCs w:val="0"/>
          <w:color w:val="auto"/>
          <w:sz w:val="21"/>
          <w:szCs w:val="21"/>
          <w:highlight w:val="none"/>
        </w:rPr>
        <w:t>，属于</w:t>
      </w:r>
      <w:r>
        <w:rPr>
          <w:rFonts w:hint="eastAsia" w:ascii="Times New Roman"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i w:val="0"/>
          <w:iCs w:val="0"/>
          <w:color w:val="auto"/>
          <w:sz w:val="21"/>
          <w:szCs w:val="21"/>
          <w:highlight w:val="none"/>
          <w:u w:val="single"/>
          <w:lang w:eastAsia="zh-CN"/>
        </w:rPr>
        <w:t>。</w:t>
      </w:r>
    </w:p>
    <w:p w14:paraId="67164F30">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14:paraId="3998F015">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14:paraId="05334E29">
      <w:pPr>
        <w:adjustRightInd w:val="0"/>
        <w:snapToGrid w:val="0"/>
        <w:spacing w:line="288" w:lineRule="auto"/>
        <w:ind w:firstLine="495" w:firstLineChars="236"/>
        <w:rPr>
          <w:color w:val="auto"/>
          <w:sz w:val="21"/>
          <w:szCs w:val="21"/>
          <w:highlight w:val="none"/>
        </w:rPr>
      </w:pPr>
    </w:p>
    <w:p w14:paraId="00C77B27">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14:paraId="2065AFD0">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14:paraId="36B8CD25">
      <w:pPr>
        <w:adjustRightInd w:val="0"/>
        <w:snapToGrid w:val="0"/>
        <w:spacing w:line="288" w:lineRule="auto"/>
        <w:ind w:firstLine="495" w:firstLineChars="236"/>
        <w:rPr>
          <w:color w:val="auto"/>
          <w:sz w:val="21"/>
          <w:szCs w:val="21"/>
          <w:highlight w:val="none"/>
        </w:rPr>
      </w:pPr>
    </w:p>
    <w:p w14:paraId="3591449A">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14:paraId="0385CF3A">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1.</w:t>
      </w:r>
      <w:r>
        <w:rPr>
          <w:rFonts w:hint="eastAsia" w:cs="Times New Roman"/>
          <w:color w:val="auto"/>
          <w:sz w:val="21"/>
          <w:szCs w:val="21"/>
          <w:highlight w:val="none"/>
        </w:rPr>
        <w:t>从业人员、营业收入、资产总额填报上一年度数据，无上一年度数据的新成立企业可不填报。</w:t>
      </w:r>
    </w:p>
    <w:p w14:paraId="6DFF5E30">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2.</w:t>
      </w:r>
      <w:r>
        <w:rPr>
          <w:rFonts w:hint="eastAsia" w:cs="Times New Roman"/>
          <w:color w:val="auto"/>
          <w:sz w:val="21"/>
          <w:szCs w:val="21"/>
          <w:highlight w:val="none"/>
        </w:rPr>
        <w:t>中小企业参加政府采购活动，应当出具财库〔2020〕46号文件规定的《中小企业声明函》，否则不得享受相关中小企业扶持政策。</w:t>
      </w:r>
    </w:p>
    <w:p w14:paraId="32363B14">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3</w:t>
      </w:r>
      <w:r>
        <w:rPr>
          <w:rFonts w:hint="eastAsia" w:cs="Times New Roman"/>
          <w:color w:val="auto"/>
          <w:sz w:val="21"/>
          <w:szCs w:val="21"/>
          <w:highlight w:val="none"/>
        </w:rPr>
        <w:t>.本项目仅以《中小企业声明函》作为评判供应商是否属于中小企业的唯一依据。</w:t>
      </w:r>
    </w:p>
    <w:p w14:paraId="7EB91B54">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4</w:t>
      </w:r>
      <w:r>
        <w:rPr>
          <w:rFonts w:hint="eastAsia" w:cs="Times New Roman"/>
          <w:color w:val="auto"/>
          <w:sz w:val="21"/>
          <w:szCs w:val="21"/>
          <w:highlight w:val="none"/>
        </w:rPr>
        <w:t>.供应商提供《中小企业声明函》内容不实的，属于提供虚假材料谋取中标、成交，依照《中华人民共和国政府采购法》等国家有关规定追究相应责任。</w:t>
      </w:r>
    </w:p>
    <w:p w14:paraId="43128B63">
      <w:pPr>
        <w:adjustRightInd w:val="0"/>
        <w:snapToGrid w:val="0"/>
        <w:spacing w:line="288" w:lineRule="auto"/>
        <w:ind w:firstLine="495" w:firstLineChars="236"/>
        <w:rPr>
          <w:rFonts w:cstheme="minorBidi"/>
          <w:color w:val="auto"/>
          <w:sz w:val="21"/>
          <w:szCs w:val="22"/>
          <w:highlight w:val="none"/>
          <w:u w:val="single"/>
        </w:rPr>
      </w:pPr>
      <w:r>
        <w:rPr>
          <w:rFonts w:cs="Times New Roman"/>
          <w:color w:val="auto"/>
          <w:sz w:val="21"/>
          <w:szCs w:val="21"/>
          <w:highlight w:val="none"/>
          <w:u w:val="single"/>
        </w:rPr>
        <w:t>5.</w:t>
      </w:r>
      <w:r>
        <w:rPr>
          <w:rFonts w:hint="eastAsia" w:cs="Times New Roman"/>
          <w:color w:val="auto"/>
          <w:sz w:val="21"/>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cstheme="minorBidi"/>
          <w:color w:val="auto"/>
          <w:sz w:val="21"/>
          <w:szCs w:val="22"/>
          <w:highlight w:val="none"/>
          <w:u w:val="single"/>
        </w:rPr>
        <w:t>不享受中小企业扶持政策。</w:t>
      </w:r>
    </w:p>
    <w:p w14:paraId="005E4476">
      <w:pPr>
        <w:widowControl/>
        <w:adjustRightInd w:val="0"/>
        <w:snapToGrid w:val="0"/>
        <w:spacing w:line="288" w:lineRule="auto"/>
        <w:ind w:firstLine="495" w:firstLineChars="236"/>
        <w:jc w:val="left"/>
        <w:rPr>
          <w:rFonts w:cs="Times New Roman"/>
          <w:color w:val="auto"/>
          <w:sz w:val="21"/>
          <w:szCs w:val="21"/>
          <w:highlight w:val="none"/>
          <w:u w:val="single"/>
        </w:rPr>
      </w:pPr>
      <w:r>
        <w:rPr>
          <w:rFonts w:hint="eastAsia" w:cs="Times New Roman"/>
          <w:color w:val="auto"/>
          <w:sz w:val="21"/>
          <w:szCs w:val="21"/>
          <w:highlight w:val="none"/>
          <w:u w:val="single"/>
        </w:rPr>
        <w:t>6</w:t>
      </w:r>
      <w:r>
        <w:rPr>
          <w:rFonts w:cs="Times New Roman"/>
          <w:color w:val="auto"/>
          <w:sz w:val="21"/>
          <w:szCs w:val="21"/>
          <w:highlight w:val="none"/>
          <w:u w:val="single"/>
        </w:rPr>
        <w:t>.如项目包含“多件”标的物的，需按标的物项数逐项填写。</w:t>
      </w:r>
    </w:p>
    <w:p w14:paraId="2B4C33D0">
      <w:pPr>
        <w:widowControl/>
        <w:adjustRightInd w:val="0"/>
        <w:snapToGrid w:val="0"/>
        <w:spacing w:line="288" w:lineRule="auto"/>
        <w:ind w:firstLine="495" w:firstLineChars="236"/>
        <w:jc w:val="left"/>
        <w:rPr>
          <w:color w:val="auto"/>
          <w:sz w:val="21"/>
          <w:szCs w:val="21"/>
          <w:highlight w:val="none"/>
        </w:rPr>
      </w:pPr>
      <w:r>
        <w:rPr>
          <w:color w:val="auto"/>
          <w:sz w:val="21"/>
          <w:szCs w:val="21"/>
          <w:highlight w:val="none"/>
        </w:rPr>
        <w:br w:type="page"/>
      </w:r>
    </w:p>
    <w:p w14:paraId="3D73FF05">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属于监狱企业的证明文件（若属于监狱企业）</w:t>
      </w:r>
    </w:p>
    <w:p w14:paraId="0FA0DFCD">
      <w:pPr>
        <w:adjustRightInd w:val="0"/>
        <w:snapToGrid w:val="0"/>
        <w:spacing w:line="288" w:lineRule="auto"/>
        <w:rPr>
          <w:color w:val="auto"/>
          <w:kern w:val="0"/>
          <w:sz w:val="21"/>
          <w:szCs w:val="21"/>
          <w:highlight w:val="none"/>
        </w:rPr>
      </w:pPr>
    </w:p>
    <w:p w14:paraId="3905620B">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14:paraId="063CEAC7">
      <w:pPr>
        <w:adjustRightInd w:val="0"/>
        <w:snapToGrid w:val="0"/>
        <w:spacing w:line="288" w:lineRule="auto"/>
        <w:rPr>
          <w:color w:val="auto"/>
          <w:sz w:val="21"/>
          <w:szCs w:val="21"/>
          <w:highlight w:val="none"/>
        </w:rPr>
      </w:pPr>
    </w:p>
    <w:p w14:paraId="4DF0931F">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56C63F19">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E3BD634">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14:paraId="6F294651">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14:paraId="6E4BA5E6">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残疾人福利性单位声明函（若属于残疾人福利性单位）</w:t>
      </w:r>
    </w:p>
    <w:p w14:paraId="46BCDE39">
      <w:pPr>
        <w:adjustRightInd w:val="0"/>
        <w:snapToGrid w:val="0"/>
        <w:spacing w:line="288" w:lineRule="auto"/>
        <w:rPr>
          <w:rFonts w:cs="Times New Roman"/>
          <w:b/>
          <w:color w:val="auto"/>
          <w:spacing w:val="6"/>
          <w:sz w:val="21"/>
          <w:szCs w:val="21"/>
          <w:highlight w:val="none"/>
        </w:rPr>
      </w:pPr>
    </w:p>
    <w:p w14:paraId="75DF43A6">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14:paraId="1113AEEE">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14:paraId="40B35039">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14:paraId="417CB215">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14:paraId="6ECDA734">
      <w:pPr>
        <w:adjustRightInd w:val="0"/>
        <w:snapToGrid w:val="0"/>
        <w:spacing w:line="288" w:lineRule="auto"/>
        <w:rPr>
          <w:color w:val="auto"/>
          <w:sz w:val="21"/>
          <w:szCs w:val="21"/>
          <w:highlight w:val="none"/>
        </w:rPr>
      </w:pPr>
    </w:p>
    <w:p w14:paraId="488084A2">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508CA0C5">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一、享受政府采购支持政策的残疾人福利性单位应当同时满足以下条件：</w:t>
      </w:r>
    </w:p>
    <w:p w14:paraId="58BA5010">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（一）安置的残疾人占本单位在职职工人数的比例不低于25%（含25%），并且安置的残疾人人数不少于10人（含10人）；</w:t>
      </w:r>
    </w:p>
    <w:p w14:paraId="6B34556B">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（二）依法与安置的每位残疾人签订了一年以上（含一年）的劳动合同或服务协议；</w:t>
      </w:r>
    </w:p>
    <w:p w14:paraId="5692FD1D">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（三）为安置的每位残疾人按月足额缴纳了基本养老保险、基本医疗保险、失业保险、工伤保险和生育保险等社会保险费；</w:t>
      </w:r>
    </w:p>
    <w:p w14:paraId="358B3249">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（四）通过银行等金融机构向安置的每位残疾人，按月支付了不低于单位所在区县适用的经省级人民政府批准的月最低工资标准的工资；</w:t>
      </w:r>
    </w:p>
    <w:p w14:paraId="579F8F4C">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14:paraId="0099B1E6">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A5A0E9C">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二、符合条件的残疾人福利性单位在参加政府采购活动时，应当提供财库</w:t>
      </w:r>
      <w:r>
        <w:rPr>
          <w:color w:val="auto"/>
          <w:kern w:val="0"/>
          <w:sz w:val="21"/>
          <w:szCs w:val="21"/>
          <w:highlight w:val="none"/>
        </w:rPr>
        <w:t>[2017]141号</w:t>
      </w:r>
      <w:r>
        <w:rPr>
          <w:rFonts w:hint="eastAsia"/>
          <w:color w:val="auto"/>
          <w:kern w:val="0"/>
          <w:sz w:val="21"/>
          <w:szCs w:val="21"/>
          <w:highlight w:val="none"/>
        </w:rPr>
        <w:t>文件规定的《残疾人福利性单位声明函》，并对声明的真实性负责。</w:t>
      </w:r>
    </w:p>
    <w:p w14:paraId="719743C9">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三、在政府采购活动中，残疾人福利性单位视同小型、微型企业，享受预留份额、评审中价格扣除等促进中小企业发展的政府采购政策。</w:t>
      </w:r>
    </w:p>
    <w:p w14:paraId="21B24181">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残疾人福利性单位属于小型、微型企业的，不重复享受政策。</w:t>
      </w:r>
    </w:p>
    <w:p w14:paraId="28CEBFDB">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14:paraId="297DD5FD">
      <w:pPr>
        <w:adjustRightInd w:val="0"/>
        <w:snapToGrid w:val="0"/>
        <w:spacing w:line="288" w:lineRule="auto"/>
        <w:jc w:val="left"/>
        <w:outlineLvl w:val="2"/>
        <w:rPr>
          <w:b/>
          <w:color w:val="auto"/>
          <w:spacing w:val="-6"/>
          <w:sz w:val="21"/>
          <w:szCs w:val="21"/>
          <w:highlight w:val="none"/>
        </w:rPr>
      </w:pPr>
    </w:p>
    <w:p w14:paraId="3C23420D">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14:paraId="280AA9D2">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04385E4">
      <w:pPr>
        <w:adjustRightInd w:val="0"/>
        <w:snapToGrid w:val="0"/>
        <w:spacing w:line="288" w:lineRule="auto"/>
        <w:rPr>
          <w:color w:val="auto"/>
          <w:highlight w:val="none"/>
        </w:rPr>
      </w:pPr>
    </w:p>
    <w:p w14:paraId="306E0862">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14:paraId="0086D41A">
      <w:pPr>
        <w:adjustRightInd w:val="0"/>
        <w:snapToGrid w:val="0"/>
        <w:spacing w:line="288" w:lineRule="auto"/>
        <w:rPr>
          <w:color w:val="auto"/>
          <w:highlight w:val="none"/>
        </w:rPr>
      </w:pPr>
      <w:r>
        <w:rPr>
          <w:rFonts w:hint="eastAsia"/>
          <w:color w:val="auto"/>
          <w:highlight w:val="none"/>
        </w:rPr>
        <w:br w:type="page"/>
      </w:r>
    </w:p>
    <w:p w14:paraId="6375D663">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14:paraId="0444669E">
      <w:pPr>
        <w:adjustRightInd w:val="0"/>
        <w:snapToGrid w:val="0"/>
        <w:spacing w:line="288" w:lineRule="auto"/>
        <w:rPr>
          <w:color w:val="auto"/>
          <w:sz w:val="21"/>
          <w:szCs w:val="21"/>
          <w:highlight w:val="none"/>
        </w:rPr>
      </w:pPr>
    </w:p>
    <w:p w14:paraId="76E7190B">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14:paraId="0083B3DD">
      <w:pPr>
        <w:adjustRightInd w:val="0"/>
        <w:snapToGrid w:val="0"/>
        <w:spacing w:line="288" w:lineRule="auto"/>
        <w:rPr>
          <w:rFonts w:cs="Times New Roman"/>
          <w:color w:val="auto"/>
          <w:spacing w:val="-6"/>
          <w:sz w:val="21"/>
          <w:szCs w:val="21"/>
          <w:highlight w:val="none"/>
        </w:rPr>
      </w:pPr>
    </w:p>
    <w:p w14:paraId="1DB59376">
      <w:pPr>
        <w:adjustRightInd w:val="0"/>
        <w:snapToGrid w:val="0"/>
        <w:spacing w:line="288" w:lineRule="auto"/>
        <w:ind w:firstLine="396" w:firstLineChars="200"/>
        <w:rPr>
          <w:color w:val="auto"/>
          <w:sz w:val="21"/>
          <w:szCs w:val="21"/>
          <w:highlight w:val="none"/>
        </w:rPr>
      </w:pPr>
      <w:bookmarkStart w:id="63"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杭州电子科技大学物理虚拟仿真实验及仪器采购</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QSZB-Z(H)-B24466(CS)L</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63"/>
    <w:p w14:paraId="5619FE6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14:paraId="3A3AB71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14:paraId="3760A0C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14:paraId="11E3598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14:paraId="07E8004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14:paraId="41550C4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0E313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2A5733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bookmarkStart w:id="64" w:name="_Hlk97040154"/>
            <w:r>
              <w:rPr>
                <w:rFonts w:hint="eastAsia" w:cs="Times New Roman"/>
                <w:color w:val="auto"/>
                <w:spacing w:val="-6"/>
                <w:kern w:val="0"/>
                <w:sz w:val="21"/>
                <w:szCs w:val="21"/>
                <w:highlight w:val="none"/>
              </w:rPr>
              <w:t>联系人：</w:t>
            </w:r>
          </w:p>
        </w:tc>
        <w:tc>
          <w:tcPr>
            <w:tcW w:w="6808" w:type="dxa"/>
          </w:tcPr>
          <w:p w14:paraId="672F718F">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70EA4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EC52D36">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14:paraId="308A6362">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2BD2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49442AA">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14:paraId="64455CEF">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7BE7B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67E458D">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14:paraId="5040D949">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0D493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57F1787">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14:paraId="4747C58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1323A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410459C">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14:paraId="4130F34B">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43B4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68A8803">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14:paraId="7A38B8E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bookmarkEnd w:id="64"/>
    </w:tbl>
    <w:p w14:paraId="3EC68717">
      <w:pPr>
        <w:adjustRightInd w:val="0"/>
        <w:snapToGrid w:val="0"/>
        <w:spacing w:line="288" w:lineRule="auto"/>
        <w:rPr>
          <w:color w:val="auto"/>
          <w:sz w:val="21"/>
          <w:szCs w:val="21"/>
          <w:highlight w:val="none"/>
        </w:rPr>
      </w:pPr>
    </w:p>
    <w:p w14:paraId="3A69E034">
      <w:pPr>
        <w:adjustRightInd w:val="0"/>
        <w:snapToGrid w:val="0"/>
        <w:spacing w:line="288" w:lineRule="auto"/>
        <w:rPr>
          <w:color w:val="auto"/>
          <w:sz w:val="21"/>
          <w:szCs w:val="21"/>
          <w:highlight w:val="none"/>
        </w:rPr>
      </w:pPr>
    </w:p>
    <w:p w14:paraId="1997269D">
      <w:pPr>
        <w:adjustRightInd w:val="0"/>
        <w:snapToGrid w:val="0"/>
        <w:spacing w:line="288" w:lineRule="auto"/>
        <w:rPr>
          <w:rFonts w:cs="Times New Roman"/>
          <w:b/>
          <w:bCs/>
          <w:color w:val="auto"/>
          <w:spacing w:val="-6"/>
          <w:sz w:val="21"/>
          <w:szCs w:val="21"/>
          <w:highlight w:val="none"/>
        </w:rPr>
      </w:pPr>
      <w:bookmarkStart w:id="65"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16E9AB18">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5"/>
    <w:p w14:paraId="03F0248C">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085090AF">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14:paraId="54F106A5">
      <w:pPr>
        <w:adjustRightInd w:val="0"/>
        <w:snapToGrid w:val="0"/>
        <w:spacing w:line="288" w:lineRule="auto"/>
        <w:rPr>
          <w:rFonts w:cs="Times New Roman"/>
          <w:b/>
          <w:bCs/>
          <w:color w:val="auto"/>
          <w:spacing w:val="-6"/>
          <w:sz w:val="21"/>
          <w:szCs w:val="21"/>
          <w:highlight w:val="none"/>
        </w:rPr>
      </w:pPr>
    </w:p>
    <w:p w14:paraId="464F5CB6">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w:t>
      </w:r>
      <w:r>
        <w:rPr>
          <w:rFonts w:hint="eastAsia" w:cs="Times New Roman"/>
          <w:b/>
          <w:color w:val="auto"/>
          <w:spacing w:val="-6"/>
          <w:sz w:val="21"/>
          <w:szCs w:val="21"/>
          <w:highlight w:val="none"/>
          <w:lang w:eastAsia="zh-CN"/>
        </w:rPr>
        <w:t>杭州电子科技大学</w:t>
      </w:r>
      <w:r>
        <w:rPr>
          <w:rFonts w:hint="eastAsia" w:cs="Times New Roman"/>
          <w:b/>
          <w:color w:val="auto"/>
          <w:spacing w:val="-6"/>
          <w:sz w:val="21"/>
          <w:szCs w:val="21"/>
          <w:highlight w:val="none"/>
        </w:rPr>
        <w:t>、浙江求是招标代理有限公司</w:t>
      </w:r>
    </w:p>
    <w:p w14:paraId="1F05650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杭州电子科技大学物理虚拟仿真实验及仪器采购</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QSZB-Z(H)-B24466(CS)L</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14:paraId="04D18B9F">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14:paraId="5B83C0A0">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14:paraId="2F0F8F5B">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14:paraId="4794A4D9">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2024年1月（含）</w:t>
      </w:r>
      <w:r>
        <w:rPr>
          <w:rFonts w:hint="eastAsia" w:cs="Times New Roman"/>
          <w:color w:val="auto"/>
          <w:spacing w:val="-6"/>
          <w:sz w:val="21"/>
          <w:szCs w:val="21"/>
          <w:highlight w:val="none"/>
          <w:u w:val="single"/>
        </w:rPr>
        <w:t>以后任意一月）。</w:t>
      </w:r>
    </w:p>
    <w:p w14:paraId="12F18054">
      <w:pPr>
        <w:adjustRightInd w:val="0"/>
        <w:snapToGrid w:val="0"/>
        <w:spacing w:line="288" w:lineRule="auto"/>
        <w:rPr>
          <w:rFonts w:cs="Times New Roman"/>
          <w:color w:val="auto"/>
          <w:spacing w:val="-6"/>
          <w:sz w:val="21"/>
          <w:szCs w:val="21"/>
          <w:highlight w:val="none"/>
        </w:rPr>
      </w:pPr>
    </w:p>
    <w:p w14:paraId="63A7C617">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43EF6BDD">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162AD257">
      <w:pPr>
        <w:adjustRightInd w:val="0"/>
        <w:snapToGrid w:val="0"/>
        <w:spacing w:line="288" w:lineRule="auto"/>
        <w:rPr>
          <w:rFonts w:cs="Times New Roman"/>
          <w:color w:val="auto"/>
          <w:sz w:val="21"/>
          <w:szCs w:val="21"/>
          <w:highlight w:val="none"/>
        </w:rPr>
      </w:pPr>
    </w:p>
    <w:p w14:paraId="31DC604F">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14:paraId="39B18C29">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14:paraId="1F8BF631">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14:paraId="3A233EE9">
      <w:pPr>
        <w:adjustRightInd w:val="0"/>
        <w:snapToGrid w:val="0"/>
        <w:spacing w:line="288" w:lineRule="auto"/>
        <w:rPr>
          <w:rFonts w:cs="Times New Roman"/>
          <w:color w:val="auto"/>
          <w:sz w:val="21"/>
          <w:szCs w:val="21"/>
          <w:highlight w:val="none"/>
        </w:rPr>
      </w:pPr>
    </w:p>
    <w:p w14:paraId="22E5907E">
      <w:pPr>
        <w:adjustRightInd w:val="0"/>
        <w:snapToGrid w:val="0"/>
        <w:spacing w:line="288" w:lineRule="auto"/>
        <w:rPr>
          <w:rFonts w:cs="Times New Roman"/>
          <w:color w:val="auto"/>
          <w:sz w:val="21"/>
          <w:szCs w:val="21"/>
          <w:highlight w:val="none"/>
        </w:rPr>
      </w:pPr>
    </w:p>
    <w:p w14:paraId="58AFF068">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14:paraId="4A0CC8D0">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14:paraId="36BC4C58">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34"/>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5EF01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33AA0DB9">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正面：</w:t>
            </w:r>
          </w:p>
        </w:tc>
        <w:tc>
          <w:tcPr>
            <w:tcW w:w="4701" w:type="dxa"/>
          </w:tcPr>
          <w:p w14:paraId="457BDA97">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反面：</w:t>
            </w:r>
          </w:p>
        </w:tc>
      </w:tr>
    </w:tbl>
    <w:p w14:paraId="62F91883">
      <w:pPr>
        <w:adjustRightInd w:val="0"/>
        <w:snapToGrid w:val="0"/>
        <w:spacing w:line="288" w:lineRule="auto"/>
        <w:rPr>
          <w:rFonts w:cs="Times New Roman"/>
          <w:color w:val="auto"/>
          <w:sz w:val="21"/>
          <w:szCs w:val="21"/>
          <w:highlight w:val="none"/>
        </w:rPr>
      </w:pPr>
    </w:p>
    <w:p w14:paraId="731836BF">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18C08C09">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2024年1月（含）</w:t>
      </w:r>
      <w:r>
        <w:rPr>
          <w:rFonts w:hint="eastAsia" w:cs="Times New Roman"/>
          <w:b/>
          <w:bCs/>
          <w:color w:val="auto"/>
          <w:sz w:val="21"/>
          <w:szCs w:val="21"/>
          <w:highlight w:val="none"/>
        </w:rPr>
        <w:t>以后任意一月）</w:t>
      </w:r>
    </w:p>
    <w:p w14:paraId="2964A484">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543D4EA">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4"/>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14:paraId="04EA6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65" w:type="dxa"/>
            <w:vAlign w:val="center"/>
          </w:tcPr>
          <w:p w14:paraId="31FDD1B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序号</w:t>
            </w:r>
          </w:p>
        </w:tc>
        <w:tc>
          <w:tcPr>
            <w:tcW w:w="1236" w:type="dxa"/>
            <w:vAlign w:val="center"/>
          </w:tcPr>
          <w:p w14:paraId="6027F0D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w:t>
            </w:r>
          </w:p>
        </w:tc>
        <w:tc>
          <w:tcPr>
            <w:tcW w:w="1250" w:type="dxa"/>
            <w:vAlign w:val="center"/>
          </w:tcPr>
          <w:p w14:paraId="750CCE1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项目名称</w:t>
            </w:r>
          </w:p>
        </w:tc>
        <w:tc>
          <w:tcPr>
            <w:tcW w:w="1394" w:type="dxa"/>
            <w:vAlign w:val="center"/>
          </w:tcPr>
          <w:p w14:paraId="6EA76DC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数量</w:t>
            </w:r>
          </w:p>
        </w:tc>
        <w:tc>
          <w:tcPr>
            <w:tcW w:w="1233" w:type="dxa"/>
            <w:vAlign w:val="center"/>
          </w:tcPr>
          <w:p w14:paraId="348A3CF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合同金额</w:t>
            </w:r>
          </w:p>
          <w:p w14:paraId="4FA6586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（万元）</w:t>
            </w:r>
          </w:p>
        </w:tc>
        <w:tc>
          <w:tcPr>
            <w:tcW w:w="881" w:type="dxa"/>
            <w:vAlign w:val="center"/>
          </w:tcPr>
          <w:p w14:paraId="59BCB3D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附件页码</w:t>
            </w:r>
          </w:p>
        </w:tc>
        <w:tc>
          <w:tcPr>
            <w:tcW w:w="974" w:type="dxa"/>
            <w:vAlign w:val="center"/>
          </w:tcPr>
          <w:p w14:paraId="0FBBC66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合同签订时间</w:t>
            </w:r>
          </w:p>
        </w:tc>
        <w:tc>
          <w:tcPr>
            <w:tcW w:w="1669" w:type="dxa"/>
            <w:vAlign w:val="center"/>
          </w:tcPr>
          <w:p w14:paraId="3BD6FE4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采购人联系人</w:t>
            </w:r>
          </w:p>
          <w:p w14:paraId="2B60E6F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联系方式</w:t>
            </w:r>
          </w:p>
        </w:tc>
      </w:tr>
      <w:tr w14:paraId="42C0A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5EBDD6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5572F1C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7A810F5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56BE8B2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1156790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465F44F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5A9C0F9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21329C5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464C3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6EA5A75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79530BA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512D612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670FD9F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1FF3598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52867C0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15A096E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156DB1E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3C4D2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10EFBFD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1265FB8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5D57DD5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2F14D3A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010FE8C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5480096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2DBAF6A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699374C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60560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A1F67B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04C080F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05551A6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0B41006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4B37F86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6814D05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51F6EB2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5CDA74F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bl>
    <w:p w14:paraId="651EC1AA">
      <w:pPr>
        <w:adjustRightInd w:val="0"/>
        <w:snapToGrid w:val="0"/>
        <w:spacing w:line="288" w:lineRule="auto"/>
        <w:rPr>
          <w:color w:val="auto"/>
          <w:sz w:val="21"/>
          <w:szCs w:val="21"/>
          <w:highlight w:val="none"/>
        </w:rPr>
      </w:pPr>
    </w:p>
    <w:p w14:paraId="406E77CB">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00849F02">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14:paraId="6E480702">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14:paraId="0788A22E">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14:paraId="3F5F045E">
      <w:pPr>
        <w:adjustRightInd w:val="0"/>
        <w:snapToGrid w:val="0"/>
        <w:spacing w:line="288" w:lineRule="auto"/>
        <w:rPr>
          <w:color w:val="auto"/>
          <w:sz w:val="21"/>
          <w:szCs w:val="21"/>
          <w:highlight w:val="none"/>
        </w:rPr>
      </w:pPr>
    </w:p>
    <w:p w14:paraId="08355CFC">
      <w:pPr>
        <w:adjustRightInd w:val="0"/>
        <w:snapToGrid w:val="0"/>
        <w:spacing w:line="288" w:lineRule="auto"/>
        <w:rPr>
          <w:color w:val="auto"/>
          <w:sz w:val="21"/>
          <w:szCs w:val="21"/>
          <w:highlight w:val="none"/>
        </w:rPr>
      </w:pPr>
    </w:p>
    <w:p w14:paraId="32D29633">
      <w:pPr>
        <w:adjustRightInd w:val="0"/>
        <w:snapToGrid w:val="0"/>
        <w:spacing w:line="288" w:lineRule="auto"/>
        <w:rPr>
          <w:color w:val="auto"/>
          <w:sz w:val="21"/>
          <w:szCs w:val="21"/>
          <w:highlight w:val="none"/>
        </w:rPr>
      </w:pPr>
    </w:p>
    <w:p w14:paraId="1C09DCAE">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760429CF">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7DCE11A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6F6176D">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14:paraId="7F015897">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14:paraId="39BD2415">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物理虚拟仿真实验及仪器采购</w:t>
      </w:r>
    </w:p>
    <w:p w14:paraId="1C0F2447">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QSZB-Z(H)-B24466(CS)L</w:t>
      </w:r>
    </w:p>
    <w:tbl>
      <w:tblPr>
        <w:tblStyle w:val="14"/>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14:paraId="66D98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348200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bookmarkStart w:id="66" w:name="_Hlk97040421"/>
            <w:r>
              <w:rPr>
                <w:rFonts w:hint="eastAsia"/>
                <w:b/>
                <w:bCs/>
                <w:color w:val="auto"/>
                <w:kern w:val="0"/>
                <w:sz w:val="21"/>
                <w:szCs w:val="21"/>
                <w:highlight w:val="none"/>
              </w:rPr>
              <w:t>序号</w:t>
            </w:r>
          </w:p>
        </w:tc>
        <w:tc>
          <w:tcPr>
            <w:tcW w:w="3200" w:type="dxa"/>
            <w:vAlign w:val="center"/>
          </w:tcPr>
          <w:p w14:paraId="0BAE3B0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磋商文件要求</w:t>
            </w:r>
          </w:p>
        </w:tc>
        <w:tc>
          <w:tcPr>
            <w:tcW w:w="2836" w:type="dxa"/>
            <w:vAlign w:val="center"/>
          </w:tcPr>
          <w:p w14:paraId="7883A33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14:paraId="7CFE7C3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是否偏离（提供说明）</w:t>
            </w:r>
          </w:p>
        </w:tc>
      </w:tr>
      <w:tr w14:paraId="4F90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57885B76">
            <w:pPr>
              <w:keepNext w:val="0"/>
              <w:keepLines w:val="0"/>
              <w:suppressLineNumbers w:val="0"/>
              <w:adjustRightInd w:val="0"/>
              <w:snapToGrid w:val="0"/>
              <w:spacing w:before="0" w:beforeAutospacing="0" w:after="0" w:afterAutospacing="0" w:line="288" w:lineRule="auto"/>
              <w:ind w:left="0" w:right="0"/>
              <w:rPr>
                <w:rFonts w:hint="default"/>
                <w:b/>
                <w:bCs/>
                <w:color w:val="auto"/>
                <w:kern w:val="0"/>
                <w:sz w:val="21"/>
                <w:szCs w:val="21"/>
                <w:highlight w:val="none"/>
              </w:rPr>
            </w:pPr>
            <w:r>
              <w:rPr>
                <w:rFonts w:hint="eastAsia"/>
                <w:b/>
                <w:bCs/>
                <w:color w:val="auto"/>
                <w:kern w:val="0"/>
                <w:sz w:val="21"/>
                <w:szCs w:val="21"/>
                <w:highlight w:val="none"/>
              </w:rPr>
              <w:t>采购资金的支付方式、时间、条件</w:t>
            </w:r>
          </w:p>
        </w:tc>
      </w:tr>
      <w:tr w14:paraId="1AA67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35C67F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14:paraId="2E248EB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526AAB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6560ED2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5250C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1FE526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14:paraId="54DEF0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48DE635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222E0EC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3A10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68871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14:paraId="47B2A9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00FE8BF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349CE34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46826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3D9AC999">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服务要求</w:t>
            </w:r>
          </w:p>
        </w:tc>
      </w:tr>
      <w:tr w14:paraId="3D76B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9A49CF5">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14:paraId="779DA3C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3B542C97">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259B5CA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27AA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5C99D1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14:paraId="0F368E8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282C449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0B18575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7B26F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15E390DF">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14:paraId="1873D5B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089465F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67DBD3B5">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6E44A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49BE7F48">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技术要求</w:t>
            </w:r>
          </w:p>
        </w:tc>
      </w:tr>
      <w:tr w14:paraId="7876D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325C6B2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14:paraId="399E693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2003B93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6C969A2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094EB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7E4E4265">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14:paraId="68632B0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4B5069D7">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708FFAE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18680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102952A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14:paraId="69AA803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3BB424E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718FBB5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bookmarkEnd w:id="66"/>
    </w:tbl>
    <w:p w14:paraId="0EBADFFB">
      <w:pPr>
        <w:adjustRightInd w:val="0"/>
        <w:snapToGrid w:val="0"/>
        <w:spacing w:line="288" w:lineRule="auto"/>
        <w:rPr>
          <w:color w:val="auto"/>
          <w:sz w:val="21"/>
          <w:szCs w:val="21"/>
          <w:highlight w:val="none"/>
        </w:rPr>
      </w:pPr>
    </w:p>
    <w:p w14:paraId="052914EA">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45BDF547">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14:paraId="18DFBA59">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14:paraId="5D7A77BD">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14:paraId="6AFF8D4C">
      <w:pPr>
        <w:adjustRightInd w:val="0"/>
        <w:snapToGrid w:val="0"/>
        <w:spacing w:line="288" w:lineRule="auto"/>
        <w:rPr>
          <w:color w:val="auto"/>
          <w:sz w:val="21"/>
          <w:szCs w:val="21"/>
          <w:highlight w:val="none"/>
        </w:rPr>
      </w:pPr>
    </w:p>
    <w:p w14:paraId="1E107727">
      <w:pPr>
        <w:adjustRightInd w:val="0"/>
        <w:snapToGrid w:val="0"/>
        <w:spacing w:line="288" w:lineRule="auto"/>
        <w:rPr>
          <w:color w:val="auto"/>
          <w:sz w:val="21"/>
          <w:szCs w:val="21"/>
          <w:highlight w:val="none"/>
        </w:rPr>
      </w:pPr>
    </w:p>
    <w:p w14:paraId="462A4E36">
      <w:pPr>
        <w:adjustRightInd w:val="0"/>
        <w:snapToGrid w:val="0"/>
        <w:spacing w:line="288" w:lineRule="auto"/>
        <w:rPr>
          <w:color w:val="auto"/>
          <w:sz w:val="21"/>
          <w:szCs w:val="21"/>
          <w:highlight w:val="none"/>
        </w:rPr>
      </w:pPr>
    </w:p>
    <w:p w14:paraId="24D40ACC">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0D43CA24">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230176CF">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D4982CB">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）货物配置清单</w:t>
      </w:r>
      <w:r>
        <w:rPr>
          <w:rFonts w:hint="eastAsia"/>
          <w:color w:val="auto"/>
          <w:sz w:val="21"/>
          <w:szCs w:val="21"/>
          <w:highlight w:val="none"/>
        </w:rPr>
        <w:t>（不含报价）</w:t>
      </w:r>
    </w:p>
    <w:p w14:paraId="2CD28980">
      <w:pPr>
        <w:adjustRightInd w:val="0"/>
        <w:snapToGrid w:val="0"/>
        <w:spacing w:line="288" w:lineRule="auto"/>
        <w:rPr>
          <w:color w:val="auto"/>
          <w:sz w:val="21"/>
          <w:szCs w:val="21"/>
          <w:highlight w:val="none"/>
        </w:rPr>
      </w:pPr>
    </w:p>
    <w:tbl>
      <w:tblPr>
        <w:tblStyle w:val="13"/>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14:paraId="7DA88E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572E6B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0F6429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239443B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1C69356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14:paraId="1CEC560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706E562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10B5176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14:paraId="79A37A7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配置（可另附页）</w:t>
            </w:r>
          </w:p>
        </w:tc>
      </w:tr>
      <w:tr w14:paraId="7CE3FE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6A1B00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18E767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04E66B0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4398357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14D50B3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3243A13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0155540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1738AF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91EC65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BFB097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6BE2C9D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65D58ED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2E0F9FC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2CCD607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21D529A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5E443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A5B037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1DE682C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5FD1677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5A740A8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4AD1231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0B7A6A0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0D5BBDD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3FD9A5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BD9E23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308EF1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6AA34FB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0E5011C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4051EA3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505101E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74B49A9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592C32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000404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B5612F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3FAA790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1D7275B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0C09BC1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504C400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08E4B1C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46802E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FD582A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7175F1E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15D30C7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67B6B2C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51B6457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217AA65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1ED7E15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36746B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17D012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7C5887D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488D5EF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6551B49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3BAABAE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2AE0337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690750B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4E6C37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F89249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1B078EC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3BCF12B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14:paraId="5249A33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38A8CE35">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4608814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542C54F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bl>
    <w:p w14:paraId="220D52D9">
      <w:pPr>
        <w:adjustRightInd w:val="0"/>
        <w:snapToGrid w:val="0"/>
        <w:spacing w:line="288" w:lineRule="auto"/>
        <w:rPr>
          <w:color w:val="auto"/>
          <w:sz w:val="21"/>
          <w:szCs w:val="21"/>
          <w:highlight w:val="none"/>
        </w:rPr>
      </w:pPr>
    </w:p>
    <w:p w14:paraId="17615C57">
      <w:pPr>
        <w:adjustRightInd w:val="0"/>
        <w:snapToGrid w:val="0"/>
        <w:spacing w:line="288" w:lineRule="auto"/>
        <w:rPr>
          <w:color w:val="auto"/>
          <w:sz w:val="21"/>
          <w:szCs w:val="21"/>
          <w:highlight w:val="none"/>
        </w:rPr>
      </w:pPr>
    </w:p>
    <w:p w14:paraId="2459E975">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0AD48841">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0CAB1E1F">
      <w:pPr>
        <w:adjustRightInd w:val="0"/>
        <w:snapToGrid w:val="0"/>
        <w:spacing w:line="288" w:lineRule="auto"/>
        <w:rPr>
          <w:color w:val="auto"/>
          <w:sz w:val="21"/>
          <w:szCs w:val="21"/>
          <w:highlight w:val="none"/>
        </w:rPr>
      </w:pPr>
    </w:p>
    <w:p w14:paraId="41F8740D">
      <w:pPr>
        <w:adjustRightInd w:val="0"/>
        <w:snapToGrid w:val="0"/>
        <w:spacing w:line="288" w:lineRule="auto"/>
        <w:rPr>
          <w:color w:val="auto"/>
          <w:sz w:val="21"/>
          <w:szCs w:val="21"/>
          <w:highlight w:val="none"/>
        </w:rPr>
      </w:pPr>
    </w:p>
    <w:p w14:paraId="45D3F21E">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14:paraId="0CEFB9DC">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CF72BFE">
      <w:pPr>
        <w:adjustRightInd w:val="0"/>
        <w:snapToGrid w:val="0"/>
        <w:spacing w:line="288" w:lineRule="auto"/>
        <w:jc w:val="left"/>
        <w:outlineLvl w:val="2"/>
        <w:rPr>
          <w:b/>
          <w:color w:val="auto"/>
          <w:spacing w:val="-6"/>
          <w:sz w:val="21"/>
          <w:szCs w:val="21"/>
          <w:highlight w:val="none"/>
        </w:rPr>
      </w:pPr>
      <w:bookmarkStart w:id="67" w:name="_Hlk71885757"/>
      <w:r>
        <w:rPr>
          <w:rFonts w:hint="eastAsia"/>
          <w:b/>
          <w:color w:val="auto"/>
          <w:spacing w:val="-6"/>
          <w:sz w:val="21"/>
          <w:szCs w:val="21"/>
          <w:highlight w:val="none"/>
        </w:rPr>
        <w:t>（</w:t>
      </w:r>
      <w:r>
        <w:rPr>
          <w:b/>
          <w:color w:val="auto"/>
          <w:spacing w:val="-6"/>
          <w:sz w:val="21"/>
          <w:szCs w:val="21"/>
          <w:highlight w:val="none"/>
        </w:rPr>
        <w:t>6</w:t>
      </w:r>
      <w:r>
        <w:rPr>
          <w:rFonts w:hint="eastAsia"/>
          <w:b/>
          <w:color w:val="auto"/>
          <w:spacing w:val="-6"/>
          <w:sz w:val="21"/>
          <w:szCs w:val="21"/>
          <w:highlight w:val="none"/>
        </w:rPr>
        <w:t>）技术方案</w:t>
      </w:r>
    </w:p>
    <w:p w14:paraId="7E9E55A6">
      <w:pPr>
        <w:adjustRightInd w:val="0"/>
        <w:snapToGrid w:val="0"/>
        <w:spacing w:line="288" w:lineRule="auto"/>
        <w:rPr>
          <w:b/>
          <w:color w:val="auto"/>
          <w:spacing w:val="-6"/>
          <w:sz w:val="21"/>
          <w:szCs w:val="21"/>
          <w:highlight w:val="none"/>
        </w:rPr>
      </w:pPr>
    </w:p>
    <w:p w14:paraId="32DAE4EE">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7</w:t>
      </w:r>
      <w:r>
        <w:rPr>
          <w:rFonts w:hint="eastAsia"/>
          <w:b/>
          <w:color w:val="auto"/>
          <w:spacing w:val="-6"/>
          <w:sz w:val="21"/>
          <w:szCs w:val="21"/>
          <w:highlight w:val="none"/>
        </w:rPr>
        <w:t>）节能环保产品证明材料</w:t>
      </w:r>
    </w:p>
    <w:p w14:paraId="39E4867A">
      <w:pPr>
        <w:adjustRightInd w:val="0"/>
        <w:snapToGrid w:val="0"/>
        <w:spacing w:line="288" w:lineRule="auto"/>
        <w:rPr>
          <w:rFonts w:cs="Times New Roman"/>
          <w:b/>
          <w:color w:val="auto"/>
          <w:sz w:val="21"/>
          <w:szCs w:val="21"/>
          <w:highlight w:val="none"/>
        </w:rPr>
      </w:pPr>
      <w:r>
        <w:rPr>
          <w:rFonts w:hint="eastAsia" w:cs="Times New Roman"/>
          <w:b/>
          <w:color w:val="auto"/>
          <w:sz w:val="21"/>
          <w:szCs w:val="21"/>
          <w:highlight w:val="none"/>
        </w:rPr>
        <w:t>说明：产品属于品目清单范围且提供国家确定的认证机构出具的有效的节能产品、环境标志产品认证证书（扫描件）。</w:t>
      </w:r>
    </w:p>
    <w:p w14:paraId="6F45673F">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文件要求提供相关产品认证证书。</w:t>
      </w:r>
    </w:p>
    <w:p w14:paraId="2CBD6F08">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▲采购人拟采购的产品属于政府强制采购的节能产品品目清单范围的，供应商未按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文件要求提供国家确定的认证机构出具的、有效的节能产品认证证书的，</w:t>
      </w:r>
      <w:r>
        <w:rPr>
          <w:rFonts w:hint="eastAsia" w:cs="Times New Roman"/>
          <w:color w:val="auto"/>
          <w:spacing w:val="-6"/>
          <w:sz w:val="21"/>
          <w:szCs w:val="21"/>
          <w:highlight w:val="none"/>
        </w:rPr>
        <w:t>响应</w:t>
      </w:r>
      <w:r>
        <w:rPr>
          <w:rFonts w:cs="Times New Roman"/>
          <w:color w:val="auto"/>
          <w:spacing w:val="-6"/>
          <w:sz w:val="21"/>
          <w:szCs w:val="21"/>
          <w:highlight w:val="none"/>
        </w:rPr>
        <w:t>无效。</w:t>
      </w:r>
    </w:p>
    <w:p w14:paraId="1B57B97C">
      <w:pPr>
        <w:adjustRightInd w:val="0"/>
        <w:snapToGrid w:val="0"/>
        <w:spacing w:line="288" w:lineRule="auto"/>
        <w:jc w:val="left"/>
        <w:rPr>
          <w:rFonts w:cs="Times New Roman"/>
          <w:color w:val="auto"/>
          <w:spacing w:val="-6"/>
          <w:sz w:val="21"/>
          <w:szCs w:val="21"/>
          <w:highlight w:val="none"/>
        </w:rPr>
      </w:pPr>
    </w:p>
    <w:p w14:paraId="69468498">
      <w:pPr>
        <w:adjustRightInd w:val="0"/>
        <w:snapToGrid w:val="0"/>
        <w:spacing w:line="288" w:lineRule="auto"/>
        <w:rPr>
          <w:b/>
          <w:color w:val="auto"/>
          <w:spacing w:val="-6"/>
          <w:sz w:val="21"/>
          <w:szCs w:val="21"/>
          <w:highlight w:val="none"/>
        </w:rPr>
      </w:pPr>
    </w:p>
    <w:p w14:paraId="60F1E55D">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（8）科技创新相关证明材料</w:t>
      </w:r>
    </w:p>
    <w:p w14:paraId="6D98AB67">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14:paraId="46E0F8D5">
      <w:pPr>
        <w:adjustRightInd w:val="0"/>
        <w:snapToGrid w:val="0"/>
        <w:spacing w:line="288" w:lineRule="auto"/>
        <w:rPr>
          <w:b/>
          <w:color w:val="auto"/>
          <w:spacing w:val="-6"/>
          <w:sz w:val="21"/>
          <w:szCs w:val="21"/>
          <w:highlight w:val="none"/>
        </w:rPr>
      </w:pPr>
    </w:p>
    <w:p w14:paraId="4D5C8727">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rFonts w:hint="eastAsia"/>
          <w:b/>
          <w:color w:val="auto"/>
          <w:spacing w:val="-6"/>
          <w:sz w:val="21"/>
          <w:szCs w:val="21"/>
          <w:highlight w:val="none"/>
          <w:lang w:val="en-US" w:eastAsia="zh-CN"/>
        </w:rPr>
        <w:t>9</w:t>
      </w:r>
      <w:r>
        <w:rPr>
          <w:rFonts w:hint="eastAsia"/>
          <w:b/>
          <w:color w:val="auto"/>
          <w:spacing w:val="-6"/>
          <w:sz w:val="21"/>
          <w:szCs w:val="21"/>
          <w:highlight w:val="none"/>
        </w:rPr>
        <w:t>）供应商需要说明的其他文件和材料。</w:t>
      </w:r>
      <w:bookmarkEnd w:id="67"/>
    </w:p>
    <w:p w14:paraId="239CF706">
      <w:pPr>
        <w:widowControl/>
        <w:jc w:val="left"/>
        <w:rPr>
          <w:b/>
          <w:color w:val="auto"/>
          <w:spacing w:val="-6"/>
          <w:sz w:val="21"/>
          <w:szCs w:val="21"/>
          <w:highlight w:val="none"/>
        </w:rPr>
      </w:pPr>
      <w:r>
        <w:rPr>
          <w:b/>
          <w:color w:val="auto"/>
          <w:spacing w:val="-6"/>
          <w:sz w:val="21"/>
          <w:szCs w:val="21"/>
          <w:highlight w:val="none"/>
        </w:rPr>
        <w:br w:type="page"/>
      </w:r>
    </w:p>
    <w:p w14:paraId="17033529">
      <w:pPr>
        <w:adjustRightInd w:val="0"/>
        <w:snapToGrid w:val="0"/>
        <w:spacing w:line="288" w:lineRule="auto"/>
        <w:rPr>
          <w:color w:val="auto"/>
          <w:highlight w:val="none"/>
        </w:rPr>
      </w:pPr>
    </w:p>
    <w:p w14:paraId="1C78312D">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14:paraId="37417BF1">
      <w:pPr>
        <w:adjustRightInd w:val="0"/>
        <w:snapToGrid w:val="0"/>
        <w:spacing w:line="288" w:lineRule="auto"/>
        <w:rPr>
          <w:color w:val="auto"/>
          <w:highlight w:val="none"/>
        </w:rPr>
      </w:pPr>
      <w:r>
        <w:rPr>
          <w:rFonts w:hint="eastAsia"/>
          <w:color w:val="auto"/>
          <w:highlight w:val="none"/>
        </w:rPr>
        <w:br w:type="page"/>
      </w:r>
    </w:p>
    <w:p w14:paraId="5E5DEBCE">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14:paraId="18694907">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14:paraId="0A6CB1FE">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物理虚拟仿真实验及仪器采购</w:t>
      </w:r>
    </w:p>
    <w:p w14:paraId="03FA3AB6">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QSZB-Z(H)-B24466(CS)L</w:t>
      </w:r>
    </w:p>
    <w:tbl>
      <w:tblPr>
        <w:tblStyle w:val="13"/>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14:paraId="5A12FA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AB462B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68" w:name="_Hlk97040054"/>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1929DAC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14:paraId="652CED6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14:paraId="1A54071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14:paraId="36D49A8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703CC7B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603F752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14:paraId="74C5A89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14:paraId="7E417F8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金额（元）</w:t>
            </w:r>
          </w:p>
        </w:tc>
      </w:tr>
      <w:tr w14:paraId="656158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C470F75">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526FFFA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14:paraId="66C59C0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14:paraId="3CDE34A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0E235C2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71ED931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0E7292F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68D3E83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3B7B41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F35CF5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14176AE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14:paraId="79D2D9E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14:paraId="266040C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0F6C2D5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1AB3679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259B53E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0B71911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64044A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70D15D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258D212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14:paraId="59488D9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14:paraId="7837F50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7887E2E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352696A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56E7204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456E62D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265E5F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E26950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71B08F7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14:paraId="4E82E8A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14:paraId="1E44DE6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3E91861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51F25CB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54CA5F3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2EDBE44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238CF9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52FD40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69E04E6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14:paraId="1FA6576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14:paraId="023FE96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14:paraId="29F1B8D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14C4D8F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6E292BE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3E678DF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7175C5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14:paraId="428CC05E">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color w:val="auto"/>
                <w:spacing w:val="-6"/>
                <w:sz w:val="21"/>
                <w:szCs w:val="21"/>
                <w:highlight w:val="none"/>
              </w:rPr>
              <w:t>说明：</w:t>
            </w:r>
            <w:r>
              <w:rPr>
                <w:rFonts w:hint="eastAsia" w:cs="Times New Roman"/>
                <w:bCs/>
                <w:color w:val="auto"/>
                <w:spacing w:val="-6"/>
                <w:sz w:val="21"/>
                <w:szCs w:val="21"/>
                <w:highlight w:val="none"/>
              </w:rPr>
              <w:t>▲采购人将以合同形式有偿取得货物、工程和服务，不接受供应商给予的赠品、回扣或者与采购无关的其他商品、服务</w:t>
            </w:r>
            <w:r>
              <w:rPr>
                <w:rFonts w:hint="default" w:cs="Times New Roman"/>
                <w:bCs/>
                <w:color w:val="auto"/>
                <w:spacing w:val="-6"/>
                <w:sz w:val="21"/>
                <w:szCs w:val="21"/>
                <w:highlight w:val="none"/>
              </w:rPr>
              <w:t>。</w:t>
            </w:r>
          </w:p>
          <w:p w14:paraId="60D2FCD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总价（人民币元）</w:t>
            </w:r>
          </w:p>
          <w:p w14:paraId="2A591ED0">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14:paraId="4005EC3F">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14:paraId="465BB09A">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14:paraId="3B4974DE">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14:paraId="433386E0">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bookmarkEnd w:id="68"/>
    </w:tbl>
    <w:p w14:paraId="3B2633A6">
      <w:pPr>
        <w:adjustRightInd w:val="0"/>
        <w:snapToGrid w:val="0"/>
        <w:spacing w:line="288" w:lineRule="auto"/>
        <w:rPr>
          <w:rFonts w:cs="Times New Roman"/>
          <w:color w:val="auto"/>
          <w:spacing w:val="-6"/>
          <w:sz w:val="21"/>
          <w:szCs w:val="21"/>
          <w:highlight w:val="none"/>
        </w:rPr>
      </w:pPr>
    </w:p>
    <w:p w14:paraId="3923C6AE">
      <w:pPr>
        <w:adjustRightInd w:val="0"/>
        <w:snapToGrid w:val="0"/>
        <w:spacing w:line="288" w:lineRule="auto"/>
        <w:rPr>
          <w:rFonts w:cs="Times New Roman"/>
          <w:b/>
          <w:bCs/>
          <w:color w:val="auto"/>
          <w:spacing w:val="-6"/>
          <w:sz w:val="21"/>
          <w:szCs w:val="21"/>
          <w:highlight w:val="none"/>
        </w:rPr>
      </w:pPr>
      <w:bookmarkStart w:id="69" w:name="_Hlk97040072"/>
      <w:r>
        <w:rPr>
          <w:rFonts w:hint="eastAsia" w:cs="Times New Roman"/>
          <w:b/>
          <w:bCs/>
          <w:color w:val="auto"/>
          <w:spacing w:val="-6"/>
          <w:sz w:val="21"/>
          <w:szCs w:val="21"/>
          <w:highlight w:val="none"/>
        </w:rPr>
        <w:t>说明：</w:t>
      </w:r>
    </w:p>
    <w:p w14:paraId="443F2CC1">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14:paraId="6A1B4177">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14:paraId="60A28E53">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14:paraId="6A83BB36">
      <w:pPr>
        <w:adjustRightInd w:val="0"/>
        <w:snapToGrid w:val="0"/>
        <w:spacing w:line="288" w:lineRule="auto"/>
        <w:rPr>
          <w:color w:val="auto"/>
          <w:sz w:val="21"/>
          <w:szCs w:val="21"/>
          <w:highlight w:val="none"/>
        </w:rPr>
      </w:pPr>
    </w:p>
    <w:p w14:paraId="6430D6B5">
      <w:pPr>
        <w:adjustRightInd w:val="0"/>
        <w:snapToGrid w:val="0"/>
        <w:spacing w:line="288" w:lineRule="auto"/>
        <w:rPr>
          <w:color w:val="auto"/>
          <w:sz w:val="21"/>
          <w:szCs w:val="21"/>
          <w:highlight w:val="none"/>
        </w:rPr>
      </w:pPr>
    </w:p>
    <w:p w14:paraId="7E8C6C5D">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2445912B">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9"/>
    <w:p w14:paraId="217AE34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439DB2D2">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14:paraId="00A2DED0">
      <w:pPr>
        <w:snapToGrid w:val="0"/>
        <w:spacing w:line="288" w:lineRule="auto"/>
        <w:rPr>
          <w:rFonts w:cs="仿宋_GB2312"/>
          <w:color w:val="auto"/>
          <w:sz w:val="21"/>
          <w:szCs w:val="21"/>
          <w:highlight w:val="none"/>
          <w:u w:val="single"/>
        </w:rPr>
      </w:pPr>
    </w:p>
    <w:p w14:paraId="13C66A61">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14:paraId="42E5CDFD">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14:paraId="278A361F">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14:paraId="57D59D32">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14:paraId="5B2D83A6">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14:paraId="5FAAEAA3">
      <w:pPr>
        <w:snapToGrid w:val="0"/>
        <w:spacing w:line="288" w:lineRule="auto"/>
        <w:rPr>
          <w:b/>
          <w:bCs/>
          <w:color w:val="auto"/>
          <w:sz w:val="21"/>
          <w:szCs w:val="21"/>
          <w:highlight w:val="none"/>
        </w:rPr>
      </w:pPr>
    </w:p>
    <w:p w14:paraId="1F2E0AF6">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14:paraId="7EC643CF">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14:paraId="5489A6C3">
      <w:pPr>
        <w:widowControl/>
        <w:jc w:val="left"/>
        <w:rPr>
          <w:b/>
          <w:color w:val="auto"/>
          <w:spacing w:val="-6"/>
          <w:sz w:val="21"/>
          <w:szCs w:val="21"/>
          <w:highlight w:val="none"/>
        </w:rPr>
      </w:pPr>
      <w:r>
        <w:rPr>
          <w:b/>
          <w:color w:val="auto"/>
          <w:spacing w:val="-6"/>
          <w:sz w:val="21"/>
          <w:szCs w:val="21"/>
          <w:highlight w:val="none"/>
        </w:rPr>
        <w:br w:type="page"/>
      </w:r>
    </w:p>
    <w:p w14:paraId="648D1916">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14:paraId="4D2C1AA1">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（以联合体形式响应的，提供联合协议；本项目不接受联合体响应或者供应商不以联合体形式响应的，则不需要提供）</w:t>
      </w:r>
    </w:p>
    <w:p w14:paraId="4996BCA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14:paraId="49923D81">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14:paraId="3B039ED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授权代表根据磋商文件规定及响应内容而对采购人、采购代理机构所作的任何合法承诺，包括书面澄清及相应等均对联合响应各方产生约束力。</w:t>
      </w:r>
    </w:p>
    <w:p w14:paraId="68A14B3C">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14:paraId="6D1E8A15">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p>
    <w:p w14:paraId="25662AB3">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14:paraId="7AAB05DD">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14:paraId="0F295CC2">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14:paraId="2E4431BC">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14:paraId="60BBA10F">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w:t>
      </w:r>
      <w:r>
        <w:rPr>
          <w:rFonts w:hint="eastAsia" w:cs="仿宋_GB2312"/>
          <w:color w:val="auto"/>
          <w:kern w:val="0"/>
          <w:sz w:val="21"/>
          <w:szCs w:val="21"/>
          <w:highlight w:val="none"/>
          <w:lang w:val="zh-CN"/>
        </w:rPr>
        <w:t>采购代理机构</w:t>
      </w:r>
      <w:r>
        <w:rPr>
          <w:rFonts w:cs="仿宋_GB2312"/>
          <w:color w:val="auto"/>
          <w:kern w:val="0"/>
          <w:sz w:val="21"/>
          <w:szCs w:val="21"/>
          <w:highlight w:val="none"/>
          <w:lang w:val="zh-CN"/>
        </w:rPr>
        <w:t>后，联合体各方不得以任何形式对上述内容进行修改或撤销。</w:t>
      </w:r>
    </w:p>
    <w:p w14:paraId="6CBBCD4C">
      <w:pPr>
        <w:snapToGrid w:val="0"/>
        <w:spacing w:line="288" w:lineRule="auto"/>
        <w:ind w:firstLine="422" w:firstLineChars="201"/>
        <w:rPr>
          <w:rFonts w:cs="仿宋_GB2312"/>
          <w:color w:val="auto"/>
          <w:kern w:val="0"/>
          <w:sz w:val="21"/>
          <w:szCs w:val="21"/>
          <w:highlight w:val="none"/>
          <w:lang w:val="zh-CN"/>
        </w:rPr>
      </w:pPr>
    </w:p>
    <w:p w14:paraId="43766920">
      <w:pPr>
        <w:snapToGrid w:val="0"/>
        <w:spacing w:line="288" w:lineRule="auto"/>
        <w:ind w:firstLine="422" w:firstLineChars="201"/>
        <w:rPr>
          <w:rFonts w:cs="仿宋_GB2312"/>
          <w:color w:val="auto"/>
          <w:kern w:val="0"/>
          <w:sz w:val="21"/>
          <w:szCs w:val="21"/>
          <w:highlight w:val="none"/>
          <w:lang w:val="zh-CN"/>
        </w:rPr>
      </w:pPr>
    </w:p>
    <w:p w14:paraId="3C47684A">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14:paraId="794647AD">
      <w:pPr>
        <w:snapToGrid w:val="0"/>
        <w:spacing w:line="288" w:lineRule="auto"/>
        <w:ind w:firstLine="424" w:firstLineChars="201"/>
        <w:rPr>
          <w:rFonts w:cs="仿宋_GB2312"/>
          <w:b/>
          <w:bCs/>
          <w:color w:val="auto"/>
          <w:kern w:val="0"/>
          <w:sz w:val="21"/>
          <w:szCs w:val="21"/>
          <w:highlight w:val="none"/>
          <w:lang w:val="zh-CN"/>
        </w:rPr>
      </w:pPr>
    </w:p>
    <w:p w14:paraId="27BA2E8E">
      <w:pPr>
        <w:snapToGrid w:val="0"/>
        <w:spacing w:line="288" w:lineRule="auto"/>
        <w:ind w:firstLine="424" w:firstLineChars="201"/>
        <w:rPr>
          <w:rFonts w:cs="Times New Roman"/>
          <w:b/>
          <w:bCs/>
          <w:color w:val="auto"/>
          <w:sz w:val="21"/>
          <w:szCs w:val="21"/>
          <w:highlight w:val="none"/>
        </w:rPr>
      </w:pPr>
    </w:p>
    <w:p w14:paraId="0342129C">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14:paraId="1192B007">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14:paraId="3ABCED8F">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14:paraId="33647986">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14:paraId="761E594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14:paraId="06F4392F">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14:paraId="33958C37">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14:paraId="6C81C042">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14:paraId="113285EB">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14:paraId="0806D614">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14:paraId="14A48321">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14:paraId="3B23785C">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6E50BAD4">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14:paraId="5453E594">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338FE68E">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14:paraId="315FF32F">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3CBF609E">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14:paraId="767E52F1">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4282B355">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14:paraId="2A1199C3">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p>
    <w:p w14:paraId="0796A8FD">
      <w:pPr>
        <w:snapToGrid w:val="0"/>
        <w:spacing w:line="288" w:lineRule="auto"/>
        <w:rPr>
          <w:rFonts w:cs="仿宋_GB2312"/>
          <w:color w:val="auto"/>
          <w:kern w:val="0"/>
          <w:sz w:val="21"/>
          <w:szCs w:val="21"/>
          <w:highlight w:val="none"/>
          <w:lang w:val="zh-CN"/>
        </w:rPr>
      </w:pPr>
    </w:p>
    <w:p w14:paraId="43F4BD78">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14:paraId="3BD2AC5C">
      <w:pPr>
        <w:snapToGrid w:val="0"/>
        <w:spacing w:line="288" w:lineRule="auto"/>
        <w:ind w:firstLine="424" w:firstLineChars="201"/>
        <w:rPr>
          <w:rFonts w:cs="仿宋_GB2312"/>
          <w:b/>
          <w:bCs/>
          <w:color w:val="auto"/>
          <w:kern w:val="0"/>
          <w:sz w:val="21"/>
          <w:szCs w:val="21"/>
          <w:highlight w:val="none"/>
          <w:lang w:val="zh-CN"/>
        </w:rPr>
      </w:pPr>
    </w:p>
    <w:p w14:paraId="251DAFB1">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分包供应商名称（电子签名</w:t>
      </w:r>
      <w:r>
        <w:rPr>
          <w:rFonts w:cs="仿宋_GB2312"/>
          <w:b/>
          <w:bCs/>
          <w:color w:val="auto"/>
          <w:kern w:val="0"/>
          <w:sz w:val="21"/>
          <w:szCs w:val="21"/>
          <w:highlight w:val="none"/>
          <w:lang w:val="zh-CN"/>
        </w:rPr>
        <w:t>/公章）</w:t>
      </w:r>
      <w:r>
        <w:rPr>
          <w:rFonts w:hint="eastAsia" w:cs="仿宋_GB2312"/>
          <w:b/>
          <w:bCs/>
          <w:color w:val="auto"/>
          <w:kern w:val="0"/>
          <w:sz w:val="21"/>
          <w:szCs w:val="21"/>
          <w:highlight w:val="none"/>
          <w:lang w:val="zh-CN"/>
        </w:rPr>
        <w:t>：</w:t>
      </w:r>
    </w:p>
    <w:p w14:paraId="1AD01D09">
      <w:pPr>
        <w:snapToGrid w:val="0"/>
        <w:spacing w:line="288" w:lineRule="auto"/>
        <w:rPr>
          <w:rFonts w:cs="仿宋_GB2312"/>
          <w:b/>
          <w:bCs/>
          <w:color w:val="auto"/>
          <w:kern w:val="0"/>
          <w:sz w:val="21"/>
          <w:szCs w:val="21"/>
          <w:highlight w:val="none"/>
          <w:lang w:val="zh-CN"/>
        </w:rPr>
      </w:pPr>
    </w:p>
    <w:p w14:paraId="4953E1F4">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14:paraId="7F3A4A01">
      <w:pPr>
        <w:rPr>
          <w:color w:val="auto"/>
          <w:highlight w:val="none"/>
        </w:rPr>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F2225">
    <w:pPr>
      <w:pStyle w:val="9"/>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1B923">
    <w:pPr>
      <w:pStyle w:val="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6D798">
    <w:pPr>
      <w:jc w:val="center"/>
      <w:rPr>
        <w:rFonts w:hint="eastAsia" w:eastAsia="宋体"/>
        <w:lang w:eastAsia="zh-CN"/>
      </w:rPr>
    </w:pPr>
    <w:r>
      <w:rPr>
        <w:rFonts w:hint="eastAsia" w:eastAsia="宋体"/>
        <w:lang w:eastAsia="zh-CN"/>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D6F21"/>
    <w:rsid w:val="00A0678E"/>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2044799"/>
    <w:rsid w:val="030516AD"/>
    <w:rsid w:val="09FC5A4B"/>
    <w:rsid w:val="0CF34D5B"/>
    <w:rsid w:val="1126734B"/>
    <w:rsid w:val="14434B00"/>
    <w:rsid w:val="1D1207F7"/>
    <w:rsid w:val="1E8474D2"/>
    <w:rsid w:val="20D12777"/>
    <w:rsid w:val="21CB2DA8"/>
    <w:rsid w:val="23573723"/>
    <w:rsid w:val="25452A4E"/>
    <w:rsid w:val="25FF4FE3"/>
    <w:rsid w:val="29E43042"/>
    <w:rsid w:val="2FEE4DA6"/>
    <w:rsid w:val="30057853"/>
    <w:rsid w:val="31B2042E"/>
    <w:rsid w:val="354D2BDB"/>
    <w:rsid w:val="361E45F7"/>
    <w:rsid w:val="36AF68BA"/>
    <w:rsid w:val="3A890B0C"/>
    <w:rsid w:val="3D5B7056"/>
    <w:rsid w:val="4A3E7485"/>
    <w:rsid w:val="4A705E01"/>
    <w:rsid w:val="5027635B"/>
    <w:rsid w:val="5AA3399B"/>
    <w:rsid w:val="5B443E56"/>
    <w:rsid w:val="5B745E49"/>
    <w:rsid w:val="5D4E0A9F"/>
    <w:rsid w:val="5EE237C6"/>
    <w:rsid w:val="663A28F2"/>
    <w:rsid w:val="66B21451"/>
    <w:rsid w:val="6B573FAF"/>
    <w:rsid w:val="6E7A4767"/>
    <w:rsid w:val="74B54B8A"/>
    <w:rsid w:val="7B8415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paragraph" w:styleId="2">
    <w:name w:val="heading 1"/>
    <w:next w:val="1"/>
    <w:qFormat/>
    <w:uiPriority w:val="9"/>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character" w:default="1" w:styleId="15">
    <w:name w:val="Default Paragraph Font"/>
    <w:semiHidden/>
    <w:unhideWhenUsed/>
    <w:qFormat/>
    <w:uiPriority w:val="1"/>
  </w:style>
  <w:style w:type="table" w:default="1" w:styleId="1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4">
    <w:name w:val="annotation text"/>
    <w:basedOn w:val="1"/>
    <w:link w:val="20"/>
    <w:unhideWhenUsed/>
    <w:qFormat/>
    <w:uiPriority w:val="99"/>
    <w:pPr>
      <w:jc w:val="left"/>
    </w:pPr>
    <w:rPr>
      <w:rFonts w:ascii="Times New Roman" w:hAnsi="Times New Roman" w:cs="Times New Roman"/>
      <w:sz w:val="28"/>
    </w:rPr>
  </w:style>
  <w:style w:type="paragraph" w:styleId="5">
    <w:name w:val="Body Text"/>
    <w:basedOn w:val="1"/>
    <w:link w:val="32"/>
    <w:qFormat/>
    <w:uiPriority w:val="0"/>
    <w:pPr>
      <w:spacing w:after="120"/>
    </w:pPr>
  </w:style>
  <w:style w:type="paragraph" w:styleId="6">
    <w:name w:val="Body Text Indent"/>
    <w:basedOn w:val="1"/>
    <w:link w:val="23"/>
    <w:qFormat/>
    <w:uiPriority w:val="0"/>
    <w:pPr>
      <w:spacing w:line="200" w:lineRule="atLeast"/>
      <w:ind w:firstLine="301"/>
    </w:pPr>
    <w:rPr>
      <w:rFonts w:hAnsi="Courier New" w:cs="Times New Roman"/>
      <w:spacing w:val="-4"/>
      <w:sz w:val="18"/>
      <w:szCs w:val="20"/>
    </w:rPr>
  </w:style>
  <w:style w:type="paragraph" w:styleId="7">
    <w:name w:val="Plain Text"/>
    <w:basedOn w:val="1"/>
    <w:link w:val="33"/>
    <w:semiHidden/>
    <w:unhideWhenUsed/>
    <w:qFormat/>
    <w:uiPriority w:val="99"/>
    <w:rPr>
      <w:rFonts w:hAnsi="Courier New" w:cs="Courier New" w:asciiTheme="minorEastAsia" w:eastAsiaTheme="minorEastAsia"/>
    </w:rPr>
  </w:style>
  <w:style w:type="paragraph" w:styleId="8">
    <w:name w:val="Balloon Text"/>
    <w:basedOn w:val="1"/>
    <w:link w:val="22"/>
    <w:qFormat/>
    <w:uiPriority w:val="0"/>
    <w:rPr>
      <w:sz w:val="18"/>
      <w:szCs w:val="18"/>
    </w:rPr>
  </w:style>
  <w:style w:type="paragraph" w:styleId="9">
    <w:name w:val="footer"/>
    <w:basedOn w:val="1"/>
    <w:link w:val="19"/>
    <w:unhideWhenUsed/>
    <w:qFormat/>
    <w:uiPriority w:val="99"/>
    <w:pPr>
      <w:tabs>
        <w:tab w:val="center" w:pos="4153"/>
        <w:tab w:val="right" w:pos="8306"/>
      </w:tabs>
      <w:snapToGrid w:val="0"/>
      <w:jc w:val="left"/>
    </w:pPr>
    <w:rPr>
      <w:sz w:val="18"/>
      <w:szCs w:val="18"/>
    </w:rPr>
  </w:style>
  <w:style w:type="paragraph" w:styleId="10">
    <w:name w:val="header"/>
    <w:basedOn w:val="1"/>
    <w:next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widowControl/>
      <w:spacing w:before="100" w:beforeAutospacing="1" w:after="100" w:afterAutospacing="1"/>
      <w:jc w:val="left"/>
    </w:pPr>
    <w:rPr>
      <w:kern w:val="0"/>
    </w:rPr>
  </w:style>
  <w:style w:type="paragraph" w:styleId="12">
    <w:name w:val="annotation subject"/>
    <w:basedOn w:val="4"/>
    <w:next w:val="4"/>
    <w:link w:val="30"/>
    <w:semiHidden/>
    <w:unhideWhenUsed/>
    <w:qFormat/>
    <w:uiPriority w:val="0"/>
    <w:rPr>
      <w:rFonts w:ascii="宋体" w:hAnsi="宋体" w:cs="宋体"/>
      <w:b/>
      <w:bCs/>
      <w:sz w:val="24"/>
    </w:rPr>
  </w:style>
  <w:style w:type="table" w:styleId="14">
    <w:name w:val="Table Grid"/>
    <w:basedOn w:val="13"/>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unhideWhenUsed/>
    <w:qFormat/>
    <w:uiPriority w:val="99"/>
    <w:rPr>
      <w:color w:val="0000FF"/>
      <w:u w:val="single"/>
    </w:rPr>
  </w:style>
  <w:style w:type="character" w:styleId="17">
    <w:name w:val="annotation reference"/>
    <w:unhideWhenUsed/>
    <w:qFormat/>
    <w:uiPriority w:val="99"/>
    <w:rPr>
      <w:sz w:val="21"/>
      <w:szCs w:val="21"/>
    </w:rPr>
  </w:style>
  <w:style w:type="character" w:customStyle="1" w:styleId="18">
    <w:name w:val="页眉 字符"/>
    <w:basedOn w:val="15"/>
    <w:link w:val="10"/>
    <w:qFormat/>
    <w:uiPriority w:val="99"/>
    <w:rPr>
      <w:sz w:val="18"/>
      <w:szCs w:val="18"/>
    </w:rPr>
  </w:style>
  <w:style w:type="character" w:customStyle="1" w:styleId="19">
    <w:name w:val="页脚 字符"/>
    <w:basedOn w:val="15"/>
    <w:link w:val="9"/>
    <w:qFormat/>
    <w:uiPriority w:val="99"/>
    <w:rPr>
      <w:sz w:val="18"/>
      <w:szCs w:val="18"/>
    </w:rPr>
  </w:style>
  <w:style w:type="character" w:customStyle="1" w:styleId="20">
    <w:name w:val="批注文字 字符"/>
    <w:basedOn w:val="15"/>
    <w:link w:val="4"/>
    <w:qFormat/>
    <w:uiPriority w:val="99"/>
    <w:rPr>
      <w:rFonts w:ascii="Times New Roman" w:hAnsi="Times New Roman" w:eastAsia="宋体" w:cs="Times New Roman"/>
      <w:sz w:val="28"/>
      <w:szCs w:val="24"/>
    </w:rPr>
  </w:style>
  <w:style w:type="character" w:customStyle="1" w:styleId="21">
    <w:name w:val="正文文本缩进 字符"/>
    <w:basedOn w:val="15"/>
    <w:qFormat/>
    <w:uiPriority w:val="0"/>
    <w:rPr>
      <w:rFonts w:ascii="宋体" w:hAnsi="宋体" w:eastAsia="宋体" w:cs="宋体"/>
      <w:sz w:val="24"/>
      <w:szCs w:val="24"/>
    </w:rPr>
  </w:style>
  <w:style w:type="character" w:customStyle="1" w:styleId="22">
    <w:name w:val="批注框文本 字符"/>
    <w:basedOn w:val="15"/>
    <w:link w:val="8"/>
    <w:qFormat/>
    <w:uiPriority w:val="0"/>
    <w:rPr>
      <w:rFonts w:ascii="宋体" w:hAnsi="宋体" w:eastAsia="宋体" w:cs="宋体"/>
      <w:sz w:val="18"/>
      <w:szCs w:val="18"/>
    </w:rPr>
  </w:style>
  <w:style w:type="character" w:customStyle="1" w:styleId="23">
    <w:name w:val="正文文本缩进 字符1"/>
    <w:link w:val="6"/>
    <w:qFormat/>
    <w:uiPriority w:val="0"/>
    <w:rPr>
      <w:rFonts w:ascii="宋体" w:hAnsi="Courier New" w:eastAsia="宋体" w:cs="Times New Roman"/>
      <w:spacing w:val="-4"/>
      <w:sz w:val="18"/>
      <w:szCs w:val="20"/>
    </w:rPr>
  </w:style>
  <w:style w:type="character" w:customStyle="1" w:styleId="24">
    <w:name w:val="正文文本缩进 字符2"/>
    <w:qFormat/>
    <w:uiPriority w:val="0"/>
    <w:rPr>
      <w:rFonts w:ascii="宋体" w:hAnsi="Courier New"/>
      <w:spacing w:val="-4"/>
      <w:kern w:val="2"/>
      <w:sz w:val="18"/>
    </w:rPr>
  </w:style>
  <w:style w:type="character" w:customStyle="1" w:styleId="25">
    <w:name w:val="未处理的提及1"/>
    <w:basedOn w:val="15"/>
    <w:semiHidden/>
    <w:unhideWhenUsed/>
    <w:qFormat/>
    <w:uiPriority w:val="99"/>
    <w:rPr>
      <w:color w:val="605E5C"/>
      <w:shd w:val="clear" w:color="auto" w:fill="E1DFDD"/>
    </w:rPr>
  </w:style>
  <w:style w:type="paragraph" w:styleId="26">
    <w:name w:val="List Paragraph"/>
    <w:basedOn w:val="1"/>
    <w:qFormat/>
    <w:uiPriority w:val="99"/>
    <w:pPr>
      <w:ind w:firstLine="420" w:firstLineChars="200"/>
    </w:pPr>
  </w:style>
  <w:style w:type="paragraph" w:customStyle="1" w:styleId="27">
    <w:name w:val="纯文本1"/>
    <w:basedOn w:val="1"/>
    <w:next w:val="7"/>
    <w:link w:val="29"/>
    <w:qFormat/>
    <w:uiPriority w:val="99"/>
    <w:pPr>
      <w:spacing w:before="156" w:beforeLines="50" w:after="156" w:afterLines="50" w:line="400" w:lineRule="atLeast"/>
    </w:pPr>
    <w:rPr>
      <w:rFonts w:hAnsi="Courier New" w:cs="Times New Roman"/>
    </w:rPr>
  </w:style>
  <w:style w:type="character" w:customStyle="1" w:styleId="28">
    <w:name w:val="纯文本 字符"/>
    <w:basedOn w:val="15"/>
    <w:qFormat/>
    <w:uiPriority w:val="0"/>
    <w:rPr>
      <w:rFonts w:ascii="宋体" w:hAnsi="Courier New" w:eastAsia="宋体" w:cs="Courier New"/>
      <w:kern w:val="2"/>
      <w:sz w:val="24"/>
      <w:szCs w:val="24"/>
    </w:rPr>
  </w:style>
  <w:style w:type="character" w:customStyle="1" w:styleId="29">
    <w:name w:val="纯文本 字符1"/>
    <w:link w:val="27"/>
    <w:qFormat/>
    <w:uiPriority w:val="99"/>
    <w:rPr>
      <w:rFonts w:ascii="宋体" w:hAnsi="Courier New" w:eastAsia="宋体" w:cs="Times New Roman"/>
      <w:kern w:val="2"/>
      <w:sz w:val="24"/>
      <w:szCs w:val="24"/>
    </w:rPr>
  </w:style>
  <w:style w:type="character" w:customStyle="1" w:styleId="30">
    <w:name w:val="批注主题 字符"/>
    <w:basedOn w:val="20"/>
    <w:link w:val="12"/>
    <w:semiHidden/>
    <w:qFormat/>
    <w:uiPriority w:val="0"/>
    <w:rPr>
      <w:rFonts w:ascii="宋体" w:hAnsi="宋体" w:eastAsia="宋体" w:cs="宋体"/>
      <w:b/>
      <w:bCs/>
      <w:sz w:val="24"/>
      <w:szCs w:val="24"/>
    </w:rPr>
  </w:style>
  <w:style w:type="character" w:customStyle="1" w:styleId="31">
    <w:name w:val="Unresolved Mention"/>
    <w:basedOn w:val="15"/>
    <w:semiHidden/>
    <w:unhideWhenUsed/>
    <w:qFormat/>
    <w:uiPriority w:val="99"/>
    <w:rPr>
      <w:color w:val="605E5C"/>
      <w:shd w:val="clear" w:color="auto" w:fill="E1DFDD"/>
    </w:rPr>
  </w:style>
  <w:style w:type="character" w:customStyle="1" w:styleId="32">
    <w:name w:val="正文文本 字符"/>
    <w:basedOn w:val="15"/>
    <w:link w:val="5"/>
    <w:qFormat/>
    <w:uiPriority w:val="0"/>
    <w:rPr>
      <w:rFonts w:ascii="宋体" w:hAnsi="宋体" w:eastAsia="宋体" w:cs="宋体"/>
      <w:sz w:val="24"/>
      <w:szCs w:val="24"/>
    </w:rPr>
  </w:style>
  <w:style w:type="character" w:customStyle="1" w:styleId="33">
    <w:name w:val="纯文本 字符2"/>
    <w:basedOn w:val="15"/>
    <w:link w:val="7"/>
    <w:semiHidden/>
    <w:qFormat/>
    <w:uiPriority w:val="99"/>
    <w:rPr>
      <w:rFonts w:hAnsi="Courier New" w:cs="Courier New" w:asciiTheme="minorEastAsia"/>
      <w:sz w:val="24"/>
      <w:szCs w:val="24"/>
    </w:rPr>
  </w:style>
  <w:style w:type="table" w:customStyle="1" w:styleId="34">
    <w:name w:val="网格型1"/>
    <w:basedOn w:val="1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5">
    <w:name w:val="15"/>
    <w:basedOn w:val="15"/>
    <w:qFormat/>
    <w:uiPriority w:val="0"/>
    <w:rPr>
      <w:rFonts w:hint="eastAsia" w:ascii="宋体" w:hAnsi="宋体" w:eastAsia="宋体" w:cs="宋体"/>
      <w:color w:val="000000"/>
      <w:sz w:val="22"/>
      <w:szCs w:val="22"/>
    </w:rPr>
  </w:style>
  <w:style w:type="character" w:customStyle="1" w:styleId="36">
    <w:name w:val="17"/>
    <w:basedOn w:val="15"/>
    <w:qFormat/>
    <w:uiPriority w:val="0"/>
    <w:rPr>
      <w:rFonts w:hint="default" w:ascii="Times New Roman" w:hAnsi="Times New Roman" w:cs="Times New Roman"/>
      <w:color w:val="000000"/>
      <w:sz w:val="22"/>
      <w:szCs w:val="22"/>
    </w:rPr>
  </w:style>
  <w:style w:type="character" w:customStyle="1" w:styleId="37">
    <w:name w:val="16"/>
    <w:basedOn w:val="15"/>
    <w:qFormat/>
    <w:uiPriority w:val="0"/>
    <w:rPr>
      <w:rFonts w:hint="eastAsia" w:ascii="宋体" w:hAnsi="宋体" w:eastAsia="宋体" w:cs="宋体"/>
      <w:color w:val="000000"/>
      <w:sz w:val="22"/>
      <w:szCs w:val="22"/>
    </w:rPr>
  </w:style>
  <w:style w:type="paragraph" w:customStyle="1" w:styleId="38">
    <w:name w:val="Table Paragraph"/>
    <w:basedOn w:val="1"/>
    <w:qFormat/>
    <w:uiPriority w:val="1"/>
    <w:rPr>
      <w:rFonts w:ascii="宋体" w:hAnsi="宋体" w:eastAsia="宋体" w:cs="宋体"/>
    </w:rPr>
  </w:style>
  <w:style w:type="paragraph" w:customStyle="1" w:styleId="39">
    <w:name w:val="标题2 alt+2"/>
    <w:basedOn w:val="1"/>
    <w:next w:val="3"/>
    <w:qFormat/>
    <w:uiPriority w:val="0"/>
    <w:pPr>
      <w:spacing w:before="156" w:beforeLines="50"/>
      <w:jc w:val="left"/>
      <w:outlineLvl w:val="1"/>
    </w:pPr>
    <w:rPr>
      <w:rFonts w:eastAsia="黑体"/>
      <w:b/>
      <w:bCs/>
      <w:sz w:val="28"/>
      <w:szCs w:val="28"/>
    </w:rPr>
  </w:style>
  <w:style w:type="paragraph" w:customStyle="1" w:styleId="4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Template>
  <Pages>59</Pages>
  <Words>33691</Words>
  <Characters>36294</Characters>
  <Lines>1</Lines>
  <Paragraphs>1</Paragraphs>
  <TotalTime>14</TotalTime>
  <ScaleCrop>false</ScaleCrop>
  <LinksUpToDate>false</LinksUpToDate>
  <CharactersWithSpaces>36686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俞炳</cp:lastModifiedBy>
  <dcterms:modified xsi:type="dcterms:W3CDTF">2024-10-23T03:24:39Z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31B29B1787CF4013989C8FE00DEDFFA4_13</vt:lpwstr>
  </property>
</Properties>
</file>