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信息化软硬件采购</w:t>
      </w: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信息化软硬件采购</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QSZB-Z(H)-B23459(GK)</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[2023]74058号</w:t>
      </w:r>
    </w:p>
    <w:p>
      <w:pPr>
        <w:adjustRightInd w:val="0"/>
        <w:snapToGrid w:val="0"/>
        <w:spacing w:line="288" w:lineRule="auto"/>
        <w:rPr>
          <w:rFonts w:ascii="楷体" w:hAnsi="楷体" w:eastAsia="楷体" w:cs="Times New Roman"/>
          <w:b/>
          <w:color w:val="auto"/>
          <w:szCs w:val="21"/>
          <w:highlight w:val="none"/>
        </w:rPr>
      </w:pPr>
    </w:p>
    <w:p>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Borders>
            <w:top w:val="none" w:sz="0" w:space="0"/>
            <w:left w:val="none" w:sz="0" w:space="0"/>
            <w:bottom w:val="none" w:sz="0" w:space="0"/>
            <w:right w:val="none" w:sz="0" w:space="0"/>
          </w:pgBorders>
          <w:pgNumType w:start="1"/>
          <w:cols w:space="720" w:num="1"/>
          <w:docGrid w:linePitch="381" w:charSpace="0"/>
        </w:sectPr>
      </w:pPr>
    </w:p>
    <w:p>
      <w:pPr>
        <w:adjustRightInd w:val="0"/>
        <w:snapToGrid w:val="0"/>
        <w:spacing w:line="288" w:lineRule="auto"/>
        <w:rPr>
          <w:rFonts w:ascii="楷体" w:hAnsi="楷体" w:eastAsia="楷体" w:cs="Times New Roman"/>
          <w:b/>
          <w:color w:val="auto"/>
          <w:sz w:val="30"/>
          <w:szCs w:val="30"/>
          <w:highlight w:val="none"/>
        </w:rPr>
      </w:pPr>
    </w:p>
    <w:p>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pPr>
        <w:adjustRightInd w:val="0"/>
        <w:snapToGrid w:val="0"/>
        <w:spacing w:line="288" w:lineRule="auto"/>
        <w:rPr>
          <w:rFonts w:ascii="楷体" w:hAnsi="楷体" w:eastAsia="楷体" w:cs="Times New Roman"/>
          <w:b/>
          <w:color w:val="auto"/>
          <w:sz w:val="30"/>
          <w:szCs w:val="30"/>
          <w:highlight w:val="none"/>
        </w:rPr>
      </w:pP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pPr>
        <w:widowControl/>
        <w:adjustRightInd w:val="0"/>
        <w:snapToGrid w:val="0"/>
        <w:spacing w:line="288" w:lineRule="auto"/>
        <w:jc w:val="left"/>
        <w:rPr>
          <w:rFonts w:ascii="宋体" w:hAnsi="宋体" w:eastAsia="宋体" w:cs="Times New Roman"/>
          <w:color w:val="auto"/>
          <w:szCs w:val="21"/>
          <w:highlight w:val="none"/>
        </w:rPr>
      </w:pPr>
    </w:p>
    <w:p>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pgBorders>
            <w:top w:val="none" w:sz="0" w:space="0"/>
            <w:left w:val="none" w:sz="0" w:space="0"/>
            <w:bottom w:val="none" w:sz="0" w:space="0"/>
            <w:right w:val="none" w:sz="0" w:space="0"/>
          </w:pgBorders>
          <w:cols w:space="720" w:num="1"/>
          <w:docGrid w:linePitch="381" w:charSpace="0"/>
        </w:sectPr>
      </w:pP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信息化软硬件采购</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2023年12月1日13:30:00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pPr>
        <w:adjustRightInd w:val="0"/>
        <w:snapToGrid w:val="0"/>
        <w:spacing w:line="288" w:lineRule="auto"/>
        <w:rPr>
          <w:rFonts w:ascii="宋体" w:hAnsi="宋体" w:eastAsia="宋体" w:cs="宋体"/>
          <w:b/>
          <w:color w:val="auto"/>
          <w:szCs w:val="21"/>
          <w:highlight w:val="none"/>
        </w:rPr>
      </w:pPr>
      <w:bookmarkStart w:id="0" w:name="_Toc35393790"/>
      <w:bookmarkStart w:id="1" w:name="_Toc35393621"/>
      <w:bookmarkStart w:id="2" w:name="_Toc28359002"/>
      <w:bookmarkStart w:id="3" w:name="_Toc28359079"/>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QSZB-Z(H)-B23459(GK)</w:t>
      </w:r>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信息化软硬件采购</w:t>
      </w:r>
    </w:p>
    <w:bookmarkEnd w:id="4"/>
    <w:p>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2002000元</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w:t>
      </w:r>
      <w:r>
        <w:rPr>
          <w:rFonts w:hint="eastAsia" w:ascii="宋体" w:hAnsi="宋体" w:eastAsia="宋体" w:cs="Times New Roman"/>
          <w:color w:val="auto"/>
          <w:szCs w:val="21"/>
          <w:highlight w:val="none"/>
          <w:lang w:val="en-US" w:eastAsia="zh-CN"/>
        </w:rPr>
        <w:t>171</w:t>
      </w:r>
      <w:r>
        <w:rPr>
          <w:rFonts w:hint="eastAsia" w:ascii="宋体" w:hAnsi="宋体" w:eastAsia="宋体" w:cs="Times New Roman"/>
          <w:color w:val="auto"/>
          <w:szCs w:val="21"/>
          <w:highlight w:val="none"/>
        </w:rPr>
        <w:t>2000元</w:t>
      </w:r>
    </w:p>
    <w:p>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自合同签订之日起15个工作日内交付</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信息化软硬件采购</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详见采购文件</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否</w:t>
            </w:r>
          </w:p>
        </w:tc>
      </w:tr>
    </w:tbl>
    <w:p>
      <w:pPr>
        <w:adjustRightInd w:val="0"/>
        <w:snapToGrid w:val="0"/>
        <w:spacing w:line="288" w:lineRule="auto"/>
        <w:rPr>
          <w:rFonts w:ascii="宋体" w:hAnsi="宋体" w:eastAsia="宋体" w:cs="宋体"/>
          <w:b/>
          <w:color w:val="auto"/>
          <w:szCs w:val="21"/>
          <w:highlight w:val="none"/>
        </w:rPr>
      </w:pPr>
      <w:bookmarkStart w:id="5" w:name="_Toc28359003"/>
      <w:bookmarkStart w:id="6" w:name="_Toc35393791"/>
      <w:bookmarkStart w:id="7" w:name="_Toc28359080"/>
      <w:bookmarkStart w:id="8" w:name="_Toc35393622"/>
      <w:r>
        <w:rPr>
          <w:rFonts w:hint="eastAsia" w:ascii="宋体" w:hAnsi="宋体" w:eastAsia="宋体" w:cs="宋体"/>
          <w:b/>
          <w:color w:val="auto"/>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2.落实政府采购政策需满足的资格要求：无</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pPr>
        <w:adjustRightInd w:val="0"/>
        <w:snapToGrid w:val="0"/>
        <w:spacing w:line="288" w:lineRule="auto"/>
        <w:rPr>
          <w:rFonts w:ascii="宋体" w:hAnsi="宋体" w:eastAsia="宋体" w:cs="宋体"/>
          <w:b/>
          <w:color w:val="auto"/>
          <w:szCs w:val="21"/>
          <w:highlight w:val="none"/>
        </w:rPr>
      </w:pPr>
      <w:bookmarkStart w:id="11" w:name="_Toc35393792"/>
      <w:bookmarkStart w:id="12" w:name="_Toc35393623"/>
      <w:r>
        <w:rPr>
          <w:rFonts w:hint="eastAsia" w:ascii="宋体" w:hAnsi="宋体" w:eastAsia="宋体" w:cs="宋体"/>
          <w:b/>
          <w:color w:val="auto"/>
          <w:szCs w:val="21"/>
          <w:highlight w:val="none"/>
        </w:rPr>
        <w:t>三、获取招标文件</w:t>
      </w:r>
      <w:bookmarkEnd w:id="9"/>
      <w:bookmarkEnd w:id="10"/>
      <w:bookmarkEnd w:id="11"/>
      <w:bookmarkEnd w:id="12"/>
    </w:p>
    <w:p>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82"/>
      <w:bookmarkStart w:id="14" w:name="_Toc28359005"/>
      <w:bookmarkStart w:id="15" w:name="_Toc35393793"/>
      <w:bookmarkStart w:id="16" w:name="_Toc35393624"/>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2023年1</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lang w:eastAsia="zh-CN"/>
        </w:rPr>
        <w:t>月1</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lang w:eastAsia="zh-CN"/>
        </w:rPr>
        <w:t>日</w:t>
      </w:r>
      <w:r>
        <w:rPr>
          <w:rFonts w:hint="eastAsia" w:ascii="宋体" w:hAnsi="宋体" w:eastAsia="宋体" w:cs="Times New Roman"/>
          <w:color w:val="auto"/>
          <w:szCs w:val="21"/>
          <w:highlight w:val="none"/>
        </w:rPr>
        <w:t>至</w:t>
      </w:r>
      <w:r>
        <w:rPr>
          <w:rFonts w:hint="eastAsia" w:ascii="宋体" w:hAnsi="宋体" w:eastAsia="宋体" w:cs="Times New Roman"/>
          <w:color w:val="auto"/>
          <w:szCs w:val="21"/>
          <w:highlight w:val="none"/>
          <w:lang w:eastAsia="zh-CN"/>
        </w:rPr>
        <w:t>2023年12月1日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2023年12月1日13:30:00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2023年12月1日13:30:00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w:t>
      </w:r>
      <w:bookmarkEnd w:id="18"/>
    </w:p>
    <w:bookmarkEnd w:id="17"/>
    <w:p>
      <w:pPr>
        <w:adjustRightInd w:val="0"/>
        <w:snapToGrid w:val="0"/>
        <w:spacing w:line="288" w:lineRule="auto"/>
        <w:rPr>
          <w:rFonts w:ascii="宋体" w:hAnsi="宋体" w:eastAsia="宋体" w:cs="宋体"/>
          <w:b/>
          <w:color w:val="auto"/>
          <w:szCs w:val="21"/>
          <w:highlight w:val="none"/>
        </w:rPr>
      </w:pPr>
      <w:bookmarkStart w:id="19" w:name="_Toc35393625"/>
      <w:bookmarkStart w:id="20" w:name="_Toc35393794"/>
      <w:bookmarkStart w:id="21" w:name="_Toc28359007"/>
      <w:bookmarkStart w:id="22" w:name="_Toc28359084"/>
      <w:r>
        <w:rPr>
          <w:rFonts w:hint="eastAsia" w:ascii="宋体" w:hAnsi="宋体" w:eastAsia="宋体" w:cs="宋体"/>
          <w:b/>
          <w:color w:val="auto"/>
          <w:szCs w:val="21"/>
          <w:highlight w:val="none"/>
        </w:rPr>
        <w:t>五、公告期限</w:t>
      </w:r>
      <w:bookmarkEnd w:id="19"/>
      <w:bookmarkEnd w:id="20"/>
      <w:bookmarkEnd w:id="21"/>
      <w:bookmarkEnd w:id="22"/>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pPr>
        <w:adjustRightInd w:val="0"/>
        <w:snapToGrid w:val="0"/>
        <w:spacing w:line="288" w:lineRule="auto"/>
        <w:rPr>
          <w:rFonts w:ascii="宋体" w:hAnsi="宋体" w:eastAsia="宋体" w:cs="宋体"/>
          <w:b/>
          <w:color w:val="auto"/>
          <w:szCs w:val="21"/>
          <w:highlight w:val="none"/>
        </w:rPr>
      </w:pPr>
      <w:bookmarkStart w:id="23" w:name="_Toc35393795"/>
      <w:bookmarkStart w:id="24" w:name="_Toc35393626"/>
      <w:r>
        <w:rPr>
          <w:rFonts w:hint="eastAsia" w:ascii="宋体" w:hAnsi="宋体" w:eastAsia="宋体" w:cs="宋体"/>
          <w:b/>
          <w:color w:val="auto"/>
          <w:szCs w:val="21"/>
          <w:highlight w:val="none"/>
        </w:rPr>
        <w:t>六、其他补充事宜</w:t>
      </w:r>
      <w:bookmarkEnd w:id="23"/>
      <w:bookmarkEnd w:id="24"/>
    </w:p>
    <w:p>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ascii="宋体" w:hAnsi="宋体" w:eastAsia="宋体" w:cs="Times New Roman"/>
          <w:color w:val="auto"/>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pPr>
        <w:adjustRightInd w:val="0"/>
        <w:snapToGrid w:val="0"/>
        <w:spacing w:line="288" w:lineRule="auto"/>
        <w:rPr>
          <w:rFonts w:ascii="宋体" w:hAnsi="宋体" w:eastAsia="宋体" w:cs="Times New Roman"/>
          <w:b/>
          <w:color w:val="auto"/>
          <w:szCs w:val="21"/>
          <w:highlight w:val="none"/>
        </w:rPr>
      </w:pPr>
      <w:bookmarkStart w:id="29" w:name="_Toc28359085"/>
      <w:bookmarkStart w:id="30" w:name="_Toc28359008"/>
      <w:bookmarkStart w:id="31" w:name="_Toc35393796"/>
      <w:bookmarkStart w:id="32" w:name="_Toc35393627"/>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pPr>
        <w:adjustRightInd w:val="0"/>
        <w:snapToGrid w:val="0"/>
        <w:spacing w:line="288" w:lineRule="auto"/>
        <w:ind w:firstLine="424" w:firstLineChars="202"/>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地址：杭州</w:t>
      </w:r>
      <w:r>
        <w:rPr>
          <w:rFonts w:hint="eastAsia" w:ascii="宋体" w:hAnsi="宋体" w:eastAsia="宋体" w:cs="Times New Roman"/>
          <w:color w:val="auto"/>
          <w:szCs w:val="21"/>
          <w:highlight w:val="none"/>
          <w:lang w:val="en-US" w:eastAsia="zh-CN"/>
        </w:rPr>
        <w:t>市钱塘区白杨街道2号大街1158号</w:t>
      </w:r>
    </w:p>
    <w:p>
      <w:pPr>
        <w:adjustRightInd w:val="0"/>
        <w:snapToGrid w:val="0"/>
        <w:spacing w:line="288" w:lineRule="auto"/>
        <w:ind w:firstLine="424" w:firstLineChars="202"/>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传真：/</w:t>
      </w:r>
    </w:p>
    <w:p>
      <w:pPr>
        <w:adjustRightInd w:val="0"/>
        <w:snapToGrid w:val="0"/>
        <w:spacing w:line="288" w:lineRule="auto"/>
        <w:ind w:firstLine="424" w:firstLineChars="202"/>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项目联系人（询问）：袁老师</w:t>
      </w:r>
    </w:p>
    <w:p>
      <w:pPr>
        <w:adjustRightInd w:val="0"/>
        <w:snapToGrid w:val="0"/>
        <w:spacing w:line="288" w:lineRule="auto"/>
        <w:ind w:firstLine="424" w:firstLineChars="202"/>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项目联系方式（询问）：0571-86878568</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pPr>
        <w:adjustRightInd w:val="0"/>
        <w:snapToGrid w:val="0"/>
        <w:spacing w:line="288" w:lineRule="auto"/>
        <w:ind w:firstLine="424" w:firstLineChars="202"/>
        <w:rPr>
          <w:rFonts w:hint="eastAsia" w:ascii="宋体" w:hAnsi="宋体" w:eastAsia="宋体" w:cs="Times New Roman"/>
          <w:color w:val="auto"/>
          <w:szCs w:val="21"/>
          <w:highlight w:val="none"/>
        </w:rPr>
      </w:pP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项目联系人（询问）：陈应俭、俞炳</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项目联系方式（询问）：0571-87670302</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质疑联系人：胡沁梦</w:t>
      </w:r>
    </w:p>
    <w:p>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质疑邮箱：jdkh@qszb.net</w:t>
      </w:r>
    </w:p>
    <w:p>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3.同级政府采购监督管理部门</w:t>
      </w:r>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名称：浙江省财政厅政府采购监管处、浙江省政府采购行政裁决服务中心（杭州）</w:t>
      </w:r>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地址：杭州市上城区四季青街道新业路市民之家G03办公室</w:t>
      </w:r>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传真：/</w:t>
      </w:r>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联系人：朱女士、王女士</w:t>
      </w:r>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监督投诉电话：0571-85252453</w:t>
      </w:r>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政策咨询：何一平、冯华，0571-87058424、87055741</w:t>
      </w:r>
    </w:p>
    <w:p>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预算金额未达100万元的采购项目，由采购人处理采购争议。</w:t>
      </w:r>
    </w:p>
    <w:p>
      <w:pPr>
        <w:adjustRightInd w:val="0"/>
        <w:snapToGrid w:val="0"/>
        <w:spacing w:line="288" w:lineRule="auto"/>
        <w:ind w:firstLine="37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rPr>
              <w:t>采购标的对应的中小企业划分标准所属行业：</w:t>
            </w:r>
            <w:r>
              <w:rPr>
                <w:rFonts w:hint="eastAsia" w:ascii="宋体" w:hAnsi="宋体" w:eastAsia="宋体" w:cs="Times New Roman"/>
                <w:b/>
                <w:bCs/>
                <w:color w:val="auto"/>
                <w:szCs w:val="21"/>
                <w:highlight w:val="none"/>
                <w:lang w:val="en-US" w:eastAsia="zh-CN"/>
              </w:rPr>
              <w:t>工业</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pPr>
        <w:adjustRightInd w:val="0"/>
        <w:snapToGrid w:val="0"/>
        <w:spacing w:line="288" w:lineRule="auto"/>
        <w:rPr>
          <w:rFonts w:ascii="宋体" w:hAnsi="宋体" w:eastAsia="宋体" w:cs="Times New Roman"/>
          <w:b/>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Times New Roman"/>
                <w:b/>
                <w:color w:val="auto"/>
                <w:spacing w:val="-6"/>
                <w:sz w:val="21"/>
                <w:szCs w:val="21"/>
                <w:highlight w:val="none"/>
              </w:rPr>
            </w:pPr>
            <w:r>
              <w:rPr>
                <w:rFonts w:hint="eastAsia" w:ascii="宋体" w:hAnsi="宋体" w:eastAsia="宋体" w:cs="Times New Roman"/>
                <w:b/>
                <w:color w:val="auto"/>
                <w:spacing w:val="-6"/>
                <w:kern w:val="2"/>
                <w:sz w:val="21"/>
                <w:szCs w:val="21"/>
                <w:highlight w:val="none"/>
                <w:lang w:val="en-US" w:eastAsia="zh-CN"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1.合同签订后一周内，中标人向采购人提交合同总价1%的履约保证金，履约保证金在合同履约期间无违约情形的，项目验收结束后，于一周内退还（不计息）；</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bookmarkStart w:id="35" w:name="_Hlk45005608"/>
            <w:r>
              <w:rPr>
                <w:rFonts w:hint="eastAsia" w:ascii="宋体" w:hAnsi="宋体" w:eastAsia="宋体"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rPr>
              <w:t>注：中标人</w:t>
            </w:r>
            <w:r>
              <w:rPr>
                <w:rFonts w:hint="eastAsia" w:ascii="宋体" w:hAnsi="宋体" w:eastAsia="宋体" w:cs="宋体"/>
                <w:color w:val="auto"/>
                <w:spacing w:val="-6"/>
                <w:kern w:val="0"/>
                <w:sz w:val="21"/>
                <w:szCs w:val="21"/>
                <w:highlight w:val="none"/>
              </w:rPr>
              <w:t>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银行账号：1202026209008806216</w:t>
            </w:r>
          </w:p>
        </w:tc>
      </w:tr>
      <w:bookmarkEnd w:id="35"/>
    </w:tbl>
    <w:p>
      <w:pPr>
        <w:adjustRightInd w:val="0"/>
        <w:snapToGrid w:val="0"/>
        <w:spacing w:line="288" w:lineRule="auto"/>
        <w:rPr>
          <w:rFonts w:ascii="宋体" w:hAnsi="宋体" w:eastAsia="宋体" w:cs="Times New Roman"/>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eastAsia="zh-CN"/>
              </w:rPr>
              <w:t>自合同签订之日起15个工作日内交付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如在使用过程中发生质量问题，供应商维修响应时间：</w:t>
            </w:r>
            <w:r>
              <w:rPr>
                <w:rFonts w:hint="eastAsia" w:ascii="宋体" w:hAnsi="宋体" w:eastAsia="宋体" w:cs="宋体"/>
                <w:color w:val="auto"/>
                <w:szCs w:val="21"/>
                <w:highlight w:val="none"/>
                <w:u w:val="single"/>
                <w:lang w:val="en-US" w:eastAsia="zh-CN"/>
              </w:rPr>
              <w:t>1</w:t>
            </w:r>
            <w:r>
              <w:rPr>
                <w:rFonts w:hint="eastAsia" w:ascii="宋体" w:hAnsi="宋体" w:eastAsia="宋体" w:cs="宋体"/>
                <w:color w:val="auto"/>
                <w:szCs w:val="21"/>
                <w:highlight w:val="none"/>
                <w:u w:val="single"/>
              </w:rPr>
              <w:t>小时以内；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电话技术支持时间：</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小时以内；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rPr>
              <w:t>若需上门维修，则在：</w:t>
            </w:r>
            <w:r>
              <w:rPr>
                <w:rFonts w:hint="eastAsia" w:ascii="宋体" w:hAnsi="宋体" w:eastAsia="宋体" w:cs="宋体"/>
                <w:color w:val="auto"/>
                <w:szCs w:val="21"/>
                <w:highlight w:val="none"/>
                <w:u w:val="single"/>
                <w:lang w:val="en-US" w:eastAsia="zh-CN"/>
              </w:rPr>
              <w:t>12</w:t>
            </w:r>
            <w:r>
              <w:rPr>
                <w:rFonts w:hint="eastAsia" w:ascii="宋体" w:hAnsi="宋体" w:eastAsia="宋体" w:cs="宋体"/>
                <w:color w:val="auto"/>
                <w:szCs w:val="21"/>
                <w:highlight w:val="none"/>
                <w:u w:val="single"/>
              </w:rPr>
              <w:t>小时内到达现场并进行维修；</w:t>
            </w:r>
            <w:r>
              <w:rPr>
                <w:rFonts w:hint="eastAsia" w:ascii="宋体" w:hAnsi="宋体" w:eastAsia="宋体" w:cs="宋体"/>
                <w:color w:val="auto"/>
                <w:szCs w:val="21"/>
                <w:highlight w:val="none"/>
                <w:u w:val="single"/>
                <w:lang w:val="en-US" w:eastAsia="zh-CN"/>
              </w:rPr>
              <w:t>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供应商应按招标文件规定的货物性能、技术要求、质量标准向采购人提供未经使用的全新产品，符合国家法律法规规定和技术规格、质量标准的出厂原装合格产品。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.6供应商在投标文件中应提供安装调试计划、对安装场地和环境的要求。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r>
              <w:rPr>
                <w:rFonts w:hint="default" w:ascii="宋体" w:hAnsi="宋体" w:eastAsia="宋体" w:cs="宋体"/>
                <w:color w:val="auto"/>
                <w:szCs w:val="21"/>
                <w:highlight w:val="none"/>
              </w:rPr>
              <w:t>.</w:t>
            </w:r>
            <w:r>
              <w:rPr>
                <w:rFonts w:hint="eastAsia" w:ascii="宋体" w:hAnsi="宋体" w:eastAsia="宋体" w:cs="Times New Roman"/>
                <w:color w:val="auto"/>
                <w:spacing w:val="-6"/>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上述内容的实现方式、时间、地点、人数应在投标文件中详细说明。</w:t>
            </w:r>
          </w:p>
        </w:tc>
      </w:tr>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pPr>
        <w:adjustRightInd w:val="0"/>
        <w:snapToGrid w:val="0"/>
        <w:spacing w:line="288" w:lineRule="auto"/>
        <w:rPr>
          <w:rFonts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pPr>
        <w:adjustRightInd w:val="0"/>
        <w:snapToGrid w:val="0"/>
        <w:spacing w:line="288" w:lineRule="auto"/>
        <w:rPr>
          <w:rFonts w:hint="default" w:ascii="宋体" w:hAnsi="宋体" w:eastAsia="宋体" w:cs="宋体"/>
          <w:b/>
          <w:bCs/>
          <w:color w:val="auto"/>
          <w:szCs w:val="21"/>
          <w:highlight w:val="none"/>
          <w:lang w:val="en-US" w:eastAsia="zh-CN"/>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r>
        <w:rPr>
          <w:rFonts w:hint="eastAsia" w:ascii="宋体" w:hAnsi="宋体" w:eastAsia="宋体" w:cs="宋体"/>
          <w:b/>
          <w:bCs/>
          <w:color w:val="auto"/>
          <w:szCs w:val="21"/>
          <w:highlight w:val="none"/>
          <w:lang w:val="en-US" w:eastAsia="zh-CN"/>
        </w:rPr>
        <w:t>满足信息化软硬件采购的使用需求。</w:t>
      </w:r>
    </w:p>
    <w:p>
      <w:pPr>
        <w:adjustRightInd w:val="0"/>
        <w:snapToGrid w:val="0"/>
        <w:spacing w:line="288" w:lineRule="auto"/>
        <w:rPr>
          <w:rFonts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tbl>
      <w:tblPr>
        <w:tblStyle w:val="23"/>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1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26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1810"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Times New Roman"/>
                <w:b/>
                <w:bCs/>
                <w:color w:val="auto"/>
                <w:kern w:val="2"/>
                <w:sz w:val="21"/>
                <w:szCs w:val="21"/>
                <w:lang w:val="en-US" w:eastAsia="zh-CN" w:bidi="ar"/>
              </w:rPr>
              <w:t>GPU应用专用设备1</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套</w:t>
            </w:r>
          </w:p>
        </w:tc>
        <w:tc>
          <w:tcPr>
            <w:tcW w:w="6269" w:type="dxa"/>
            <w:vAlign w:val="center"/>
          </w:tcPr>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1、外形：机架式，高度≥2U，标配原厂导轨</w:t>
            </w:r>
            <w:r>
              <w:rPr>
                <w:rFonts w:hint="eastAsia" w:ascii="宋体" w:hAnsi="宋体" w:eastAsia="宋体" w:cs="宋体"/>
                <w:color w:val="auto"/>
                <w:sz w:val="21"/>
                <w:szCs w:val="21"/>
                <w:highlight w:val="none"/>
                <w:lang w:val="en-US" w:eastAsia="zh-CN"/>
              </w:rPr>
              <w:t>；</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2、CPU：配置2个</w:t>
            </w:r>
            <w:r>
              <w:rPr>
                <w:rFonts w:hint="eastAsia" w:ascii="宋体" w:hAnsi="宋体" w:eastAsia="宋体" w:cs="宋体"/>
                <w:color w:val="auto"/>
                <w:sz w:val="21"/>
                <w:szCs w:val="21"/>
                <w:highlight w:val="none"/>
                <w:lang w:val="en-US" w:eastAsia="zh-CN"/>
              </w:rPr>
              <w:t>不低于</w:t>
            </w:r>
            <w:r>
              <w:rPr>
                <w:rFonts w:hint="eastAsia" w:ascii="宋体" w:hAnsi="宋体" w:eastAsia="宋体" w:cs="宋体"/>
                <w:color w:val="auto"/>
                <w:sz w:val="21"/>
                <w:szCs w:val="21"/>
                <w:highlight w:val="none"/>
                <w:lang w:val="en-US"/>
              </w:rPr>
              <w:t>5318Y(2.1GHz/24核/36MB/165W) CPU处理器</w:t>
            </w:r>
            <w:r>
              <w:rPr>
                <w:rFonts w:hint="eastAsia" w:ascii="宋体" w:hAnsi="宋体" w:eastAsia="宋体" w:cs="宋体"/>
                <w:color w:val="auto"/>
                <w:sz w:val="21"/>
                <w:szCs w:val="21"/>
                <w:highlight w:val="none"/>
                <w:lang w:val="en-US" w:eastAsia="zh-CN"/>
              </w:rPr>
              <w:t>；</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3、内存：最大支持32根DDR4内存，最高速率3200MT/s，支持RDIMM或LRDIMM，Advanced ECC、内存镜像、内存热备。配置</w:t>
            </w: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val="en-US"/>
              </w:rPr>
              <w:t>*32GB DDR4 3200内存</w:t>
            </w:r>
            <w:r>
              <w:rPr>
                <w:rFonts w:hint="eastAsia" w:ascii="宋体" w:hAnsi="宋体" w:eastAsia="宋体" w:cs="宋体"/>
                <w:color w:val="auto"/>
                <w:sz w:val="21"/>
                <w:szCs w:val="21"/>
                <w:highlight w:val="none"/>
                <w:lang w:val="en-US" w:eastAsia="zh-CN"/>
              </w:rPr>
              <w:t>；</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★4、硬盘：配置480GB SSD≥2块，最大可扩展至≥41个硬盘</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提供证明材料</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lang w:val="en-US" w:eastAsia="zh-CN"/>
              </w:rPr>
              <w:t>；</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5、IO：配置2端口万兆光口网卡≥1块（含模块）；配置4端口千兆电口网卡≥1块；配置2端口16Gb光纤通道HBA卡</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rPr>
              <w:t>带两个SFP+ 模块</w:t>
            </w:r>
            <w:r>
              <w:rPr>
                <w:rFonts w:hint="eastAsia" w:ascii="宋体" w:hAnsi="宋体" w:eastAsia="宋体" w:cs="宋体"/>
                <w:color w:val="auto"/>
                <w:sz w:val="21"/>
                <w:szCs w:val="21"/>
                <w:highlight w:val="none"/>
                <w:lang w:val="en-US" w:eastAsia="zh-CN"/>
              </w:rPr>
              <w:t>）；</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6、阵列控制器：配置1个阵列卡，12Gbps SAS磁盘阵列控制器，支持Raid0/1/10/5/50/6/60, Raid 1/10 ≥2GB缓存，支持缓存数据保护，且后备保护不受时间限制；</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★7、GPU：配置2块Nvidia GPU卡 显存不低于48GB显存；FP32不低于37.42 TFLOPS，要求双宽GPU卡最大可支持4块；单宽GPU卡最大可支持14块</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rPr>
              <w:t>提供证明材料</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8、风扇：满配冗余风扇</w:t>
            </w:r>
            <w:r>
              <w:rPr>
                <w:rFonts w:hint="eastAsia" w:ascii="宋体" w:hAnsi="宋体" w:eastAsia="宋体" w:cs="宋体"/>
                <w:color w:val="auto"/>
                <w:sz w:val="21"/>
                <w:szCs w:val="21"/>
                <w:highlight w:val="none"/>
                <w:lang w:val="en-US" w:eastAsia="zh-CN"/>
              </w:rPr>
              <w:t>；</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9、电源：配置≥1600w热插拔冗余电源≥2个</w:t>
            </w:r>
            <w:r>
              <w:rPr>
                <w:rFonts w:hint="eastAsia" w:ascii="宋体" w:hAnsi="宋体" w:eastAsia="宋体" w:cs="宋体"/>
                <w:color w:val="auto"/>
                <w:sz w:val="21"/>
                <w:szCs w:val="21"/>
                <w:highlight w:val="none"/>
                <w:lang w:val="en-US" w:eastAsia="zh-CN"/>
              </w:rPr>
              <w:t>；</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★10、安全性：支持安全机箱，TCM/TPM安全模块，双因素认证</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提供证明材料</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lang w:val="en-US" w:eastAsia="zh-CN"/>
              </w:rPr>
              <w:t>；</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11、嵌入式管理：</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11.1 </w:t>
            </w:r>
            <w:r>
              <w:rPr>
                <w:rFonts w:hint="eastAsia" w:ascii="宋体" w:hAnsi="宋体" w:eastAsia="宋体" w:cs="宋体"/>
                <w:color w:val="auto"/>
                <w:sz w:val="21"/>
                <w:szCs w:val="21"/>
                <w:highlight w:val="none"/>
                <w:lang w:val="en-US"/>
              </w:rPr>
              <w:t>配置≥1Gb独立的远程管理控制端口；</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11.2 </w:t>
            </w:r>
            <w:r>
              <w:rPr>
                <w:rFonts w:hint="eastAsia" w:ascii="宋体" w:hAnsi="宋体" w:eastAsia="宋体" w:cs="宋体"/>
                <w:color w:val="auto"/>
                <w:sz w:val="21"/>
                <w:szCs w:val="21"/>
                <w:highlight w:val="none"/>
                <w:lang w:val="en-US"/>
              </w:rPr>
              <w:t>配置虚拟KVM功能,可实现与操作系统无关的远程对服务器的完全控制，包括远程的开机、关机、重启、更新Firmware、虚拟光驱、虚拟文件夹等操作</w:t>
            </w:r>
            <w:r>
              <w:rPr>
                <w:rFonts w:hint="eastAsia" w:ascii="宋体" w:hAnsi="宋体" w:eastAsia="宋体" w:cs="宋体"/>
                <w:color w:val="auto"/>
                <w:sz w:val="21"/>
                <w:szCs w:val="21"/>
                <w:highlight w:val="none"/>
                <w:lang w:val="en-US" w:eastAsia="zh-CN"/>
              </w:rPr>
              <w:t>；</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11.3 </w:t>
            </w:r>
            <w:r>
              <w:rPr>
                <w:rFonts w:hint="eastAsia" w:ascii="宋体" w:hAnsi="宋体" w:eastAsia="宋体" w:cs="宋体"/>
                <w:color w:val="auto"/>
                <w:sz w:val="21"/>
                <w:szCs w:val="21"/>
                <w:highlight w:val="none"/>
                <w:lang w:val="en-US"/>
              </w:rPr>
              <w:t>提供服务器健康日记、服务器控制台录屏/回放功能，能够提供电源监控，可支持动态功率封顶</w:t>
            </w:r>
            <w:r>
              <w:rPr>
                <w:rFonts w:hint="eastAsia" w:ascii="宋体" w:hAnsi="宋体" w:eastAsia="宋体" w:cs="宋体"/>
                <w:color w:val="auto"/>
                <w:sz w:val="21"/>
                <w:szCs w:val="21"/>
                <w:highlight w:val="none"/>
                <w:lang w:val="en-US" w:eastAsia="zh-CN"/>
              </w:rPr>
              <w:t>；</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11.4 </w:t>
            </w:r>
            <w:r>
              <w:rPr>
                <w:rFonts w:hint="eastAsia" w:ascii="宋体" w:hAnsi="宋体" w:eastAsia="宋体" w:cs="宋体"/>
                <w:color w:val="auto"/>
                <w:sz w:val="21"/>
                <w:szCs w:val="21"/>
                <w:highlight w:val="none"/>
                <w:lang w:val="en-US"/>
              </w:rPr>
              <w:t>支持3D图形化的机箱内部温度拓扑图显示</w:t>
            </w:r>
            <w:r>
              <w:rPr>
                <w:rFonts w:hint="eastAsia" w:ascii="宋体" w:hAnsi="宋体" w:eastAsia="宋体" w:cs="宋体"/>
                <w:color w:val="auto"/>
                <w:sz w:val="21"/>
                <w:szCs w:val="21"/>
                <w:highlight w:val="none"/>
                <w:lang w:val="en-US" w:eastAsia="zh-CN"/>
              </w:rPr>
              <w:t>；</w:t>
            </w:r>
          </w:p>
          <w:p>
            <w:pPr>
              <w:keepNext w:val="0"/>
              <w:keepLines w:val="0"/>
              <w:widowControl w:val="0"/>
              <w:numPr>
                <w:ilvl w:val="0"/>
                <w:numId w:val="0"/>
              </w:numPr>
              <w:suppressLineNumbers w:val="0"/>
              <w:adjustRightInd w:val="0"/>
              <w:spacing w:before="0" w:beforeAutospacing="0" w:after="0" w:afterAutospacing="0" w:line="240" w:lineRule="auto"/>
              <w:ind w:left="0" w:right="0" w:rightChars="0"/>
              <w:jc w:val="left"/>
              <w:textAlignment w:val="baseline"/>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11.5 </w:t>
            </w:r>
            <w:r>
              <w:rPr>
                <w:rFonts w:hint="eastAsia" w:ascii="宋体" w:hAnsi="宋体" w:eastAsia="宋体" w:cs="宋体"/>
                <w:color w:val="auto"/>
                <w:sz w:val="21"/>
                <w:szCs w:val="21"/>
                <w:highlight w:val="none"/>
                <w:lang w:val="en-US"/>
              </w:rPr>
              <w:t>支持外接USB WIFI模块，提供无线热点，用户可使用手机或便携机直接登录管理软件</w:t>
            </w:r>
            <w:r>
              <w:rPr>
                <w:rFonts w:hint="eastAsia" w:ascii="宋体" w:hAnsi="宋体" w:eastAsia="宋体" w:cs="宋体"/>
                <w:b/>
                <w:bCs/>
                <w:color w:val="auto"/>
                <w:sz w:val="21"/>
                <w:szCs w:val="21"/>
                <w:highlight w:val="none"/>
                <w:lang w:val="en-US" w:eastAsia="zh-CN"/>
              </w:rPr>
              <w:t>（提供证明材料）</w:t>
            </w:r>
            <w:r>
              <w:rPr>
                <w:rFonts w:hint="eastAsia"/>
                <w:color w:val="auto"/>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810"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Times New Roman"/>
                <w:b/>
                <w:bCs/>
                <w:color w:val="auto"/>
                <w:kern w:val="2"/>
                <w:sz w:val="21"/>
                <w:szCs w:val="21"/>
                <w:lang w:val="en-US" w:eastAsia="zh-CN" w:bidi="ar"/>
              </w:rPr>
              <w:t>GPU应用专用设备2</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套</w:t>
            </w:r>
          </w:p>
        </w:tc>
        <w:tc>
          <w:tcPr>
            <w:tcW w:w="6269" w:type="dxa"/>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1、外形：机架式，高度≥2U，标配原厂导轨</w:t>
            </w:r>
            <w:r>
              <w:rPr>
                <w:rFonts w:hint="eastAsia" w:ascii="宋体" w:hAnsi="宋体" w:eastAsia="宋体" w:cs="宋体"/>
                <w:color w:val="auto"/>
                <w:sz w:val="21"/>
                <w:szCs w:val="21"/>
                <w:highlight w:val="none"/>
                <w:lang w:eastAsia="zh-CN"/>
              </w:rPr>
              <w:t>；</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2、CPU：配置2个不低于5318Y(2.1GHz/24核/36MB/165W)处理器</w:t>
            </w:r>
            <w:r>
              <w:rPr>
                <w:rFonts w:hint="eastAsia" w:ascii="宋体" w:hAnsi="宋体" w:eastAsia="宋体" w:cs="宋体"/>
                <w:color w:val="auto"/>
                <w:sz w:val="21"/>
                <w:szCs w:val="21"/>
                <w:highlight w:val="none"/>
                <w:lang w:eastAsia="zh-CN"/>
              </w:rPr>
              <w:t>；</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3、内存：最大支持32根DDR4内存，最高速率3200MT/s，支持RDIMM或LRDIMM，Advanced ECC、内存镜像、内存热备。配置</w:t>
            </w: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rPr>
              <w:t>*32GB DDR4 3200内存</w:t>
            </w:r>
            <w:r>
              <w:rPr>
                <w:rFonts w:hint="eastAsia" w:ascii="宋体" w:hAnsi="宋体" w:eastAsia="宋体" w:cs="宋体"/>
                <w:color w:val="auto"/>
                <w:sz w:val="21"/>
                <w:szCs w:val="21"/>
                <w:highlight w:val="none"/>
                <w:lang w:eastAsia="zh-CN"/>
              </w:rPr>
              <w:t>；</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4、硬盘：配置480GB SSD≥4块，最大可扩展至≥41个硬盘</w:t>
            </w:r>
            <w:r>
              <w:rPr>
                <w:rFonts w:hint="eastAsia" w:ascii="宋体" w:hAnsi="宋体" w:eastAsia="宋体" w:cs="宋体"/>
                <w:color w:val="auto"/>
                <w:sz w:val="21"/>
                <w:szCs w:val="21"/>
                <w:highlight w:val="none"/>
                <w:lang w:eastAsia="zh-CN"/>
              </w:rPr>
              <w:t>；</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5、IO：配置2端口万兆光口网卡≥1块（含模块）；配置4端口千兆电口网卡≥1块；配置2端口16Gb光纤通道HBA卡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带两个SFP+ 模块</w:t>
            </w:r>
            <w:r>
              <w:rPr>
                <w:rFonts w:hint="eastAsia" w:ascii="宋体" w:hAnsi="宋体" w:eastAsia="宋体" w:cs="宋体"/>
                <w:color w:val="auto"/>
                <w:sz w:val="21"/>
                <w:szCs w:val="21"/>
                <w:highlight w:val="none"/>
                <w:lang w:eastAsia="zh-CN"/>
              </w:rPr>
              <w:t>）；</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6、阵列控制器：配置1个阵列卡，12Gbps SAS磁盘阵列控制器，支持Raid0/1/10/5/50/6/60, Raid 1/10 ≥2GB缓存，支持缓存数据保护，且后备保护不受时间限制；</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7、GPU：配置2块Nvidia GPU卡。单卡显存不低于48GB；CUDA Core 核心不少于18176 个；Tensor 性能不低于1457.0TFLOPS；要求双宽GPU卡最大可支持4块；单宽GPU卡最大可支持14块</w:t>
            </w:r>
            <w:r>
              <w:rPr>
                <w:rFonts w:hint="eastAsia" w:ascii="宋体" w:hAnsi="宋体" w:eastAsia="宋体" w:cs="宋体"/>
                <w:color w:val="auto"/>
                <w:sz w:val="21"/>
                <w:szCs w:val="21"/>
                <w:highlight w:val="none"/>
                <w:lang w:eastAsia="zh-CN"/>
              </w:rPr>
              <w:t>；</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8、风扇：满配冗余风扇</w:t>
            </w:r>
            <w:r>
              <w:rPr>
                <w:rFonts w:hint="eastAsia" w:ascii="宋体" w:hAnsi="宋体" w:eastAsia="宋体" w:cs="宋体"/>
                <w:color w:val="auto"/>
                <w:sz w:val="21"/>
                <w:szCs w:val="21"/>
                <w:highlight w:val="none"/>
                <w:lang w:eastAsia="zh-CN"/>
              </w:rPr>
              <w:t>；</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9、电源：配置≥1600w热插拔冗余电源≥2个</w:t>
            </w:r>
            <w:r>
              <w:rPr>
                <w:rFonts w:hint="eastAsia" w:ascii="宋体" w:hAnsi="宋体" w:eastAsia="宋体" w:cs="宋体"/>
                <w:color w:val="auto"/>
                <w:sz w:val="21"/>
                <w:szCs w:val="21"/>
                <w:highlight w:val="none"/>
                <w:lang w:eastAsia="zh-CN"/>
              </w:rPr>
              <w:t>；</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10、安全性：支持安全机箱，TCM/TPM安全模块，双因素认证</w:t>
            </w:r>
            <w:r>
              <w:rPr>
                <w:rFonts w:hint="eastAsia" w:ascii="宋体" w:hAnsi="宋体" w:eastAsia="宋体" w:cs="宋体"/>
                <w:color w:val="auto"/>
                <w:sz w:val="21"/>
                <w:szCs w:val="21"/>
                <w:highlight w:val="none"/>
                <w:lang w:eastAsia="zh-CN"/>
              </w:rPr>
              <w:t>；</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11、嵌入式管理：</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配置≥1Gb独立的远程管理控制端口；</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配置虚拟KVM功能,可实现与操作系统无关的远程对服务器的完全控制，包括远程的开机、关机、重启、更新Firmware、虚拟光驱、虚拟文件夹等操作；</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提供服务器健康日记、服务器控制台录屏/回放功能，能够提供电源监控，可支持动态功率封顶；</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支持3D图形化的机箱内部温度拓扑图显示；</w:t>
            </w:r>
          </w:p>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 支持外接USB WIFI模块，提供无线热点，用户可使用手机或便携机直接登录管理软件。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1810"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Times New Roman"/>
                <w:b/>
                <w:bCs/>
                <w:color w:val="auto"/>
                <w:kern w:val="2"/>
                <w:sz w:val="21"/>
                <w:szCs w:val="21"/>
                <w:lang w:val="en-US" w:eastAsia="zh-CN" w:bidi="ar"/>
              </w:rPr>
              <w:t>数据中心高性能存储</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套</w:t>
            </w:r>
          </w:p>
        </w:tc>
        <w:tc>
          <w:tcPr>
            <w:tcW w:w="6269" w:type="dxa"/>
            <w:vAlign w:val="center"/>
          </w:tcPr>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体系结构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统一存储系统，同时支持NAS、IP SAN、FC SAN和vVol模式，SAN控制器和NAS控制器需采用统一硬件模块，并配置统一存储SAN和NAS软件许可</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控制器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本次配置≥2个控制器，控制器</w:t>
            </w:r>
            <w:r>
              <w:rPr>
                <w:rFonts w:hint="eastAsia" w:ascii="宋体" w:hAnsi="宋体" w:eastAsia="宋体" w:cs="宋体"/>
                <w:color w:val="auto"/>
                <w:sz w:val="21"/>
                <w:szCs w:val="21"/>
                <w:highlight w:val="none"/>
                <w:lang w:val="en-US" w:eastAsia="zh-CN"/>
              </w:rPr>
              <w:t>配置不低于</w:t>
            </w:r>
            <w:r>
              <w:rPr>
                <w:rFonts w:hint="eastAsia" w:ascii="宋体" w:hAnsi="宋体" w:eastAsia="宋体" w:cs="宋体"/>
                <w:color w:val="auto"/>
                <w:sz w:val="21"/>
                <w:szCs w:val="21"/>
                <w:highlight w:val="none"/>
              </w:rPr>
              <w:t>2个双路英特尔CPU，每个阵列32个核心，配置系统一级缓存≥192GB,（非闪存卡或SSD扩展方式），配置二级缓存400GB</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最大支持存储主机端口数≥24个，支持主机接口类型8Gb、16Gb FC主机接口，1Gb、10Gb网络主机接口；</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配置32Gb FC接口≥8个</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缓存保护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配置二级缓存400G，提供掉电后缓存数据保护机制，掉电后数据必须回写到硬盘</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提供证明材料</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硬盘支持与配置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配置4块600GB 10K SAS硬盘，2块400GB SSD硬盘（数据分层/二级缓存），15块12T 7.2K NLSAS硬盘</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单台磁盘阵列（不包括集群或存储虚拟化）最大可扩展到≥1000块硬盘</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后端磁盘接口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配置后端SAS磁盘连接，接口速度12Gb/s，后端磁盘带宽≥192Gb/s</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高可靠性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磁盘阵列系统具有高可靠性，达到99.999%可用性；具有关键部件冗余配置，在线维护能力</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RAID方式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支持多种RAID存储方式，包括RAID10，RAID5，RAID6，支持不同RAID级别并存，支持动态RAID技术，可单盘扩充容量，无需专用热备盘，硬盘失效后剩余硬盘可同时参与数据重构</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空间优化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在全闪资源池下支持LUN级别的压缩功能、块级和文件级重复数据消除功能，可随时打开或关闭重删压缩功能</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配置全容量的自动精简配置功能，按照实际使用的存储容量分配存储空间，提高存储利用率</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存储QoS功能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配置存储QoS能力，支持基于应用程序的服务级别管理，可根据应用重要性调整优先级别管理磁盘存储资源（响应时间、带宽、吞吐量等）</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服务管理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配置图形化存储管理软件，支持带外管理，中文管理界面</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支持应用程序服务级别管理功能；通过优化磁盘阵列中的应用程序IO队列，决定哪些应用程序可以获得更多的可用系统资源</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数据复制及迁移</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配置数据复制功能许可，支持同步和异步方式，支持基于阵列的数据级和文件级的复制功能，支持本地和远程数据复制功能</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数据保护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配置数据保护套件许可，支持本地自动快照、本地克隆技术，实现数据逻辑故障保护；磁盘阵列内置I/O数据拆分功能，结合连续数据保护装置支持连续数据保护功能，能实现IO级别恢复粒度，能够提供无限恢复点</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虚拟化数据保护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支持VMware虚拟机连续数据保护功能，内置VMware平台I/O数据拆分器，支持数据块级别以及Vmware虚拟机级别持续数据保护，可以轻松完成任意时间点的数据回滚</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数据分层功能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配置数据自动分层功能许可，可支持SSD、SAS、NL-SAS三层分层架构，根据数据的活动状况，自动将热点数据调整到高速磁盘上，将非热点数据调整到低速磁盘上；可设置迁移策略和迁移时间，迁移过程对主机透明，无需停机</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兼容性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本次投标存储需与原有在用存储实现存储底层复制（同步和异步），实现存储级容灾，保证业务连续性</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数据管理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支持快照、压缩、重复数据消除、复制，卷镜像等功能必须能同时使用于一个LUN，不受限制</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rPr>
              <w:t>文件系统功能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配置NAS功能，支持≥1500文件系统，单个文件系统容量≥256TB，可动态收缩和扩展，支持IP多租户逻辑分割</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行为追溯功能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配置存储客户端操作记录追溯功能许可20个，具有文本日志生成功能，针对所有操作形成文本日志，方便检索。包括</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所使用的软件,远程系统,商务软件和没有内部日志记录功能的软件；支持用户特殊操作行为识别，能够记录用户是否进行了复制、删除、USB设备使用或打印机，并支持文本查询和视频回放</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提供证明材料</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多路径支持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支持设备多路径软件，实现对主机的多通道路径访问以及对应用透明的自动故障通道切换及负载均衡，具备在SAN环境中的负载均衡功能</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rPr>
              <w:t>云就绪</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支持多云环境数据知道分层和数据归档，支持云基础架构管理平台，提供存储监控、分析，预测和全面的健康评分</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26.</w:t>
            </w:r>
            <w:r>
              <w:rPr>
                <w:rFonts w:hint="eastAsia" w:ascii="宋体" w:hAnsi="宋体" w:eastAsia="宋体" w:cs="宋体"/>
                <w:color w:val="auto"/>
                <w:sz w:val="21"/>
                <w:szCs w:val="21"/>
                <w:highlight w:val="none"/>
              </w:rPr>
              <w:t>云原生支持功能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支持在存储中快速部署企业级容器集群功能，支持客户的云原生应用部署，提供容器平台的集中应用和平台日志管理和运维监控功能</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提供证明材料</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w:t>
            </w:r>
          </w:p>
        </w:tc>
        <w:tc>
          <w:tcPr>
            <w:tcW w:w="1810"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存储光纤交换机</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套</w:t>
            </w:r>
          </w:p>
        </w:tc>
        <w:tc>
          <w:tcPr>
            <w:tcW w:w="6269" w:type="dxa"/>
            <w:vAlign w:val="center"/>
          </w:tcPr>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端口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单台光纤交换机最大支持≥48个端口，最大可支持32G,本次激活24端口，配置20个16Gb/s短波SFP，4个32Gb/s短波SFP</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光纤交换机架构为无阻塞，全线速单个端口最大32Gbps</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带宽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要求整机吞吐容量不低于2 Tb/s</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电源</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配置双电源模块及本地标准电源线</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可管理性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支持Web和Console方式的设备管理，提供集成化、图形化管理工具</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中标后</w:t>
            </w:r>
            <w:r>
              <w:rPr>
                <w:rFonts w:hint="eastAsia" w:ascii="宋体" w:hAnsi="宋体" w:eastAsia="宋体" w:cs="宋体"/>
                <w:color w:val="auto"/>
                <w:sz w:val="21"/>
                <w:szCs w:val="21"/>
                <w:highlight w:val="none"/>
                <w:lang w:val="en-US" w:eastAsia="zh-CN"/>
              </w:rPr>
              <w:t>须</w:t>
            </w:r>
            <w:r>
              <w:rPr>
                <w:rFonts w:hint="eastAsia" w:ascii="宋体" w:hAnsi="宋体" w:eastAsia="宋体" w:cs="宋体"/>
                <w:color w:val="auto"/>
                <w:sz w:val="21"/>
                <w:szCs w:val="21"/>
                <w:highlight w:val="none"/>
              </w:rPr>
              <w:t>提供所涉及产品原厂商针对本项目专项授权和原厂盖章的服务承诺函。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1810" w:type="dxa"/>
            <w:vAlign w:val="center"/>
          </w:tcPr>
          <w:p>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统一身份认证（核心产品）</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套</w:t>
            </w:r>
          </w:p>
        </w:tc>
        <w:tc>
          <w:tcPr>
            <w:tcW w:w="6269" w:type="dxa"/>
            <w:vAlign w:val="center"/>
          </w:tcPr>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支持配置账户安全策略，包括但不限于锁定账号、自动锁定条件、自动解锁条件，配置指定账号的解锁条件等</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提供证明材料</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入口授权管理能力：支持根据不同的授权对象如本科生、研究生、博士生、老师对指定应用系统进行授权。支持应用授权管理，对已经授权的应用定义授权对象和授权功能。授权对象包含但不限于组织、人员类型、身份标签、指定用户。支持设置已授权应用下的功能或行为</w:t>
            </w:r>
            <w:r>
              <w:rPr>
                <w:rFonts w:hint="eastAsia" w:ascii="宋体" w:hAnsi="宋体" w:eastAsia="宋体" w:cs="宋体"/>
                <w:color w:val="auto"/>
                <w:sz w:val="21"/>
                <w:szCs w:val="21"/>
                <w:highlight w:val="none"/>
                <w:lang w:eastAsia="zh-CN"/>
              </w:rPr>
              <w:t>；</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支持可视化管理授权，平台支持功能授权矩阵和数据授权矩阵展示，支持通过授权对象进行筛选</w:t>
            </w:r>
            <w:r>
              <w:rPr>
                <w:rFonts w:hint="eastAsia" w:ascii="宋体" w:hAnsi="宋体" w:eastAsia="宋体" w:cs="宋体"/>
                <w:b/>
                <w:color w:val="auto"/>
                <w:kern w:val="2"/>
                <w:sz w:val="21"/>
                <w:szCs w:val="21"/>
                <w:lang w:val="en-US" w:eastAsia="zh-CN" w:bidi="ar"/>
              </w:rPr>
              <w:t>（提供证明材料）；</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支持设置灵活的单点登录认证方式，包含但不限于账号（工号/学号/邮箱/手机）、微信扫码、企业微信、钉钉认证、短信动态码、人脸认证、ISNI登录等方式；</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图形化可视化的应用/接口访问管理：支持一键启用或禁用单点登录配置、认证API调用配置、应用角色配置、数据转换配置等，支持数据对外同步图形化配置</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提供灵活的多因子认证功能，包含但不限于学校账号（工号/学号/邮箱/手机）、微信扫码、企业微信、钉钉认证、短信动态码、人脸认证、ISNI登录等任一组合方式，支持设置两种或两种以上认证方式同时认证生效实现认证，无需定制化开发即可实现</w:t>
            </w:r>
            <w:r>
              <w:rPr>
                <w:rFonts w:hint="eastAsia" w:ascii="宋体" w:hAnsi="宋体" w:eastAsia="宋体" w:cs="宋体"/>
                <w:b/>
                <w:color w:val="auto"/>
                <w:kern w:val="2"/>
                <w:sz w:val="21"/>
                <w:szCs w:val="21"/>
                <w:lang w:val="en-US" w:eastAsia="zh-CN" w:bidi="ar"/>
              </w:rPr>
              <w:t>（提供证明材料）；</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支持LDAP数据同步，支持一键启用或禁用数据同步服务，支持一键全部覆盖</w:t>
            </w:r>
            <w:r>
              <w:rPr>
                <w:rFonts w:hint="eastAsia" w:ascii="宋体" w:hAnsi="宋体" w:eastAsia="宋体" w:cs="宋体"/>
                <w:b/>
                <w:color w:val="auto"/>
                <w:kern w:val="2"/>
                <w:sz w:val="21"/>
                <w:szCs w:val="21"/>
                <w:lang w:val="en-US" w:eastAsia="zh-CN" w:bidi="ar"/>
              </w:rPr>
              <w:t>（提供证明材料）；</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支持不同应用可以配置调用不同的认证API，能够配置选择认证后获取用户信息配置，支持图形化配置认证后获取用户的信息配置</w:t>
            </w:r>
            <w:r>
              <w:rPr>
                <w:rFonts w:hint="eastAsia" w:ascii="宋体" w:hAnsi="宋体" w:eastAsia="宋体" w:cs="宋体"/>
                <w:color w:val="auto"/>
                <w:sz w:val="21"/>
                <w:szCs w:val="21"/>
                <w:highlight w:val="none"/>
                <w:lang w:eastAsia="zh-CN"/>
              </w:rPr>
              <w:t>；</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支持图形化配置委托鉴权服务功能，即将对外提供服务的接口、数据结构、功能资源列表注册上来，即可使用平台鉴权服务</w:t>
            </w:r>
            <w:r>
              <w:rPr>
                <w:rFonts w:hint="eastAsia" w:ascii="宋体" w:hAnsi="宋体" w:eastAsia="宋体" w:cs="宋体"/>
                <w:b/>
                <w:color w:val="auto"/>
                <w:kern w:val="2"/>
                <w:sz w:val="21"/>
                <w:szCs w:val="21"/>
                <w:lang w:val="en-US" w:eastAsia="zh-CN" w:bidi="ar"/>
              </w:rPr>
              <w:t>（提供证明材料）；</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支持图形化配置应用所需使用的外部资源，支持配置使用时效、资源服务与接口资源</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支持图形化配置应用是否开启人脸服务配置，支持配置图片处理算法厂商与在线对比算法厂商为不同品牌厂商，支持设置照片对比阈值，支持设置同步照片水印</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支持多个采集源配置：不同用户的身份类型都能够支持一数一源，用户的不同属性能够从不同的应用同步</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支持图形化配置应用角色配置；配置用户与应用内角色之间的关系，让用户在访问应用时，应用能自动准确地匹配到对应用户角色功能权限</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支持通过EXCEL表格导入用户信息，按照平台预设规则自动生成组织岗位信息。支持采集或构建学校业务体系的组织架构、岗位体系、工作角色体系及身份标签，可快速找出所需人群，提供身份给其他业务应用快速建设上线，无需人工导入</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支持新建标签匹配规则，包括但不限于规则名称、人员类型、规则配置等，其中规则配置包括所在可已经配置的字段进行筛选，支持通过“与”和“或”规则定义标签，为符合规则的用户自动匹配标签</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支持身份标签补充名单，可以根据组织部门、身份标签、人员类型、岗位、职务职称对人员进行检索，选择人员后，可以将该人员添加至补充名单中</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人员属性扩展能力：支持自然人元数据的管理和扩展。支持内置多种人ID、人状态、人属性，可自定义和扩展身份状态、身份属性，身份属性可设置约束关系、唯一关系，可设置不同值空间类型内容，比如字符串、数值、时间等</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支持身份元数据的管理和扩展，支持新增或设置组织内各种身份类型，组织身份类型可设定代码。支持每种身份类型独立设置对应身份ID、身份状态、身份属性集合；支持设置ID编码策略；支持设置和扩展身份状态、身份属性，身份状态可分不同生涯阶段分类管理，身份属性可设置约束关系、唯一性关系，可设置不同值空间类型内容，比如字符串、数值、时间等</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支持为数据采集指定权威源，可从数据中心、业务系统、应用系统等进行采集，支持建立一数一源规范，同一字段来自多源时，覆盖优先级遵从身份类型优先级；</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支持实时感知人员身份信息变化，身份类型、人员属性字段发生变化后触发执行操作。字段变化包含发生变更、变为指定内容、不再是指定内容等；触发动作包含认证许可、入口授权调整、身份状态变更、广播事件消息、远程调用</w:t>
            </w:r>
            <w:r>
              <w:rPr>
                <w:rFonts w:hint="eastAsia" w:ascii="宋体" w:hAnsi="宋体" w:eastAsia="宋体" w:cs="宋体"/>
                <w:b/>
                <w:color w:val="auto"/>
                <w:kern w:val="2"/>
                <w:sz w:val="21"/>
                <w:szCs w:val="21"/>
                <w:lang w:val="en-US" w:eastAsia="zh-CN" w:bidi="ar"/>
              </w:rPr>
              <w:t>（提供证明材料）；</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21.支持</w:t>
            </w:r>
            <w:r>
              <w:rPr>
                <w:rFonts w:hint="eastAsia" w:ascii="宋体" w:hAnsi="宋体" w:eastAsia="宋体" w:cs="宋体"/>
                <w:color w:val="auto"/>
                <w:sz w:val="21"/>
                <w:szCs w:val="21"/>
                <w:highlight w:val="none"/>
              </w:rPr>
              <w:t>账号激活解决弱密码问题、实名核验服务；</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22.支持</w:t>
            </w:r>
            <w:r>
              <w:rPr>
                <w:rFonts w:hint="eastAsia" w:ascii="宋体" w:hAnsi="宋体" w:eastAsia="宋体" w:cs="宋体"/>
                <w:color w:val="auto"/>
                <w:sz w:val="21"/>
                <w:szCs w:val="21"/>
                <w:highlight w:val="none"/>
              </w:rPr>
              <w:t>对教职工状态变化（如离职）权限一刀切问题改进服务；</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对接钉钉（浙政钉）、企业微信，将组织和用户数据进行规则重构同步到钉钉、企业微信通讯录、浙政钉。建设</w:t>
            </w:r>
            <w:r>
              <w:rPr>
                <w:rFonts w:hint="eastAsia" w:ascii="宋体" w:hAnsi="宋体" w:eastAsia="宋体" w:cs="宋体"/>
                <w:color w:val="auto"/>
                <w:sz w:val="21"/>
                <w:szCs w:val="21"/>
                <w:highlight w:val="none"/>
                <w:lang w:val="en-US" w:eastAsia="zh-CN"/>
              </w:rPr>
              <w:t>升级</w:t>
            </w:r>
            <w:r>
              <w:rPr>
                <w:rFonts w:hint="eastAsia" w:ascii="宋体" w:hAnsi="宋体" w:eastAsia="宋体" w:cs="宋体"/>
                <w:color w:val="auto"/>
                <w:sz w:val="21"/>
                <w:szCs w:val="21"/>
                <w:highlight w:val="none"/>
              </w:rPr>
              <w:t>LDAP服务，支持第三方调用</w:t>
            </w:r>
            <w:r>
              <w:rPr>
                <w:rFonts w:hint="eastAsia" w:ascii="宋体" w:hAnsi="宋体" w:eastAsia="宋体" w:cs="宋体"/>
                <w:color w:val="auto"/>
                <w:sz w:val="21"/>
                <w:szCs w:val="21"/>
                <w:highlight w:val="none"/>
                <w:lang w:eastAsia="zh-CN"/>
              </w:rPr>
              <w:t>；</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具备人员生涯事件管理的能力：</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身份中台可以配置根据人员身份属性字段是否发生变化，发生变化后触发执行操作。字段变化包含发生变更、变为指定内容、不再是指定内容等；触发动作包含认证许可、入口授权调整、身份状态变更、广播事件消息、远程调用；</w:t>
            </w:r>
          </w:p>
          <w:p>
            <w:pPr>
              <w:keepNext w:val="0"/>
              <w:keepLines w:val="0"/>
              <w:widowControl w:val="0"/>
              <w:suppressLineNumbers w:val="0"/>
              <w:adjustRightInd w:val="0"/>
              <w:spacing w:before="0" w:beforeAutospacing="0" w:after="0" w:afterAutospacing="0" w:line="240" w:lineRule="auto"/>
              <w:ind w:left="0" w:right="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身份中台能根据人员各种身份状态下配置应用的访问权限控制，包括允许访问、拦截访问、拦截并跳转指定页面等。</w:t>
            </w:r>
          </w:p>
        </w:tc>
      </w:tr>
    </w:tbl>
    <w:p>
      <w:pPr>
        <w:adjustRightInd w:val="0"/>
        <w:snapToGrid w:val="0"/>
        <w:spacing w:line="288"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4.演示：</w:t>
      </w:r>
    </w:p>
    <w:p>
      <w:pPr>
        <w:adjustRightInd w:val="0"/>
        <w:snapToGrid w:val="0"/>
        <w:spacing w:line="288" w:lineRule="auto"/>
        <w:ind w:firstLine="422" w:firstLineChars="200"/>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▲4.1 供应商演示内容需为真人操作软件录制的视频进行，</w:t>
      </w:r>
      <w:r>
        <w:rPr>
          <w:rFonts w:hint="eastAsia" w:ascii="宋体" w:hAnsi="宋体" w:eastAsia="宋体" w:cs="宋体"/>
          <w:b/>
          <w:color w:val="auto"/>
          <w:sz w:val="21"/>
          <w:szCs w:val="21"/>
          <w:highlight w:val="none"/>
        </w:rPr>
        <w:t>演示</w:t>
      </w:r>
      <w:r>
        <w:rPr>
          <w:rFonts w:hint="eastAsia" w:ascii="宋体" w:hAnsi="宋体" w:eastAsia="宋体" w:cs="Times New Roman"/>
          <w:b/>
          <w:bCs/>
          <w:color w:val="auto"/>
          <w:sz w:val="21"/>
          <w:szCs w:val="21"/>
          <w:highlight w:val="none"/>
        </w:rPr>
        <w:t>以PPT、非真人操作软件录制的视频、图片等视同未演示，投标无效；</w:t>
      </w:r>
    </w:p>
    <w:p>
      <w:pPr>
        <w:adjustRightInd w:val="0"/>
        <w:snapToGrid w:val="0"/>
        <w:spacing w:line="288" w:lineRule="auto"/>
        <w:ind w:firstLine="422" w:firstLineChars="200"/>
        <w:rPr>
          <w:rFonts w:asciiTheme="minorHAnsi" w:hAnsiTheme="minorHAnsi" w:eastAsiaTheme="minorEastAsia" w:cstheme="minorBidi"/>
          <w:color w:val="auto"/>
          <w:sz w:val="21"/>
          <w:szCs w:val="22"/>
          <w:highlight w:val="none"/>
        </w:rPr>
      </w:pPr>
      <w:r>
        <w:rPr>
          <w:rFonts w:hint="eastAsia" w:ascii="宋体" w:hAnsi="宋体" w:eastAsia="宋体" w:cs="Times New Roman"/>
          <w:b/>
          <w:bCs/>
          <w:color w:val="auto"/>
          <w:sz w:val="21"/>
          <w:szCs w:val="21"/>
          <w:highlight w:val="none"/>
        </w:rPr>
        <w:t>4.2 演示内容如下</w:t>
      </w:r>
      <w:r>
        <w:rPr>
          <w:rFonts w:hint="eastAsia" w:ascii="宋体" w:hAnsi="宋体" w:eastAsia="宋体" w:cs="Times New Roman"/>
          <w:b/>
          <w:bCs/>
          <w:color w:val="auto"/>
          <w:sz w:val="21"/>
          <w:szCs w:val="21"/>
          <w:highlight w:val="none"/>
          <w:lang w:eastAsia="zh-CN"/>
        </w:rPr>
        <w:t>（统一身份认证）</w:t>
      </w:r>
      <w:r>
        <w:rPr>
          <w:rFonts w:hint="eastAsia" w:ascii="宋体" w:hAnsi="宋体" w:eastAsia="宋体" w:cs="Times New Roman"/>
          <w:b/>
          <w:bCs/>
          <w:color w:val="auto"/>
          <w:sz w:val="21"/>
          <w:szCs w:val="21"/>
          <w:highlight w:val="none"/>
        </w:rPr>
        <w:t>：</w:t>
      </w:r>
    </w:p>
    <w:p>
      <w:pPr>
        <w:spacing w:line="288"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eastAsia="zh-CN"/>
        </w:rPr>
        <w:t>）入口授权管理能力：支持根据不同的授权对象如本科生、研究生、博士生、老师对指定应用系统进行授权。支持应用授权管理，对已经授权的应用定义授权对象和授权功能。授权对象包含但不限于组织、人员类型、身份标签、指定用户。支持设置已授权应用下的功能或行为。</w:t>
      </w:r>
    </w:p>
    <w:p>
      <w:pPr>
        <w:spacing w:line="288"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）图形化可视化的应用/接口访问管理：支持一键启用或禁用单点登录配置、认证API调用配置、应用角色配置、数据转换配置等，支持数据对外同步图形化配置。</w:t>
      </w:r>
    </w:p>
    <w:p>
      <w:pPr>
        <w:spacing w:line="288"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eastAsia="zh-CN"/>
        </w:rPr>
        <w:t>）支持多个采集源配置：不同用户的身份类型都能够支持一数一源，用户的不同属性能够从不同的应用同步。</w:t>
      </w:r>
    </w:p>
    <w:p>
      <w:pPr>
        <w:spacing w:line="288"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eastAsia="zh-CN"/>
        </w:rPr>
        <w:t>）人员属性扩展能力：支持自然人元数据的管理和扩展。支持内置多种人ID、人状态、人属性，可自定义和扩展身份状态、身份属性，身份属性可设置约束关系、唯一关系，可设置不同值空间类型内容，比如字符串、数值、时间等。</w:t>
      </w:r>
    </w:p>
    <w:p>
      <w:pPr>
        <w:spacing w:line="288" w:lineRule="auto"/>
        <w:ind w:firstLine="420" w:firstLineChars="20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lang w:eastAsia="zh-CN"/>
        </w:rPr>
        <w:t>）具备人员生涯事件管理的能力：1）身份中台可以配置根据人员身份属性字段是否发生变化，发生变化后触发执行操作。字段变化包含发生变更、变为指定内容、不再是指定内容等；触发动作包含认证许可、入口授权调整、身份状态变更、广播事件消息、远程调用；2）身份中台能根据人员各种身份状态下配置应用的访问权限控制，包括允许访问、拦截访问、拦截并跳转指定页面等。</w:t>
      </w:r>
    </w:p>
    <w:p>
      <w:pPr>
        <w:spacing w:line="288" w:lineRule="auto"/>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4.3 演示U盘：</w:t>
      </w:r>
    </w:p>
    <w:p>
      <w:pPr>
        <w:spacing w:line="288" w:lineRule="auto"/>
        <w:ind w:firstLine="420"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（1）根据“电子交易/不见面开评标”原则，供应商需将以上演示及讲解过程录制视频，演示时长不超过10分钟以.mp4格式存储于U盘。</w:t>
      </w:r>
    </w:p>
    <w:p>
      <w:pPr>
        <w:spacing w:line="288" w:lineRule="auto"/>
        <w:ind w:firstLine="420"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（2）演示U盘可以EMS或顺丰邮寄形式在</w:t>
      </w:r>
      <w:r>
        <w:rPr>
          <w:rFonts w:hint="eastAsia" w:ascii="宋体" w:hAnsi="宋体" w:eastAsia="宋体" w:cs="宋体"/>
          <w:bCs/>
          <w:color w:val="auto"/>
          <w:sz w:val="21"/>
          <w:szCs w:val="21"/>
          <w:highlight w:val="none"/>
          <w:lang w:val="en-US" w:eastAsia="zh-CN"/>
        </w:rPr>
        <w:t>响应</w:t>
      </w:r>
      <w:r>
        <w:rPr>
          <w:rFonts w:hint="eastAsia" w:ascii="宋体" w:hAnsi="宋体" w:eastAsia="宋体" w:cs="宋体"/>
          <w:bCs/>
          <w:color w:val="auto"/>
          <w:sz w:val="21"/>
          <w:szCs w:val="21"/>
          <w:highlight w:val="none"/>
        </w:rPr>
        <w:t>截止时间前递交，演示U盘应当密封包装并在包装上标注演示U盘、投标项目名称、</w:t>
      </w:r>
      <w:r>
        <w:rPr>
          <w:rFonts w:hint="eastAsia" w:ascii="宋体" w:hAnsi="宋体" w:eastAsia="宋体" w:cs="宋体"/>
          <w:bCs/>
          <w:color w:val="auto"/>
          <w:sz w:val="21"/>
          <w:szCs w:val="21"/>
          <w:highlight w:val="none"/>
          <w:lang w:val="en-US" w:eastAsia="zh-CN"/>
        </w:rPr>
        <w:t>响应</w:t>
      </w:r>
      <w:r>
        <w:rPr>
          <w:rFonts w:hint="eastAsia" w:ascii="宋体" w:hAnsi="宋体" w:eastAsia="宋体" w:cs="宋体"/>
          <w:bCs/>
          <w:color w:val="auto"/>
          <w:sz w:val="21"/>
          <w:szCs w:val="21"/>
          <w:highlight w:val="none"/>
        </w:rPr>
        <w:t>供应商名称并加盖公章。</w:t>
      </w:r>
    </w:p>
    <w:p>
      <w:pPr>
        <w:adjustRightInd w:val="0"/>
        <w:snapToGrid w:val="0"/>
        <w:spacing w:line="288" w:lineRule="auto"/>
        <w:ind w:firstLine="404" w:firstLineChars="200"/>
        <w:rPr>
          <w:rFonts w:ascii="宋体" w:hAnsi="宋体" w:eastAsia="宋体" w:cs="Times New Roman"/>
          <w:b/>
          <w:bCs/>
          <w:color w:val="auto"/>
          <w:sz w:val="21"/>
          <w:szCs w:val="21"/>
          <w:highlight w:val="none"/>
        </w:rPr>
      </w:pPr>
      <w:r>
        <w:rPr>
          <w:rFonts w:hint="eastAsia" w:ascii="宋体" w:hAnsi="宋体" w:eastAsia="宋体" w:cs="宋体"/>
          <w:bCs/>
          <w:color w:val="auto"/>
          <w:spacing w:val="-4"/>
          <w:sz w:val="21"/>
          <w:szCs w:val="21"/>
          <w:highlight w:val="none"/>
        </w:rPr>
        <w:t>（3）未按</w:t>
      </w:r>
      <w:r>
        <w:rPr>
          <w:rFonts w:hint="eastAsia" w:ascii="宋体" w:hAnsi="宋体" w:eastAsia="宋体" w:cs="宋体"/>
          <w:bCs/>
          <w:color w:val="auto"/>
          <w:spacing w:val="-4"/>
          <w:sz w:val="21"/>
          <w:szCs w:val="21"/>
          <w:highlight w:val="none"/>
          <w:lang w:val="en-US" w:eastAsia="zh-CN"/>
        </w:rPr>
        <w:t>采购</w:t>
      </w:r>
      <w:r>
        <w:rPr>
          <w:rFonts w:hint="eastAsia" w:ascii="宋体" w:hAnsi="宋体" w:eastAsia="宋体" w:cs="宋体"/>
          <w:bCs/>
          <w:color w:val="auto"/>
          <w:spacing w:val="-4"/>
          <w:sz w:val="21"/>
          <w:szCs w:val="21"/>
          <w:highlight w:val="none"/>
        </w:rPr>
        <w:t>文件要求提供演示U盘造成专家无法正常评审的风险由供应商自行承担。</w:t>
      </w:r>
    </w:p>
    <w:p>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杭州电子科技大学信息化软硬件采购</w:t>
            </w:r>
            <w:r>
              <w:rPr>
                <w:rFonts w:hint="eastAsia" w:ascii="宋体" w:hAnsi="宋体" w:eastAsia="宋体"/>
                <w:color w:val="auto"/>
                <w:szCs w:val="21"/>
                <w:highlight w:val="none"/>
              </w:rPr>
              <w:t>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2023年1月</w:t>
            </w:r>
            <w:r>
              <w:rPr>
                <w:rFonts w:hint="default" w:ascii="宋体" w:hAnsi="宋体" w:eastAsia="宋体"/>
                <w:color w:val="auto"/>
                <w:szCs w:val="21"/>
                <w:highlight w:val="none"/>
              </w:rPr>
              <w:t>（含）以后任意一月）</w:t>
            </w:r>
            <w:r>
              <w:rPr>
                <w:rFonts w:hint="eastAsia" w:ascii="宋体" w:hAnsi="宋体" w:eastAsia="宋体"/>
                <w:color w:val="auto"/>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hint="default"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hint="default" w:ascii="宋体" w:hAnsi="宋体" w:eastAsia="宋体"/>
                <w:color w:val="auto"/>
                <w:szCs w:val="21"/>
                <w:highlight w:val="none"/>
                <w:u w:val="singl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3.投标报价是履行合同的最终价格，有关本项目实施所涉及的一切费用均计入报价；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▲5</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default"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8"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8"/>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杭州电子科技大学信息化软硬件采购</w:t>
      </w:r>
      <w:r>
        <w:rPr>
          <w:rFonts w:hint="eastAsia" w:ascii="宋体" w:hAnsi="宋体" w:eastAsia="宋体" w:cs="Times New Roman"/>
          <w:color w:val="auto"/>
          <w:spacing w:val="-6"/>
          <w:szCs w:val="21"/>
          <w:highlight w:val="none"/>
        </w:rPr>
        <w:t>的招标、评标、定标、验收、合同履约、付款等（法律、法规另有规定的，从其规定）。</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39"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39"/>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384"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中标金额（万元）</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100以下</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100-500</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Times New Roman"/>
                <w:color w:val="auto"/>
                <w:szCs w:val="21"/>
                <w:highlight w:val="none"/>
                <w:lang w:val="en-US" w:eastAsia="zh-CN"/>
              </w:rPr>
              <w:t>0.77</w:t>
            </w:r>
          </w:p>
        </w:tc>
      </w:tr>
    </w:tbl>
    <w:p>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2023年1月</w:t>
      </w:r>
      <w:r>
        <w:rPr>
          <w:rFonts w:ascii="宋体" w:hAnsi="宋体" w:eastAsia="宋体" w:cs="Times New Roman"/>
          <w:color w:val="auto"/>
          <w:spacing w:val="-6"/>
          <w:szCs w:val="21"/>
          <w:highlight w:val="none"/>
        </w:rPr>
        <w:t>（含）以后任意一月）；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pPr>
        <w:adjustRightInd w:val="0"/>
        <w:snapToGrid w:val="0"/>
        <w:spacing w:line="288" w:lineRule="auto"/>
        <w:ind w:firstLine="420" w:firstLineChars="200"/>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0"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0"/>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highlight w:val="none"/>
        </w:rPr>
      </w:pPr>
      <w:bookmarkStart w:id="41" w:name="_Hlk92273111"/>
      <w:bookmarkStart w:id="42"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p>
      <w:pPr>
        <w:adjustRightInd w:val="0"/>
        <w:snapToGrid w:val="0"/>
        <w:spacing w:line="288" w:lineRule="auto"/>
        <w:ind w:firstLine="398" w:firstLineChars="200"/>
        <w:jc w:val="left"/>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ascii="宋体" w:hAnsi="宋体" w:eastAsia="宋体" w:cs="Times New Roman"/>
          <w:color w:val="auto"/>
          <w:spacing w:val="-6"/>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2.支持绿色发展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修缮、装修类项目采购建材的，采购人应将绿色建筑和绿色建材性能、指标等作为实质性条件纳入招标文件和合同。</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3.</w:t>
      </w:r>
      <w:r>
        <w:rPr>
          <w:rFonts w:hint="eastAsia" w:ascii="宋体" w:hAnsi="宋体" w:eastAsia="宋体" w:cs="Times New Roman"/>
          <w:b/>
          <w:bCs/>
          <w:color w:val="auto"/>
          <w:spacing w:val="-6"/>
          <w:szCs w:val="21"/>
          <w:highlight w:val="none"/>
        </w:rPr>
        <w:t>支持科技创新</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43" w:name="_Hlk106875293"/>
    </w:p>
    <w:bookmarkEnd w:id="43"/>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4.支持中小企业发展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在政府采购活动中，投标人提供的货物、工程或者服务符合下列情形的，享受中小企业扶持政策：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在货物采购项目中，投标人提供的货物既有中小企业制造货物，也有大型企业制造货物的，不享受中小企业扶持政策。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color w:val="auto"/>
          <w:spacing w:val="-6"/>
          <w:szCs w:val="21"/>
          <w:highlight w:val="none"/>
          <w:lang w:eastAsia="zh-CN"/>
        </w:rPr>
        <w:t>10%</w:t>
      </w:r>
      <w:r>
        <w:rPr>
          <w:rFonts w:ascii="宋体" w:hAnsi="宋体" w:eastAsia="宋体" w:cs="Times New Roman"/>
          <w:color w:val="auto"/>
          <w:spacing w:val="-6"/>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lang w:eastAsia="zh-CN"/>
        </w:rPr>
        <w:t>4%</w:t>
      </w:r>
      <w:r>
        <w:rPr>
          <w:rFonts w:ascii="宋体" w:hAnsi="宋体" w:eastAsia="宋体" w:cs="Times New Roman"/>
          <w:color w:val="auto"/>
          <w:spacing w:val="-6"/>
          <w:szCs w:val="21"/>
          <w:highlight w:val="none"/>
        </w:rPr>
        <w:t>的扣除，用扣除后的价格参加评审。组成联合体或者接受分包的小微企业与联合体内其他企业、分包企业之间存在直接控</w:t>
      </w:r>
      <w:r>
        <w:rPr>
          <w:rFonts w:hint="eastAsia" w:ascii="宋体" w:hAnsi="宋体" w:eastAsia="宋体" w:cs="Times New Roman"/>
          <w:color w:val="auto"/>
          <w:spacing w:val="-6"/>
          <w:szCs w:val="21"/>
          <w:highlight w:val="none"/>
        </w:rPr>
        <w:t>股、管理关系的，不享受价格扣除优惠政策。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中小企业享受扶持政策获得政府采购合同的，小微企业不得将合同分包给大中型企业，中型企业不得将合同分包给大型企业。</w:t>
      </w:r>
      <w:bookmarkEnd w:id="41"/>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除财库</w:t>
      </w:r>
      <w:r>
        <w:rPr>
          <w:rFonts w:ascii="宋体" w:hAnsi="宋体" w:eastAsia="宋体" w:cs="Times New Roman"/>
          <w:color w:val="auto"/>
          <w:spacing w:val="-6"/>
          <w:szCs w:val="21"/>
          <w:highlight w:val="none"/>
        </w:rPr>
        <w:t>《政府采购促进中小企业发展管理办法》</w:t>
      </w:r>
      <w:r>
        <w:rPr>
          <w:rFonts w:hint="eastAsia" w:ascii="宋体" w:hAnsi="宋体" w:eastAsia="宋体" w:cs="Times New Roman"/>
          <w:color w:val="auto"/>
          <w:spacing w:val="-6"/>
          <w:szCs w:val="21"/>
          <w:highlight w:val="none"/>
        </w:rPr>
        <w:t>（财库〔</w:t>
      </w:r>
      <w:r>
        <w:rPr>
          <w:rFonts w:ascii="宋体" w:hAnsi="宋体" w:eastAsia="宋体" w:cs="Times New Roman"/>
          <w:color w:val="auto"/>
          <w:spacing w:val="-6"/>
          <w:szCs w:val="21"/>
          <w:highlight w:val="none"/>
        </w:rPr>
        <w:t>2020〕46号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《关于促进残疾人就业政府采购政策的通知》（财库〔2017〕141号）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《关于政府采购支持监狱企业发展有关问题的通知》（财库[2014]68号）规定企业类型以外的供应商不享受中小企业扶持政策</w:t>
      </w:r>
      <w:r>
        <w:rPr>
          <w:rFonts w:hint="eastAsia" w:ascii="宋体" w:hAnsi="宋体" w:eastAsia="宋体" w:cs="Times New Roman"/>
          <w:color w:val="auto"/>
          <w:spacing w:val="-6"/>
          <w:szCs w:val="21"/>
          <w:highlight w:val="none"/>
        </w:rPr>
        <w:t>。</w:t>
      </w:r>
    </w:p>
    <w:bookmarkEnd w:id="42"/>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4"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44"/>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5" w:name="_Hlk96329183"/>
      <w:r>
        <w:rPr>
          <w:rFonts w:hint="eastAsia" w:ascii="宋体" w:hAnsi="宋体" w:eastAsia="宋体"/>
          <w:color w:val="auto"/>
          <w:spacing w:val="-6"/>
          <w:szCs w:val="21"/>
          <w:highlight w:val="none"/>
        </w:rPr>
        <w:t>加盖公章</w:t>
      </w:r>
      <w:bookmarkEnd w:id="45"/>
      <w:r>
        <w:rPr>
          <w:rFonts w:hint="eastAsia" w:ascii="宋体" w:hAnsi="宋体" w:eastAsia="宋体"/>
          <w:color w:val="auto"/>
          <w:spacing w:val="-6"/>
          <w:szCs w:val="21"/>
          <w:highlight w:val="none"/>
        </w:rPr>
        <w:t>，投标人应写全称。</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highlight w:val="none"/>
        </w:rPr>
      </w:pPr>
      <w:bookmarkStart w:id="46"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6"/>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2.以人民币报价；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3.投标报价是履行合同的最终价格，有关本项目实施所涉及的一切费用均计入报价；</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4.投标文件只允许有一个报价，有选择的报价将不予接受。</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bookmarkStart w:id="47" w:name="_Hlk94018664"/>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47"/>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pPr>
        <w:adjustRightInd w:val="0"/>
        <w:snapToGrid w:val="0"/>
        <w:spacing w:line="288" w:lineRule="auto"/>
        <w:ind w:firstLine="420" w:firstLineChars="200"/>
        <w:rPr>
          <w:rFonts w:ascii="宋体" w:hAnsi="宋体" w:eastAsia="宋体" w:cs="宋体"/>
          <w:color w:val="auto"/>
          <w:szCs w:val="21"/>
          <w:highlight w:val="none"/>
        </w:rPr>
      </w:pPr>
      <w:bookmarkStart w:id="48" w:name="_Hlk94018682"/>
      <w:r>
        <w:rPr>
          <w:rFonts w:hint="eastAsia" w:ascii="宋体" w:hAnsi="宋体" w:eastAsia="宋体" w:cs="宋体"/>
          <w:color w:val="auto"/>
          <w:szCs w:val="21"/>
          <w:highlight w:val="none"/>
        </w:rPr>
        <w:t>未响应招标文件“▲”标记条款要求的，投标无效。</w:t>
      </w:r>
    </w:p>
    <w:bookmarkEnd w:id="48"/>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9"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pPr>
        <w:pStyle w:val="99"/>
        <w:snapToGrid w:val="0"/>
        <w:spacing w:before="0" w:line="288" w:lineRule="auto"/>
        <w:ind w:left="0" w:firstLine="424" w:firstLineChars="201"/>
        <w:rPr>
          <w:rFonts w:ascii="宋体" w:hAnsi="宋体"/>
          <w:color w:val="auto"/>
          <w:szCs w:val="21"/>
          <w:highlight w:val="none"/>
        </w:rPr>
      </w:pPr>
      <w:bookmarkStart w:id="50"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采购机构按照招标文件规定的时间通过电子交易平台组织开标，所有投标人均应当准时在线参加。投标人不足3家的，不得开标。</w:t>
      </w:r>
    </w:p>
    <w:p>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采购人或采购机构依据法律法规和招标文件的规定，对投标人的资格条件进行审查。</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对未通过资格审查的投标人，采购人或采购机构告知其未通过的原因。</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0"/>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pPr>
        <w:adjustRightInd w:val="0"/>
        <w:snapToGrid w:val="0"/>
        <w:spacing w:line="288" w:lineRule="auto"/>
        <w:ind w:firstLine="420" w:firstLineChars="200"/>
        <w:rPr>
          <w:rFonts w:ascii="宋体" w:hAnsi="宋体" w:eastAsia="宋体" w:cs="宋体"/>
          <w:color w:val="auto"/>
          <w:kern w:val="0"/>
          <w:szCs w:val="21"/>
          <w:highlight w:val="none"/>
        </w:rPr>
      </w:pPr>
      <w:bookmarkStart w:id="51"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1"/>
    <w:p>
      <w:pPr>
        <w:adjustRightInd w:val="0"/>
        <w:snapToGrid w:val="0"/>
        <w:spacing w:line="288" w:lineRule="auto"/>
        <w:ind w:firstLine="426" w:firstLineChars="202"/>
        <w:rPr>
          <w:rFonts w:ascii="宋体" w:hAnsi="宋体" w:eastAsia="宋体" w:cs="Arial"/>
          <w:b/>
          <w:color w:val="auto"/>
          <w:kern w:val="0"/>
          <w:szCs w:val="21"/>
          <w:highlight w:val="none"/>
        </w:rPr>
      </w:pPr>
      <w:bookmarkStart w:id="52"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政府采购云平台上传的电子投标（响应）文件报价与政府采购云平台录入报价不一致的，以上传的电子投标（响应）文件报价为准。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评标办法</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本项目评标办法是综合评分法，具体评标内容及评标标准等详见</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第四章：评标方法和评标标准”。</w:t>
      </w:r>
    </w:p>
    <w:p>
      <w:pPr>
        <w:adjustRightInd w:val="0"/>
        <w:snapToGrid w:val="0"/>
        <w:spacing w:line="288" w:lineRule="auto"/>
        <w:ind w:firstLine="424" w:firstLineChars="202"/>
        <w:rPr>
          <w:rFonts w:ascii="宋体" w:hAnsi="宋体" w:eastAsia="宋体" w:cs="Times New Roman"/>
          <w:bCs/>
          <w:color w:val="auto"/>
          <w:spacing w:val="-6"/>
          <w:szCs w:val="21"/>
          <w:highlight w:val="none"/>
        </w:rPr>
      </w:pPr>
      <w:r>
        <w:rPr>
          <w:rFonts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color w:val="auto"/>
          <w:kern w:val="0"/>
          <w:szCs w:val="21"/>
          <w:highlight w:val="none"/>
        </w:rPr>
        <w:t>。本项目推荐</w:t>
      </w:r>
      <w:r>
        <w:rPr>
          <w:rFonts w:hint="eastAsia" w:ascii="宋体" w:hAnsi="宋体" w:eastAsia="宋体" w:cs="Arial"/>
          <w:color w:val="auto"/>
          <w:kern w:val="0"/>
          <w:szCs w:val="21"/>
          <w:highlight w:val="none"/>
          <w:lang w:val="en-US" w:eastAsia="zh-CN"/>
        </w:rPr>
        <w:t>2</w:t>
      </w:r>
      <w:r>
        <w:rPr>
          <w:rFonts w:hint="eastAsia" w:ascii="宋体" w:hAnsi="宋体" w:eastAsia="宋体" w:cs="Arial"/>
          <w:color w:val="auto"/>
          <w:kern w:val="0"/>
          <w:szCs w:val="21"/>
          <w:highlight w:val="none"/>
        </w:rPr>
        <w:t>名中标候选人。</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2"/>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r>
        <w:rPr>
          <w:rFonts w:ascii="宋体" w:hAnsi="宋体" w:eastAsia="宋体" w:cs="Times New Roman"/>
          <w:color w:val="auto"/>
          <w:spacing w:val="-6"/>
          <w:szCs w:val="21"/>
          <w:highlight w:val="none"/>
        </w:rPr>
        <w:t>中标候选人并列的，由采购人确定中标人。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65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7072"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价格分采用低价优先法计算，即满足招标文件要求且投标价格最低的投标报价为评标基准价，其他投标人的价格分按照下列公式计算：</w:t>
            </w:r>
          </w:p>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商务分（</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trPr>
        <w:tc>
          <w:tcPr>
            <w:tcW w:w="1767"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业绩</w:t>
            </w:r>
          </w:p>
        </w:tc>
        <w:tc>
          <w:tcPr>
            <w:tcW w:w="65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7072" w:type="dxa"/>
            <w:vAlign w:val="center"/>
          </w:tcPr>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投标人提供自2020年1月1日以来（以合同签订时间为准）同类合同业绩（以提供的合同扫描件为准）：每提供1份合同业绩得1分，最高得3分。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政策功能</w:t>
            </w:r>
          </w:p>
        </w:tc>
        <w:tc>
          <w:tcPr>
            <w:tcW w:w="654"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072" w:type="dxa"/>
            <w:vAlign w:val="center"/>
          </w:tcPr>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投标产品属于品目清单范围且提供国家确定的认证机构出具的有效的节能产品认证证书（扫描件加盖公章）的得1分；</w:t>
            </w:r>
          </w:p>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投标产品属于品目清单范围且提供国家确定的认证机构出具的有效的环境标志产品认证证书（扫描件加盖公章）的得1分；</w:t>
            </w:r>
          </w:p>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技术分（6</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技术响应程度</w:t>
            </w:r>
          </w:p>
        </w:tc>
        <w:tc>
          <w:tcPr>
            <w:tcW w:w="654" w:type="dxa"/>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25</w:t>
            </w:r>
          </w:p>
        </w:tc>
        <w:tc>
          <w:tcPr>
            <w:tcW w:w="7072" w:type="dxa"/>
            <w:vAlign w:val="center"/>
          </w:tcPr>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客</w:t>
            </w:r>
            <w:r>
              <w:rPr>
                <w:rFonts w:hint="eastAsia" w:ascii="宋体" w:hAnsi="宋体" w:eastAsia="宋体" w:cs="宋体"/>
                <w:color w:val="auto"/>
                <w:sz w:val="21"/>
                <w:szCs w:val="21"/>
                <w:highlight w:val="none"/>
              </w:rPr>
              <w:t>观分】不符合（负偏离）技术要求中标注“▲”条款（不可偏离）的响应无效；</w:t>
            </w:r>
          </w:p>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满足磋商文件明确的全部技术条款要求的该项得满分；</w:t>
            </w:r>
          </w:p>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技术条款低于技术要求（负偏离）的，</w:t>
            </w:r>
            <w:r>
              <w:rPr>
                <w:rFonts w:hint="eastAsia" w:ascii="宋体" w:hAnsi="宋体" w:eastAsia="宋体" w:cs="宋体"/>
                <w:color w:val="auto"/>
                <w:sz w:val="21"/>
                <w:szCs w:val="21"/>
                <w:highlight w:val="none"/>
                <w:lang w:val="en-US" w:eastAsia="zh-CN"/>
              </w:rPr>
              <w:t>标注“★”的</w:t>
            </w:r>
            <w:r>
              <w:rPr>
                <w:rFonts w:hint="eastAsia" w:ascii="宋体" w:hAnsi="宋体" w:eastAsia="宋体" w:cs="宋体"/>
                <w:color w:val="auto"/>
                <w:sz w:val="21"/>
                <w:szCs w:val="21"/>
                <w:highlight w:val="none"/>
              </w:rPr>
              <w:t>每项扣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未标注“★”的每项扣1分</w:t>
            </w:r>
            <w:r>
              <w:rPr>
                <w:rFonts w:hint="eastAsia" w:ascii="宋体" w:hAnsi="宋体" w:eastAsia="宋体" w:cs="宋体"/>
                <w:color w:val="auto"/>
                <w:sz w:val="21"/>
                <w:szCs w:val="21"/>
                <w:highlight w:val="none"/>
              </w:rPr>
              <w:t>；</w:t>
            </w:r>
          </w:p>
          <w:p>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负偏离</w:t>
            </w:r>
            <w:r>
              <w:rPr>
                <w:rFonts w:hint="eastAsia" w:ascii="宋体" w:hAnsi="宋体" w:eastAsia="宋体" w:cs="宋体"/>
                <w:color w:val="auto"/>
                <w:sz w:val="21"/>
                <w:szCs w:val="21"/>
                <w:highlight w:val="none"/>
                <w:lang w:val="en-US" w:eastAsia="zh-CN"/>
              </w:rPr>
              <w:t>扣分25分</w:t>
            </w:r>
            <w:r>
              <w:rPr>
                <w:rFonts w:hint="eastAsia" w:ascii="宋体" w:hAnsi="宋体" w:eastAsia="宋体" w:cs="宋体"/>
                <w:color w:val="auto"/>
                <w:sz w:val="21"/>
                <w:szCs w:val="21"/>
                <w:highlight w:val="none"/>
              </w:rPr>
              <w:t>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
              </w:rPr>
              <w:t>【主观分】GPU应用专用设备1功能满足项目特点和实际需要，功能先进，后续维护成本低（提供产品彩页等技术支持资料，不提供不得分）（评分范围：3，2，1，0）。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【主观分】GPU应用专用设备2功能满足项目特点和实际需要，功能先进，后续维护成本低（提供产品彩页等技术支持资料，不提供不得分）（评分范围：3，2，1，0）。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【主观分】数据中心高性能存储功能满足项目特点和实际需要，功能先进，后续维护成本低（提供产品彩页等技术支持资料，不提供不得分）（评分范围：3，2，1，0）。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【主观分】存储光纤交换机功能满足项目特点和实际需要，功能先进，后续维护成本低（提供产品彩页等技术支持资料，不提供不得分）（评分范围：2，1，0）。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【主观分】统一身份认证功能满足项目特点和实际需要，功能先进，后续维护成本低（提供产品彩页等技术支持资料，不提供不得分）（评分范围：4，3，2，1，0）。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color w:val="auto"/>
                <w:kern w:val="2"/>
                <w:sz w:val="21"/>
                <w:szCs w:val="21"/>
                <w:highlight w:val="none"/>
                <w:lang w:val="en-US" w:eastAsia="zh-CN"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color w:val="auto"/>
                <w:kern w:val="2"/>
                <w:sz w:val="21"/>
                <w:szCs w:val="21"/>
                <w:highlight w:val="none"/>
                <w:lang w:val="en-US" w:eastAsia="zh-CN" w:bidi="ar"/>
              </w:rPr>
              <w:t>2</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【主观分】项目实施计划详细完整，符合项目进度要求，投入人员数量丰富（评分范围：2，1，0）。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color w:val="auto"/>
                <w:kern w:val="2"/>
                <w:sz w:val="21"/>
                <w:szCs w:val="21"/>
                <w:highlight w:val="none"/>
                <w:lang w:val="en-US" w:eastAsia="zh-CN"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color w:val="auto"/>
                <w:kern w:val="2"/>
                <w:sz w:val="21"/>
                <w:szCs w:val="21"/>
                <w:highlight w:val="none"/>
                <w:lang w:val="en-US" w:eastAsia="zh-CN" w:bidi="ar"/>
              </w:rPr>
              <w:t>2</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【主观分】安装、调试方法或方案详细完整，各种措施合理可行，有助于项目实施（评分范围：2，1，0）。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color w:val="auto"/>
                <w:kern w:val="2"/>
                <w:sz w:val="21"/>
                <w:szCs w:val="21"/>
                <w:highlight w:val="none"/>
                <w:lang w:val="en-US" w:eastAsia="zh-CN"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kern w:val="2"/>
                <w:sz w:val="21"/>
                <w:szCs w:val="21"/>
                <w:highlight w:val="none"/>
                <w:lang w:val="en-US" w:eastAsia="zh-CN" w:bidi="ar"/>
              </w:rPr>
              <w:t>2</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【主观分】售后服务方案、售后服务承诺可行，服务承诺落实的保障措施强（评分范围：2，1，0）。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color w:val="auto"/>
                <w:kern w:val="2"/>
                <w:sz w:val="21"/>
                <w:szCs w:val="21"/>
                <w:highlight w:val="none"/>
                <w:lang w:val="en-US" w:eastAsia="zh-CN"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color w:val="auto"/>
                <w:kern w:val="2"/>
                <w:sz w:val="21"/>
                <w:szCs w:val="21"/>
                <w:highlight w:val="none"/>
                <w:lang w:val="en-US" w:eastAsia="zh-CN" w:bidi="ar"/>
              </w:rPr>
              <w:t>2</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【主观分】服务力量和服务保障措施强，培训计划内容、培训范围完整且有针对性（评分范围：2，1，0）。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b/>
                <w:color w:val="auto"/>
                <w:kern w:val="2"/>
                <w:sz w:val="21"/>
                <w:szCs w:val="21"/>
                <w:highlight w:val="none"/>
                <w:lang w:val="en-US" w:eastAsia="zh-CN"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kern w:val="2"/>
                <w:sz w:val="21"/>
                <w:szCs w:val="21"/>
                <w:highlight w:val="none"/>
                <w:lang w:val="en-US" w:eastAsia="zh-CN" w:bidi="ar"/>
              </w:rPr>
              <w:t>2</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
              </w:rPr>
              <w:t>【主观分】质保期满后配件、附件、备品备件的收费标准合理，配件、附件、备品备件的保障措施强</w:t>
            </w:r>
            <w:bookmarkStart w:id="60" w:name="_GoBack"/>
            <w:bookmarkEnd w:id="60"/>
            <w:r>
              <w:rPr>
                <w:rFonts w:hint="eastAsia" w:ascii="宋体" w:hAnsi="宋体" w:eastAsia="宋体" w:cs="宋体"/>
                <w:color w:val="auto"/>
                <w:kern w:val="2"/>
                <w:sz w:val="21"/>
                <w:szCs w:val="21"/>
                <w:highlight w:val="none"/>
                <w:lang w:val="en-US" w:eastAsia="zh-CN" w:bidi="ar"/>
              </w:rPr>
              <w:t>（评分范围：2，1，0）。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color w:val="auto"/>
                <w:kern w:val="2"/>
                <w:sz w:val="21"/>
                <w:szCs w:val="21"/>
                <w:highlight w:val="none"/>
                <w:lang w:val="en-US" w:eastAsia="zh-CN" w:bidi="ar"/>
              </w:rPr>
            </w:pPr>
            <w:r>
              <w:rPr>
                <w:rFonts w:hint="eastAsia" w:ascii="宋体" w:hAnsi="宋体" w:eastAsia="宋体" w:cs="宋体"/>
                <w:b/>
                <w:color w:val="auto"/>
                <w:kern w:val="2"/>
                <w:sz w:val="21"/>
                <w:szCs w:val="21"/>
                <w:highlight w:val="none"/>
                <w:lang w:val="en-US" w:eastAsia="zh-CN" w:bidi="ar"/>
              </w:rPr>
              <w:t>演示</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color w:val="auto"/>
                <w:kern w:val="2"/>
                <w:sz w:val="21"/>
                <w:szCs w:val="21"/>
                <w:highlight w:val="none"/>
                <w:lang w:val="en-US" w:eastAsia="zh-CN" w:bidi="ar"/>
              </w:rPr>
            </w:pPr>
            <w:r>
              <w:rPr>
                <w:rFonts w:hint="eastAsia" w:ascii="宋体" w:hAnsi="宋体" w:eastAsia="宋体" w:cs="宋体"/>
                <w:b/>
                <w:color w:val="auto"/>
                <w:kern w:val="2"/>
                <w:sz w:val="21"/>
                <w:szCs w:val="21"/>
                <w:highlight w:val="none"/>
                <w:lang w:val="en-US" w:eastAsia="zh-CN" w:bidi="ar"/>
              </w:rPr>
              <w:t>15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【主观分】投标人根据招标文件第二章 采购需求“4.演示”的要求提供演示（每项演示评分范围：3，1.5，0）。</w:t>
            </w:r>
          </w:p>
        </w:tc>
      </w:tr>
    </w:tbl>
    <w:p>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w:t>
      </w:r>
      <w:r>
        <w:rPr>
          <w:rFonts w:hint="eastAsia" w:ascii="宋体" w:hAnsi="宋体" w:eastAsia="宋体" w:cs="Times New Roman"/>
          <w:b/>
          <w:color w:val="auto"/>
          <w:szCs w:val="21"/>
          <w:highlight w:val="none"/>
          <w:lang w:eastAsia="zh-CN"/>
        </w:rPr>
        <w:t>10%</w:t>
      </w:r>
      <w:r>
        <w:rPr>
          <w:rFonts w:hint="eastAsia" w:ascii="宋体" w:hAnsi="宋体" w:eastAsia="宋体" w:cs="Times New Roman"/>
          <w:b/>
          <w:color w:val="auto"/>
          <w:szCs w:val="21"/>
          <w:highlight w:val="none"/>
        </w:rPr>
        <w:t>的扣除后计算价格得分。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eastAsia="zh-CN"/>
        </w:rPr>
        <w:t>4%</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ascii="宋体" w:hAnsi="宋体" w:eastAsia="宋体" w:cs="Times New Roman"/>
          <w:b/>
          <w:bCs/>
          <w:color w:val="auto"/>
          <w:spacing w:val="-6"/>
          <w:szCs w:val="21"/>
          <w:highlight w:val="none"/>
        </w:rPr>
      </w:pPr>
      <w:bookmarkStart w:id="53" w:name="_Hlk81817373"/>
      <w:bookmarkStart w:id="54"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54"/>
    <w:p>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jc w:val="center"/>
        <w:rPr>
          <w:rFonts w:ascii="宋体" w:hAnsi="宋体" w:eastAsia="宋体" w:cs="宋体"/>
          <w:b/>
          <w:bCs/>
          <w:color w:val="auto"/>
          <w:sz w:val="21"/>
          <w:szCs w:val="21"/>
          <w:highlight w:val="none"/>
        </w:rPr>
      </w:pPr>
      <w:r>
        <w:rPr>
          <w:rFonts w:hint="eastAsia" w:ascii="宋体" w:hAnsi="宋体" w:eastAsia="宋体" w:cs="宋体"/>
          <w:b/>
          <w:color w:val="auto"/>
          <w:spacing w:val="-6"/>
          <w:sz w:val="21"/>
          <w:szCs w:val="21"/>
          <w:highlight w:val="none"/>
        </w:rPr>
        <w:t>政府采购合同</w:t>
      </w:r>
    </w:p>
    <w:p>
      <w:pPr>
        <w:adjustRightInd w:val="0"/>
        <w:snapToGrid w:val="0"/>
        <w:spacing w:line="288" w:lineRule="auto"/>
        <w:rPr>
          <w:rFonts w:ascii="宋体" w:hAnsi="宋体" w:eastAsia="宋体" w:cs="宋体"/>
          <w:color w:val="auto"/>
          <w:sz w:val="21"/>
          <w:szCs w:val="21"/>
          <w:highlight w:val="none"/>
        </w:rPr>
      </w:pP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采购编号：</w:t>
      </w: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确认书编号：</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甲方（需方）：杭州电子科技大学</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乙方（供方）：</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采购代理机构：浙江求是招标代理有限公司</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签约时间、地点：</w:t>
      </w:r>
      <w:r>
        <w:rPr>
          <w:rFonts w:hint="eastAsia" w:ascii="宋体" w:hAnsi="宋体" w:eastAsia="宋体" w:cs="Times New Roman"/>
          <w:color w:val="auto"/>
          <w:spacing w:val="-6"/>
          <w:sz w:val="21"/>
          <w:szCs w:val="21"/>
          <w:highlight w:val="none"/>
        </w:rPr>
        <w:t>2023</w:t>
      </w:r>
      <w:r>
        <w:rPr>
          <w:rFonts w:hint="eastAsia" w:ascii="宋体" w:hAnsi="宋体" w:eastAsia="宋体" w:cs="宋体"/>
          <w:color w:val="auto"/>
          <w:spacing w:val="-6"/>
          <w:sz w:val="21"/>
          <w:szCs w:val="21"/>
          <w:highlight w:val="none"/>
        </w:rPr>
        <w:t>年</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月</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日，杭州</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 xml:space="preserve"> </w:t>
      </w:r>
    </w:p>
    <w:p>
      <w:pPr>
        <w:snapToGrid w:val="0"/>
        <w:spacing w:line="288" w:lineRule="auto"/>
        <w:ind w:left="-178" w:leftChars="-85"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甲、乙双方根据浙江求是招标代理有限公司关于杭州电子科技大学</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Times New Roman"/>
          <w:color w:val="auto"/>
          <w:spacing w:val="-6"/>
          <w:sz w:val="21"/>
          <w:szCs w:val="21"/>
          <w:highlight w:val="none"/>
          <w:u w:val="single"/>
          <w:lang w:val="en-US" w:eastAsia="zh-CN"/>
        </w:rPr>
        <w:t>信息化软硬件采购</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项目</w:t>
      </w:r>
      <w:r>
        <w:rPr>
          <w:rFonts w:hint="eastAsia" w:ascii="宋体" w:hAnsi="宋体" w:eastAsia="宋体" w:cs="宋体"/>
          <w:color w:val="auto"/>
          <w:spacing w:val="-6"/>
          <w:sz w:val="21"/>
          <w:szCs w:val="21"/>
          <w:highlight w:val="none"/>
          <w:lang w:val="en-US" w:eastAsia="zh-CN"/>
        </w:rPr>
        <w:t>公开招标</w:t>
      </w:r>
      <w:r>
        <w:rPr>
          <w:rFonts w:hint="eastAsia" w:ascii="宋体" w:hAnsi="宋体" w:eastAsia="宋体" w:cs="宋体"/>
          <w:color w:val="auto"/>
          <w:spacing w:val="-6"/>
          <w:sz w:val="21"/>
          <w:szCs w:val="21"/>
          <w:highlight w:val="none"/>
        </w:rPr>
        <w:t>采购的结果，签署本合同。</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第一条：采购标的物清单及合同价格</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178" w:leftChars="85" w:right="0"/>
              <w:jc w:val="center"/>
              <w:rPr>
                <w:rFonts w:hint="default" w:ascii="宋体" w:hAnsi="宋体" w:eastAsia="宋体"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178" w:leftChars="85" w:right="0"/>
              <w:jc w:val="center"/>
              <w:rPr>
                <w:rFonts w:hint="default" w:ascii="宋体" w:hAnsi="宋体" w:eastAsia="宋体"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合同总价（人民币）：</w:t>
            </w:r>
          </w:p>
        </w:tc>
      </w:tr>
    </w:tbl>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注：</w:t>
      </w:r>
      <w:r>
        <w:rPr>
          <w:rFonts w:hint="eastAsia" w:ascii="宋体" w:hAnsi="宋体" w:eastAsia="宋体" w:cs="Times New Roman"/>
          <w:color w:val="auto"/>
          <w:spacing w:val="-6"/>
          <w:sz w:val="21"/>
          <w:szCs w:val="21"/>
          <w:highlight w:val="none"/>
        </w:rPr>
        <w:t>以上合同总价包括将货物运抵甲方指定地点的运费及安装调试、培训等一切费用。</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第二条：质量保证及售后服务</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⑴更换：由乙方承担所发生的全部费用。</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⑵贬值处理：由甲乙双方合议定价。</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3.如在使用过程中发生质量问题，乙方在接到甲方通知后在</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小时内到达甲方现场。</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4.在质保期内，乙方应对货物出现的质量及安全问题负责处理解决并承担一切费用。</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5.</w:t>
      </w:r>
      <w:r>
        <w:rPr>
          <w:rFonts w:hint="eastAsia" w:ascii="宋体" w:hAnsi="宋体" w:eastAsia="宋体" w:cs="宋体"/>
          <w:color w:val="auto"/>
          <w:spacing w:val="-6"/>
          <w:sz w:val="21"/>
          <w:szCs w:val="21"/>
          <w:highlight w:val="none"/>
        </w:rPr>
        <w:t>上述的货物免费保修期为</w:t>
      </w:r>
      <w:r>
        <w:rPr>
          <w:rFonts w:hint="eastAsia" w:ascii="Times New Roman" w:hAnsi="Times New Roman" w:eastAsia="宋体" w:cs="宋体"/>
          <w:color w:val="auto"/>
          <w:spacing w:val="-6"/>
          <w:sz w:val="21"/>
          <w:szCs w:val="21"/>
          <w:highlight w:val="none"/>
        </w:rPr>
        <w:t xml:space="preserve">   年</w:t>
      </w:r>
      <w:r>
        <w:rPr>
          <w:rFonts w:hint="eastAsia" w:ascii="宋体" w:hAnsi="宋体" w:eastAsia="宋体" w:cs="宋体"/>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第三条：技术资料</w:t>
      </w:r>
    </w:p>
    <w:p>
      <w:p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1.乙方应按招标文件规定的时间向甲方提供使用货物的有关技术资料。</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第四条：知识产权</w:t>
      </w:r>
    </w:p>
    <w:p>
      <w:pPr>
        <w:snapToGrid w:val="0"/>
        <w:spacing w:line="288" w:lineRule="auto"/>
        <w:ind w:firstLine="396" w:firstLineChars="200"/>
        <w:rPr>
          <w:rFonts w:hint="eastAsia" w:ascii="宋体" w:hAnsi="宋体" w:eastAsia="宋体" w:cs="Times New Roman"/>
          <w:color w:val="auto"/>
          <w:spacing w:val="-6"/>
          <w:sz w:val="21"/>
          <w:szCs w:val="21"/>
          <w:highlight w:val="none"/>
          <w:lang w:val="en-US" w:eastAsia="zh-CN"/>
        </w:rPr>
      </w:pPr>
      <w:r>
        <w:rPr>
          <w:rFonts w:hint="eastAsia" w:ascii="宋体" w:hAnsi="宋体" w:eastAsia="宋体" w:cs="宋体"/>
          <w:color w:val="auto"/>
          <w:spacing w:val="-6"/>
          <w:sz w:val="21"/>
          <w:szCs w:val="21"/>
          <w:highlight w:val="none"/>
        </w:rPr>
        <w:t>乙方应保证所提供的货物或其任何一部分均不会侵犯任何第三方的知识产权</w:t>
      </w:r>
      <w:r>
        <w:rPr>
          <w:rFonts w:hint="eastAsia" w:ascii="宋体" w:hAnsi="宋体" w:eastAsia="宋体" w:cs="宋体"/>
          <w:color w:val="auto"/>
          <w:spacing w:val="-6"/>
          <w:sz w:val="21"/>
          <w:szCs w:val="21"/>
          <w:highlight w:val="none"/>
          <w:lang w:eastAsia="zh-CN"/>
        </w:rPr>
        <w:t>。</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第五条：交货时间、地点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1.交货时间：</w:t>
      </w:r>
      <w:r>
        <w:rPr>
          <w:rFonts w:hint="eastAsia" w:ascii="宋体" w:hAnsi="宋体" w:eastAsia="宋体" w:cs="Times New Roman"/>
          <w:color w:val="auto"/>
          <w:spacing w:val="-6"/>
          <w:sz w:val="21"/>
          <w:szCs w:val="21"/>
          <w:highlight w:val="none"/>
          <w:lang w:eastAsia="zh-CN"/>
        </w:rPr>
        <w:t>自合同签订之日起15个工作日内交付</w:t>
      </w:r>
      <w:r>
        <w:rPr>
          <w:rFonts w:hint="eastAsia" w:ascii="宋体" w:hAnsi="宋体" w:eastAsia="宋体" w:cs="Times New Roman"/>
          <w:color w:val="auto"/>
          <w:spacing w:val="-6"/>
          <w:sz w:val="21"/>
          <w:szCs w:val="21"/>
          <w:highlight w:val="none"/>
        </w:rPr>
        <w:t>。</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2.交货地点：甲方指定地点。</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 xml:space="preserve">第六条：售后服务 </w:t>
      </w:r>
    </w:p>
    <w:p>
      <w:pPr>
        <w:snapToGrid w:val="0"/>
        <w:spacing w:line="288" w:lineRule="auto"/>
        <w:ind w:right="23" w:rightChars="11" w:firstLine="42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设备自验收合格后起保修</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年。维修响应时间：</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小时以内，电话技术支持；若需上门维修，则</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小时内到达现场并进行维修；</w:t>
      </w:r>
      <w:r>
        <w:rPr>
          <w:rFonts w:hint="eastAsia" w:ascii="宋体" w:hAnsi="宋体" w:eastAsia="宋体" w:cs="宋体"/>
          <w:color w:val="auto"/>
          <w:spacing w:val="-6"/>
          <w:sz w:val="21"/>
          <w:szCs w:val="21"/>
          <w:highlight w:val="none"/>
          <w:lang w:val="en-US" w:eastAsia="zh-CN"/>
        </w:rPr>
        <w:t>不超过</w:t>
      </w:r>
      <w:r>
        <w:rPr>
          <w:rFonts w:hint="eastAsia" w:ascii="宋体" w:hAnsi="宋体" w:eastAsia="宋体" w:cs="宋体"/>
          <w:color w:val="auto"/>
          <w:spacing w:val="-6"/>
          <w:sz w:val="21"/>
          <w:szCs w:val="21"/>
          <w:highlight w:val="none"/>
          <w:u w:val="single"/>
          <w:lang w:val="en-US" w:eastAsia="zh-CN"/>
        </w:rPr>
        <w:t xml:space="preserve">    </w:t>
      </w:r>
      <w:r>
        <w:rPr>
          <w:rFonts w:hint="eastAsia" w:ascii="宋体" w:hAnsi="宋体" w:eastAsia="宋体" w:cs="宋体"/>
          <w:color w:val="auto"/>
          <w:spacing w:val="-6"/>
          <w:sz w:val="21"/>
          <w:szCs w:val="21"/>
          <w:highlight w:val="none"/>
          <w:lang w:val="en-US" w:eastAsia="zh-CN"/>
        </w:rPr>
        <w:t>个工作日解决故障。</w:t>
      </w:r>
      <w:r>
        <w:rPr>
          <w:rFonts w:hint="eastAsia" w:ascii="宋体" w:hAnsi="宋体" w:eastAsia="宋体" w:cs="宋体"/>
          <w:color w:val="auto"/>
          <w:spacing w:val="-6"/>
          <w:sz w:val="21"/>
          <w:szCs w:val="21"/>
          <w:highlight w:val="none"/>
        </w:rPr>
        <w:t>保修期后，乙方继续为甲方服务，仅收取零配件成本费。保修内出现无法排除的故障，乙方需无条件为甲方更换同型号产品。</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第七条：调试与验收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4.对技术复杂的货物，甲方应请国家认可的专业检测机构参与初步验收及最终验收，并由其出具质量检测报告。</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5.验收时乙方必须在现场，验收完毕后作出验收结果报告；验收费用由乙方负责。</w:t>
      </w:r>
    </w:p>
    <w:p>
      <w:pPr>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6.</w:t>
      </w:r>
      <w:r>
        <w:rPr>
          <w:rFonts w:hint="eastAsia" w:ascii="宋体" w:hAnsi="宋体" w:eastAsia="宋体" w:cs="宋体"/>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ascii="宋体" w:hAnsi="宋体" w:eastAsia="宋体" w:cs="Times New Roman"/>
          <w:color w:val="auto"/>
          <w:spacing w:val="-6"/>
          <w:sz w:val="21"/>
          <w:szCs w:val="21"/>
          <w:highlight w:val="none"/>
        </w:rPr>
        <w:t>10％的赔偿金。</w:t>
      </w:r>
    </w:p>
    <w:p>
      <w:pPr>
        <w:snapToGrid w:val="0"/>
        <w:spacing w:line="288" w:lineRule="auto"/>
        <w:rPr>
          <w:rFonts w:ascii="宋体" w:hAnsi="宋体" w:eastAsia="宋体" w:cs="宋体"/>
          <w:b/>
          <w:color w:val="auto"/>
          <w:spacing w:val="-6"/>
          <w:kern w:val="0"/>
          <w:sz w:val="21"/>
          <w:szCs w:val="21"/>
          <w:highlight w:val="none"/>
        </w:rPr>
      </w:pPr>
      <w:r>
        <w:rPr>
          <w:rFonts w:hint="eastAsia" w:ascii="宋体" w:hAnsi="宋体" w:eastAsia="宋体" w:cs="宋体"/>
          <w:b/>
          <w:color w:val="auto"/>
          <w:spacing w:val="-6"/>
          <w:sz w:val="21"/>
          <w:szCs w:val="21"/>
          <w:highlight w:val="none"/>
        </w:rPr>
        <w:t>第八条：货款的支付</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1.履约保证金：</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提交方式：支票、汇票、本票或金融机构、担保机构出具的保函等非现金形式或银行转账。</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注：履约保证金如采用银行转账方式提交，具体转账信息如下：</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收款单位（户名）：杭州电子科技大学</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开户银行：工行高新支行</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银行账号：1202026209008806216</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2.付款方式：</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lang w:eastAsia="zh-CN"/>
        </w:rPr>
        <w:t>（</w:t>
      </w:r>
      <w:r>
        <w:rPr>
          <w:rFonts w:hint="eastAsia" w:ascii="宋体" w:hAnsi="宋体" w:eastAsia="宋体" w:cs="Times New Roman"/>
          <w:bCs/>
          <w:color w:val="auto"/>
          <w:spacing w:val="-6"/>
          <w:sz w:val="21"/>
          <w:szCs w:val="21"/>
          <w:highlight w:val="none"/>
          <w:lang w:val="en-US" w:eastAsia="zh-CN"/>
        </w:rPr>
        <w:t>1</w:t>
      </w:r>
      <w:r>
        <w:rPr>
          <w:rFonts w:hint="eastAsia" w:ascii="宋体" w:hAnsi="宋体" w:eastAsia="宋体" w:cs="Times New Roman"/>
          <w:bCs/>
          <w:color w:val="auto"/>
          <w:spacing w:val="-6"/>
          <w:sz w:val="21"/>
          <w:szCs w:val="21"/>
          <w:highlight w:val="none"/>
          <w:lang w:eastAsia="zh-CN"/>
        </w:rPr>
        <w:t>）</w:t>
      </w:r>
      <w:r>
        <w:rPr>
          <w:rFonts w:hint="eastAsia" w:ascii="宋体" w:hAnsi="宋体" w:eastAsia="宋体" w:cs="Times New Roman"/>
          <w:bCs/>
          <w:color w:val="auto"/>
          <w:spacing w:val="-6"/>
          <w:sz w:val="21"/>
          <w:szCs w:val="21"/>
          <w:highlight w:val="none"/>
        </w:rPr>
        <w:t>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lang w:eastAsia="zh-CN"/>
        </w:rPr>
        <w:t>（</w:t>
      </w:r>
      <w:r>
        <w:rPr>
          <w:rFonts w:hint="eastAsia" w:ascii="宋体" w:hAnsi="宋体" w:eastAsia="宋体" w:cs="Times New Roman"/>
          <w:bCs/>
          <w:color w:val="auto"/>
          <w:spacing w:val="-6"/>
          <w:sz w:val="21"/>
          <w:szCs w:val="21"/>
          <w:highlight w:val="none"/>
          <w:lang w:val="en-US" w:eastAsia="zh-CN"/>
        </w:rPr>
        <w:t>2</w:t>
      </w:r>
      <w:r>
        <w:rPr>
          <w:rFonts w:hint="eastAsia" w:ascii="宋体" w:hAnsi="宋体" w:eastAsia="宋体" w:cs="Times New Roman"/>
          <w:bCs/>
          <w:color w:val="auto"/>
          <w:spacing w:val="-6"/>
          <w:sz w:val="21"/>
          <w:szCs w:val="21"/>
          <w:highlight w:val="none"/>
          <w:lang w:eastAsia="zh-CN"/>
        </w:rPr>
        <w:t>）</w:t>
      </w:r>
      <w:r>
        <w:rPr>
          <w:rFonts w:hint="eastAsia" w:ascii="宋体" w:hAnsi="宋体" w:eastAsia="宋体" w:cs="Times New Roman"/>
          <w:bCs/>
          <w:color w:val="auto"/>
          <w:spacing w:val="-6"/>
          <w:sz w:val="21"/>
          <w:szCs w:val="21"/>
          <w:highlight w:val="none"/>
        </w:rPr>
        <w:t>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lang w:eastAsia="zh-CN"/>
        </w:rPr>
        <w:t>（</w:t>
      </w:r>
      <w:r>
        <w:rPr>
          <w:rFonts w:hint="eastAsia" w:ascii="宋体" w:hAnsi="宋体" w:eastAsia="宋体" w:cs="Times New Roman"/>
          <w:bCs/>
          <w:color w:val="auto"/>
          <w:spacing w:val="-6"/>
          <w:sz w:val="21"/>
          <w:szCs w:val="21"/>
          <w:highlight w:val="none"/>
          <w:lang w:val="en-US" w:eastAsia="zh-CN"/>
        </w:rPr>
        <w:t>3</w:t>
      </w:r>
      <w:r>
        <w:rPr>
          <w:rFonts w:hint="eastAsia" w:ascii="宋体" w:hAnsi="宋体" w:eastAsia="宋体" w:cs="Times New Roman"/>
          <w:bCs/>
          <w:color w:val="auto"/>
          <w:spacing w:val="-6"/>
          <w:sz w:val="21"/>
          <w:szCs w:val="21"/>
          <w:highlight w:val="none"/>
          <w:lang w:eastAsia="zh-CN"/>
        </w:rPr>
        <w:t>）</w:t>
      </w:r>
      <w:r>
        <w:rPr>
          <w:rFonts w:hint="eastAsia" w:ascii="宋体" w:hAnsi="宋体" w:eastAsia="宋体" w:cs="Times New Roman"/>
          <w:bCs/>
          <w:color w:val="auto"/>
          <w:spacing w:val="-6"/>
          <w:sz w:val="21"/>
          <w:szCs w:val="21"/>
          <w:highlight w:val="none"/>
        </w:rPr>
        <w:t>在签订合同时，乙方明确表示无需预付款或者主动要求降低预付款比例的，可降低预付款比例（预付款保函同步调整）。</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lang w:val="en-US" w:eastAsia="zh-CN"/>
        </w:rPr>
        <w:t>（4）</w:t>
      </w:r>
      <w:r>
        <w:rPr>
          <w:rFonts w:hint="eastAsia" w:ascii="宋体" w:hAnsi="宋体" w:eastAsia="宋体" w:cs="Times New Roman"/>
          <w:bCs/>
          <w:color w:val="auto"/>
          <w:spacing w:val="-6"/>
          <w:sz w:val="21"/>
          <w:szCs w:val="21"/>
          <w:highlight w:val="none"/>
        </w:rPr>
        <w:t>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抬头：杭州电子科技大学</w:t>
      </w:r>
    </w:p>
    <w:p>
      <w:pPr>
        <w:snapToGrid w:val="0"/>
        <w:spacing w:line="288" w:lineRule="auto"/>
        <w:ind w:firstLine="396" w:firstLineChars="200"/>
        <w:rPr>
          <w:rFonts w:hint="eastAsia"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税号：12330000470009026T</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地址：杭州市下沙高教园区杭州电子科技大学</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第九条：违约责任</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1.</w:t>
      </w:r>
      <w:r>
        <w:rPr>
          <w:rFonts w:hint="eastAsia" w:ascii="宋体" w:hAnsi="宋体" w:eastAsia="宋体" w:cs="宋体"/>
          <w:color w:val="auto"/>
          <w:spacing w:val="-6"/>
          <w:sz w:val="21"/>
          <w:szCs w:val="21"/>
          <w:highlight w:val="none"/>
        </w:rPr>
        <w:t>乙方逾期履行合同的，自逾期之日起，向甲方每日偿付合同总价千分之五的滞纳金。</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2.</w:t>
      </w:r>
      <w:r>
        <w:rPr>
          <w:rFonts w:hint="eastAsia" w:ascii="宋体" w:hAnsi="宋体" w:eastAsia="宋体" w:cs="宋体"/>
          <w:color w:val="auto"/>
          <w:spacing w:val="-6"/>
          <w:sz w:val="21"/>
          <w:szCs w:val="21"/>
          <w:highlight w:val="none"/>
        </w:rPr>
        <w:t>甲方逾期支付货款的，自逾期之日起，向乙方每日偿付未付价款千分之五的滞纳金。</w:t>
      </w:r>
    </w:p>
    <w:p>
      <w:pPr>
        <w:numPr>
          <w:ilvl w:val="0"/>
          <w:numId w:val="0"/>
        </w:numPr>
        <w:tabs>
          <w:tab w:val="left" w:pos="0"/>
        </w:tabs>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3.</w:t>
      </w:r>
      <w:r>
        <w:rPr>
          <w:rFonts w:hint="eastAsia" w:ascii="宋体" w:hAnsi="宋体" w:eastAsia="宋体" w:cs="宋体"/>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color w:val="auto"/>
          <w:spacing w:val="-6"/>
          <w:sz w:val="21"/>
          <w:szCs w:val="21"/>
          <w:highlight w:val="none"/>
        </w:rPr>
        <w:t>20％作为违约赔偿金。</w:t>
      </w:r>
    </w:p>
    <w:p>
      <w:pPr>
        <w:numPr>
          <w:ilvl w:val="0"/>
          <w:numId w:val="0"/>
        </w:num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val="en-US" w:eastAsia="zh-CN"/>
        </w:rPr>
        <w:t>4.</w:t>
      </w:r>
      <w:r>
        <w:rPr>
          <w:rFonts w:hint="eastAsia" w:ascii="宋体" w:hAnsi="宋体" w:eastAsia="宋体" w:cs="宋体"/>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第十条：不可抗力事件处理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3.不可抗力事件延续120天以上，双方应通过友好协商，确定是否继续履行合同。</w:t>
      </w:r>
    </w:p>
    <w:p>
      <w:pPr>
        <w:snapToGrid w:val="0"/>
        <w:spacing w:line="288" w:lineRule="auto"/>
        <w:ind w:right="-514"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第十一条：争议解决</w:t>
      </w:r>
    </w:p>
    <w:p>
      <w:pPr>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14"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第十二条：合同生效</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4.本合同未尽事宜，遵照《民法典》有关条文执行。</w:t>
      </w:r>
    </w:p>
    <w:p>
      <w:pPr>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lang w:bidi="ar"/>
        </w:rPr>
        <w:t>5.本合同一式五份，乙方、采购代理机构各执壹份，甲方执叁份。</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签约时间：    年   月   日</w:t>
            </w:r>
          </w:p>
        </w:tc>
      </w:tr>
    </w:tbl>
    <w:p>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w:t>
      </w:r>
      <w:r>
        <w:rPr>
          <w:rFonts w:ascii="宋体" w:hAnsi="宋体" w:eastAsia="宋体" w:cs="宋体"/>
          <w:bCs/>
          <w:color w:val="auto"/>
          <w:spacing w:val="-6"/>
          <w:szCs w:val="21"/>
          <w:highlight w:val="none"/>
        </w:rPr>
        <w:t>1）</w:t>
      </w: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w:t>
      </w:r>
      <w:r>
        <w:rPr>
          <w:rFonts w:hint="eastAsia" w:ascii="宋体" w:hAnsi="宋体" w:eastAsia="宋体" w:cs="宋体"/>
          <w:bCs/>
          <w:color w:val="auto"/>
          <w:spacing w:val="-6"/>
          <w:szCs w:val="21"/>
          <w:highlight w:val="none"/>
        </w:rPr>
        <w:t>材料</w:t>
      </w:r>
      <w:r>
        <w:rPr>
          <w:rFonts w:ascii="宋体" w:hAnsi="宋体" w:eastAsia="宋体" w:cs="宋体"/>
          <w:bCs/>
          <w:color w:val="auto"/>
          <w:spacing w:val="-6"/>
          <w:szCs w:val="21"/>
          <w:highlight w:val="none"/>
        </w:rPr>
        <w:t>。</w:t>
      </w:r>
    </w:p>
    <w:p>
      <w:pPr>
        <w:adjustRightInd w:val="0"/>
        <w:snapToGrid w:val="0"/>
        <w:spacing w:line="288" w:lineRule="auto"/>
        <w:jc w:val="left"/>
        <w:rPr>
          <w:rFonts w:ascii="宋体" w:hAnsi="宋体" w:eastAsia="宋体" w:cs="宋体"/>
          <w:b/>
          <w:color w:val="auto"/>
          <w:spacing w:val="-6"/>
          <w:szCs w:val="21"/>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2023年1月</w:t>
      </w:r>
      <w:r>
        <w:rPr>
          <w:rFonts w:ascii="宋体" w:hAnsi="宋体" w:eastAsia="宋体" w:cs="Times New Roman"/>
          <w:color w:val="auto"/>
          <w:spacing w:val="-6"/>
          <w:szCs w:val="21"/>
          <w:highlight w:val="none"/>
        </w:rPr>
        <w:t>（含）以后任意一月）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货物配置清单</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pPr>
        <w:adjustRightInd w:val="0"/>
        <w:snapToGrid w:val="0"/>
        <w:spacing w:line="288" w:lineRule="auto"/>
        <w:jc w:val="left"/>
        <w:rPr>
          <w:rFonts w:ascii="宋体" w:hAnsi="宋体" w:eastAsia="宋体" w:cs="Times New Roman"/>
          <w:b/>
          <w:color w:val="auto"/>
          <w:spacing w:val="-6"/>
          <w:szCs w:val="21"/>
          <w:highlight w:val="none"/>
        </w:rPr>
      </w:pP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）中小企业声明函</w:t>
      </w:r>
      <w:bookmarkStart w:id="55" w:name="_Hlk81815656"/>
      <w:r>
        <w:rPr>
          <w:rFonts w:hint="eastAsia" w:ascii="宋体" w:hAnsi="宋体" w:eastAsia="宋体" w:cs="Times New Roman"/>
          <w:color w:val="auto"/>
          <w:spacing w:val="-6"/>
          <w:szCs w:val="21"/>
          <w:highlight w:val="none"/>
        </w:rPr>
        <w:t>（若属于中小企业）</w:t>
      </w:r>
      <w:bookmarkEnd w:id="55"/>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）属于监狱企业的证明文件</w:t>
      </w:r>
      <w:bookmarkStart w:id="56" w:name="_Hlk81815359"/>
      <w:r>
        <w:rPr>
          <w:rFonts w:hint="eastAsia" w:ascii="宋体" w:hAnsi="宋体" w:eastAsia="宋体" w:cs="Times New Roman"/>
          <w:color w:val="auto"/>
          <w:spacing w:val="-6"/>
          <w:szCs w:val="21"/>
          <w:highlight w:val="none"/>
        </w:rPr>
        <w:t>（若属于监狱企业）</w:t>
      </w:r>
      <w:bookmarkEnd w:id="56"/>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w:t>
      </w:r>
      <w:bookmarkStart w:id="57" w:name="OLE_LINK13"/>
      <w:bookmarkStart w:id="58" w:name="OLE_LINK14"/>
      <w:r>
        <w:rPr>
          <w:rFonts w:hint="eastAsia" w:ascii="宋体" w:hAnsi="宋体" w:eastAsia="宋体" w:cs="Times New Roman"/>
          <w:color w:val="auto"/>
          <w:spacing w:val="-6"/>
          <w:szCs w:val="21"/>
          <w:highlight w:val="none"/>
        </w:rPr>
        <w:t>残疾人福利性单位声明函</w:t>
      </w:r>
      <w:bookmarkEnd w:id="57"/>
      <w:bookmarkEnd w:id="58"/>
      <w:bookmarkStart w:id="59" w:name="_Hlk81815372"/>
      <w:r>
        <w:rPr>
          <w:rFonts w:hint="eastAsia" w:ascii="宋体" w:hAnsi="宋体" w:eastAsia="宋体" w:cs="Times New Roman"/>
          <w:color w:val="auto"/>
          <w:spacing w:val="-6"/>
          <w:szCs w:val="21"/>
          <w:highlight w:val="none"/>
        </w:rPr>
        <w:t>（若属于残疾人福利性单位）</w:t>
      </w:r>
      <w:bookmarkEnd w:id="59"/>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pPr>
        <w:adjustRightInd w:val="0"/>
        <w:snapToGrid w:val="0"/>
        <w:spacing w:line="288" w:lineRule="auto"/>
        <w:rPr>
          <w:rFonts w:ascii="宋体" w:hAnsi="宋体" w:eastAsia="宋体" w:cs="Times New Roman"/>
          <w:bCs/>
          <w:color w:val="auto"/>
          <w:spacing w:val="-6"/>
          <w:szCs w:val="21"/>
          <w:highlight w:val="none"/>
        </w:rPr>
      </w:pP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杭州电子科技大学信息化软硬件采购</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QSZB-Z(H)-B23459(GK)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杭州电子科技大学信息化软硬件采购</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QSZB-Z(H)-B23459(GK)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2023年1月</w:t>
      </w:r>
      <w:r>
        <w:rPr>
          <w:rFonts w:hint="eastAsia" w:ascii="宋体" w:hAnsi="宋体" w:eastAsia="宋体" w:cs="Times New Roman"/>
          <w:color w:val="auto"/>
          <w:spacing w:val="-6"/>
          <w:szCs w:val="21"/>
          <w:highlight w:val="none"/>
          <w:u w:val="single"/>
        </w:rPr>
        <w:t>（含）以后任意一月）。</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pPr>
        <w:adjustRightInd w:val="0"/>
        <w:snapToGrid w:val="0"/>
        <w:spacing w:line="288" w:lineRule="auto"/>
        <w:rPr>
          <w:rFonts w:ascii="Times New Roman" w:hAnsi="Times New Roman" w:eastAsia="宋体" w:cs="Times New Roman"/>
          <w:color w:val="auto"/>
          <w:szCs w:val="21"/>
          <w:highlight w:val="none"/>
        </w:rPr>
      </w:pPr>
    </w:p>
    <w:p>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2023年1月</w:t>
      </w:r>
      <w:r>
        <w:rPr>
          <w:rFonts w:hint="eastAsia" w:ascii="宋体" w:hAnsi="宋体" w:eastAsia="宋体" w:cs="Times New Roman"/>
          <w:b/>
          <w:bCs/>
          <w:color w:val="auto"/>
          <w:szCs w:val="21"/>
          <w:highlight w:val="none"/>
        </w:rPr>
        <w:t>（含）以后任意一月）</w:t>
      </w:r>
    </w:p>
    <w:p>
      <w:pPr>
        <w:rPr>
          <w:rFonts w:ascii="Times New Roman" w:hAnsi="Times New Roman" w:eastAsia="宋体" w:cs="Times New Roman"/>
          <w:color w:val="auto"/>
          <w:szCs w:val="21"/>
          <w:highlight w:val="none"/>
        </w:rPr>
      </w:pPr>
    </w:p>
    <w:p>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信息化软硬件采购</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QSZB-Z(H)-B23459(GK)</w:t>
      </w: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bl>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）货物配置清单</w:t>
      </w:r>
      <w:r>
        <w:rPr>
          <w:rFonts w:hint="eastAsia" w:ascii="宋体" w:hAnsi="宋体" w:eastAsia="宋体" w:cs="宋体"/>
          <w:color w:val="auto"/>
          <w:spacing w:val="-6"/>
          <w:szCs w:val="21"/>
          <w:highlight w:val="none"/>
        </w:rPr>
        <w:t>（不含报价）</w:t>
      </w:r>
    </w:p>
    <w:p>
      <w:pPr>
        <w:adjustRightInd w:val="0"/>
        <w:snapToGrid w:val="0"/>
        <w:spacing w:line="288" w:lineRule="auto"/>
        <w:rPr>
          <w:rFonts w:ascii="宋体" w:hAnsi="宋体" w:eastAsia="宋体" w:cs="宋体"/>
          <w:color w:val="auto"/>
          <w:spacing w:val="-6"/>
          <w:szCs w:val="21"/>
          <w:highlight w:val="none"/>
        </w:rPr>
      </w:pPr>
    </w:p>
    <w:tbl>
      <w:tblPr>
        <w:tblStyle w:val="23"/>
        <w:tblW w:w="945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105"/>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宋体"/>
          <w:color w:val="auto"/>
          <w:szCs w:val="21"/>
          <w:highlight w:val="none"/>
        </w:rPr>
      </w:pPr>
    </w:p>
    <w:p>
      <w:pPr>
        <w:adjustRightInd w:val="0"/>
        <w:snapToGrid w:val="0"/>
        <w:spacing w:line="288" w:lineRule="auto"/>
        <w:rPr>
          <w:rFonts w:ascii="宋体" w:hAnsi="宋体" w:eastAsia="宋体" w:cs="宋体"/>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pPr>
        <w:adjustRightInd w:val="0"/>
        <w:snapToGrid w:val="0"/>
        <w:spacing w:line="288" w:lineRule="auto"/>
        <w:rPr>
          <w:rFonts w:ascii="宋体" w:hAnsi="宋体" w:eastAsia="宋体" w:cs="宋体"/>
          <w:color w:val="auto"/>
          <w:szCs w:val="21"/>
          <w:highlight w:val="none"/>
        </w:rPr>
      </w:pPr>
    </w:p>
    <w:p>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信息化软硬件采购</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QSZB-Z(H)-B23459(GK)</w:t>
      </w: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color w:val="auto"/>
                <w:spacing w:val="-6"/>
                <w:szCs w:val="21"/>
                <w:highlight w:val="none"/>
              </w:rPr>
              <w:t>说明：▲</w:t>
            </w:r>
            <w:r>
              <w:rPr>
                <w:rFonts w:hint="eastAsia" w:ascii="宋体" w:hAnsi="宋体" w:eastAsia="宋体" w:cs="Times New Roman"/>
                <w:bCs/>
                <w:color w:val="auto"/>
                <w:spacing w:val="-6"/>
                <w:szCs w:val="21"/>
                <w:highlight w:val="none"/>
                <w:lang w:eastAsia="zh-CN"/>
              </w:rPr>
              <w:t>采购人将以合同形式有偿取得货物或服务，不接受投标人给予的赠品、回扣或者与采购无关的其他商品、服务</w:t>
            </w:r>
            <w:r>
              <w:rPr>
                <w:rFonts w:hint="default" w:ascii="宋体" w:hAnsi="宋体" w:eastAsia="宋体" w:cs="Times New Roman"/>
                <w:bCs/>
                <w:color w:val="auto"/>
                <w:spacing w:val="-6"/>
                <w:szCs w:val="21"/>
                <w:highlight w:val="none"/>
              </w:rPr>
              <w:t>。</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adjustRightInd w:val="0"/>
        <w:snapToGrid w:val="0"/>
        <w:spacing w:line="288" w:lineRule="auto"/>
        <w:rPr>
          <w:rFonts w:ascii="宋体" w:hAnsi="宋体" w:eastAsia="宋体" w:cs="Times New Roman"/>
          <w:bCs/>
          <w:color w:val="auto"/>
          <w:spacing w:val="-6"/>
          <w:szCs w:val="21"/>
          <w:highlight w:val="none"/>
        </w:rPr>
      </w:pPr>
      <w:r>
        <w:rPr>
          <w:rFonts w:ascii="宋体" w:hAnsi="宋体" w:eastAsia="宋体" w:cs="Times New Roman"/>
          <w:bCs/>
          <w:color w:val="auto"/>
          <w:spacing w:val="-6"/>
          <w:szCs w:val="21"/>
          <w:highlight w:val="none"/>
        </w:rPr>
        <w:t>1.</w:t>
      </w:r>
      <w:r>
        <w:rPr>
          <w:rFonts w:hint="eastAsia" w:ascii="宋体" w:hAnsi="宋体" w:eastAsia="宋体" w:cs="Times New Roman"/>
          <w:bCs/>
          <w:color w:val="auto"/>
          <w:spacing w:val="-6"/>
          <w:szCs w:val="21"/>
          <w:highlight w:val="none"/>
        </w:rPr>
        <w:t>此表在不改变格式要求的情况下，可自行增行。</w:t>
      </w:r>
    </w:p>
    <w:p>
      <w:pPr>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Cs/>
          <w:color w:val="auto"/>
          <w:spacing w:val="-6"/>
          <w:szCs w:val="21"/>
          <w:highlight w:val="none"/>
        </w:rPr>
        <w:t>2.有关本项目实施所涉及的一切费用均计入报价。</w:t>
      </w:r>
    </w:p>
    <w:p>
      <w:pPr>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pPr>
        <w:adjustRightInd w:val="0"/>
        <w:snapToGrid w:val="0"/>
        <w:spacing w:line="288" w:lineRule="auto"/>
        <w:jc w:val="center"/>
        <w:outlineLvl w:val="2"/>
        <w:rPr>
          <w:rFonts w:ascii="宋体" w:hAnsi="宋体" w:eastAsia="宋体" w:cs="宋体"/>
          <w:b/>
          <w:i w:val="0"/>
          <w:iCs w:val="0"/>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w:t>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中小企业声</w:t>
      </w:r>
      <w:r>
        <w:rPr>
          <w:rFonts w:ascii="宋体" w:hAnsi="宋体" w:eastAsia="宋体" w:cs="宋体"/>
          <w:b/>
          <w:i w:val="0"/>
          <w:iCs w:val="0"/>
          <w:color w:val="auto"/>
          <w:spacing w:val="-6"/>
          <w:szCs w:val="21"/>
          <w:highlight w:val="none"/>
        </w:rPr>
        <w:t>明函（货物）</w:t>
      </w:r>
      <w:r>
        <w:rPr>
          <w:rFonts w:hint="eastAsia" w:ascii="宋体" w:hAnsi="宋体" w:eastAsia="宋体" w:cs="宋体"/>
          <w:b/>
          <w:i w:val="0"/>
          <w:iCs w:val="0"/>
          <w:color w:val="auto"/>
          <w:spacing w:val="-6"/>
          <w:szCs w:val="21"/>
          <w:highlight w:val="none"/>
        </w:rPr>
        <w:t>（若属于中小企业）</w:t>
      </w:r>
    </w:p>
    <w:p>
      <w:pPr>
        <w:adjustRightInd w:val="0"/>
        <w:snapToGrid w:val="0"/>
        <w:spacing w:line="288" w:lineRule="auto"/>
        <w:ind w:firstLine="498" w:firstLineChars="236"/>
        <w:rPr>
          <w:rFonts w:ascii="宋体" w:hAnsi="宋体" w:eastAsia="宋体" w:cs="Times New Roman"/>
          <w:b/>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本公司（联合体）郑重声明，根据《政府采购促进中小企业发展管理办法》（财库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lang w:val="en-US" w:eastAsia="zh-CN"/>
        </w:rPr>
        <w:t>信息化软硬件采购</w:t>
      </w:r>
      <w:r>
        <w:rPr>
          <w:rFonts w:ascii="宋体" w:hAnsi="宋体" w:eastAsia="宋体" w:cs="Times New Roman"/>
          <w:i w:val="0"/>
          <w:iCs w:val="0"/>
          <w:color w:val="auto"/>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1.</w:t>
      </w:r>
      <w:r>
        <w:rPr>
          <w:rFonts w:hint="eastAsia" w:ascii="宋体" w:hAnsi="宋体" w:eastAsia="宋体" w:cs="Times New Roman"/>
          <w:i w:val="0"/>
          <w:iCs w:val="0"/>
          <w:color w:val="auto"/>
          <w:szCs w:val="21"/>
          <w:highlight w:val="none"/>
          <w:u w:val="single"/>
        </w:rPr>
        <w:t>GPU应用专用设备1</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u w:val="single"/>
        </w:rPr>
        <w:t>2.</w:t>
      </w:r>
      <w:r>
        <w:rPr>
          <w:rFonts w:hint="eastAsia" w:ascii="宋体" w:hAnsi="宋体" w:eastAsia="宋体" w:cs="Times New Roman"/>
          <w:i w:val="0"/>
          <w:iCs w:val="0"/>
          <w:color w:val="auto"/>
          <w:szCs w:val="21"/>
          <w:highlight w:val="none"/>
          <w:u w:val="single"/>
        </w:rPr>
        <w:t>GPU应用专用设备</w:t>
      </w:r>
      <w:r>
        <w:rPr>
          <w:rFonts w:hint="eastAsia" w:ascii="宋体" w:hAnsi="宋体" w:eastAsia="宋体" w:cs="Times New Roman"/>
          <w:i w:val="0"/>
          <w:iCs w:val="0"/>
          <w:color w:val="auto"/>
          <w:szCs w:val="21"/>
          <w:highlight w:val="none"/>
          <w:u w:val="single"/>
          <w:lang w:val="en-US" w:eastAsia="zh-CN"/>
        </w:rPr>
        <w:t>2</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3</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数据中心高性能存储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4</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存储光纤交换机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u w:val="single"/>
          <w:lang w:val="en-US" w:eastAsia="zh-CN"/>
        </w:rPr>
        <w:t>5</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统一身份认证</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rPr>
        <w:t>；</w:t>
      </w:r>
    </w:p>
    <w:p>
      <w:pPr>
        <w:adjustRightInd w:val="0"/>
        <w:snapToGrid w:val="0"/>
        <w:spacing w:line="288" w:lineRule="auto"/>
        <w:ind w:firstLine="495" w:firstLineChars="236"/>
        <w:rPr>
          <w:rFonts w:hint="eastAsia" w:ascii="宋体" w:hAnsi="宋体" w:eastAsia="宋体" w:cs="Times New Roman"/>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val="0"/>
          <w:iCs w:val="0"/>
          <w:color w:val="auto"/>
          <w:szCs w:val="21"/>
          <w:highlight w:val="none"/>
        </w:rPr>
        <w:t>以上企业，不属于大企业的分支机构，不</w:t>
      </w:r>
      <w:r>
        <w:rPr>
          <w:rFonts w:ascii="宋体" w:hAnsi="宋体" w:eastAsia="宋体" w:cs="Times New Roman"/>
          <w:color w:val="auto"/>
          <w:szCs w:val="21"/>
          <w:highlight w:val="none"/>
        </w:rPr>
        <w:t>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color w:val="auto"/>
          <w:szCs w:val="21"/>
          <w:highlight w:val="none"/>
        </w:rPr>
      </w:pP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pPr>
        <w:adjustRightInd w:val="0"/>
        <w:snapToGrid w:val="0"/>
        <w:spacing w:line="288" w:lineRule="auto"/>
        <w:ind w:firstLine="495" w:firstLineChars="236"/>
        <w:rPr>
          <w:rFonts w:ascii="宋体" w:hAnsi="宋体" w:eastAsia="宋体" w:cs="Times New Roman"/>
          <w:color w:val="auto"/>
          <w:szCs w:val="21"/>
          <w:highlight w:val="none"/>
        </w:rPr>
      </w:pPr>
    </w:p>
    <w:p>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olor w:val="auto"/>
          <w:highlight w:val="none"/>
          <w:u w:val="single"/>
        </w:rPr>
      </w:pPr>
      <w:r>
        <w:rPr>
          <w:rFonts w:ascii="宋体" w:hAnsi="宋体" w:eastAsia="宋体" w:cs="Times New Roman"/>
          <w:color w:val="auto"/>
          <w:szCs w:val="21"/>
          <w:highlight w:val="none"/>
          <w:u w:val="single"/>
        </w:rPr>
        <w:t>5.</w:t>
      </w:r>
      <w:r>
        <w:rPr>
          <w:rFonts w:hint="eastAsia" w:ascii="宋体" w:hAnsi="宋体" w:eastAsia="宋体" w:cs="Times New Roman"/>
          <w:color w:val="auto"/>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olor w:val="auto"/>
          <w:highlight w:val="none"/>
          <w:u w:val="single"/>
        </w:rPr>
        <w:t>不享受中小企业扶持政策。</w:t>
      </w:r>
    </w:p>
    <w:p>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Times New Roman"/>
          <w:color w:val="auto"/>
          <w:szCs w:val="21"/>
          <w:highlight w:val="none"/>
          <w:u w:val="single"/>
        </w:rPr>
        <w:t>6</w:t>
      </w:r>
      <w:r>
        <w:rPr>
          <w:rFonts w:ascii="宋体" w:hAnsi="宋体" w:eastAsia="宋体" w:cs="Times New Roman"/>
          <w:color w:val="auto"/>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）属于监狱企业的证明文件（若属于监狱企业）</w:t>
      </w:r>
    </w:p>
    <w:p>
      <w:pPr>
        <w:adjustRightInd w:val="0"/>
        <w:snapToGrid w:val="0"/>
        <w:spacing w:line="288" w:lineRule="auto"/>
        <w:rPr>
          <w:rFonts w:ascii="宋体" w:hAnsi="宋体" w:eastAsia="宋体" w:cs="宋体"/>
          <w:color w:val="auto"/>
          <w:kern w:val="0"/>
          <w:szCs w:val="21"/>
          <w:highlight w:val="none"/>
        </w:rPr>
      </w:pPr>
    </w:p>
    <w:p>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）残疾人福利性单位声明函（若属于残疾人福利性单位）</w:t>
      </w:r>
    </w:p>
    <w:p>
      <w:pPr>
        <w:adjustRightInd w:val="0"/>
        <w:snapToGrid w:val="0"/>
        <w:spacing w:line="288" w:lineRule="auto"/>
        <w:rPr>
          <w:rFonts w:ascii="宋体" w:hAnsi="宋体" w:eastAsia="宋体" w:cs="Times New Roman"/>
          <w:b/>
          <w:color w:val="auto"/>
          <w:spacing w:val="6"/>
          <w:szCs w:val="21"/>
          <w:highlight w:val="none"/>
        </w:rPr>
      </w:pP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pPr>
        <w:snapToGrid w:val="0"/>
        <w:spacing w:line="288" w:lineRule="auto"/>
        <w:rPr>
          <w:rFonts w:ascii="宋体" w:hAnsi="宋体" w:eastAsia="宋体" w:cs="仿宋_GB2312"/>
          <w:color w:val="auto"/>
          <w:szCs w:val="21"/>
          <w:highlight w:val="none"/>
          <w:u w:val="single"/>
        </w:rPr>
      </w:pPr>
    </w:p>
    <w:p>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pPr>
        <w:snapToGrid w:val="0"/>
        <w:spacing w:line="288" w:lineRule="auto"/>
        <w:rPr>
          <w:rFonts w:ascii="宋体" w:hAnsi="宋体" w:eastAsia="宋体" w:cs="宋体"/>
          <w:b/>
          <w:bCs/>
          <w:color w:val="auto"/>
          <w:szCs w:val="21"/>
          <w:highlight w:val="none"/>
        </w:rPr>
      </w:pPr>
    </w:p>
    <w:p>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p>
      <w:pPr>
        <w:snapToGrid w:val="0"/>
        <w:spacing w:line="288" w:lineRule="auto"/>
        <w:rPr>
          <w:rFonts w:ascii="宋体" w:hAnsi="宋体" w:eastAsia="宋体" w:cs="宋体"/>
          <w:color w:val="auto"/>
          <w:szCs w:val="21"/>
          <w:highlight w:val="none"/>
        </w:rPr>
      </w:pPr>
      <w:r>
        <w:rPr>
          <w:rFonts w:ascii="宋体" w:hAnsi="宋体" w:eastAsia="宋体" w:cs="Times New Roman"/>
          <w:b/>
          <w:bCs/>
          <w:color w:val="auto"/>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highlight w:val="none"/>
        </w:rPr>
        <w:t xml:space="preserve"> </w:t>
      </w:r>
      <w:r>
        <w:rPr>
          <w:rFonts w:ascii="宋体" w:hAnsi="宋体" w:eastAsia="宋体" w:cs="Times New Roman"/>
          <w:b/>
          <w:bCs/>
          <w:color w:val="auto"/>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w:t>
      </w:r>
      <w:r>
        <w:rPr>
          <w:rFonts w:hint="eastAsia" w:ascii="宋体" w:hAnsi="宋体" w:eastAsia="宋体" w:cs="Arial"/>
          <w:color w:val="auto"/>
          <w:szCs w:val="21"/>
          <w:highlight w:val="none"/>
        </w:rPr>
        <w:t>所有联合体成员各方签署授权书，授权书载明的</w:t>
      </w:r>
      <w:r>
        <w:rPr>
          <w:rFonts w:hint="eastAsia" w:ascii="宋体" w:hAnsi="宋体" w:eastAsia="宋体" w:cs="仿宋_GB2312"/>
          <w:color w:val="auto"/>
          <w:kern w:val="0"/>
          <w:szCs w:val="21"/>
          <w:highlight w:val="none"/>
          <w:lang w:val="zh-CN"/>
        </w:rPr>
        <w:t>授权代表根据招标文件规定及投标内容而对采购人、采购机构所作的任何合法承诺，包括书面澄清及相应等均对联合投标各方产生约束力。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Times New Roman"/>
          <w:b/>
          <w:bCs/>
          <w:color w:val="auto"/>
          <w:szCs w:val="21"/>
          <w:highlight w:val="none"/>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rPr>
          <w:rFonts w:ascii="宋体" w:hAnsi="宋体" w:eastAsia="宋体" w:cs="仿宋_GB2312"/>
          <w:color w:val="auto"/>
          <w:kern w:val="0"/>
          <w:szCs w:val="21"/>
          <w:highlight w:val="none"/>
          <w:lang w:val="zh-CN"/>
        </w:rPr>
      </w:pPr>
    </w:p>
    <w:p>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pPr>
        <w:snapToGrid w:val="0"/>
        <w:spacing w:line="288" w:lineRule="auto"/>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rPr>
          <w:rFonts w:ascii="等线" w:hAnsi="等线" w:eastAsia="等线" w:cs="Times New Roman"/>
          <w:color w:val="auto"/>
          <w:highlight w:val="none"/>
        </w:rPr>
      </w:pPr>
    </w:p>
    <w:p>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Borders>
        <w:top w:val="none" w:sz="0" w:space="0"/>
        <w:left w:val="none" w:sz="0" w:space="0"/>
        <w:bottom w:val="none" w:sz="0" w:space="0"/>
        <w:right w:val="none" w:sz="0" w:space="0"/>
      </w:pgBorders>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5"/>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VjMTA5ZTEzMWU3ZDM4MGMzYWJjYzhiMTJlOWRmOGI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C65389"/>
    <w:rsid w:val="01F81427"/>
    <w:rsid w:val="03F93561"/>
    <w:rsid w:val="05D34727"/>
    <w:rsid w:val="072A642E"/>
    <w:rsid w:val="07DB5C37"/>
    <w:rsid w:val="08931933"/>
    <w:rsid w:val="0AC1325B"/>
    <w:rsid w:val="0B4A1776"/>
    <w:rsid w:val="0C786503"/>
    <w:rsid w:val="0D1A04C9"/>
    <w:rsid w:val="10757130"/>
    <w:rsid w:val="112B34AD"/>
    <w:rsid w:val="11FF5827"/>
    <w:rsid w:val="18090C43"/>
    <w:rsid w:val="18FB5F15"/>
    <w:rsid w:val="1B321622"/>
    <w:rsid w:val="1C042EEC"/>
    <w:rsid w:val="1F9C38D3"/>
    <w:rsid w:val="20767551"/>
    <w:rsid w:val="212705BE"/>
    <w:rsid w:val="21C17F49"/>
    <w:rsid w:val="21DB64E2"/>
    <w:rsid w:val="21F16999"/>
    <w:rsid w:val="221C4C30"/>
    <w:rsid w:val="22A70B6C"/>
    <w:rsid w:val="23C14303"/>
    <w:rsid w:val="23FF4622"/>
    <w:rsid w:val="248028B0"/>
    <w:rsid w:val="27432BC1"/>
    <w:rsid w:val="27F0275A"/>
    <w:rsid w:val="28580092"/>
    <w:rsid w:val="28BC23D4"/>
    <w:rsid w:val="2AA10ED5"/>
    <w:rsid w:val="2ADA0518"/>
    <w:rsid w:val="2C921974"/>
    <w:rsid w:val="2DBE14C9"/>
    <w:rsid w:val="2EEF19CC"/>
    <w:rsid w:val="2F6A64D8"/>
    <w:rsid w:val="30616EA9"/>
    <w:rsid w:val="31A44D82"/>
    <w:rsid w:val="32BE120D"/>
    <w:rsid w:val="330C0EF9"/>
    <w:rsid w:val="33506DE6"/>
    <w:rsid w:val="34004E73"/>
    <w:rsid w:val="35A54CED"/>
    <w:rsid w:val="37534CA7"/>
    <w:rsid w:val="37D824F1"/>
    <w:rsid w:val="3B0C4DFA"/>
    <w:rsid w:val="3C4D26C6"/>
    <w:rsid w:val="3D044EFC"/>
    <w:rsid w:val="3E4C3149"/>
    <w:rsid w:val="3E6946AD"/>
    <w:rsid w:val="3EB60CB3"/>
    <w:rsid w:val="3EC436F9"/>
    <w:rsid w:val="3F740895"/>
    <w:rsid w:val="3FB93DC6"/>
    <w:rsid w:val="402A691C"/>
    <w:rsid w:val="422E66F3"/>
    <w:rsid w:val="4275164D"/>
    <w:rsid w:val="430A3262"/>
    <w:rsid w:val="46A824B9"/>
    <w:rsid w:val="46BB170B"/>
    <w:rsid w:val="47510906"/>
    <w:rsid w:val="495D70F7"/>
    <w:rsid w:val="4A027EA8"/>
    <w:rsid w:val="4B7D5F80"/>
    <w:rsid w:val="4BF40741"/>
    <w:rsid w:val="4C5E019B"/>
    <w:rsid w:val="4F64249F"/>
    <w:rsid w:val="4F6E1200"/>
    <w:rsid w:val="4FEE189E"/>
    <w:rsid w:val="522E0EC5"/>
    <w:rsid w:val="53F038EA"/>
    <w:rsid w:val="54E01333"/>
    <w:rsid w:val="59BA69E3"/>
    <w:rsid w:val="5A661DF4"/>
    <w:rsid w:val="5ACF0178"/>
    <w:rsid w:val="5C3E17F9"/>
    <w:rsid w:val="5C483ABC"/>
    <w:rsid w:val="5D3A6920"/>
    <w:rsid w:val="5D8135CC"/>
    <w:rsid w:val="600446EC"/>
    <w:rsid w:val="600D2EE6"/>
    <w:rsid w:val="621760F6"/>
    <w:rsid w:val="62246B60"/>
    <w:rsid w:val="644F1ACD"/>
    <w:rsid w:val="67060D39"/>
    <w:rsid w:val="67FF1998"/>
    <w:rsid w:val="680D1D99"/>
    <w:rsid w:val="69431270"/>
    <w:rsid w:val="6A7F4F75"/>
    <w:rsid w:val="6ACA16F9"/>
    <w:rsid w:val="6B16774A"/>
    <w:rsid w:val="6ECE2681"/>
    <w:rsid w:val="70447738"/>
    <w:rsid w:val="72340F9C"/>
    <w:rsid w:val="734F1BF5"/>
    <w:rsid w:val="766E065E"/>
    <w:rsid w:val="774152C9"/>
    <w:rsid w:val="77CA35B6"/>
    <w:rsid w:val="793070F8"/>
    <w:rsid w:val="79D825C1"/>
    <w:rsid w:val="7B5D131E"/>
    <w:rsid w:val="7B631EF2"/>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54</Pages>
  <Words>33476</Words>
  <Characters>35682</Characters>
  <Lines>1</Lines>
  <Paragraphs>1</Paragraphs>
  <TotalTime>21</TotalTime>
  <ScaleCrop>false</ScaleCrop>
  <LinksUpToDate>false</LinksUpToDate>
  <CharactersWithSpaces>36593</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浙江求是招标代理有限公司</cp:lastModifiedBy>
  <cp:lastPrinted>2022-10-31T00:58:00Z</cp:lastPrinted>
  <dcterms:modified xsi:type="dcterms:W3CDTF">2023-11-10T05:46:26Z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29563E2E2D0148688123E93ECB430F47_13</vt:lpwstr>
  </property>
</Properties>
</file>