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2D08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2927921C">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hAnsi="宋体" w:cs="宋体"/>
                <w:color w:val="000000"/>
                <w:highlight w:val="none"/>
              </w:rPr>
              <w:t>杭州电子科技大学下沙校区行政楼外立面维修改造工程</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含</w:t>
            </w:r>
            <w:r>
              <w:rPr>
                <w:rFonts w:hint="eastAsia" w:hAnsi="宋体" w:cs="宋体"/>
                <w:color w:val="000000"/>
                <w:szCs w:val="21"/>
                <w:highlight w:val="none"/>
                <w:lang w:val="en-US" w:eastAsia="zh-CN"/>
              </w:rPr>
              <w:t>行政楼外立面玻璃、铝塑板和墙砖清理，外立面涂料重新粉刷，钢构架换新，外立面洗墙灯换新等</w:t>
            </w:r>
            <w:r>
              <w:rPr>
                <w:rFonts w:hint="eastAsia" w:ascii="宋体" w:hAnsi="宋体" w:cs="宋体"/>
                <w:color w:val="000000"/>
                <w:szCs w:val="21"/>
                <w:highlight w:val="none"/>
                <w:lang w:val="en-US" w:eastAsia="zh-CN"/>
              </w:rPr>
              <w:t>。</w:t>
            </w:r>
            <w:r>
              <w:rPr>
                <w:rFonts w:hint="eastAsia" w:ascii="宋体" w:hAnsi="宋体" w:cs="宋体"/>
                <w:color w:val="000000"/>
                <w:szCs w:val="21"/>
                <w:highlight w:val="none"/>
              </w:rPr>
              <w:t>具体内容和工程做法详见施工图及设计说明。</w:t>
            </w:r>
          </w:p>
          <w:p w14:paraId="4C7C8887">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076D6BE2">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5DF873A2">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4C2549CC">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39A69338">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7F794DFB">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D22CF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．《关于印发建设工程工程量计算规范（2013）浙江省补充规定的通知》（浙建站计﹝2013﹞63号）；</w:t>
            </w:r>
          </w:p>
          <w:p w14:paraId="5284039A">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06D8AE18">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．《浙江省建设工程计价规则》（2018版）；</w:t>
            </w:r>
          </w:p>
          <w:p w14:paraId="522F26A0">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8.《关于增值税调整后我省建设工程计价依据增值税税率及有关计价调整的通知》（浙建建发[2019]92号 ）；</w:t>
            </w:r>
          </w:p>
          <w:p w14:paraId="169C2883">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14:paraId="1BABBD15">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10.《省建设厅关于调整建筑工程安全文明施工费的通知》（浙建建发[2022]37号）；</w:t>
            </w:r>
          </w:p>
          <w:p w14:paraId="301A6557">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11.关于贯彻《省建设厅关于调整建筑工程安全文明施工费的通知》的通知（杭建市发[2022]54号）；</w:t>
            </w:r>
          </w:p>
          <w:p w14:paraId="3D49168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．省、市建设行政主管部门以及工程造价管理机构颁发的相关计价办法和计价规定；</w:t>
            </w:r>
          </w:p>
          <w:p w14:paraId="7E7F8293">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．其他与工程项目有关的规范、标准和技术资料；</w:t>
            </w:r>
          </w:p>
          <w:p w14:paraId="4BA02C98">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．施工现场实际情况、工程特点、常规施工方案；</w:t>
            </w:r>
          </w:p>
          <w:p w14:paraId="6D167A2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．业主提供的设计图纸。</w:t>
            </w:r>
          </w:p>
          <w:p w14:paraId="2AA1A398">
            <w:pPr>
              <w:pStyle w:val="4"/>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64E575B9">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647AB02F">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9A54050">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5DC70C7E">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1440EE9B">
            <w:pPr>
              <w:pStyle w:val="4"/>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5.91</w:t>
            </w:r>
            <w:r>
              <w:rPr>
                <w:rFonts w:hint="eastAsia" w:hAnsi="宋体" w:cs="宋体"/>
                <w:color w:val="000000"/>
                <w:highlight w:val="none"/>
              </w:rPr>
              <w:t>%；</w:t>
            </w:r>
          </w:p>
          <w:p w14:paraId="678D9741">
            <w:pPr>
              <w:pStyle w:val="4"/>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安装</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7.35</w:t>
            </w:r>
            <w:r>
              <w:rPr>
                <w:rFonts w:hint="eastAsia" w:hAnsi="宋体" w:cs="宋体"/>
                <w:color w:val="000000"/>
                <w:highlight w:val="none"/>
              </w:rPr>
              <w:t>%；</w:t>
            </w:r>
          </w:p>
          <w:p w14:paraId="171A9CA6">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F2881B0">
            <w:pPr>
              <w:pStyle w:val="4"/>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8.38</w:t>
            </w:r>
            <w:r>
              <w:rPr>
                <w:rFonts w:hint="eastAsia" w:hAnsi="宋体" w:cs="宋体"/>
                <w:color w:val="000000"/>
                <w:highlight w:val="none"/>
              </w:rPr>
              <w:t>%；</w:t>
            </w:r>
          </w:p>
          <w:p w14:paraId="21A3A654">
            <w:pPr>
              <w:pStyle w:val="4"/>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安装</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9.19</w:t>
            </w:r>
            <w:r>
              <w:rPr>
                <w:rFonts w:hint="eastAsia" w:hAnsi="宋体" w:cs="宋体"/>
                <w:color w:val="000000"/>
                <w:highlight w:val="none"/>
              </w:rPr>
              <w:t>%；</w:t>
            </w:r>
          </w:p>
          <w:p w14:paraId="301A6B25">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689C2DC8">
            <w:pPr>
              <w:pStyle w:val="4"/>
              <w:tabs>
                <w:tab w:val="left" w:pos="3330"/>
              </w:tabs>
              <w:spacing w:line="360" w:lineRule="auto"/>
              <w:ind w:firstLine="420" w:firstLineChars="200"/>
              <w:rPr>
                <w:rFonts w:hint="eastAsia" w:hAnsi="宋体" w:cs="宋体"/>
                <w:color w:val="000000"/>
                <w:highlight w:val="none"/>
                <w:lang w:eastAsia="zh-CN"/>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2.28</w:t>
            </w:r>
            <w:r>
              <w:rPr>
                <w:rFonts w:hint="eastAsia" w:hAnsi="宋体" w:cs="宋体"/>
                <w:color w:val="000000"/>
                <w:highlight w:val="none"/>
              </w:rPr>
              <w:t>%</w:t>
            </w:r>
            <w:r>
              <w:rPr>
                <w:rFonts w:hint="eastAsia" w:hAnsi="宋体" w:cs="宋体"/>
                <w:color w:val="000000"/>
                <w:highlight w:val="none"/>
                <w:lang w:eastAsia="zh-CN"/>
              </w:rPr>
              <w:t>；</w:t>
            </w:r>
          </w:p>
          <w:p w14:paraId="1C2228EA">
            <w:pPr>
              <w:pStyle w:val="4"/>
              <w:tabs>
                <w:tab w:val="left" w:pos="3330"/>
              </w:tabs>
              <w:spacing w:line="360" w:lineRule="auto"/>
              <w:ind w:firstLine="420" w:firstLineChars="200"/>
              <w:rPr>
                <w:rFonts w:hint="eastAsia" w:hAnsi="宋体" w:cs="宋体"/>
                <w:color w:val="000000"/>
                <w:highlight w:val="none"/>
                <w:lang w:eastAsia="zh-CN"/>
              </w:rPr>
            </w:pPr>
            <w:r>
              <w:rPr>
                <w:rFonts w:hint="eastAsia" w:hAnsi="宋体" w:cs="宋体"/>
                <w:color w:val="000000"/>
                <w:highlight w:val="none"/>
                <w:lang w:val="en-US" w:eastAsia="zh-CN"/>
              </w:rPr>
              <w:t>安装</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3.26</w:t>
            </w:r>
            <w:r>
              <w:rPr>
                <w:rFonts w:hint="eastAsia" w:hAnsi="宋体" w:cs="宋体"/>
                <w:color w:val="000000"/>
                <w:highlight w:val="none"/>
              </w:rPr>
              <w:t>%；</w:t>
            </w:r>
          </w:p>
          <w:p w14:paraId="7A97E3AC">
            <w:pPr>
              <w:pStyle w:val="4"/>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3EE8DD1A">
            <w:pPr>
              <w:pStyle w:val="4"/>
              <w:spacing w:line="360" w:lineRule="auto"/>
              <w:rPr>
                <w:rFonts w:hint="eastAsia" w:hAnsi="宋体" w:cs="宋体"/>
                <w:color w:val="000000"/>
                <w:highlight w:val="none"/>
              </w:rPr>
            </w:pPr>
            <w:r>
              <w:rPr>
                <w:rFonts w:hint="eastAsia" w:hAnsi="宋体" w:cs="宋体"/>
                <w:color w:val="000000"/>
                <w:highlight w:val="none"/>
                <w:lang w:val="en-US" w:eastAsia="zh-CN"/>
              </w:rPr>
              <w:t>五</w:t>
            </w:r>
            <w:r>
              <w:rPr>
                <w:rFonts w:hint="eastAsia" w:hAnsi="宋体" w:cs="宋体"/>
                <w:color w:val="000000"/>
                <w:highlight w:val="none"/>
              </w:rPr>
              <w:t>、</w:t>
            </w:r>
            <w:r>
              <w:rPr>
                <w:rFonts w:hint="eastAsia" w:hAnsi="宋体" w:cs="宋体"/>
                <w:color w:val="000000"/>
                <w:highlight w:val="none"/>
                <w:lang w:eastAsia="zh-CN"/>
              </w:rPr>
              <w:t>材料</w:t>
            </w:r>
            <w:r>
              <w:rPr>
                <w:rFonts w:hint="eastAsia" w:hAnsi="宋体" w:cs="宋体"/>
                <w:color w:val="000000"/>
                <w:highlight w:val="none"/>
              </w:rPr>
              <w:t>：</w:t>
            </w:r>
          </w:p>
          <w:p w14:paraId="19369E92">
            <w:pPr>
              <w:spacing w:line="400" w:lineRule="exact"/>
              <w:ind w:firstLine="210" w:firstLineChars="100"/>
              <w:rPr>
                <w:rFonts w:hint="eastAsia" w:ascii="宋体" w:hAnsi="宋体"/>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一</w:t>
            </w:r>
            <w:r>
              <w:rPr>
                <w:rFonts w:hint="eastAsia" w:ascii="宋体" w:hAnsi="宋体" w:eastAsia="宋体" w:cs="Times New Roman"/>
                <w:szCs w:val="21"/>
                <w:highlight w:val="none"/>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1B2F0E88">
            <w:pPr>
              <w:spacing w:line="400" w:lineRule="exact"/>
              <w:ind w:firstLine="210" w:firstLineChars="1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二</w:t>
            </w:r>
            <w:r>
              <w:rPr>
                <w:rFonts w:hint="eastAsia" w:ascii="宋体" w:hAnsi="宋体"/>
                <w:szCs w:val="21"/>
                <w:highlight w:val="none"/>
              </w:rPr>
              <w:t>）其他的设备、材料等采购：</w:t>
            </w:r>
          </w:p>
          <w:p w14:paraId="22CFE66C">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highlight w:val="none"/>
                <w:lang w:eastAsia="zh-CN"/>
              </w:rPr>
              <w:t>；</w:t>
            </w:r>
          </w:p>
          <w:p w14:paraId="1C2ABA11">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highlight w:val="none"/>
                <w:lang w:eastAsia="zh-CN"/>
              </w:rPr>
              <w:t>；</w:t>
            </w:r>
          </w:p>
          <w:p w14:paraId="4C98E18D">
            <w:pPr>
              <w:autoSpaceDE w:val="0"/>
              <w:autoSpaceDN w:val="0"/>
              <w:adjustRightInd w:val="0"/>
              <w:spacing w:line="380" w:lineRule="exact"/>
              <w:ind w:firstLine="420" w:firstLineChars="200"/>
              <w:jc w:val="left"/>
              <w:rPr>
                <w:rFonts w:hint="eastAsia"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44BF787F">
            <w:pPr>
              <w:pStyle w:val="4"/>
              <w:spacing w:line="360" w:lineRule="auto"/>
              <w:rPr>
                <w:rFonts w:hint="eastAsia" w:hAnsi="宋体" w:cs="宋体"/>
                <w:color w:val="000000"/>
                <w:highlight w:val="none"/>
                <w:lang w:val="en-US" w:eastAsia="zh-CN"/>
              </w:rPr>
            </w:pPr>
            <w:r>
              <w:rPr>
                <w:rFonts w:hint="eastAsia" w:hAnsi="宋体" w:cs="宋体"/>
                <w:color w:val="000000"/>
                <w:highlight w:val="none"/>
                <w:lang w:val="en-US" w:eastAsia="zh-CN"/>
              </w:rPr>
              <w:t>六、其他说明：</w:t>
            </w:r>
          </w:p>
          <w:p w14:paraId="7BDD0730">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31EC36F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各投标单位需要在相应的子目中综合考虑费用；</w:t>
            </w:r>
          </w:p>
          <w:p w14:paraId="74C357E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措施费中以“项”为单位措施项目均一次性包干，费用由各投标单位根据施工组织设计方案自行考虑报价，应考虑现场的各种风险因素；</w:t>
            </w:r>
          </w:p>
          <w:p w14:paraId="1F74CA9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70F2D790">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highlight w:val="none"/>
                <w:lang w:eastAsia="zh-CN"/>
              </w:rPr>
              <w:t>；</w:t>
            </w:r>
          </w:p>
          <w:p w14:paraId="17F001AA">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2FDDD13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分部分项工程量清单中的工程量是按实物净量计算，一切损耗均应在投标报价内；</w:t>
            </w:r>
          </w:p>
          <w:p w14:paraId="1B6B396E">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8.</w:t>
            </w:r>
            <w:r>
              <w:rPr>
                <w:rFonts w:hint="eastAsia" w:ascii="宋体" w:hAnsi="宋体" w:eastAsia="宋体" w:cs="宋体"/>
                <w:color w:val="000000"/>
                <w:szCs w:val="21"/>
                <w:highlight w:val="none"/>
              </w:rPr>
              <w:t>投标人应充分考虑周边建筑、道路和地下管线设施的保护费用，并考虑在总投标价中</w:t>
            </w:r>
            <w:r>
              <w:rPr>
                <w:rFonts w:hint="eastAsia" w:ascii="宋体" w:hAnsi="宋体" w:eastAsia="宋体" w:cs="宋体"/>
                <w:color w:val="000000"/>
                <w:szCs w:val="21"/>
                <w:highlight w:val="none"/>
                <w:lang w:eastAsia="zh-CN"/>
              </w:rPr>
              <w:t>；</w:t>
            </w:r>
          </w:p>
          <w:p w14:paraId="52B9441F">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9.</w:t>
            </w:r>
            <w:r>
              <w:rPr>
                <w:rFonts w:hint="eastAsia" w:ascii="宋体" w:hAnsi="宋体" w:eastAsia="宋体" w:cs="宋体"/>
                <w:color w:val="000000"/>
                <w:szCs w:val="21"/>
                <w:highlight w:val="none"/>
              </w:rPr>
              <w:t xml:space="preserve">本工程所有的材料的环保等级必须满足国家及地方标准，符合验收相关规范； </w:t>
            </w:r>
          </w:p>
          <w:p w14:paraId="0141D48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10.</w:t>
            </w:r>
            <w:r>
              <w:rPr>
                <w:rFonts w:hint="eastAsia" w:ascii="宋体" w:hAnsi="宋体" w:eastAsia="宋体" w:cs="宋体"/>
                <w:color w:val="000000"/>
                <w:szCs w:val="21"/>
                <w:highlight w:val="none"/>
              </w:rPr>
              <w:t>投标人应充分考虑脚手架等技术措施，相应费用计入技术措施费中，并充分考虑报价风险，今后结算不进行调整；</w:t>
            </w:r>
          </w:p>
          <w:p w14:paraId="05C8DD2B">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w:t>
            </w:r>
            <w:r>
              <w:rPr>
                <w:rFonts w:hint="eastAsia" w:ascii="宋体" w:hAnsi="宋体" w:eastAsia="宋体" w:cs="宋体"/>
                <w:color w:val="000000"/>
                <w:szCs w:val="21"/>
                <w:highlight w:val="none"/>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highlight w:val="none"/>
                <w:lang w:eastAsia="zh-CN"/>
              </w:rPr>
              <w:t>；</w:t>
            </w:r>
          </w:p>
          <w:p w14:paraId="59398F7E">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相关工艺施工前应做的基层清理工作应包含在投标报价中，清单特征描述中不再一一描述；</w:t>
            </w:r>
          </w:p>
          <w:p w14:paraId="7138387D">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本清单项目特征描述不完整时，投标单位应结合施工图及相关规范、规定等进行综合考虑</w:t>
            </w:r>
            <w:r>
              <w:rPr>
                <w:rFonts w:hint="eastAsia" w:ascii="宋体" w:hAnsi="宋体" w:eastAsia="宋体" w:cs="宋体"/>
                <w:color w:val="000000"/>
                <w:szCs w:val="21"/>
                <w:highlight w:val="none"/>
                <w:lang w:eastAsia="zh-CN"/>
              </w:rPr>
              <w:t>；</w:t>
            </w:r>
          </w:p>
          <w:p w14:paraId="7C02FC31">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highlight w:val="none"/>
              </w:rPr>
              <w:t>】32号文件）的要求使用预拌砂浆，投标人应将使用预拌砂浆的费用计入投标报价；</w:t>
            </w:r>
          </w:p>
          <w:p w14:paraId="3CDEF661">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15.本工程砼按《杭州市商品混凝土管理办法 杭州市政府令第115号》文件</w:t>
            </w:r>
            <w:r>
              <w:rPr>
                <w:rFonts w:hint="eastAsia" w:ascii="宋体" w:hAnsi="宋体" w:eastAsia="宋体" w:cs="宋体"/>
                <w:color w:val="000000"/>
                <w:szCs w:val="21"/>
                <w:highlight w:val="none"/>
              </w:rPr>
              <w:t>要求使用</w:t>
            </w:r>
            <w:r>
              <w:rPr>
                <w:rFonts w:hint="eastAsia" w:ascii="宋体" w:hAnsi="宋体" w:eastAsia="宋体" w:cs="宋体"/>
                <w:color w:val="000000"/>
                <w:szCs w:val="21"/>
                <w:highlight w:val="none"/>
                <w:lang w:val="en-US" w:eastAsia="zh-CN"/>
              </w:rPr>
              <w:t>商品混凝土。</w:t>
            </w:r>
          </w:p>
          <w:p w14:paraId="76914803">
            <w:pPr>
              <w:pStyle w:val="4"/>
              <w:spacing w:line="360" w:lineRule="auto"/>
              <w:rPr>
                <w:rFonts w:hint="eastAsia" w:ascii="宋体" w:hAnsi="宋体" w:eastAsia="宋体" w:cs="宋体"/>
                <w:color w:val="000000"/>
                <w:highlight w:val="none"/>
                <w:lang w:val="zh-CN" w:eastAsia="zh-CN"/>
              </w:rPr>
            </w:pPr>
            <w:r>
              <w:rPr>
                <w:rFonts w:hint="eastAsia" w:hAnsi="宋体" w:cs="宋体"/>
                <w:color w:val="000000"/>
                <w:highlight w:val="none"/>
                <w:lang w:val="en-US" w:eastAsia="zh-CN"/>
              </w:rPr>
              <w:t>七</w:t>
            </w:r>
            <w:r>
              <w:rPr>
                <w:rFonts w:hint="eastAsia" w:ascii="宋体" w:hAnsi="宋体" w:eastAsia="宋体" w:cs="宋体"/>
                <w:color w:val="000000"/>
                <w:highlight w:val="none"/>
                <w:lang w:val="zh-CN" w:eastAsia="zh-CN"/>
              </w:rPr>
              <w:t>、其他不详之处，详见国家及地方标准。</w:t>
            </w:r>
          </w:p>
          <w:p w14:paraId="217F4A58">
            <w:pPr>
              <w:tabs>
                <w:tab w:val="left" w:pos="0"/>
              </w:tabs>
              <w:topLinePunct/>
              <w:spacing w:line="360" w:lineRule="auto"/>
              <w:rPr>
                <w:rFonts w:hint="eastAsia"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kern w:val="1"/>
                <w:szCs w:val="21"/>
                <w14:textFill>
                  <w14:solidFill>
                    <w14:schemeClr w14:val="tx1"/>
                  </w14:solidFill>
                </w14:textFill>
              </w:rPr>
              <w:t>品牌推荐表：</w:t>
            </w:r>
          </w:p>
          <w:p w14:paraId="2B53CBE4">
            <w:pPr>
              <w:spacing w:line="360" w:lineRule="auto"/>
              <w:jc w:val="center"/>
              <w:rPr>
                <w:rFonts w:hint="eastAsia" w:ascii="宋体" w:hAnsi="宋体" w:cs="宋体"/>
                <w:color w:val="000000" w:themeColor="text1"/>
                <w:kern w:val="1"/>
                <w:szCs w:val="21"/>
                <w14:textFill>
                  <w14:solidFill>
                    <w14:schemeClr w14:val="tx1"/>
                  </w14:solidFill>
                </w14:textFill>
              </w:rPr>
            </w:pPr>
            <w:r>
              <w:rPr>
                <w:rFonts w:hint="eastAsia" w:ascii="宋体" w:hAnsi="宋体" w:cs="宋体"/>
                <w:color w:val="000000" w:themeColor="text1"/>
                <w:kern w:val="1"/>
                <w:szCs w:val="21"/>
                <w14:textFill>
                  <w14:solidFill>
                    <w14:schemeClr w14:val="tx1"/>
                  </w14:solidFill>
                </w14:textFill>
              </w:rPr>
              <w:t>招标人推荐材料、设备品牌一览表</w:t>
            </w:r>
          </w:p>
          <w:tbl>
            <w:tblPr>
              <w:tblStyle w:val="8"/>
              <w:tblW w:w="8184" w:type="dxa"/>
              <w:tblInd w:w="0" w:type="dxa"/>
              <w:tblLayout w:type="autofit"/>
              <w:tblCellMar>
                <w:top w:w="0" w:type="dxa"/>
                <w:left w:w="108" w:type="dxa"/>
                <w:bottom w:w="0" w:type="dxa"/>
                <w:right w:w="108" w:type="dxa"/>
              </w:tblCellMar>
            </w:tblPr>
            <w:tblGrid>
              <w:gridCol w:w="960"/>
              <w:gridCol w:w="2380"/>
              <w:gridCol w:w="2820"/>
              <w:gridCol w:w="960"/>
              <w:gridCol w:w="1064"/>
            </w:tblGrid>
            <w:tr w14:paraId="3CA07DAA">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1ACF7">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序号</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154FF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材料名称</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A1844">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品牌或产地</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1B881">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等级</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FF17F">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备注</w:t>
                  </w:r>
                </w:p>
              </w:tc>
            </w:tr>
            <w:tr w14:paraId="4AB375A3">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7401A537">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C339A">
                  <w:pPr>
                    <w:widowControl/>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灯具（洗墙灯）</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48845">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名创、佛山、琪朗</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AC7325">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A0F23">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或相当于</w:t>
                  </w:r>
                </w:p>
              </w:tc>
            </w:tr>
            <w:tr w14:paraId="4B457A24">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61B4CE15">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2F84F">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外墙弹性涂料</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CD221">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立邦、嘉宝莉、多乐士</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61754">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9B51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或相当于</w:t>
                  </w:r>
                </w:p>
              </w:tc>
            </w:tr>
            <w:tr w14:paraId="307681C2">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12F74F80">
                  <w:pPr>
                    <w:widowControl/>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2EDEA8">
                  <w:pPr>
                    <w:widowControl/>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金属面油漆</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CB984B">
                  <w:pPr>
                    <w:widowControl/>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立邦、嘉宝莉、多乐士</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CCB46">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C32374">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或相当于</w:t>
                  </w:r>
                </w:p>
              </w:tc>
            </w:tr>
            <w:tr w14:paraId="2D74A4C3">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41D65E74">
                  <w:pPr>
                    <w:widowControl/>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2CC4B">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瓷砖</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8B4A2">
                  <w:pPr>
                    <w:jc w:val="center"/>
                    <w:rPr>
                      <w:rFonts w:hint="default" w:ascii="宋体" w:hAnsi="宋体" w:eastAsia="宋体" w:cs="宋体"/>
                      <w:kern w:val="2"/>
                      <w:sz w:val="21"/>
                      <w:szCs w:val="21"/>
                      <w:lang w:val="en-US" w:eastAsia="zh-CN" w:bidi="ar-SA"/>
                    </w:rPr>
                  </w:pPr>
                  <w:r>
                    <w:rPr>
                      <w:rFonts w:hint="eastAsia" w:ascii="宋体" w:hAnsi="宋体" w:eastAsia="宋体" w:cs="宋体"/>
                      <w:sz w:val="21"/>
                      <w:szCs w:val="21"/>
                    </w:rPr>
                    <w:t>马可波罗、东鹏、冠珠</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085C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932A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0AC908EB">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22FA471E">
                  <w:pPr>
                    <w:widowControl/>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5</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4F3D4">
                  <w:pPr>
                    <w:jc w:val="center"/>
                    <w:rPr>
                      <w:rFonts w:hint="default" w:ascii="宋体" w:hAnsi="宋体" w:cs="宋体"/>
                      <w:sz w:val="21"/>
                      <w:szCs w:val="21"/>
                      <w:lang w:val="en-US" w:eastAsia="zh-CN"/>
                    </w:rPr>
                  </w:pPr>
                  <w:r>
                    <w:rPr>
                      <w:rFonts w:hint="eastAsia" w:ascii="宋体" w:hAnsi="宋体" w:cs="宋体"/>
                      <w:sz w:val="21"/>
                      <w:szCs w:val="21"/>
                      <w:lang w:val="en-US" w:eastAsia="zh-CN"/>
                    </w:rPr>
                    <w:t>铝合金</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C9E00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兴发、凤铝、坚美</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D8BA1E">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19505">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或相当于</w:t>
                  </w:r>
                </w:p>
              </w:tc>
            </w:tr>
            <w:tr w14:paraId="254B43FC">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448039B5">
                  <w:pPr>
                    <w:widowControl/>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1C8B3">
                  <w:pPr>
                    <w:jc w:val="center"/>
                    <w:rPr>
                      <w:rFonts w:hint="default" w:ascii="宋体" w:hAnsi="宋体" w:eastAsia="宋体" w:cs="宋体"/>
                      <w:kern w:val="2"/>
                      <w:sz w:val="21"/>
                      <w:szCs w:val="21"/>
                      <w:lang w:val="en-US" w:eastAsia="zh-CN" w:bidi="ar-SA"/>
                    </w:rPr>
                  </w:pPr>
                  <w:r>
                    <w:rPr>
                      <w:rFonts w:hint="eastAsia" w:ascii="宋体" w:hAnsi="宋体" w:cs="宋体"/>
                      <w:sz w:val="21"/>
                      <w:szCs w:val="21"/>
                      <w:lang w:val="en-US" w:eastAsia="zh-CN"/>
                    </w:rPr>
                    <w:t>人造大理石窗台板</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DDE807">
                  <w:pPr>
                    <w:jc w:val="center"/>
                    <w:rPr>
                      <w:rFonts w:hint="default" w:ascii="宋体" w:hAnsi="宋体" w:eastAsia="宋体" w:cs="宋体"/>
                      <w:kern w:val="2"/>
                      <w:sz w:val="21"/>
                      <w:szCs w:val="21"/>
                      <w:lang w:val="en-US" w:eastAsia="zh-CN" w:bidi="ar-SA"/>
                    </w:rPr>
                  </w:pPr>
                  <w:r>
                    <w:rPr>
                      <w:rFonts w:hint="eastAsia" w:ascii="宋体" w:hAnsi="宋体" w:cs="宋体"/>
                      <w:sz w:val="21"/>
                      <w:szCs w:val="21"/>
                      <w:lang w:val="en-US" w:eastAsia="zh-CN"/>
                    </w:rPr>
                    <w:t>产地：山东</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D339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AC6C5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bl>
          <w:p w14:paraId="5E9E73BB">
            <w:pPr>
              <w:pStyle w:val="4"/>
              <w:spacing w:line="360" w:lineRule="auto"/>
              <w:rPr>
                <w:rFonts w:hint="eastAsia" w:ascii="宋体" w:hAnsi="宋体" w:eastAsia="宋体" w:cs="宋体"/>
                <w:color w:val="000000"/>
                <w:highlight w:val="none"/>
                <w:lang w:val="zh-CN" w:eastAsia="zh-CN"/>
              </w:rPr>
            </w:pPr>
            <w:bookmarkStart w:id="0" w:name="_GoBack"/>
            <w:bookmarkEnd w:id="0"/>
          </w:p>
        </w:tc>
      </w:tr>
    </w:tbl>
    <w:p w14:paraId="775B08E8">
      <w:pPr>
        <w:pStyle w:val="4"/>
        <w:tabs>
          <w:tab w:val="left" w:pos="0"/>
        </w:tabs>
      </w:pPr>
    </w:p>
    <w:sectPr>
      <w:headerReference r:id="rId3" w:type="default"/>
      <w:pgSz w:w="11906" w:h="16838"/>
      <w:pgMar w:top="935" w:right="1800" w:bottom="623" w:left="1800" w:header="737" w:footer="567"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25B5C">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EED649C">
                          <w:pPr>
                            <w:pStyle w:val="4"/>
                            <w:tabs>
                              <w:tab w:val="left" w:pos="0"/>
                            </w:tabs>
                            <w:jc w:val="center"/>
                            <w:rPr>
                              <w:b/>
                              <w:sz w:val="48"/>
                              <w:szCs w:val="48"/>
                            </w:rPr>
                          </w:pPr>
                          <w:r>
                            <w:rPr>
                              <w:rFonts w:hint="eastAsia"/>
                              <w:b/>
                              <w:sz w:val="48"/>
                              <w:szCs w:val="48"/>
                            </w:rPr>
                            <w:t>工程量清单编制总说明</w:t>
                          </w:r>
                        </w:p>
                        <w:p w14:paraId="4D673E66">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工程名称: </w:t>
                          </w:r>
                          <w:r>
                            <w:rPr>
                              <w:rFonts w:hint="eastAsia" w:hAnsi="宋体" w:cs="宋体"/>
                              <w:color w:val="000000"/>
                              <w:highlight w:val="none"/>
                            </w:rPr>
                            <w:t>杭州电子科技大学下沙校区行政楼外立面维修改造工程</w:t>
                          </w:r>
                          <w:r>
                            <w:rPr>
                              <w:rFonts w:hint="eastAsia" w:hAnsi="宋体" w:cs="宋体"/>
                              <w:color w:val="000000"/>
                              <w:highlight w:val="none"/>
                              <w:lang w:val="en-US" w:eastAsia="zh-CN"/>
                            </w:rPr>
                            <w:t xml:space="preserve">   </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PAGE  \* Arabic  \* MERGEFORMAT</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页，共</w:t>
                          </w: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页</w:t>
                          </w:r>
                        </w:p>
                        <w:p w14:paraId="74795B6E"/>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0EED649C">
                    <w:pPr>
                      <w:pStyle w:val="4"/>
                      <w:tabs>
                        <w:tab w:val="left" w:pos="0"/>
                      </w:tabs>
                      <w:jc w:val="center"/>
                      <w:rPr>
                        <w:b/>
                        <w:sz w:val="48"/>
                        <w:szCs w:val="48"/>
                      </w:rPr>
                    </w:pPr>
                    <w:r>
                      <w:rPr>
                        <w:rFonts w:hint="eastAsia"/>
                        <w:b/>
                        <w:sz w:val="48"/>
                        <w:szCs w:val="48"/>
                      </w:rPr>
                      <w:t>工程量清单编制总说明</w:t>
                    </w:r>
                  </w:p>
                  <w:p w14:paraId="4D673E66">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工程名称: </w:t>
                    </w:r>
                    <w:r>
                      <w:rPr>
                        <w:rFonts w:hint="eastAsia" w:hAnsi="宋体" w:cs="宋体"/>
                        <w:color w:val="000000"/>
                        <w:highlight w:val="none"/>
                      </w:rPr>
                      <w:t>杭州电子科技大学下沙校区行政楼外立面维修改造工程</w:t>
                    </w:r>
                    <w:r>
                      <w:rPr>
                        <w:rFonts w:hint="eastAsia" w:hAnsi="宋体" w:cs="宋体"/>
                        <w:color w:val="000000"/>
                        <w:highlight w:val="none"/>
                        <w:lang w:val="en-US" w:eastAsia="zh-CN"/>
                      </w:rPr>
                      <w:t xml:space="preserve">   </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PAGE  \* Arabic  \* MERGEFORMAT</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页，共</w:t>
                    </w: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页</w:t>
                    </w:r>
                  </w:p>
                  <w:p w14:paraId="74795B6E"/>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0C083A"/>
    <w:rsid w:val="0E613268"/>
    <w:rsid w:val="0F090DE9"/>
    <w:rsid w:val="0FAE2141"/>
    <w:rsid w:val="12BF28AB"/>
    <w:rsid w:val="13347445"/>
    <w:rsid w:val="158F443B"/>
    <w:rsid w:val="17A4103D"/>
    <w:rsid w:val="17B943BD"/>
    <w:rsid w:val="18E13BCB"/>
    <w:rsid w:val="1AB16BD3"/>
    <w:rsid w:val="1AEE7B63"/>
    <w:rsid w:val="1B617245"/>
    <w:rsid w:val="1B6E25C4"/>
    <w:rsid w:val="1CA97C35"/>
    <w:rsid w:val="1D28255E"/>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4681937"/>
    <w:rsid w:val="38E74271"/>
    <w:rsid w:val="3B464036"/>
    <w:rsid w:val="4033368A"/>
    <w:rsid w:val="40CB28E7"/>
    <w:rsid w:val="43C024AB"/>
    <w:rsid w:val="453B44DF"/>
    <w:rsid w:val="4698326B"/>
    <w:rsid w:val="497242D2"/>
    <w:rsid w:val="497E17B8"/>
    <w:rsid w:val="49951CE4"/>
    <w:rsid w:val="49A41BDF"/>
    <w:rsid w:val="4A3F4DA2"/>
    <w:rsid w:val="4A62606A"/>
    <w:rsid w:val="4A652AEB"/>
    <w:rsid w:val="4B90280D"/>
    <w:rsid w:val="4C1C277B"/>
    <w:rsid w:val="4E110852"/>
    <w:rsid w:val="50B60EBE"/>
    <w:rsid w:val="526B2003"/>
    <w:rsid w:val="53973ACB"/>
    <w:rsid w:val="54016821"/>
    <w:rsid w:val="56C63E25"/>
    <w:rsid w:val="57255D0E"/>
    <w:rsid w:val="574C7EDA"/>
    <w:rsid w:val="585821BA"/>
    <w:rsid w:val="587766E0"/>
    <w:rsid w:val="588C69A8"/>
    <w:rsid w:val="591F3539"/>
    <w:rsid w:val="5C5F065B"/>
    <w:rsid w:val="5CE9261B"/>
    <w:rsid w:val="5F681F1D"/>
    <w:rsid w:val="5FDE3F8D"/>
    <w:rsid w:val="644A7BC0"/>
    <w:rsid w:val="65614110"/>
    <w:rsid w:val="6563635E"/>
    <w:rsid w:val="68352A03"/>
    <w:rsid w:val="6A2C688D"/>
    <w:rsid w:val="6B1D0764"/>
    <w:rsid w:val="6C264CF2"/>
    <w:rsid w:val="6D07065E"/>
    <w:rsid w:val="6E441C04"/>
    <w:rsid w:val="6F07626B"/>
    <w:rsid w:val="717F3467"/>
    <w:rsid w:val="722577FA"/>
    <w:rsid w:val="72435ED2"/>
    <w:rsid w:val="730C00E3"/>
    <w:rsid w:val="73621405"/>
    <w:rsid w:val="74890514"/>
    <w:rsid w:val="74B2104F"/>
    <w:rsid w:val="756248C1"/>
    <w:rsid w:val="75FC2D6C"/>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4">
    <w:name w:val="Plain Text"/>
    <w:basedOn w:val="1"/>
    <w:link w:val="16"/>
    <w:qFormat/>
    <w:uiPriority w:val="0"/>
    <w:rPr>
      <w:rFonts w:ascii="宋体" w:hAnsi="Courier New" w:cs="Courier New"/>
      <w:szCs w:val="21"/>
    </w:rPr>
  </w:style>
  <w:style w:type="paragraph" w:styleId="5">
    <w:name w:val="Balloon Text"/>
    <w:basedOn w:val="1"/>
    <w:semiHidden/>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7"/>
    <w:qFormat/>
    <w:uiPriority w:val="0"/>
    <w:rPr>
      <w:kern w:val="2"/>
      <w:sz w:val="18"/>
      <w:szCs w:val="18"/>
    </w:rPr>
  </w:style>
  <w:style w:type="character" w:customStyle="1" w:styleId="15">
    <w:name w:val="页脚 字符"/>
    <w:basedOn w:val="10"/>
    <w:link w:val="6"/>
    <w:qFormat/>
    <w:uiPriority w:val="0"/>
    <w:rPr>
      <w:kern w:val="2"/>
      <w:sz w:val="18"/>
      <w:szCs w:val="18"/>
    </w:rPr>
  </w:style>
  <w:style w:type="character" w:customStyle="1" w:styleId="16">
    <w:name w:val="纯文本 字符"/>
    <w:basedOn w:val="10"/>
    <w:link w:val="4"/>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3260</Words>
  <Characters>3465</Characters>
  <Lines>13</Lines>
  <Paragraphs>3</Paragraphs>
  <TotalTime>1</TotalTime>
  <ScaleCrop>false</ScaleCrop>
  <LinksUpToDate>false</LinksUpToDate>
  <CharactersWithSpaces>3479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2021-03-25T11:59:00Z</cp:lastPrinted>
  <dcterms:modified xsi:type="dcterms:W3CDTF">2025-06-12T03:36:13Z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eyJoZGlkIjoiNDhmMzcwOTczMTU1NjAyMmFlNDY0NzUzZWY4NTdlNjgifQ==</vt:lpwstr>
  </property>
</Properties>
</file>