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智慧思政大数据应用分析系统</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智慧思政大数据应用分析系统</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QSZB-Z(F)-B22041(CS)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[2022]8765号、[2022]8766号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智慧思政大数据应用分析系统</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政府采购云平台（https://login.zcygov.cn）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2022年4月11日</w:t>
      </w:r>
      <w:r>
        <w:rPr>
          <w:rFonts w:hint="eastAsia"/>
          <w:b/>
          <w:color w:val="auto"/>
          <w:sz w:val="21"/>
          <w:szCs w:val="21"/>
          <w:highlight w:val="none"/>
          <w:u w:val="single"/>
        </w:rPr>
        <w:t xml:space="preserve">9:30:00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02"/>
      <w:bookmarkStart w:id="1" w:name="_Toc35393790"/>
      <w:bookmarkStart w:id="2" w:name="_Toc35393621"/>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QSZB-Z(F)-B22041(CS)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智慧思政大数据应用分析系统</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预算金额（元）：900000</w:t>
      </w:r>
      <w:r>
        <w:rPr>
          <w:rFonts w:hint="eastAsia"/>
          <w:color w:val="auto"/>
          <w:sz w:val="21"/>
          <w:szCs w:val="21"/>
          <w:highlight w:val="none"/>
          <w:lang w:val="en-US" w:eastAsia="zh-CN"/>
        </w:rPr>
        <w:t>.</w:t>
      </w:r>
      <w:r>
        <w:rPr>
          <w:rFonts w:hint="eastAsia"/>
          <w:color w:val="auto"/>
          <w:sz w:val="21"/>
          <w:szCs w:val="21"/>
          <w:highlight w:val="none"/>
        </w:rPr>
        <w:t>27</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最高限价（元）：900000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w:t>
      </w:r>
      <w:r>
        <w:rPr>
          <w:rFonts w:hint="eastAsia"/>
          <w:color w:val="auto"/>
          <w:sz w:val="21"/>
          <w:szCs w:val="21"/>
          <w:highlight w:val="none"/>
          <w:lang w:val="en-US" w:eastAsia="zh-CN"/>
        </w:rPr>
        <w:t>约</w:t>
      </w:r>
      <w:r>
        <w:rPr>
          <w:rFonts w:hint="eastAsia"/>
          <w:color w:val="auto"/>
          <w:sz w:val="21"/>
          <w:szCs w:val="21"/>
          <w:highlight w:val="none"/>
        </w:rPr>
        <w:t>期限：</w:t>
      </w:r>
      <w:r>
        <w:rPr>
          <w:rFonts w:hint="eastAsia"/>
          <w:color w:val="auto"/>
          <w:spacing w:val="-6"/>
          <w:sz w:val="21"/>
          <w:szCs w:val="21"/>
          <w:highlight w:val="none"/>
        </w:rPr>
        <w:t>自合同正式签署生效起15</w:t>
      </w:r>
      <w:r>
        <w:rPr>
          <w:rFonts w:hint="eastAsia"/>
          <w:color w:val="auto"/>
          <w:spacing w:val="-6"/>
          <w:sz w:val="21"/>
          <w:szCs w:val="21"/>
          <w:highlight w:val="none"/>
          <w:lang w:val="en-US" w:eastAsia="zh-CN"/>
        </w:rPr>
        <w:t>日内</w:t>
      </w:r>
      <w:r>
        <w:rPr>
          <w:rFonts w:hint="eastAsia"/>
          <w:color w:val="auto"/>
          <w:spacing w:val="-6"/>
          <w:sz w:val="21"/>
          <w:szCs w:val="21"/>
          <w:highlight w:val="none"/>
        </w:rPr>
        <w:t>完成需求分析，</w:t>
      </w:r>
      <w:r>
        <w:rPr>
          <w:rFonts w:hint="eastAsia"/>
          <w:color w:val="auto"/>
          <w:spacing w:val="-6"/>
          <w:sz w:val="21"/>
          <w:szCs w:val="21"/>
          <w:highlight w:val="none"/>
          <w:lang w:val="en-US" w:eastAsia="zh-CN"/>
        </w:rPr>
        <w:t>30日</w:t>
      </w:r>
      <w:r>
        <w:rPr>
          <w:rFonts w:hint="eastAsia"/>
          <w:color w:val="auto"/>
          <w:spacing w:val="-6"/>
          <w:sz w:val="21"/>
          <w:szCs w:val="21"/>
          <w:highlight w:val="none"/>
        </w:rPr>
        <w:t>内完成项目实施、进入试运行并进行初验，</w:t>
      </w:r>
      <w:r>
        <w:rPr>
          <w:rFonts w:hint="eastAsia"/>
          <w:color w:val="auto"/>
          <w:spacing w:val="-6"/>
          <w:sz w:val="21"/>
          <w:szCs w:val="21"/>
          <w:highlight w:val="none"/>
          <w:lang w:val="en-US" w:eastAsia="zh-CN"/>
        </w:rPr>
        <w:t>60日</w:t>
      </w:r>
      <w:r>
        <w:rPr>
          <w:rFonts w:hint="eastAsia"/>
          <w:color w:val="auto"/>
          <w:spacing w:val="-6"/>
          <w:sz w:val="21"/>
          <w:szCs w:val="21"/>
          <w:highlight w:val="none"/>
        </w:rPr>
        <w:t>内完成项目整体验收。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本项目不接受联合体响应。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2"/>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智慧思政大数据应用分析系统</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详见采购文件</w:t>
            </w:r>
          </w:p>
        </w:tc>
      </w:tr>
    </w:tbl>
    <w:p>
      <w:pPr>
        <w:adjustRightInd w:val="0"/>
        <w:snapToGrid w:val="0"/>
        <w:spacing w:line="288" w:lineRule="auto"/>
        <w:rPr>
          <w:b/>
          <w:color w:val="auto"/>
          <w:sz w:val="21"/>
          <w:szCs w:val="21"/>
          <w:highlight w:val="none"/>
        </w:rPr>
      </w:pPr>
      <w:bookmarkStart w:id="5" w:name="_Toc35393791"/>
      <w:bookmarkStart w:id="6" w:name="_Toc28359080"/>
      <w:bookmarkStart w:id="7" w:name="_Toc28359003"/>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793"/>
      <w:bookmarkStart w:id="15" w:name="_Toc28359082"/>
      <w:bookmarkStart w:id="16" w:name="_Toc35393624"/>
      <w:r>
        <w:rPr>
          <w:rFonts w:hint="eastAsia"/>
          <w:color w:val="auto"/>
          <w:sz w:val="21"/>
          <w:szCs w:val="21"/>
          <w:highlight w:val="none"/>
        </w:rPr>
        <w:t>时间：</w:t>
      </w:r>
      <w:r>
        <w:rPr>
          <w:rFonts w:hint="eastAsia"/>
          <w:color w:val="auto"/>
          <w:sz w:val="21"/>
          <w:szCs w:val="21"/>
          <w:highlight w:val="none"/>
          <w:lang w:eastAsia="zh-CN"/>
        </w:rPr>
        <w:t>2022年</w:t>
      </w:r>
      <w:r>
        <w:rPr>
          <w:rFonts w:hint="eastAsia"/>
          <w:color w:val="auto"/>
          <w:sz w:val="21"/>
          <w:szCs w:val="21"/>
          <w:highlight w:val="none"/>
          <w:lang w:val="en-US" w:eastAsia="zh-CN"/>
        </w:rPr>
        <w:t>3</w:t>
      </w:r>
      <w:r>
        <w:rPr>
          <w:rFonts w:hint="eastAsia"/>
          <w:color w:val="auto"/>
          <w:sz w:val="21"/>
          <w:szCs w:val="21"/>
          <w:highlight w:val="none"/>
        </w:rPr>
        <w:t>月</w:t>
      </w:r>
      <w:r>
        <w:rPr>
          <w:rFonts w:hint="eastAsia"/>
          <w:color w:val="auto"/>
          <w:sz w:val="21"/>
          <w:szCs w:val="21"/>
          <w:highlight w:val="none"/>
          <w:lang w:val="en-US" w:eastAsia="zh-CN"/>
        </w:rPr>
        <w:t>28</w:t>
      </w:r>
      <w:r>
        <w:rPr>
          <w:rFonts w:hint="eastAsia"/>
          <w:color w:val="auto"/>
          <w:sz w:val="21"/>
          <w:szCs w:val="21"/>
          <w:highlight w:val="none"/>
        </w:rPr>
        <w:t>日至</w:t>
      </w:r>
      <w:r>
        <w:rPr>
          <w:rFonts w:hint="eastAsia"/>
          <w:color w:val="auto"/>
          <w:sz w:val="21"/>
          <w:szCs w:val="21"/>
          <w:highlight w:val="none"/>
          <w:lang w:eastAsia="zh-CN"/>
        </w:rPr>
        <w:t>2022年4月11日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地点（网址）：政府采购云平台（https://login.zcygov.cn）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2022年4月11日</w:t>
      </w:r>
      <w:r>
        <w:rPr>
          <w:rFonts w:hint="eastAsia"/>
          <w:bCs/>
          <w:color w:val="auto"/>
          <w:sz w:val="21"/>
          <w:szCs w:val="21"/>
          <w:highlight w:val="none"/>
        </w:rPr>
        <w:t>9:30:00（北京时间）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p>
    <w:p>
      <w:pPr>
        <w:adjustRightInd w:val="0"/>
        <w:snapToGrid w:val="0"/>
        <w:spacing w:line="288" w:lineRule="auto"/>
        <w:rPr>
          <w:b/>
          <w:color w:val="auto"/>
          <w:sz w:val="21"/>
          <w:szCs w:val="21"/>
          <w:highlight w:val="none"/>
        </w:rPr>
      </w:pPr>
      <w:bookmarkStart w:id="17" w:name="_Toc35393625"/>
      <w:bookmarkStart w:id="18" w:name="_Toc28359007"/>
      <w:bookmarkStart w:id="19" w:name="_Toc35393794"/>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2022年4月11日</w:t>
      </w:r>
      <w:r>
        <w:rPr>
          <w:rFonts w:hint="eastAsia"/>
          <w:bCs/>
          <w:color w:val="auto"/>
          <w:sz w:val="21"/>
          <w:szCs w:val="21"/>
          <w:highlight w:val="none"/>
        </w:rPr>
        <w:t>9:30:00（北京时间）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r>
        <w:rPr>
          <w:rFonts w:hint="eastAsia" w:cs="Times New Roman"/>
          <w:color w:val="auto"/>
          <w:sz w:val="21"/>
          <w:szCs w:val="21"/>
          <w:highlight w:val="none"/>
        </w:rPr>
        <w:t>/杭州市西湖区玉古路173号中田大厦11楼（求是招标会议室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08"/>
      <w:bookmarkStart w:id="24" w:name="_Toc28359085"/>
      <w:bookmarkStart w:id="25" w:name="_Toc35393796"/>
      <w:bookmarkStart w:id="26" w:name="_Toc35393627"/>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名称：</w:t>
      </w:r>
      <w:r>
        <w:rPr>
          <w:rFonts w:hint="eastAsia"/>
          <w:color w:val="auto"/>
          <w:sz w:val="21"/>
          <w:szCs w:val="21"/>
          <w:highlight w:val="none"/>
          <w:lang w:eastAsia="zh-CN"/>
        </w:rPr>
        <w:t>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地址：浙江省杭州市钱塘区白杨街道2号大街1158号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val="en-US" w:eastAsia="zh-CN"/>
        </w:rPr>
        <w:t>黄老师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w:t>
      </w:r>
      <w:r>
        <w:rPr>
          <w:rFonts w:hint="default"/>
          <w:color w:val="auto"/>
          <w:sz w:val="21"/>
          <w:szCs w:val="21"/>
          <w:highlight w:val="none"/>
        </w:rPr>
        <w:t>0571-87713562</w:t>
      </w:r>
    </w:p>
    <w:p>
      <w:pPr>
        <w:adjustRightInd w:val="0"/>
        <w:snapToGrid w:val="0"/>
        <w:spacing w:line="288" w:lineRule="auto"/>
        <w:ind w:firstLine="424" w:firstLineChars="202"/>
        <w:rPr>
          <w:rFonts w:hint="eastAsia" w:eastAsia="宋体"/>
          <w:color w:val="auto"/>
          <w:sz w:val="21"/>
          <w:szCs w:val="21"/>
          <w:highlight w:val="none"/>
          <w:lang w:val="en-US" w:eastAsia="zh-CN"/>
        </w:rPr>
      </w:pPr>
      <w:r>
        <w:rPr>
          <w:rFonts w:hint="eastAsia"/>
          <w:color w:val="auto"/>
          <w:sz w:val="21"/>
          <w:szCs w:val="21"/>
          <w:highlight w:val="none"/>
        </w:rPr>
        <w:t>质疑联系人：</w:t>
      </w:r>
      <w:r>
        <w:rPr>
          <w:rFonts w:hint="eastAsia"/>
          <w:color w:val="auto"/>
          <w:sz w:val="21"/>
          <w:szCs w:val="21"/>
          <w:highlight w:val="none"/>
          <w:lang w:val="en-US" w:eastAsia="zh-CN"/>
        </w:rPr>
        <w:t>李老师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质疑联系方式：</w:t>
      </w:r>
      <w:r>
        <w:rPr>
          <w:rFonts w:hint="eastAsia"/>
          <w:color w:val="auto"/>
          <w:sz w:val="21"/>
          <w:szCs w:val="21"/>
          <w:highlight w:val="none"/>
          <w:lang w:val="en-US" w:eastAsia="zh-CN"/>
        </w:rPr>
        <w:t>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173号中田大厦11楼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val="en-US" w:eastAsia="zh-CN"/>
        </w:rPr>
        <w:t>陈应俭、</w:t>
      </w:r>
      <w:r>
        <w:rPr>
          <w:rFonts w:hint="eastAsia"/>
          <w:color w:val="auto"/>
          <w:sz w:val="21"/>
          <w:szCs w:val="21"/>
          <w:highlight w:val="none"/>
          <w:lang w:eastAsia="zh-CN"/>
        </w:rPr>
        <w:t>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28" w:name="_Hlk45005599"/>
            <w:r>
              <w:rPr>
                <w:rFonts w:hint="eastAsia"/>
                <w:b/>
                <w:bCs/>
                <w:color w:val="auto"/>
                <w:sz w:val="21"/>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w:t>
            </w:r>
            <w:r>
              <w:rPr>
                <w:rFonts w:hint="default" w:cs="Times New Roman"/>
                <w:color w:val="auto"/>
                <w:spacing w:val="-6"/>
                <w:sz w:val="21"/>
                <w:szCs w:val="21"/>
                <w:highlight w:val="none"/>
              </w:rPr>
              <w:t>支持创新发展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本项目采购标的为：</w:t>
            </w:r>
            <w:r>
              <w:rPr>
                <w:rFonts w:hint="default" w:cs="Times New Roman"/>
                <w:b/>
                <w:bCs/>
                <w:color w:val="auto"/>
                <w:sz w:val="21"/>
                <w:szCs w:val="21"/>
                <w:highlight w:val="none"/>
              </w:rPr>
              <w:t>服务</w:t>
            </w:r>
            <w:r>
              <w:rPr>
                <w:rFonts w:hint="eastAsia" w:cs="Times New Roman"/>
                <w:b/>
                <w:bCs/>
                <w:color w:val="auto"/>
                <w:sz w:val="21"/>
                <w:szCs w:val="21"/>
                <w:highlight w:val="none"/>
              </w:rPr>
              <w:t>，采购标的对应的中小企业划分标准所属行业：软件和信息技术服务业。</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2"/>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1.合同签订后一周内，</w:t>
            </w:r>
            <w:r>
              <w:rPr>
                <w:rFonts w:hint="eastAsia"/>
                <w:color w:val="auto"/>
                <w:spacing w:val="-6"/>
                <w:kern w:val="0"/>
                <w:sz w:val="21"/>
                <w:szCs w:val="21"/>
                <w:highlight w:val="none"/>
                <w:lang w:val="en-US" w:eastAsia="zh-CN"/>
              </w:rPr>
              <w:t>供应商</w:t>
            </w:r>
            <w:r>
              <w:rPr>
                <w:rFonts w:hint="eastAsia"/>
                <w:color w:val="auto"/>
                <w:spacing w:val="-6"/>
                <w:kern w:val="0"/>
                <w:sz w:val="21"/>
                <w:szCs w:val="21"/>
                <w:highlight w:val="none"/>
              </w:rPr>
              <w:t>向采购人提交合同总价</w:t>
            </w:r>
            <w:r>
              <w:rPr>
                <w:rFonts w:hint="eastAsia"/>
                <w:color w:val="auto"/>
                <w:spacing w:val="-6"/>
                <w:kern w:val="0"/>
                <w:sz w:val="21"/>
                <w:szCs w:val="21"/>
                <w:highlight w:val="none"/>
                <w:lang w:val="en-US" w:eastAsia="zh-CN"/>
              </w:rPr>
              <w:t>2.</w:t>
            </w:r>
            <w:r>
              <w:rPr>
                <w:rFonts w:hint="eastAsia"/>
                <w:color w:val="auto"/>
                <w:spacing w:val="-6"/>
                <w:kern w:val="0"/>
                <w:sz w:val="21"/>
                <w:szCs w:val="21"/>
                <w:highlight w:val="none"/>
              </w:rPr>
              <w:t>5%的履约保证金，履约保证金在合同履约期间无违约情形的，项目验收结束后，于一周内退还（不计息）；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2.转账信息如下：</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1.供应商为中小企业的，合同生效以及具备实施条件后7个工作日内，且供应商已向采购人提交银行、保险公司等金融机构出具的预付款保函的，采购人向供应商支付合同总价的40%；系统所有功能上线，并通过采购人验收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2.供应商为大型企业的，合同生效以及具备实施条件后7个工作日内，且供应商已向采购人提交银行、保险公司等金融机构出具的预付款保函的，采购人向供应商支付合同总价的30%；系统所有功能上线，并通过采购人验收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4.供应商明确表示无需预付款时，付款方式按以下要求执行：项目整体设计方案经采购人审核通过后，采购人支付合同总价的40%，系统所有功能上线，并通过采购人验收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注：供应商需提供增值税专用发票，开票信息如下：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2"/>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自合同正式签署生效起15日内完成需求分析，30日内完成项目实施、进入试运行并进行初验，60日内完成项目整体验收。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年，项目验收合格后开始计算</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▲质保期不满足磋商文件要求的响应无效。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w:t>
            </w:r>
            <w:r>
              <w:rPr>
                <w:rFonts w:hint="eastAsia"/>
                <w:color w:val="auto"/>
                <w:sz w:val="21"/>
                <w:szCs w:val="21"/>
                <w:highlight w:val="none"/>
                <w:lang w:val="en-US" w:eastAsia="zh-CN"/>
              </w:rPr>
              <w:t>系统</w:t>
            </w:r>
            <w:r>
              <w:rPr>
                <w:rFonts w:hint="eastAsia"/>
                <w:color w:val="auto"/>
                <w:sz w:val="21"/>
                <w:szCs w:val="21"/>
                <w:highlight w:val="none"/>
              </w:rPr>
              <w:t>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lang w:val="en-US" w:eastAsia="zh-CN"/>
              </w:rPr>
              <w:t>2</w:t>
            </w:r>
            <w:r>
              <w:rPr>
                <w:rFonts w:hint="eastAsia"/>
                <w:color w:val="auto"/>
                <w:sz w:val="21"/>
                <w:szCs w:val="21"/>
                <w:highlight w:val="none"/>
              </w:rPr>
              <w:t>.</w:t>
            </w:r>
            <w:r>
              <w:rPr>
                <w:rFonts w:hint="eastAsia"/>
                <w:color w:val="auto"/>
                <w:sz w:val="21"/>
                <w:szCs w:val="21"/>
                <w:highlight w:val="none"/>
                <w:u w:val="single"/>
              </w:rPr>
              <w:t>如在使用过程中发生问题，供应商维修响应时间：</w:t>
            </w:r>
            <w:r>
              <w:rPr>
                <w:rFonts w:hint="eastAsia"/>
                <w:color w:val="auto"/>
                <w:sz w:val="21"/>
                <w:szCs w:val="21"/>
                <w:highlight w:val="none"/>
                <w:u w:val="single"/>
                <w:lang w:val="en-US" w:eastAsia="zh-CN"/>
              </w:rPr>
              <w:t>2</w:t>
            </w:r>
            <w:r>
              <w:rPr>
                <w:rFonts w:hint="eastAsia"/>
                <w:color w:val="auto"/>
                <w:sz w:val="21"/>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u w:val="single"/>
              </w:rPr>
              <w:t>电话技术支持时间：</w:t>
            </w:r>
            <w:r>
              <w:rPr>
                <w:rFonts w:hint="eastAsia"/>
                <w:color w:val="auto"/>
                <w:sz w:val="21"/>
                <w:szCs w:val="21"/>
                <w:highlight w:val="none"/>
                <w:u w:val="single"/>
                <w:lang w:val="en-US" w:eastAsia="zh-CN"/>
              </w:rPr>
              <w:t>3</w:t>
            </w:r>
            <w:r>
              <w:rPr>
                <w:rFonts w:hint="eastAsia"/>
                <w:color w:val="auto"/>
                <w:sz w:val="21"/>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u w:val="single"/>
                <w:lang w:val="en-US" w:eastAsia="zh-CN"/>
              </w:rPr>
            </w:pPr>
            <w:r>
              <w:rPr>
                <w:rFonts w:hint="eastAsia"/>
                <w:color w:val="auto"/>
                <w:sz w:val="21"/>
                <w:szCs w:val="21"/>
                <w:highlight w:val="none"/>
                <w:u w:val="single"/>
              </w:rPr>
              <w:t>若需上门</w:t>
            </w:r>
            <w:r>
              <w:rPr>
                <w:rFonts w:hint="eastAsia"/>
                <w:color w:val="auto"/>
                <w:sz w:val="21"/>
                <w:szCs w:val="21"/>
                <w:highlight w:val="none"/>
                <w:u w:val="single"/>
                <w:lang w:val="en-US" w:eastAsia="zh-CN"/>
              </w:rPr>
              <w:t>处理</w:t>
            </w:r>
            <w:r>
              <w:rPr>
                <w:rFonts w:hint="eastAsia"/>
                <w:color w:val="auto"/>
                <w:sz w:val="21"/>
                <w:szCs w:val="21"/>
                <w:highlight w:val="none"/>
                <w:u w:val="single"/>
              </w:rPr>
              <w:t>，则在：</w:t>
            </w:r>
            <w:r>
              <w:rPr>
                <w:rFonts w:hint="eastAsia"/>
                <w:color w:val="auto"/>
                <w:sz w:val="21"/>
                <w:szCs w:val="21"/>
                <w:highlight w:val="none"/>
                <w:u w:val="single"/>
                <w:lang w:val="en-US" w:eastAsia="zh-CN"/>
              </w:rPr>
              <w:t>12</w:t>
            </w:r>
            <w:r>
              <w:rPr>
                <w:rFonts w:hint="eastAsia"/>
                <w:color w:val="auto"/>
                <w:sz w:val="21"/>
                <w:szCs w:val="21"/>
                <w:highlight w:val="none"/>
                <w:u w:val="single"/>
              </w:rPr>
              <w:t>小时内到达现场并进行</w:t>
            </w:r>
            <w:r>
              <w:rPr>
                <w:rFonts w:hint="eastAsia"/>
                <w:color w:val="auto"/>
                <w:sz w:val="21"/>
                <w:szCs w:val="21"/>
                <w:highlight w:val="none"/>
                <w:u w:val="single"/>
                <w:lang w:val="en-US" w:eastAsia="zh-CN"/>
              </w:rPr>
              <w:t>处理</w:t>
            </w:r>
            <w:r>
              <w:rPr>
                <w:rFonts w:hint="eastAsia"/>
                <w:color w:val="auto"/>
                <w:sz w:val="21"/>
                <w:szCs w:val="21"/>
                <w:highlight w:val="none"/>
                <w:u w:val="single"/>
              </w:rPr>
              <w:t>；</w:t>
            </w:r>
            <w:r>
              <w:rPr>
                <w:rFonts w:hint="eastAsia"/>
                <w:color w:val="auto"/>
                <w:sz w:val="21"/>
                <w:szCs w:val="21"/>
                <w:highlight w:val="none"/>
                <w:u w:val="single"/>
                <w:lang w:val="en-US" w:eastAsia="zh-CN"/>
              </w:rPr>
              <w:t>不超过48小时解决故障。</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供应商应对采购人的操作人员免费进行培训；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w:t>
            </w:r>
            <w:r>
              <w:rPr>
                <w:rFonts w:hint="eastAsia"/>
                <w:color w:val="auto"/>
                <w:sz w:val="21"/>
                <w:szCs w:val="21"/>
                <w:highlight w:val="none"/>
                <w:lang w:val="en-US" w:eastAsia="zh-CN"/>
              </w:rPr>
              <w:t>系统</w:t>
            </w:r>
            <w:r>
              <w:rPr>
                <w:rFonts w:hint="eastAsia"/>
                <w:color w:val="auto"/>
                <w:sz w:val="21"/>
                <w:szCs w:val="21"/>
                <w:highlight w:val="none"/>
              </w:rPr>
              <w:t>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w:t>
            </w:r>
            <w:r>
              <w:rPr>
                <w:rFonts w:hint="eastAsia"/>
                <w:color w:val="auto"/>
                <w:sz w:val="21"/>
                <w:szCs w:val="21"/>
                <w:highlight w:val="none"/>
                <w:lang w:val="en-US" w:eastAsia="zh-CN"/>
              </w:rPr>
              <w:t>系统</w:t>
            </w:r>
            <w:r>
              <w:rPr>
                <w:rFonts w:hint="eastAsia"/>
                <w:color w:val="auto"/>
                <w:sz w:val="21"/>
                <w:szCs w:val="21"/>
                <w:highlight w:val="none"/>
              </w:rPr>
              <w:t>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3.若发现任何质量问题，供应商负责妥善处理直至采购人满意，由此产生的费用由供应商承担。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w:t>
            </w:r>
            <w:r>
              <w:rPr>
                <w:rFonts w:hint="eastAsia"/>
                <w:color w:val="auto"/>
                <w:sz w:val="21"/>
                <w:szCs w:val="21"/>
                <w:highlight w:val="none"/>
                <w:lang w:val="en-US" w:eastAsia="zh-CN"/>
              </w:rPr>
              <w:t>系统</w:t>
            </w:r>
            <w:r>
              <w:rPr>
                <w:rFonts w:hint="eastAsia"/>
                <w:color w:val="auto"/>
                <w:sz w:val="21"/>
                <w:szCs w:val="21"/>
                <w:highlight w:val="none"/>
              </w:rPr>
              <w:t>符合标准和及合同的要求；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w:t>
            </w:r>
            <w:r>
              <w:rPr>
                <w:rFonts w:hint="eastAsia"/>
                <w:color w:val="auto"/>
                <w:sz w:val="21"/>
                <w:szCs w:val="21"/>
                <w:highlight w:val="none"/>
                <w:lang w:val="en-US" w:eastAsia="zh-CN"/>
              </w:rPr>
              <w:t>系统</w:t>
            </w:r>
            <w:r>
              <w:rPr>
                <w:rFonts w:hint="eastAsia"/>
                <w:color w:val="auto"/>
                <w:sz w:val="21"/>
                <w:szCs w:val="21"/>
                <w:highlight w:val="none"/>
              </w:rPr>
              <w:t>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keepNext w:val="0"/>
        <w:keepLines w:val="0"/>
        <w:pageBreakBefore w:val="0"/>
        <w:kinsoku/>
        <w:wordWrap/>
        <w:overflowPunct/>
        <w:topLinePunct w:val="0"/>
        <w:autoSpaceDE/>
        <w:autoSpaceDN/>
        <w:bidi w:val="0"/>
        <w:spacing w:line="288" w:lineRule="auto"/>
        <w:ind w:firstLine="422" w:firstLineChars="200"/>
        <w:textAlignment w:val="auto"/>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rPr>
        <w:t>1.建设目标</w:t>
      </w:r>
      <w:r>
        <w:rPr>
          <w:rFonts w:hint="eastAsia" w:ascii="宋体" w:hAnsi="宋体" w:eastAsia="宋体" w:cs="宋体"/>
          <w:b/>
          <w:bCs/>
          <w:color w:val="auto"/>
          <w:spacing w:val="0"/>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党的十九大提出要“加快教育现代化,办好人民满意的教育”。这一诉求对教育信息化提出了新要求,其本质是以智慧教育推动教育公平,为智慧教育的未来发展提供动力支撑。智慧教育背景下,引导思想政治教育话语脱离传统定势,实现转型发展,已成为必然选择。</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需具体实现如下目标：</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（1）深入落实数字经济“一号工程”,开展“数字赋能626”行动。以全省“智慧思政”工作规划为指导,充分利用大数据、人工智能等新技术作为全省思政工作的抓手和重要工具。</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（2）主动占领思想政治教育网络新阵地,搭建思政教育网络新平台,通过数字化手段探索新时期高校教育管理方式的改变。</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（3）通过浙江省智慧思政全省平台建设,利用大数据、人工智能等新技术手段实现主动发现、主动预警,关口前移,着眼防范。实现育人方式的转变。</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通过浙江省智慧思政主题数据库的建设,整合网络思政中心综合业务系统、各智慧思政试点高校思政特色业务系统等多维度数据,实现网络思政中心对全省思政工作状态监测、预警、分析、跟踪、干预等功能，为全省思政管理、决策提供数据支撑。</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5）建立健全高校数据标准实施机制，促进标准信息公开共享，开展标准信息公开共享，开展标准实施监测预警，推动标准水平动态有序调整，加强数据分析结果反馈利用，鼓励开展网络思政领域创新试点示范。最终形成浙江高校思政主题数据库标准规范、数据安全标准规范、厅校两级对接标准。</w:t>
      </w:r>
    </w:p>
    <w:p>
      <w:pPr>
        <w:keepNext w:val="0"/>
        <w:keepLines w:val="0"/>
        <w:pageBreakBefore w:val="0"/>
        <w:widowControl w:val="0"/>
        <w:kinsoku/>
        <w:wordWrap/>
        <w:overflowPunct/>
        <w:topLinePunct w:val="0"/>
        <w:autoSpaceDE/>
        <w:autoSpaceDN/>
        <w:bidi w:val="0"/>
        <w:spacing w:line="288" w:lineRule="auto"/>
        <w:ind w:firstLine="422" w:firstLineChars="200"/>
        <w:jc w:val="both"/>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2.建设内容及要求：</w:t>
      </w:r>
    </w:p>
    <w:p>
      <w:pPr>
        <w:keepNext w:val="0"/>
        <w:keepLines w:val="0"/>
        <w:pageBreakBefore w:val="0"/>
        <w:widowControl w:val="0"/>
        <w:kinsoku/>
        <w:wordWrap/>
        <w:overflowPunct/>
        <w:topLinePunct w:val="0"/>
        <w:autoSpaceDE/>
        <w:autoSpaceDN/>
        <w:bidi w:val="0"/>
        <w:spacing w:line="288" w:lineRule="auto"/>
        <w:ind w:firstLine="422" w:firstLineChars="200"/>
        <w:jc w:val="both"/>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2.1 开发内容清单：</w:t>
      </w:r>
    </w:p>
    <w:tbl>
      <w:tblPr>
        <w:tblStyle w:val="12"/>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851"/>
        <w:gridCol w:w="1134"/>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序号</w:t>
            </w:r>
          </w:p>
        </w:tc>
        <w:tc>
          <w:tcPr>
            <w:tcW w:w="170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名称</w:t>
            </w:r>
          </w:p>
        </w:tc>
        <w:tc>
          <w:tcPr>
            <w:tcW w:w="85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数量</w:t>
            </w:r>
          </w:p>
        </w:tc>
        <w:tc>
          <w:tcPr>
            <w:tcW w:w="11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单位</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基本功能模块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p>
        </w:tc>
        <w:tc>
          <w:tcPr>
            <w:tcW w:w="170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决策支持驾驶舱</w:t>
            </w:r>
          </w:p>
        </w:tc>
        <w:tc>
          <w:tcPr>
            <w:tcW w:w="85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p>
        </w:tc>
        <w:tc>
          <w:tcPr>
            <w:tcW w:w="11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项</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bidi="ar"/>
              </w:rPr>
              <w:t>功能模块需求说明详见2.5</w:t>
            </w:r>
            <w:r>
              <w:rPr>
                <w:rFonts w:hint="eastAsia" w:ascii="宋体" w:hAnsi="宋体" w:eastAsia="宋体" w:cs="宋体"/>
                <w:color w:val="auto"/>
                <w:spacing w:val="0"/>
                <w:sz w:val="21"/>
                <w:szCs w:val="21"/>
                <w:highlight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w:t>
            </w:r>
          </w:p>
        </w:tc>
        <w:tc>
          <w:tcPr>
            <w:tcW w:w="170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思政工作台</w:t>
            </w:r>
          </w:p>
        </w:tc>
        <w:tc>
          <w:tcPr>
            <w:tcW w:w="85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p>
        </w:tc>
        <w:tc>
          <w:tcPr>
            <w:tcW w:w="11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项</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bidi="ar"/>
              </w:rPr>
              <w:t>功能模块需求说明详见2.5</w:t>
            </w:r>
            <w:r>
              <w:rPr>
                <w:rFonts w:hint="eastAsia" w:ascii="宋体" w:hAnsi="宋体" w:eastAsia="宋体" w:cs="宋体"/>
                <w:color w:val="auto"/>
                <w:spacing w:val="0"/>
                <w:sz w:val="21"/>
                <w:szCs w:val="21"/>
                <w:highlight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w:t>
            </w:r>
          </w:p>
        </w:tc>
        <w:tc>
          <w:tcPr>
            <w:tcW w:w="170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危机援助系统</w:t>
            </w:r>
          </w:p>
        </w:tc>
        <w:tc>
          <w:tcPr>
            <w:tcW w:w="85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p>
        </w:tc>
        <w:tc>
          <w:tcPr>
            <w:tcW w:w="11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项</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bidi="ar"/>
              </w:rPr>
              <w:t>功能模块需求说明详见2.5</w:t>
            </w:r>
            <w:r>
              <w:rPr>
                <w:rFonts w:hint="eastAsia" w:ascii="宋体" w:hAnsi="宋体" w:eastAsia="宋体" w:cs="宋体"/>
                <w:color w:val="auto"/>
                <w:spacing w:val="0"/>
                <w:sz w:val="21"/>
                <w:szCs w:val="21"/>
                <w:highlight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w:t>
            </w:r>
          </w:p>
        </w:tc>
        <w:tc>
          <w:tcPr>
            <w:tcW w:w="170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数据服务</w:t>
            </w:r>
          </w:p>
        </w:tc>
        <w:tc>
          <w:tcPr>
            <w:tcW w:w="85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p>
        </w:tc>
        <w:tc>
          <w:tcPr>
            <w:tcW w:w="11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项</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数据服务要求详见2.6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w:t>
            </w:r>
          </w:p>
        </w:tc>
        <w:tc>
          <w:tcPr>
            <w:tcW w:w="170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售后服务</w:t>
            </w:r>
          </w:p>
        </w:tc>
        <w:tc>
          <w:tcPr>
            <w:tcW w:w="851"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p>
        </w:tc>
        <w:tc>
          <w:tcPr>
            <w:tcW w:w="11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项</w:t>
            </w:r>
          </w:p>
        </w:tc>
        <w:tc>
          <w:tcPr>
            <w:tcW w:w="510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3年的系统免费升级维护服务，保障系统正常运行，详见售后服务保障内容</w:t>
            </w:r>
          </w:p>
        </w:tc>
      </w:tr>
    </w:tbl>
    <w:p>
      <w:pPr>
        <w:keepNext w:val="0"/>
        <w:keepLines w:val="0"/>
        <w:pageBreakBefore w:val="0"/>
        <w:kinsoku/>
        <w:wordWrap/>
        <w:overflowPunct/>
        <w:topLinePunct w:val="0"/>
        <w:autoSpaceDE/>
        <w:autoSpaceDN/>
        <w:bidi w:val="0"/>
        <w:spacing w:line="288" w:lineRule="auto"/>
        <w:ind w:firstLine="422" w:firstLineChars="200"/>
        <w:textAlignment w:val="auto"/>
        <w:rPr>
          <w:rFonts w:hint="eastAsia" w:ascii="宋体" w:hAnsi="宋体" w:eastAsia="宋体" w:cs="宋体"/>
          <w:b/>
          <w:color w:val="auto"/>
          <w:spacing w:val="0"/>
          <w:sz w:val="21"/>
          <w:szCs w:val="21"/>
          <w:highlight w:val="none"/>
          <w:lang w:eastAsia="zh-CN"/>
        </w:rPr>
      </w:pPr>
      <w:r>
        <w:rPr>
          <w:rFonts w:hint="default" w:cs="宋体"/>
          <w:b/>
          <w:color w:val="auto"/>
          <w:spacing w:val="0"/>
          <w:sz w:val="21"/>
          <w:szCs w:val="21"/>
          <w:highlight w:val="none"/>
        </w:rPr>
        <w:t>根据项目实际要求，包含二级等保认证费用</w:t>
      </w:r>
      <w:r>
        <w:rPr>
          <w:rFonts w:hint="eastAsia" w:cs="宋体"/>
          <w:b/>
          <w:color w:val="auto"/>
          <w:spacing w:val="0"/>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firstLine="422" w:firstLineChars="200"/>
        <w:jc w:val="both"/>
        <w:textAlignment w:val="auto"/>
        <w:rPr>
          <w:rFonts w:hint="eastAsia" w:ascii="宋体" w:hAnsi="宋体" w:eastAsia="宋体" w:cs="宋体"/>
          <w:b/>
          <w:color w:val="auto"/>
          <w:spacing w:val="0"/>
          <w:kern w:val="2"/>
          <w:sz w:val="21"/>
          <w:szCs w:val="21"/>
          <w:highlight w:val="none"/>
          <w:lang w:val="en-US" w:eastAsia="zh-CN" w:bidi="ar-SA"/>
        </w:rPr>
      </w:pPr>
      <w:r>
        <w:rPr>
          <w:rFonts w:hint="eastAsia" w:ascii="宋体" w:hAnsi="宋体" w:eastAsia="宋体" w:cs="宋体"/>
          <w:b/>
          <w:color w:val="auto"/>
          <w:spacing w:val="0"/>
          <w:kern w:val="2"/>
          <w:sz w:val="21"/>
          <w:szCs w:val="21"/>
          <w:highlight w:val="none"/>
          <w:lang w:val="en-US" w:eastAsia="zh-CN" w:bidi="ar-SA"/>
        </w:rPr>
        <w:t>2.2 技术要求：</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bCs/>
          <w:color w:val="auto"/>
          <w:spacing w:val="0"/>
          <w:kern w:val="2"/>
          <w:sz w:val="21"/>
          <w:szCs w:val="21"/>
          <w:highlight w:val="none"/>
          <w:lang w:val="en-US" w:eastAsia="zh-CN" w:bidi="ar-SA"/>
        </w:rPr>
      </w:pPr>
      <w:r>
        <w:rPr>
          <w:rFonts w:hint="eastAsia" w:ascii="宋体" w:hAnsi="宋体" w:eastAsia="宋体" w:cs="宋体"/>
          <w:bCs/>
          <w:color w:val="auto"/>
          <w:spacing w:val="0"/>
          <w:kern w:val="2"/>
          <w:sz w:val="21"/>
          <w:szCs w:val="21"/>
          <w:highlight w:val="none"/>
          <w:lang w:val="en-US" w:eastAsia="zh-CN" w:bidi="ar-SA"/>
        </w:rPr>
        <w:t>系统所采用的技术路线应充分支持采购人信息化建设的应用需求和未来发展，确保整体架构设计的科学性、数据结构设计的合理性、核心算法设计的先进性、部署设计的灵活性，确保系统整体性能优越。</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bCs/>
          <w:color w:val="auto"/>
          <w:spacing w:val="0"/>
          <w:kern w:val="2"/>
          <w:sz w:val="21"/>
          <w:szCs w:val="21"/>
          <w:highlight w:val="none"/>
          <w:lang w:val="en-US" w:eastAsia="zh-CN" w:bidi="ar-SA"/>
        </w:rPr>
      </w:pPr>
      <w:r>
        <w:rPr>
          <w:rFonts w:hint="eastAsia" w:ascii="宋体" w:hAnsi="宋体" w:eastAsia="宋体" w:cs="宋体"/>
          <w:bCs/>
          <w:color w:val="auto"/>
          <w:spacing w:val="0"/>
          <w:kern w:val="2"/>
          <w:sz w:val="21"/>
          <w:szCs w:val="21"/>
          <w:highlight w:val="none"/>
          <w:lang w:val="en-US" w:eastAsia="zh-CN" w:bidi="ar-SA"/>
        </w:rPr>
        <w:t>（1）遵循信息化标准。系统的建设必须符合和遵守采购人制定的信息化相关标准要求，以便规范地进行业务数据的采集、存储、传输、应用。</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bCs/>
          <w:color w:val="auto"/>
          <w:spacing w:val="0"/>
          <w:kern w:val="2"/>
          <w:sz w:val="21"/>
          <w:szCs w:val="21"/>
          <w:highlight w:val="none"/>
          <w:lang w:val="en-US" w:eastAsia="zh-CN" w:bidi="ar-SA"/>
        </w:rPr>
      </w:pPr>
      <w:r>
        <w:rPr>
          <w:rFonts w:hint="eastAsia" w:ascii="宋体" w:hAnsi="宋体" w:eastAsia="宋体" w:cs="宋体"/>
          <w:bCs/>
          <w:color w:val="auto"/>
          <w:spacing w:val="0"/>
          <w:kern w:val="2"/>
          <w:sz w:val="21"/>
          <w:szCs w:val="21"/>
          <w:highlight w:val="none"/>
          <w:lang w:val="en-US" w:eastAsia="zh-CN" w:bidi="ar-SA"/>
        </w:rPr>
        <w:t>（2）面向对象的组件技术。构建后台分布式应用程序，快速响应采购人业务变更，搭建新应用。</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bCs/>
          <w:color w:val="auto"/>
          <w:spacing w:val="0"/>
          <w:kern w:val="2"/>
          <w:sz w:val="21"/>
          <w:szCs w:val="21"/>
          <w:highlight w:val="none"/>
          <w:lang w:val="en-US" w:eastAsia="zh-CN" w:bidi="ar-SA"/>
        </w:rPr>
      </w:pPr>
      <w:r>
        <w:rPr>
          <w:rFonts w:hint="eastAsia" w:ascii="宋体" w:hAnsi="宋体" w:eastAsia="宋体" w:cs="宋体"/>
          <w:bCs/>
          <w:color w:val="auto"/>
          <w:spacing w:val="0"/>
          <w:kern w:val="2"/>
          <w:sz w:val="21"/>
          <w:szCs w:val="21"/>
          <w:highlight w:val="none"/>
          <w:lang w:val="en-US" w:eastAsia="zh-CN" w:bidi="ar-SA"/>
        </w:rPr>
        <w:t>（3）应用程序开发与运行结构。应用系统平台的开发及运行结构要基于后台数据库的三层架构，即应用服务器和数据库服务器。</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bCs/>
          <w:color w:val="auto"/>
          <w:spacing w:val="0"/>
          <w:kern w:val="2"/>
          <w:sz w:val="21"/>
          <w:szCs w:val="21"/>
          <w:highlight w:val="none"/>
          <w:lang w:val="en-US" w:eastAsia="zh-CN" w:bidi="ar-SA"/>
        </w:rPr>
      </w:pPr>
      <w:r>
        <w:rPr>
          <w:rFonts w:hint="eastAsia" w:ascii="宋体" w:hAnsi="宋体" w:eastAsia="宋体" w:cs="宋体"/>
          <w:bCs/>
          <w:color w:val="auto"/>
          <w:spacing w:val="0"/>
          <w:kern w:val="2"/>
          <w:sz w:val="21"/>
          <w:szCs w:val="21"/>
          <w:highlight w:val="none"/>
          <w:lang w:val="en-US" w:eastAsia="zh-CN" w:bidi="ar-SA"/>
        </w:rPr>
        <w:t>（4）高可靠性与安全性。整个系统能在长时间内正常、稳定工作，避免随数据量增长系统反应迟缓，涉及隐私信息严格按照授权权限分层管理，对日常管理操作进行日志记录。</w:t>
      </w:r>
    </w:p>
    <w:p>
      <w:pPr>
        <w:keepNext w:val="0"/>
        <w:keepLines w:val="0"/>
        <w:pageBreakBefore w:val="0"/>
        <w:widowControl w:val="0"/>
        <w:kinsoku/>
        <w:wordWrap/>
        <w:overflowPunct/>
        <w:topLinePunct w:val="0"/>
        <w:autoSpaceDE/>
        <w:autoSpaceDN/>
        <w:bidi w:val="0"/>
        <w:spacing w:line="288" w:lineRule="auto"/>
        <w:ind w:firstLine="420" w:firstLineChars="200"/>
        <w:jc w:val="both"/>
        <w:textAlignment w:val="auto"/>
        <w:rPr>
          <w:rFonts w:hint="eastAsia" w:ascii="宋体" w:hAnsi="宋体" w:eastAsia="宋体" w:cs="宋体"/>
          <w:bCs/>
          <w:color w:val="auto"/>
          <w:spacing w:val="0"/>
          <w:kern w:val="2"/>
          <w:sz w:val="21"/>
          <w:szCs w:val="21"/>
          <w:highlight w:val="none"/>
          <w:lang w:val="en-US" w:eastAsia="zh-CN" w:bidi="ar-SA"/>
        </w:rPr>
      </w:pPr>
      <w:r>
        <w:rPr>
          <w:rFonts w:hint="eastAsia" w:ascii="宋体" w:hAnsi="宋体" w:eastAsia="宋体" w:cs="宋体"/>
          <w:bCs/>
          <w:color w:val="auto"/>
          <w:spacing w:val="0"/>
          <w:kern w:val="2"/>
          <w:sz w:val="21"/>
          <w:szCs w:val="21"/>
          <w:highlight w:val="none"/>
          <w:lang w:val="en-US" w:eastAsia="zh-CN" w:bidi="ar-SA"/>
        </w:rPr>
        <w:t>（6）高并发性。在技术上引入缓存机制，优化数据库设计。</w:t>
      </w:r>
    </w:p>
    <w:p>
      <w:pPr>
        <w:keepNext w:val="0"/>
        <w:keepLines w:val="0"/>
        <w:pageBreakBefore w:val="0"/>
        <w:kinsoku/>
        <w:wordWrap/>
        <w:overflowPunct/>
        <w:topLinePunct w:val="0"/>
        <w:autoSpaceDE/>
        <w:autoSpaceDN/>
        <w:bidi w:val="0"/>
        <w:spacing w:line="288" w:lineRule="auto"/>
        <w:ind w:firstLine="422" w:firstLineChars="200"/>
        <w:textAlignment w:val="auto"/>
        <w:rPr>
          <w:rFonts w:hint="eastAsia" w:ascii="宋体" w:hAnsi="宋体" w:eastAsia="宋体" w:cs="宋体"/>
          <w:b/>
          <w:color w:val="auto"/>
          <w:spacing w:val="0"/>
          <w:sz w:val="21"/>
          <w:szCs w:val="21"/>
          <w:highlight w:val="none"/>
          <w:lang w:eastAsia="zh-CN"/>
        </w:rPr>
      </w:pPr>
      <w:r>
        <w:rPr>
          <w:rFonts w:hint="eastAsia" w:ascii="宋体" w:hAnsi="宋体" w:eastAsia="宋体" w:cs="宋体"/>
          <w:b/>
          <w:color w:val="auto"/>
          <w:spacing w:val="0"/>
          <w:sz w:val="21"/>
          <w:szCs w:val="21"/>
          <w:highlight w:val="none"/>
        </w:rPr>
        <w:t>2.3</w:t>
      </w:r>
      <w:r>
        <w:rPr>
          <w:rFonts w:hint="eastAsia" w:ascii="宋体" w:hAnsi="宋体" w:eastAsia="宋体" w:cs="宋体"/>
          <w:b/>
          <w:color w:val="auto"/>
          <w:spacing w:val="0"/>
          <w:sz w:val="21"/>
          <w:szCs w:val="21"/>
          <w:highlight w:val="none"/>
          <w:lang w:val="en-US" w:eastAsia="zh-CN"/>
        </w:rPr>
        <w:t xml:space="preserve"> </w:t>
      </w:r>
      <w:r>
        <w:rPr>
          <w:rFonts w:hint="eastAsia" w:ascii="宋体" w:hAnsi="宋体" w:eastAsia="宋体" w:cs="宋体"/>
          <w:b/>
          <w:color w:val="auto"/>
          <w:spacing w:val="0"/>
          <w:sz w:val="21"/>
          <w:szCs w:val="21"/>
          <w:highlight w:val="none"/>
        </w:rPr>
        <w:t>技术架构</w:t>
      </w:r>
      <w:r>
        <w:rPr>
          <w:rFonts w:hint="eastAsia" w:ascii="宋体" w:hAnsi="宋体" w:eastAsia="宋体" w:cs="宋体"/>
          <w:b/>
          <w:color w:val="auto"/>
          <w:spacing w:val="0"/>
          <w:sz w:val="21"/>
          <w:szCs w:val="21"/>
          <w:highlight w:val="none"/>
          <w:lang w:eastAsia="zh-CN"/>
        </w:rPr>
        <w:t>：</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本系统应采用先进的设计思想和技术，搭建合理的架构，应用先进成熟的软硬件技术进行设计，保证系统功能符合当前和未来管理及信息化改革发展趋势。</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（1）基于SOA的系统架构</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SOA是当前先进的软件设计架构，采用基于服务的设计理念，遵循SOA相关标准与规范（服务组件架构SCA、服务数据对象SDO）来解决异构系统间的集成，建立学校的WebService服务库和服务管理平台（SMP），为办公人员提供个性化的服务。提高系统的可维护性和软件代码的重用性，降低对IT资源的投资。</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（2）系统开发平台</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按J2EE(Java 2 Enterprise Edition)规格，采用Java编程语言和服务器端Java语言开发。采用分布式组件EJBs和Web Services实现业务逻辑；服务的定位采用JNDI/UDDI方式，支持分布式服务提供者，数据库采用Oracle。</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（3）面向对象的组件技术</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面向对象的组件技术是一种完全独立于硬件和操作系统的开发环境，着重于开发构成应用程序“业务对象”的可重复使用的组件，利用这些组件顺利地建立分布式应用程序。</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（4）系统采用纯B/S架构</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系统支持多终端访问，基于HTML5技术，能够支持PC、手机、平板电脑等多种终端的自适应访问，所有服务必须保证常见浏览器兼容性，要求支持IE、360、火狐、Chrome和Safari等主流浏览器。</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（5）系统具有良好的扩展性</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系统能够支持软硬件可扩展，能实现软件快速开发和重组，支持系统二次开发，使得系统能支持未来业务的不断变化。</w:t>
      </w:r>
    </w:p>
    <w:p>
      <w:pPr>
        <w:keepNext w:val="0"/>
        <w:keepLines w:val="0"/>
        <w:pageBreakBefore w:val="0"/>
        <w:kinsoku/>
        <w:wordWrap/>
        <w:overflowPunct/>
        <w:topLinePunct w:val="0"/>
        <w:autoSpaceDE/>
        <w:autoSpaceDN/>
        <w:bidi w:val="0"/>
        <w:spacing w:line="288" w:lineRule="auto"/>
        <w:ind w:firstLine="422" w:firstLineChars="200"/>
        <w:textAlignment w:val="auto"/>
        <w:rPr>
          <w:rFonts w:hint="eastAsia" w:ascii="宋体" w:hAnsi="宋体" w:eastAsia="宋体" w:cs="宋体"/>
          <w:b/>
          <w:color w:val="auto"/>
          <w:spacing w:val="0"/>
          <w:sz w:val="21"/>
          <w:szCs w:val="21"/>
          <w:highlight w:val="none"/>
          <w:lang w:eastAsia="zh-CN"/>
        </w:rPr>
      </w:pPr>
      <w:r>
        <w:rPr>
          <w:rFonts w:hint="eastAsia" w:ascii="宋体" w:hAnsi="宋体" w:eastAsia="宋体" w:cs="宋体"/>
          <w:b/>
          <w:color w:val="auto"/>
          <w:spacing w:val="0"/>
          <w:sz w:val="21"/>
          <w:szCs w:val="21"/>
          <w:highlight w:val="none"/>
        </w:rPr>
        <w:t>2.4</w:t>
      </w:r>
      <w:r>
        <w:rPr>
          <w:rFonts w:hint="eastAsia" w:ascii="宋体" w:hAnsi="宋体" w:eastAsia="宋体" w:cs="宋体"/>
          <w:b/>
          <w:color w:val="auto"/>
          <w:spacing w:val="0"/>
          <w:sz w:val="21"/>
          <w:szCs w:val="21"/>
          <w:highlight w:val="none"/>
          <w:lang w:val="en-US" w:eastAsia="zh-CN"/>
        </w:rPr>
        <w:t xml:space="preserve"> </w:t>
      </w:r>
      <w:r>
        <w:rPr>
          <w:rFonts w:hint="eastAsia" w:ascii="宋体" w:hAnsi="宋体" w:eastAsia="宋体" w:cs="宋体"/>
          <w:b/>
          <w:color w:val="auto"/>
          <w:spacing w:val="0"/>
          <w:sz w:val="21"/>
          <w:szCs w:val="21"/>
          <w:highlight w:val="none"/>
        </w:rPr>
        <w:t>安全要求</w:t>
      </w:r>
      <w:r>
        <w:rPr>
          <w:rFonts w:hint="eastAsia" w:ascii="宋体" w:hAnsi="宋体" w:eastAsia="宋体" w:cs="宋体"/>
          <w:b/>
          <w:color w:val="auto"/>
          <w:spacing w:val="0"/>
          <w:sz w:val="21"/>
          <w:szCs w:val="21"/>
          <w:highlight w:val="none"/>
          <w:lang w:eastAsia="zh-CN"/>
        </w:rPr>
        <w:t>：</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平台必须具有严格的安全机制，包括真正的三层结构（数据层、应用层、WEB层）、严格的身份授权机制（绑定MAC地址、按角色、数据表、字段等授权）、敏感数据的监控预警等，从全方位确保整个平台的安全可靠。</w:t>
      </w:r>
      <w:r>
        <w:rPr>
          <w:rFonts w:hint="eastAsia" w:ascii="宋体" w:hAnsi="宋体" w:eastAsia="宋体" w:cs="宋体"/>
          <w:bCs/>
          <w:color w:val="auto"/>
          <w:spacing w:val="0"/>
          <w:sz w:val="21"/>
          <w:szCs w:val="21"/>
          <w:highlight w:val="none"/>
          <w:lang w:eastAsia="zh-CN"/>
        </w:rPr>
        <w:t>响应供应商</w:t>
      </w:r>
      <w:r>
        <w:rPr>
          <w:rFonts w:hint="eastAsia" w:ascii="宋体" w:hAnsi="宋体" w:eastAsia="宋体" w:cs="宋体"/>
          <w:bCs/>
          <w:color w:val="auto"/>
          <w:spacing w:val="0"/>
          <w:sz w:val="21"/>
          <w:szCs w:val="21"/>
          <w:highlight w:val="none"/>
        </w:rPr>
        <w:t>从物理安全、网络安全、系统安全、应用软件安全、用户安全、数据安全等几个方面提出配套的安全体系完善方案，以便防范安全风险。</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信息保密：充分利用密码技术，对于需要保密的信息，采用密码技术进行加解密处理，防止信息的非授权泄漏，确保涉密信息在产生、存储、传递和处理过程中的保密。</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数据校验：建立数据完整性检验机制，保证收发双方数据的一致性，防止信息被非授权修改。</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监控预警：记录应用日志，对事件进行分析，并能提供预警信息。</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数据备份：利用数据库的备份功能将建设的平台和系统数据备份到指定的服务器或存储系统上。</w:t>
      </w:r>
    </w:p>
    <w:p>
      <w:pPr>
        <w:keepNext w:val="0"/>
        <w:keepLines w:val="0"/>
        <w:pageBreakBefore w:val="0"/>
        <w:kinsoku/>
        <w:wordWrap/>
        <w:overflowPunct/>
        <w:topLinePunct w:val="0"/>
        <w:autoSpaceDE/>
        <w:autoSpaceDN/>
        <w:bidi w:val="0"/>
        <w:spacing w:line="288" w:lineRule="auto"/>
        <w:ind w:firstLine="420" w:firstLineChars="200"/>
        <w:textAlignment w:val="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应急处理：若系统出现网络安全漏洞或病毒感染，应在24小时内及时进行修补、清除或其他手段消除安全隐患并出具处理报告。</w:t>
      </w:r>
    </w:p>
    <w:p>
      <w:pPr>
        <w:keepNext w:val="0"/>
        <w:keepLines w:val="0"/>
        <w:pageBreakBefore w:val="0"/>
        <w:kinsoku/>
        <w:wordWrap/>
        <w:overflowPunct/>
        <w:topLinePunct w:val="0"/>
        <w:autoSpaceDE/>
        <w:autoSpaceDN/>
        <w:bidi w:val="0"/>
        <w:spacing w:line="288" w:lineRule="auto"/>
        <w:ind w:firstLine="422" w:firstLineChars="200"/>
        <w:textAlignment w:val="auto"/>
        <w:rPr>
          <w:rFonts w:hint="eastAsia" w:ascii="宋体" w:hAnsi="宋体" w:eastAsia="宋体" w:cs="宋体"/>
          <w:b/>
          <w:color w:val="auto"/>
          <w:spacing w:val="0"/>
          <w:sz w:val="21"/>
          <w:szCs w:val="21"/>
          <w:highlight w:val="none"/>
          <w:lang w:eastAsia="zh-CN"/>
        </w:rPr>
      </w:pPr>
      <w:r>
        <w:rPr>
          <w:rFonts w:hint="eastAsia" w:ascii="宋体" w:hAnsi="宋体" w:eastAsia="宋体" w:cs="宋体"/>
          <w:b/>
          <w:color w:val="auto"/>
          <w:spacing w:val="0"/>
          <w:sz w:val="21"/>
          <w:szCs w:val="21"/>
          <w:highlight w:val="none"/>
        </w:rPr>
        <w:t>2.5</w:t>
      </w:r>
      <w:r>
        <w:rPr>
          <w:rFonts w:hint="eastAsia" w:ascii="宋体" w:hAnsi="宋体" w:eastAsia="宋体" w:cs="宋体"/>
          <w:b/>
          <w:color w:val="auto"/>
          <w:spacing w:val="0"/>
          <w:sz w:val="21"/>
          <w:szCs w:val="21"/>
          <w:highlight w:val="none"/>
          <w:lang w:val="en-US" w:eastAsia="zh-CN"/>
        </w:rPr>
        <w:t xml:space="preserve"> </w:t>
      </w:r>
      <w:r>
        <w:rPr>
          <w:rFonts w:hint="eastAsia" w:ascii="宋体" w:hAnsi="宋体" w:eastAsia="宋体" w:cs="宋体"/>
          <w:b/>
          <w:color w:val="auto"/>
          <w:spacing w:val="0"/>
          <w:sz w:val="21"/>
          <w:szCs w:val="21"/>
          <w:highlight w:val="none"/>
        </w:rPr>
        <w:t>总体功能需求</w:t>
      </w:r>
      <w:r>
        <w:rPr>
          <w:rFonts w:hint="eastAsia" w:ascii="宋体" w:hAnsi="宋体" w:eastAsia="宋体" w:cs="宋体"/>
          <w:b/>
          <w:color w:val="auto"/>
          <w:spacing w:val="0"/>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2.5.1 决策支持驾驶舱：</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决策支持驾驶舱分为九大模块，要求为：第一部分：浙里学子，第二部分：辅导员，第三部分：心理教师，第四部分：思政教师，第五部分：思政课程，第六部分：思想教育，第七部分：心理健康，第八部分：特色应用，第九部分：督办督查，每个模块支持大屏数据展示。</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▲（2）支持“生成简报”功能，按照选择数据项自动进行数据简报生成。</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（3）驾驶舱页面提供“账户管理”功能，管理员支持对数据大屏的访问账号进行新增与删除的管理操作，可以为其他用户提供数据大屏的访问账号。</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（4）浙里学子</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汇集、清洗、集成全省高校学生基本信息并大屏展示，包含全省各高校学生的生源地分布、民族分布、男女生占比、政治面貌、年级分布、培养层次分布、各高校学生统计数据的展示，用于应对学生管理工作中的各种突发工作情况，便于随时掌握和了解全省各高校学生的情况。</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（5）辅导员</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汇集、清洗、集成全省高校辅导员基本情况并大屏展示，包含辅导员年龄结构、辅导员男女分布、辅导员政治面貌、全省高校辅导员人数、各高校辅导员配比情况、辅导员任职时间、辅导员编制及职称、辅导员学历分布。</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（6）心理教师</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汇集、清洗、集成全省高校心理教师基本情况并大屏展示，包含心理教师年龄结构、心理教师男女分布、心理教师政治面貌、全省高校辅导员心理教师人数、各高校心理教师配比情况、心理教师任职时间、心理教师学历分布、心理教师总体情况（年度人均参加培训次数、本学期人均咨询个案人次、个体人均督导时长）等。</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（7）思政教师</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汇集、清洗、集成全省高校思政教师基本情况并大屏展示，包含思政教师年龄结构、思政教师男女分布、思政教师政治面貌、全省高校思政教师人数、各高校思政教师配比情况、思政教师任职时间、思政教师职称结构、思政教师学历分布。</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（8）思政课程</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汇集、清洗、集成全省高校重点马院、一流课程、学位建设点、名师大讲堂基本情况并大屏展示。</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（9）思想教育</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汇集、清洗、集成省属高校党史教育、辅导员谈心谈话、辅导员上课、社团、思政成果等具体情况，具体要求如下：</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1）党史教育</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支持可视化数据直观展现了党史教育工作的进展情况。应包含党员信息（教师、研究生、本科生、专科生数及占比）；团员信息（教师、研究生、本科生、专科生数及占比）；培训情况（基层党组织书记培训人次，思政课教师培训人次，思政课教师培训覆盖面）；省级以上获奖情况（获奖高校、获奖人员、获奖名称、获奖时间）；宣讲情况（二级学院及以上领导干部党史专题宣讲总人数，校级及以上理论宣讲团党党史学习教育宣讲场次）；学习开展情况（二级学院及以上党委（党组）理论学习中心组专题学习次数；必读书目习近平《论中国共产党历史》学习宣传（发行）数量；必读书目《毛泽东 邓小平 江泽民 胡锦涛关于中国共产党历史论述摘编》学习宣传（发行）数量；必读书目《习近平新时代中国特色社会主义思想学习问答》学习宣传（发行）数量；必读书目《中国共产党简史》学习宣传（发行）数量）；三服务情况（二级学院及以上领导干部领衔破解群众、企业、基层难题数量；为师生群众办实事总数量；为企业解决难题项目数）；主题活动情况（举报校级以上主题活动场次；参与红色研学人次）；宣传情况（市级以上领导对简报批示次数；简报编发期数；省级及以上党史学习教育简报信息录用次数；中央媒体宣传报道数量；省级媒体宣传报道数量；市级媒体宣传报道数量）；巡回指导情况（巡回指导组指导次数，校领导班子专题民主生活会次数，党史学习教育问题拟整改项目数。</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2）谈心谈话</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辅导员端支持200+对象导入、谈话登记；支持二级学院学生导入、校学生导入、校级谈话统计监督、谈心谈话情况查询、统计及、个性化设置。</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3）辅导员课堂</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支持可视化展示全省高校辅导员上课、社团、思政成果具体数据情况。应包含：社团类型分布（科技学术类、文艺体育类、理论学习类、公益服务类、其他）、各类型社团学术数、各高校社团数、课程类型（课程总数，生涯规划、心理健康、创新创业、形式与政策等课程数）、上课辅导员数、覆盖学生数、思政成果、成果类型（课题、项目、竞赛、荣誉）、成果排名。</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▲（10）心理健康</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心理健康模块应包含全省高校心理普查、教育咨询、危机干预、危机援助概况，具体要求如下：</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1）心理普查</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汇集、清洗、集成全省高校学生心理普测结果数据并进行可视化展示。支持评测结果上报、心理普查查询及统计。</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2）教育咨询</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按照《心理月报》字段要求，约90余字段，汇集、清洗、集成全省高校心理月报数据并进行可视化展示。</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3）危机干预</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按照《危机干预》字段要求，约40余字段，汇集、清洗、集成全省高校危机干预数据并进行可视化展示。</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4）危机援助</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汇集、清洗、集成全省高校危机援助动态并进行可视化展示，主要包括：全省高校危机援助事件概况（危机事件总数、处理中事件数、已处理事件数）、危机援助事件类型、危机援助事件处置结果、特急事件数、紧急事件数、疑难事件数、全省危机援助实时动态（包含全省各地区事件情况，以地图形式展示）、今日值班专家、危机援助事件高校分布、危机援助事件月份分布。</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（11）特色应用</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全省各高校通过该模块可展示目前本校信息化建设情况，包括上课啦-学业在线、就业啦-生涯在线、运动啦-活力在线、实践啦-劳动在线、竞赛啦-学科在线、就寝啦-智慧社区、心理预警、浙里成长、浙里辅导员等9大应用场景在校本级的应用情况。</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省教育厅通过该模块可清晰的了解到各高校的目前数字化建设。支持通过地图展示各地理区域的高校，通过选择对应的位置查询各高校，也可通过搜索框输入要查询高校名称进行查询。特色高校展示各学校的管理或内容特色，实现大屏展现，可根据情况下钻到二、三级页面。</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（12）督查督办</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主要分为督查督办、任务提醒。主要用户校本级、高校辅导员、心理教师、心理专家等可在系统内进行进行任务受理、进度上报。系统本级可进行任务发布、任务督查。并汇集、清洗、集成系统数据进行可视化展示。</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2.5.2 思政工作台：</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思政工作台应包含以下内容：队伍管理、队伍发展、岗前培训、专题培训、辅导员竞赛、在职考博、教育部骨干培训、思政专家、思政课程、思想教育、谈心谈话\特色应用、督查督办。主要用户为全省高校辅导员、心理教师、思政教师。</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供应商须提供系统原型图或Demo系统图。</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2.5.3 危机援助系统：</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（1）危机援助</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危机援助是为高校心理工作者提供的一项系统的、长期的援助和福利计划。它通过专业人员对理危机事件的诊断、建议、专业指导、培训和咨询，帮助高校中心及其工作者专业、快速处理危机事件。提高高校心理教师危机处理能力、危机管理能力，为大学生心理健康保驾护航。主要功能包含：</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疑难事件上报：当危机事件发生后，支持高校心理教师登录危机干预系统，心理教师通过系统预约专家，专家在预约时间电话反馈给高校心理教师，专家根据与高校心理教师交流情况，通过系统填写《处置意⻅表》。</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（2）紧急事件上报：针对高校突发的紧急事件，高校心理教师发起危机事件上报，由心理工作人员分配专家进行事件的处理。</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（3）特急事件上报：支持高校心理教师填写学校名称、联系人信息即可获取热线电话，进行热线电话沟通，沟通结束后进行事件信息补录。</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（4）专家处置干预：支持专家填写处置意见表，可以选择是否入驻。选择“是”的话，就由专家组入驻进行干预处理；选择“否”的话，就由高校自行干预。如需就医，可以通过学⽣⼼理治疗（互联⽹) 中⼼进行后续的就医流程。干预完成后，支持心理教师反馈干预结果，填写《反馈表》。</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（2）心理月报</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 xml:space="preserve">支持各高校学生处相关工作人员每月25日登录危机援助系统，在线填写《月报表》，具体内容包含高校学生心理咨询人次/月、心理咨询类型、心理危机事件数量/月（除特急、紧急和疑难以外的日常危机干预事件及相关信息）等。 </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（3）心理学期报</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支持各高校学生处相关工作人员每学期末登录危机援助系统在线填写心理学期报数据。具体内容包含高校学生心理课程门数/学期（含必修和选修）、心理宣教活动数量/学期、参与学生人数。</w:t>
      </w:r>
    </w:p>
    <w:p>
      <w:pPr>
        <w:keepNext w:val="0"/>
        <w:keepLines w:val="0"/>
        <w:pageBreakBefore w:val="0"/>
        <w:kinsoku/>
        <w:wordWrap/>
        <w:overflowPunct/>
        <w:topLinePunct w:val="0"/>
        <w:autoSpaceDE/>
        <w:autoSpaceDN/>
        <w:bidi w:val="0"/>
        <w:spacing w:line="288" w:lineRule="auto"/>
        <w:ind w:firstLine="422" w:firstLineChars="200"/>
        <w:textAlignment w:val="auto"/>
        <w:rPr>
          <w:rFonts w:hint="eastAsia" w:ascii="宋体" w:hAnsi="宋体" w:eastAsia="宋体" w:cs="宋体"/>
          <w:b/>
          <w:color w:val="auto"/>
          <w:spacing w:val="0"/>
          <w:sz w:val="21"/>
          <w:szCs w:val="21"/>
          <w:highlight w:val="none"/>
          <w:lang w:eastAsia="zh-CN"/>
        </w:rPr>
      </w:pPr>
      <w:r>
        <w:rPr>
          <w:rFonts w:hint="eastAsia" w:ascii="宋体" w:hAnsi="宋体" w:eastAsia="宋体" w:cs="宋体"/>
          <w:b/>
          <w:color w:val="auto"/>
          <w:spacing w:val="0"/>
          <w:sz w:val="21"/>
          <w:szCs w:val="21"/>
          <w:highlight w:val="none"/>
        </w:rPr>
        <w:t>2.</w:t>
      </w:r>
      <w:r>
        <w:rPr>
          <w:rFonts w:hint="eastAsia" w:ascii="宋体" w:hAnsi="宋体" w:eastAsia="宋体" w:cs="宋体"/>
          <w:b/>
          <w:color w:val="auto"/>
          <w:spacing w:val="0"/>
          <w:sz w:val="21"/>
          <w:szCs w:val="21"/>
          <w:highlight w:val="none"/>
          <w:lang w:val="en-US" w:eastAsia="zh-CN"/>
        </w:rPr>
        <w:t xml:space="preserve">6 </w:t>
      </w:r>
      <w:r>
        <w:rPr>
          <w:rFonts w:hint="eastAsia" w:ascii="宋体" w:hAnsi="宋体" w:eastAsia="宋体" w:cs="宋体"/>
          <w:b/>
          <w:color w:val="auto"/>
          <w:spacing w:val="0"/>
          <w:sz w:val="21"/>
          <w:szCs w:val="21"/>
          <w:highlight w:val="none"/>
        </w:rPr>
        <w:t>数据服务要求</w:t>
      </w:r>
      <w:r>
        <w:rPr>
          <w:rFonts w:hint="eastAsia" w:ascii="宋体" w:hAnsi="宋体" w:eastAsia="宋体" w:cs="宋体"/>
          <w:b/>
          <w:color w:val="auto"/>
          <w:spacing w:val="0"/>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（1）数据标准规范梳理</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支持通过高校智慧思政大数据系统建设,依托数据交换平台以及智慧思政省、校两级系统的构建,完成全省智慧思政数据标准规范的制定,主要建设内容包含：</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①《浙江高校网络思想政治工作中心智慧思政大数据平台业务技术规范》</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②《浙江高校网络思想政治工作中心智慧思政大数据平台数据模型规范》</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③《浙江高校网络思想政治工作中心智慧思政大数据平台实施管理规范》</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④《浙江高校网络思想政治工作中心智慧思政大数据平台数据安全管理规范》</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（2）数据对接</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①支持教育厅数转办数据对接；</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②支持与全省辅导员数据对接；</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③支持全省高校心理健康数据对接。</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（3）数据治理</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①明确思政主题库表字段设计；</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②设计编写mysql建库建表脚本、odps建表脚本、对接标准文档、校方上传模板、技术文档；</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③查询各个高校数据上报情况与可能上报时相关错误设置的问题，并将问题反馈给各高校教师，协助解决问题；</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④省厅环境搭建及数据库创建，创建高校数据汇聚任务与省厅数据下发任务；</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⑤高校数据上传任务监控，编写汇聚进度表，定时更新；</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⑥辅导员、思政教师、心理教师、心理健康、学生基本信息、党团建设等系统所需数据汇总、数据治理、大屏展示与开发。</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3.项目实施要求：</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3.1 时间进度：</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实施内容可根据采购人的实际情况适当进行调整。响应供应商需要详述项目实施方案，包括工期进度表、项目实施组织机构、项目组成人员分工和人员保证、项目实施方式与采用的项目管理工具等方面的内容。</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default"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3.2 实施方案：</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响应方案中应进行简要的描述，主要内容应包括以下几个层面：</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组织架构与职责：在项目的管理过程中，成交供应商、采购人应共同组建项目建设小组。成交供应商指定项目负责人和核心技术骨干，保证人员的数量、质量和人员的稳定性、连续性，实现例会制度，规划项目建设的进程、相关措施和实施办法，及时考核各阶段建设情况。</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（2）实施阶段划分：在分阶段实施计划的基础上，进一步明确和细化每个阶段的工作范围、内容、人力投入、过程、责任、交付成果等。</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项目人员配置与责任：在分阶段实施计划的基础上，进一步明确和细化每个阶段投入人力的技能要求、工作任务、承担责任等。成交供应商确保项目负责人、核心技术人员的数量、质量，提供其技术经历相关资料。</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3.3 项目管理：</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响应供应商必须对项目的建设制定科学严格的管理方案与措施，实现系统计划、有序组织、科学指导和有效控制，促进项目全面顺利实施。</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项目配置管理：在项目的开发过程中以及交付使用后，会产生大量文档和程序，如：需求分析说明、设计说明、可执行码、用户手册、测试用例、测试结果等技术性文档以及合同、计划、会议记录、报告等管理文档，而且文档的版本在不断变迁和修改中，势必产生一个庞大、动态的信息集合。因此，必须建设相应的配置管理系统，通过一系列技术、方法和手段来维护产品的历史、鉴别和定位产品独有的版本、在产品开发和发布阶段控制变化，制定规范的配置管理工作计划和流程，沟通交流配置管理工作情况，从而使管理制度化、有效减少重复性工作、保证产品的质量和效率和系统的后续升级和维护。</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项目管理规范和手段：根据该项目的实施方案，在实施过程中，为了保证用户方、开发方、专家监理等各方能够对项目建设实施进行监控，及时发现和解决的问题，必须建立相应的项目管理规范，包括项目执行监控流程、执行监控的方法、执行监控的责任等，使管理和监控工作流程化、规范化，管理和监控工作责任明确。</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（3）项目管理控制：包含项目范围、风险、进度、质量、变更管理控制，贯穿项目开发建设的始终，必须做到对项目建设范围准确定义，一旦范围发生变更，要有相应的变更控制和应对措施。</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风险管理：项目风险管理是对项目风险从识别到分析到应对措施的一个过程，包括风险识别、风险量化、风险对策、风险对策实施控制四个方面。项目在实施过程中会出项各种各样的风险，必须做到充分、有效识别风险，应对风险和控制风险，在项目实施之初必须制定风险预测和规避风险的对策。</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5）软件项目的开发管理：必须要按照软件工程的方法，开发过程满足软件生存期的要求，采用先进的软件开发的方法和软件开发的工具，科学地管理软件开发的过程，降低软件开发的风险和成本，使软件项目获得较高的经济效益和社会效益。</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6）规范的文档管理。根据项目实施进度，按时提交项目成果及相关文档。文档的提交应覆盖以下内容：项目实施前的项目实施方案、组织架构与职责等；项目实施期间的需求分析说明、详细设计说明、数据库设计说明书、用户手册、测试方案、测试报告等技术性文档，以及项目实施过程中的计划、会议记录、报告等管理文档；项目实施后的系统试运行报告、开发总结报告等；培训期间的培训计划、使用手册，以及其他需要提交的材料。</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3.4 项目培训需求：</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培训应贯串于整个项目的实施过程，包括在从项目准备、研发到项目运行的全过程中。需要提供以下几方面关于培训的描述，响应供应商需提供详细的培训计划和内容。</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培训要求。响应供应商派出的培训教员应具有丰富的教务系统的培训经验和应用经验；响应供应商必须为所有被培训人员提供培训用文字资料和讲义等相关材料；响应供应商应按合同规定安排培训时间，确保培训名额。</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（2）培训方式。包括课堂集中讲解、上机操作和参与实际工作的过程培训。</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培训工作的内容和对象描述。响应供应商进行的培训工作包括了培训方案的设计、培训开发、培训实施和培训效果评估，及时监控培训效果，保证培训课程符合我校实际的需要。提供系统运行（含试运行）的各个阶段相应的培训内容的描述，培训阶段安排包括：项目管理培训、系统管理培训、系统运行维护培训等。</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3.5 售后服务保障：</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3.5.1 售后服务保障要求</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响应供应商应确保其技术建议以及所提供产品的完整性、实用性，保证全部系统及时投入正常运行。否则若出现因响应供应商提供的产品不满足要求、不合理，或者其所提供的技术支持和服务不全面，而导致系统无法实现或不能完全实现的状况，响应供应商负全部责任。</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响应供应商应在本项目验收通过之日起，提供3年的免费服务与质保（包括软件基本运维及项目范围内的功能变更）。质保期自项目验收合格之日起计算，如果系统在质保期内发生故障，响应供应商应及时予以响应（免费上门服务），否则采购人将自行采取必要的措施，由此产生风险和费用由响应供应商承担。</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在开发过程中，采购单位可能存在流程变更和功能变更，响应供应商须承诺无条件提供修改服务。正式验收通过后的在免费维保期内，采购单位因业务调整而导致系统需求的变更，响应供应商仍应免费按采购单位需求对整个系统做出相应修改。</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除了上述的有关承诺之外，响应供应商应根据以下各项具体要求，向用户提供全面、周到、细致、及时的售后服务保障方案，并在投标书中对以下表述内容作出明确承诺和响应。内容主要包括以下几个方面：</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①在采购人有其他应用系统集成开发需要时，响应供应商有责任和义务向我校提供本系统相关接口文档资料，并积极配合采购人工作。</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②积极配合采购人完成相关工作，积极配合解决工作过程中的问题。</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③按期完成培训工作，系统上线后的维护和技术带领期不低于6个月。系统技术带领期内，能对用户的使用意见进行充分的调研和回应。</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④产品质保期内提供的保修不向采购人收取任何费用，人为因素、自然因素（如火灾、雷击等）造成的故障除外。</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⑤提供长期稳定的维护人员名单及联系方式。</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3.5.2 运行服务内容</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方案中应对服务的范围和内容进行详细阐述，并至少包括以下内容：</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（1）缺陷管理：针对本次招标的各类应用支撑平台中存在的bug、缺陷，不论在质保期内、外，响应供应商均应持续提供修正与消缺服务。</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（2）应急故障处理：系统运行环境出现故障或意外情况导致系统不能正常运行时，响应供应商需提供响应的情况描述，包括针对不同故障级别的响应时间和响应内容。</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（3）系统升级：提供应用平台的软件补丁版本的升级服务。</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（4）需求变更：对于采购人自身业务规则的变化导致的非模块级功能需求变更、性能要求提升导致的部署结构变化，可经双方协商提供限定次数的服务支持。</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（5）文档服务：整个服务过程均需有完善的文档记录，便于跟踪、分析问题；对各项服务提供详细的书面报告，包括故障处理报告、健康巡检报告、系统性能检测调优报告、维护总表报告、服务年度报告等。</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（6）运行支持：对系统运行过程中师生用户及业务部门的问题提供解答和问题解决跟踪，对于关键业务点的上线推广与运行提供现场保障。</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3.5.3 服务请求方式</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对双方联系沟通的方式进行详细描述，以方便采购人便利的获取各类即时的和非即时的服务支持。响应供应商提供的服务请求方式至少应包括：服务热线电话和联系人、联系单位信息、信函/传真、电子邮件、服务网站。</w:t>
      </w:r>
    </w:p>
    <w:p>
      <w:pPr>
        <w:keepNext w:val="0"/>
        <w:keepLines w:val="0"/>
        <w:pageBreakBefore w:val="0"/>
        <w:widowControl w:val="0"/>
        <w:kinsoku/>
        <w:wordWrap/>
        <w:overflowPunct/>
        <w:topLinePunct w:val="0"/>
        <w:autoSpaceDE/>
        <w:autoSpaceDN/>
        <w:bidi w:val="0"/>
        <w:spacing w:line="288" w:lineRule="auto"/>
        <w:ind w:firstLine="422" w:firstLineChars="200"/>
        <w:jc w:val="left"/>
        <w:textAlignment w:val="auto"/>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4.商务要求：</w:t>
      </w:r>
    </w:p>
    <w:p>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4.1 本项目响应报价包括开发设计、供货、安装、调试、培训、维保等所有费用（含与第三方平台或系统对接的费用），即从合同签订到整个系统调试验收合格交付采购人使用，采购人不再另行支付其他费用。</w:t>
      </w:r>
    </w:p>
    <w:p>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4.2 系统需要对接全省高校辅导员培训学习系统以及各试点高校场景接入。</w:t>
      </w:r>
    </w:p>
    <w:p>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4.3 开发后的系统产权归属省教育厅。</w:t>
      </w:r>
    </w:p>
    <w:p>
      <w:pPr>
        <w:adjustRightInd w:val="0"/>
        <w:snapToGrid w:val="0"/>
        <w:spacing w:line="288" w:lineRule="auto"/>
        <w:ind w:firstLine="422" w:firstLineChars="200"/>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5.演示：</w:t>
      </w:r>
    </w:p>
    <w:p>
      <w:pPr>
        <w:adjustRightInd w:val="0"/>
        <w:snapToGrid w:val="0"/>
        <w:spacing w:line="288" w:lineRule="auto"/>
        <w:ind w:firstLine="422" w:firstLineChars="200"/>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w:t>
      </w:r>
      <w:r>
        <w:rPr>
          <w:rFonts w:hint="eastAsia" w:cs="Times New Roman"/>
          <w:b/>
          <w:bCs/>
          <w:color w:val="auto"/>
          <w:sz w:val="21"/>
          <w:szCs w:val="21"/>
          <w:highlight w:val="none"/>
          <w:lang w:val="en-US" w:eastAsia="zh-CN"/>
        </w:rPr>
        <w:t>5</w:t>
      </w:r>
      <w:r>
        <w:rPr>
          <w:rFonts w:hint="eastAsia" w:ascii="宋体" w:hAnsi="宋体" w:eastAsia="宋体" w:cs="Times New Roman"/>
          <w:b/>
          <w:bCs/>
          <w:color w:val="auto"/>
          <w:sz w:val="21"/>
          <w:szCs w:val="21"/>
          <w:highlight w:val="none"/>
        </w:rPr>
        <w:t>.1 供应商演示内容需为真人操作软件</w:t>
      </w:r>
      <w:r>
        <w:rPr>
          <w:rFonts w:hint="eastAsia" w:ascii="宋体" w:hAnsi="宋体" w:eastAsia="宋体" w:cs="Times New Roman"/>
          <w:b/>
          <w:bCs/>
          <w:color w:val="auto"/>
          <w:sz w:val="21"/>
          <w:szCs w:val="21"/>
          <w:highlight w:val="none"/>
          <w:lang w:val="en-US" w:eastAsia="zh-CN"/>
        </w:rPr>
        <w:t>或DEMO系统</w:t>
      </w:r>
      <w:r>
        <w:rPr>
          <w:rFonts w:hint="eastAsia" w:ascii="宋体" w:hAnsi="宋体" w:eastAsia="宋体" w:cs="Times New Roman"/>
          <w:b/>
          <w:bCs/>
          <w:color w:val="auto"/>
          <w:sz w:val="21"/>
          <w:szCs w:val="21"/>
          <w:highlight w:val="none"/>
        </w:rPr>
        <w:t>录制的视频进行，以PPT、非真人操作软件或DEMO系统录制的视频、图片等视同未演示，响应无效；</w:t>
      </w:r>
    </w:p>
    <w:p>
      <w:pPr>
        <w:keepNext w:val="0"/>
        <w:keepLines w:val="0"/>
        <w:pageBreakBefore w:val="0"/>
        <w:widowControl w:val="0"/>
        <w:kinsoku/>
        <w:wordWrap/>
        <w:overflowPunct/>
        <w:topLinePunct w:val="0"/>
        <w:autoSpaceDE/>
        <w:autoSpaceDN/>
        <w:bidi w:val="0"/>
        <w:adjustRightInd w:val="0"/>
        <w:snapToGrid w:val="0"/>
        <w:spacing w:line="288" w:lineRule="auto"/>
        <w:ind w:left="0" w:firstLine="422" w:firstLineChars="200"/>
        <w:textAlignment w:val="auto"/>
        <w:rPr>
          <w:rFonts w:hint="default" w:ascii="宋体" w:hAnsi="宋体" w:eastAsia="宋体" w:cs="Times New Roman"/>
          <w:b w:val="0"/>
          <w:bCs w:val="0"/>
          <w:color w:val="auto"/>
          <w:sz w:val="21"/>
          <w:szCs w:val="21"/>
          <w:highlight w:val="none"/>
          <w:lang w:val="en-US" w:eastAsia="zh-CN"/>
        </w:rPr>
      </w:pPr>
      <w:r>
        <w:rPr>
          <w:rFonts w:hint="eastAsia" w:cs="Times New Roman"/>
          <w:b/>
          <w:bCs/>
          <w:color w:val="auto"/>
          <w:sz w:val="21"/>
          <w:szCs w:val="21"/>
          <w:highlight w:val="none"/>
          <w:lang w:val="en-US" w:eastAsia="zh-CN"/>
        </w:rPr>
        <w:t>5</w:t>
      </w:r>
      <w:r>
        <w:rPr>
          <w:rFonts w:hint="eastAsia" w:ascii="宋体" w:hAnsi="宋体" w:eastAsia="宋体" w:cs="Times New Roman"/>
          <w:b/>
          <w:bCs/>
          <w:color w:val="auto"/>
          <w:sz w:val="21"/>
          <w:szCs w:val="21"/>
          <w:highlight w:val="none"/>
          <w:lang w:val="en-US" w:eastAsia="zh-CN"/>
        </w:rPr>
        <w:t>.2 供应商应根据采购需求的要求，针对决策支持驾驶舱、思政工作台、危机援助系统三项内容进行功能演示。</w:t>
      </w:r>
    </w:p>
    <w:p>
      <w:pPr>
        <w:spacing w:line="288" w:lineRule="auto"/>
        <w:ind w:firstLine="422" w:firstLineChars="200"/>
        <w:rPr>
          <w:rFonts w:ascii="宋体" w:hAnsi="宋体" w:eastAsia="宋体" w:cs="宋体"/>
          <w:b/>
          <w:color w:val="auto"/>
          <w:sz w:val="21"/>
          <w:szCs w:val="21"/>
          <w:highlight w:val="none"/>
        </w:rPr>
      </w:pPr>
      <w:r>
        <w:rPr>
          <w:rFonts w:hint="eastAsia" w:cs="宋体"/>
          <w:b/>
          <w:color w:val="auto"/>
          <w:sz w:val="21"/>
          <w:szCs w:val="21"/>
          <w:highlight w:val="none"/>
          <w:lang w:val="en-US" w:eastAsia="zh-CN"/>
        </w:rPr>
        <w:t>5</w:t>
      </w:r>
      <w:r>
        <w:rPr>
          <w:rFonts w:hint="eastAsia" w:ascii="宋体" w:hAnsi="宋体" w:eastAsia="宋体" w:cs="宋体"/>
          <w:b/>
          <w:color w:val="auto"/>
          <w:sz w:val="21"/>
          <w:szCs w:val="21"/>
          <w:highlight w:val="none"/>
        </w:rPr>
        <w:t>.3 演示U盘：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（1）根据“电子交易/不见面开评标”原则，供应商需将以上演示及讲解过程录制视频，演示时长不超过</w:t>
      </w:r>
      <w:r>
        <w:rPr>
          <w:rFonts w:hint="eastAsia" w:ascii="宋体" w:hAnsi="宋体" w:eastAsia="宋体" w:cs="宋体"/>
          <w:bCs/>
          <w:color w:val="auto"/>
          <w:sz w:val="21"/>
          <w:szCs w:val="21"/>
          <w:highlight w:val="none"/>
          <w:lang w:val="en-US" w:eastAsia="zh-CN"/>
        </w:rPr>
        <w:t>15</w:t>
      </w:r>
      <w:r>
        <w:rPr>
          <w:rFonts w:hint="eastAsia" w:ascii="宋体" w:hAnsi="宋体" w:eastAsia="宋体" w:cs="宋体"/>
          <w:bCs/>
          <w:color w:val="auto"/>
          <w:sz w:val="21"/>
          <w:szCs w:val="21"/>
          <w:highlight w:val="none"/>
        </w:rPr>
        <w:t>分钟以.</w:t>
      </w:r>
      <w:r>
        <w:rPr>
          <w:rFonts w:hint="eastAsia" w:ascii="宋体" w:hAnsi="宋体" w:eastAsia="宋体" w:cs="宋体"/>
          <w:bCs/>
          <w:color w:val="auto"/>
          <w:sz w:val="21"/>
          <w:szCs w:val="21"/>
          <w:highlight w:val="none"/>
          <w:lang w:val="en-US" w:eastAsia="zh-CN"/>
        </w:rPr>
        <w:t>mp4格式</w:t>
      </w:r>
      <w:r>
        <w:rPr>
          <w:rFonts w:hint="eastAsia" w:ascii="宋体" w:hAnsi="宋体" w:eastAsia="宋体" w:cs="宋体"/>
          <w:bCs/>
          <w:color w:val="auto"/>
          <w:sz w:val="21"/>
          <w:szCs w:val="21"/>
          <w:highlight w:val="none"/>
        </w:rPr>
        <w:t>存储于U盘。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（2）演示U盘可以EMS邮寄形式在响应截止时间前递交，演示U盘应当密封包装并在包装上标注演示U盘、</w:t>
      </w:r>
      <w:r>
        <w:rPr>
          <w:rFonts w:hint="eastAsia" w:ascii="宋体" w:hAnsi="宋体" w:eastAsia="宋体" w:cs="宋体"/>
          <w:bCs/>
          <w:color w:val="auto"/>
          <w:sz w:val="21"/>
          <w:szCs w:val="21"/>
          <w:highlight w:val="none"/>
          <w:lang w:val="en-US" w:eastAsia="zh-CN"/>
        </w:rPr>
        <w:t>响应</w:t>
      </w:r>
      <w:r>
        <w:rPr>
          <w:rFonts w:hint="eastAsia" w:ascii="宋体" w:hAnsi="宋体" w:eastAsia="宋体" w:cs="宋体"/>
          <w:bCs/>
          <w:color w:val="auto"/>
          <w:sz w:val="21"/>
          <w:szCs w:val="21"/>
          <w:highlight w:val="none"/>
        </w:rPr>
        <w:t>项目名称、响应供应商名称并加盖公章。</w:t>
      </w:r>
    </w:p>
    <w:p>
      <w:pPr>
        <w:adjustRightInd w:val="0"/>
        <w:snapToGrid w:val="0"/>
        <w:spacing w:line="288" w:lineRule="auto"/>
        <w:ind w:firstLine="404" w:firstLineChars="200"/>
        <w:rPr>
          <w:rFonts w:ascii="宋体" w:hAnsi="宋体" w:eastAsia="宋体" w:cs="Times New Roman"/>
          <w:bCs/>
          <w:color w:val="auto"/>
          <w:sz w:val="21"/>
          <w:szCs w:val="21"/>
          <w:highlight w:val="none"/>
        </w:rPr>
      </w:pPr>
      <w:r>
        <w:rPr>
          <w:rFonts w:hint="eastAsia" w:ascii="宋体" w:hAnsi="宋体" w:eastAsia="宋体" w:cs="宋体"/>
          <w:bCs/>
          <w:color w:val="auto"/>
          <w:spacing w:val="-4"/>
          <w:sz w:val="21"/>
          <w:szCs w:val="21"/>
          <w:highlight w:val="none"/>
        </w:rPr>
        <w:t>（3）未按磋商文件要求提供演示U盘造成专家无法正常评审的风险由供应商自行承担。</w:t>
      </w:r>
    </w:p>
    <w:p>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杭州电子科技大学智慧思政大数据应用分析系统</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0"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3"/>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rPr>
                    <w:t>1.</w:t>
                  </w:r>
                  <w:r>
                    <w:rPr>
                      <w:rFonts w:hint="eastAsia"/>
                      <w:color w:val="auto"/>
                      <w:sz w:val="21"/>
                      <w:szCs w:val="21"/>
                      <w:highlight w:val="none"/>
                      <w:lang w:val="en-US" w:eastAsia="zh-CN"/>
                    </w:rPr>
                    <w:t>05</w:t>
                  </w:r>
                </w:p>
              </w:tc>
            </w:tr>
            <w:bookmarkEnd w:id="30"/>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本项目不接受联合体响应。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电子加密响应文件：政府采购云平台在线上传一份；备份响应文件：密封包装后EMS邮寄形式递交一份（邮寄地址：杭州市西湖区玉古路173号中田大厦11楼H室，浙江求是招标代理有限公司（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杭州电子科技大学智慧思政大数据应用分析系统</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3"/>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0</w:t>
            </w:r>
            <w:r>
              <w:rPr>
                <w:rFonts w:hint="eastAsia"/>
                <w:color w:val="auto"/>
                <w:sz w:val="21"/>
                <w:szCs w:val="21"/>
                <w:highlight w:val="none"/>
              </w:rPr>
              <w:t>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本项目不接受联合体响应。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lang w:val="en-US" w:eastAsia="zh-CN"/>
        </w:rPr>
        <w:t>1</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10%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3%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电子加密响应文件：政府采购云平台在线上传一份；备份响应文件：密封包装后EMS邮寄形式递交一份（邮寄地址：杭州市西湖区玉古路173号中田大厦11楼H室，浙江求是招标代理有限公司（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采购人将以合同形式有偿取得服务，不接受供应商给予的赠品、回扣或者与采购无关的其他商品、服务</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jc w:val="left"/>
        <w:rPr>
          <w:rFonts w:cs="Arial"/>
          <w:color w:val="auto"/>
          <w:kern w:val="0"/>
          <w:sz w:val="21"/>
          <w:szCs w:val="21"/>
          <w:highlight w:val="none"/>
        </w:rPr>
      </w:pPr>
      <w:r>
        <w:rPr>
          <w:rFonts w:cs="Arial"/>
          <w:color w:val="auto"/>
          <w:kern w:val="0"/>
          <w:sz w:val="21"/>
          <w:szCs w:val="21"/>
          <w:highlight w:val="none"/>
        </w:rPr>
        <w:t>信用信息查询渠道及截止时间：采购机构将通过“信用中国”网站(www.creditchina.gov.cn)、中国政府采购网(www.ccgp.gov.cn)渠道查询供应商</w:t>
      </w:r>
      <w:r>
        <w:rPr>
          <w:rFonts w:hint="eastAsia" w:cs="Arial"/>
          <w:color w:val="auto"/>
          <w:kern w:val="0"/>
          <w:sz w:val="21"/>
          <w:szCs w:val="21"/>
          <w:highlight w:val="none"/>
        </w:rPr>
        <w:t>响应</w:t>
      </w:r>
      <w:r>
        <w:rPr>
          <w:rFonts w:cs="Arial"/>
          <w:color w:val="auto"/>
          <w:kern w:val="0"/>
          <w:sz w:val="21"/>
          <w:szCs w:val="21"/>
          <w:highlight w:val="none"/>
        </w:rPr>
        <w:t>截止时间当天的信用记录。</w:t>
      </w:r>
    </w:p>
    <w:p>
      <w:pPr>
        <w:adjustRightInd w:val="0"/>
        <w:snapToGrid w:val="0"/>
        <w:spacing w:line="288" w:lineRule="auto"/>
        <w:ind w:firstLine="422" w:firstLineChars="201"/>
        <w:rPr>
          <w:rFonts w:cs="Arial"/>
          <w:color w:val="auto"/>
          <w:kern w:val="0"/>
          <w:sz w:val="21"/>
          <w:szCs w:val="21"/>
          <w:highlight w:val="none"/>
        </w:rPr>
      </w:pPr>
      <w:r>
        <w:rPr>
          <w:rFonts w:cs="Arial"/>
          <w:color w:val="auto"/>
          <w:kern w:val="0"/>
          <w:sz w:val="21"/>
          <w:szCs w:val="21"/>
          <w:highlight w:val="none"/>
        </w:rPr>
        <w:t>信用信息查询记录和证据留存的具体方式：现场查询的供应商的信用记录、查询结果经确认后将与采购文件一起存档。</w:t>
      </w:r>
    </w:p>
    <w:p>
      <w:pPr>
        <w:adjustRightInd w:val="0"/>
        <w:snapToGrid w:val="0"/>
        <w:spacing w:line="288" w:lineRule="auto"/>
        <w:ind w:firstLine="422" w:firstLineChars="201"/>
        <w:rPr>
          <w:rFonts w:cs="Arial"/>
          <w:color w:val="auto"/>
          <w:kern w:val="0"/>
          <w:sz w:val="21"/>
          <w:szCs w:val="21"/>
          <w:highlight w:val="none"/>
        </w:rPr>
      </w:pPr>
      <w:r>
        <w:rPr>
          <w:rFonts w:cs="Arial"/>
          <w:color w:val="auto"/>
          <w:kern w:val="0"/>
          <w:sz w:val="21"/>
          <w:szCs w:val="21"/>
          <w:highlight w:val="none"/>
        </w:rPr>
        <w:t>信用信息的使用规则：经查询列入失信被执行人名单、重大税收违法案件当事人名单、政府采购严重违法失信行为记录名单的供应商将被拒绝参与政府采购活动。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r>
        <w:rPr>
          <w:rFonts w:hint="eastAsia" w:cs="Times New Roman"/>
          <w:bCs/>
          <w:color w:val="auto"/>
          <w:spacing w:val="-6"/>
          <w:sz w:val="21"/>
          <w:szCs w:val="21"/>
          <w:highlight w:val="none"/>
        </w:rPr>
        <w:t>出现并列第一名时由采购人确认成交供应商或采购人授权磋商小组按抽签方式确认成交供应商。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3"/>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价格分（</w:t>
            </w:r>
            <w:r>
              <w:rPr>
                <w:rFonts w:hint="eastAsia"/>
                <w:b/>
                <w:bCs/>
                <w:color w:val="auto"/>
                <w:sz w:val="21"/>
                <w:szCs w:val="21"/>
                <w:highlight w:val="none"/>
                <w:lang w:val="en-US" w:eastAsia="zh-CN"/>
              </w:rPr>
              <w:t>2</w:t>
            </w:r>
            <w:r>
              <w:rPr>
                <w:rFonts w:hint="eastAsia"/>
                <w:b/>
                <w:bCs/>
                <w:color w:val="auto"/>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lang w:val="en-US" w:eastAsia="zh-CN"/>
              </w:rPr>
              <w:t>2</w:t>
            </w:r>
            <w:r>
              <w:rPr>
                <w:rFonts w:hint="eastAsia"/>
                <w:b/>
                <w:bCs/>
                <w:color w:val="auto"/>
                <w:sz w:val="21"/>
                <w:szCs w:val="21"/>
                <w:highlight w:val="none"/>
              </w:rPr>
              <w:t>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磋商报价得分</w:t>
            </w:r>
            <w:r>
              <w:rPr>
                <w:rFonts w:hint="default"/>
                <w:color w:val="auto"/>
                <w:sz w:val="21"/>
                <w:szCs w:val="21"/>
                <w:highlight w:val="none"/>
              </w:rPr>
              <w:t>=（磋商基准价/最后磋商报价）×</w:t>
            </w:r>
            <w:r>
              <w:rPr>
                <w:rFonts w:hint="eastAsia"/>
                <w:color w:val="auto"/>
                <w:sz w:val="21"/>
                <w:szCs w:val="21"/>
                <w:highlight w:val="none"/>
                <w:lang w:val="en-US" w:eastAsia="zh-CN"/>
              </w:rPr>
              <w:t>2</w:t>
            </w:r>
            <w:r>
              <w:rPr>
                <w:rFonts w:hint="default"/>
                <w:color w:val="auto"/>
                <w:sz w:val="21"/>
                <w:szCs w:val="21"/>
                <w:highlight w:val="none"/>
              </w:rPr>
              <w:t>0</w:t>
            </w:r>
            <w:r>
              <w:rPr>
                <w:rFonts w:hint="eastAsia"/>
                <w:color w:val="auto"/>
                <w:sz w:val="21"/>
                <w:szCs w:val="21"/>
                <w:highlight w:val="none"/>
              </w:rPr>
              <w:t>%</w:t>
            </w:r>
            <w:r>
              <w:rPr>
                <w:rFonts w:hint="default"/>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商务分（</w:t>
            </w:r>
            <w:r>
              <w:rPr>
                <w:rFonts w:hint="eastAsia"/>
                <w:b/>
                <w:bCs/>
                <w:color w:val="auto"/>
                <w:sz w:val="21"/>
                <w:szCs w:val="21"/>
                <w:highlight w:val="none"/>
                <w:lang w:val="en-US" w:eastAsia="zh-CN"/>
              </w:rPr>
              <w:t>7</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质保期</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质保期在满足磋商文件要求的基础上每延长一年加</w:t>
            </w:r>
            <w:r>
              <w:rPr>
                <w:rFonts w:hint="default"/>
                <w:color w:val="auto"/>
                <w:sz w:val="21"/>
                <w:szCs w:val="21"/>
                <w:highlight w:val="none"/>
              </w:rPr>
              <w:t>1</w:t>
            </w:r>
            <w:r>
              <w:rPr>
                <w:rFonts w:hint="eastAsia"/>
                <w:color w:val="auto"/>
                <w:sz w:val="21"/>
                <w:szCs w:val="21"/>
                <w:highlight w:val="none"/>
              </w:rPr>
              <w:t>分，最多加</w:t>
            </w:r>
            <w:r>
              <w:rPr>
                <w:rFonts w:hint="default"/>
                <w:color w:val="auto"/>
                <w:sz w:val="21"/>
                <w:szCs w:val="21"/>
                <w:highlight w:val="none"/>
              </w:rPr>
              <w:t>2</w:t>
            </w:r>
            <w:r>
              <w:rPr>
                <w:rFonts w:hint="eastAsia"/>
                <w:color w:val="auto"/>
                <w:sz w:val="21"/>
                <w:szCs w:val="21"/>
                <w:highlight w:val="none"/>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供应商自201</w:t>
            </w:r>
            <w:r>
              <w:rPr>
                <w:rFonts w:hint="default"/>
                <w:color w:val="auto"/>
                <w:sz w:val="21"/>
                <w:szCs w:val="21"/>
                <w:highlight w:val="none"/>
              </w:rPr>
              <w:t>8</w:t>
            </w:r>
            <w:r>
              <w:rPr>
                <w:rFonts w:hint="eastAsia"/>
                <w:color w:val="auto"/>
                <w:sz w:val="21"/>
                <w:szCs w:val="21"/>
                <w:highlight w:val="none"/>
              </w:rPr>
              <w:t>年1月1日以来（以合同签订时间为准）同类合同业绩（以提供的合同扫描件为准）：每提供1份合同业绩得</w:t>
            </w:r>
            <w:r>
              <w:rPr>
                <w:rFonts w:hint="default"/>
                <w:color w:val="auto"/>
                <w:sz w:val="21"/>
                <w:szCs w:val="21"/>
                <w:highlight w:val="none"/>
              </w:rPr>
              <w:t>1</w:t>
            </w:r>
            <w:r>
              <w:rPr>
                <w:rFonts w:hint="eastAsia"/>
                <w:color w:val="auto"/>
                <w:sz w:val="21"/>
                <w:szCs w:val="21"/>
                <w:highlight w:val="none"/>
              </w:rPr>
              <w:t>分，最高得</w:t>
            </w:r>
            <w:r>
              <w:rPr>
                <w:rFonts w:hint="default"/>
                <w:color w:val="auto"/>
                <w:sz w:val="21"/>
                <w:szCs w:val="21"/>
                <w:highlight w:val="none"/>
              </w:rPr>
              <w:t>2</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软件著作权</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3</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供应商具有与本项目相关的软件著作权登记证书的，每提供一份得1分，最高得3分。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技术分（</w:t>
            </w:r>
            <w:r>
              <w:rPr>
                <w:rFonts w:hint="eastAsia"/>
                <w:b/>
                <w:bCs/>
                <w:color w:val="auto"/>
                <w:sz w:val="21"/>
                <w:szCs w:val="21"/>
                <w:highlight w:val="none"/>
                <w:lang w:val="en-US" w:eastAsia="zh-CN"/>
              </w:rPr>
              <w:t>73</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产品响应程度</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18</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技术条款低于技术要求（负偏离）的每项扣</w:t>
            </w:r>
            <w:r>
              <w:rPr>
                <w:rFonts w:hint="eastAsia"/>
                <w:color w:val="auto"/>
                <w:sz w:val="21"/>
                <w:szCs w:val="21"/>
                <w:highlight w:val="none"/>
                <w:lang w:val="en-US" w:eastAsia="zh-CN"/>
              </w:rPr>
              <w:t>2</w:t>
            </w:r>
            <w:r>
              <w:rPr>
                <w:rFonts w:hint="eastAsia"/>
                <w:color w:val="auto"/>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负偏离</w:t>
            </w:r>
            <w:r>
              <w:rPr>
                <w:rFonts w:hint="eastAsia"/>
                <w:color w:val="auto"/>
                <w:sz w:val="21"/>
                <w:szCs w:val="21"/>
                <w:highlight w:val="none"/>
                <w:lang w:val="en-US" w:eastAsia="zh-CN"/>
              </w:rPr>
              <w:t>10</w:t>
            </w:r>
            <w:r>
              <w:rPr>
                <w:rFonts w:hint="eastAsia"/>
                <w:color w:val="auto"/>
                <w:sz w:val="21"/>
                <w:szCs w:val="21"/>
                <w:highlight w:val="none"/>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演示</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决策支持驾驶舱</w:t>
            </w:r>
            <w:r>
              <w:rPr>
                <w:rFonts w:hint="eastAsia"/>
                <w:color w:val="auto"/>
                <w:sz w:val="21"/>
                <w:szCs w:val="21"/>
                <w:highlight w:val="none"/>
                <w:lang w:val="en-US" w:eastAsia="zh-CN"/>
              </w:rPr>
              <w:t>演示内容的完整性和专业性，最高得5分。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b/>
                <w:bCs/>
                <w:color w:val="auto"/>
                <w:sz w:val="21"/>
                <w:szCs w:val="21"/>
                <w:highlight w:val="none"/>
                <w:lang w:val="en-US" w:eastAsia="zh-CN"/>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思政工作台演示内容的完整性和专业性，最高得5分。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b/>
                <w:bCs/>
                <w:color w:val="auto"/>
                <w:sz w:val="21"/>
                <w:szCs w:val="21"/>
                <w:highlight w:val="none"/>
                <w:lang w:val="en-US" w:eastAsia="zh-CN"/>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危机援助系统演示内容的完整性和专业性，最高得5分。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widowControl w:val="0"/>
              <w:suppressLineNumbers w:val="0"/>
              <w:spacing w:before="0" w:beforeAutospacing="0" w:after="0" w:afterAutospacing="0"/>
              <w:ind w:left="0" w:leftChars="0" w:right="0" w:rightChars="0"/>
              <w:jc w:val="center"/>
              <w:rPr>
                <w:rFonts w:hint="default"/>
                <w:b/>
                <w:bCs/>
                <w:color w:val="auto"/>
                <w:sz w:val="21"/>
                <w:szCs w:val="21"/>
                <w:highlight w:val="none"/>
              </w:rPr>
            </w:pPr>
            <w:r>
              <w:rPr>
                <w:rFonts w:hint="eastAsia" w:ascii="宋体" w:hAnsi="宋体" w:eastAsia="宋体" w:cs="宋体"/>
                <w:b/>
                <w:bCs/>
                <w:color w:val="auto"/>
                <w:spacing w:val="-6"/>
                <w:kern w:val="2"/>
                <w:sz w:val="21"/>
                <w:szCs w:val="21"/>
                <w:highlight w:val="none"/>
                <w:lang w:val="en-US" w:eastAsia="zh-CN" w:bidi="ar"/>
              </w:rPr>
              <w:t>实施方案</w:t>
            </w:r>
          </w:p>
        </w:tc>
        <w:tc>
          <w:tcPr>
            <w:tcW w:w="682" w:type="dxa"/>
            <w:vAlign w:val="center"/>
          </w:tcPr>
          <w:p>
            <w:pPr>
              <w:keepNext w:val="0"/>
              <w:keepLines w:val="0"/>
              <w:widowControl w:val="0"/>
              <w:suppressLineNumbers w:val="0"/>
              <w:spacing w:before="0" w:beforeAutospacing="0" w:after="0" w:afterAutospacing="0"/>
              <w:ind w:left="0" w:leftChars="0" w:right="0" w:rightChars="0"/>
              <w:jc w:val="center"/>
              <w:rPr>
                <w:rFonts w:hint="default"/>
                <w:b/>
                <w:bCs/>
                <w:color w:val="auto"/>
                <w:sz w:val="21"/>
                <w:szCs w:val="21"/>
                <w:highlight w:val="none"/>
              </w:rPr>
            </w:pPr>
            <w:r>
              <w:rPr>
                <w:rFonts w:hint="eastAsia" w:ascii="宋体" w:hAnsi="宋体" w:eastAsia="宋体" w:cs="宋体"/>
                <w:b/>
                <w:bCs/>
                <w:color w:val="auto"/>
                <w:spacing w:val="-6"/>
                <w:kern w:val="2"/>
                <w:sz w:val="21"/>
                <w:szCs w:val="21"/>
                <w:highlight w:val="none"/>
                <w:lang w:val="en-US" w:eastAsia="zh-CN" w:bidi="ar"/>
              </w:rPr>
              <w:t>5</w:t>
            </w:r>
          </w:p>
        </w:tc>
        <w:tc>
          <w:tcPr>
            <w:tcW w:w="6929" w:type="dxa"/>
            <w:vAlign w:val="center"/>
          </w:tcPr>
          <w:p>
            <w:pPr>
              <w:keepNext w:val="0"/>
              <w:keepLines w:val="0"/>
              <w:widowControl w:val="0"/>
              <w:suppressLineNumbers w:val="0"/>
              <w:spacing w:before="0" w:beforeAutospacing="0" w:after="0" w:afterAutospacing="0"/>
              <w:ind w:left="0" w:leftChars="0" w:right="0" w:rightChars="0"/>
              <w:jc w:val="left"/>
              <w:rPr>
                <w:rFonts w:hint="default"/>
                <w:color w:val="auto"/>
                <w:sz w:val="21"/>
                <w:szCs w:val="21"/>
                <w:highlight w:val="none"/>
              </w:rPr>
            </w:pPr>
            <w:r>
              <w:rPr>
                <w:rFonts w:hint="eastAsia" w:ascii="宋体" w:hAnsi="宋体" w:eastAsia="宋体" w:cs="宋体"/>
                <w:color w:val="auto"/>
                <w:spacing w:val="-6"/>
                <w:kern w:val="2"/>
                <w:sz w:val="21"/>
                <w:szCs w:val="21"/>
                <w:highlight w:val="none"/>
                <w:lang w:val="en-US" w:eastAsia="zh-CN" w:bidi="ar"/>
              </w:rPr>
              <w:t>供应商提供的实施方案</w:t>
            </w:r>
            <w:r>
              <w:rPr>
                <w:rFonts w:hint="eastAsia" w:cs="宋体"/>
                <w:color w:val="auto"/>
                <w:spacing w:val="-6"/>
                <w:kern w:val="2"/>
                <w:sz w:val="21"/>
                <w:szCs w:val="21"/>
                <w:highlight w:val="none"/>
                <w:lang w:val="en-US" w:eastAsia="zh-CN" w:bidi="ar"/>
              </w:rPr>
              <w:t>的完整性、合理性，本项最高得5分。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pacing w:val="-6"/>
                <w:kern w:val="2"/>
                <w:sz w:val="21"/>
                <w:szCs w:val="21"/>
                <w:highlight w:val="none"/>
                <w:lang w:val="en-US" w:eastAsia="zh-CN" w:bidi="ar"/>
              </w:rPr>
            </w:pPr>
          </w:p>
        </w:tc>
        <w:tc>
          <w:tcPr>
            <w:tcW w:w="682" w:type="dxa"/>
            <w:vAlign w:val="center"/>
          </w:tcPr>
          <w:p>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b/>
                <w:bCs/>
                <w:color w:val="auto"/>
                <w:spacing w:val="-6"/>
                <w:kern w:val="2"/>
                <w:sz w:val="21"/>
                <w:szCs w:val="21"/>
                <w:highlight w:val="none"/>
                <w:lang w:val="en-US" w:eastAsia="zh-CN" w:bidi="ar"/>
              </w:rPr>
            </w:pPr>
            <w:r>
              <w:rPr>
                <w:rFonts w:hint="eastAsia" w:cs="宋体"/>
                <w:b/>
                <w:bCs/>
                <w:color w:val="auto"/>
                <w:spacing w:val="-6"/>
                <w:kern w:val="2"/>
                <w:sz w:val="21"/>
                <w:szCs w:val="21"/>
                <w:highlight w:val="none"/>
                <w:lang w:val="en-US" w:eastAsia="zh-CN" w:bidi="ar"/>
              </w:rPr>
              <w:t>5</w:t>
            </w:r>
          </w:p>
        </w:tc>
        <w:tc>
          <w:tcPr>
            <w:tcW w:w="6929" w:type="dxa"/>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供应商提供的进度</w:t>
            </w:r>
            <w:r>
              <w:rPr>
                <w:rFonts w:hint="eastAsia" w:cs="宋体"/>
                <w:color w:val="auto"/>
                <w:spacing w:val="-6"/>
                <w:kern w:val="2"/>
                <w:sz w:val="21"/>
                <w:szCs w:val="21"/>
                <w:highlight w:val="none"/>
                <w:lang w:val="en-US" w:eastAsia="zh-CN" w:bidi="ar"/>
              </w:rPr>
              <w:t>计划</w:t>
            </w:r>
            <w:r>
              <w:rPr>
                <w:rFonts w:hint="eastAsia" w:ascii="宋体" w:hAnsi="宋体" w:eastAsia="宋体" w:cs="宋体"/>
                <w:color w:val="auto"/>
                <w:spacing w:val="-6"/>
                <w:kern w:val="2"/>
                <w:sz w:val="21"/>
                <w:szCs w:val="21"/>
                <w:highlight w:val="none"/>
                <w:lang w:val="en-US" w:eastAsia="zh-CN" w:bidi="ar"/>
              </w:rPr>
              <w:t>、项目管理方案的完整性、合理性，本项最高得5分。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pacing w:val="-6"/>
                <w:kern w:val="2"/>
                <w:sz w:val="21"/>
                <w:szCs w:val="21"/>
                <w:highlight w:val="none"/>
                <w:lang w:val="en-US" w:eastAsia="zh-CN" w:bidi="ar"/>
              </w:rPr>
            </w:pPr>
          </w:p>
        </w:tc>
        <w:tc>
          <w:tcPr>
            <w:tcW w:w="682" w:type="dxa"/>
            <w:vAlign w:val="center"/>
          </w:tcPr>
          <w:p>
            <w:pPr>
              <w:keepNext w:val="0"/>
              <w:keepLines w:val="0"/>
              <w:widowControl w:val="0"/>
              <w:suppressLineNumbers w:val="0"/>
              <w:spacing w:before="0" w:beforeAutospacing="0" w:after="0" w:afterAutospacing="0"/>
              <w:ind w:left="0" w:leftChars="0" w:right="0" w:rightChars="0"/>
              <w:jc w:val="center"/>
              <w:rPr>
                <w:rFonts w:hint="default" w:cs="宋体"/>
                <w:b/>
                <w:bCs/>
                <w:color w:val="auto"/>
                <w:spacing w:val="-6"/>
                <w:kern w:val="2"/>
                <w:sz w:val="21"/>
                <w:szCs w:val="21"/>
                <w:highlight w:val="none"/>
                <w:lang w:val="en-US" w:eastAsia="zh-CN" w:bidi="ar"/>
              </w:rPr>
            </w:pPr>
            <w:r>
              <w:rPr>
                <w:rFonts w:hint="eastAsia" w:cs="宋体"/>
                <w:b/>
                <w:bCs/>
                <w:color w:val="auto"/>
                <w:spacing w:val="-6"/>
                <w:kern w:val="2"/>
                <w:sz w:val="21"/>
                <w:szCs w:val="21"/>
                <w:highlight w:val="none"/>
                <w:lang w:val="en-US" w:eastAsia="zh-CN" w:bidi="ar"/>
              </w:rPr>
              <w:t>5</w:t>
            </w:r>
          </w:p>
        </w:tc>
        <w:tc>
          <w:tcPr>
            <w:tcW w:w="6929" w:type="dxa"/>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供应商提供的质量控制</w:t>
            </w:r>
            <w:r>
              <w:rPr>
                <w:rFonts w:hint="eastAsia" w:cs="宋体"/>
                <w:color w:val="auto"/>
                <w:spacing w:val="-6"/>
                <w:kern w:val="2"/>
                <w:sz w:val="21"/>
                <w:szCs w:val="21"/>
                <w:highlight w:val="none"/>
                <w:lang w:val="en-US" w:eastAsia="zh-CN" w:bidi="ar"/>
              </w:rPr>
              <w:t>方案的完整性、合理性，本项最高得5分。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pacing w:val="-6"/>
                <w:kern w:val="2"/>
                <w:sz w:val="21"/>
                <w:szCs w:val="21"/>
                <w:highlight w:val="none"/>
                <w:lang w:val="en-US" w:eastAsia="zh-CN" w:bidi="ar"/>
              </w:rPr>
            </w:pPr>
          </w:p>
        </w:tc>
        <w:tc>
          <w:tcPr>
            <w:tcW w:w="682" w:type="dxa"/>
            <w:vAlign w:val="center"/>
          </w:tcPr>
          <w:p>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b/>
                <w:bCs/>
                <w:color w:val="auto"/>
                <w:spacing w:val="-6"/>
                <w:kern w:val="2"/>
                <w:sz w:val="21"/>
                <w:szCs w:val="21"/>
                <w:highlight w:val="none"/>
                <w:lang w:val="en-US" w:eastAsia="zh-CN" w:bidi="ar"/>
              </w:rPr>
            </w:pPr>
            <w:r>
              <w:rPr>
                <w:rFonts w:hint="eastAsia" w:cs="宋体"/>
                <w:b/>
                <w:bCs/>
                <w:color w:val="auto"/>
                <w:spacing w:val="-6"/>
                <w:kern w:val="2"/>
                <w:sz w:val="21"/>
                <w:szCs w:val="21"/>
                <w:highlight w:val="none"/>
                <w:lang w:val="en-US" w:eastAsia="zh-CN" w:bidi="ar"/>
              </w:rPr>
              <w:t>5</w:t>
            </w:r>
          </w:p>
        </w:tc>
        <w:tc>
          <w:tcPr>
            <w:tcW w:w="6929" w:type="dxa"/>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供应商提供的验收方案、文档提供方案的完整性、合理性，本项最高得5分。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widowControl w:val="0"/>
              <w:suppressLineNumbers w:val="0"/>
              <w:spacing w:before="0" w:beforeAutospacing="0" w:after="0" w:afterAutospacing="0"/>
              <w:ind w:left="0" w:leftChars="0" w:right="0" w:rightChars="0"/>
              <w:jc w:val="center"/>
              <w:rPr>
                <w:rFonts w:hint="default"/>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调试及试运行方案</w:t>
            </w:r>
          </w:p>
        </w:tc>
        <w:tc>
          <w:tcPr>
            <w:tcW w:w="682" w:type="dxa"/>
            <w:vAlign w:val="center"/>
          </w:tcPr>
          <w:p>
            <w:pPr>
              <w:keepNext w:val="0"/>
              <w:keepLines w:val="0"/>
              <w:widowControl w:val="0"/>
              <w:suppressLineNumbers w:val="0"/>
              <w:spacing w:before="0" w:beforeAutospacing="0" w:after="0" w:afterAutospacing="0"/>
              <w:ind w:left="0" w:leftChars="0" w:right="0" w:rightChars="0"/>
              <w:jc w:val="center"/>
              <w:rPr>
                <w:rFonts w:hint="default"/>
                <w:b/>
                <w:bCs/>
                <w:color w:val="auto"/>
                <w:sz w:val="21"/>
                <w:szCs w:val="21"/>
                <w:highlight w:val="none"/>
              </w:rPr>
            </w:pPr>
            <w:r>
              <w:rPr>
                <w:rFonts w:hint="eastAsia" w:cs="宋体"/>
                <w:b/>
                <w:bCs/>
                <w:color w:val="auto"/>
                <w:spacing w:val="-6"/>
                <w:kern w:val="2"/>
                <w:sz w:val="21"/>
                <w:szCs w:val="21"/>
                <w:highlight w:val="none"/>
                <w:lang w:val="en-US" w:eastAsia="zh-CN" w:bidi="ar"/>
              </w:rPr>
              <w:t>5</w:t>
            </w:r>
          </w:p>
        </w:tc>
        <w:tc>
          <w:tcPr>
            <w:tcW w:w="6929" w:type="dxa"/>
            <w:vAlign w:val="center"/>
          </w:tcPr>
          <w:p>
            <w:pPr>
              <w:keepNext w:val="0"/>
              <w:keepLines w:val="0"/>
              <w:widowControl w:val="0"/>
              <w:suppressLineNumbers w:val="0"/>
              <w:spacing w:before="0" w:beforeAutospacing="0" w:after="0" w:afterAutospacing="0"/>
              <w:ind w:left="0" w:leftChars="0" w:right="0" w:rightChars="0"/>
              <w:jc w:val="both"/>
              <w:rPr>
                <w:rFonts w:hint="default"/>
                <w:color w:val="auto"/>
                <w:sz w:val="21"/>
                <w:szCs w:val="21"/>
                <w:highlight w:val="none"/>
              </w:rPr>
            </w:pPr>
            <w:r>
              <w:rPr>
                <w:rFonts w:hint="eastAsia" w:ascii="宋体" w:hAnsi="宋体" w:eastAsia="宋体" w:cs="宋体"/>
                <w:color w:val="auto"/>
                <w:kern w:val="2"/>
                <w:sz w:val="21"/>
                <w:szCs w:val="21"/>
                <w:highlight w:val="none"/>
                <w:lang w:val="en-US" w:eastAsia="zh-CN" w:bidi="ar"/>
              </w:rPr>
              <w:t>供应商提供的调试及试运行方案的合理性、科学性、可行性，</w:t>
            </w:r>
            <w:r>
              <w:rPr>
                <w:rFonts w:hint="eastAsia" w:cs="宋体"/>
                <w:color w:val="auto"/>
                <w:kern w:val="2"/>
                <w:sz w:val="21"/>
                <w:szCs w:val="21"/>
                <w:highlight w:val="none"/>
                <w:lang w:val="en-US" w:eastAsia="zh-CN" w:bidi="ar"/>
              </w:rPr>
              <w:t>本项</w:t>
            </w:r>
            <w:r>
              <w:rPr>
                <w:rFonts w:hint="eastAsia" w:ascii="宋体" w:hAnsi="宋体" w:eastAsia="宋体" w:cs="宋体"/>
                <w:color w:val="auto"/>
                <w:kern w:val="2"/>
                <w:sz w:val="21"/>
                <w:szCs w:val="21"/>
                <w:highlight w:val="none"/>
                <w:lang w:val="en-US" w:eastAsia="zh-CN" w:bidi="ar"/>
              </w:rPr>
              <w:t>最高得</w:t>
            </w:r>
            <w:r>
              <w:rPr>
                <w:rFonts w:hint="eastAsia"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lang w:val="en-US" w:eastAsia="zh-CN" w:bidi="ar"/>
              </w:rPr>
              <w:t>分。</w:t>
            </w:r>
            <w:bookmarkStart w:id="46" w:name="_GoBack"/>
            <w:bookmarkEnd w:id="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widowControl w:val="0"/>
              <w:suppressLineNumbers w:val="0"/>
              <w:spacing w:before="0" w:beforeAutospacing="0" w:after="0" w:afterAutospacing="0"/>
              <w:ind w:left="0" w:leftChars="0" w:right="0" w:rightChars="0"/>
              <w:jc w:val="center"/>
              <w:rPr>
                <w:rFonts w:hint="default"/>
                <w:b/>
                <w:bCs/>
                <w:color w:val="auto"/>
                <w:sz w:val="21"/>
                <w:szCs w:val="21"/>
                <w:highlight w:val="none"/>
              </w:rPr>
            </w:pPr>
            <w:r>
              <w:rPr>
                <w:rFonts w:hint="eastAsia" w:ascii="宋体" w:hAnsi="宋体" w:eastAsia="宋体" w:cs="宋体"/>
                <w:b/>
                <w:bCs/>
                <w:color w:val="auto"/>
                <w:spacing w:val="-6"/>
                <w:kern w:val="2"/>
                <w:sz w:val="21"/>
                <w:szCs w:val="21"/>
                <w:highlight w:val="none"/>
                <w:lang w:val="en-US" w:eastAsia="zh-CN" w:bidi="ar"/>
              </w:rPr>
              <w:t>人员配备</w:t>
            </w:r>
          </w:p>
        </w:tc>
        <w:tc>
          <w:tcPr>
            <w:tcW w:w="682" w:type="dxa"/>
            <w:vAlign w:val="center"/>
          </w:tcPr>
          <w:p>
            <w:pPr>
              <w:keepNext w:val="0"/>
              <w:keepLines w:val="0"/>
              <w:widowControl w:val="0"/>
              <w:suppressLineNumbers w:val="0"/>
              <w:spacing w:before="0" w:beforeAutospacing="0" w:after="0" w:afterAutospacing="0"/>
              <w:ind w:left="0" w:leftChars="0" w:right="0" w:rightChars="0"/>
              <w:jc w:val="center"/>
              <w:rPr>
                <w:rFonts w:hint="default"/>
                <w:b/>
                <w:bCs/>
                <w:color w:val="auto"/>
                <w:sz w:val="21"/>
                <w:szCs w:val="21"/>
                <w:highlight w:val="none"/>
              </w:rPr>
            </w:pPr>
            <w:r>
              <w:rPr>
                <w:rFonts w:hint="eastAsia" w:ascii="宋体" w:hAnsi="宋体" w:eastAsia="宋体" w:cs="宋体"/>
                <w:b/>
                <w:bCs/>
                <w:color w:val="auto"/>
                <w:spacing w:val="-6"/>
                <w:kern w:val="2"/>
                <w:sz w:val="21"/>
                <w:szCs w:val="21"/>
                <w:highlight w:val="none"/>
                <w:lang w:val="en-US" w:eastAsia="zh-CN" w:bidi="ar"/>
              </w:rPr>
              <w:t>5</w:t>
            </w:r>
          </w:p>
        </w:tc>
        <w:tc>
          <w:tcPr>
            <w:tcW w:w="6929" w:type="dxa"/>
            <w:vAlign w:val="center"/>
          </w:tcPr>
          <w:p>
            <w:pPr>
              <w:keepNext w:val="0"/>
              <w:keepLines w:val="0"/>
              <w:widowControl w:val="0"/>
              <w:suppressLineNumbers w:val="0"/>
              <w:spacing w:before="0" w:beforeAutospacing="0" w:after="0" w:afterAutospacing="0"/>
              <w:ind w:left="0" w:leftChars="0" w:right="0" w:rightChars="0"/>
              <w:jc w:val="both"/>
              <w:rPr>
                <w:rFonts w:hint="default"/>
                <w:color w:val="auto"/>
                <w:sz w:val="21"/>
                <w:szCs w:val="21"/>
                <w:highlight w:val="none"/>
              </w:rPr>
            </w:pPr>
            <w:r>
              <w:rPr>
                <w:rFonts w:hint="eastAsia" w:ascii="宋体" w:hAnsi="宋体" w:eastAsia="宋体" w:cs="宋体"/>
                <w:color w:val="auto"/>
                <w:kern w:val="2"/>
                <w:sz w:val="21"/>
                <w:szCs w:val="21"/>
                <w:highlight w:val="none"/>
                <w:lang w:val="en-US" w:eastAsia="zh-CN" w:bidi="ar"/>
              </w:rPr>
              <w:t>供应商拟投入本项目的人员安排，以及项目负责人及实施人员的相关经验、职称</w:t>
            </w:r>
            <w:r>
              <w:rPr>
                <w:rFonts w:hint="eastAsia" w:cs="宋体"/>
                <w:color w:val="auto"/>
                <w:kern w:val="2"/>
                <w:sz w:val="21"/>
                <w:szCs w:val="21"/>
                <w:highlight w:val="none"/>
                <w:lang w:val="en-US" w:eastAsia="zh-CN" w:bidi="ar"/>
              </w:rPr>
              <w:t>等综合情况</w:t>
            </w:r>
            <w:r>
              <w:rPr>
                <w:rFonts w:hint="eastAsia" w:ascii="宋体" w:hAnsi="宋体" w:eastAsia="宋体" w:cs="宋体"/>
                <w:color w:val="auto"/>
                <w:kern w:val="2"/>
                <w:sz w:val="21"/>
                <w:szCs w:val="21"/>
                <w:highlight w:val="none"/>
                <w:lang w:val="en-US" w:eastAsia="zh-CN" w:bidi="ar"/>
              </w:rPr>
              <w:t>，</w:t>
            </w:r>
            <w:r>
              <w:rPr>
                <w:rFonts w:hint="eastAsia" w:cs="宋体"/>
                <w:color w:val="auto"/>
                <w:kern w:val="2"/>
                <w:sz w:val="21"/>
                <w:szCs w:val="21"/>
                <w:highlight w:val="none"/>
                <w:lang w:val="en-US" w:eastAsia="zh-CN" w:bidi="ar"/>
              </w:rPr>
              <w:t>本项</w:t>
            </w:r>
            <w:r>
              <w:rPr>
                <w:rFonts w:hint="eastAsia" w:ascii="宋体" w:hAnsi="宋体" w:eastAsia="宋体" w:cs="宋体"/>
                <w:color w:val="auto"/>
                <w:kern w:val="2"/>
                <w:sz w:val="21"/>
                <w:szCs w:val="21"/>
                <w:highlight w:val="none"/>
                <w:lang w:val="en-US" w:eastAsia="zh-CN" w:bidi="ar"/>
              </w:rPr>
              <w:t>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培训计划</w:t>
            </w:r>
          </w:p>
        </w:tc>
        <w:tc>
          <w:tcPr>
            <w:tcW w:w="682" w:type="dxa"/>
            <w:vAlign w:val="center"/>
          </w:tcPr>
          <w:p>
            <w:pPr>
              <w:keepNext w:val="0"/>
              <w:keepLines w:val="0"/>
              <w:widowControl w:val="0"/>
              <w:suppressLineNumbers w:val="0"/>
              <w:spacing w:before="0" w:beforeAutospacing="0" w:after="0" w:afterAutospacing="0"/>
              <w:ind w:left="0" w:leftChars="0" w:right="0" w:rightChars="0"/>
              <w:jc w:val="center"/>
              <w:rPr>
                <w:rFonts w:hint="default"/>
                <w:b/>
                <w:bCs/>
                <w:color w:val="auto"/>
                <w:sz w:val="21"/>
                <w:szCs w:val="21"/>
                <w:highlight w:val="none"/>
              </w:rPr>
            </w:pPr>
            <w:r>
              <w:rPr>
                <w:rFonts w:hint="eastAsia" w:cs="宋体"/>
                <w:b/>
                <w:bCs/>
                <w:color w:val="auto"/>
                <w:spacing w:val="-6"/>
                <w:kern w:val="2"/>
                <w:sz w:val="21"/>
                <w:szCs w:val="21"/>
                <w:highlight w:val="none"/>
                <w:lang w:val="en-US" w:eastAsia="zh-CN" w:bidi="ar"/>
              </w:rPr>
              <w:t>5</w:t>
            </w:r>
          </w:p>
        </w:tc>
        <w:tc>
          <w:tcPr>
            <w:tcW w:w="6929" w:type="dxa"/>
            <w:vAlign w:val="center"/>
          </w:tcPr>
          <w:p>
            <w:pPr>
              <w:keepNext w:val="0"/>
              <w:keepLines w:val="0"/>
              <w:widowControl w:val="0"/>
              <w:suppressLineNumbers w:val="0"/>
              <w:spacing w:before="0" w:beforeAutospacing="0" w:after="0" w:afterAutospacing="0"/>
              <w:ind w:left="0" w:leftChars="0" w:right="0" w:rightChars="0"/>
              <w:jc w:val="both"/>
              <w:rPr>
                <w:rFonts w:hint="default"/>
                <w:color w:val="auto"/>
                <w:sz w:val="21"/>
                <w:szCs w:val="21"/>
                <w:highlight w:val="none"/>
              </w:rPr>
            </w:pPr>
            <w:r>
              <w:rPr>
                <w:rFonts w:hint="eastAsia" w:ascii="宋体" w:hAnsi="宋体" w:eastAsia="宋体" w:cs="宋体"/>
                <w:color w:val="auto"/>
                <w:kern w:val="2"/>
                <w:sz w:val="21"/>
                <w:szCs w:val="21"/>
                <w:highlight w:val="none"/>
                <w:lang w:val="en-US" w:eastAsia="zh-CN" w:bidi="ar"/>
              </w:rPr>
              <w:t>供应商培训计划的合理、可行性，本项最高得5分。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售后服务</w:t>
            </w:r>
          </w:p>
        </w:tc>
        <w:tc>
          <w:tcPr>
            <w:tcW w:w="682" w:type="dxa"/>
            <w:vAlign w:val="center"/>
          </w:tcPr>
          <w:p>
            <w:pPr>
              <w:keepNext w:val="0"/>
              <w:keepLines w:val="0"/>
              <w:widowControl w:val="0"/>
              <w:suppressLineNumbers w:val="0"/>
              <w:spacing w:before="0" w:beforeAutospacing="0" w:after="0" w:afterAutospacing="0"/>
              <w:ind w:left="0" w:leftChars="0" w:right="0" w:rightChars="0"/>
              <w:jc w:val="center"/>
              <w:rPr>
                <w:rFonts w:hint="default"/>
                <w:b/>
                <w:bCs/>
                <w:color w:val="auto"/>
                <w:sz w:val="21"/>
                <w:szCs w:val="21"/>
                <w:highlight w:val="none"/>
              </w:rPr>
            </w:pPr>
            <w:r>
              <w:rPr>
                <w:rFonts w:hint="eastAsia" w:cs="宋体"/>
                <w:b/>
                <w:bCs/>
                <w:color w:val="auto"/>
                <w:spacing w:val="-6"/>
                <w:kern w:val="2"/>
                <w:sz w:val="21"/>
                <w:szCs w:val="21"/>
                <w:highlight w:val="none"/>
                <w:lang w:val="en-US" w:eastAsia="zh-CN" w:bidi="ar"/>
              </w:rPr>
              <w:t>5</w:t>
            </w:r>
          </w:p>
        </w:tc>
        <w:tc>
          <w:tcPr>
            <w:tcW w:w="6929" w:type="dxa"/>
            <w:vAlign w:val="center"/>
          </w:tcPr>
          <w:p>
            <w:pPr>
              <w:keepNext w:val="0"/>
              <w:keepLines w:val="0"/>
              <w:widowControl w:val="0"/>
              <w:suppressLineNumbers w:val="0"/>
              <w:spacing w:before="0" w:beforeAutospacing="0" w:after="0" w:afterAutospacing="0"/>
              <w:ind w:left="0" w:leftChars="0" w:right="0" w:rightChars="0"/>
              <w:jc w:val="both"/>
              <w:rPr>
                <w:rFonts w:hint="default"/>
                <w:color w:val="auto"/>
                <w:sz w:val="21"/>
                <w:szCs w:val="21"/>
                <w:highlight w:val="none"/>
              </w:rPr>
            </w:pPr>
            <w:r>
              <w:rPr>
                <w:rFonts w:hint="eastAsia" w:ascii="宋体" w:hAnsi="宋体" w:eastAsia="宋体" w:cs="宋体"/>
                <w:color w:val="auto"/>
                <w:kern w:val="2"/>
                <w:sz w:val="21"/>
                <w:szCs w:val="21"/>
                <w:highlight w:val="none"/>
                <w:lang w:val="en-US" w:eastAsia="zh-CN" w:bidi="ar"/>
              </w:rPr>
              <w:t>供应商承诺的售后服务响应时间、保证措施等情况，本项最高得5分。</w:t>
            </w:r>
          </w:p>
        </w:tc>
      </w:tr>
    </w:tbl>
    <w:p>
      <w:pPr>
        <w:adjustRightInd w:val="0"/>
        <w:snapToGrid w:val="0"/>
        <w:spacing w:line="288" w:lineRule="auto"/>
        <w:rPr>
          <w:color w:val="auto"/>
          <w:sz w:val="21"/>
          <w:szCs w:val="21"/>
          <w:highlight w:val="none"/>
        </w:rPr>
      </w:pPr>
    </w:p>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根据《政府采购促进中小企业发展管理办法》（财库〔2020〕46号）的规定，对符合规定的小微企业报价给予</w:t>
      </w:r>
      <w:r>
        <w:rPr>
          <w:b/>
          <w:color w:val="auto"/>
          <w:sz w:val="21"/>
          <w:szCs w:val="21"/>
          <w:highlight w:val="none"/>
        </w:rPr>
        <w:t>10</w:t>
      </w:r>
      <w:r>
        <w:rPr>
          <w:rFonts w:hint="eastAsia"/>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olor w:val="auto"/>
          <w:spacing w:val="-6"/>
          <w:sz w:val="21"/>
          <w:szCs w:val="21"/>
          <w:highlight w:val="none"/>
          <w:u w:val="single"/>
        </w:rPr>
        <w:t>对于联合协议或者分包意向协议约定小微企业的合同份额占到合同总金额30%以上的，对联合体或者大中型企业的报价给予</w:t>
      </w:r>
      <w:r>
        <w:rPr>
          <w:color w:val="auto"/>
          <w:spacing w:val="-6"/>
          <w:sz w:val="21"/>
          <w:szCs w:val="21"/>
          <w:highlight w:val="none"/>
          <w:u w:val="single"/>
        </w:rPr>
        <w:t>3</w:t>
      </w:r>
      <w:r>
        <w:rPr>
          <w:rFonts w:hint="eastAsia"/>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37" w:name="_Hlk81817373"/>
      <w:bookmarkStart w:id="38"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7"/>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38"/>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spacing w:line="288" w:lineRule="auto"/>
        <w:ind w:firstLine="396" w:firstLineChars="200"/>
        <w:jc w:val="center"/>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（本合同为合同样稿，最终稿由三方协商后确定，合同实质性内容不得更改；签订合同时删除此行）</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r>
        <w:rPr>
          <w:rFonts w:hint="eastAsia" w:ascii="宋体" w:hAnsi="宋体" w:eastAsia="宋体" w:cs="宋体"/>
          <w:color w:val="auto"/>
          <w:spacing w:val="-6"/>
          <w:sz w:val="21"/>
          <w:szCs w:val="21"/>
          <w:highlight w:val="none"/>
          <w:lang w:eastAsia="zh-CN"/>
        </w:rPr>
        <w:t>QSZB-Z(F)-B22041(CS)</w:t>
      </w:r>
    </w:p>
    <w:p>
      <w:pPr>
        <w:snapToGrid w:val="0"/>
        <w:spacing w:line="288" w:lineRule="auto"/>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确认书编号：[2022]8765号、[2022]8766号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rPr>
        <w:t xml:space="preserve">2022年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智慧思政大数据应用分析系统  </w:t>
      </w:r>
      <w:r>
        <w:rPr>
          <w:rFonts w:hint="eastAsia" w:ascii="宋体" w:hAnsi="宋体" w:eastAsia="宋体" w:cs="宋体"/>
          <w:color w:val="auto"/>
          <w:spacing w:val="-6"/>
          <w:sz w:val="21"/>
          <w:szCs w:val="21"/>
          <w:highlight w:val="none"/>
        </w:rPr>
        <w:t>项目竞争性磋商采购的结果，签署本合同。</w:t>
      </w:r>
    </w:p>
    <w:p>
      <w:pPr>
        <w:snapToGrid w:val="0"/>
        <w:spacing w:line="288" w:lineRule="auto"/>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第一条：服务内容</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根据采购需求（详见附件）</w:t>
      </w:r>
    </w:p>
    <w:p>
      <w:pPr>
        <w:snapToGrid w:val="0"/>
        <w:spacing w:line="288" w:lineRule="auto"/>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第二条：服务期限</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自合同正式签署生效起15日内完成需求分析，30日内完成项目实施、进入试运行并进行初验，60日内完成项目整体验收。</w:t>
      </w:r>
    </w:p>
    <w:p>
      <w:pPr>
        <w:snapToGrid w:val="0"/>
        <w:spacing w:line="288" w:lineRule="auto"/>
        <w:ind w:left="340" w:hanging="340" w:hangingChars="171"/>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第三条：知识产权</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乙方应保证所提供的服务或其任何一部分均不会侵犯任何第三方的知识产权。</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lang w:bidi="ar"/>
        </w:rPr>
        <w:t>第四条：服务费用及结算方式</w:t>
      </w:r>
    </w:p>
    <w:p>
      <w:pPr>
        <w:autoSpaceDE w:val="0"/>
        <w:snapToGrid w:val="0"/>
        <w:spacing w:line="288" w:lineRule="auto"/>
        <w:ind w:firstLine="396" w:firstLineChars="200"/>
        <w:rPr>
          <w:rFonts w:hint="default"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bidi="ar"/>
        </w:rPr>
        <w:t>1</w:t>
      </w:r>
      <w:r>
        <w:rPr>
          <w:rFonts w:hint="eastAsia" w:ascii="宋体" w:hAnsi="宋体" w:eastAsia="宋体" w:cs="宋体"/>
          <w:color w:val="auto"/>
          <w:spacing w:val="-6"/>
          <w:kern w:val="0"/>
          <w:sz w:val="21"/>
          <w:szCs w:val="21"/>
          <w:highlight w:val="none"/>
          <w:lang w:eastAsia="zh-CN" w:bidi="ar"/>
        </w:rPr>
        <w:t>、</w:t>
      </w:r>
      <w:r>
        <w:rPr>
          <w:rFonts w:hint="eastAsia" w:ascii="宋体" w:hAnsi="宋体" w:eastAsia="宋体" w:cs="宋体"/>
          <w:color w:val="auto"/>
          <w:spacing w:val="-6"/>
          <w:kern w:val="0"/>
          <w:sz w:val="21"/>
          <w:szCs w:val="21"/>
          <w:highlight w:val="none"/>
          <w:lang w:val="en-US" w:eastAsia="zh-CN" w:bidi="ar"/>
        </w:rPr>
        <w:t>本项目合同总价为人民币     元整（</w:t>
      </w:r>
      <w:r>
        <w:rPr>
          <w:rFonts w:hint="default" w:ascii="Arial" w:hAnsi="Arial" w:eastAsia="宋体" w:cs="Arial"/>
          <w:color w:val="auto"/>
          <w:spacing w:val="-6"/>
          <w:kern w:val="0"/>
          <w:sz w:val="21"/>
          <w:szCs w:val="21"/>
          <w:highlight w:val="none"/>
          <w:lang w:val="en-US" w:eastAsia="zh-CN" w:bidi="ar"/>
        </w:rPr>
        <w:t>¥</w:t>
      </w:r>
      <w:r>
        <w:rPr>
          <w:rFonts w:hint="eastAsia" w:ascii="宋体" w:hAnsi="宋体" w:eastAsia="宋体" w:cs="宋体"/>
          <w:color w:val="auto"/>
          <w:spacing w:val="-6"/>
          <w:kern w:val="0"/>
          <w:sz w:val="21"/>
          <w:szCs w:val="21"/>
          <w:highlight w:val="none"/>
          <w:lang w:val="en-US" w:eastAsia="zh-CN" w:bidi="ar"/>
        </w:rPr>
        <w:t xml:space="preserve">    .00元），合同总价包含开发设计、供货、安装、调试、培训、维保等所有费用（含与第三方平台或系统对接的费用），即从合同签订到整个系统调试验收合格交付甲方使用，甲方不再另行支付其他费用。</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val="en-US" w:eastAsia="zh-CN" w:bidi="ar"/>
        </w:rPr>
        <w:t>2、</w:t>
      </w:r>
      <w:r>
        <w:rPr>
          <w:rFonts w:hint="eastAsia" w:ascii="宋体" w:hAnsi="宋体" w:eastAsia="宋体" w:cs="宋体"/>
          <w:color w:val="auto"/>
          <w:spacing w:val="-6"/>
          <w:kern w:val="0"/>
          <w:sz w:val="21"/>
          <w:szCs w:val="21"/>
          <w:highlight w:val="none"/>
          <w:lang w:bidi="ar"/>
        </w:rPr>
        <w:t>合同签订后一周内，</w:t>
      </w:r>
      <w:r>
        <w:rPr>
          <w:rFonts w:hint="eastAsia" w:ascii="宋体" w:hAnsi="宋体" w:eastAsia="宋体" w:cs="宋体"/>
          <w:color w:val="auto"/>
          <w:spacing w:val="-6"/>
          <w:kern w:val="0"/>
          <w:sz w:val="21"/>
          <w:szCs w:val="21"/>
          <w:highlight w:val="none"/>
          <w:lang w:val="en-US" w:eastAsia="zh-CN" w:bidi="ar"/>
        </w:rPr>
        <w:t>乙方</w:t>
      </w:r>
      <w:r>
        <w:rPr>
          <w:rFonts w:hint="eastAsia" w:ascii="宋体" w:hAnsi="宋体" w:eastAsia="宋体" w:cs="宋体"/>
          <w:color w:val="auto"/>
          <w:spacing w:val="-6"/>
          <w:kern w:val="0"/>
          <w:sz w:val="21"/>
          <w:szCs w:val="21"/>
          <w:highlight w:val="none"/>
          <w:lang w:bidi="ar"/>
        </w:rPr>
        <w:t>向</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提交合同总价2.5%的履约保证金，履约保证金在合同履约期间无违约情形的，项目验收结束后，于一周内退还（不计息）；</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转账信息如下：</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收款单位（户名）:杭州电子科技大学</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开户银行：工行高新支行</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银行账号：1202026209008806216</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val="en-US" w:eastAsia="zh-CN" w:bidi="ar"/>
        </w:rPr>
        <w:t>3、乙方</w:t>
      </w:r>
      <w:r>
        <w:rPr>
          <w:rFonts w:hint="eastAsia" w:ascii="宋体" w:hAnsi="宋体" w:eastAsia="宋体" w:cs="宋体"/>
          <w:color w:val="auto"/>
          <w:spacing w:val="-6"/>
          <w:kern w:val="0"/>
          <w:sz w:val="21"/>
          <w:szCs w:val="21"/>
          <w:highlight w:val="none"/>
          <w:lang w:bidi="ar"/>
        </w:rPr>
        <w:t>为中小企业的，合同生效以及具备实施条件后7个工作日内，且乙方已向</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提交银行、保险公司等金融机构出具的预付款保函的，</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向</w:t>
      </w:r>
      <w:r>
        <w:rPr>
          <w:rFonts w:hint="eastAsia" w:ascii="宋体" w:hAnsi="宋体" w:eastAsia="宋体" w:cs="宋体"/>
          <w:color w:val="auto"/>
          <w:spacing w:val="-6"/>
          <w:kern w:val="0"/>
          <w:sz w:val="21"/>
          <w:szCs w:val="21"/>
          <w:highlight w:val="none"/>
          <w:lang w:val="en-US" w:eastAsia="zh-CN" w:bidi="ar"/>
        </w:rPr>
        <w:t>乙方</w:t>
      </w:r>
      <w:r>
        <w:rPr>
          <w:rFonts w:hint="eastAsia" w:ascii="宋体" w:hAnsi="宋体" w:eastAsia="宋体" w:cs="宋体"/>
          <w:color w:val="auto"/>
          <w:spacing w:val="-6"/>
          <w:kern w:val="0"/>
          <w:sz w:val="21"/>
          <w:szCs w:val="21"/>
          <w:highlight w:val="none"/>
          <w:lang w:bidi="ar"/>
        </w:rPr>
        <w:t>支付合同总价的40%；系统所有功能上线，并通过</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验收后，</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在收到发票后7个工作日内，向</w:t>
      </w:r>
      <w:r>
        <w:rPr>
          <w:rFonts w:hint="eastAsia" w:ascii="宋体" w:hAnsi="宋体" w:eastAsia="宋体" w:cs="宋体"/>
          <w:color w:val="auto"/>
          <w:spacing w:val="-6"/>
          <w:kern w:val="0"/>
          <w:sz w:val="21"/>
          <w:szCs w:val="21"/>
          <w:highlight w:val="none"/>
          <w:lang w:val="en-US" w:eastAsia="zh-CN" w:bidi="ar"/>
        </w:rPr>
        <w:t>乙方</w:t>
      </w:r>
      <w:r>
        <w:rPr>
          <w:rFonts w:hint="eastAsia" w:ascii="宋体" w:hAnsi="宋体" w:eastAsia="宋体" w:cs="宋体"/>
          <w:color w:val="auto"/>
          <w:spacing w:val="-6"/>
          <w:kern w:val="0"/>
          <w:sz w:val="21"/>
          <w:szCs w:val="21"/>
          <w:highlight w:val="none"/>
          <w:lang w:bidi="ar"/>
        </w:rPr>
        <w:t>支付合同总价的60%。</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val="en-US" w:eastAsia="zh-CN" w:bidi="ar"/>
        </w:rPr>
        <w:t>4</w:t>
      </w:r>
      <w:r>
        <w:rPr>
          <w:rFonts w:hint="eastAsia" w:ascii="宋体" w:hAnsi="宋体" w:eastAsia="宋体" w:cs="宋体"/>
          <w:color w:val="auto"/>
          <w:spacing w:val="-6"/>
          <w:kern w:val="0"/>
          <w:sz w:val="21"/>
          <w:szCs w:val="21"/>
          <w:highlight w:val="none"/>
          <w:lang w:eastAsia="zh-CN" w:bidi="ar"/>
        </w:rPr>
        <w:t>、</w:t>
      </w:r>
      <w:r>
        <w:rPr>
          <w:rFonts w:hint="eastAsia" w:ascii="宋体" w:hAnsi="宋体" w:eastAsia="宋体" w:cs="宋体"/>
          <w:color w:val="auto"/>
          <w:spacing w:val="-6"/>
          <w:kern w:val="0"/>
          <w:sz w:val="21"/>
          <w:szCs w:val="21"/>
          <w:highlight w:val="none"/>
          <w:lang w:bidi="ar"/>
        </w:rPr>
        <w:t>供应商为大型企业的，合同生效以及具备实施条件后7个工作日内，且乙方已向甲方提交银行、保险公司等金融机构出具的预付款保函的，甲方向乙方支付合同总价的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spacing w:val="-6"/>
          <w:kern w:val="0"/>
          <w:sz w:val="21"/>
          <w:szCs w:val="21"/>
          <w:highlight w:val="none"/>
          <w:lang w:val="en-US" w:eastAsia="zh-CN" w:bidi="ar"/>
        </w:rPr>
        <w:t>3</w:t>
      </w:r>
      <w:r>
        <w:rPr>
          <w:rFonts w:hint="eastAsia" w:ascii="宋体" w:hAnsi="宋体" w:eastAsia="宋体" w:cs="宋体"/>
          <w:color w:val="auto"/>
          <w:spacing w:val="-6"/>
          <w:kern w:val="0"/>
          <w:sz w:val="21"/>
          <w:szCs w:val="21"/>
          <w:highlight w:val="none"/>
          <w:lang w:bidi="ar"/>
        </w:rPr>
        <w:t>0%；系统所有功能上线，并通过甲方验收后，甲方在收到发票后7个工作日内，向乙方支付合同总价的</w:t>
      </w:r>
      <w:r>
        <w:rPr>
          <w:rFonts w:hint="eastAsia" w:ascii="宋体" w:hAnsi="宋体" w:eastAsia="宋体" w:cs="宋体"/>
          <w:color w:val="auto"/>
          <w:spacing w:val="-6"/>
          <w:kern w:val="0"/>
          <w:sz w:val="21"/>
          <w:szCs w:val="21"/>
          <w:highlight w:val="none"/>
          <w:lang w:val="en-US" w:eastAsia="zh-CN" w:bidi="ar"/>
        </w:rPr>
        <w:t>7</w:t>
      </w:r>
      <w:r>
        <w:rPr>
          <w:rFonts w:hint="eastAsia" w:ascii="宋体" w:hAnsi="宋体" w:eastAsia="宋体" w:cs="宋体"/>
          <w:color w:val="auto"/>
          <w:spacing w:val="-6"/>
          <w:kern w:val="0"/>
          <w:sz w:val="21"/>
          <w:szCs w:val="21"/>
          <w:highlight w:val="none"/>
          <w:lang w:bidi="ar"/>
        </w:rPr>
        <w:t>0%。</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val="en-US" w:eastAsia="zh-CN" w:bidi="ar"/>
        </w:rPr>
        <w:t>5</w:t>
      </w:r>
      <w:r>
        <w:rPr>
          <w:rFonts w:hint="eastAsia" w:ascii="宋体" w:hAnsi="宋体" w:eastAsia="宋体" w:cs="宋体"/>
          <w:color w:val="auto"/>
          <w:spacing w:val="-6"/>
          <w:kern w:val="0"/>
          <w:sz w:val="21"/>
          <w:szCs w:val="21"/>
          <w:highlight w:val="none"/>
          <w:lang w:eastAsia="zh-CN" w:bidi="ar"/>
        </w:rPr>
        <w:t>、</w:t>
      </w:r>
      <w:r>
        <w:rPr>
          <w:rFonts w:hint="eastAsia" w:ascii="宋体" w:hAnsi="宋体" w:eastAsia="宋体" w:cs="宋体"/>
          <w:color w:val="auto"/>
          <w:spacing w:val="-6"/>
          <w:kern w:val="0"/>
          <w:sz w:val="21"/>
          <w:szCs w:val="21"/>
          <w:highlight w:val="none"/>
          <w:lang w:bidi="ar"/>
        </w:rPr>
        <w:t>在签订合同时，</w:t>
      </w:r>
      <w:r>
        <w:rPr>
          <w:rFonts w:hint="eastAsia" w:ascii="宋体" w:hAnsi="宋体" w:eastAsia="宋体" w:cs="宋体"/>
          <w:color w:val="auto"/>
          <w:spacing w:val="-6"/>
          <w:kern w:val="0"/>
          <w:sz w:val="21"/>
          <w:szCs w:val="21"/>
          <w:highlight w:val="none"/>
          <w:lang w:val="en-US" w:eastAsia="zh-CN" w:bidi="ar"/>
        </w:rPr>
        <w:t>乙方</w:t>
      </w:r>
      <w:r>
        <w:rPr>
          <w:rFonts w:hint="eastAsia" w:ascii="宋体" w:hAnsi="宋体" w:eastAsia="宋体" w:cs="宋体"/>
          <w:color w:val="auto"/>
          <w:spacing w:val="-6"/>
          <w:kern w:val="0"/>
          <w:sz w:val="21"/>
          <w:szCs w:val="21"/>
          <w:highlight w:val="none"/>
          <w:lang w:bidi="ar"/>
        </w:rPr>
        <w:t>明确表示无需预付款或者主动要求降低预付款比例的，可降低预付款比例（预付款保函同步调整）。</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val="en-US" w:eastAsia="zh-CN" w:bidi="ar"/>
        </w:rPr>
        <w:t>6</w:t>
      </w:r>
      <w:r>
        <w:rPr>
          <w:rFonts w:hint="eastAsia" w:ascii="宋体" w:hAnsi="宋体" w:eastAsia="宋体" w:cs="宋体"/>
          <w:color w:val="auto"/>
          <w:spacing w:val="-6"/>
          <w:kern w:val="0"/>
          <w:sz w:val="21"/>
          <w:szCs w:val="21"/>
          <w:highlight w:val="none"/>
          <w:lang w:eastAsia="zh-CN" w:bidi="ar"/>
        </w:rPr>
        <w:t>、</w:t>
      </w:r>
      <w:r>
        <w:rPr>
          <w:rFonts w:hint="eastAsia" w:ascii="宋体" w:hAnsi="宋体" w:eastAsia="宋体" w:cs="宋体"/>
          <w:color w:val="auto"/>
          <w:spacing w:val="-6"/>
          <w:kern w:val="0"/>
          <w:sz w:val="21"/>
          <w:szCs w:val="21"/>
          <w:highlight w:val="none"/>
          <w:lang w:val="en-US" w:eastAsia="zh-CN" w:bidi="ar"/>
        </w:rPr>
        <w:t>乙方</w:t>
      </w:r>
      <w:r>
        <w:rPr>
          <w:rFonts w:hint="eastAsia" w:ascii="宋体" w:hAnsi="宋体" w:eastAsia="宋体" w:cs="宋体"/>
          <w:color w:val="auto"/>
          <w:spacing w:val="-6"/>
          <w:kern w:val="0"/>
          <w:sz w:val="21"/>
          <w:szCs w:val="21"/>
          <w:highlight w:val="none"/>
          <w:lang w:bidi="ar"/>
        </w:rPr>
        <w:t>明确表示无需预付款时，付款方式按以下要求执行：项目整体设计方案经</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审核通过后，</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支付合同总价的40%，系统所有功能上线，并通过</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验收后，</w:t>
      </w:r>
      <w:r>
        <w:rPr>
          <w:rFonts w:hint="eastAsia" w:ascii="宋体" w:hAnsi="宋体" w:eastAsia="宋体" w:cs="宋体"/>
          <w:color w:val="auto"/>
          <w:spacing w:val="-6"/>
          <w:kern w:val="0"/>
          <w:sz w:val="21"/>
          <w:szCs w:val="21"/>
          <w:highlight w:val="none"/>
          <w:lang w:val="en-US" w:eastAsia="zh-CN" w:bidi="ar"/>
        </w:rPr>
        <w:t>甲方</w:t>
      </w:r>
      <w:r>
        <w:rPr>
          <w:rFonts w:hint="eastAsia" w:ascii="宋体" w:hAnsi="宋体" w:eastAsia="宋体" w:cs="宋体"/>
          <w:color w:val="auto"/>
          <w:spacing w:val="-6"/>
          <w:kern w:val="0"/>
          <w:sz w:val="21"/>
          <w:szCs w:val="21"/>
          <w:highlight w:val="none"/>
          <w:lang w:bidi="ar"/>
        </w:rPr>
        <w:t>在收到发票后7个工作日内，向</w:t>
      </w:r>
      <w:r>
        <w:rPr>
          <w:rFonts w:hint="eastAsia" w:ascii="宋体" w:hAnsi="宋体" w:eastAsia="宋体" w:cs="宋体"/>
          <w:color w:val="auto"/>
          <w:spacing w:val="-6"/>
          <w:kern w:val="0"/>
          <w:sz w:val="21"/>
          <w:szCs w:val="21"/>
          <w:highlight w:val="none"/>
          <w:lang w:val="en-US" w:eastAsia="zh-CN" w:bidi="ar"/>
        </w:rPr>
        <w:t>乙方</w:t>
      </w:r>
      <w:r>
        <w:rPr>
          <w:rFonts w:hint="eastAsia" w:ascii="宋体" w:hAnsi="宋体" w:eastAsia="宋体" w:cs="宋体"/>
          <w:color w:val="auto"/>
          <w:spacing w:val="-6"/>
          <w:kern w:val="0"/>
          <w:sz w:val="21"/>
          <w:szCs w:val="21"/>
          <w:highlight w:val="none"/>
          <w:lang w:bidi="ar"/>
        </w:rPr>
        <w:t>支付合同总价的60%。</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注：</w:t>
      </w:r>
      <w:r>
        <w:rPr>
          <w:rFonts w:hint="eastAsia" w:ascii="宋体" w:hAnsi="宋体" w:eastAsia="宋体" w:cs="宋体"/>
          <w:color w:val="auto"/>
          <w:spacing w:val="-6"/>
          <w:kern w:val="0"/>
          <w:sz w:val="21"/>
          <w:szCs w:val="21"/>
          <w:highlight w:val="none"/>
          <w:lang w:val="en-US" w:eastAsia="zh-CN" w:bidi="ar"/>
        </w:rPr>
        <w:t>乙方</w:t>
      </w:r>
      <w:r>
        <w:rPr>
          <w:rFonts w:hint="eastAsia" w:ascii="宋体" w:hAnsi="宋体" w:eastAsia="宋体" w:cs="宋体"/>
          <w:color w:val="auto"/>
          <w:spacing w:val="-6"/>
          <w:kern w:val="0"/>
          <w:sz w:val="21"/>
          <w:szCs w:val="21"/>
          <w:highlight w:val="none"/>
          <w:lang w:bidi="ar"/>
        </w:rPr>
        <w:t>需提供增值税专用发票，开票信息如下：</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抬头：杭州电子科技大学</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税号：12330000470009026T</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地址：杭州市下沙高教园区杭州电子科技大学</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电话：0571-86915020</w:t>
      </w:r>
    </w:p>
    <w:p>
      <w:pPr>
        <w:autoSpaceDE w:val="0"/>
        <w:snapToGrid w:val="0"/>
        <w:spacing w:line="288" w:lineRule="auto"/>
        <w:ind w:firstLine="396" w:firstLineChars="200"/>
        <w:rPr>
          <w:rFonts w:hint="eastAsia" w:ascii="宋体" w:hAnsi="宋体" w:eastAsia="宋体" w:cs="宋体"/>
          <w:color w:val="auto"/>
          <w:spacing w:val="-6"/>
          <w:kern w:val="0"/>
          <w:sz w:val="21"/>
          <w:szCs w:val="21"/>
          <w:highlight w:val="none"/>
          <w:lang w:bidi="ar"/>
        </w:rPr>
      </w:pPr>
      <w:r>
        <w:rPr>
          <w:rFonts w:hint="eastAsia" w:ascii="宋体" w:hAnsi="宋体" w:eastAsia="宋体" w:cs="宋体"/>
          <w:color w:val="auto"/>
          <w:spacing w:val="-6"/>
          <w:kern w:val="0"/>
          <w:sz w:val="21"/>
          <w:szCs w:val="21"/>
          <w:highlight w:val="none"/>
          <w:lang w:bidi="ar"/>
        </w:rPr>
        <w:t>开户银行：工行高新支行</w:t>
      </w:r>
    </w:p>
    <w:p>
      <w:pPr>
        <w:autoSpaceDE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p>
      <w:pPr>
        <w:snapToGrid w:val="0"/>
        <w:spacing w:line="288" w:lineRule="auto"/>
        <w:ind w:right="-588" w:rightChars="-245"/>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第五条：保密义务</w:t>
      </w:r>
    </w:p>
    <w:p>
      <w:pPr>
        <w:snapToGrid w:val="0"/>
        <w:spacing w:line="288" w:lineRule="auto"/>
        <w:ind w:firstLine="42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1</w:t>
      </w:r>
      <w:r>
        <w:rPr>
          <w:rFonts w:hint="eastAsia" w:ascii="宋体" w:hAnsi="宋体" w:eastAsia="宋体" w:cs="宋体"/>
          <w:color w:val="auto"/>
          <w:spacing w:val="-6"/>
          <w:sz w:val="21"/>
          <w:szCs w:val="21"/>
          <w:highlight w:val="none"/>
          <w:lang w:val="en-US" w:eastAsia="zh-CN" w:bidi="ar"/>
        </w:rPr>
        <w:t>、</w:t>
      </w:r>
      <w:r>
        <w:rPr>
          <w:rFonts w:hint="eastAsia" w:ascii="宋体" w:hAnsi="宋体" w:eastAsia="宋体" w:cs="宋体"/>
          <w:color w:val="auto"/>
          <w:spacing w:val="-6"/>
          <w:sz w:val="21"/>
          <w:szCs w:val="21"/>
          <w:highlight w:val="none"/>
          <w:lang w:bidi="ar"/>
        </w:rPr>
        <w:t>对于服务过程中所涉及的全部信息，包括但不限于技术参数、设计方案、技术秘密等，乙方应严格保密，不得向任何第三方披露。</w:t>
      </w:r>
    </w:p>
    <w:p>
      <w:pPr>
        <w:snapToGrid w:val="0"/>
        <w:spacing w:line="288" w:lineRule="auto"/>
        <w:ind w:firstLine="42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2</w:t>
      </w:r>
      <w:r>
        <w:rPr>
          <w:rFonts w:hint="eastAsia" w:ascii="宋体" w:hAnsi="宋体" w:eastAsia="宋体" w:cs="宋体"/>
          <w:color w:val="auto"/>
          <w:spacing w:val="-6"/>
          <w:sz w:val="21"/>
          <w:szCs w:val="21"/>
          <w:highlight w:val="none"/>
          <w:lang w:val="en-US" w:eastAsia="zh-CN" w:bidi="ar"/>
        </w:rPr>
        <w:t>、</w:t>
      </w:r>
      <w:r>
        <w:rPr>
          <w:rFonts w:hint="eastAsia" w:ascii="宋体" w:hAnsi="宋体" w:eastAsia="宋体" w:cs="宋体"/>
          <w:color w:val="auto"/>
          <w:spacing w:val="-6"/>
          <w:sz w:val="21"/>
          <w:szCs w:val="21"/>
          <w:highlight w:val="none"/>
          <w:lang w:bidi="ar"/>
        </w:rPr>
        <w:t>关于本条所涉之保密义务，其期限不受本合同之期限限制，乙方应长期遵守，直至该等保密信息成为公开信息为止。</w:t>
      </w:r>
    </w:p>
    <w:p>
      <w:pPr>
        <w:snapToGrid w:val="0"/>
        <w:spacing w:line="288" w:lineRule="auto"/>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第六条：不可抗力事件处理</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1</w:t>
      </w:r>
      <w:r>
        <w:rPr>
          <w:rFonts w:hint="eastAsia" w:ascii="宋体" w:hAnsi="宋体" w:eastAsia="宋体" w:cs="宋体"/>
          <w:color w:val="auto"/>
          <w:spacing w:val="-6"/>
          <w:sz w:val="21"/>
          <w:szCs w:val="21"/>
          <w:highlight w:val="none"/>
          <w:lang w:eastAsia="zh-CN" w:bidi="ar"/>
        </w:rPr>
        <w:t>、</w:t>
      </w:r>
      <w:r>
        <w:rPr>
          <w:rFonts w:hint="eastAsia" w:ascii="宋体" w:hAnsi="宋体" w:eastAsia="宋体" w:cs="宋体"/>
          <w:color w:val="auto"/>
          <w:spacing w:val="-6"/>
          <w:sz w:val="21"/>
          <w:szCs w:val="21"/>
          <w:highlight w:val="none"/>
          <w:lang w:bidi="ar"/>
        </w:rPr>
        <w:t>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2</w:t>
      </w:r>
      <w:r>
        <w:rPr>
          <w:rFonts w:hint="eastAsia" w:ascii="宋体" w:hAnsi="宋体" w:eastAsia="宋体" w:cs="宋体"/>
          <w:color w:val="auto"/>
          <w:spacing w:val="-6"/>
          <w:sz w:val="21"/>
          <w:szCs w:val="21"/>
          <w:highlight w:val="none"/>
          <w:lang w:eastAsia="zh-CN" w:bidi="ar"/>
        </w:rPr>
        <w:t>、</w:t>
      </w:r>
      <w:r>
        <w:rPr>
          <w:rFonts w:hint="eastAsia" w:ascii="宋体" w:hAnsi="宋体" w:eastAsia="宋体" w:cs="宋体"/>
          <w:color w:val="auto"/>
          <w:spacing w:val="-6"/>
          <w:sz w:val="21"/>
          <w:szCs w:val="21"/>
          <w:highlight w:val="none"/>
          <w:lang w:bidi="ar"/>
        </w:rPr>
        <w:t>不可抗力事件发生后，应立即通知对方，并寄送有关权威机构出具的证明。</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3</w:t>
      </w:r>
      <w:r>
        <w:rPr>
          <w:rFonts w:hint="eastAsia" w:ascii="宋体" w:hAnsi="宋体" w:eastAsia="宋体" w:cs="宋体"/>
          <w:color w:val="auto"/>
          <w:spacing w:val="-6"/>
          <w:sz w:val="21"/>
          <w:szCs w:val="21"/>
          <w:highlight w:val="none"/>
          <w:lang w:eastAsia="zh-CN" w:bidi="ar"/>
        </w:rPr>
        <w:t>、</w:t>
      </w:r>
      <w:r>
        <w:rPr>
          <w:rFonts w:hint="eastAsia" w:ascii="宋体" w:hAnsi="宋体" w:eastAsia="宋体" w:cs="宋体"/>
          <w:color w:val="auto"/>
          <w:spacing w:val="-6"/>
          <w:sz w:val="21"/>
          <w:szCs w:val="21"/>
          <w:highlight w:val="none"/>
          <w:lang w:bidi="ar"/>
        </w:rPr>
        <w:t>不可抗力事件延续120天以上，双方应通过友好协商，确定是否继续履行合同。</w:t>
      </w:r>
    </w:p>
    <w:p>
      <w:pPr>
        <w:snapToGrid w:val="0"/>
        <w:spacing w:line="288" w:lineRule="auto"/>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第七条：违约责任</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在本合同履行过程中，双方因违约或造成对方经济、社会效益等损失的应当赔偿。</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1、甲方无正当理由拒绝接收服务，到期拒付服务费的，甲方向乙方偿付应付费用的百分之五作为违约金。甲方逾期付款的，则每日按逾期金额的万分之五向乙方偿付违约金。</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2、乙方提供的服务不符合本项目相关文件和本合同规定的，甲方有权拒收，并且乙方须向甲方支付本合同总服务费的百分之五作为违约金，并承担其他法律责任。</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4、未经甲方同意，乙方不得擅自将本合同服务转包第三方承担。如擅自转包，则乙方应支付给甲方本合同总服务费百分之五的违约金。乙方还需承担其他相应法律责任。</w:t>
      </w:r>
    </w:p>
    <w:p>
      <w:pPr>
        <w:snapToGrid w:val="0"/>
        <w:spacing w:line="288" w:lineRule="auto"/>
        <w:ind w:firstLine="396" w:firstLineChars="200"/>
        <w:rPr>
          <w:rFonts w:ascii="宋体" w:hAnsi="宋体" w:eastAsia="宋体" w:cs="宋体"/>
          <w:b/>
          <w:color w:val="auto"/>
          <w:spacing w:val="-6"/>
          <w:sz w:val="21"/>
          <w:szCs w:val="21"/>
          <w:highlight w:val="none"/>
        </w:rPr>
      </w:pPr>
      <w:r>
        <w:rPr>
          <w:rFonts w:hint="eastAsia" w:ascii="宋体" w:hAnsi="宋体" w:eastAsia="宋体" w:cs="宋体"/>
          <w:color w:val="auto"/>
          <w:spacing w:val="-6"/>
          <w:sz w:val="21"/>
          <w:szCs w:val="21"/>
          <w:highlight w:val="none"/>
          <w:lang w:bidi="ar"/>
        </w:rPr>
        <w:t>5、其他违约责任按《中华人民共和国民法典》处理。</w:t>
      </w:r>
    </w:p>
    <w:p>
      <w:pPr>
        <w:snapToGrid w:val="0"/>
        <w:spacing w:line="288" w:lineRule="auto"/>
        <w:ind w:right="-588" w:rightChars="-245"/>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第八条：争议解决</w:t>
      </w:r>
    </w:p>
    <w:p>
      <w:pPr>
        <w:snapToGrid w:val="0"/>
        <w:spacing w:line="288" w:lineRule="auto"/>
        <w:ind w:right="26" w:rightChars="11"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588" w:rightChars="-245"/>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bidi="ar"/>
        </w:rPr>
        <w:t>第九条：合同生效</w:t>
      </w:r>
    </w:p>
    <w:p>
      <w:pPr>
        <w:numPr>
          <w:ilvl w:val="0"/>
          <w:numId w:val="1"/>
        </w:num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合同经三方法定代表人或授权代表签字并加盖单位公章后生效。</w:t>
      </w:r>
    </w:p>
    <w:p>
      <w:pPr>
        <w:numPr>
          <w:ilvl w:val="0"/>
          <w:numId w:val="1"/>
        </w:num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1"/>
        </w:numPr>
        <w:snapToGrid w:val="0"/>
        <w:spacing w:line="288" w:lineRule="auto"/>
        <w:ind w:firstLine="396" w:firstLineChars="200"/>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本合同未尽事宜，遵照《中华人民共和国民法典》有关条文执行。</w:t>
      </w:r>
    </w:p>
    <w:p>
      <w:pPr>
        <w:numPr>
          <w:ilvl w:val="0"/>
          <w:numId w:val="1"/>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0"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41" w:name="OLE_LINK13"/>
      <w:bookmarkStart w:id="42"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41"/>
      <w:bookmarkEnd w:id="42"/>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w:t>
      </w:r>
      <w:r>
        <w:rPr>
          <w:color w:val="auto"/>
          <w:sz w:val="21"/>
          <w:szCs w:val="21"/>
          <w:highlight w:val="none"/>
        </w:rPr>
        <w:t>5）</w:t>
      </w:r>
      <w:bookmarkStart w:id="43" w:name="_Hlk71884196"/>
      <w:r>
        <w:rPr>
          <w:rFonts w:hint="eastAsia"/>
          <w:color w:val="auto"/>
          <w:sz w:val="21"/>
          <w:szCs w:val="21"/>
          <w:highlight w:val="none"/>
        </w:rPr>
        <w:t>实施方案</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6</w:t>
      </w:r>
      <w:r>
        <w:rPr>
          <w:rFonts w:hint="eastAsia"/>
          <w:color w:val="auto"/>
          <w:sz w:val="21"/>
          <w:szCs w:val="21"/>
          <w:highlight w:val="none"/>
          <w:lang w:eastAsia="zh-CN"/>
        </w:rPr>
        <w:t>）</w:t>
      </w:r>
      <w:r>
        <w:rPr>
          <w:rFonts w:hint="eastAsia"/>
          <w:color w:val="auto"/>
          <w:sz w:val="21"/>
          <w:szCs w:val="21"/>
          <w:highlight w:val="none"/>
        </w:rPr>
        <w:t>验收、调试及试运行方案</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7</w:t>
      </w:r>
      <w:r>
        <w:rPr>
          <w:rFonts w:hint="eastAsia"/>
          <w:color w:val="auto"/>
          <w:sz w:val="21"/>
          <w:szCs w:val="21"/>
          <w:highlight w:val="none"/>
          <w:lang w:eastAsia="zh-CN"/>
        </w:rPr>
        <w:t>）</w:t>
      </w:r>
      <w:r>
        <w:rPr>
          <w:rFonts w:hint="eastAsia"/>
          <w:color w:val="auto"/>
          <w:sz w:val="21"/>
          <w:szCs w:val="21"/>
          <w:highlight w:val="none"/>
        </w:rPr>
        <w:t>人员配备</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8</w:t>
      </w:r>
      <w:r>
        <w:rPr>
          <w:rFonts w:hint="eastAsia"/>
          <w:color w:val="auto"/>
          <w:sz w:val="21"/>
          <w:szCs w:val="21"/>
          <w:highlight w:val="none"/>
          <w:lang w:eastAsia="zh-CN"/>
        </w:rPr>
        <w:t>）</w:t>
      </w:r>
      <w:r>
        <w:rPr>
          <w:rFonts w:hint="eastAsia"/>
          <w:color w:val="auto"/>
          <w:sz w:val="21"/>
          <w:szCs w:val="21"/>
          <w:highlight w:val="none"/>
        </w:rPr>
        <w:t>培训计划</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9</w:t>
      </w:r>
      <w:r>
        <w:rPr>
          <w:rFonts w:hint="eastAsia"/>
          <w:color w:val="auto"/>
          <w:sz w:val="21"/>
          <w:szCs w:val="21"/>
          <w:highlight w:val="none"/>
          <w:lang w:eastAsia="zh-CN"/>
        </w:rPr>
        <w:t>）</w:t>
      </w: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10</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3"/>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4" w:name="_Hlk94097338"/>
      <w:r>
        <w:rPr>
          <w:rFonts w:hint="eastAsia"/>
          <w:b/>
          <w:bCs/>
          <w:color w:val="auto"/>
          <w:sz w:val="21"/>
          <w:szCs w:val="21"/>
          <w:highlight w:val="none"/>
        </w:rPr>
        <w:t>资格审查要求的资格证明材料(均需加盖公章)</w:t>
      </w:r>
    </w:p>
    <w:bookmarkEnd w:id="44"/>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智慧思政大数据应用分析系统</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QSZB-Z(F)-B22041(CS)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2547"/>
        <w:gridCol w:w="1702"/>
        <w:gridCol w:w="1767"/>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具体服务</w:t>
            </w: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说明：采购人将以合同形式有偿取得服务，不接受供应商给予的赠品、回扣或者与采购无关的其他商品、服务。</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3.以上表格要求细分项目及报价，在“具体服务”一栏中，填写具体服务。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rFonts w:hint="eastAsia"/>
          <w:b/>
          <w:bCs/>
          <w:color w:val="auto"/>
          <w:sz w:val="21"/>
          <w:szCs w:val="21"/>
          <w:highlight w:val="none"/>
          <w:lang w:val="en-US" w:eastAsia="zh-CN"/>
        </w:rPr>
        <w:t>2</w:t>
      </w:r>
      <w:r>
        <w:rPr>
          <w:rFonts w:hint="eastAsia"/>
          <w:b/>
          <w:bCs/>
          <w:color w:val="auto"/>
          <w:sz w:val="21"/>
          <w:szCs w:val="21"/>
          <w:highlight w:val="none"/>
        </w:rPr>
        <w:t>）</w:t>
      </w:r>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采购活动，服务全部由符合政策要求的中小企业承接。相关企业（含联合 体中的中小企业、签订分包意向协议的中小企业）的具体情况如下：</w:t>
      </w:r>
    </w:p>
    <w:p>
      <w:pPr>
        <w:adjustRightInd w:val="0"/>
        <w:snapToGrid w:val="0"/>
        <w:spacing w:line="288" w:lineRule="auto"/>
        <w:ind w:firstLine="495" w:firstLineChars="236"/>
        <w:rPr>
          <w:i/>
          <w:color w:val="auto"/>
          <w:sz w:val="21"/>
          <w:szCs w:val="21"/>
          <w:highlight w:val="none"/>
          <w:u w:val="single"/>
        </w:rPr>
      </w:pPr>
      <w:r>
        <w:rPr>
          <w:rFonts w:hint="eastAsia"/>
          <w:i/>
          <w:color w:val="auto"/>
          <w:sz w:val="21"/>
          <w:szCs w:val="21"/>
          <w:highlight w:val="none"/>
          <w:u w:val="single"/>
        </w:rPr>
        <w:t>1</w:t>
      </w:r>
      <w:r>
        <w:rPr>
          <w:i/>
          <w:color w:val="auto"/>
          <w:sz w:val="21"/>
          <w:szCs w:val="21"/>
          <w:highlight w:val="none"/>
          <w:u w:val="single"/>
        </w:rPr>
        <w:t>.（标的名称），属于（采购文件中明确的所属行业）；</w:t>
      </w:r>
      <w:r>
        <w:rPr>
          <w:color w:val="auto"/>
          <w:sz w:val="21"/>
          <w:szCs w:val="21"/>
          <w:highlight w:val="none"/>
        </w:rPr>
        <w:t>承接企业为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rFonts w:hint="eastAsia"/>
          <w:i/>
          <w:color w:val="auto"/>
          <w:sz w:val="21"/>
          <w:szCs w:val="21"/>
          <w:highlight w:val="none"/>
          <w:u w:val="single"/>
        </w:rPr>
        <w:t>2</w:t>
      </w:r>
      <w:r>
        <w:rPr>
          <w:i/>
          <w:color w:val="auto"/>
          <w:sz w:val="21"/>
          <w:szCs w:val="21"/>
          <w:highlight w:val="none"/>
          <w:u w:val="single"/>
        </w:rPr>
        <w:t>.（标的名称）</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w:t>
      </w:r>
      <w:r>
        <w:rPr>
          <w:color w:val="auto"/>
          <w:sz w:val="21"/>
          <w:szCs w:val="21"/>
          <w:highlight w:val="none"/>
        </w:rPr>
        <w:t>；承接企业为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《中小企业声明函》填写不全的，视为未提供《中小企业声明函》（从业人员、营业收入、资产总额在中小企业划型标准规定中不涉及的除外），不享受价格优惠。</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3</w:t>
      </w: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4</w:t>
      </w: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，且本单位参加______（采购人）单位的______（项目名称）项目采购活动提供本单位服务。</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杭州电子科技大学智慧思政大数据应用分析系统</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QSZB-Z(F)-B22041(CS)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w:t>
      </w:r>
      <w:r>
        <w:rPr>
          <w:rFonts w:hint="eastAsia"/>
          <w:color w:val="auto"/>
          <w:sz w:val="21"/>
          <w:szCs w:val="21"/>
          <w:highlight w:val="none"/>
          <w:lang w:eastAsia="zh-CN"/>
        </w:rPr>
        <w:t>杭州电子科技大学</w:t>
      </w:r>
      <w:r>
        <w:rPr>
          <w:rFonts w:hint="eastAsia"/>
          <w:color w:val="auto"/>
          <w:sz w:val="21"/>
          <w:szCs w:val="21"/>
          <w:highlight w:val="none"/>
        </w:rPr>
        <w:t>、浙江求是招标代理有限公司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杭州电子科技大学智慧思政大数据应用分析系统</w:t>
      </w:r>
      <w:r>
        <w:rPr>
          <w:rFonts w:hint="eastAsia" w:cs="Times New Roman"/>
          <w:bCs/>
          <w:color w:val="auto"/>
          <w:spacing w:val="-6"/>
          <w:sz w:val="21"/>
          <w:szCs w:val="21"/>
          <w:highlight w:val="none"/>
        </w:rPr>
        <w:t>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w:t>
      </w:r>
      <w:r>
        <w:rPr>
          <w:color w:val="auto"/>
          <w:sz w:val="21"/>
          <w:szCs w:val="21"/>
          <w:highlight w:val="none"/>
          <w:u w:val="single"/>
        </w:rPr>
        <w:t>2020年12月（含）以后任意一月社保缴纳证明</w:t>
      </w:r>
      <w:r>
        <w:rPr>
          <w:rFonts w:hint="eastAsia"/>
          <w:color w:val="auto"/>
          <w:sz w:val="21"/>
          <w:szCs w:val="21"/>
          <w:highlight w:val="none"/>
          <w:u w:val="singl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法定代表人身份证明：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授权代表身份证明：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）2020年12月（含）以后任意一月的供应商授权代表社保缴纳证明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智慧思政大数据应用分析系统</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QSZB-Z(F)-B22041(CS)</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22" w:firstLineChars="200"/>
        <w:jc w:val="left"/>
        <w:rPr>
          <w:rFonts w:hint="eastAsia"/>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45" w:name="_Hlk71885757"/>
      <w:r>
        <w:rPr>
          <w:rFonts w:hint="eastAsia"/>
          <w:b/>
          <w:bCs/>
          <w:color w:val="auto"/>
          <w:sz w:val="21"/>
          <w:szCs w:val="21"/>
          <w:highlight w:val="none"/>
        </w:rPr>
        <w:t>实施方案</w:t>
      </w:r>
    </w:p>
    <w:p>
      <w:pPr>
        <w:adjustRightInd w:val="0"/>
        <w:snapToGrid w:val="0"/>
        <w:spacing w:line="288" w:lineRule="auto"/>
        <w:ind w:firstLine="422" w:firstLineChars="200"/>
        <w:jc w:val="left"/>
        <w:rPr>
          <w:rFonts w:hint="eastAsia"/>
          <w:b/>
          <w:bCs/>
          <w:color w:val="auto"/>
          <w:sz w:val="21"/>
          <w:szCs w:val="21"/>
          <w:highlight w:val="none"/>
        </w:rPr>
      </w:pPr>
      <w:r>
        <w:rPr>
          <w:rFonts w:hint="eastAsia"/>
          <w:b/>
          <w:bCs/>
          <w:color w:val="auto"/>
          <w:sz w:val="21"/>
          <w:szCs w:val="21"/>
          <w:highlight w:val="none"/>
        </w:rPr>
        <w:t>（6）验收、调试及试运行方案</w:t>
      </w:r>
    </w:p>
    <w:p>
      <w:pPr>
        <w:adjustRightInd w:val="0"/>
        <w:snapToGrid w:val="0"/>
        <w:spacing w:line="288" w:lineRule="auto"/>
        <w:ind w:firstLine="422" w:firstLineChars="200"/>
        <w:jc w:val="left"/>
        <w:rPr>
          <w:rFonts w:hint="eastAsia"/>
          <w:b/>
          <w:bCs/>
          <w:color w:val="auto"/>
          <w:sz w:val="21"/>
          <w:szCs w:val="21"/>
          <w:highlight w:val="none"/>
        </w:rPr>
      </w:pPr>
      <w:r>
        <w:rPr>
          <w:rFonts w:hint="eastAsia"/>
          <w:b/>
          <w:bCs/>
          <w:color w:val="auto"/>
          <w:sz w:val="21"/>
          <w:szCs w:val="21"/>
          <w:highlight w:val="none"/>
        </w:rPr>
        <w:t>（7）人员配备</w:t>
      </w:r>
    </w:p>
    <w:p>
      <w:pPr>
        <w:adjustRightInd w:val="0"/>
        <w:snapToGrid w:val="0"/>
        <w:spacing w:line="288" w:lineRule="auto"/>
        <w:ind w:firstLine="422" w:firstLineChars="200"/>
        <w:jc w:val="left"/>
        <w:rPr>
          <w:rFonts w:hint="eastAsia"/>
          <w:b/>
          <w:bCs/>
          <w:color w:val="auto"/>
          <w:sz w:val="21"/>
          <w:szCs w:val="21"/>
          <w:highlight w:val="none"/>
        </w:rPr>
      </w:pPr>
      <w:r>
        <w:rPr>
          <w:rFonts w:hint="eastAsia"/>
          <w:b/>
          <w:bCs/>
          <w:color w:val="auto"/>
          <w:sz w:val="21"/>
          <w:szCs w:val="21"/>
          <w:highlight w:val="none"/>
        </w:rPr>
        <w:t>（8）培训计划</w:t>
      </w:r>
    </w:p>
    <w:p>
      <w:pPr>
        <w:adjustRightInd w:val="0"/>
        <w:snapToGrid w:val="0"/>
        <w:spacing w:line="288" w:lineRule="auto"/>
        <w:ind w:firstLine="422" w:firstLineChars="200"/>
        <w:jc w:val="left"/>
        <w:rPr>
          <w:rFonts w:cs="Times New Roman"/>
          <w:color w:val="auto"/>
          <w:spacing w:val="-6"/>
          <w:sz w:val="21"/>
          <w:szCs w:val="21"/>
          <w:highlight w:val="none"/>
        </w:rPr>
      </w:pPr>
      <w:r>
        <w:rPr>
          <w:rFonts w:hint="eastAsia"/>
          <w:b/>
          <w:bCs/>
          <w:color w:val="auto"/>
          <w:sz w:val="21"/>
          <w:szCs w:val="21"/>
          <w:highlight w:val="none"/>
        </w:rPr>
        <w:t>（9）售后服务</w:t>
      </w:r>
    </w:p>
    <w:p>
      <w:pPr>
        <w:adjustRightInd w:val="0"/>
        <w:snapToGrid w:val="0"/>
        <w:spacing w:line="288" w:lineRule="auto"/>
        <w:ind w:firstLine="398" w:firstLineChars="200"/>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10</w:t>
      </w:r>
      <w:r>
        <w:rPr>
          <w:rFonts w:hint="eastAsia"/>
          <w:b/>
          <w:color w:val="auto"/>
          <w:spacing w:val="-6"/>
          <w:sz w:val="21"/>
          <w:szCs w:val="21"/>
          <w:highlight w:val="none"/>
        </w:rPr>
        <w:t>）供应商需要说明的其他文件和材料。</w:t>
      </w:r>
      <w:bookmarkEnd w:id="45"/>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cs="仿宋_GB2312"/>
          <w:b/>
          <w:color w:val="auto"/>
          <w:kern w:val="0"/>
          <w:sz w:val="21"/>
          <w:szCs w:val="21"/>
          <w:highlight w:val="none"/>
          <w:lang w:val="zh-CN"/>
        </w:rPr>
        <w:t>3%的扣除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cs="仿宋_GB2312"/>
          <w:b/>
          <w:color w:val="auto"/>
          <w:kern w:val="0"/>
          <w:sz w:val="21"/>
          <w:szCs w:val="21"/>
          <w:highlight w:val="none"/>
          <w:lang w:val="zh-CN"/>
        </w:rPr>
        <w:t>3%的扣除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rFonts w:cs="仿宋_GB2312"/>
          <w:b/>
          <w:bCs/>
          <w:color w:val="auto"/>
          <w:kern w:val="0"/>
          <w:sz w:val="21"/>
          <w:szCs w:val="21"/>
          <w:highlight w:val="none"/>
          <w:lang w:val="zh-CN"/>
        </w:rPr>
      </w:pPr>
      <w:r>
        <w:rPr>
          <w:rFonts w:cs="仿宋_GB2312"/>
          <w:b/>
          <w:bCs/>
          <w:color w:val="auto"/>
          <w:kern w:val="0"/>
          <w:sz w:val="21"/>
          <w:szCs w:val="21"/>
          <w:highlight w:val="none"/>
          <w:lang w:val="zh-CN"/>
        </w:rPr>
        <w:br w:type="page"/>
      </w:r>
    </w:p>
    <w:p>
      <w:pPr>
        <w:suppressAutoHyphens/>
        <w:spacing w:after="180"/>
        <w:outlineLvl w:val="0"/>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kern w:val="0"/>
          <w:sz w:val="21"/>
          <w:szCs w:val="21"/>
          <w:highlight w:val="none"/>
        </w:rPr>
        <w:t>其他：</w:t>
      </w:r>
    </w:p>
    <w:p>
      <w:pPr>
        <w:suppressAutoHyphens/>
        <w:spacing w:after="180"/>
        <w:jc w:val="center"/>
        <w:outlineLvl w:val="0"/>
        <w:rPr>
          <w:rFonts w:ascii="宋体" w:hAnsi="宋体" w:eastAsia="宋体" w:cs="宋体"/>
          <w:color w:val="auto"/>
          <w:kern w:val="0"/>
          <w:sz w:val="21"/>
          <w:szCs w:val="21"/>
          <w:highlight w:val="none"/>
        </w:rPr>
      </w:pPr>
      <w:r>
        <w:rPr>
          <w:rFonts w:hint="eastAsia" w:ascii="宋体" w:hAnsi="宋体" w:eastAsia="宋体" w:cs="宋体"/>
          <w:b/>
          <w:color w:val="auto"/>
          <w:spacing w:val="-6"/>
          <w:kern w:val="0"/>
          <w:sz w:val="21"/>
          <w:szCs w:val="21"/>
          <w:highlight w:val="none"/>
        </w:rPr>
        <w:t>政府</w:t>
      </w:r>
      <w:r>
        <w:rPr>
          <w:rFonts w:hint="eastAsia" w:ascii="宋体" w:hAnsi="宋体" w:eastAsia="宋体" w:cs="宋体"/>
          <w:b/>
          <w:color w:val="auto"/>
          <w:kern w:val="0"/>
          <w:sz w:val="21"/>
          <w:szCs w:val="21"/>
          <w:highlight w:val="none"/>
        </w:rPr>
        <w:t>采购活动现场确认声明书</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浙江求是招标代理有限公司：</w:t>
      </w:r>
    </w:p>
    <w:p>
      <w:pPr>
        <w:spacing w:line="360"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本人经由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（单位）负责人（法人代表）</w:t>
      </w:r>
    </w:p>
    <w:p>
      <w:pPr>
        <w:spacing w:line="360" w:lineRule="auto"/>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（姓名）合法授权参加</w:t>
      </w:r>
      <w:r>
        <w:rPr>
          <w:rFonts w:hint="eastAsia" w:cs="宋体"/>
          <w:color w:val="auto"/>
          <w:sz w:val="21"/>
          <w:szCs w:val="21"/>
          <w:highlight w:val="none"/>
          <w:lang w:eastAsia="zh-CN"/>
        </w:rPr>
        <w:t>杭州电子科技大学智慧思政大数据应用分析系统</w:t>
      </w:r>
      <w:r>
        <w:rPr>
          <w:rFonts w:hint="eastAsia" w:ascii="宋体" w:hAnsi="宋体" w:eastAsia="宋体" w:cs="宋体"/>
          <w:color w:val="auto"/>
          <w:sz w:val="21"/>
          <w:szCs w:val="21"/>
          <w:highlight w:val="none"/>
        </w:rPr>
        <w:t>项目（编号：</w:t>
      </w:r>
      <w:r>
        <w:rPr>
          <w:rFonts w:hint="eastAsia" w:cs="宋体"/>
          <w:color w:val="auto"/>
          <w:sz w:val="21"/>
          <w:szCs w:val="21"/>
          <w:highlight w:val="none"/>
          <w:lang w:eastAsia="zh-CN"/>
        </w:rPr>
        <w:t>QSZB-Z(F)-B22041(CS)</w:t>
      </w:r>
      <w:r>
        <w:rPr>
          <w:rFonts w:hint="eastAsia" w:ascii="宋体" w:hAnsi="宋体" w:eastAsia="宋体" w:cs="宋体"/>
          <w:color w:val="auto"/>
          <w:sz w:val="21"/>
          <w:szCs w:val="21"/>
          <w:highlight w:val="none"/>
        </w:rPr>
        <w:t>）采购活动，经与本单位法人代表（负责人）联系确认，现就有关公平竞争事项郑重声明如下：</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一、本单位与采购人之间：</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□不存在利害关系；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□存在下列利害关系：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A.投资关系    B.行政隶属关系    C.业务指导关系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D.其他可能影响采购公正的利害关系（如有，请如实说明）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二、现已清楚知道参加本项目采购活动的其他所有投标人名称，本单位：</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□与其他所有投标人之间均不存在利害关系；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（投标人名称）之间存在下列利害关系：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A.法定代表人或负责人或实际控制人是同一人</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B.法定代表人或负责人或实际控制人是夫妻关系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C.法定代表人或负责人或实际控制人是直系血亲关系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D.法定代表人或负责人或实际控制人存在三代以内旁系血亲关系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E.法定代表人或负责人或实际控制人存在近姻亲关系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F.法定代表人或负责人或实际控制人存在股份控制或实际控制关系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G.存在共同直接或间接投资设立子公司、联营企业和合营企业情况</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I.其他利害关系情况。</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三、现已清楚知道并严格遵守政府采购法律法规和现场纪律。</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四、我发现投标人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之间存在或可能存在上述第二条第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项利害关系。</w:t>
      </w:r>
    </w:p>
    <w:p>
      <w:pPr>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投标人代表（签名）：</w:t>
      </w:r>
    </w:p>
    <w:p>
      <w:pPr>
        <w:spacing w:line="360" w:lineRule="auto"/>
        <w:jc w:val="righ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2022</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4月11日</w:t>
      </w:r>
    </w:p>
    <w:p>
      <w:pPr>
        <w:spacing w:line="288" w:lineRule="auto"/>
        <w:rPr>
          <w:b/>
          <w:color w:val="auto"/>
          <w:spacing w:val="-6"/>
          <w:sz w:val="21"/>
          <w:szCs w:val="21"/>
          <w:highlight w:val="none"/>
        </w:rPr>
      </w:pPr>
      <w:r>
        <w:rPr>
          <w:rFonts w:hint="eastAsia" w:ascii="宋体" w:hAnsi="宋体" w:eastAsia="宋体" w:cs="宋体"/>
          <w:b/>
          <w:bCs/>
          <w:color w:val="auto"/>
          <w:sz w:val="21"/>
          <w:szCs w:val="21"/>
          <w:highlight w:val="none"/>
        </w:rPr>
        <w:t>备注：投标人须在投标文件解密后，通过电子邮件形式，向邮箱地址（zb02@qszb.net）发送《政府采购活动现场确认声明书》（上表）。</w:t>
      </w: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0FC111"/>
    <w:multiLevelType w:val="multilevel"/>
    <w:tmpl w:val="7F0FC111"/>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A66635"/>
    <w:rsid w:val="08D10BEF"/>
    <w:rsid w:val="094474E0"/>
    <w:rsid w:val="0949141E"/>
    <w:rsid w:val="095639A6"/>
    <w:rsid w:val="095A626C"/>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E240C"/>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3E461D"/>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DFD2EE7"/>
    <w:rsid w:val="1E654A1D"/>
    <w:rsid w:val="1E6A19B1"/>
    <w:rsid w:val="1E7F799F"/>
    <w:rsid w:val="1ECF46BC"/>
    <w:rsid w:val="1EF74BD0"/>
    <w:rsid w:val="1F21633C"/>
    <w:rsid w:val="1F695568"/>
    <w:rsid w:val="1F6E1866"/>
    <w:rsid w:val="1F977015"/>
    <w:rsid w:val="1FBB4EAA"/>
    <w:rsid w:val="1FED4B35"/>
    <w:rsid w:val="1FEF3F3B"/>
    <w:rsid w:val="201102FC"/>
    <w:rsid w:val="204F5235"/>
    <w:rsid w:val="2050381E"/>
    <w:rsid w:val="20621E25"/>
    <w:rsid w:val="20A667BD"/>
    <w:rsid w:val="20CF0226"/>
    <w:rsid w:val="20D21255"/>
    <w:rsid w:val="20EB2ED6"/>
    <w:rsid w:val="20EE3995"/>
    <w:rsid w:val="21104680"/>
    <w:rsid w:val="211047A9"/>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A05316"/>
    <w:rsid w:val="24EC117C"/>
    <w:rsid w:val="250C4BB6"/>
    <w:rsid w:val="252549CA"/>
    <w:rsid w:val="255D204D"/>
    <w:rsid w:val="2595460B"/>
    <w:rsid w:val="26035BEC"/>
    <w:rsid w:val="26043654"/>
    <w:rsid w:val="26091EBB"/>
    <w:rsid w:val="262B40F9"/>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3F29D6"/>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954955"/>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7450FF"/>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FA3F01"/>
    <w:rsid w:val="693442D1"/>
    <w:rsid w:val="695A7DFF"/>
    <w:rsid w:val="69A1AB94"/>
    <w:rsid w:val="69ED50AD"/>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F457E"/>
    <w:rsid w:val="71493E4B"/>
    <w:rsid w:val="71754088"/>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 w:val="FCEDABD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First Indent 2"/>
    <w:unhideWhenUsed/>
    <w:qFormat/>
    <w:uiPriority w:val="99"/>
    <w:pPr>
      <w:widowControl w:val="0"/>
      <w:spacing w:line="200" w:lineRule="atLeast"/>
      <w:ind w:firstLine="420"/>
      <w:jc w:val="both"/>
    </w:pPr>
    <w:rPr>
      <w:rFonts w:ascii="宋体" w:hAnsi="Courier New" w:eastAsia="宋体" w:cs="Times New Roman"/>
      <w:spacing w:val="-4"/>
      <w:sz w:val="18"/>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Body Text Indent 3"/>
    <w:qFormat/>
    <w:uiPriority w:val="0"/>
    <w:pPr>
      <w:widowControl w:val="0"/>
      <w:spacing w:after="120"/>
      <w:ind w:left="420" w:leftChars="200"/>
    </w:pPr>
    <w:rPr>
      <w:rFonts w:ascii="Times New Roman" w:hAnsi="Times New Roman" w:eastAsia="等线" w:cs="Times New Roman"/>
      <w:sz w:val="16"/>
      <w:szCs w:val="16"/>
      <w:lang w:val="en-US" w:eastAsia="zh-CN" w:bidi="ar-SA"/>
    </w:rPr>
  </w:style>
  <w:style w:type="paragraph" w:styleId="10">
    <w:name w:val="Normal (Web)"/>
    <w:basedOn w:val="1"/>
    <w:unhideWhenUsed/>
    <w:qFormat/>
    <w:uiPriority w:val="99"/>
    <w:pPr>
      <w:widowControl/>
      <w:spacing w:before="100" w:beforeAutospacing="1" w:after="100" w:afterAutospacing="1"/>
      <w:jc w:val="left"/>
    </w:pPr>
    <w:rPr>
      <w:kern w:val="0"/>
    </w:rPr>
  </w:style>
  <w:style w:type="paragraph" w:styleId="11">
    <w:name w:val="annotation subject"/>
    <w:basedOn w:val="3"/>
    <w:next w:val="3"/>
    <w:link w:val="27"/>
    <w:semiHidden/>
    <w:unhideWhenUsed/>
    <w:qFormat/>
    <w:uiPriority w:val="0"/>
    <w:rPr>
      <w:rFonts w:ascii="宋体" w:hAnsi="宋体" w:cs="宋体"/>
      <w:b/>
      <w:bCs/>
      <w:sz w:val="24"/>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6"/>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页脚 字符"/>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5"/>
    <w:qFormat/>
    <w:uiPriority w:val="99"/>
    <w:rPr>
      <w:rFonts w:ascii="宋体" w:hAnsi="Courier New" w:eastAsiaTheme="minorEastAsia" w:cstheme="minorBidi"/>
      <w:kern w:val="2"/>
      <w:sz w:val="24"/>
      <w:szCs w:val="24"/>
    </w:rPr>
  </w:style>
  <w:style w:type="character" w:customStyle="1" w:styleId="27">
    <w:name w:val="批注主题 字符"/>
    <w:basedOn w:val="18"/>
    <w:link w:val="11"/>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4420</Words>
  <Characters>25197</Characters>
  <Lines>1</Lines>
  <Paragraphs>1</Paragraphs>
  <TotalTime>23</TotalTime>
  <ScaleCrop>false</ScaleCrop>
  <LinksUpToDate>false</LinksUpToDate>
  <CharactersWithSpaces>29558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2020-03-27T23:28:00Z</dcterms:created>
  <dc:creator>Administrator</dc:creator>
  <cp:lastModifiedBy>翡冷翠的一夜</cp:lastModifiedBy>
  <cp:lastPrinted>2020-04-01T21:56:00Z</cp:lastPrinted>
  <dcterms:modified xsi:type="dcterms:W3CDTF">2022-03-28T07:45:58Z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