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杭州电子科技大学下沙校区2023年高沙周转房改造工程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杭州电子科技大学下沙校区2023年高沙周转房改造工程</w:t>
            </w:r>
            <w:r>
              <w:rPr>
                <w:rFonts w:hint="eastAsia" w:hAnsi="宋体" w:cs="宋体"/>
                <w:lang w:val="en-US" w:eastAsia="zh-CN"/>
              </w:rPr>
              <w:t>工程量清单内所有内容，2#东101室、501室的装饰和安装工程改造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改造面积约221平方米。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eastAsia="宋体" w:cs="宋体"/>
                <w:color w:val="auto"/>
                <w:kern w:val="24"/>
                <w:sz w:val="21"/>
                <w:szCs w:val="21"/>
                <w:lang w:val="en-US" w:eastAsia="zh-CN"/>
              </w:rPr>
              <w:t>瓷砖、木饰面、不锈钢板等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4</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color w:val="auto"/>
                <w:kern w:val="24"/>
                <w:sz w:val="21"/>
                <w:szCs w:val="21"/>
                <w:lang w:val="en-US" w:eastAsia="zh-CN"/>
              </w:rPr>
              <w:t>5</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4"/>
                <w:sz w:val="21"/>
                <w:szCs w:val="21"/>
                <w:highlight w:val="none"/>
                <w:lang w:eastAsia="zh-CN"/>
              </w:rPr>
            </w:pPr>
            <w:r>
              <w:rPr>
                <w:rFonts w:hint="eastAsia" w:ascii="宋体" w:hAnsi="宋体" w:cs="宋体"/>
                <w:color w:val="auto"/>
                <w:kern w:val="24"/>
                <w:sz w:val="21"/>
                <w:szCs w:val="21"/>
                <w:lang w:val="en-US" w:eastAsia="zh-CN"/>
              </w:rPr>
              <w:t>6</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砌体拉结筋本清单按浇筑混凝土竖向构件时预留考虑，工程量已计入相应钢筋工程中。</w:t>
            </w:r>
            <w:r>
              <w:rPr>
                <w:rFonts w:hint="eastAsia" w:ascii="宋体" w:hAnsi="宋体" w:eastAsia="宋体" w:cs="宋体"/>
                <w:color w:val="auto"/>
                <w:kern w:val="24"/>
                <w:sz w:val="21"/>
                <w:szCs w:val="21"/>
                <w:highlight w:val="none"/>
              </w:rPr>
              <w:t>实际施工时无论采用何种施工方法，结算时均不做调整，投标人在投标报价需根据自行确定的施工方案综合考虑报价</w:t>
            </w:r>
            <w:r>
              <w:rPr>
                <w:rFonts w:hint="eastAsia" w:ascii="宋体" w:hAnsi="宋体" w:eastAsia="宋体" w:cs="宋体"/>
                <w:color w:val="auto"/>
                <w:kern w:val="24"/>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8、所有木龙骨、基层板等木质基层均做防火防潮三防处理，防火等级至B1级；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9、强电配电箱进线电缆及配管利用原电缆不更换；</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10、弱电进线配管PE32留3m；</w:t>
            </w:r>
            <w:bookmarkStart w:id="0" w:name="_GoBack"/>
            <w:bookmarkEnd w:id="0"/>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11、给排水系统 原有设计不变，只计给水、排水支管，增设阳台洗衣机排水管及排出成品污水井。</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W w:w="790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25"/>
              <w:gridCol w:w="1875"/>
              <w:gridCol w:w="2475"/>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序号</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材料名称</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品牌或产地</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等级</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实木复合地板</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圣象、大自然、德尔</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墙砖、地砖</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冠军、东鹏、马可波罗</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细木工板、多层板</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兔宝宝、 千年舟、 森鹿</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乳胶漆</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立邦、 多乐士、 华润</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轻钢龙骨、石膏板</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可耐福、 龙牌、 拉法基</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木门、移门</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TATA木门、春天、美心</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电线、电缆</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元通、万马、永通</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配电箱元器件</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施耐德、ABB、西门子</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开关、插座</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施耐德、鸿雁、西门子</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LED灯具</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雷士、松下、三雄极光</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综合布线缆</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一舟、百通、罗格朗</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网线</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长飞、烽火、一舟</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5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w:t>
                  </w:r>
                </w:p>
              </w:tc>
              <w:tc>
                <w:tcPr>
                  <w:tcW w:w="18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卫生器具</w:t>
                  </w:r>
                </w:p>
              </w:tc>
              <w:tc>
                <w:tcPr>
                  <w:tcW w:w="247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箭牌、美标、法恩莎</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优等品</w:t>
                  </w:r>
                </w:p>
              </w:tc>
              <w:tc>
                <w:tcPr>
                  <w:tcW w:w="15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Theme="majorEastAsia" w:hAnsiTheme="majorEastAsia" w:eastAsiaTheme="majorEastAsia"/>
                              <w:lang w:val="en-US" w:eastAsia="zh-CN"/>
                            </w:rPr>
                            <w:t xml:space="preserve">杭州电子科技大学下沙校区2023年高沙周转房改造工程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Theme="majorEastAsia" w:hAnsiTheme="majorEastAsia" w:eastAsiaTheme="majorEastAsia"/>
                        <w:lang w:val="en-US" w:eastAsia="zh-CN"/>
                      </w:rPr>
                      <w:t xml:space="preserve">杭州电子科技大学下沙校区2023年高沙周转房改造工程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3190517"/>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8631C99"/>
    <w:rsid w:val="38741687"/>
    <w:rsid w:val="3B464036"/>
    <w:rsid w:val="3C601127"/>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1</TotalTime>
  <ScaleCrop>false</ScaleCrop>
  <LinksUpToDate>false</LinksUpToDate>
  <CharactersWithSpaces>4610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2023-11-20T08:10:48Z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CC07AE87BEEE4EF0BA3A4B2C2397955B</vt:lpwstr>
  </property>
</Properties>
</file>