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numPr>
                <w:ilvl w:val="0"/>
                <w:numId w:val="1"/>
              </w:numPr>
              <w:autoSpaceDE w:val="0"/>
              <w:autoSpaceDN w:val="0"/>
              <w:adjustRightInd w:val="0"/>
              <w:spacing w:line="360" w:lineRule="auto"/>
              <w:rPr>
                <w:rFonts w:hint="eastAsia" w:ascii="宋体" w:hAnsi="宋体" w:cs="宋体"/>
                <w:b/>
                <w:bCs/>
                <w:color w:val="auto"/>
                <w:sz w:val="21"/>
                <w:szCs w:val="21"/>
              </w:rPr>
            </w:pPr>
            <w:r>
              <w:rPr>
                <w:rFonts w:hint="eastAsia" w:hAnsi="宋体" w:cs="宋体"/>
                <w:b/>
                <w:bCs/>
                <w:color w:val="auto"/>
                <w:sz w:val="21"/>
                <w:szCs w:val="21"/>
              </w:rPr>
              <w:t>工程概</w:t>
            </w:r>
            <w:r>
              <w:rPr>
                <w:rFonts w:hint="eastAsia" w:ascii="宋体" w:hAnsi="宋体" w:cs="宋体"/>
                <w:b/>
                <w:bCs/>
                <w:color w:val="auto"/>
                <w:sz w:val="21"/>
                <w:szCs w:val="21"/>
              </w:rPr>
              <w:t>况：</w:t>
            </w:r>
          </w:p>
          <w:p>
            <w:pPr>
              <w:topLinePunct/>
              <w:adjustRightInd w:val="0"/>
              <w:snapToGrid w:val="0"/>
              <w:spacing w:line="360" w:lineRule="auto"/>
              <w:ind w:firstLine="420" w:firstLineChars="200"/>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本工程</w:t>
            </w:r>
            <w:r>
              <w:rPr>
                <w:rFonts w:hint="eastAsia" w:ascii="宋体" w:hAnsi="宋体" w:eastAsia="宋体" w:cs="宋体"/>
                <w:sz w:val="21"/>
                <w:szCs w:val="21"/>
                <w:highlight w:val="none"/>
                <w:lang w:val="en-US" w:eastAsia="zh-CN"/>
              </w:rPr>
              <w:t>名称</w:t>
            </w:r>
            <w:r>
              <w:rPr>
                <w:rFonts w:hint="eastAsia" w:ascii="宋体" w:hAnsi="宋体" w:eastAsia="宋体" w:cs="宋体"/>
                <w:sz w:val="21"/>
                <w:szCs w:val="21"/>
                <w:highlight w:val="none"/>
              </w:rPr>
              <w:t>为杭州电子科技大学生活区公共卫生间改造工程</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位于杭州市</w:t>
            </w:r>
            <w:r>
              <w:rPr>
                <w:rFonts w:hint="eastAsia" w:ascii="宋体" w:hAnsi="宋体" w:cs="宋体"/>
                <w:sz w:val="21"/>
                <w:szCs w:val="21"/>
                <w:highlight w:val="none"/>
                <w:lang w:val="en-US" w:eastAsia="zh-CN"/>
              </w:rPr>
              <w:t>钱塘区学林街</w:t>
            </w:r>
            <w:r>
              <w:rPr>
                <w:rFonts w:hint="eastAsia" w:ascii="宋体" w:hAnsi="宋体" w:eastAsia="宋体" w:cs="宋体"/>
                <w:sz w:val="21"/>
                <w:szCs w:val="21"/>
                <w:highlight w:val="none"/>
                <w:lang w:val="en-US" w:eastAsia="zh-CN"/>
              </w:rPr>
              <w:t>，总建筑面积</w:t>
            </w:r>
            <w:r>
              <w:rPr>
                <w:rFonts w:hint="eastAsia" w:ascii="宋体" w:hAnsi="宋体" w:cs="宋体"/>
                <w:sz w:val="21"/>
                <w:szCs w:val="21"/>
                <w:highlight w:val="none"/>
                <w:lang w:val="en-US" w:eastAsia="zh-CN"/>
              </w:rPr>
              <w:t>145.01</w:t>
            </w:r>
            <w:r>
              <w:rPr>
                <w:rFonts w:hint="eastAsia" w:ascii="宋体" w:hAnsi="宋体" w:eastAsia="宋体" w:cs="宋体"/>
                <w:sz w:val="21"/>
                <w:szCs w:val="21"/>
                <w:highlight w:val="none"/>
                <w:lang w:val="en-US" w:eastAsia="zh-CN"/>
              </w:rPr>
              <w:t>m2。</w:t>
            </w:r>
          </w:p>
          <w:p>
            <w:pPr>
              <w:numPr>
                <w:ilvl w:val="0"/>
                <w:numId w:val="1"/>
              </w:numPr>
              <w:autoSpaceDE w:val="0"/>
              <w:autoSpaceDN w:val="0"/>
              <w:adjustRightInd w:val="0"/>
              <w:spacing w:line="360" w:lineRule="auto"/>
              <w:ind w:left="0" w:leftChars="0" w:firstLine="0" w:firstLineChars="0"/>
              <w:rPr>
                <w:rFonts w:hint="eastAsia" w:cs="宋体"/>
                <w:color w:val="auto"/>
                <w:sz w:val="21"/>
                <w:szCs w:val="21"/>
              </w:rPr>
            </w:pPr>
            <w:r>
              <w:rPr>
                <w:rFonts w:hint="eastAsia" w:ascii="宋体" w:hAnsi="宋体" w:cs="宋体"/>
                <w:b/>
                <w:bCs/>
                <w:color w:val="auto"/>
                <w:sz w:val="21"/>
                <w:szCs w:val="21"/>
              </w:rPr>
              <w:t>工程招标范围：</w:t>
            </w:r>
            <w:r>
              <w:rPr>
                <w:rFonts w:hint="eastAsia" w:ascii="宋体" w:hAnsi="宋体" w:eastAsia="宋体" w:cs="宋体"/>
                <w:sz w:val="21"/>
                <w:szCs w:val="21"/>
                <w:highlight w:val="none"/>
              </w:rPr>
              <w:t>详见招标文件。</w:t>
            </w:r>
          </w:p>
          <w:p>
            <w:pPr>
              <w:topLinePunct/>
              <w:adjustRightInd w:val="0"/>
              <w:snapToGrid w:val="0"/>
              <w:spacing w:line="360" w:lineRule="auto"/>
              <w:ind w:firstLine="308" w:firstLineChars="147"/>
              <w:jc w:val="left"/>
              <w:rPr>
                <w:rFonts w:hint="eastAsia" w:ascii="宋体" w:hAnsi="宋体" w:eastAsia="宋体" w:cs="宋体"/>
                <w:sz w:val="21"/>
                <w:szCs w:val="21"/>
                <w:highlight w:val="none"/>
              </w:rPr>
            </w:pPr>
            <w:r>
              <w:rPr>
                <w:rFonts w:hint="eastAsia" w:ascii="宋体" w:hAnsi="宋体"/>
                <w:sz w:val="21"/>
                <w:szCs w:val="21"/>
                <w:lang w:val="en-US" w:eastAsia="zh-CN"/>
              </w:rPr>
              <w:t>主要</w:t>
            </w:r>
            <w:r>
              <w:rPr>
                <w:rFonts w:hint="eastAsia" w:hAnsi="宋体"/>
                <w:sz w:val="21"/>
                <w:szCs w:val="21"/>
                <w:lang w:val="en-US" w:eastAsia="zh-CN"/>
              </w:rPr>
              <w:t>包括生活区2号楼、10号楼、14号楼、16号楼一层公共卫生间改造</w:t>
            </w:r>
            <w:r>
              <w:rPr>
                <w:rFonts w:hint="eastAsia" w:ascii="宋体" w:hAnsi="宋体" w:eastAsia="宋体" w:cs="宋体"/>
                <w:sz w:val="21"/>
                <w:szCs w:val="21"/>
                <w:highlight w:val="none"/>
              </w:rPr>
              <w:t>。</w:t>
            </w:r>
          </w:p>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编制依据：</w:t>
            </w:r>
          </w:p>
          <w:p>
            <w:pPr>
              <w:autoSpaceDE w:val="0"/>
              <w:autoSpaceDN w:val="0"/>
              <w:adjustRightInd w:val="0"/>
              <w:spacing w:line="360" w:lineRule="auto"/>
              <w:ind w:firstLine="420"/>
              <w:rPr>
                <w:rFonts w:ascii="宋体" w:hAnsi="宋体" w:cs="宋体"/>
                <w:color w:val="auto"/>
                <w:sz w:val="21"/>
                <w:szCs w:val="21"/>
              </w:rPr>
            </w:pPr>
            <w:r>
              <w:rPr>
                <w:rFonts w:ascii="宋体" w:hAnsi="宋体" w:cs="宋体"/>
                <w:color w:val="auto"/>
                <w:sz w:val="21"/>
                <w:szCs w:val="21"/>
              </w:rPr>
              <w:t>1</w:t>
            </w:r>
            <w:r>
              <w:rPr>
                <w:rFonts w:hint="eastAsia" w:ascii="宋体" w:hAnsi="宋体" w:cs="宋体"/>
                <w:color w:val="auto"/>
                <w:sz w:val="21"/>
                <w:szCs w:val="21"/>
              </w:rPr>
              <w:t>.《建设工程工程量清单计价规范》（GB50500—2013）；</w:t>
            </w:r>
          </w:p>
          <w:p>
            <w:pPr>
              <w:autoSpaceDE w:val="0"/>
              <w:autoSpaceDN w:val="0"/>
              <w:adjustRightInd w:val="0"/>
              <w:spacing w:line="360" w:lineRule="auto"/>
              <w:ind w:firstLine="420"/>
              <w:rPr>
                <w:rFonts w:ascii="宋体" w:hAnsi="宋体" w:cs="宋体"/>
                <w:color w:val="auto"/>
                <w:sz w:val="21"/>
                <w:szCs w:val="21"/>
              </w:rPr>
            </w:pPr>
            <w:r>
              <w:rPr>
                <w:rFonts w:ascii="宋体" w:hAnsi="宋体" w:cs="宋体"/>
                <w:color w:val="auto"/>
                <w:sz w:val="21"/>
                <w:szCs w:val="21"/>
              </w:rPr>
              <w:t>2</w:t>
            </w:r>
            <w:r>
              <w:rPr>
                <w:rFonts w:hint="eastAsia" w:ascii="宋体" w:hAnsi="宋体" w:cs="宋体"/>
                <w:color w:val="auto"/>
                <w:sz w:val="21"/>
                <w:szCs w:val="21"/>
              </w:rPr>
              <w:t>.《房屋建筑与装饰工程工程量计算规范》（GB50854—2013）；</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3.《通用安装工程工程量计算规范》（GB50856—2013）；</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4．</w:t>
            </w:r>
            <w:r>
              <w:rPr>
                <w:rFonts w:hint="eastAsia" w:cs="宋体" w:asciiTheme="majorEastAsia" w:hAnsiTheme="majorEastAsia" w:eastAsiaTheme="majorEastAsia"/>
                <w:color w:val="auto"/>
                <w:sz w:val="21"/>
                <w:szCs w:val="21"/>
              </w:rPr>
              <w:t>《浙江省建设工程工程量清单计价指引》（2</w:t>
            </w:r>
            <w:r>
              <w:rPr>
                <w:rFonts w:cs="宋体" w:asciiTheme="majorEastAsia" w:hAnsiTheme="majorEastAsia" w:eastAsiaTheme="majorEastAsia"/>
                <w:color w:val="auto"/>
                <w:sz w:val="21"/>
                <w:szCs w:val="21"/>
              </w:rPr>
              <w:t>013</w:t>
            </w:r>
            <w:r>
              <w:rPr>
                <w:rFonts w:hint="eastAsia" w:cs="宋体" w:asciiTheme="majorEastAsia" w:hAnsiTheme="majorEastAsia" w:eastAsiaTheme="majorEastAsia"/>
                <w:color w:val="auto"/>
                <w:sz w:val="21"/>
                <w:szCs w:val="21"/>
              </w:rPr>
              <w:t>版）；</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6．《杭州市建设工程工程量清单计价实施细则（201</w:t>
            </w:r>
            <w:r>
              <w:rPr>
                <w:rFonts w:ascii="宋体" w:hAnsi="宋体" w:cs="宋体"/>
                <w:color w:val="auto"/>
                <w:sz w:val="21"/>
                <w:szCs w:val="21"/>
              </w:rPr>
              <w:t>8</w:t>
            </w:r>
            <w:r>
              <w:rPr>
                <w:rFonts w:hint="eastAsia" w:ascii="宋体" w:hAnsi="宋体" w:cs="宋体"/>
                <w:color w:val="auto"/>
                <w:sz w:val="21"/>
                <w:szCs w:val="21"/>
              </w:rPr>
              <w:t>年修订）》；</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13．其他与工程项目有关的规范、标准和技术资料；</w:t>
            </w:r>
          </w:p>
          <w:p>
            <w:pPr>
              <w:autoSpaceDE w:val="0"/>
              <w:autoSpaceDN w:val="0"/>
              <w:adjustRightInd w:val="0"/>
              <w:spacing w:line="360" w:lineRule="auto"/>
              <w:ind w:firstLine="1"/>
              <w:jc w:val="left"/>
              <w:rPr>
                <w:rFonts w:ascii="宋体" w:hAnsi="宋体" w:cs="宋体"/>
                <w:color w:val="auto"/>
                <w:sz w:val="21"/>
                <w:szCs w:val="21"/>
              </w:rPr>
            </w:pPr>
            <w:r>
              <w:rPr>
                <w:rFonts w:hint="eastAsia" w:ascii="宋体" w:hAnsi="宋体" w:cs="宋体"/>
                <w:color w:val="auto"/>
                <w:sz w:val="21"/>
                <w:szCs w:val="21"/>
              </w:rPr>
              <w:t>14．施工现场实际情况、工程特点、常规施工方案；</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15．业主提供的设计图纸。</w:t>
            </w:r>
          </w:p>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报价要求：</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1．工程量清单应与投标人须知，通用合同条款、专用合同条款、技术标准和要求及图纸等文件结合起来查阅与理解，并根据现场实际情况综合考虑报价；</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2"/>
              <w:tabs>
                <w:tab w:val="left" w:pos="3330"/>
              </w:tabs>
              <w:spacing w:line="360" w:lineRule="auto"/>
              <w:ind w:firstLine="420" w:firstLineChars="200"/>
              <w:rPr>
                <w:rFonts w:hAnsi="宋体" w:cs="宋体"/>
                <w:color w:val="auto"/>
                <w:sz w:val="21"/>
                <w:szCs w:val="21"/>
              </w:rPr>
            </w:pPr>
            <w:r>
              <w:rPr>
                <w:rFonts w:hAnsi="宋体" w:cs="宋体"/>
                <w:color w:val="auto"/>
                <w:sz w:val="21"/>
                <w:szCs w:val="21"/>
              </w:rPr>
              <w:t>4</w:t>
            </w:r>
            <w:r>
              <w:rPr>
                <w:rFonts w:hint="eastAsia" w:hAnsi="宋体" w:cs="宋体"/>
                <w:color w:val="auto"/>
                <w:sz w:val="21"/>
                <w:szCs w:val="21"/>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装饰工程：取费基数为“人工费</w:t>
            </w:r>
            <w:r>
              <w:rPr>
                <w:rFonts w:hAnsi="宋体" w:cs="宋体"/>
                <w:color w:val="auto"/>
                <w:sz w:val="21"/>
                <w:szCs w:val="21"/>
              </w:rPr>
              <w:t>+</w:t>
            </w:r>
            <w:r>
              <w:rPr>
                <w:rFonts w:hint="eastAsia" w:hAnsi="宋体" w:cs="宋体"/>
                <w:color w:val="auto"/>
                <w:sz w:val="21"/>
                <w:szCs w:val="21"/>
              </w:rPr>
              <w:t>机械费”，最低费率为：5.91%；</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安装工程：取费基数为“人工费</w:t>
            </w:r>
            <w:r>
              <w:rPr>
                <w:rFonts w:hAnsi="宋体" w:cs="宋体"/>
                <w:color w:val="auto"/>
                <w:sz w:val="21"/>
                <w:szCs w:val="21"/>
              </w:rPr>
              <w:t>+</w:t>
            </w:r>
            <w:r>
              <w:rPr>
                <w:rFonts w:hint="eastAsia" w:hAnsi="宋体" w:cs="宋体"/>
                <w:color w:val="auto"/>
                <w:sz w:val="21"/>
                <w:szCs w:val="21"/>
              </w:rPr>
              <w:t>机械费”，最低费率为：7.35%；</w:t>
            </w:r>
          </w:p>
          <w:p>
            <w:pPr>
              <w:pStyle w:val="2"/>
              <w:tabs>
                <w:tab w:val="left" w:pos="3330"/>
              </w:tabs>
              <w:spacing w:line="360" w:lineRule="auto"/>
              <w:ind w:firstLine="420" w:firstLineChars="200"/>
              <w:rPr>
                <w:rFonts w:hAnsi="宋体" w:cs="宋体"/>
                <w:color w:val="auto"/>
                <w:sz w:val="21"/>
                <w:szCs w:val="21"/>
              </w:rPr>
            </w:pPr>
            <w:r>
              <w:rPr>
                <w:rFonts w:hAnsi="宋体" w:cs="宋体"/>
                <w:color w:val="auto"/>
                <w:sz w:val="21"/>
                <w:szCs w:val="21"/>
              </w:rPr>
              <w:t>5</w:t>
            </w:r>
            <w:r>
              <w:rPr>
                <w:rFonts w:hint="eastAsia" w:hAnsi="宋体" w:cs="宋体"/>
                <w:color w:val="auto"/>
                <w:sz w:val="21"/>
                <w:szCs w:val="21"/>
              </w:rPr>
              <w:t>．规费费率不得低于《浙江省建设工程计价规则》（</w:t>
            </w:r>
            <w:r>
              <w:rPr>
                <w:rFonts w:hAnsi="宋体" w:cs="宋体"/>
                <w:color w:val="auto"/>
                <w:sz w:val="21"/>
                <w:szCs w:val="21"/>
              </w:rPr>
              <w:t>201</w:t>
            </w:r>
            <w:r>
              <w:rPr>
                <w:rFonts w:hint="eastAsia" w:hAnsi="宋体" w:cs="宋体"/>
                <w:color w:val="auto"/>
                <w:sz w:val="21"/>
                <w:szCs w:val="21"/>
              </w:rPr>
              <w:t>8版）的30%，具体如下：</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装饰工程：取费基数为“人工费</w:t>
            </w:r>
            <w:r>
              <w:rPr>
                <w:rFonts w:hAnsi="宋体" w:cs="宋体"/>
                <w:color w:val="auto"/>
                <w:sz w:val="21"/>
                <w:szCs w:val="21"/>
              </w:rPr>
              <w:t>+</w:t>
            </w:r>
            <w:r>
              <w:rPr>
                <w:rFonts w:hint="eastAsia" w:hAnsi="宋体" w:cs="宋体"/>
                <w:color w:val="auto"/>
                <w:sz w:val="21"/>
                <w:szCs w:val="21"/>
              </w:rPr>
              <w:t>机械费”，最低费率为：8.38%；</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安装工程：取费基数为“人工费</w:t>
            </w:r>
            <w:r>
              <w:rPr>
                <w:rFonts w:hAnsi="宋体" w:cs="宋体"/>
                <w:color w:val="auto"/>
                <w:sz w:val="21"/>
                <w:szCs w:val="21"/>
              </w:rPr>
              <w:t>+</w:t>
            </w:r>
            <w:r>
              <w:rPr>
                <w:rFonts w:hint="eastAsia" w:hAnsi="宋体" w:cs="宋体"/>
                <w:color w:val="auto"/>
                <w:sz w:val="21"/>
                <w:szCs w:val="21"/>
              </w:rPr>
              <w:t>机械费”，最低费率为：9.19%；</w:t>
            </w:r>
          </w:p>
          <w:p>
            <w:pPr>
              <w:pStyle w:val="2"/>
              <w:tabs>
                <w:tab w:val="left" w:pos="3330"/>
              </w:tabs>
              <w:spacing w:line="360" w:lineRule="auto"/>
              <w:ind w:firstLine="420" w:firstLineChars="200"/>
              <w:rPr>
                <w:rFonts w:hAnsi="宋体" w:cs="宋体"/>
                <w:color w:val="auto"/>
                <w:sz w:val="21"/>
                <w:szCs w:val="21"/>
              </w:rPr>
            </w:pPr>
            <w:r>
              <w:rPr>
                <w:rFonts w:hAnsi="宋体" w:cs="宋体"/>
                <w:color w:val="auto"/>
                <w:sz w:val="21"/>
                <w:szCs w:val="21"/>
              </w:rPr>
              <w:t>6</w:t>
            </w:r>
            <w:r>
              <w:rPr>
                <w:rFonts w:hint="eastAsia" w:hAnsi="宋体" w:cs="宋体"/>
                <w:color w:val="auto"/>
                <w:sz w:val="21"/>
                <w:szCs w:val="21"/>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装饰工程：取费基数为“人工费</w:t>
            </w:r>
            <w:r>
              <w:rPr>
                <w:rFonts w:hAnsi="宋体" w:cs="宋体"/>
                <w:color w:val="auto"/>
                <w:sz w:val="21"/>
                <w:szCs w:val="21"/>
              </w:rPr>
              <w:t>+</w:t>
            </w:r>
            <w:r>
              <w:rPr>
                <w:rFonts w:hint="eastAsia" w:hAnsi="宋体" w:cs="宋体"/>
                <w:color w:val="auto"/>
                <w:sz w:val="21"/>
                <w:szCs w:val="21"/>
              </w:rPr>
              <w:t>机械费”，最低费率为：2.28%；</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安装工程：取费基数为“人工费</w:t>
            </w:r>
            <w:r>
              <w:rPr>
                <w:rFonts w:hAnsi="宋体" w:cs="宋体"/>
                <w:color w:val="auto"/>
                <w:sz w:val="21"/>
                <w:szCs w:val="21"/>
              </w:rPr>
              <w:t>+</w:t>
            </w:r>
            <w:r>
              <w:rPr>
                <w:rFonts w:hint="eastAsia" w:hAnsi="宋体" w:cs="宋体"/>
                <w:color w:val="auto"/>
                <w:sz w:val="21"/>
                <w:szCs w:val="21"/>
              </w:rPr>
              <w:t>机械费”，最低费率为：3.26%；</w:t>
            </w:r>
          </w:p>
          <w:p>
            <w:pPr>
              <w:pStyle w:val="2"/>
              <w:tabs>
                <w:tab w:val="left" w:pos="3330"/>
              </w:tabs>
              <w:spacing w:line="360" w:lineRule="auto"/>
              <w:ind w:firstLine="420" w:firstLineChars="200"/>
              <w:rPr>
                <w:rFonts w:hAnsi="宋体" w:cs="宋体"/>
                <w:color w:val="auto"/>
                <w:sz w:val="21"/>
                <w:szCs w:val="21"/>
              </w:rPr>
            </w:pPr>
            <w:r>
              <w:rPr>
                <w:rFonts w:hAnsi="宋体" w:cs="宋体"/>
                <w:color w:val="auto"/>
                <w:sz w:val="21"/>
                <w:szCs w:val="21"/>
              </w:rPr>
              <w:t>7</w:t>
            </w:r>
            <w:r>
              <w:rPr>
                <w:rFonts w:hint="eastAsia" w:hAnsi="宋体" w:cs="宋体"/>
                <w:color w:val="auto"/>
                <w:sz w:val="21"/>
                <w:szCs w:val="21"/>
              </w:rPr>
              <w:t>．税金应根据《浙江省建设工程计价规则》（2018版）的规定及浙建建发[2019]92号的相关规定以（税前工程造价）为取费基数, 取费费率为：9%。</w:t>
            </w:r>
          </w:p>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编制说明：</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lang w:val="en-US" w:eastAsia="zh-CN"/>
              </w:rPr>
              <w:t>根据建设单位要求，对工程量清单内容做如下说明：</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rPr>
              <w:t>卫生间地面、墙面防水均按1.5mm厚JS</w:t>
            </w:r>
            <w:r>
              <w:rPr>
                <w:rFonts w:hint="eastAsia" w:hAnsi="宋体" w:cs="宋体"/>
                <w:color w:val="auto"/>
                <w:sz w:val="21"/>
                <w:szCs w:val="21"/>
                <w:lang w:val="en-US" w:eastAsia="zh-CN"/>
              </w:rPr>
              <w:t>防水I型</w:t>
            </w:r>
            <w:r>
              <w:rPr>
                <w:rFonts w:hint="eastAsia" w:hAnsi="宋体" w:cs="宋体"/>
                <w:color w:val="auto"/>
                <w:sz w:val="21"/>
                <w:szCs w:val="21"/>
              </w:rPr>
              <w:t>计入，墙面防水高度按上翻</w:t>
            </w:r>
            <w:r>
              <w:rPr>
                <w:rFonts w:hint="eastAsia" w:hAnsi="宋体" w:cs="宋体"/>
                <w:color w:val="auto"/>
                <w:sz w:val="21"/>
                <w:szCs w:val="21"/>
                <w:lang w:val="en-US" w:eastAsia="zh-CN"/>
              </w:rPr>
              <w:t>0.3</w:t>
            </w:r>
            <w:r>
              <w:rPr>
                <w:rFonts w:hint="eastAsia" w:hAnsi="宋体" w:cs="宋体"/>
                <w:color w:val="auto"/>
                <w:sz w:val="21"/>
                <w:szCs w:val="21"/>
              </w:rPr>
              <w:t>m计入；</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lang w:val="en-US" w:eastAsia="zh-CN"/>
              </w:rPr>
              <w:t>吊顶采用300*600*0.8mm厚白色铝扣板吊顶，高度2.7m；</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lang w:val="en-US" w:eastAsia="zh-CN"/>
              </w:rPr>
              <w:t>卫生间隔断采用18mm厚成品PVC发泡板卫生间隔断，高度2m。</w:t>
            </w:r>
          </w:p>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材料：</w:t>
            </w:r>
          </w:p>
          <w:p>
            <w:pPr>
              <w:spacing w:line="400" w:lineRule="exact"/>
              <w:ind w:firstLine="210" w:firstLineChars="100"/>
              <w:rPr>
                <w:rFonts w:ascii="宋体" w:hAnsi="宋体"/>
                <w:color w:val="auto"/>
                <w:sz w:val="21"/>
                <w:szCs w:val="21"/>
              </w:rPr>
            </w:pPr>
            <w:r>
              <w:rPr>
                <w:rFonts w:hint="eastAsia" w:ascii="宋体" w:hAnsi="宋体"/>
                <w:color w:val="auto"/>
                <w:sz w:val="21"/>
                <w:szCs w:val="21"/>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spacing w:line="400" w:lineRule="exact"/>
              <w:ind w:firstLine="210" w:firstLineChars="100"/>
              <w:rPr>
                <w:rFonts w:ascii="宋体" w:hAnsi="宋体"/>
                <w:color w:val="auto"/>
                <w:sz w:val="21"/>
                <w:szCs w:val="21"/>
              </w:rPr>
            </w:pPr>
            <w:r>
              <w:rPr>
                <w:rFonts w:hint="eastAsia" w:ascii="宋体" w:hAnsi="宋体"/>
                <w:color w:val="auto"/>
                <w:sz w:val="21"/>
                <w:szCs w:val="21"/>
              </w:rPr>
              <w:t>（二）其他的设备、材料等采购：</w:t>
            </w:r>
          </w:p>
          <w:p>
            <w:pPr>
              <w:spacing w:line="400" w:lineRule="exact"/>
              <w:ind w:firstLine="420" w:firstLineChars="200"/>
              <w:rPr>
                <w:rFonts w:ascii="宋体" w:hAnsi="宋体"/>
                <w:color w:val="auto"/>
                <w:sz w:val="21"/>
                <w:szCs w:val="21"/>
              </w:rPr>
            </w:pPr>
            <w:r>
              <w:rPr>
                <w:rFonts w:hint="eastAsia" w:ascii="宋体" w:hAnsi="宋体"/>
                <w:color w:val="auto"/>
                <w:sz w:val="21"/>
                <w:szCs w:val="21"/>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color w:val="auto"/>
                <w:sz w:val="21"/>
                <w:szCs w:val="21"/>
              </w:rPr>
            </w:pPr>
            <w:r>
              <w:rPr>
                <w:rFonts w:hint="eastAsia" w:ascii="宋体" w:hAnsi="宋体"/>
                <w:color w:val="auto"/>
                <w:sz w:val="21"/>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autoSpaceDE w:val="0"/>
              <w:autoSpaceDN w:val="0"/>
              <w:adjustRightInd w:val="0"/>
              <w:spacing w:line="380" w:lineRule="exact"/>
              <w:ind w:firstLine="420" w:firstLineChars="200"/>
              <w:jc w:val="left"/>
              <w:rPr>
                <w:rFonts w:ascii="宋体" w:hAnsi="宋体" w:cs="宋体"/>
                <w:color w:val="auto"/>
                <w:kern w:val="0"/>
                <w:sz w:val="21"/>
                <w:szCs w:val="21"/>
                <w:lang w:val="zh-CN"/>
              </w:rPr>
            </w:pPr>
            <w:r>
              <w:rPr>
                <w:rFonts w:hint="eastAsia" w:ascii="宋体" w:hAnsi="宋体"/>
                <w:color w:val="auto"/>
                <w:sz w:val="21"/>
                <w:szCs w:val="21"/>
              </w:rPr>
              <w:t>3、招标人有权对材料品牌进行变更，投标人应服从并做好配合工作。</w:t>
            </w:r>
          </w:p>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其他说明：</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2.各投标单位需要在相应的子目中综合考虑费用；</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15.本工程砼按《杭州市商品混凝土管理办法 杭州市政府令第115号》文件要求使用商品混凝土。</w:t>
            </w:r>
          </w:p>
          <w:p>
            <w:pPr>
              <w:numPr>
                <w:ilvl w:val="0"/>
                <w:numId w:val="1"/>
              </w:numPr>
              <w:autoSpaceDE w:val="0"/>
              <w:autoSpaceDN w:val="0"/>
              <w:adjustRightInd w:val="0"/>
              <w:spacing w:line="360" w:lineRule="auto"/>
              <w:rPr>
                <w:rFonts w:hint="eastAsia" w:hAnsi="宋体" w:cs="宋体"/>
                <w:b/>
                <w:bCs/>
                <w:color w:val="auto"/>
                <w:sz w:val="21"/>
                <w:szCs w:val="21"/>
                <w:lang w:val="zh-CN"/>
              </w:rPr>
            </w:pPr>
            <w:r>
              <w:rPr>
                <w:rFonts w:hint="eastAsia" w:hAnsi="宋体" w:cs="宋体"/>
                <w:b/>
                <w:bCs/>
                <w:color w:val="auto"/>
                <w:sz w:val="21"/>
                <w:szCs w:val="21"/>
                <w:lang w:val="zh-CN"/>
              </w:rPr>
              <w:t>其他不详之处，详见国家及地方标准。</w:t>
            </w: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bookmarkStart w:id="0" w:name="_GoBack"/>
            <w:bookmarkEnd w:id="0"/>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b/>
                <w:color w:val="auto"/>
                <w:kern w:val="1"/>
                <w:sz w:val="21"/>
                <w:szCs w:val="21"/>
              </w:rPr>
            </w:pPr>
            <w:r>
              <w:rPr>
                <w:rFonts w:hint="eastAsia"/>
                <w:b/>
                <w:color w:val="auto"/>
                <w:kern w:val="1"/>
                <w:sz w:val="21"/>
                <w:szCs w:val="21"/>
              </w:rPr>
              <w:t>品牌推荐表：</w:t>
            </w:r>
          </w:p>
          <w:p>
            <w:pPr>
              <w:spacing w:line="360" w:lineRule="auto"/>
              <w:jc w:val="center"/>
              <w:rPr>
                <w:rFonts w:ascii="宋体" w:hAnsi="宋体" w:cs="宋体"/>
                <w:b/>
                <w:color w:val="auto"/>
                <w:kern w:val="1"/>
                <w:sz w:val="21"/>
                <w:szCs w:val="21"/>
              </w:rPr>
            </w:pPr>
            <w:r>
              <w:rPr>
                <w:rFonts w:hint="eastAsia" w:ascii="宋体" w:hAnsi="宋体" w:cs="宋体"/>
                <w:b/>
                <w:color w:val="auto"/>
                <w:kern w:val="1"/>
                <w:sz w:val="21"/>
                <w:szCs w:val="21"/>
              </w:rPr>
              <w:t>招标人推荐材料、设备品牌一览表</w:t>
            </w:r>
          </w:p>
          <w:tbl>
            <w:tblPr>
              <w:tblStyle w:val="8"/>
              <w:tblW w:w="0" w:type="auto"/>
              <w:tblInd w:w="0" w:type="dxa"/>
              <w:tblLayout w:type="fixed"/>
              <w:tblCellMar>
                <w:top w:w="0" w:type="dxa"/>
                <w:left w:w="108" w:type="dxa"/>
                <w:bottom w:w="0" w:type="dxa"/>
                <w:right w:w="108" w:type="dxa"/>
              </w:tblCellMar>
            </w:tblPr>
            <w:tblGrid>
              <w:gridCol w:w="562"/>
              <w:gridCol w:w="2127"/>
              <w:gridCol w:w="2693"/>
              <w:gridCol w:w="1309"/>
              <w:gridCol w:w="1769"/>
            </w:tblGrid>
            <w:tr>
              <w:tblPrEx>
                <w:tblCellMar>
                  <w:top w:w="0" w:type="dxa"/>
                  <w:left w:w="108" w:type="dxa"/>
                  <w:bottom w:w="0" w:type="dxa"/>
                  <w:right w:w="108" w:type="dxa"/>
                </w:tblCellMar>
              </w:tblPrEx>
              <w:trPr>
                <w:trHeight w:val="268" w:hRule="atLeast"/>
              </w:trPr>
              <w:tc>
                <w:tcPr>
                  <w:tcW w:w="562"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序号</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材料名称</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品牌或产地</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等级</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备注</w:t>
                  </w:r>
                </w:p>
              </w:tc>
            </w:tr>
            <w:tr>
              <w:tblPrEx>
                <w:tblCellMar>
                  <w:top w:w="0" w:type="dxa"/>
                  <w:left w:w="108" w:type="dxa"/>
                  <w:bottom w:w="0" w:type="dxa"/>
                  <w:right w:w="108" w:type="dxa"/>
                </w:tblCellMar>
              </w:tblPrEx>
              <w:trPr>
                <w:trHeight w:val="354"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1</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bCs/>
                      <w:color w:val="auto"/>
                      <w:sz w:val="21"/>
                      <w:szCs w:val="21"/>
                    </w:rPr>
                    <w:t>无机涂料、乳胶漆</w:t>
                  </w:r>
                  <w:r>
                    <w:rPr>
                      <w:rFonts w:hint="eastAsia"/>
                      <w:bCs/>
                      <w:color w:val="auto"/>
                      <w:sz w:val="21"/>
                      <w:szCs w:val="21"/>
                      <w:lang w:eastAsia="zh-CN"/>
                    </w:rPr>
                    <w:t>、</w:t>
                  </w:r>
                  <w:r>
                    <w:rPr>
                      <w:rFonts w:hint="eastAsia" w:ascii="宋体" w:hAnsi="宋体" w:eastAsia="宋体" w:cs="宋体"/>
                      <w:kern w:val="0"/>
                      <w:sz w:val="21"/>
                      <w:szCs w:val="21"/>
                      <w:lang w:val="en-US" w:eastAsia="zh-CN"/>
                    </w:rPr>
                    <w:t>防锈漆、防腐涂料</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多乐士</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立邦</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华润</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376"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2</w:t>
                  </w:r>
                </w:p>
              </w:tc>
              <w:tc>
                <w:tcPr>
                  <w:tcW w:w="2127" w:type="dxa"/>
                  <w:tcBorders>
                    <w:top w:val="single" w:color="000000" w:sz="4" w:space="0"/>
                    <w:left w:val="single" w:color="000000" w:sz="4" w:space="0"/>
                    <w:bottom w:val="single" w:color="000000" w:sz="4" w:space="0"/>
                    <w:right w:val="single" w:color="000000" w:sz="4" w:space="0"/>
                  </w:tcBorders>
                  <w:noWrap/>
                  <w:vAlign w:val="top"/>
                </w:tcPr>
                <w:p>
                  <w:pPr>
                    <w:widowControl/>
                    <w:jc w:val="center"/>
                    <w:rPr>
                      <w:rFonts w:hint="default" w:ascii="宋体" w:hAnsi="宋体" w:eastAsia="宋体" w:cs="宋体"/>
                      <w:kern w:val="0"/>
                      <w:sz w:val="21"/>
                      <w:szCs w:val="21"/>
                      <w:lang w:val="en-US" w:eastAsia="zh-CN" w:bidi="ar-SA"/>
                    </w:rPr>
                  </w:pPr>
                  <w:r>
                    <w:rPr>
                      <w:rFonts w:hint="eastAsia"/>
                      <w:bCs/>
                      <w:color w:val="auto"/>
                      <w:sz w:val="21"/>
                      <w:szCs w:val="21"/>
                    </w:rPr>
                    <w:t>细木工板,、多层板</w:t>
                  </w:r>
                  <w:r>
                    <w:rPr>
                      <w:rFonts w:hint="eastAsia"/>
                      <w:bCs/>
                      <w:color w:val="auto"/>
                      <w:sz w:val="21"/>
                      <w:szCs w:val="21"/>
                      <w:lang w:eastAsia="zh-CN"/>
                    </w:rPr>
                    <w:t>、</w:t>
                  </w:r>
                  <w:r>
                    <w:rPr>
                      <w:rFonts w:hint="eastAsia"/>
                      <w:bCs/>
                      <w:color w:val="auto"/>
                      <w:sz w:val="21"/>
                      <w:szCs w:val="21"/>
                      <w:lang w:val="en-US" w:eastAsia="zh-CN"/>
                    </w:rPr>
                    <w:t>阻燃板</w:t>
                  </w:r>
                </w:p>
              </w:tc>
              <w:tc>
                <w:tcPr>
                  <w:tcW w:w="2693" w:type="dxa"/>
                  <w:tcBorders>
                    <w:top w:val="single" w:color="000000" w:sz="4" w:space="0"/>
                    <w:left w:val="single" w:color="000000" w:sz="4" w:space="0"/>
                    <w:bottom w:val="single" w:color="000000" w:sz="4" w:space="0"/>
                    <w:right w:val="single" w:color="000000" w:sz="4" w:space="0"/>
                  </w:tcBorders>
                  <w:noWrap/>
                  <w:vAlign w:val="top"/>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千年舟</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免宝宝</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莫干山</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3</w:t>
                  </w:r>
                </w:p>
              </w:tc>
              <w:tc>
                <w:tcPr>
                  <w:tcW w:w="2127" w:type="dxa"/>
                  <w:tcBorders>
                    <w:top w:val="single" w:color="000000" w:sz="4" w:space="0"/>
                    <w:left w:val="single" w:color="000000" w:sz="4" w:space="0"/>
                    <w:bottom w:val="single" w:color="000000" w:sz="4" w:space="0"/>
                    <w:right w:val="single" w:color="000000" w:sz="4" w:space="0"/>
                  </w:tcBorders>
                  <w:noWrap/>
                  <w:vAlign w:val="top"/>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墙砖、地砖</w:t>
                  </w:r>
                </w:p>
              </w:tc>
              <w:tc>
                <w:tcPr>
                  <w:tcW w:w="2693" w:type="dxa"/>
                  <w:tcBorders>
                    <w:top w:val="single" w:color="000000" w:sz="4" w:space="0"/>
                    <w:left w:val="single" w:color="000000" w:sz="4" w:space="0"/>
                    <w:bottom w:val="single" w:color="000000" w:sz="4" w:space="0"/>
                    <w:right w:val="single" w:color="000000" w:sz="4" w:space="0"/>
                  </w:tcBorders>
                  <w:noWrap/>
                  <w:vAlign w:val="top"/>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亚细亚、斯米克、冠军</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4</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瓷砖胶泥</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亚细亚（P3000)、德高（瓷砖胶TTB II型）、雷帝(325)</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5</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防水涂料</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东方雨虹、科顺、禹王</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6</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门窗五金配件</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汇泰龙、顶固、坚朗</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7</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铝合金型材</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广东凤铝、广东兴发、广东坚美</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bCs/>
                      <w:color w:val="auto"/>
                      <w:sz w:val="21"/>
                      <w:szCs w:val="21"/>
                    </w:rPr>
                  </w:pPr>
                  <w:r>
                    <w:rPr>
                      <w:rFonts w:hint="eastAsia"/>
                      <w:bCs/>
                      <w:color w:val="auto"/>
                      <w:sz w:val="21"/>
                      <w:szCs w:val="21"/>
                    </w:rPr>
                    <w:t>8</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塑料给排水管</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中财</w:t>
                  </w:r>
                  <w:r>
                    <w:rPr>
                      <w:rFonts w:hint="eastAsia" w:ascii="宋体" w:hAnsi="宋体" w:eastAsia="宋体" w:cs="宋体"/>
                      <w:kern w:val="0"/>
                      <w:sz w:val="21"/>
                      <w:szCs w:val="21"/>
                      <w:lang w:eastAsia="zh-CN"/>
                    </w:rPr>
                    <w:t>、</w:t>
                  </w:r>
                  <w:r>
                    <w:rPr>
                      <w:rFonts w:hint="eastAsia"/>
                      <w:bCs/>
                      <w:color w:val="auto"/>
                      <w:sz w:val="21"/>
                      <w:szCs w:val="21"/>
                    </w:rPr>
                    <w:t>伟星、日丰</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bCs/>
                      <w:color w:val="auto"/>
                      <w:sz w:val="21"/>
                      <w:szCs w:val="21"/>
                    </w:rPr>
                  </w:pPr>
                  <w:r>
                    <w:rPr>
                      <w:rFonts w:hint="eastAsia"/>
                      <w:bCs/>
                      <w:color w:val="auto"/>
                      <w:sz w:val="21"/>
                      <w:szCs w:val="21"/>
                    </w:rPr>
                    <w:t>9</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rPr>
                    <w:t>灯具</w:t>
                  </w:r>
                  <w:r>
                    <w:rPr>
                      <w:rFonts w:hint="eastAsia" w:ascii="宋体" w:hAnsi="宋体" w:eastAsia="宋体" w:cs="宋体"/>
                      <w:kern w:val="0"/>
                      <w:sz w:val="21"/>
                      <w:szCs w:val="21"/>
                      <w:lang w:val="en-US" w:eastAsia="zh-CN"/>
                    </w:rPr>
                    <w:t>、光源</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雷士照明</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鸿雁</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阳光</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bCs/>
                      <w:color w:val="auto"/>
                      <w:sz w:val="21"/>
                      <w:szCs w:val="21"/>
                    </w:rPr>
                  </w:pPr>
                  <w:r>
                    <w:rPr>
                      <w:rFonts w:hint="eastAsia"/>
                      <w:bCs/>
                      <w:color w:val="auto"/>
                      <w:sz w:val="21"/>
                      <w:szCs w:val="21"/>
                    </w:rPr>
                    <w:t>10</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bCs/>
                      <w:color w:val="auto"/>
                      <w:sz w:val="21"/>
                      <w:szCs w:val="21"/>
                    </w:rPr>
                    <w:t>开关、插座</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鸿雁</w:t>
                  </w:r>
                  <w:r>
                    <w:rPr>
                      <w:rFonts w:hint="eastAsia" w:ascii="宋体" w:hAnsi="宋体" w:eastAsia="宋体" w:cs="宋体"/>
                      <w:kern w:val="0"/>
                      <w:sz w:val="21"/>
                      <w:szCs w:val="21"/>
                      <w:lang w:eastAsia="zh-CN"/>
                    </w:rPr>
                    <w:t>、西门子、</w:t>
                  </w:r>
                  <w:r>
                    <w:rPr>
                      <w:rFonts w:hint="eastAsia" w:ascii="宋体" w:hAnsi="宋体" w:eastAsia="宋体" w:cs="宋体"/>
                      <w:kern w:val="0"/>
                      <w:sz w:val="21"/>
                      <w:szCs w:val="21"/>
                      <w:lang w:val="en-US" w:eastAsia="zh-CN"/>
                    </w:rPr>
                    <w:t>ABB</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bCs/>
                      <w:color w:val="auto"/>
                      <w:sz w:val="21"/>
                      <w:szCs w:val="21"/>
                    </w:rPr>
                  </w:pPr>
                  <w:r>
                    <w:rPr>
                      <w:rFonts w:hint="eastAsia"/>
                      <w:bCs/>
                      <w:color w:val="auto"/>
                      <w:sz w:val="21"/>
                      <w:szCs w:val="21"/>
                    </w:rPr>
                    <w:t>11</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bCs/>
                      <w:color w:val="auto"/>
                      <w:sz w:val="21"/>
                      <w:szCs w:val="21"/>
                    </w:rPr>
                    <w:t>电线、电缆</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杭州中策</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上海胜华</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无锡长城</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bCs/>
                      <w:color w:val="auto"/>
                      <w:sz w:val="21"/>
                      <w:szCs w:val="21"/>
                    </w:rPr>
                  </w:pPr>
                  <w:r>
                    <w:rPr>
                      <w:rFonts w:hint="eastAsia"/>
                      <w:bCs/>
                      <w:color w:val="auto"/>
                      <w:sz w:val="21"/>
                      <w:szCs w:val="21"/>
                    </w:rPr>
                    <w:t>12</w:t>
                  </w:r>
                </w:p>
              </w:tc>
              <w:tc>
                <w:tcPr>
                  <w:tcW w:w="2127" w:type="dxa"/>
                  <w:tcBorders>
                    <w:top w:val="single" w:color="000000" w:sz="4" w:space="0"/>
                    <w:left w:val="single" w:color="000000" w:sz="4" w:space="0"/>
                    <w:bottom w:val="single" w:color="000000" w:sz="4" w:space="0"/>
                    <w:right w:val="single" w:color="000000" w:sz="4" w:space="0"/>
                  </w:tcBorders>
                  <w:noWrap/>
                  <w:vAlign w:val="top"/>
                </w:tcPr>
                <w:p>
                  <w:pPr>
                    <w:widowControl/>
                    <w:jc w:val="center"/>
                    <w:rPr>
                      <w:rFonts w:hint="eastAsia" w:ascii="宋体" w:hAnsi="宋体" w:eastAsia="宋体" w:cs="宋体"/>
                      <w:kern w:val="0"/>
                      <w:sz w:val="21"/>
                      <w:szCs w:val="21"/>
                      <w:lang w:val="en-US" w:eastAsia="zh-CN" w:bidi="ar-SA"/>
                    </w:rPr>
                  </w:pPr>
                  <w:r>
                    <w:rPr>
                      <w:rFonts w:hint="eastAsia"/>
                      <w:bCs/>
                      <w:color w:val="auto"/>
                      <w:sz w:val="21"/>
                      <w:szCs w:val="21"/>
                    </w:rPr>
                    <w:t>洁具及附件</w:t>
                  </w:r>
                </w:p>
              </w:tc>
              <w:tc>
                <w:tcPr>
                  <w:tcW w:w="2693" w:type="dxa"/>
                  <w:tcBorders>
                    <w:top w:val="single" w:color="000000" w:sz="4" w:space="0"/>
                    <w:left w:val="single" w:color="000000" w:sz="4" w:space="0"/>
                    <w:bottom w:val="single" w:color="000000" w:sz="4" w:space="0"/>
                    <w:right w:val="single" w:color="000000" w:sz="4" w:space="0"/>
                  </w:tcBorders>
                  <w:noWrap/>
                  <w:vAlign w:val="top"/>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箭牌、美加华、九牧</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或相当于及以上</w:t>
                  </w:r>
                </w:p>
              </w:tc>
            </w:tr>
          </w:tbl>
          <w:p>
            <w:pPr>
              <w:pStyle w:val="2"/>
              <w:spacing w:line="360" w:lineRule="auto"/>
              <w:rPr>
                <w:rFonts w:hAnsi="宋体" w:cs="宋体"/>
                <w:color w:val="000000"/>
                <w:sz w:val="21"/>
                <w:szCs w:val="21"/>
                <w:lang w:val="zh-CN"/>
              </w:rPr>
            </w:pPr>
            <w:r>
              <w:rPr>
                <w:rFonts w:hint="eastAsia"/>
                <w:color w:val="auto"/>
                <w:kern w:val="1"/>
                <w:sz w:val="21"/>
                <w:szCs w:val="21"/>
              </w:rPr>
              <w:t>注意：涂料、油漆、多层板、细木工板、强化地板要达到环保E1级标准。</w:t>
            </w:r>
          </w:p>
        </w:tc>
      </w:tr>
    </w:tbl>
    <w:p>
      <w:pPr>
        <w:pStyle w:val="2"/>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1026" o:spid="_x0000_s1026" o:spt="202" type="#_x0000_t202" style="position:absolute;left:0pt;margin-left:-6.85pt;margin-top:16.7pt;height:53.3pt;width:435.85pt;mso-wrap-distance-bottom:3.6pt;mso-wrap-distance-left:9pt;mso-wrap-distance-right:9pt;mso-wrap-distance-top:3.6pt;z-index:251659264;mso-width-relative:page;mso-height-relative:page;"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I3YgSx0CAABbBAAADgAAAGRycy9lMm9Eb2MueG1srVRN&#10;rtMwEN4jcQfLe5q2qIVGTZ8EpWwQID04gOs4iSX/yXablAPADVixYc+5eg4+O+Xx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h72vkQ3wqrSTIq6tG8rCk7vgsRGRH6JyQlC1bJeieVygvf7l8rT44Mjd7lJxWJIw/C&#10;lCF9RVeLeaqDYXobTA1M7aBAMG3O9+BEuA44FbZloRsLyAjjbGkZhUclrOwEq9+YmsSTg8oGl4um&#10;YrSoKVECdzFZOTIyqa6JBDtlErTIk35RKTVsbEyy4rAfAJrMva1PaCLuPtTtrP9CCTMcRkWhwcF5&#10;2Xbw5O4W6QBmLkt4uR9pqO+vYd//J2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yf+VjYAAAA&#10;CgEAAA8AAAAAAAAAAQAgAAAAIgAAAGRycy9kb3ducmV2LnhtbFBLAQIUABQAAAAIAIdO4kAjdiBL&#10;HQIAAFsEAAAOAAAAAAAAAAEAIAAAACcBAABkcnMvZTJvRG9jLnhtbFBLBQYAAAAABgAGAFkBAAC2&#10;BQAAAAA=&#10;">
          <v:path/>
          <v:fill focussize="0,0"/>
          <v:stroke color="#FFFFFF" joinstyle="miter"/>
          <v:imagedata o:title=""/>
          <o:lock v:ext="edit"/>
          <v:textbox>
            <w:txbxContent>
              <w:p>
                <w:pPr>
                  <w:pStyle w:val="2"/>
                  <w:tabs>
                    <w:tab w:val="left" w:pos="0"/>
                  </w:tabs>
                  <w:jc w:val="center"/>
                  <w:rPr>
                    <w:b/>
                    <w:sz w:val="48"/>
                    <w:szCs w:val="48"/>
                  </w:rPr>
                </w:pPr>
                <w:r>
                  <w:rPr>
                    <w:rFonts w:hint="eastAsia"/>
                    <w:b/>
                    <w:sz w:val="48"/>
                    <w:szCs w:val="48"/>
                  </w:rPr>
                  <w:t>工程量清单编制总说明</w:t>
                </w:r>
              </w:p>
              <w:p>
                <w:pPr>
                  <w:rPr>
                    <w:rFonts w:asciiTheme="minorEastAsia" w:hAnsiTheme="minorEastAsia" w:eastAsiaTheme="minorEastAsia" w:cstheme="minorEastAsia"/>
                    <w:szCs w:val="21"/>
                  </w:rPr>
                </w:pPr>
                <w:r>
                  <w:rPr>
                    <w:rFonts w:hint="eastAsia" w:ascii="宋体" w:hAnsi="宋体" w:eastAsia="宋体" w:cs="宋体"/>
                    <w:sz w:val="21"/>
                    <w:szCs w:val="21"/>
                  </w:rPr>
                  <w:t>工程名称: 杭州电子科技大学生活区公共卫生间改造工程</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cs="宋体"/>
                    <w:szCs w:val="21"/>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5</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页</w:t>
                </w:r>
              </w:p>
              <w:p/>
            </w:txbxContent>
          </v:textbox>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9816F"/>
    <w:multiLevelType w:val="singleLevel"/>
    <w:tmpl w:val="2DE9816F"/>
    <w:lvl w:ilvl="0" w:tentative="0">
      <w:start w:val="1"/>
      <w:numFmt w:val="decimal"/>
      <w:lvlText w:val="%1."/>
      <w:lvlJc w:val="left"/>
      <w:pPr>
        <w:ind w:left="425" w:hanging="425"/>
      </w:pPr>
      <w:rPr>
        <w:rFonts w:hint="default"/>
      </w:rPr>
    </w:lvl>
  </w:abstractNum>
  <w:abstractNum w:abstractNumId="1">
    <w:nsid w:val="69F0F066"/>
    <w:multiLevelType w:val="singleLevel"/>
    <w:tmpl w:val="69F0F06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k0YzE1N2E0YmRkMGVjYjZiZTJjZTJjYTlhZjlhNTkifQ=="/>
  </w:docVars>
  <w:rsids>
    <w:rsidRoot w:val="00172A27"/>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2A27"/>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62846"/>
    <w:rsid w:val="0027376F"/>
    <w:rsid w:val="00274CE7"/>
    <w:rsid w:val="00283C5D"/>
    <w:rsid w:val="002A21CF"/>
    <w:rsid w:val="002A5219"/>
    <w:rsid w:val="002B08AF"/>
    <w:rsid w:val="002B21BF"/>
    <w:rsid w:val="002B432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270A7"/>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0585"/>
    <w:rsid w:val="003B665A"/>
    <w:rsid w:val="003C0F0B"/>
    <w:rsid w:val="003C1F68"/>
    <w:rsid w:val="003D3322"/>
    <w:rsid w:val="003D3BF4"/>
    <w:rsid w:val="003D48F1"/>
    <w:rsid w:val="003E067C"/>
    <w:rsid w:val="003E44DC"/>
    <w:rsid w:val="003E6069"/>
    <w:rsid w:val="003E6A4D"/>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533B0"/>
    <w:rsid w:val="0056070F"/>
    <w:rsid w:val="00562001"/>
    <w:rsid w:val="00571A3B"/>
    <w:rsid w:val="005841D3"/>
    <w:rsid w:val="00593246"/>
    <w:rsid w:val="005A28EC"/>
    <w:rsid w:val="005B0805"/>
    <w:rsid w:val="005C150A"/>
    <w:rsid w:val="005C42BA"/>
    <w:rsid w:val="005D0AB2"/>
    <w:rsid w:val="005D5CB4"/>
    <w:rsid w:val="00601206"/>
    <w:rsid w:val="00602390"/>
    <w:rsid w:val="0061067F"/>
    <w:rsid w:val="00611541"/>
    <w:rsid w:val="00611B7A"/>
    <w:rsid w:val="0061779F"/>
    <w:rsid w:val="00622FAF"/>
    <w:rsid w:val="00626088"/>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7550B"/>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3EA1"/>
    <w:rsid w:val="00817C47"/>
    <w:rsid w:val="00823809"/>
    <w:rsid w:val="008240F5"/>
    <w:rsid w:val="008257EB"/>
    <w:rsid w:val="0083654F"/>
    <w:rsid w:val="00836BAC"/>
    <w:rsid w:val="00836F74"/>
    <w:rsid w:val="00841035"/>
    <w:rsid w:val="00841ACE"/>
    <w:rsid w:val="00841DAC"/>
    <w:rsid w:val="0084459A"/>
    <w:rsid w:val="0084682F"/>
    <w:rsid w:val="00855BF2"/>
    <w:rsid w:val="0086310E"/>
    <w:rsid w:val="008727EE"/>
    <w:rsid w:val="00874E85"/>
    <w:rsid w:val="00875515"/>
    <w:rsid w:val="0088323C"/>
    <w:rsid w:val="00884082"/>
    <w:rsid w:val="00884C50"/>
    <w:rsid w:val="00890015"/>
    <w:rsid w:val="00897E26"/>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BF474A"/>
    <w:rsid w:val="00C045E0"/>
    <w:rsid w:val="00C06599"/>
    <w:rsid w:val="00C1055D"/>
    <w:rsid w:val="00C1255A"/>
    <w:rsid w:val="00C131FB"/>
    <w:rsid w:val="00C2099E"/>
    <w:rsid w:val="00C244A8"/>
    <w:rsid w:val="00C25272"/>
    <w:rsid w:val="00C34FAC"/>
    <w:rsid w:val="00C57C65"/>
    <w:rsid w:val="00C74CC6"/>
    <w:rsid w:val="00C82DE7"/>
    <w:rsid w:val="00C834B9"/>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2B83A1B"/>
    <w:rsid w:val="03366EA6"/>
    <w:rsid w:val="043A15E5"/>
    <w:rsid w:val="04ED4B73"/>
    <w:rsid w:val="04F60E33"/>
    <w:rsid w:val="05483AEB"/>
    <w:rsid w:val="06DD6D2E"/>
    <w:rsid w:val="0B582BD0"/>
    <w:rsid w:val="0DBE4B97"/>
    <w:rsid w:val="0DC43C4D"/>
    <w:rsid w:val="0E613268"/>
    <w:rsid w:val="0F090DE9"/>
    <w:rsid w:val="0F500B2C"/>
    <w:rsid w:val="0F7E69BD"/>
    <w:rsid w:val="12BF28AB"/>
    <w:rsid w:val="13347445"/>
    <w:rsid w:val="13FB08B3"/>
    <w:rsid w:val="155E749C"/>
    <w:rsid w:val="158F443B"/>
    <w:rsid w:val="15C0056C"/>
    <w:rsid w:val="17A4103D"/>
    <w:rsid w:val="17B943BD"/>
    <w:rsid w:val="18D8695A"/>
    <w:rsid w:val="18E13BCB"/>
    <w:rsid w:val="195E04C0"/>
    <w:rsid w:val="1A7A0A79"/>
    <w:rsid w:val="1AEE7B63"/>
    <w:rsid w:val="1B617245"/>
    <w:rsid w:val="1B6E25C4"/>
    <w:rsid w:val="1B8B1502"/>
    <w:rsid w:val="1BA41F43"/>
    <w:rsid w:val="1C673203"/>
    <w:rsid w:val="1C8A14C7"/>
    <w:rsid w:val="1CA97C35"/>
    <w:rsid w:val="1D0A64E0"/>
    <w:rsid w:val="1D641E26"/>
    <w:rsid w:val="1E320A25"/>
    <w:rsid w:val="1EA35FEA"/>
    <w:rsid w:val="1F1C4BA5"/>
    <w:rsid w:val="1FB44D03"/>
    <w:rsid w:val="1FD04999"/>
    <w:rsid w:val="204A474C"/>
    <w:rsid w:val="216E146C"/>
    <w:rsid w:val="227B58D9"/>
    <w:rsid w:val="246C2EE2"/>
    <w:rsid w:val="24AB704C"/>
    <w:rsid w:val="25537BFE"/>
    <w:rsid w:val="2583364F"/>
    <w:rsid w:val="27160108"/>
    <w:rsid w:val="27756271"/>
    <w:rsid w:val="28136AE6"/>
    <w:rsid w:val="2A5F54E8"/>
    <w:rsid w:val="2AFC6642"/>
    <w:rsid w:val="2B094197"/>
    <w:rsid w:val="2B8D57C9"/>
    <w:rsid w:val="2B9E6689"/>
    <w:rsid w:val="2BAA1395"/>
    <w:rsid w:val="2C183950"/>
    <w:rsid w:val="2C4E0713"/>
    <w:rsid w:val="2CB10DC9"/>
    <w:rsid w:val="2D791F86"/>
    <w:rsid w:val="2DFA263E"/>
    <w:rsid w:val="2E6115DE"/>
    <w:rsid w:val="2EE638B2"/>
    <w:rsid w:val="32421F05"/>
    <w:rsid w:val="3251196A"/>
    <w:rsid w:val="32BF503B"/>
    <w:rsid w:val="32D541E9"/>
    <w:rsid w:val="33C402A6"/>
    <w:rsid w:val="344572AC"/>
    <w:rsid w:val="353106CC"/>
    <w:rsid w:val="394D24B7"/>
    <w:rsid w:val="39CB64E3"/>
    <w:rsid w:val="3A1F4A5E"/>
    <w:rsid w:val="3A881102"/>
    <w:rsid w:val="3B464036"/>
    <w:rsid w:val="3E3315FA"/>
    <w:rsid w:val="3EA619F5"/>
    <w:rsid w:val="3F57436C"/>
    <w:rsid w:val="4033368A"/>
    <w:rsid w:val="40664832"/>
    <w:rsid w:val="40CB28E7"/>
    <w:rsid w:val="43C024AB"/>
    <w:rsid w:val="4483254B"/>
    <w:rsid w:val="453B44DF"/>
    <w:rsid w:val="457A43D7"/>
    <w:rsid w:val="4698326B"/>
    <w:rsid w:val="497242D2"/>
    <w:rsid w:val="49951CE4"/>
    <w:rsid w:val="49A41BDF"/>
    <w:rsid w:val="49CE17F9"/>
    <w:rsid w:val="4A3F4DA2"/>
    <w:rsid w:val="4A62606A"/>
    <w:rsid w:val="4A652AEB"/>
    <w:rsid w:val="4A8D7DFD"/>
    <w:rsid w:val="4B90280D"/>
    <w:rsid w:val="4C1C277B"/>
    <w:rsid w:val="4C350911"/>
    <w:rsid w:val="4E110852"/>
    <w:rsid w:val="4E456D68"/>
    <w:rsid w:val="50B60EBE"/>
    <w:rsid w:val="52393135"/>
    <w:rsid w:val="526B2003"/>
    <w:rsid w:val="52A34D8F"/>
    <w:rsid w:val="52C80B0B"/>
    <w:rsid w:val="53973ACB"/>
    <w:rsid w:val="53C56C7C"/>
    <w:rsid w:val="54016821"/>
    <w:rsid w:val="56C63E25"/>
    <w:rsid w:val="56E147BB"/>
    <w:rsid w:val="57255D0E"/>
    <w:rsid w:val="57565E05"/>
    <w:rsid w:val="585821BA"/>
    <w:rsid w:val="587766E0"/>
    <w:rsid w:val="588C69A8"/>
    <w:rsid w:val="591F3539"/>
    <w:rsid w:val="598E1E00"/>
    <w:rsid w:val="59A423F5"/>
    <w:rsid w:val="5B6E5DA9"/>
    <w:rsid w:val="5C5F065B"/>
    <w:rsid w:val="5CE9261B"/>
    <w:rsid w:val="5D91534A"/>
    <w:rsid w:val="5F3470D3"/>
    <w:rsid w:val="5F681F1D"/>
    <w:rsid w:val="5FDE3F8D"/>
    <w:rsid w:val="601006B0"/>
    <w:rsid w:val="60E60187"/>
    <w:rsid w:val="614C50F9"/>
    <w:rsid w:val="61947A14"/>
    <w:rsid w:val="634A74C8"/>
    <w:rsid w:val="638E7945"/>
    <w:rsid w:val="644A7BC0"/>
    <w:rsid w:val="65614110"/>
    <w:rsid w:val="6563635E"/>
    <w:rsid w:val="667B2F54"/>
    <w:rsid w:val="67863043"/>
    <w:rsid w:val="68352A03"/>
    <w:rsid w:val="68703927"/>
    <w:rsid w:val="69666FBC"/>
    <w:rsid w:val="6B1D0764"/>
    <w:rsid w:val="6B3026C3"/>
    <w:rsid w:val="6B716962"/>
    <w:rsid w:val="6C264CF2"/>
    <w:rsid w:val="6CE71ED8"/>
    <w:rsid w:val="6D07065E"/>
    <w:rsid w:val="6E3C285F"/>
    <w:rsid w:val="6EA65ED8"/>
    <w:rsid w:val="6F07626B"/>
    <w:rsid w:val="6FFF398F"/>
    <w:rsid w:val="717F3467"/>
    <w:rsid w:val="722577FA"/>
    <w:rsid w:val="72435ED2"/>
    <w:rsid w:val="730C00E3"/>
    <w:rsid w:val="73621405"/>
    <w:rsid w:val="73DA5699"/>
    <w:rsid w:val="74890514"/>
    <w:rsid w:val="74B2104F"/>
    <w:rsid w:val="756248C1"/>
    <w:rsid w:val="766A0FC8"/>
    <w:rsid w:val="76740D50"/>
    <w:rsid w:val="77122EE5"/>
    <w:rsid w:val="773744A0"/>
    <w:rsid w:val="794A4EA4"/>
    <w:rsid w:val="7BE44282"/>
    <w:rsid w:val="7CCD2F68"/>
    <w:rsid w:val="7D017A9F"/>
    <w:rsid w:val="7D8B76B8"/>
    <w:rsid w:val="7E347A86"/>
    <w:rsid w:val="7E435130"/>
    <w:rsid w:val="7E7904C0"/>
    <w:rsid w:val="7EBD0531"/>
    <w:rsid w:val="7F6B1E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spacing w:before="120" w:after="120"/>
      <w:jc w:val="left"/>
    </w:pPr>
    <w:rPr>
      <w:rFonts w:ascii="Calibri" w:hAnsi="Calibri"/>
      <w:b/>
      <w:bCs/>
      <w:caps/>
      <w:sz w:val="20"/>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Char"/>
    <w:basedOn w:val="10"/>
    <w:link w:val="5"/>
    <w:qFormat/>
    <w:uiPriority w:val="0"/>
    <w:rPr>
      <w:kern w:val="2"/>
      <w:sz w:val="18"/>
      <w:szCs w:val="18"/>
    </w:rPr>
  </w:style>
  <w:style w:type="character" w:customStyle="1" w:styleId="15">
    <w:name w:val="页脚 Char"/>
    <w:basedOn w:val="10"/>
    <w:link w:val="4"/>
    <w:qFormat/>
    <w:uiPriority w:val="0"/>
    <w:rPr>
      <w:kern w:val="2"/>
      <w:sz w:val="18"/>
      <w:szCs w:val="18"/>
    </w:rPr>
  </w:style>
  <w:style w:type="character" w:customStyle="1" w:styleId="16">
    <w:name w:val="纯文本 Char"/>
    <w:basedOn w:val="10"/>
    <w:link w:val="2"/>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3518</Words>
  <Characters>3769</Characters>
  <Lines>31</Lines>
  <Paragraphs>9</Paragraphs>
  <TotalTime>9</TotalTime>
  <ScaleCrop>false</ScaleCrop>
  <LinksUpToDate>false</LinksUpToDate>
  <CharactersWithSpaces>3775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z</cp:lastModifiedBy>
  <cp:lastPrinted>2022-07-13T08:25:00Z</cp:lastPrinted>
  <dcterms:modified xsi:type="dcterms:W3CDTF">2023-07-14T01:28:27Z</dcterms:modified>
  <dc:title>编制总说明</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2F07729B0D4742D7B52D285D65F2E774</vt:lpwstr>
  </property>
</Properties>
</file>