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机房专用空调等</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项目名称：机房专用空调等</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项目编号：QSZB-Z(H)-B22501(CS)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[2022]82508号-001</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机房专用空调等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2022年</w:t>
      </w:r>
      <w:r>
        <w:rPr>
          <w:rFonts w:hint="eastAsia"/>
          <w:b/>
          <w:color w:val="auto"/>
          <w:sz w:val="21"/>
          <w:szCs w:val="21"/>
          <w:highlight w:val="none"/>
          <w:u w:val="single"/>
          <w:lang w:eastAsia="zh-CN"/>
        </w:rPr>
        <w:t>12月5日9:00:00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790"/>
      <w:bookmarkStart w:id="1" w:name="_Toc28359079"/>
      <w:bookmarkStart w:id="2" w:name="_Toc35393621"/>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rPr>
        <w:t>QSZB-Z(H)-B22501(CS)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项目名称：机房专用空调等</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预算金额（元）：880600元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最高限价（元）：880600元</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合同签订之日起60日内交付并安装完毕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0"/>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机房专用空调等</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28359080"/>
      <w:bookmarkStart w:id="6" w:name="_Toc35393791"/>
      <w:bookmarkStart w:id="7" w:name="_Toc35393622"/>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624"/>
      <w:bookmarkStart w:id="15" w:name="_Toc35393793"/>
      <w:bookmarkStart w:id="16" w:name="_Toc28359082"/>
      <w:r>
        <w:rPr>
          <w:rFonts w:hint="eastAsia"/>
          <w:color w:val="auto"/>
          <w:sz w:val="21"/>
          <w:szCs w:val="21"/>
          <w:highlight w:val="none"/>
        </w:rPr>
        <w:t>时间：2022年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22</w:t>
      </w:r>
      <w:r>
        <w:rPr>
          <w:rFonts w:hint="eastAsia"/>
          <w:color w:val="auto"/>
          <w:sz w:val="21"/>
          <w:szCs w:val="21"/>
          <w:highlight w:val="none"/>
        </w:rPr>
        <w:t>日至2022年</w:t>
      </w:r>
      <w:r>
        <w:rPr>
          <w:rFonts w:hint="eastAsia"/>
          <w:color w:val="auto"/>
          <w:sz w:val="21"/>
          <w:szCs w:val="21"/>
          <w:highlight w:val="none"/>
          <w:lang w:eastAsia="zh-CN"/>
        </w:rPr>
        <w:t>12月5日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截止时间：2022年</w:t>
      </w:r>
      <w:r>
        <w:rPr>
          <w:rFonts w:hint="eastAsia"/>
          <w:bCs/>
          <w:color w:val="auto"/>
          <w:sz w:val="21"/>
          <w:szCs w:val="21"/>
          <w:highlight w:val="none"/>
          <w:lang w:eastAsia="zh-CN"/>
        </w:rPr>
        <w:t>12月5日9:00:00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35393625"/>
      <w:bookmarkStart w:id="19" w:name="_Toc28359084"/>
      <w:bookmarkStart w:id="20" w:name="_Toc28359007"/>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开启时间：2022年</w:t>
      </w:r>
      <w:r>
        <w:rPr>
          <w:rFonts w:hint="eastAsia"/>
          <w:bCs/>
          <w:color w:val="auto"/>
          <w:sz w:val="21"/>
          <w:szCs w:val="21"/>
          <w:highlight w:val="none"/>
          <w:lang w:eastAsia="zh-CN"/>
        </w:rPr>
        <w:t>12月5日9:00:00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5</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85"/>
      <w:bookmarkStart w:id="24" w:name="_Toc35393796"/>
      <w:bookmarkStart w:id="25" w:name="_Toc35393627"/>
      <w:bookmarkStart w:id="26" w:name="_Toc28359008"/>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项目联系人（询问）：金老师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项目联系方式（询问）：13857196986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质疑联系人：蒋敏芝</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联系人：齐鲁、吴聪瑜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w:t>
      </w:r>
      <w:r>
        <w:rPr>
          <w:rFonts w:hint="eastAsia"/>
          <w:color w:val="auto"/>
          <w:sz w:val="21"/>
          <w:szCs w:val="21"/>
          <w:highlight w:val="none"/>
        </w:rPr>
        <w:t>2</w:t>
      </w:r>
      <w:r>
        <w:rPr>
          <w:color w:val="auto"/>
          <w:sz w:val="21"/>
          <w:szCs w:val="21"/>
          <w:highlight w:val="none"/>
        </w:rPr>
        <w:t>、87058489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608"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302"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608"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本项目属性为：货物</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2.提交方式：支票、汇票、本票或金融机构、担保机构出具的保函等非现金形式或银行转账。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b/>
                <w:bCs/>
                <w:color w:val="auto"/>
                <w:spacing w:val="-6"/>
                <w:kern w:val="0"/>
                <w:sz w:val="21"/>
                <w:szCs w:val="21"/>
                <w:highlight w:val="none"/>
              </w:rPr>
            </w:pPr>
            <w:r>
              <w:rPr>
                <w:rFonts w:hint="eastAsia"/>
                <w:b/>
                <w:bCs/>
                <w:color w:val="auto"/>
                <w:spacing w:val="-6"/>
                <w:kern w:val="0"/>
                <w:sz w:val="21"/>
                <w:szCs w:val="21"/>
                <w:highlight w:val="none"/>
              </w:rPr>
              <w:t>三、成交方需提供增值税专用发票，开票信息如下：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0"/>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bookmarkStart w:id="30"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合同签订后60日内交付并安装完毕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5年，项目验收合格后开始计算。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电话技术支持时间：2小时以内；</w:t>
            </w:r>
          </w:p>
          <w:p>
            <w:pPr>
              <w:adjustRightInd w:val="0"/>
              <w:snapToGrid w:val="0"/>
              <w:spacing w:line="288" w:lineRule="auto"/>
              <w:rPr>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w:t>
            </w:r>
            <w:r>
              <w:rPr>
                <w:color w:val="auto"/>
                <w:sz w:val="21"/>
                <w:szCs w:val="21"/>
                <w:highlight w:val="none"/>
              </w:rPr>
              <w:t xml:space="preserve"> </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rFonts w:cs="Times New Roman"/>
                <w:color w:val="auto"/>
                <w:spacing w:val="-6"/>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7.机房建成后，成交供应商需承担现有校级超算平台硬件搬迁及软件调试服务。</w:t>
            </w:r>
          </w:p>
          <w:p>
            <w:pPr>
              <w:adjustRightInd w:val="0"/>
              <w:snapToGrid w:val="0"/>
              <w:spacing w:line="288" w:lineRule="auto"/>
              <w:rPr>
                <w:color w:val="auto"/>
                <w:sz w:val="21"/>
                <w:szCs w:val="21"/>
                <w:highlight w:val="none"/>
              </w:rPr>
            </w:pPr>
            <w:r>
              <w:rPr>
                <w:rFonts w:hint="eastAsia" w:cs="Times New Roman"/>
                <w:b/>
                <w:bCs/>
                <w:color w:val="auto"/>
                <w:spacing w:val="-6"/>
                <w:sz w:val="21"/>
                <w:szCs w:val="21"/>
                <w:highlight w:val="none"/>
              </w:rPr>
              <w:t>8.成交供应商应至少提供一人两年的驻场服务。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.需实现的功能或者目标：满足机房专用空调等的使用需求。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0"/>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1810"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名称</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数量</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单位</w:t>
            </w:r>
          </w:p>
        </w:tc>
        <w:tc>
          <w:tcPr>
            <w:tcW w:w="62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1810" w:type="dxa"/>
            <w:vAlign w:val="center"/>
          </w:tcPr>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配电系统</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1</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套</w:t>
            </w:r>
          </w:p>
        </w:tc>
        <w:tc>
          <w:tcPr>
            <w:tcW w:w="6269" w:type="dxa"/>
            <w:vAlign w:val="center"/>
          </w:tcPr>
          <w:p>
            <w:pPr>
              <w:adjustRightInd w:val="0"/>
              <w:snapToGrid w:val="0"/>
              <w:jc w:val="left"/>
              <w:rPr>
                <w:color w:val="auto"/>
                <w:sz w:val="21"/>
                <w:szCs w:val="21"/>
                <w:highlight w:val="none"/>
              </w:rPr>
            </w:pPr>
            <w:r>
              <w:rPr>
                <w:rFonts w:hint="eastAsia"/>
                <w:color w:val="auto"/>
                <w:sz w:val="21"/>
                <w:szCs w:val="21"/>
                <w:highlight w:val="none"/>
              </w:rPr>
              <w:t>1.综合配电柜：400*800*2000mm落地柜，采用不低于或与施耐德、ABB、西门子等同档次的元器件，配置UPS输入输出、机柜供配电，精密空调等开关，响应文件中提供配电系统图；</w:t>
            </w:r>
          </w:p>
          <w:p>
            <w:pPr>
              <w:adjustRightInd w:val="0"/>
              <w:snapToGrid w:val="0"/>
              <w:jc w:val="left"/>
              <w:rPr>
                <w:color w:val="auto"/>
                <w:sz w:val="21"/>
                <w:szCs w:val="21"/>
                <w:highlight w:val="none"/>
              </w:rPr>
            </w:pPr>
            <w:r>
              <w:rPr>
                <w:rFonts w:hint="eastAsia"/>
                <w:color w:val="auto"/>
                <w:sz w:val="21"/>
                <w:szCs w:val="21"/>
                <w:highlight w:val="none"/>
              </w:rPr>
              <w:t>2.照明灯具采用：600*600 LED平板灯具，6套；</w:t>
            </w:r>
          </w:p>
          <w:p>
            <w:pPr>
              <w:adjustRightInd w:val="0"/>
              <w:snapToGrid w:val="0"/>
              <w:jc w:val="left"/>
              <w:rPr>
                <w:color w:val="auto"/>
                <w:sz w:val="21"/>
                <w:szCs w:val="21"/>
                <w:highlight w:val="none"/>
              </w:rPr>
            </w:pPr>
            <w:r>
              <w:rPr>
                <w:rFonts w:hint="eastAsia"/>
                <w:color w:val="auto"/>
                <w:sz w:val="21"/>
                <w:szCs w:val="21"/>
                <w:highlight w:val="none"/>
              </w:rPr>
              <w:t>3.配置消防应急疏散指示灯；</w:t>
            </w:r>
          </w:p>
          <w:p>
            <w:pPr>
              <w:adjustRightInd w:val="0"/>
              <w:snapToGrid w:val="0"/>
              <w:jc w:val="left"/>
              <w:rPr>
                <w:color w:val="auto"/>
                <w:sz w:val="21"/>
                <w:szCs w:val="21"/>
                <w:highlight w:val="none"/>
              </w:rPr>
            </w:pPr>
            <w:r>
              <w:rPr>
                <w:rFonts w:hint="eastAsia"/>
                <w:color w:val="auto"/>
                <w:sz w:val="21"/>
                <w:szCs w:val="21"/>
                <w:highlight w:val="none"/>
              </w:rPr>
              <w:t>4.含配套墙面开关</w:t>
            </w:r>
            <w:bookmarkStart w:id="48" w:name="_GoBack"/>
            <w:bookmarkEnd w:id="48"/>
            <w:r>
              <w:rPr>
                <w:rFonts w:hint="eastAsia"/>
                <w:color w:val="auto"/>
                <w:sz w:val="21"/>
                <w:szCs w:val="21"/>
                <w:highlight w:val="none"/>
              </w:rPr>
              <w:t>插座、桥架、机柜PDU电缆线、精密空调及UPS输入输出所需的所有电线电缆等；</w:t>
            </w:r>
          </w:p>
          <w:p>
            <w:pPr>
              <w:adjustRightInd w:val="0"/>
              <w:snapToGrid w:val="0"/>
              <w:jc w:val="left"/>
              <w:rPr>
                <w:color w:val="auto"/>
                <w:sz w:val="21"/>
                <w:szCs w:val="21"/>
                <w:highlight w:val="none"/>
              </w:rPr>
            </w:pPr>
            <w:r>
              <w:rPr>
                <w:rFonts w:hint="eastAsia"/>
                <w:color w:val="auto"/>
                <w:sz w:val="21"/>
                <w:szCs w:val="21"/>
                <w:highlight w:val="none"/>
              </w:rPr>
              <w:t>5.配电柜强电配置防浪涌保护器，机房吊顶、墙面、地板及设备按国家标准做静电释放系统及可靠接地处理，</w:t>
            </w:r>
            <w:r>
              <w:rPr>
                <w:rFonts w:hint="eastAsia"/>
                <w:b/>
                <w:bCs/>
                <w:color w:val="auto"/>
                <w:sz w:val="21"/>
                <w:szCs w:val="21"/>
                <w:highlight w:val="none"/>
                <w:lang w:val="en-US" w:eastAsia="zh-CN"/>
              </w:rPr>
              <w:t>验收时提供</w:t>
            </w:r>
            <w:r>
              <w:rPr>
                <w:rFonts w:hint="eastAsia"/>
                <w:b/>
                <w:bCs/>
                <w:color w:val="auto"/>
                <w:sz w:val="21"/>
                <w:szCs w:val="21"/>
                <w:highlight w:val="none"/>
              </w:rPr>
              <w:t>通过第三方检测机构出具的防雷检测报告</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1810" w:type="dxa"/>
            <w:vAlign w:val="center"/>
          </w:tcPr>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消防系统</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1</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套</w:t>
            </w:r>
          </w:p>
        </w:tc>
        <w:tc>
          <w:tcPr>
            <w:tcW w:w="6269" w:type="dxa"/>
            <w:vAlign w:val="center"/>
          </w:tcPr>
          <w:p>
            <w:pPr>
              <w:adjustRightInd w:val="0"/>
              <w:snapToGrid w:val="0"/>
              <w:jc w:val="left"/>
              <w:rPr>
                <w:color w:val="auto"/>
                <w:sz w:val="21"/>
                <w:szCs w:val="21"/>
                <w:highlight w:val="none"/>
              </w:rPr>
            </w:pPr>
            <w:r>
              <w:rPr>
                <w:rFonts w:hint="eastAsia"/>
                <w:color w:val="auto"/>
                <w:sz w:val="21"/>
                <w:szCs w:val="21"/>
                <w:highlight w:val="none"/>
              </w:rPr>
              <w:t>采用无管网七氟丙烷气体灭火系统，配套GQQ90/2.5*1气体钢瓶一套，含78KG七氟丙烷，要求满足机房气体灭火所需，机房采用无管网七氟丙烷气体灭火系统，配置一个</w:t>
            </w:r>
            <w:r>
              <w:rPr>
                <w:color w:val="auto"/>
                <w:sz w:val="21"/>
                <w:szCs w:val="21"/>
                <w:highlight w:val="none"/>
              </w:rPr>
              <w:t>GQQ90/2.5*1气体钢瓶一套，含78KG七氟丙烷药剂，满足机房气体灭火所需，配套泄压口1个、气体灭火控制器1个、烟感1个、温感2个、气体释放指示灯1个，紧急启停按钮1个，含配套管线材及安装调试等。实现火灾自动报警及气体灭火联动控制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color w:val="auto"/>
                <w:sz w:val="21"/>
                <w:szCs w:val="21"/>
                <w:highlight w:val="none"/>
              </w:rPr>
            </w:pPr>
            <w:r>
              <w:rPr>
                <w:rFonts w:hint="eastAsia"/>
                <w:color w:val="auto"/>
                <w:sz w:val="21"/>
                <w:szCs w:val="21"/>
                <w:highlight w:val="none"/>
              </w:rPr>
              <w:t>3</w:t>
            </w:r>
          </w:p>
        </w:tc>
        <w:tc>
          <w:tcPr>
            <w:tcW w:w="1810" w:type="dxa"/>
            <w:vAlign w:val="center"/>
          </w:tcPr>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UPS主机</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1</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套</w:t>
            </w:r>
          </w:p>
        </w:tc>
        <w:tc>
          <w:tcPr>
            <w:tcW w:w="6269" w:type="dxa"/>
            <w:vAlign w:val="center"/>
          </w:tcPr>
          <w:p>
            <w:pPr>
              <w:adjustRightInd w:val="0"/>
              <w:snapToGrid w:val="0"/>
              <w:jc w:val="left"/>
              <w:rPr>
                <w:color w:val="auto"/>
                <w:sz w:val="21"/>
                <w:szCs w:val="21"/>
                <w:highlight w:val="none"/>
              </w:rPr>
            </w:pPr>
            <w:r>
              <w:rPr>
                <w:rFonts w:hint="eastAsia"/>
                <w:color w:val="auto"/>
                <w:sz w:val="21"/>
                <w:szCs w:val="21"/>
                <w:highlight w:val="none"/>
              </w:rPr>
              <w:t>▲1.容量：10KVA，纯在线式，双变换UPS；</w:t>
            </w:r>
          </w:p>
          <w:p>
            <w:pPr>
              <w:adjustRightInd w:val="0"/>
              <w:snapToGrid w:val="0"/>
              <w:jc w:val="left"/>
              <w:rPr>
                <w:color w:val="auto"/>
                <w:sz w:val="21"/>
                <w:szCs w:val="21"/>
                <w:highlight w:val="none"/>
              </w:rPr>
            </w:pPr>
            <w:r>
              <w:rPr>
                <w:rFonts w:hint="eastAsia"/>
                <w:color w:val="auto"/>
                <w:sz w:val="21"/>
                <w:szCs w:val="21"/>
                <w:highlight w:val="none"/>
              </w:rPr>
              <w:t>2.设备应能够在环境温度为0℃--40℃的条件下联系工作；</w:t>
            </w:r>
          </w:p>
          <w:p>
            <w:pPr>
              <w:adjustRightInd w:val="0"/>
              <w:snapToGrid w:val="0"/>
              <w:jc w:val="left"/>
              <w:rPr>
                <w:color w:val="auto"/>
                <w:sz w:val="21"/>
                <w:szCs w:val="21"/>
                <w:highlight w:val="none"/>
              </w:rPr>
            </w:pPr>
            <w:r>
              <w:rPr>
                <w:rFonts w:hint="eastAsia"/>
                <w:color w:val="auto"/>
                <w:sz w:val="21"/>
                <w:szCs w:val="21"/>
                <w:highlight w:val="none"/>
              </w:rPr>
              <w:t>3.主机采用智能化全数字（DSP）控制系统进行控制信息处理；</w:t>
            </w:r>
          </w:p>
          <w:p>
            <w:pPr>
              <w:adjustRightInd w:val="0"/>
              <w:snapToGrid w:val="0"/>
              <w:jc w:val="left"/>
              <w:rPr>
                <w:b/>
                <w:bCs/>
                <w:color w:val="auto"/>
                <w:sz w:val="21"/>
                <w:szCs w:val="21"/>
                <w:highlight w:val="none"/>
              </w:rPr>
            </w:pPr>
            <w:r>
              <w:rPr>
                <w:rFonts w:hint="eastAsia"/>
                <w:color w:val="auto"/>
                <w:sz w:val="21"/>
                <w:szCs w:val="21"/>
                <w:highlight w:val="none"/>
              </w:rPr>
              <w:t>4.UPS应采用风道设计，降低UPS故障几率</w:t>
            </w:r>
            <w:r>
              <w:rPr>
                <w:rFonts w:hint="eastAsia"/>
                <w:b/>
                <w:bCs/>
                <w:color w:val="auto"/>
                <w:sz w:val="21"/>
                <w:szCs w:val="21"/>
                <w:highlight w:val="none"/>
              </w:rPr>
              <w:t>。响应文件中提供UPS在控制和风道方面的设计方案。</w:t>
            </w:r>
          </w:p>
          <w:p>
            <w:pPr>
              <w:adjustRightInd w:val="0"/>
              <w:snapToGrid w:val="0"/>
              <w:jc w:val="left"/>
              <w:rPr>
                <w:color w:val="auto"/>
                <w:sz w:val="21"/>
                <w:szCs w:val="21"/>
                <w:highlight w:val="none"/>
              </w:rPr>
            </w:pPr>
            <w:r>
              <w:rPr>
                <w:rFonts w:hint="eastAsia"/>
                <w:color w:val="auto"/>
                <w:sz w:val="21"/>
                <w:szCs w:val="21"/>
                <w:highlight w:val="none"/>
              </w:rPr>
              <w:t>5.UPS主机尺寸（机架安装时）应满足：宽度≤430mm，深度≤500mm，高度≤85mm；</w:t>
            </w:r>
          </w:p>
          <w:p>
            <w:pPr>
              <w:adjustRightInd w:val="0"/>
              <w:snapToGrid w:val="0"/>
              <w:jc w:val="left"/>
              <w:rPr>
                <w:color w:val="auto"/>
                <w:sz w:val="21"/>
                <w:szCs w:val="21"/>
                <w:highlight w:val="none"/>
              </w:rPr>
            </w:pPr>
            <w:r>
              <w:rPr>
                <w:rFonts w:hint="eastAsia"/>
                <w:color w:val="auto"/>
                <w:sz w:val="21"/>
                <w:szCs w:val="21"/>
                <w:highlight w:val="none"/>
              </w:rPr>
              <w:t>▲6.UPS输入要求：</w:t>
            </w:r>
          </w:p>
          <w:p>
            <w:pPr>
              <w:adjustRightInd w:val="0"/>
              <w:snapToGrid w:val="0"/>
              <w:jc w:val="left"/>
              <w:rPr>
                <w:color w:val="auto"/>
                <w:sz w:val="21"/>
                <w:szCs w:val="21"/>
                <w:highlight w:val="none"/>
              </w:rPr>
            </w:pPr>
            <w:r>
              <w:rPr>
                <w:rFonts w:hint="eastAsia"/>
                <w:color w:val="auto"/>
                <w:sz w:val="21"/>
                <w:szCs w:val="21"/>
                <w:highlight w:val="none"/>
              </w:rPr>
              <w:t>（1）输入额定电压：380Vac；</w:t>
            </w:r>
          </w:p>
          <w:p>
            <w:pPr>
              <w:adjustRightInd w:val="0"/>
              <w:snapToGrid w:val="0"/>
              <w:jc w:val="left"/>
              <w:rPr>
                <w:color w:val="auto"/>
                <w:sz w:val="21"/>
                <w:szCs w:val="21"/>
                <w:highlight w:val="none"/>
              </w:rPr>
            </w:pPr>
            <w:r>
              <w:rPr>
                <w:rFonts w:hint="eastAsia"/>
                <w:color w:val="auto"/>
                <w:sz w:val="21"/>
                <w:szCs w:val="21"/>
                <w:highlight w:val="none"/>
              </w:rPr>
              <w:t>（2）输入电压范围：100Vac -288 Vac（相电压）；</w:t>
            </w:r>
          </w:p>
          <w:p>
            <w:pPr>
              <w:adjustRightInd w:val="0"/>
              <w:snapToGrid w:val="0"/>
              <w:jc w:val="left"/>
              <w:rPr>
                <w:color w:val="auto"/>
                <w:sz w:val="21"/>
                <w:szCs w:val="21"/>
                <w:highlight w:val="none"/>
              </w:rPr>
            </w:pPr>
            <w:r>
              <w:rPr>
                <w:rFonts w:hint="eastAsia"/>
                <w:color w:val="auto"/>
                <w:sz w:val="21"/>
                <w:szCs w:val="21"/>
                <w:highlight w:val="none"/>
              </w:rPr>
              <w:t>（3）输入频率范围：40Hz-70Hz；</w:t>
            </w:r>
          </w:p>
          <w:p>
            <w:pPr>
              <w:adjustRightInd w:val="0"/>
              <w:snapToGrid w:val="0"/>
              <w:jc w:val="left"/>
              <w:rPr>
                <w:color w:val="auto"/>
                <w:sz w:val="21"/>
                <w:szCs w:val="21"/>
                <w:highlight w:val="none"/>
              </w:rPr>
            </w:pPr>
            <w:r>
              <w:rPr>
                <w:rFonts w:hint="eastAsia"/>
                <w:color w:val="auto"/>
                <w:sz w:val="21"/>
                <w:szCs w:val="21"/>
                <w:highlight w:val="none"/>
              </w:rPr>
              <w:t>（4）输入功率因数：&gt;0.99(满载时),输入标配防雷防浪涌冲击电路；</w:t>
            </w:r>
          </w:p>
          <w:p>
            <w:pPr>
              <w:adjustRightInd w:val="0"/>
              <w:snapToGrid w:val="0"/>
              <w:jc w:val="left"/>
              <w:rPr>
                <w:color w:val="auto"/>
                <w:sz w:val="21"/>
                <w:szCs w:val="21"/>
                <w:highlight w:val="none"/>
              </w:rPr>
            </w:pPr>
            <w:r>
              <w:rPr>
                <w:rFonts w:hint="eastAsia"/>
                <w:color w:val="auto"/>
                <w:sz w:val="21"/>
                <w:szCs w:val="21"/>
                <w:highlight w:val="none"/>
              </w:rPr>
              <w:t>7.整流器要求：采用IGBT高频整流技术</w:t>
            </w:r>
            <w:r>
              <w:rPr>
                <w:rFonts w:hint="eastAsia"/>
                <w:b/>
                <w:bCs/>
                <w:color w:val="auto"/>
                <w:sz w:val="21"/>
                <w:szCs w:val="21"/>
                <w:highlight w:val="none"/>
              </w:rPr>
              <w:t>（提供证明材料）</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8.主机输出要求：</w:t>
            </w:r>
          </w:p>
          <w:p>
            <w:pPr>
              <w:adjustRightInd w:val="0"/>
              <w:snapToGrid w:val="0"/>
              <w:jc w:val="left"/>
              <w:rPr>
                <w:color w:val="auto"/>
                <w:sz w:val="21"/>
                <w:szCs w:val="21"/>
                <w:highlight w:val="none"/>
              </w:rPr>
            </w:pPr>
            <w:r>
              <w:rPr>
                <w:rFonts w:hint="eastAsia"/>
                <w:color w:val="auto"/>
                <w:sz w:val="21"/>
                <w:szCs w:val="21"/>
                <w:highlight w:val="none"/>
              </w:rPr>
              <w:t>（1）逆变器：采用全数字DSP控制IGBT三电平逆变技术；</w:t>
            </w:r>
          </w:p>
          <w:p>
            <w:pPr>
              <w:adjustRightInd w:val="0"/>
              <w:snapToGrid w:val="0"/>
              <w:jc w:val="left"/>
              <w:rPr>
                <w:color w:val="auto"/>
                <w:sz w:val="21"/>
                <w:szCs w:val="21"/>
                <w:highlight w:val="none"/>
              </w:rPr>
            </w:pPr>
            <w:r>
              <w:rPr>
                <w:rFonts w:hint="eastAsia"/>
                <w:color w:val="auto"/>
                <w:sz w:val="21"/>
                <w:szCs w:val="21"/>
                <w:highlight w:val="none"/>
              </w:rPr>
              <w:t>（2）电池模式下输出频率：50Hz，稳定度±0.2%；</w:t>
            </w:r>
          </w:p>
          <w:p>
            <w:pPr>
              <w:adjustRightInd w:val="0"/>
              <w:snapToGrid w:val="0"/>
              <w:jc w:val="left"/>
              <w:rPr>
                <w:color w:val="auto"/>
                <w:sz w:val="21"/>
                <w:szCs w:val="21"/>
                <w:highlight w:val="none"/>
              </w:rPr>
            </w:pPr>
            <w:r>
              <w:rPr>
                <w:rFonts w:hint="eastAsia"/>
                <w:color w:val="auto"/>
                <w:sz w:val="21"/>
                <w:szCs w:val="21"/>
                <w:highlight w:val="none"/>
              </w:rPr>
              <w:t>（3）输出功率因数为1；</w:t>
            </w:r>
          </w:p>
          <w:p>
            <w:pPr>
              <w:adjustRightInd w:val="0"/>
              <w:snapToGrid w:val="0"/>
              <w:jc w:val="left"/>
              <w:rPr>
                <w:color w:val="auto"/>
                <w:sz w:val="21"/>
                <w:szCs w:val="21"/>
                <w:highlight w:val="none"/>
              </w:rPr>
            </w:pPr>
            <w:r>
              <w:rPr>
                <w:rFonts w:hint="eastAsia"/>
                <w:color w:val="auto"/>
                <w:sz w:val="21"/>
                <w:szCs w:val="21"/>
                <w:highlight w:val="none"/>
              </w:rPr>
              <w:t>（4）输出电压失真度：线性负载＜3％，非线性负载＜5％；</w:t>
            </w:r>
          </w:p>
          <w:p>
            <w:pPr>
              <w:adjustRightInd w:val="0"/>
              <w:snapToGrid w:val="0"/>
              <w:jc w:val="left"/>
              <w:rPr>
                <w:color w:val="auto"/>
                <w:sz w:val="21"/>
                <w:szCs w:val="21"/>
                <w:highlight w:val="none"/>
              </w:rPr>
            </w:pPr>
            <w:r>
              <w:rPr>
                <w:rFonts w:hint="eastAsia"/>
                <w:color w:val="auto"/>
                <w:sz w:val="21"/>
                <w:szCs w:val="21"/>
                <w:highlight w:val="none"/>
              </w:rPr>
              <w:t>9.市电模式下系统工作效率：≥95%</w:t>
            </w:r>
            <w:r>
              <w:rPr>
                <w:rFonts w:hint="eastAsia"/>
                <w:b/>
                <w:bCs/>
                <w:color w:val="auto"/>
                <w:sz w:val="21"/>
                <w:szCs w:val="21"/>
                <w:highlight w:val="none"/>
              </w:rPr>
              <w:t>（提供证明材料）</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10.过载能力：过载105%-125% 运行≥5分钟，过载≤150%运行≥1分钟，大于150%运行≥200mS；</w:t>
            </w:r>
          </w:p>
          <w:p>
            <w:pPr>
              <w:adjustRightInd w:val="0"/>
              <w:snapToGrid w:val="0"/>
              <w:jc w:val="left"/>
              <w:rPr>
                <w:color w:val="auto"/>
                <w:sz w:val="21"/>
                <w:szCs w:val="21"/>
                <w:highlight w:val="none"/>
              </w:rPr>
            </w:pPr>
            <w:r>
              <w:rPr>
                <w:rFonts w:hint="eastAsia"/>
                <w:color w:val="auto"/>
                <w:sz w:val="21"/>
                <w:szCs w:val="21"/>
                <w:highlight w:val="none"/>
              </w:rPr>
              <w:t>11.市电电池切换时间：UPS在市电和电池两种状态间切换的时间应为0 ms；</w:t>
            </w:r>
          </w:p>
          <w:p>
            <w:pPr>
              <w:adjustRightInd w:val="0"/>
              <w:snapToGrid w:val="0"/>
              <w:jc w:val="left"/>
              <w:rPr>
                <w:color w:val="auto"/>
                <w:sz w:val="21"/>
                <w:szCs w:val="21"/>
                <w:highlight w:val="none"/>
              </w:rPr>
            </w:pPr>
            <w:r>
              <w:rPr>
                <w:rFonts w:hint="eastAsia"/>
                <w:color w:val="auto"/>
                <w:sz w:val="21"/>
                <w:szCs w:val="21"/>
                <w:highlight w:val="none"/>
              </w:rPr>
              <w:t>12.要求支持软线并联运行方式，支持3+1并机，具有可编程端子，支持二次下电功能；</w:t>
            </w:r>
          </w:p>
          <w:p>
            <w:pPr>
              <w:adjustRightInd w:val="0"/>
              <w:snapToGrid w:val="0"/>
              <w:jc w:val="left"/>
              <w:rPr>
                <w:color w:val="auto"/>
                <w:sz w:val="21"/>
                <w:szCs w:val="21"/>
                <w:highlight w:val="none"/>
              </w:rPr>
            </w:pPr>
            <w:r>
              <w:rPr>
                <w:rFonts w:hint="eastAsia"/>
                <w:color w:val="auto"/>
                <w:sz w:val="21"/>
                <w:szCs w:val="21"/>
                <w:highlight w:val="none"/>
              </w:rPr>
              <w:t>13.UPS具有灵活的电池配置方式，电池节数12-20节可调，并兼容铅酸、镍镉和铁锂等电池类型；</w:t>
            </w:r>
          </w:p>
          <w:p>
            <w:pPr>
              <w:adjustRightInd w:val="0"/>
              <w:snapToGrid w:val="0"/>
              <w:jc w:val="left"/>
              <w:rPr>
                <w:rFonts w:hint="eastAsia"/>
                <w:color w:val="auto"/>
                <w:sz w:val="21"/>
                <w:szCs w:val="21"/>
                <w:highlight w:val="none"/>
              </w:rPr>
            </w:pPr>
            <w:r>
              <w:rPr>
                <w:rFonts w:hint="eastAsia"/>
                <w:color w:val="auto"/>
                <w:sz w:val="21"/>
                <w:szCs w:val="21"/>
                <w:highlight w:val="none"/>
              </w:rPr>
              <w:t>14.当配置原厂电池模块时，UPS可自动识别模块数量，并应能对剩余后备时间做出较精确的预测，预测精度不低于10%；</w:t>
            </w:r>
          </w:p>
          <w:p>
            <w:pPr>
              <w:adjustRightInd w:val="0"/>
              <w:snapToGrid w:val="0"/>
              <w:jc w:val="left"/>
              <w:rPr>
                <w:color w:val="auto"/>
                <w:sz w:val="21"/>
                <w:szCs w:val="21"/>
                <w:highlight w:val="none"/>
              </w:rPr>
            </w:pPr>
            <w:r>
              <w:rPr>
                <w:rFonts w:hint="eastAsia"/>
                <w:color w:val="auto"/>
                <w:sz w:val="21"/>
                <w:szCs w:val="21"/>
                <w:highlight w:val="none"/>
              </w:rPr>
              <w:t>1</w:t>
            </w:r>
            <w:r>
              <w:rPr>
                <w:color w:val="auto"/>
                <w:sz w:val="21"/>
                <w:szCs w:val="21"/>
                <w:highlight w:val="none"/>
              </w:rPr>
              <w:t>5</w:t>
            </w:r>
            <w:r>
              <w:rPr>
                <w:rFonts w:hint="eastAsia"/>
                <w:color w:val="auto"/>
                <w:sz w:val="21"/>
                <w:szCs w:val="21"/>
                <w:highlight w:val="none"/>
              </w:rPr>
              <w:t>.UPS主机应具备SNMP网络管理功能，用户仅需使用标准网线连通UPS即可进行管理。同时，UPS的网络接口和SNMP协议可以免费开放；</w:t>
            </w:r>
          </w:p>
          <w:p>
            <w:pPr>
              <w:adjustRightInd w:val="0"/>
              <w:snapToGrid w:val="0"/>
              <w:jc w:val="left"/>
              <w:rPr>
                <w:color w:val="auto"/>
                <w:sz w:val="21"/>
                <w:szCs w:val="21"/>
                <w:highlight w:val="none"/>
              </w:rPr>
            </w:pPr>
            <w:r>
              <w:rPr>
                <w:rFonts w:hint="eastAsia"/>
                <w:color w:val="auto"/>
                <w:sz w:val="21"/>
                <w:szCs w:val="21"/>
                <w:highlight w:val="none"/>
              </w:rPr>
              <w:t>1</w:t>
            </w:r>
            <w:r>
              <w:rPr>
                <w:color w:val="auto"/>
                <w:sz w:val="21"/>
                <w:szCs w:val="21"/>
                <w:highlight w:val="none"/>
              </w:rPr>
              <w:t>6</w:t>
            </w:r>
            <w:r>
              <w:rPr>
                <w:rFonts w:hint="eastAsia"/>
                <w:color w:val="auto"/>
                <w:sz w:val="21"/>
                <w:szCs w:val="21"/>
                <w:highlight w:val="none"/>
              </w:rPr>
              <w:t>.UPS主机应提供大屏幕液晶显示；且LCD显示屏具有重力自适应功能，可以自动识别UPS的安装方式，无需手动旋转LCD屏幕。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color w:val="auto"/>
                <w:sz w:val="21"/>
                <w:szCs w:val="21"/>
                <w:highlight w:val="none"/>
              </w:rPr>
            </w:pPr>
            <w:r>
              <w:rPr>
                <w:rFonts w:hint="eastAsia"/>
                <w:color w:val="auto"/>
                <w:sz w:val="21"/>
                <w:szCs w:val="21"/>
                <w:highlight w:val="none"/>
              </w:rPr>
              <w:t>4</w:t>
            </w:r>
          </w:p>
        </w:tc>
        <w:tc>
          <w:tcPr>
            <w:tcW w:w="1810" w:type="dxa"/>
            <w:vAlign w:val="center"/>
          </w:tcPr>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蓄电池</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16</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节</w:t>
            </w:r>
          </w:p>
        </w:tc>
        <w:tc>
          <w:tcPr>
            <w:tcW w:w="6269" w:type="dxa"/>
            <w:vAlign w:val="center"/>
          </w:tcPr>
          <w:p>
            <w:pPr>
              <w:adjustRightInd w:val="0"/>
              <w:snapToGrid w:val="0"/>
              <w:jc w:val="left"/>
              <w:rPr>
                <w:color w:val="auto"/>
                <w:sz w:val="21"/>
                <w:szCs w:val="21"/>
                <w:highlight w:val="none"/>
              </w:rPr>
            </w:pPr>
            <w:r>
              <w:rPr>
                <w:rFonts w:hint="eastAsia"/>
                <w:color w:val="auto"/>
                <w:sz w:val="21"/>
                <w:szCs w:val="21"/>
                <w:highlight w:val="none"/>
              </w:rPr>
              <w:t>1.12V/100AH，密封阀控铅酸免维护蓄电池；</w:t>
            </w:r>
          </w:p>
          <w:p>
            <w:pPr>
              <w:adjustRightInd w:val="0"/>
              <w:snapToGrid w:val="0"/>
              <w:jc w:val="left"/>
              <w:rPr>
                <w:color w:val="auto"/>
                <w:sz w:val="21"/>
                <w:szCs w:val="21"/>
                <w:highlight w:val="none"/>
              </w:rPr>
            </w:pPr>
            <w:r>
              <w:rPr>
                <w:rFonts w:hint="eastAsia"/>
                <w:color w:val="auto"/>
                <w:sz w:val="21"/>
                <w:szCs w:val="21"/>
                <w:highlight w:val="none"/>
              </w:rPr>
              <w:t>2.规格：12V100AH；重量≥27.5KG，设计浮充寿命≥10年；</w:t>
            </w:r>
          </w:p>
          <w:p>
            <w:pPr>
              <w:adjustRightInd w:val="0"/>
              <w:snapToGrid w:val="0"/>
              <w:jc w:val="left"/>
              <w:rPr>
                <w:color w:val="auto"/>
                <w:sz w:val="21"/>
                <w:szCs w:val="21"/>
                <w:highlight w:val="none"/>
              </w:rPr>
            </w:pPr>
            <w:r>
              <w:rPr>
                <w:rFonts w:hint="eastAsia"/>
                <w:color w:val="auto"/>
                <w:sz w:val="21"/>
                <w:szCs w:val="21"/>
                <w:highlight w:val="none"/>
              </w:rPr>
              <w:t>3.专业阀控式密封设计，能够有效确保电池的不漏（渗）液、无酸雾、不腐蚀。无流动性的电解液，使电解液在电池内部不产生分成现象；</w:t>
            </w:r>
          </w:p>
          <w:p>
            <w:pPr>
              <w:adjustRightInd w:val="0"/>
              <w:snapToGrid w:val="0"/>
              <w:jc w:val="left"/>
              <w:rPr>
                <w:color w:val="auto"/>
                <w:sz w:val="21"/>
                <w:szCs w:val="21"/>
                <w:highlight w:val="none"/>
              </w:rPr>
            </w:pPr>
            <w:r>
              <w:rPr>
                <w:rFonts w:hint="eastAsia"/>
                <w:color w:val="auto"/>
                <w:sz w:val="21"/>
                <w:szCs w:val="21"/>
                <w:highlight w:val="none"/>
              </w:rPr>
              <w:t>4.密封反应效率≥97%；静置28天后容量保存率≥98%；U&lt;5.5nV</w:t>
            </w:r>
            <w:r>
              <w:rPr>
                <w:rFonts w:hint="eastAsia"/>
                <w:b/>
                <w:bCs/>
                <w:color w:val="auto"/>
                <w:sz w:val="21"/>
                <w:szCs w:val="21"/>
                <w:highlight w:val="none"/>
              </w:rPr>
              <w:t>（提供证明材料）</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5.为整体安全考虑，电池极柱（端子）部位应有防漏液的设计；</w:t>
            </w:r>
          </w:p>
          <w:p>
            <w:pPr>
              <w:adjustRightInd w:val="0"/>
              <w:snapToGrid w:val="0"/>
              <w:jc w:val="left"/>
              <w:rPr>
                <w:color w:val="auto"/>
                <w:sz w:val="21"/>
                <w:szCs w:val="21"/>
                <w:highlight w:val="none"/>
              </w:rPr>
            </w:pPr>
            <w:r>
              <w:rPr>
                <w:rFonts w:hint="eastAsia"/>
                <w:color w:val="auto"/>
                <w:sz w:val="21"/>
                <w:szCs w:val="21"/>
                <w:highlight w:val="none"/>
              </w:rPr>
              <w:t>▲6.响应产品不应为OEM贴牌产品；</w:t>
            </w:r>
          </w:p>
          <w:p>
            <w:pPr>
              <w:adjustRightInd w:val="0"/>
              <w:snapToGrid w:val="0"/>
              <w:jc w:val="left"/>
              <w:rPr>
                <w:color w:val="auto"/>
                <w:sz w:val="21"/>
                <w:szCs w:val="21"/>
                <w:highlight w:val="none"/>
              </w:rPr>
            </w:pPr>
            <w:r>
              <w:rPr>
                <w:rFonts w:hint="eastAsia"/>
                <w:color w:val="auto"/>
                <w:sz w:val="21"/>
                <w:szCs w:val="21"/>
                <w:highlight w:val="none"/>
              </w:rPr>
              <w:t>7.配套所需要的直流线，电池箱、电池开关箱等。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color w:val="auto"/>
                <w:sz w:val="21"/>
                <w:szCs w:val="21"/>
                <w:highlight w:val="none"/>
              </w:rPr>
            </w:pPr>
            <w:r>
              <w:rPr>
                <w:rFonts w:hint="eastAsia"/>
                <w:color w:val="auto"/>
                <w:sz w:val="21"/>
                <w:szCs w:val="21"/>
                <w:highlight w:val="none"/>
              </w:rPr>
              <w:t>5</w:t>
            </w:r>
          </w:p>
        </w:tc>
        <w:tc>
          <w:tcPr>
            <w:tcW w:w="1810" w:type="dxa"/>
            <w:vAlign w:val="center"/>
          </w:tcPr>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制冷系统（精密空调）</w:t>
            </w:r>
          </w:p>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（核心产品）</w:t>
            </w:r>
          </w:p>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w:t>
            </w:r>
            <w:r>
              <w:rPr>
                <w:rFonts w:hint="eastAsia"/>
                <w:b/>
                <w:bCs/>
                <w:color w:val="auto"/>
                <w:sz w:val="21"/>
                <w:szCs w:val="21"/>
                <w:highlight w:val="none"/>
              </w:rPr>
              <w:t>▲</w:t>
            </w:r>
            <w:r>
              <w:rPr>
                <w:rFonts w:hint="eastAsia" w:cs="Times New Roman"/>
                <w:b/>
                <w:bCs/>
                <w:color w:val="auto"/>
                <w:sz w:val="21"/>
                <w:szCs w:val="21"/>
                <w:highlight w:val="none"/>
              </w:rPr>
              <w:t>提供有效的节能产品认证证书）</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3</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套</w:t>
            </w:r>
          </w:p>
        </w:tc>
        <w:tc>
          <w:tcPr>
            <w:tcW w:w="6269" w:type="dxa"/>
            <w:vAlign w:val="center"/>
          </w:tcPr>
          <w:p>
            <w:pPr>
              <w:adjustRightInd w:val="0"/>
              <w:snapToGrid w:val="0"/>
              <w:jc w:val="left"/>
              <w:rPr>
                <w:color w:val="auto"/>
                <w:sz w:val="21"/>
                <w:szCs w:val="21"/>
                <w:highlight w:val="none"/>
              </w:rPr>
            </w:pPr>
            <w:r>
              <w:rPr>
                <w:rFonts w:hint="eastAsia"/>
                <w:color w:val="auto"/>
                <w:sz w:val="21"/>
                <w:szCs w:val="21"/>
                <w:highlight w:val="none"/>
              </w:rPr>
              <w:t>1.采用行间空调，制冷量：≥42kw；风量：≥8500m³/h；再热量：≥6kw；加湿量：≥1.5kg/h</w:t>
            </w:r>
            <w:r>
              <w:rPr>
                <w:rFonts w:hint="eastAsia"/>
                <w:b/>
                <w:bCs/>
                <w:color w:val="auto"/>
                <w:sz w:val="21"/>
                <w:szCs w:val="21"/>
                <w:highlight w:val="none"/>
              </w:rPr>
              <w:t>（提供证明材料）</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2.电源：380Vac/50～60Hz；</w:t>
            </w:r>
          </w:p>
          <w:p>
            <w:pPr>
              <w:adjustRightInd w:val="0"/>
              <w:snapToGrid w:val="0"/>
              <w:jc w:val="left"/>
              <w:rPr>
                <w:color w:val="auto"/>
                <w:sz w:val="21"/>
                <w:szCs w:val="21"/>
                <w:highlight w:val="none"/>
              </w:rPr>
            </w:pPr>
            <w:r>
              <w:rPr>
                <w:rFonts w:hint="eastAsia"/>
                <w:color w:val="auto"/>
                <w:sz w:val="21"/>
                <w:szCs w:val="21"/>
                <w:highlight w:val="none"/>
              </w:rPr>
              <w:t>3.机房专用空调应采用环保R410A制冷剂，采用EC风机，每台行间空调配置不少于8台EC风机，EC风机采用不少于2个直流电源模块提供稳定可靠供电，室内风机需选用优质EC风机，室内EC风机系统应能够方便的热插拔设计，从机组正面取出进行现场维修,提高系统的可维护性；</w:t>
            </w:r>
          </w:p>
          <w:p>
            <w:pPr>
              <w:adjustRightInd w:val="0"/>
              <w:snapToGrid w:val="0"/>
              <w:jc w:val="left"/>
              <w:rPr>
                <w:color w:val="auto"/>
                <w:sz w:val="21"/>
                <w:szCs w:val="21"/>
                <w:highlight w:val="none"/>
              </w:rPr>
            </w:pPr>
            <w:r>
              <w:rPr>
                <w:rFonts w:hint="eastAsia"/>
                <w:color w:val="auto"/>
                <w:sz w:val="21"/>
                <w:szCs w:val="21"/>
                <w:highlight w:val="none"/>
              </w:rPr>
              <w:t>4.压缩机：行间空调应具有高效节能性，压缩机采用变频涡旋压缩技术，具有较高的能效比，且冷量输出可实现20%-100%连续调节。压缩机必须位于室内机。应采用高质量直流变频涡旋压缩机</w:t>
            </w:r>
            <w:r>
              <w:rPr>
                <w:rFonts w:hint="eastAsia"/>
                <w:b/>
                <w:bCs/>
                <w:color w:val="auto"/>
                <w:sz w:val="21"/>
                <w:szCs w:val="21"/>
                <w:highlight w:val="none"/>
              </w:rPr>
              <w:t>（响应文件中注明压缩机品牌型号）</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5.机组应有节能措施的设计，整机能效比要求：机组回风温度为37℃，室外温度35℃条件下，空调EER≥4.0</w:t>
            </w:r>
            <w:r>
              <w:rPr>
                <w:rFonts w:hint="eastAsia"/>
                <w:b/>
                <w:bCs/>
                <w:color w:val="auto"/>
                <w:sz w:val="21"/>
                <w:szCs w:val="21"/>
                <w:highlight w:val="none"/>
              </w:rPr>
              <w:t>（提供证明材料）</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6.应选用高效内螺纹大面积V型蒸发器，提高换热面积，保障换热效率；采用电子膨胀阀，无级调节开度10%~100%，调节范围宽、速度快，流量控制精确；</w:t>
            </w:r>
          </w:p>
          <w:p>
            <w:pPr>
              <w:adjustRightInd w:val="0"/>
              <w:snapToGrid w:val="0"/>
              <w:jc w:val="left"/>
              <w:rPr>
                <w:color w:val="auto"/>
                <w:sz w:val="21"/>
                <w:szCs w:val="21"/>
                <w:highlight w:val="none"/>
              </w:rPr>
            </w:pPr>
            <w:r>
              <w:rPr>
                <w:rFonts w:hint="eastAsia"/>
                <w:color w:val="auto"/>
                <w:sz w:val="21"/>
                <w:szCs w:val="21"/>
                <w:highlight w:val="none"/>
              </w:rPr>
              <w:t>7.室外风机应可根据室外温度无极调速，减少风机能耗；</w:t>
            </w:r>
          </w:p>
          <w:p>
            <w:pPr>
              <w:adjustRightInd w:val="0"/>
              <w:snapToGrid w:val="0"/>
              <w:jc w:val="left"/>
              <w:rPr>
                <w:color w:val="auto"/>
                <w:sz w:val="21"/>
                <w:szCs w:val="21"/>
                <w:highlight w:val="none"/>
              </w:rPr>
            </w:pPr>
            <w:r>
              <w:rPr>
                <w:rFonts w:hint="eastAsia"/>
                <w:color w:val="auto"/>
                <w:sz w:val="21"/>
                <w:szCs w:val="21"/>
                <w:highlight w:val="none"/>
              </w:rPr>
              <w:t>8.行间空调具有加湿性能：采用高效电极加湿器，加湿速度快，确保高效性；</w:t>
            </w:r>
          </w:p>
          <w:p>
            <w:pPr>
              <w:adjustRightInd w:val="0"/>
              <w:snapToGrid w:val="0"/>
              <w:jc w:val="left"/>
              <w:rPr>
                <w:color w:val="auto"/>
                <w:sz w:val="21"/>
                <w:szCs w:val="21"/>
                <w:highlight w:val="none"/>
              </w:rPr>
            </w:pPr>
            <w:r>
              <w:rPr>
                <w:rFonts w:hint="eastAsia"/>
                <w:color w:val="auto"/>
                <w:sz w:val="21"/>
                <w:szCs w:val="21"/>
                <w:highlight w:val="none"/>
              </w:rPr>
              <w:t>9.行间空调系统应具有高可靠性，要求机组平均无故障时间MTBF≥10万小时；</w:t>
            </w:r>
          </w:p>
          <w:p>
            <w:pPr>
              <w:adjustRightInd w:val="0"/>
              <w:snapToGrid w:val="0"/>
              <w:jc w:val="left"/>
              <w:rPr>
                <w:color w:val="auto"/>
                <w:sz w:val="21"/>
                <w:szCs w:val="21"/>
                <w:highlight w:val="none"/>
              </w:rPr>
            </w:pPr>
            <w:r>
              <w:rPr>
                <w:rFonts w:hint="eastAsia"/>
                <w:color w:val="auto"/>
                <w:sz w:val="21"/>
                <w:szCs w:val="21"/>
                <w:highlight w:val="none"/>
              </w:rPr>
              <w:t>10.配有大屏幕触摸式显示器，图形显示，能显示温湿度曲线，具有图形显示机组内各组件的运行状态的功能，应具有大容量的故障报警记录储存的功能，存储历史告警信息不小于1000条；</w:t>
            </w:r>
          </w:p>
          <w:p>
            <w:pPr>
              <w:adjustRightInd w:val="0"/>
              <w:snapToGrid w:val="0"/>
              <w:jc w:val="left"/>
              <w:rPr>
                <w:color w:val="auto"/>
                <w:sz w:val="21"/>
                <w:szCs w:val="21"/>
                <w:highlight w:val="none"/>
              </w:rPr>
            </w:pPr>
            <w:r>
              <w:rPr>
                <w:rFonts w:hint="eastAsia"/>
                <w:color w:val="auto"/>
                <w:sz w:val="21"/>
                <w:szCs w:val="21"/>
                <w:highlight w:val="none"/>
              </w:rPr>
              <w:t>11.每台机组标准应配置1个回风温湿度传感器和2个送风温度传感器，另最多可实现配置6个外置温度传感器的功能，监控不同机柜的温度。实现多种控制方式调节制冷量输出，随负荷智能运行。</w:t>
            </w:r>
          </w:p>
          <w:p>
            <w:pPr>
              <w:adjustRightInd w:val="0"/>
              <w:snapToGrid w:val="0"/>
              <w:jc w:val="left"/>
              <w:rPr>
                <w:color w:val="auto"/>
                <w:sz w:val="21"/>
                <w:szCs w:val="21"/>
                <w:highlight w:val="none"/>
              </w:rPr>
            </w:pPr>
            <w:r>
              <w:rPr>
                <w:rFonts w:hint="eastAsia"/>
                <w:color w:val="auto"/>
                <w:sz w:val="21"/>
                <w:szCs w:val="21"/>
                <w:highlight w:val="none"/>
              </w:rPr>
              <w:t>12.系统应具备标准的RS485接口，且应具有良好的电气隔离(信号端子对地承受直流电压500V、1分钟不击穿或闪烁)；</w:t>
            </w:r>
          </w:p>
          <w:p>
            <w:pPr>
              <w:adjustRightInd w:val="0"/>
              <w:snapToGrid w:val="0"/>
              <w:jc w:val="left"/>
              <w:rPr>
                <w:color w:val="auto"/>
                <w:sz w:val="21"/>
                <w:szCs w:val="21"/>
                <w:highlight w:val="none"/>
              </w:rPr>
            </w:pPr>
            <w:r>
              <w:rPr>
                <w:rFonts w:hint="eastAsia"/>
                <w:color w:val="auto"/>
                <w:sz w:val="21"/>
                <w:szCs w:val="21"/>
                <w:highlight w:val="none"/>
              </w:rPr>
              <w:t>13.含设备安装所需所有电源线、信号线、铜管、桥架、保温材料等一切辅材，和所有设备的安装调试费用。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color w:val="auto"/>
                <w:sz w:val="21"/>
                <w:szCs w:val="21"/>
                <w:highlight w:val="none"/>
              </w:rPr>
            </w:pPr>
            <w:r>
              <w:rPr>
                <w:rFonts w:hint="eastAsia"/>
                <w:color w:val="auto"/>
                <w:sz w:val="21"/>
                <w:szCs w:val="21"/>
                <w:highlight w:val="none"/>
              </w:rPr>
              <w:t>6</w:t>
            </w:r>
          </w:p>
        </w:tc>
        <w:tc>
          <w:tcPr>
            <w:tcW w:w="1810" w:type="dxa"/>
            <w:vAlign w:val="center"/>
          </w:tcPr>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动环监控系统</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1</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套</w:t>
            </w:r>
          </w:p>
        </w:tc>
        <w:tc>
          <w:tcPr>
            <w:tcW w:w="6269" w:type="dxa"/>
            <w:vAlign w:val="center"/>
          </w:tcPr>
          <w:p>
            <w:pPr>
              <w:adjustRightInd w:val="0"/>
              <w:snapToGrid w:val="0"/>
              <w:jc w:val="left"/>
              <w:rPr>
                <w:color w:val="auto"/>
                <w:sz w:val="21"/>
                <w:szCs w:val="21"/>
                <w:highlight w:val="none"/>
              </w:rPr>
            </w:pPr>
            <w:r>
              <w:rPr>
                <w:rFonts w:hint="eastAsia"/>
                <w:color w:val="auto"/>
                <w:sz w:val="21"/>
                <w:szCs w:val="21"/>
                <w:highlight w:val="none"/>
              </w:rPr>
              <w:t>1.一体式监控主机1台，含数据中心监控管理软件平台，可实现对配电柜、UPS、空调、温湿度、漏水，消防等设备功能监控；</w:t>
            </w:r>
          </w:p>
          <w:p>
            <w:pPr>
              <w:adjustRightInd w:val="0"/>
              <w:snapToGrid w:val="0"/>
              <w:jc w:val="left"/>
              <w:rPr>
                <w:color w:val="auto"/>
                <w:sz w:val="21"/>
                <w:szCs w:val="21"/>
                <w:highlight w:val="none"/>
              </w:rPr>
            </w:pPr>
            <w:r>
              <w:rPr>
                <w:rFonts w:hint="eastAsia"/>
                <w:color w:val="auto"/>
                <w:sz w:val="21"/>
                <w:szCs w:val="21"/>
                <w:highlight w:val="none"/>
              </w:rPr>
              <w:t>2.可满足远程监控，通过Web界面，查看系统运行信息、告警信息，进行参数配置；监控平台软件同时支持B/S、C/S两种方式，管理人员可通过内网、外网进行监控或管理。提供SNMP协议，支持数据查询和告警上报，可接入第三方网管，统一监控；</w:t>
            </w:r>
          </w:p>
          <w:p>
            <w:pPr>
              <w:adjustRightInd w:val="0"/>
              <w:snapToGrid w:val="0"/>
              <w:jc w:val="left"/>
              <w:rPr>
                <w:color w:val="auto"/>
                <w:sz w:val="21"/>
                <w:szCs w:val="21"/>
                <w:highlight w:val="none"/>
              </w:rPr>
            </w:pPr>
            <w:r>
              <w:rPr>
                <w:rFonts w:hint="eastAsia"/>
                <w:color w:val="auto"/>
                <w:sz w:val="21"/>
                <w:szCs w:val="21"/>
                <w:highlight w:val="none"/>
              </w:rPr>
              <w:t>▲3.手机APP功能：系统具备同时支持基于iOS、Android操作系统的移动终端设备的监控APP软件，可查看机房电子地图、实时浏览监测数据等；</w:t>
            </w:r>
          </w:p>
          <w:p>
            <w:pPr>
              <w:adjustRightInd w:val="0"/>
              <w:snapToGrid w:val="0"/>
              <w:jc w:val="left"/>
              <w:rPr>
                <w:color w:val="auto"/>
                <w:sz w:val="21"/>
                <w:szCs w:val="21"/>
                <w:highlight w:val="none"/>
              </w:rPr>
            </w:pPr>
            <w:r>
              <w:rPr>
                <w:rFonts w:hint="eastAsia"/>
                <w:color w:val="auto"/>
                <w:sz w:val="21"/>
                <w:szCs w:val="21"/>
                <w:highlight w:val="none"/>
              </w:rPr>
              <w:t>4.温度传感器：配置6个，安装于冷通道及机柜前后通道吊顶上；监测机房内各个区域温度、湿度。通过电子云图的方式直观展示并辨析机房温度分布情况</w:t>
            </w:r>
            <w:r>
              <w:rPr>
                <w:rFonts w:hint="eastAsia"/>
                <w:b/>
                <w:bCs/>
                <w:color w:val="auto"/>
                <w:sz w:val="21"/>
                <w:szCs w:val="21"/>
                <w:highlight w:val="none"/>
              </w:rPr>
              <w:t>（提供证明材料）</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5.视频监控模块：一体化集成视频监控系统，配置4个数字监控半球摄像机，可远程查看视频录像等，支持与消防系统联动弹窗；</w:t>
            </w:r>
          </w:p>
          <w:p>
            <w:pPr>
              <w:adjustRightInd w:val="0"/>
              <w:snapToGrid w:val="0"/>
              <w:jc w:val="left"/>
              <w:rPr>
                <w:color w:val="auto"/>
                <w:sz w:val="21"/>
                <w:szCs w:val="21"/>
                <w:highlight w:val="none"/>
              </w:rPr>
            </w:pPr>
            <w:r>
              <w:rPr>
                <w:rFonts w:hint="eastAsia"/>
                <w:color w:val="auto"/>
                <w:sz w:val="21"/>
                <w:szCs w:val="21"/>
                <w:highlight w:val="none"/>
              </w:rPr>
              <w:t>6.消防系统监测：与消防主机进行通讯，实时监测消防主机运行状态，一旦产生报警及时发出报警信息；</w:t>
            </w:r>
          </w:p>
          <w:p>
            <w:pPr>
              <w:adjustRightInd w:val="0"/>
              <w:snapToGrid w:val="0"/>
              <w:jc w:val="left"/>
              <w:rPr>
                <w:color w:val="auto"/>
                <w:sz w:val="21"/>
                <w:szCs w:val="21"/>
                <w:highlight w:val="none"/>
              </w:rPr>
            </w:pPr>
            <w:r>
              <w:rPr>
                <w:rFonts w:hint="eastAsia"/>
                <w:color w:val="auto"/>
                <w:sz w:val="21"/>
                <w:szCs w:val="21"/>
                <w:highlight w:val="none"/>
              </w:rPr>
              <w:t>7.集成门禁系统：2个门（1个端门，1个通道门）采用人脸识别、刷卡门禁一体机，含磁力锁、出门按钮等，同一监控平台管理，支持远程打开门锁；</w:t>
            </w:r>
          </w:p>
          <w:p>
            <w:pPr>
              <w:adjustRightInd w:val="0"/>
              <w:snapToGrid w:val="0"/>
              <w:jc w:val="left"/>
              <w:rPr>
                <w:color w:val="auto"/>
                <w:sz w:val="21"/>
                <w:szCs w:val="21"/>
                <w:highlight w:val="none"/>
              </w:rPr>
            </w:pPr>
            <w:r>
              <w:rPr>
                <w:rFonts w:hint="eastAsia"/>
                <w:color w:val="auto"/>
                <w:sz w:val="21"/>
                <w:szCs w:val="21"/>
                <w:highlight w:val="none"/>
              </w:rPr>
              <w:t>8.短信告警模块：4G三网通短信报警模块，当报警发生时，系统可自动发短信给设置值班人员；</w:t>
            </w:r>
          </w:p>
          <w:p>
            <w:pPr>
              <w:adjustRightInd w:val="0"/>
              <w:snapToGrid w:val="0"/>
              <w:jc w:val="left"/>
              <w:rPr>
                <w:color w:val="auto"/>
                <w:sz w:val="21"/>
                <w:szCs w:val="21"/>
                <w:highlight w:val="none"/>
              </w:rPr>
            </w:pPr>
            <w:r>
              <w:rPr>
                <w:rFonts w:hint="eastAsia"/>
                <w:color w:val="auto"/>
                <w:sz w:val="21"/>
                <w:szCs w:val="21"/>
                <w:highlight w:val="none"/>
              </w:rPr>
              <w:t>9.系统定制冬天管理模式，可一键切换冬天、夏天告警阀值。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color w:val="auto"/>
                <w:sz w:val="21"/>
                <w:szCs w:val="21"/>
                <w:highlight w:val="none"/>
              </w:rPr>
            </w:pPr>
            <w:r>
              <w:rPr>
                <w:rFonts w:hint="eastAsia"/>
                <w:color w:val="auto"/>
                <w:sz w:val="21"/>
                <w:szCs w:val="21"/>
                <w:highlight w:val="none"/>
              </w:rPr>
              <w:t>7</w:t>
            </w:r>
          </w:p>
        </w:tc>
        <w:tc>
          <w:tcPr>
            <w:tcW w:w="1810" w:type="dxa"/>
            <w:vAlign w:val="center"/>
          </w:tcPr>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机柜及冷通道封闭系统</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7</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套</w:t>
            </w:r>
          </w:p>
        </w:tc>
        <w:tc>
          <w:tcPr>
            <w:tcW w:w="6269" w:type="dxa"/>
            <w:vAlign w:val="center"/>
          </w:tcPr>
          <w:p>
            <w:pPr>
              <w:adjustRightInd w:val="0"/>
              <w:snapToGrid w:val="0"/>
              <w:jc w:val="left"/>
              <w:rPr>
                <w:color w:val="auto"/>
                <w:sz w:val="21"/>
                <w:szCs w:val="21"/>
                <w:highlight w:val="none"/>
              </w:rPr>
            </w:pPr>
            <w:r>
              <w:rPr>
                <w:rFonts w:hint="eastAsia"/>
                <w:color w:val="auto"/>
                <w:sz w:val="21"/>
                <w:szCs w:val="21"/>
                <w:highlight w:val="none"/>
              </w:rPr>
              <w:t>1.机柜尺寸：≤600mm×1100mm×2000mm，可用空间42U；产品需符合ANSI/EIA RS-310、DIN41491；PART1、IEC297-2、DIN41494；PART7、 GB/T3047.2- 92标准，兼容19"国际标准、公制标准和ETSI标准。所有满足EIA-310标准的设备都可以安装在机柜中。</w:t>
            </w:r>
          </w:p>
          <w:p>
            <w:pPr>
              <w:adjustRightInd w:val="0"/>
              <w:snapToGrid w:val="0"/>
              <w:jc w:val="left"/>
              <w:rPr>
                <w:color w:val="auto"/>
                <w:sz w:val="21"/>
                <w:szCs w:val="21"/>
                <w:highlight w:val="none"/>
              </w:rPr>
            </w:pPr>
            <w:r>
              <w:rPr>
                <w:rFonts w:hint="eastAsia"/>
                <w:color w:val="auto"/>
                <w:sz w:val="21"/>
                <w:szCs w:val="21"/>
                <w:highlight w:val="none"/>
              </w:rPr>
              <w:t>▲2.每机柜标配底板及侧板。每机柜需配置20个1U免工具安装塑胶盲板，2个承载能力不小于50kg的托盘，2套L型支架；</w:t>
            </w:r>
          </w:p>
          <w:p>
            <w:pPr>
              <w:adjustRightInd w:val="0"/>
              <w:snapToGrid w:val="0"/>
              <w:jc w:val="left"/>
              <w:rPr>
                <w:color w:val="auto"/>
                <w:sz w:val="21"/>
                <w:szCs w:val="21"/>
                <w:highlight w:val="none"/>
              </w:rPr>
            </w:pPr>
            <w:r>
              <w:rPr>
                <w:rFonts w:hint="eastAsia"/>
                <w:color w:val="auto"/>
                <w:sz w:val="21"/>
                <w:szCs w:val="21"/>
                <w:highlight w:val="none"/>
              </w:rPr>
              <w:t>3.机柜主体材质需采用A级冷轧钢板，机柜框架为标准九折型材焊接而成，具有良好的机械性能；</w:t>
            </w:r>
          </w:p>
          <w:p>
            <w:pPr>
              <w:adjustRightInd w:val="0"/>
              <w:snapToGrid w:val="0"/>
              <w:jc w:val="left"/>
              <w:rPr>
                <w:color w:val="auto"/>
                <w:sz w:val="21"/>
                <w:szCs w:val="21"/>
                <w:highlight w:val="none"/>
              </w:rPr>
            </w:pPr>
            <w:r>
              <w:rPr>
                <w:rFonts w:hint="eastAsia"/>
                <w:color w:val="auto"/>
                <w:sz w:val="21"/>
                <w:szCs w:val="21"/>
                <w:highlight w:val="none"/>
              </w:rPr>
              <w:t>▲4.产品前后门需采用网孔门设计，网孔为六边形设计,通孔率需≥75％，利于机柜内设备通风散热，适应新型服务器高热密度的散热需求；</w:t>
            </w:r>
          </w:p>
          <w:p>
            <w:pPr>
              <w:adjustRightInd w:val="0"/>
              <w:snapToGrid w:val="0"/>
              <w:jc w:val="left"/>
              <w:rPr>
                <w:color w:val="auto"/>
                <w:sz w:val="21"/>
                <w:szCs w:val="21"/>
                <w:highlight w:val="none"/>
              </w:rPr>
            </w:pPr>
            <w:r>
              <w:rPr>
                <w:rFonts w:hint="eastAsia"/>
                <w:color w:val="auto"/>
                <w:sz w:val="21"/>
                <w:szCs w:val="21"/>
                <w:highlight w:val="none"/>
              </w:rPr>
              <w:t>▲5.响应产品承重需达静态负载≥2000kg；</w:t>
            </w:r>
          </w:p>
          <w:p>
            <w:pPr>
              <w:adjustRightInd w:val="0"/>
              <w:snapToGrid w:val="0"/>
              <w:jc w:val="left"/>
              <w:rPr>
                <w:color w:val="auto"/>
                <w:sz w:val="21"/>
                <w:szCs w:val="21"/>
                <w:highlight w:val="none"/>
              </w:rPr>
            </w:pPr>
            <w:r>
              <w:rPr>
                <w:rFonts w:hint="eastAsia"/>
                <w:color w:val="auto"/>
                <w:sz w:val="21"/>
                <w:szCs w:val="21"/>
                <w:highlight w:val="none"/>
              </w:rPr>
              <w:t>6.为方便柜内设备上下架，机柜前后门开启角度均应≥130度；</w:t>
            </w:r>
          </w:p>
          <w:p>
            <w:pPr>
              <w:adjustRightInd w:val="0"/>
              <w:snapToGrid w:val="0"/>
              <w:jc w:val="left"/>
              <w:rPr>
                <w:color w:val="auto"/>
                <w:sz w:val="21"/>
                <w:szCs w:val="21"/>
                <w:highlight w:val="none"/>
              </w:rPr>
            </w:pPr>
            <w:r>
              <w:rPr>
                <w:rFonts w:hint="eastAsia"/>
                <w:color w:val="auto"/>
                <w:sz w:val="21"/>
                <w:szCs w:val="21"/>
                <w:highlight w:val="none"/>
              </w:rPr>
              <w:t>7.响应产品材料需满足：前后网孔门材料采用1.5mm冷板；立柱材料：2.0mm冷板；框架材料：1.5mm冷板；</w:t>
            </w:r>
          </w:p>
          <w:p>
            <w:pPr>
              <w:adjustRightInd w:val="0"/>
              <w:snapToGrid w:val="0"/>
              <w:jc w:val="left"/>
              <w:rPr>
                <w:color w:val="auto"/>
                <w:sz w:val="21"/>
                <w:szCs w:val="21"/>
                <w:highlight w:val="none"/>
              </w:rPr>
            </w:pPr>
            <w:r>
              <w:rPr>
                <w:rFonts w:hint="eastAsia"/>
                <w:color w:val="auto"/>
                <w:sz w:val="21"/>
                <w:szCs w:val="21"/>
                <w:highlight w:val="none"/>
              </w:rPr>
              <w:t>8.响应产品需配置2条竖直安装PDU,安装位置为机柜后立柱左右2侧。输入三相32A输入,输出≥24口（10A不少于18个、16A不少于6个，机柜供电电缆采用ZRVVR-5*6mm2；</w:t>
            </w:r>
          </w:p>
          <w:p>
            <w:pPr>
              <w:adjustRightInd w:val="0"/>
              <w:snapToGrid w:val="0"/>
              <w:jc w:val="left"/>
              <w:rPr>
                <w:color w:val="auto"/>
                <w:sz w:val="21"/>
                <w:szCs w:val="21"/>
                <w:highlight w:val="none"/>
              </w:rPr>
            </w:pPr>
            <w:r>
              <w:rPr>
                <w:rFonts w:hint="eastAsia"/>
                <w:color w:val="auto"/>
                <w:sz w:val="21"/>
                <w:szCs w:val="21"/>
                <w:highlight w:val="none"/>
              </w:rPr>
              <w:t>9.密封冷通道由天窗、端门与机柜，精密空调、连接组合而成；</w:t>
            </w:r>
          </w:p>
          <w:p>
            <w:pPr>
              <w:adjustRightInd w:val="0"/>
              <w:snapToGrid w:val="0"/>
              <w:jc w:val="left"/>
              <w:rPr>
                <w:color w:val="auto"/>
                <w:sz w:val="21"/>
                <w:szCs w:val="21"/>
                <w:highlight w:val="none"/>
              </w:rPr>
            </w:pPr>
            <w:r>
              <w:rPr>
                <w:rFonts w:hint="eastAsia"/>
                <w:color w:val="auto"/>
                <w:sz w:val="21"/>
                <w:szCs w:val="21"/>
                <w:highlight w:val="none"/>
              </w:rPr>
              <w:t>10.封闭冷通道组件的所有天窗均应透光，透光材质采用旋转开启钢化玻璃，厚度不低于4mm，保证91%以上的透光率。并提供钢化玻璃检测报告；</w:t>
            </w:r>
          </w:p>
          <w:p>
            <w:pPr>
              <w:adjustRightInd w:val="0"/>
              <w:snapToGrid w:val="0"/>
              <w:jc w:val="left"/>
              <w:rPr>
                <w:color w:val="auto"/>
                <w:sz w:val="21"/>
                <w:szCs w:val="21"/>
                <w:highlight w:val="none"/>
              </w:rPr>
            </w:pPr>
            <w:r>
              <w:rPr>
                <w:rFonts w:hint="eastAsia"/>
                <w:color w:val="auto"/>
                <w:sz w:val="21"/>
                <w:szCs w:val="21"/>
                <w:highlight w:val="none"/>
              </w:rPr>
              <w:t>11.封闭冷通道组件两侧门应配备无框玻璃门，为提升微模块的通透效果，方便人员在模块外参观检视，钢化玻璃面积占门板总面积的比例不低于98%。钢化玻璃厚度不低于12mm，符合GB15763.2标准要求。请提供钢化玻璃检验报告。；</w:t>
            </w:r>
          </w:p>
          <w:p>
            <w:pPr>
              <w:adjustRightInd w:val="0"/>
              <w:snapToGrid w:val="0"/>
              <w:jc w:val="left"/>
              <w:rPr>
                <w:color w:val="auto"/>
                <w:sz w:val="21"/>
                <w:szCs w:val="21"/>
                <w:highlight w:val="none"/>
              </w:rPr>
            </w:pPr>
            <w:r>
              <w:rPr>
                <w:rFonts w:hint="eastAsia"/>
                <w:color w:val="auto"/>
                <w:sz w:val="21"/>
                <w:szCs w:val="21"/>
                <w:highlight w:val="none"/>
              </w:rPr>
              <w:t>12.封闭冷通道的所有天窗必须全部可透光。天窗翻转角度现场可调，支持30度、60度和全部开启。为避免人身伤害以及考虑到机房层高，天窗以最大角度翻转时，天窗下沿不能低于机柜顶板，天窗上沿不得高于机柜顶盖600mm以上；</w:t>
            </w:r>
          </w:p>
          <w:p>
            <w:pPr>
              <w:adjustRightInd w:val="0"/>
              <w:snapToGrid w:val="0"/>
              <w:jc w:val="left"/>
              <w:rPr>
                <w:color w:val="auto"/>
                <w:sz w:val="21"/>
                <w:szCs w:val="21"/>
                <w:highlight w:val="none"/>
              </w:rPr>
            </w:pPr>
            <w:r>
              <w:rPr>
                <w:rFonts w:hint="eastAsia"/>
                <w:color w:val="auto"/>
                <w:sz w:val="21"/>
                <w:szCs w:val="21"/>
                <w:highlight w:val="none"/>
              </w:rPr>
              <w:t>13.封闭冷通道组件产品应具备与机房气体消防系统联动从而解决通道内消防问题的功能。封闭冷通道顶部应具备消防联动天窗自动翻转功能，在正常状态下，天窗由通电磁铁吸合，为确保顶部密封，天窗需配密封胶圈。一旦发生火警，在消防系统启动之前，天窗处磁铁断电，天窗由于重力作用翻转打开，以便灭火气体迅速进入封闭通道空间内，达到灭火目的；</w:t>
            </w:r>
          </w:p>
          <w:p>
            <w:pPr>
              <w:adjustRightInd w:val="0"/>
              <w:snapToGrid w:val="0"/>
              <w:jc w:val="left"/>
              <w:rPr>
                <w:color w:val="auto"/>
                <w:sz w:val="21"/>
                <w:szCs w:val="21"/>
                <w:highlight w:val="none"/>
              </w:rPr>
            </w:pPr>
            <w:r>
              <w:rPr>
                <w:rFonts w:hint="eastAsia"/>
                <w:color w:val="auto"/>
                <w:sz w:val="21"/>
                <w:szCs w:val="21"/>
                <w:highlight w:val="none"/>
              </w:rPr>
              <w:t>14.电动滑动门要求与智能门禁、消防信号、红外侦测信号联动</w:t>
            </w:r>
            <w:r>
              <w:rPr>
                <w:rFonts w:hint="eastAsia"/>
                <w:b/>
                <w:bCs/>
                <w:color w:val="auto"/>
                <w:sz w:val="21"/>
                <w:szCs w:val="21"/>
                <w:highlight w:val="none"/>
              </w:rPr>
              <w:t>（提供证明材料）</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15.为了避免通道门对人造成伤害，通道门内侧要求配置防夹人传感器；</w:t>
            </w:r>
          </w:p>
          <w:p>
            <w:pPr>
              <w:adjustRightInd w:val="0"/>
              <w:snapToGrid w:val="0"/>
              <w:jc w:val="left"/>
              <w:rPr>
                <w:color w:val="auto"/>
                <w:sz w:val="21"/>
                <w:szCs w:val="21"/>
                <w:highlight w:val="none"/>
              </w:rPr>
            </w:pPr>
            <w:r>
              <w:rPr>
                <w:rFonts w:hint="eastAsia"/>
                <w:color w:val="auto"/>
                <w:sz w:val="21"/>
                <w:szCs w:val="21"/>
                <w:highlight w:val="none"/>
              </w:rPr>
              <w:t>16.通道内灯光系统要求采用三色可调灯光，光源采用24vdc LED灯条，天窗支架内嵌入式安装</w:t>
            </w:r>
            <w:r>
              <w:rPr>
                <w:rFonts w:hint="eastAsia"/>
                <w:b/>
                <w:bCs/>
                <w:color w:val="auto"/>
                <w:sz w:val="21"/>
                <w:szCs w:val="21"/>
                <w:highlight w:val="none"/>
              </w:rPr>
              <w:t>（提供证明材料）</w:t>
            </w:r>
            <w:r>
              <w:rPr>
                <w:rFonts w:hint="eastAsia"/>
                <w:color w:val="auto"/>
                <w:sz w:val="21"/>
                <w:szCs w:val="21"/>
                <w:highlight w:val="none"/>
              </w:rPr>
              <w:t>；</w:t>
            </w:r>
          </w:p>
          <w:p>
            <w:pPr>
              <w:adjustRightInd w:val="0"/>
              <w:snapToGrid w:val="0"/>
              <w:jc w:val="left"/>
              <w:rPr>
                <w:color w:val="auto"/>
                <w:sz w:val="21"/>
                <w:szCs w:val="21"/>
                <w:highlight w:val="none"/>
              </w:rPr>
            </w:pPr>
            <w:r>
              <w:rPr>
                <w:rFonts w:hint="eastAsia"/>
                <w:color w:val="auto"/>
                <w:sz w:val="21"/>
                <w:szCs w:val="21"/>
                <w:highlight w:val="none"/>
              </w:rPr>
              <w:t>17.通道门为隐藏式滑动门，通道门打开后不影响通道外触摸屏使用；</w:t>
            </w:r>
          </w:p>
          <w:p>
            <w:pPr>
              <w:adjustRightInd w:val="0"/>
              <w:snapToGrid w:val="0"/>
              <w:jc w:val="left"/>
              <w:rPr>
                <w:color w:val="auto"/>
                <w:sz w:val="21"/>
                <w:szCs w:val="21"/>
                <w:highlight w:val="none"/>
              </w:rPr>
            </w:pPr>
            <w:r>
              <w:rPr>
                <w:rFonts w:hint="eastAsia"/>
                <w:color w:val="auto"/>
                <w:sz w:val="21"/>
                <w:szCs w:val="21"/>
                <w:highlight w:val="none"/>
              </w:rPr>
              <w:t>18.跨线通道及下线通道采用隐藏式设计。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color w:val="auto"/>
                <w:sz w:val="21"/>
                <w:szCs w:val="21"/>
                <w:highlight w:val="none"/>
              </w:rPr>
            </w:pPr>
            <w:r>
              <w:rPr>
                <w:rFonts w:hint="eastAsia"/>
                <w:color w:val="auto"/>
                <w:sz w:val="21"/>
                <w:szCs w:val="21"/>
                <w:highlight w:val="none"/>
              </w:rPr>
              <w:t>8</w:t>
            </w:r>
          </w:p>
        </w:tc>
        <w:tc>
          <w:tcPr>
            <w:tcW w:w="1810" w:type="dxa"/>
            <w:vAlign w:val="center"/>
          </w:tcPr>
          <w:p>
            <w:pPr>
              <w:adjustRightInd w:val="0"/>
              <w:snapToGrid w:val="0"/>
              <w:jc w:val="center"/>
              <w:rPr>
                <w:rFonts w:cs="Times New Roman"/>
                <w:b/>
                <w:bCs/>
                <w:color w:val="auto"/>
                <w:sz w:val="21"/>
                <w:szCs w:val="21"/>
                <w:highlight w:val="none"/>
              </w:rPr>
            </w:pPr>
            <w:r>
              <w:rPr>
                <w:rFonts w:hint="eastAsia" w:cs="Times New Roman"/>
                <w:b/>
                <w:bCs/>
                <w:color w:val="auto"/>
                <w:sz w:val="21"/>
                <w:szCs w:val="21"/>
                <w:highlight w:val="none"/>
              </w:rPr>
              <w:t>机房材料</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1</w:t>
            </w:r>
          </w:p>
        </w:tc>
        <w:tc>
          <w:tcPr>
            <w:tcW w:w="66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批</w:t>
            </w:r>
          </w:p>
        </w:tc>
        <w:tc>
          <w:tcPr>
            <w:tcW w:w="6269" w:type="dxa"/>
            <w:vAlign w:val="center"/>
          </w:tcPr>
          <w:p>
            <w:pPr>
              <w:adjustRightInd w:val="0"/>
              <w:snapToGrid w:val="0"/>
              <w:jc w:val="left"/>
              <w:rPr>
                <w:color w:val="auto"/>
                <w:sz w:val="21"/>
                <w:szCs w:val="21"/>
                <w:highlight w:val="none"/>
              </w:rPr>
            </w:pPr>
            <w:r>
              <w:rPr>
                <w:rFonts w:hint="eastAsia"/>
                <w:color w:val="auto"/>
                <w:sz w:val="21"/>
                <w:szCs w:val="21"/>
                <w:highlight w:val="none"/>
              </w:rPr>
              <w:t>1.本次机房场地面积为：长5.15米，宽4.53米；</w:t>
            </w:r>
          </w:p>
          <w:p>
            <w:pPr>
              <w:adjustRightInd w:val="0"/>
              <w:snapToGrid w:val="0"/>
              <w:jc w:val="left"/>
              <w:rPr>
                <w:color w:val="auto"/>
                <w:sz w:val="21"/>
                <w:szCs w:val="21"/>
                <w:highlight w:val="none"/>
              </w:rPr>
            </w:pPr>
            <w:r>
              <w:rPr>
                <w:rFonts w:hint="eastAsia"/>
                <w:color w:val="auto"/>
                <w:sz w:val="21"/>
                <w:szCs w:val="21"/>
                <w:highlight w:val="none"/>
              </w:rPr>
              <w:t>2.吊顶材料：采用环氧防静电漆防尘防静电处理；厚20mm橡塑保温板保温处理；采用欧陆铝质微孔天花吊顶，规格为：600*600*0.8mm；</w:t>
            </w:r>
          </w:p>
          <w:p>
            <w:pPr>
              <w:adjustRightInd w:val="0"/>
              <w:snapToGrid w:val="0"/>
              <w:jc w:val="left"/>
              <w:rPr>
                <w:color w:val="auto"/>
                <w:sz w:val="21"/>
                <w:szCs w:val="21"/>
                <w:highlight w:val="none"/>
              </w:rPr>
            </w:pPr>
            <w:r>
              <w:rPr>
                <w:rFonts w:hint="eastAsia"/>
                <w:color w:val="auto"/>
                <w:sz w:val="21"/>
                <w:szCs w:val="21"/>
                <w:highlight w:val="none"/>
              </w:rPr>
              <w:t>3.静电地板：采用环氧防静电漆防尘防静电处理；厚20mm橡塑保温板保温处理；采用4#角钢做台阶踏步及地板收边支架。采用抗静电无边钢制地板，600*600*35mm，完成面高度30CM；</w:t>
            </w:r>
          </w:p>
          <w:p>
            <w:pPr>
              <w:adjustRightInd w:val="0"/>
              <w:snapToGrid w:val="0"/>
              <w:jc w:val="left"/>
              <w:rPr>
                <w:color w:val="auto"/>
                <w:sz w:val="21"/>
                <w:szCs w:val="21"/>
                <w:highlight w:val="none"/>
              </w:rPr>
            </w:pPr>
            <w:r>
              <w:rPr>
                <w:rFonts w:hint="eastAsia"/>
                <w:color w:val="auto"/>
                <w:sz w:val="21"/>
                <w:szCs w:val="21"/>
                <w:highlight w:val="none"/>
              </w:rPr>
              <w:t>4.彩钢板：墙体采用国标C75轻钢龙骨基架；墙面采用保温岩棉填充做保温处理；采用优质金属烤漆彩钢板饰面，钢板厚度0.6mm，内衬12mm防火石膏板；</w:t>
            </w:r>
          </w:p>
          <w:p>
            <w:pPr>
              <w:adjustRightInd w:val="0"/>
              <w:snapToGrid w:val="0"/>
              <w:jc w:val="left"/>
              <w:rPr>
                <w:color w:val="auto"/>
                <w:sz w:val="21"/>
                <w:szCs w:val="21"/>
                <w:highlight w:val="none"/>
              </w:rPr>
            </w:pPr>
            <w:r>
              <w:rPr>
                <w:rFonts w:hint="eastAsia"/>
                <w:color w:val="auto"/>
                <w:sz w:val="21"/>
                <w:szCs w:val="21"/>
                <w:highlight w:val="none"/>
              </w:rPr>
              <w:t>5.踢脚线：拉丝不锈钢踢脚线，高100mm；</w:t>
            </w:r>
          </w:p>
          <w:p>
            <w:pPr>
              <w:adjustRightInd w:val="0"/>
              <w:snapToGrid w:val="0"/>
              <w:jc w:val="left"/>
              <w:rPr>
                <w:color w:val="auto"/>
                <w:sz w:val="21"/>
                <w:szCs w:val="21"/>
                <w:highlight w:val="none"/>
              </w:rPr>
            </w:pPr>
            <w:r>
              <w:rPr>
                <w:rFonts w:hint="eastAsia"/>
                <w:color w:val="auto"/>
                <w:sz w:val="21"/>
                <w:szCs w:val="21"/>
                <w:highlight w:val="none"/>
              </w:rPr>
              <w:t>6.防火门：机房所有窗户需封堵，出入机房的门采用甲级钢制防火门，规格为900*2300mm；</w:t>
            </w:r>
          </w:p>
          <w:p>
            <w:pPr>
              <w:adjustRightInd w:val="0"/>
              <w:snapToGrid w:val="0"/>
              <w:jc w:val="left"/>
              <w:rPr>
                <w:color w:val="auto"/>
                <w:sz w:val="21"/>
                <w:szCs w:val="21"/>
                <w:highlight w:val="none"/>
              </w:rPr>
            </w:pPr>
            <w:r>
              <w:rPr>
                <w:rFonts w:hint="eastAsia"/>
                <w:color w:val="auto"/>
                <w:sz w:val="21"/>
                <w:szCs w:val="21"/>
                <w:highlight w:val="none"/>
              </w:rPr>
              <w:t>▲7.设备底座及机房承重加固：对机房区域实施加固处理，满足机房承重要求。所有的设备底座采用8#槽钢、5#角钢制作。</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本磋商文件适用于杭州电子科技大学机房专用空调等的磋商、评审、成交、验收、合同履约、付款等（法律、法规另有规定的，从其规定）。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1"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100-500</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0.77</w:t>
                  </w:r>
                </w:p>
              </w:tc>
            </w:tr>
            <w:bookmarkEnd w:id="31"/>
          </w:tbl>
          <w:p>
            <w:pPr>
              <w:adjustRightInd w:val="0"/>
              <w:snapToGrid w:val="0"/>
              <w:spacing w:line="288" w:lineRule="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adjustRightInd w:val="0"/>
              <w:snapToGrid w:val="0"/>
              <w:spacing w:line="288" w:lineRule="auto"/>
              <w:rPr>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本磋商文件适用于杭州电子科技大学机房专用空调等的磋商、评审、成交、验收、合同履约、付款等（法律、法规另有规定的，从其规定）。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100-500</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0.88</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69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w:t>
            </w:r>
            <w:r>
              <w:rPr>
                <w:color w:val="auto"/>
                <w:sz w:val="21"/>
                <w:szCs w:val="21"/>
                <w:highlight w:val="none"/>
              </w:rPr>
              <w:t>=（磋商基准价/最后磋商报价）×</w:t>
            </w:r>
            <w:r>
              <w:rPr>
                <w:rFonts w:hint="eastAsia"/>
                <w:color w:val="auto"/>
                <w:sz w:val="21"/>
                <w:szCs w:val="21"/>
                <w:highlight w:val="none"/>
              </w:rPr>
              <w:t>3</w:t>
            </w:r>
            <w:r>
              <w:rPr>
                <w:color w:val="auto"/>
                <w:sz w:val="21"/>
                <w:szCs w:val="21"/>
                <w:highlight w:val="none"/>
              </w:rPr>
              <w:t>0</w:t>
            </w:r>
            <w:r>
              <w:rPr>
                <w:rFonts w:hint="eastAsia"/>
                <w:color w:val="auto"/>
                <w:sz w:val="21"/>
                <w:szCs w:val="21"/>
                <w:highlight w:val="none"/>
              </w:rPr>
              <w:t>%</w:t>
            </w:r>
            <w:r>
              <w:rPr>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供应商自2019年1月1日以来（以合同签订时间为准）同类合同业绩（以提供的合同扫描件为准）：每提供1份合同业绩得</w:t>
            </w:r>
            <w:r>
              <w:rPr>
                <w:color w:val="auto"/>
                <w:sz w:val="21"/>
                <w:szCs w:val="21"/>
                <w:highlight w:val="none"/>
              </w:rPr>
              <w:t>1</w:t>
            </w:r>
            <w:r>
              <w:rPr>
                <w:rFonts w:hint="eastAsia"/>
                <w:color w:val="auto"/>
                <w:sz w:val="21"/>
                <w:szCs w:val="21"/>
                <w:highlight w:val="none"/>
              </w:rPr>
              <w:t>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投标产品属于品目清单范围且提供国家确定的认证机构出具的有效的节能产品认证证书（扫描件）的得1分；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投标产品属于品目清单范围且提供国家确定的认证机构出具的有效的环境标志产品认证证书（扫描件）的得1分；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25</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技术条款低于技术要求（负偏离）的每项扣5分；</w:t>
            </w:r>
          </w:p>
          <w:p>
            <w:pPr>
              <w:adjustRightInd w:val="0"/>
              <w:snapToGrid w:val="0"/>
              <w:spacing w:line="288" w:lineRule="auto"/>
              <w:rPr>
                <w:color w:val="auto"/>
                <w:sz w:val="21"/>
                <w:szCs w:val="21"/>
                <w:highlight w:val="none"/>
              </w:rPr>
            </w:pPr>
            <w:r>
              <w:rPr>
                <w:rFonts w:hint="eastAsia"/>
                <w:color w:val="auto"/>
                <w:sz w:val="21"/>
                <w:szCs w:val="21"/>
                <w:highlight w:val="none"/>
              </w:rPr>
              <w:t>负偏离6项及以上的视为采购人不能接受的附加条件。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4</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sz w:val="21"/>
                <w:szCs w:val="21"/>
                <w:highlight w:val="none"/>
              </w:rPr>
            </w:pP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3</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sz w:val="21"/>
                <w:szCs w:val="21"/>
                <w:highlight w:val="none"/>
              </w:rPr>
            </w:pPr>
          </w:p>
        </w:tc>
        <w:tc>
          <w:tcPr>
            <w:tcW w:w="682" w:type="dxa"/>
            <w:vAlign w:val="center"/>
          </w:tcPr>
          <w:p>
            <w:pPr>
              <w:adjustRightInd w:val="0"/>
              <w:snapToGrid w:val="0"/>
              <w:spacing w:line="288" w:lineRule="auto"/>
              <w:jc w:val="center"/>
              <w:rPr>
                <w:rFonts w:hint="eastAsia"/>
                <w:b/>
                <w:bCs/>
                <w:color w:val="auto"/>
                <w:sz w:val="21"/>
                <w:szCs w:val="21"/>
                <w:highlight w:val="none"/>
              </w:rPr>
            </w:pPr>
            <w:r>
              <w:rPr>
                <w:b/>
                <w:bCs/>
                <w:color w:val="auto"/>
                <w:sz w:val="21"/>
                <w:szCs w:val="21"/>
                <w:highlight w:val="none"/>
              </w:rPr>
              <w:t>3</w:t>
            </w:r>
          </w:p>
        </w:tc>
        <w:tc>
          <w:tcPr>
            <w:tcW w:w="6929" w:type="dxa"/>
          </w:tcPr>
          <w:p>
            <w:pPr>
              <w:adjustRightInd w:val="0"/>
              <w:snapToGrid w:val="0"/>
              <w:spacing w:line="288" w:lineRule="auto"/>
              <w:rPr>
                <w:rFonts w:hint="eastAsia"/>
                <w:color w:val="auto"/>
                <w:sz w:val="21"/>
                <w:szCs w:val="21"/>
                <w:highlight w:val="none"/>
              </w:rPr>
            </w:pPr>
            <w:r>
              <w:rPr>
                <w:rFonts w:hint="eastAsia"/>
                <w:color w:val="auto"/>
                <w:sz w:val="21"/>
                <w:szCs w:val="21"/>
                <w:highlight w:val="none"/>
              </w:rPr>
              <w:t>响应主要设备的配套兼容性。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sz w:val="21"/>
                <w:szCs w:val="21"/>
                <w:highlight w:val="none"/>
              </w:rPr>
            </w:pPr>
          </w:p>
        </w:tc>
        <w:tc>
          <w:tcPr>
            <w:tcW w:w="682" w:type="dxa"/>
            <w:vAlign w:val="center"/>
          </w:tcPr>
          <w:p>
            <w:pPr>
              <w:adjustRightInd w:val="0"/>
              <w:snapToGrid w:val="0"/>
              <w:spacing w:line="288" w:lineRule="auto"/>
              <w:jc w:val="center"/>
              <w:rPr>
                <w:rFonts w:hint="eastAsia"/>
                <w:b/>
                <w:bCs/>
                <w:color w:val="auto"/>
                <w:sz w:val="21"/>
                <w:szCs w:val="21"/>
                <w:highlight w:val="none"/>
              </w:rPr>
            </w:pPr>
            <w:r>
              <w:rPr>
                <w:rFonts w:hint="eastAsia"/>
                <w:b/>
                <w:bCs/>
                <w:color w:val="auto"/>
                <w:sz w:val="21"/>
                <w:szCs w:val="21"/>
                <w:highlight w:val="none"/>
              </w:rPr>
              <w:t>2</w:t>
            </w:r>
          </w:p>
        </w:tc>
        <w:tc>
          <w:tcPr>
            <w:tcW w:w="6929" w:type="dxa"/>
          </w:tcPr>
          <w:p>
            <w:pPr>
              <w:adjustRightInd w:val="0"/>
              <w:snapToGrid w:val="0"/>
              <w:spacing w:line="288" w:lineRule="auto"/>
              <w:rPr>
                <w:rFonts w:hint="eastAsia"/>
                <w:color w:val="auto"/>
                <w:sz w:val="21"/>
                <w:szCs w:val="21"/>
                <w:highlight w:val="none"/>
              </w:rPr>
            </w:pPr>
            <w:r>
              <w:rPr>
                <w:rFonts w:hint="eastAsia"/>
                <w:color w:val="auto"/>
                <w:sz w:val="21"/>
                <w:szCs w:val="21"/>
                <w:highlight w:val="none"/>
              </w:rPr>
              <w:t>响应产品具有软件著作权登记证书</w:t>
            </w:r>
            <w:r>
              <w:rPr>
                <w:rFonts w:hint="eastAsia"/>
                <w:color w:val="auto"/>
                <w:sz w:val="21"/>
                <w:szCs w:val="21"/>
                <w:highlight w:val="none"/>
                <w:lang w:val="en-US" w:eastAsia="zh-CN"/>
              </w:rPr>
              <w:t>的，得2分（提供证书扫描件，不提供不得分）</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w:t>
            </w:r>
            <w:r>
              <w:rPr>
                <w:rFonts w:hint="eastAsia"/>
                <w:color w:val="auto"/>
                <w:sz w:val="21"/>
                <w:szCs w:val="21"/>
                <w:highlight w:val="none"/>
                <w:lang w:val="en-US" w:eastAsia="zh-CN"/>
              </w:rPr>
              <w:t>情况</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rFonts w:hint="eastAsia"/>
                <w:b/>
                <w:bCs/>
                <w:color w:val="auto"/>
                <w:sz w:val="21"/>
                <w:szCs w:val="21"/>
                <w:highlight w:val="none"/>
              </w:rPr>
            </w:pP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6929" w:type="dxa"/>
          </w:tcPr>
          <w:p>
            <w:pPr>
              <w:adjustRightInd w:val="0"/>
              <w:snapToGrid w:val="0"/>
              <w:spacing w:line="288" w:lineRule="auto"/>
              <w:rPr>
                <w:rFonts w:hint="eastAsia"/>
                <w:color w:val="auto"/>
                <w:sz w:val="21"/>
                <w:szCs w:val="21"/>
                <w:highlight w:val="none"/>
              </w:rPr>
            </w:pPr>
            <w:r>
              <w:rPr>
                <w:rFonts w:hint="eastAsia" w:cs="Times New Roman"/>
                <w:b w:val="0"/>
                <w:bCs w:val="0"/>
                <w:color w:val="auto"/>
                <w:spacing w:val="-6"/>
                <w:sz w:val="21"/>
                <w:szCs w:val="21"/>
                <w:highlight w:val="none"/>
              </w:rPr>
              <w:t>校级超算平台硬件搬迁及软件调试服务方案</w:t>
            </w:r>
            <w:r>
              <w:rPr>
                <w:rFonts w:hint="eastAsia" w:cs="Times New Roman"/>
                <w:b w:val="0"/>
                <w:bCs w:val="0"/>
                <w:color w:val="auto"/>
                <w:spacing w:val="-6"/>
                <w:sz w:val="21"/>
                <w:szCs w:val="21"/>
                <w:highlight w:val="none"/>
                <w:lang w:val="en-US" w:eastAsia="zh-CN"/>
              </w:rPr>
              <w:t>情况</w:t>
            </w:r>
            <w:r>
              <w:rPr>
                <w:rFonts w:hint="eastAsia" w:cs="Times New Roman"/>
                <w:b w:val="0"/>
                <w:bCs w:val="0"/>
                <w:color w:val="auto"/>
                <w:spacing w:val="-6"/>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rFonts w:hint="eastAsia"/>
                <w:b/>
                <w:bCs/>
                <w:color w:val="auto"/>
                <w:sz w:val="21"/>
                <w:szCs w:val="21"/>
                <w:highlight w:val="none"/>
              </w:rPr>
            </w:pP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6929" w:type="dxa"/>
          </w:tcPr>
          <w:p>
            <w:pPr>
              <w:adjustRightInd w:val="0"/>
              <w:snapToGrid w:val="0"/>
              <w:spacing w:line="288" w:lineRule="auto"/>
              <w:rPr>
                <w:rFonts w:hint="eastAsia"/>
                <w:color w:val="auto"/>
                <w:sz w:val="21"/>
                <w:szCs w:val="21"/>
                <w:highlight w:val="none"/>
              </w:rPr>
            </w:pPr>
            <w:r>
              <w:rPr>
                <w:rFonts w:hint="eastAsia"/>
                <w:color w:val="auto"/>
                <w:sz w:val="21"/>
                <w:szCs w:val="21"/>
                <w:highlight w:val="none"/>
              </w:rPr>
              <w:t>针对本项目的驻点服务方案，人员数量及年限</w:t>
            </w:r>
            <w:r>
              <w:rPr>
                <w:rFonts w:hint="eastAsia"/>
                <w:color w:val="auto"/>
                <w:sz w:val="21"/>
                <w:szCs w:val="21"/>
                <w:highlight w:val="none"/>
                <w:lang w:eastAsia="zh-CN"/>
              </w:rPr>
              <w:t>、</w:t>
            </w:r>
            <w:r>
              <w:rPr>
                <w:rFonts w:hint="eastAsia"/>
                <w:color w:val="auto"/>
                <w:sz w:val="21"/>
                <w:szCs w:val="21"/>
                <w:highlight w:val="none"/>
              </w:rPr>
              <w:t>综合素质情况。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服务支持和服务保障，培训计划内容、培训范围，实施方案。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根据《政府采购促进中小企业发展管理办法》（财库〔2020〕46号）、《关于进一步加大政府采购支持中小企业力度的通知》（财库〔2022〕19号）、《浙江省财政厅关于进一步加大政府采购支持中小企业力度 助力扎实稳住经济的通知》（浙财采监[2022]8号）的规定，对符合规定的小微企业报价给予2</w:t>
      </w:r>
      <w:r>
        <w:rPr>
          <w:b/>
          <w:color w:val="auto"/>
          <w:sz w:val="21"/>
          <w:szCs w:val="21"/>
          <w:highlight w:val="none"/>
        </w:rPr>
        <w:t>0</w:t>
      </w:r>
      <w:r>
        <w:rPr>
          <w:rFonts w:hint="eastAsia"/>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olor w:val="auto"/>
          <w:spacing w:val="-6"/>
          <w:sz w:val="21"/>
          <w:szCs w:val="21"/>
          <w:highlight w:val="none"/>
          <w:u w:val="single"/>
        </w:rPr>
        <w:t>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38" w:name="_Hlk81817373"/>
      <w:bookmarkStart w:id="39"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8"/>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39"/>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color w:val="auto"/>
          <w:spacing w:val="-6"/>
          <w:sz w:val="21"/>
          <w:szCs w:val="21"/>
          <w:highlight w:val="none"/>
        </w:rPr>
      </w:pPr>
      <w:r>
        <w:rPr>
          <w:rFonts w:hint="eastAsia"/>
          <w:color w:val="auto"/>
          <w:spacing w:val="-6"/>
          <w:sz w:val="21"/>
          <w:szCs w:val="21"/>
          <w:highlight w:val="none"/>
        </w:rPr>
        <w:t>采购编号：QSZB-Z(H)-B22501(CS)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2022</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机房专用空调等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1.交货时间：合同签订之日起60日内交付并安装完毕。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合同经三方法定代表人或授权代表签字并加盖单位公章后生效。</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本合同未尽事宜，遵照《民法典》有关条文执行。</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本合同一式五份，乙方、采购代理机构各执壹份，甲方执叁份。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0"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1"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4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42" w:name="OLE_LINK14"/>
      <w:bookmarkStart w:id="43" w:name="OLE_LINK13"/>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42"/>
      <w:bookmarkEnd w:id="43"/>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）2021年12月（含）以后任意一月供应商授权代表社保缴纳证明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4"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4"/>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5" w:name="_Hlk94097338"/>
      <w:r>
        <w:rPr>
          <w:rFonts w:hint="eastAsia"/>
          <w:b/>
          <w:bCs/>
          <w:color w:val="auto"/>
          <w:sz w:val="21"/>
          <w:szCs w:val="21"/>
          <w:highlight w:val="none"/>
        </w:rPr>
        <w:t>资格审查要求的资格证明材料(均需加盖公章)</w:t>
      </w:r>
    </w:p>
    <w:bookmarkEnd w:id="45"/>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项目名称：机房专用空调等</w:t>
      </w:r>
    </w:p>
    <w:p>
      <w:pPr>
        <w:adjustRightInd w:val="0"/>
        <w:snapToGrid w:val="0"/>
        <w:spacing w:line="288" w:lineRule="auto"/>
        <w:rPr>
          <w:color w:val="auto"/>
          <w:sz w:val="21"/>
          <w:szCs w:val="21"/>
          <w:highlight w:val="none"/>
        </w:rPr>
      </w:pPr>
      <w:r>
        <w:rPr>
          <w:rFonts w:hint="eastAsia"/>
          <w:color w:val="auto"/>
          <w:sz w:val="21"/>
          <w:szCs w:val="21"/>
          <w:highlight w:val="none"/>
        </w:rPr>
        <w:t>项目编号：QSZB-Z(H)-B22501(CS)</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cs="Times New Roman"/>
                <w:b/>
                <w:color w:val="auto"/>
                <w:spacing w:val="-6"/>
                <w:sz w:val="21"/>
                <w:szCs w:val="21"/>
                <w:highlight w:val="none"/>
              </w:rPr>
              <w:t>说明：采购人将以合同形式有偿取得货物或服务，不接受供应商给予的赠品、回扣或者与采购无关的其他商品、服务。</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（2）</w:t>
      </w: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1. （标的名称）</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2. （标的名称）</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6"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6"/>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（3）属于监狱企业的证明文件（若属于监狱企业）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（4）残疾人福利性单位声明函（若属于残疾人福利性单位）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杭州电子科技大学机房专用空调等</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：QSZB-Z(H)-B22501(CS)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致：杭州电子科技大学、浙江求是招标代理有限公司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杭州电子科技大学机房专用空调等标项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▲供应商授权代表必须为供应商本单位在职职工，并提供2021</w:t>
      </w:r>
      <w:r>
        <w:rPr>
          <w:color w:val="auto"/>
          <w:sz w:val="21"/>
          <w:szCs w:val="21"/>
          <w:highlight w:val="none"/>
          <w:u w:val="single"/>
        </w:rPr>
        <w:t>年12月（含）以后任意一月社保缴纳证明</w:t>
      </w:r>
      <w:r>
        <w:rPr>
          <w:rFonts w:hint="eastAsia"/>
          <w:color w:val="auto"/>
          <w:sz w:val="21"/>
          <w:szCs w:val="21"/>
          <w:highlight w:val="none"/>
          <w:u w:val="single"/>
        </w:rPr>
        <w:t>。</w:t>
      </w:r>
    </w:p>
    <w:p>
      <w:pPr>
        <w:adjustRightInd w:val="0"/>
        <w:snapToGrid w:val="0"/>
        <w:spacing w:line="288" w:lineRule="auto"/>
        <w:rPr>
          <w:b/>
          <w:bCs/>
          <w:color w:val="auto"/>
          <w:sz w:val="21"/>
          <w:szCs w:val="21"/>
          <w:highlight w:val="none"/>
        </w:rPr>
      </w:pPr>
    </w:p>
    <w:p>
      <w:pPr>
        <w:adjustRightInd w:val="0"/>
        <w:snapToGrid w:val="0"/>
        <w:spacing w:line="288" w:lineRule="auto"/>
        <w:rPr>
          <w:color w:val="auto"/>
          <w:sz w:val="21"/>
          <w:szCs w:val="21"/>
          <w:highlight w:val="none"/>
        </w:rPr>
      </w:pPr>
      <w:r>
        <w:rPr>
          <w:rFonts w:hint="eastAsia"/>
          <w:b/>
          <w:bCs/>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法定代表人身份证明：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授权代表身份证明：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）2021年12月（含）以后任意一月的供应商授权代表社保缴纳证明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项目名称：机房专用空调等</w:t>
      </w:r>
    </w:p>
    <w:p>
      <w:pPr>
        <w:adjustRightInd w:val="0"/>
        <w:snapToGrid w:val="0"/>
        <w:spacing w:line="288" w:lineRule="auto"/>
        <w:rPr>
          <w:color w:val="auto"/>
          <w:sz w:val="21"/>
          <w:szCs w:val="21"/>
          <w:highlight w:val="none"/>
        </w:rPr>
      </w:pPr>
      <w:r>
        <w:rPr>
          <w:rFonts w:hint="eastAsia"/>
          <w:color w:val="auto"/>
          <w:sz w:val="21"/>
          <w:szCs w:val="21"/>
          <w:highlight w:val="none"/>
        </w:rPr>
        <w:t>项目编号：QSZB-Z(H)-B22501(CS)</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0"/>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b/>
          <w:color w:val="auto"/>
          <w:spacing w:val="-6"/>
          <w:sz w:val="21"/>
          <w:szCs w:val="21"/>
          <w:highlight w:val="none"/>
        </w:rPr>
      </w:pPr>
      <w:bookmarkStart w:id="47" w:name="_Hlk71885757"/>
      <w:r>
        <w:rPr>
          <w:rFonts w:hint="eastAsia"/>
          <w:b/>
          <w:color w:val="auto"/>
          <w:spacing w:val="-6"/>
          <w:sz w:val="21"/>
          <w:szCs w:val="21"/>
          <w:highlight w:val="none"/>
        </w:rPr>
        <w:t>（6）技术方案：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bookmarkEnd w:id="47"/>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5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311C"/>
    <w:rsid w:val="000B6DC3"/>
    <w:rsid w:val="000B7BB1"/>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1CC"/>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0CF6"/>
    <w:rsid w:val="001E505A"/>
    <w:rsid w:val="001F4C52"/>
    <w:rsid w:val="001F5B84"/>
    <w:rsid w:val="00203B7E"/>
    <w:rsid w:val="0020567E"/>
    <w:rsid w:val="00207647"/>
    <w:rsid w:val="00223344"/>
    <w:rsid w:val="002244D1"/>
    <w:rsid w:val="0022560D"/>
    <w:rsid w:val="00236087"/>
    <w:rsid w:val="002365FC"/>
    <w:rsid w:val="00240352"/>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5A9F"/>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08C6"/>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4449"/>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94230"/>
    <w:rsid w:val="008A34A6"/>
    <w:rsid w:val="008B218D"/>
    <w:rsid w:val="008B6837"/>
    <w:rsid w:val="008B71DF"/>
    <w:rsid w:val="008C688F"/>
    <w:rsid w:val="008D5940"/>
    <w:rsid w:val="008D737F"/>
    <w:rsid w:val="008D741F"/>
    <w:rsid w:val="008E0CE8"/>
    <w:rsid w:val="008E337A"/>
    <w:rsid w:val="008E4BFF"/>
    <w:rsid w:val="008E7DC9"/>
    <w:rsid w:val="008F0EB7"/>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146C"/>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92364"/>
    <w:rsid w:val="00CA6274"/>
    <w:rsid w:val="00CA65D5"/>
    <w:rsid w:val="00CA68BB"/>
    <w:rsid w:val="00CA714D"/>
    <w:rsid w:val="00CB0955"/>
    <w:rsid w:val="00CB430B"/>
    <w:rsid w:val="00CC137F"/>
    <w:rsid w:val="00CC4BB4"/>
    <w:rsid w:val="00CD13BC"/>
    <w:rsid w:val="00CD43DF"/>
    <w:rsid w:val="00CD7BE2"/>
    <w:rsid w:val="00CE2B63"/>
    <w:rsid w:val="00CE42A3"/>
    <w:rsid w:val="00CE4F0E"/>
    <w:rsid w:val="00CF0526"/>
    <w:rsid w:val="00CF323A"/>
    <w:rsid w:val="00CF3679"/>
    <w:rsid w:val="00D1097C"/>
    <w:rsid w:val="00D116CB"/>
    <w:rsid w:val="00D1385F"/>
    <w:rsid w:val="00D14D9B"/>
    <w:rsid w:val="00D150C5"/>
    <w:rsid w:val="00D15194"/>
    <w:rsid w:val="00D15DBD"/>
    <w:rsid w:val="00D15F6A"/>
    <w:rsid w:val="00D24E07"/>
    <w:rsid w:val="00D27DC0"/>
    <w:rsid w:val="00D32C35"/>
    <w:rsid w:val="00D3372B"/>
    <w:rsid w:val="00D358FB"/>
    <w:rsid w:val="00D3642D"/>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075"/>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8683C"/>
    <w:rsid w:val="00E9083B"/>
    <w:rsid w:val="00E92EC6"/>
    <w:rsid w:val="00E9327B"/>
    <w:rsid w:val="00E97A1F"/>
    <w:rsid w:val="00EA2CC6"/>
    <w:rsid w:val="00EA7038"/>
    <w:rsid w:val="00EB6F70"/>
    <w:rsid w:val="00EC0E91"/>
    <w:rsid w:val="00EC2506"/>
    <w:rsid w:val="00EC5481"/>
    <w:rsid w:val="00ED3169"/>
    <w:rsid w:val="00ED52F0"/>
    <w:rsid w:val="00ED5C3B"/>
    <w:rsid w:val="00ED5D79"/>
    <w:rsid w:val="00EE0537"/>
    <w:rsid w:val="00EE2A48"/>
    <w:rsid w:val="00EF0C12"/>
    <w:rsid w:val="00F018F6"/>
    <w:rsid w:val="00F02D14"/>
    <w:rsid w:val="00F04D51"/>
    <w:rsid w:val="00F05A5D"/>
    <w:rsid w:val="00F0780F"/>
    <w:rsid w:val="00F116E5"/>
    <w:rsid w:val="00F12344"/>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4284813"/>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52C2"/>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172A9F"/>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EB1F71"/>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24687D"/>
    <w:rsid w:val="7C750E75"/>
    <w:rsid w:val="7CA41621"/>
    <w:rsid w:val="7CA51CE8"/>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link w:val="17"/>
    <w:qFormat/>
    <w:uiPriority w:val="0"/>
    <w:pPr>
      <w:spacing w:line="200" w:lineRule="atLeast"/>
      <w:ind w:firstLine="301"/>
    </w:pPr>
    <w:rPr>
      <w:rFonts w:hAnsi="Courier New" w:cs="Times New Roman"/>
      <w:spacing w:val="-4"/>
      <w:sz w:val="18"/>
      <w:szCs w:val="20"/>
    </w:rPr>
  </w:style>
  <w:style w:type="paragraph" w:styleId="3">
    <w:name w:val="annotation text"/>
    <w:basedOn w:val="1"/>
    <w:link w:val="16"/>
    <w:unhideWhenUsed/>
    <w:qFormat/>
    <w:uiPriority w:val="99"/>
    <w:pPr>
      <w:jc w:val="left"/>
    </w:pPr>
    <w:rPr>
      <w:rFonts w:ascii="Times New Roman" w:hAnsi="Times New Roman" w:cs="Times New Roman"/>
      <w:sz w:val="28"/>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3"/>
    <w:next w:val="3"/>
    <w:link w:val="25"/>
    <w:semiHidden/>
    <w:unhideWhenUsed/>
    <w:qFormat/>
    <w:uiPriority w:val="0"/>
    <w:rPr>
      <w:rFonts w:ascii="宋体" w:hAnsi="宋体" w:cs="宋体"/>
      <w:b/>
      <w:bCs/>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批注框文本 字符"/>
    <w:basedOn w:val="12"/>
    <w:link w:val="5"/>
    <w:qFormat/>
    <w:uiPriority w:val="0"/>
    <w:rPr>
      <w:rFonts w:ascii="宋体" w:hAnsi="宋体" w:cs="宋体"/>
      <w:kern w:val="2"/>
      <w:sz w:val="18"/>
      <w:szCs w:val="18"/>
    </w:rPr>
  </w:style>
  <w:style w:type="character" w:customStyle="1" w:styleId="16">
    <w:name w:val="批注文字 字符"/>
    <w:basedOn w:val="12"/>
    <w:link w:val="3"/>
    <w:qFormat/>
    <w:uiPriority w:val="99"/>
    <w:rPr>
      <w:kern w:val="2"/>
      <w:sz w:val="28"/>
      <w:szCs w:val="24"/>
    </w:rPr>
  </w:style>
  <w:style w:type="character" w:customStyle="1" w:styleId="17">
    <w:name w:val="正文文本缩进 字符1"/>
    <w:link w:val="2"/>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页脚 字符"/>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纯文本 字符1"/>
    <w:link w:val="4"/>
    <w:qFormat/>
    <w:uiPriority w:val="99"/>
    <w:rPr>
      <w:rFonts w:ascii="宋体" w:hAnsi="Courier New" w:eastAsiaTheme="minorEastAsia" w:cstheme="minorBidi"/>
      <w:kern w:val="2"/>
      <w:sz w:val="24"/>
      <w:szCs w:val="24"/>
    </w:rPr>
  </w:style>
  <w:style w:type="character" w:customStyle="1" w:styleId="25">
    <w:name w:val="批注主题 字符"/>
    <w:basedOn w:val="16"/>
    <w:link w:val="9"/>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53</Pages>
  <Words>5353</Words>
  <Characters>30513</Characters>
  <Lines>254</Lines>
  <Paragraphs>71</Paragraphs>
  <TotalTime>8</TotalTime>
  <ScaleCrop>false</ScaleCrop>
  <LinksUpToDate>false</LinksUpToDate>
  <CharactersWithSpaces>35795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2022-11-17T03:21:00Z</dcterms:created>
  <dc:creator>Administrator</dc:creator>
  <cp:lastModifiedBy>浙江求是招标代理有限公司</cp:lastModifiedBy>
  <cp:lastPrinted>2020-04-01T05:56:00Z</cp:lastPrinted>
  <dcterms:modified xsi:type="dcterms:W3CDTF">2022-11-22T07:21:32Z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