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numPr>
                <w:ilvl w:val="0"/>
                <w:numId w:val="1"/>
              </w:numPr>
              <w:autoSpaceDE w:val="0"/>
              <w:autoSpaceDN w:val="0"/>
              <w:adjustRightInd w:val="0"/>
              <w:spacing w:line="360" w:lineRule="auto"/>
              <w:rPr>
                <w:rFonts w:hint="eastAsia" w:ascii="宋体" w:hAnsi="宋体" w:cs="宋体"/>
                <w:b/>
                <w:bCs/>
                <w:color w:val="auto"/>
                <w:sz w:val="21"/>
                <w:szCs w:val="21"/>
              </w:rPr>
            </w:pPr>
            <w:r>
              <w:rPr>
                <w:rFonts w:hint="eastAsia" w:hAnsi="宋体" w:cs="宋体"/>
                <w:b/>
                <w:bCs/>
                <w:color w:val="auto"/>
                <w:sz w:val="21"/>
                <w:szCs w:val="21"/>
              </w:rPr>
              <w:t>工程概</w:t>
            </w:r>
            <w:r>
              <w:rPr>
                <w:rFonts w:hint="eastAsia" w:ascii="宋体" w:hAnsi="宋体" w:cs="宋体"/>
                <w:b/>
                <w:bCs/>
                <w:color w:val="auto"/>
                <w:sz w:val="21"/>
                <w:szCs w:val="21"/>
              </w:rPr>
              <w:t>况：</w:t>
            </w:r>
          </w:p>
          <w:p>
            <w:pPr>
              <w:topLinePunct/>
              <w:adjustRightInd w:val="0"/>
              <w:snapToGrid w:val="0"/>
              <w:spacing w:line="360" w:lineRule="auto"/>
              <w:ind w:firstLine="420" w:firstLineChars="200"/>
              <w:jc w:val="left"/>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rPr>
              <w:t>本工程</w:t>
            </w:r>
            <w:r>
              <w:rPr>
                <w:rFonts w:hint="eastAsia" w:ascii="宋体" w:hAnsi="宋体" w:eastAsia="宋体" w:cs="宋体"/>
                <w:sz w:val="21"/>
                <w:szCs w:val="21"/>
                <w:highlight w:val="none"/>
                <w:lang w:val="en-US" w:eastAsia="zh-CN"/>
              </w:rPr>
              <w:t>名称</w:t>
            </w:r>
            <w:r>
              <w:rPr>
                <w:rFonts w:hint="eastAsia" w:ascii="宋体" w:hAnsi="宋体" w:eastAsia="宋体" w:cs="宋体"/>
                <w:sz w:val="21"/>
                <w:szCs w:val="21"/>
                <w:highlight w:val="none"/>
              </w:rPr>
              <w:t>为杭州电子科技大学东岳校区礼贤楼维修改造工程</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位于杭州市西湖区，</w:t>
            </w:r>
            <w:r>
              <w:rPr>
                <w:rFonts w:hint="eastAsia" w:ascii="宋体" w:hAnsi="宋体" w:cs="宋体"/>
                <w:sz w:val="21"/>
                <w:szCs w:val="21"/>
                <w:highlight w:val="none"/>
                <w:lang w:val="en-US" w:eastAsia="zh-CN"/>
              </w:rPr>
              <w:t>本次改造</w:t>
            </w:r>
            <w:r>
              <w:rPr>
                <w:rFonts w:hint="eastAsia" w:ascii="宋体" w:hAnsi="宋体" w:eastAsia="宋体" w:cs="宋体"/>
                <w:sz w:val="21"/>
                <w:szCs w:val="21"/>
                <w:highlight w:val="none"/>
                <w:lang w:val="en-US" w:eastAsia="zh-CN"/>
              </w:rPr>
              <w:t>建筑面积</w:t>
            </w:r>
            <w:r>
              <w:rPr>
                <w:rFonts w:hint="eastAsia" w:ascii="宋体" w:hAnsi="宋体" w:cs="宋体"/>
                <w:sz w:val="21"/>
                <w:szCs w:val="21"/>
                <w:highlight w:val="none"/>
                <w:lang w:val="en-US" w:eastAsia="zh-CN"/>
              </w:rPr>
              <w:t>854</w:t>
            </w:r>
            <w:r>
              <w:rPr>
                <w:rFonts w:hint="eastAsia" w:ascii="宋体" w:hAnsi="宋体" w:eastAsia="宋体" w:cs="宋体"/>
                <w:sz w:val="21"/>
                <w:szCs w:val="21"/>
                <w:highlight w:val="none"/>
                <w:lang w:val="en-US" w:eastAsia="zh-CN"/>
              </w:rPr>
              <w:t>m2。</w:t>
            </w:r>
          </w:p>
          <w:p>
            <w:pPr>
              <w:numPr>
                <w:ilvl w:val="0"/>
                <w:numId w:val="1"/>
              </w:numPr>
              <w:autoSpaceDE w:val="0"/>
              <w:autoSpaceDN w:val="0"/>
              <w:adjustRightInd w:val="0"/>
              <w:spacing w:line="360" w:lineRule="auto"/>
              <w:ind w:left="0" w:leftChars="0" w:firstLine="0" w:firstLineChars="0"/>
              <w:rPr>
                <w:rFonts w:hint="eastAsia" w:cs="宋体"/>
                <w:color w:val="auto"/>
                <w:sz w:val="21"/>
                <w:szCs w:val="21"/>
              </w:rPr>
            </w:pPr>
            <w:r>
              <w:rPr>
                <w:rFonts w:hint="eastAsia" w:ascii="宋体" w:hAnsi="宋体" w:cs="宋体"/>
                <w:b/>
                <w:bCs/>
                <w:color w:val="auto"/>
                <w:sz w:val="21"/>
                <w:szCs w:val="21"/>
              </w:rPr>
              <w:t>工程招标范围：</w:t>
            </w:r>
            <w:r>
              <w:rPr>
                <w:rFonts w:hint="eastAsia" w:ascii="宋体" w:hAnsi="宋体" w:eastAsia="宋体" w:cs="宋体"/>
                <w:sz w:val="21"/>
                <w:szCs w:val="21"/>
                <w:highlight w:val="none"/>
              </w:rPr>
              <w:t>详见招标文件。</w:t>
            </w:r>
          </w:p>
          <w:p>
            <w:pPr>
              <w:topLinePunct/>
              <w:adjustRightInd w:val="0"/>
              <w:snapToGrid w:val="0"/>
              <w:spacing w:line="360" w:lineRule="auto"/>
              <w:ind w:firstLine="308" w:firstLineChars="147"/>
              <w:jc w:val="left"/>
              <w:rPr>
                <w:rFonts w:hint="eastAsia" w:ascii="宋体" w:hAnsi="宋体" w:eastAsia="宋体" w:cs="宋体"/>
                <w:sz w:val="21"/>
                <w:szCs w:val="21"/>
                <w:highlight w:val="none"/>
              </w:rPr>
            </w:pPr>
            <w:r>
              <w:rPr>
                <w:rFonts w:hint="eastAsia" w:ascii="宋体" w:hAnsi="宋体"/>
                <w:sz w:val="21"/>
                <w:szCs w:val="21"/>
                <w:lang w:val="en-US" w:eastAsia="zh-CN"/>
              </w:rPr>
              <w:t>主要</w:t>
            </w:r>
            <w:r>
              <w:rPr>
                <w:rFonts w:hint="eastAsia" w:hAnsi="宋体"/>
                <w:sz w:val="21"/>
                <w:szCs w:val="21"/>
                <w:lang w:val="en-US" w:eastAsia="zh-CN"/>
              </w:rPr>
              <w:t>包括1-5层卫生间改造，2-5层209、210、211、309、310、311、409、410、411、509、510、511教室改造，2-5层走廊开关灯具更换等</w:t>
            </w:r>
            <w:r>
              <w:rPr>
                <w:rFonts w:hint="eastAsia" w:ascii="宋体" w:hAnsi="宋体" w:eastAsia="宋体" w:cs="宋体"/>
                <w:sz w:val="21"/>
                <w:szCs w:val="21"/>
                <w:highlight w:val="none"/>
              </w:rPr>
              <w:t>。</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编制依据：</w:t>
            </w:r>
          </w:p>
          <w:p>
            <w:pPr>
              <w:autoSpaceDE w:val="0"/>
              <w:autoSpaceDN w:val="0"/>
              <w:adjustRightInd w:val="0"/>
              <w:spacing w:line="360" w:lineRule="auto"/>
              <w:ind w:firstLine="420"/>
              <w:rPr>
                <w:rFonts w:ascii="宋体" w:hAnsi="宋体" w:cs="宋体"/>
                <w:color w:val="auto"/>
                <w:sz w:val="21"/>
                <w:szCs w:val="21"/>
              </w:rPr>
            </w:pPr>
            <w:r>
              <w:rPr>
                <w:rFonts w:ascii="宋体" w:hAnsi="宋体" w:cs="宋体"/>
                <w:color w:val="auto"/>
                <w:sz w:val="21"/>
                <w:szCs w:val="21"/>
              </w:rPr>
              <w:t>1</w:t>
            </w:r>
            <w:r>
              <w:rPr>
                <w:rFonts w:hint="eastAsia" w:ascii="宋体" w:hAnsi="宋体" w:cs="宋体"/>
                <w:color w:val="auto"/>
                <w:sz w:val="21"/>
                <w:szCs w:val="21"/>
              </w:rPr>
              <w:t>.《建设工程工程量清单计价规范》（GB50500—2013）；</w:t>
            </w:r>
          </w:p>
          <w:p>
            <w:pPr>
              <w:autoSpaceDE w:val="0"/>
              <w:autoSpaceDN w:val="0"/>
              <w:adjustRightInd w:val="0"/>
              <w:spacing w:line="360" w:lineRule="auto"/>
              <w:ind w:firstLine="420"/>
              <w:rPr>
                <w:rFonts w:ascii="宋体" w:hAnsi="宋体" w:cs="宋体"/>
                <w:color w:val="auto"/>
                <w:sz w:val="21"/>
                <w:szCs w:val="21"/>
              </w:rPr>
            </w:pPr>
            <w:r>
              <w:rPr>
                <w:rFonts w:ascii="宋体" w:hAnsi="宋体" w:cs="宋体"/>
                <w:color w:val="auto"/>
                <w:sz w:val="21"/>
                <w:szCs w:val="21"/>
              </w:rPr>
              <w:t>2</w:t>
            </w:r>
            <w:r>
              <w:rPr>
                <w:rFonts w:hint="eastAsia" w:ascii="宋体" w:hAnsi="宋体" w:cs="宋体"/>
                <w:color w:val="auto"/>
                <w:sz w:val="21"/>
                <w:szCs w:val="21"/>
              </w:rPr>
              <w:t>.《房屋建筑与装饰工程工程量计算规范》（GB50854—2013）；</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3.《通用安装工程工程量计算规范》（GB50856—2013）；</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4．</w:t>
            </w:r>
            <w:r>
              <w:rPr>
                <w:rFonts w:hint="eastAsia" w:cs="宋体" w:asciiTheme="majorEastAsia" w:hAnsiTheme="majorEastAsia" w:eastAsiaTheme="majorEastAsia"/>
                <w:color w:val="auto"/>
                <w:sz w:val="21"/>
                <w:szCs w:val="21"/>
              </w:rPr>
              <w:t>《浙江省建设工程工程量清单计价指引》（2</w:t>
            </w:r>
            <w:r>
              <w:rPr>
                <w:rFonts w:cs="宋体" w:asciiTheme="majorEastAsia" w:hAnsiTheme="majorEastAsia" w:eastAsiaTheme="majorEastAsia"/>
                <w:color w:val="auto"/>
                <w:sz w:val="21"/>
                <w:szCs w:val="21"/>
              </w:rPr>
              <w:t>013</w:t>
            </w:r>
            <w:r>
              <w:rPr>
                <w:rFonts w:hint="eastAsia" w:cs="宋体" w:asciiTheme="majorEastAsia" w:hAnsiTheme="majorEastAsia" w:eastAsiaTheme="majorEastAsia"/>
                <w:color w:val="auto"/>
                <w:sz w:val="21"/>
                <w:szCs w:val="21"/>
              </w:rPr>
              <w:t>版）；</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5．《关于印发建设工程工程量计算规范（2013）浙江省补充规定的通知》（浙建站计﹝2013﹞63号）；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6．《杭州市建设工程工程量清单计价实施细则（201</w:t>
            </w:r>
            <w:r>
              <w:rPr>
                <w:rFonts w:ascii="宋体" w:hAnsi="宋体" w:cs="宋体"/>
                <w:color w:val="auto"/>
                <w:sz w:val="21"/>
                <w:szCs w:val="21"/>
              </w:rPr>
              <w:t>8</w:t>
            </w:r>
            <w:r>
              <w:rPr>
                <w:rFonts w:hint="eastAsia" w:ascii="宋体" w:hAnsi="宋体" w:cs="宋体"/>
                <w:color w:val="auto"/>
                <w:sz w:val="21"/>
                <w:szCs w:val="21"/>
              </w:rPr>
              <w:t>年修订）》；</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7．《浙江省建设工程计价规则》（2018版）；</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8.《关于增值税调整后我省建设工程计价依据增值税税率及有关计价调整的通知》（浙建建发[2019]92号 ）；</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9.《杭州市城乡建设委员会关于推进杭州市建筑施工领域安全生产责任保险工作的通知》（杭建工发[2021]384号）、《关于明确杭州市建筑施工领域安全生产责任保险费用计取的通知》（杭建招标造价中心[2021]84号）；</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10.《省建设厅关于调整建筑工程安全文明施工费的通知》（浙建建发[2022]37号）；</w:t>
            </w:r>
          </w:p>
          <w:p>
            <w:pPr>
              <w:autoSpaceDE w:val="0"/>
              <w:autoSpaceDN w:val="0"/>
              <w:adjustRightInd w:val="0"/>
              <w:spacing w:line="360" w:lineRule="auto"/>
              <w:ind w:firstLine="420"/>
              <w:rPr>
                <w:rFonts w:cs="宋体" w:asciiTheme="majorEastAsia" w:hAnsiTheme="majorEastAsia" w:eastAsiaTheme="majorEastAsia"/>
                <w:color w:val="auto"/>
                <w:sz w:val="21"/>
                <w:szCs w:val="21"/>
              </w:rPr>
            </w:pPr>
            <w:r>
              <w:rPr>
                <w:rFonts w:hint="eastAsia" w:cs="宋体" w:asciiTheme="majorEastAsia" w:hAnsiTheme="majorEastAsia" w:eastAsiaTheme="majorEastAsia"/>
                <w:color w:val="auto"/>
                <w:sz w:val="21"/>
                <w:szCs w:val="21"/>
              </w:rPr>
              <w:t>11.关于贯彻《省建设厅关于调整建筑工程安全文明施工费的通知》的通知（杭建市发[2022]54号）；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12．省、市建设行政主管部门以及工程造价管理机构颁发的相关计价办法和计价规定；</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13．其他与工程项目有关的规范、标准和技术资料；</w:t>
            </w:r>
          </w:p>
          <w:p>
            <w:pPr>
              <w:autoSpaceDE w:val="0"/>
              <w:autoSpaceDN w:val="0"/>
              <w:adjustRightInd w:val="0"/>
              <w:spacing w:line="360" w:lineRule="auto"/>
              <w:ind w:firstLine="1"/>
              <w:jc w:val="left"/>
              <w:rPr>
                <w:rFonts w:ascii="宋体" w:hAnsi="宋体" w:cs="宋体"/>
                <w:color w:val="auto"/>
                <w:sz w:val="21"/>
                <w:szCs w:val="21"/>
              </w:rPr>
            </w:pPr>
            <w:r>
              <w:rPr>
                <w:rFonts w:hint="eastAsia" w:ascii="宋体" w:hAnsi="宋体" w:cs="宋体"/>
                <w:color w:val="auto"/>
                <w:sz w:val="21"/>
                <w:szCs w:val="21"/>
              </w:rPr>
              <w:t>14．施工现场实际情况、工程特点、常规施工方案；</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15．业主提供的设计图纸。</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报价要求：</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1．工程量清单应与投标人须知，通用合同条款、专用合同条款、技术标准和要求及图纸等文件结合起来查阅与理解，并根据现场实际情况综合考虑报价；</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4</w:t>
            </w:r>
            <w:r>
              <w:rPr>
                <w:rFonts w:hint="eastAsia" w:hAnsi="宋体" w:cs="宋体"/>
                <w:color w:val="auto"/>
                <w:sz w:val="21"/>
                <w:szCs w:val="21"/>
              </w:rPr>
              <w:t>．安全文明施工基本费费率不得低于《浙江省建设工程计价规则》（2018版）规定的下限，按市区工程计取，其中疫情常态化防控及“智慧工地”费用计取按照：浙建建发[2022]37号文件执行，包含在安全文明施工费内，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机械费”，最低费率为：5.91%；</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机械费”，最低费率为：7.35%；</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5</w:t>
            </w:r>
            <w:r>
              <w:rPr>
                <w:rFonts w:hint="eastAsia" w:hAnsi="宋体" w:cs="宋体"/>
                <w:color w:val="auto"/>
                <w:sz w:val="21"/>
                <w:szCs w:val="21"/>
              </w:rPr>
              <w:t>．规费费率不得低于《浙江省建设工程计价规则》（</w:t>
            </w:r>
            <w:r>
              <w:rPr>
                <w:rFonts w:hAnsi="宋体" w:cs="宋体"/>
                <w:color w:val="auto"/>
                <w:sz w:val="21"/>
                <w:szCs w:val="21"/>
              </w:rPr>
              <w:t>201</w:t>
            </w:r>
            <w:r>
              <w:rPr>
                <w:rFonts w:hint="eastAsia" w:hAnsi="宋体" w:cs="宋体"/>
                <w:color w:val="auto"/>
                <w:sz w:val="21"/>
                <w:szCs w:val="21"/>
              </w:rPr>
              <w:t>8版）的30%，具体如下：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机械费”，最低费率为：8.38%；</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机械费”，最低费率为：9.19%；</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6</w:t>
            </w:r>
            <w:r>
              <w:rPr>
                <w:rFonts w:hint="eastAsia" w:hAnsi="宋体" w:cs="宋体"/>
                <w:color w:val="auto"/>
                <w:sz w:val="21"/>
                <w:szCs w:val="21"/>
              </w:rPr>
              <w:t>．根据杭建市发【2018】578号文规定，企业管理费报价不得低于省建设行政主管部门颁发的施工费用定额和相关取费计价文件规定的对应专业工程企业管理费弹性费率下限乘以20%的计算值。其中安责险计取按照：杭建工发][2021] 384号文件，杭建招标造价中心[2021]84号文件结合本项目实际情况，自行考虑，包含在企业管理费内。同时，投标人必须对企业管理费中所包含的现场临时宿舍空调设施、安全生产责任保险等费用，在相应的清单明细表中(表2-5)进行单独费用报价分析。具体如下：</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装饰工程：取费基数为“人工费</w:t>
            </w:r>
            <w:r>
              <w:rPr>
                <w:rFonts w:hAnsi="宋体" w:cs="宋体"/>
                <w:color w:val="auto"/>
                <w:sz w:val="21"/>
                <w:szCs w:val="21"/>
              </w:rPr>
              <w:t>+</w:t>
            </w:r>
            <w:r>
              <w:rPr>
                <w:rFonts w:hint="eastAsia" w:hAnsi="宋体" w:cs="宋体"/>
                <w:color w:val="auto"/>
                <w:sz w:val="21"/>
                <w:szCs w:val="21"/>
              </w:rPr>
              <w:t>机械费”，最低费率为：2.28%；</w:t>
            </w:r>
          </w:p>
          <w:p>
            <w:pPr>
              <w:pStyle w:val="2"/>
              <w:tabs>
                <w:tab w:val="left" w:pos="3330"/>
              </w:tabs>
              <w:spacing w:line="360" w:lineRule="auto"/>
              <w:ind w:firstLine="420" w:firstLineChars="200"/>
              <w:rPr>
                <w:rFonts w:hAnsi="宋体" w:cs="宋体"/>
                <w:color w:val="auto"/>
                <w:sz w:val="21"/>
                <w:szCs w:val="21"/>
              </w:rPr>
            </w:pPr>
            <w:r>
              <w:rPr>
                <w:rFonts w:hint="eastAsia" w:hAnsi="宋体" w:cs="宋体"/>
                <w:color w:val="auto"/>
                <w:sz w:val="21"/>
                <w:szCs w:val="21"/>
              </w:rPr>
              <w:t>安装工程：取费基数为“人工费</w:t>
            </w:r>
            <w:r>
              <w:rPr>
                <w:rFonts w:hAnsi="宋体" w:cs="宋体"/>
                <w:color w:val="auto"/>
                <w:sz w:val="21"/>
                <w:szCs w:val="21"/>
              </w:rPr>
              <w:t>+</w:t>
            </w:r>
            <w:r>
              <w:rPr>
                <w:rFonts w:hint="eastAsia" w:hAnsi="宋体" w:cs="宋体"/>
                <w:color w:val="auto"/>
                <w:sz w:val="21"/>
                <w:szCs w:val="21"/>
              </w:rPr>
              <w:t>机械费”，最低费率为：3.26%；</w:t>
            </w:r>
          </w:p>
          <w:p>
            <w:pPr>
              <w:pStyle w:val="2"/>
              <w:tabs>
                <w:tab w:val="left" w:pos="3330"/>
              </w:tabs>
              <w:spacing w:line="360" w:lineRule="auto"/>
              <w:ind w:firstLine="420" w:firstLineChars="200"/>
              <w:rPr>
                <w:rFonts w:hAnsi="宋体" w:cs="宋体"/>
                <w:color w:val="auto"/>
                <w:sz w:val="21"/>
                <w:szCs w:val="21"/>
              </w:rPr>
            </w:pPr>
            <w:r>
              <w:rPr>
                <w:rFonts w:hAnsi="宋体" w:cs="宋体"/>
                <w:color w:val="auto"/>
                <w:sz w:val="21"/>
                <w:szCs w:val="21"/>
              </w:rPr>
              <w:t>7</w:t>
            </w:r>
            <w:r>
              <w:rPr>
                <w:rFonts w:hint="eastAsia" w:hAnsi="宋体" w:cs="宋体"/>
                <w:color w:val="auto"/>
                <w:sz w:val="21"/>
                <w:szCs w:val="21"/>
              </w:rPr>
              <w:t>．税金应根据《浙江省建设工程计价规则》（2018版）的规定及浙建建发[2019]92号的相关规定以（税前工程造价）为取费基数, 取费费率为：9%。</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编制说明：</w:t>
            </w:r>
          </w:p>
          <w:p>
            <w:pPr>
              <w:pStyle w:val="2"/>
              <w:tabs>
                <w:tab w:val="left" w:pos="3330"/>
              </w:tabs>
              <w:spacing w:line="360" w:lineRule="auto"/>
              <w:ind w:firstLine="420" w:firstLineChars="200"/>
              <w:rPr>
                <w:rFonts w:hAnsi="宋体" w:cs="宋体"/>
                <w:color w:val="auto"/>
                <w:sz w:val="21"/>
                <w:szCs w:val="21"/>
              </w:rPr>
            </w:pPr>
            <w:bookmarkStart w:id="0" w:name="_GoBack"/>
            <w:r>
              <w:rPr>
                <w:rFonts w:hint="eastAsia" w:hAnsi="宋体" w:cs="宋体"/>
                <w:color w:val="auto"/>
                <w:sz w:val="21"/>
                <w:szCs w:val="21"/>
                <w:lang w:val="en-US" w:eastAsia="zh-CN"/>
              </w:rPr>
              <w:t>根据建设单位要求，对工程量清单内容做如下说明：</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卫生间原地面、墙面、顶面拆除，新做墙砖、地砖、吊顶、隔断、洗手台；</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rPr>
              <w:t>卫生间地面、墙面防水均按1.5mm厚JS</w:t>
            </w:r>
            <w:r>
              <w:rPr>
                <w:rFonts w:hint="eastAsia" w:hAnsi="宋体" w:cs="宋体"/>
                <w:color w:val="auto"/>
                <w:sz w:val="21"/>
                <w:szCs w:val="21"/>
                <w:lang w:val="en-US" w:eastAsia="zh-CN"/>
              </w:rPr>
              <w:t>防水I型</w:t>
            </w:r>
            <w:r>
              <w:rPr>
                <w:rFonts w:hint="eastAsia" w:hAnsi="宋体" w:cs="宋体"/>
                <w:color w:val="auto"/>
                <w:sz w:val="21"/>
                <w:szCs w:val="21"/>
              </w:rPr>
              <w:t>计入，沿墙面翻高(台盆处上翻1m，其他上翻0.3m)，水口、穿管、转角处胎体加强，24小时养水试验 两次；</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教室209、210、211地面强化地板拆除；</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教室讲台处原地台或水泥砂浆地面拆除，新做现浇水磨石地面；</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教室窗套拆除，刷无机涂料，做石材窗台板；</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教室原门拆除，新做成品实木装饰门；</w:t>
            </w:r>
          </w:p>
          <w:p>
            <w:pPr>
              <w:pStyle w:val="2"/>
              <w:numPr>
                <w:ilvl w:val="0"/>
                <w:numId w:val="2"/>
              </w:numPr>
              <w:spacing w:line="360" w:lineRule="auto"/>
              <w:ind w:left="420" w:leftChars="0" w:hanging="5" w:firstLineChars="0"/>
              <w:rPr>
                <w:rFonts w:hint="eastAsia" w:hAnsi="宋体" w:cs="宋体"/>
                <w:color w:val="auto"/>
                <w:sz w:val="21"/>
                <w:szCs w:val="21"/>
              </w:rPr>
            </w:pPr>
            <w:r>
              <w:rPr>
                <w:rFonts w:hint="eastAsia" w:hAnsi="宋体" w:cs="宋体"/>
                <w:color w:val="auto"/>
                <w:sz w:val="21"/>
                <w:szCs w:val="21"/>
                <w:lang w:val="en-US" w:eastAsia="zh-CN"/>
              </w:rPr>
              <w:t>2层走廊210、211教室中间门洞封堵，按走廊整体风格恢复。</w:t>
            </w:r>
          </w:p>
          <w:bookmarkEnd w:id="0"/>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材料：</w:t>
            </w:r>
          </w:p>
          <w:p>
            <w:pPr>
              <w:spacing w:line="400" w:lineRule="exact"/>
              <w:ind w:firstLine="210" w:firstLineChars="100"/>
              <w:rPr>
                <w:rFonts w:ascii="宋体" w:hAnsi="宋体"/>
                <w:color w:val="auto"/>
                <w:sz w:val="21"/>
                <w:szCs w:val="21"/>
              </w:rPr>
            </w:pPr>
            <w:r>
              <w:rPr>
                <w:rFonts w:hint="eastAsia" w:ascii="宋体" w:hAnsi="宋体"/>
                <w:color w:val="auto"/>
                <w:sz w:val="21"/>
                <w:szCs w:val="21"/>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pPr>
              <w:spacing w:line="400" w:lineRule="exact"/>
              <w:ind w:firstLine="210" w:firstLineChars="100"/>
              <w:rPr>
                <w:rFonts w:ascii="宋体" w:hAnsi="宋体"/>
                <w:color w:val="auto"/>
                <w:sz w:val="21"/>
                <w:szCs w:val="21"/>
              </w:rPr>
            </w:pPr>
            <w:r>
              <w:rPr>
                <w:rFonts w:hint="eastAsia" w:ascii="宋体" w:hAnsi="宋体"/>
                <w:color w:val="auto"/>
                <w:sz w:val="21"/>
                <w:szCs w:val="21"/>
              </w:rPr>
              <w:t>（二）其他的设备、材料等采购：</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1、所有招标人未确定品牌厂家的材料必须采用信誉好、品牌好、知名度高、同等行业中规模中等以上的生产厂家的产品，产品必须满足国家质量标准，由投标人自行采购；</w:t>
            </w:r>
          </w:p>
          <w:p>
            <w:pPr>
              <w:spacing w:line="400" w:lineRule="exact"/>
              <w:ind w:firstLine="420" w:firstLineChars="200"/>
              <w:rPr>
                <w:rFonts w:ascii="宋体" w:hAnsi="宋体"/>
                <w:color w:val="auto"/>
                <w:sz w:val="21"/>
                <w:szCs w:val="21"/>
              </w:rPr>
            </w:pPr>
            <w:r>
              <w:rPr>
                <w:rFonts w:hint="eastAsia" w:ascii="宋体" w:hAnsi="宋体"/>
                <w:color w:val="auto"/>
                <w:sz w:val="21"/>
                <w:szCs w:val="21"/>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pPr>
              <w:autoSpaceDE w:val="0"/>
              <w:autoSpaceDN w:val="0"/>
              <w:adjustRightInd w:val="0"/>
              <w:spacing w:line="380" w:lineRule="exact"/>
              <w:ind w:firstLine="420" w:firstLineChars="200"/>
              <w:jc w:val="left"/>
              <w:rPr>
                <w:rFonts w:ascii="宋体" w:hAnsi="宋体" w:cs="宋体"/>
                <w:color w:val="auto"/>
                <w:kern w:val="0"/>
                <w:sz w:val="21"/>
                <w:szCs w:val="21"/>
                <w:lang w:val="zh-CN"/>
              </w:rPr>
            </w:pPr>
            <w:r>
              <w:rPr>
                <w:rFonts w:hint="eastAsia" w:ascii="宋体" w:hAnsi="宋体"/>
                <w:color w:val="auto"/>
                <w:sz w:val="21"/>
                <w:szCs w:val="21"/>
              </w:rPr>
              <w:t>3、招标人有权对材料品牌进行变更，投标人应服从并做好配合工作。</w:t>
            </w:r>
          </w:p>
          <w:p>
            <w:pPr>
              <w:numPr>
                <w:ilvl w:val="0"/>
                <w:numId w:val="1"/>
              </w:numPr>
              <w:autoSpaceDE w:val="0"/>
              <w:autoSpaceDN w:val="0"/>
              <w:adjustRightInd w:val="0"/>
              <w:spacing w:line="360" w:lineRule="auto"/>
              <w:rPr>
                <w:rFonts w:hint="eastAsia" w:hAnsi="宋体" w:cs="宋体"/>
                <w:b/>
                <w:bCs/>
                <w:color w:val="auto"/>
                <w:sz w:val="21"/>
                <w:szCs w:val="21"/>
              </w:rPr>
            </w:pPr>
            <w:r>
              <w:rPr>
                <w:rFonts w:hint="eastAsia" w:hAnsi="宋体" w:cs="宋体"/>
                <w:b/>
                <w:bCs/>
                <w:color w:val="auto"/>
                <w:sz w:val="21"/>
                <w:szCs w:val="21"/>
              </w:rPr>
              <w:t>其他说明：</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2.各投标单位需要在相应的子目中综合考虑费用；</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3.措施费中以“项”为单位措施项目均一次性包干，费用由各投标单位根据施工组织设计方案自行考虑报价，应考虑现场的各种风险因素；</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5.根据工程量清单报价原则“固定综合单价”，以“项”为单位的工程量清单项目综合单价为包干价，请投标单位根据项目实际情况合理报价；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7.分部分项工程量清单中的工程量是按实物净量计算，一切损耗均应在投标报价内；</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8.投标人应充分考虑周边建筑、道路和地下管线设施的保护费用，并考虑在总投标价中；</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 xml:space="preserve">9.本工程所有的材料的环保等级必须满足国家及地方标准，符合验收相关规范； </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10.投标人应充分考虑脚手架等技术措施，相应费用计入技术措施费中，并充分考虑报价风险，今后结算不进行调整；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11.各投标单位应根据现场实际情况自行考虑，包含施工范围内所有的原结构和建筑垃圾拆除及外运等,所有外运物弃置场地及运距由投标人自行综合考虑，相应费用均计入报价，今后不作调整；</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12.相关工艺施工前应做的基层清理工作应包含在投标报价中，清单特征描述中不再一一描述；</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13.本清单项目特征描述不完整时，投标单位应结合施工图及相关规范、规定等进行综合考虑；</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14.本工程按照《杭州市人民政府办公厅关于印发杭州市建设工程推广应用预拌砂浆管理办法的通知》（杭政办函【2011】32号文件）的要求使用预拌砂浆，投标人应将使用预拌砂浆的费用计入投标报价；</w:t>
            </w:r>
          </w:p>
          <w:p>
            <w:pPr>
              <w:autoSpaceDE w:val="0"/>
              <w:autoSpaceDN w:val="0"/>
              <w:adjustRightInd w:val="0"/>
              <w:spacing w:line="360" w:lineRule="auto"/>
              <w:ind w:firstLine="420"/>
              <w:rPr>
                <w:rFonts w:ascii="宋体" w:hAnsi="宋体" w:cs="宋体"/>
                <w:color w:val="auto"/>
                <w:sz w:val="21"/>
                <w:szCs w:val="21"/>
              </w:rPr>
            </w:pPr>
            <w:r>
              <w:rPr>
                <w:rFonts w:hint="eastAsia" w:ascii="宋体" w:hAnsi="宋体" w:cs="宋体"/>
                <w:color w:val="auto"/>
                <w:sz w:val="21"/>
                <w:szCs w:val="21"/>
              </w:rPr>
              <w:t>15.本工程砼按《杭州市商品混凝土管理办法 杭州市政府令第115号》文件要求使用商品混凝土。</w:t>
            </w:r>
          </w:p>
          <w:p>
            <w:pPr>
              <w:numPr>
                <w:ilvl w:val="0"/>
                <w:numId w:val="1"/>
              </w:numPr>
              <w:autoSpaceDE w:val="0"/>
              <w:autoSpaceDN w:val="0"/>
              <w:adjustRightInd w:val="0"/>
              <w:spacing w:line="360" w:lineRule="auto"/>
              <w:rPr>
                <w:rFonts w:hint="eastAsia" w:hAnsi="宋体" w:cs="宋体"/>
                <w:b/>
                <w:bCs/>
                <w:color w:val="auto"/>
                <w:sz w:val="21"/>
                <w:szCs w:val="21"/>
                <w:lang w:val="zh-CN"/>
              </w:rPr>
            </w:pPr>
            <w:r>
              <w:rPr>
                <w:rFonts w:hint="eastAsia" w:hAnsi="宋体" w:cs="宋体"/>
                <w:b/>
                <w:bCs/>
                <w:color w:val="auto"/>
                <w:sz w:val="21"/>
                <w:szCs w:val="21"/>
                <w:lang w:val="zh-CN"/>
              </w:rPr>
              <w:t>其他不详之处，详见国家及地方标准。</w:t>
            </w: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rFonts w:hint="eastAsia"/>
                <w:b/>
                <w:color w:val="auto"/>
                <w:kern w:val="1"/>
                <w:sz w:val="21"/>
                <w:szCs w:val="21"/>
              </w:rPr>
            </w:pPr>
          </w:p>
          <w:p>
            <w:pPr>
              <w:tabs>
                <w:tab w:val="left" w:pos="0"/>
              </w:tabs>
              <w:topLinePunct/>
              <w:spacing w:line="440" w:lineRule="exact"/>
              <w:jc w:val="left"/>
              <w:rPr>
                <w:b/>
                <w:color w:val="auto"/>
                <w:kern w:val="1"/>
                <w:sz w:val="21"/>
                <w:szCs w:val="21"/>
              </w:rPr>
            </w:pPr>
            <w:r>
              <w:rPr>
                <w:rFonts w:hint="eastAsia"/>
                <w:b/>
                <w:color w:val="auto"/>
                <w:kern w:val="1"/>
                <w:sz w:val="21"/>
                <w:szCs w:val="21"/>
              </w:rPr>
              <w:t>品牌推荐表：</w:t>
            </w:r>
          </w:p>
          <w:p>
            <w:pPr>
              <w:spacing w:line="360" w:lineRule="auto"/>
              <w:jc w:val="center"/>
              <w:rPr>
                <w:rFonts w:ascii="宋体" w:hAnsi="宋体" w:cs="宋体"/>
                <w:b/>
                <w:color w:val="auto"/>
                <w:kern w:val="1"/>
                <w:sz w:val="21"/>
                <w:szCs w:val="21"/>
              </w:rPr>
            </w:pPr>
            <w:r>
              <w:rPr>
                <w:rFonts w:hint="eastAsia" w:ascii="宋体" w:hAnsi="宋体" w:cs="宋体"/>
                <w:b/>
                <w:color w:val="auto"/>
                <w:kern w:val="1"/>
                <w:sz w:val="21"/>
                <w:szCs w:val="21"/>
              </w:rPr>
              <w:t>招标人推荐材料、设备品牌一览表</w:t>
            </w:r>
          </w:p>
          <w:tbl>
            <w:tblPr>
              <w:tblStyle w:val="8"/>
              <w:tblW w:w="0" w:type="auto"/>
              <w:tblInd w:w="0" w:type="dxa"/>
              <w:tblLayout w:type="fixed"/>
              <w:tblCellMar>
                <w:top w:w="0" w:type="dxa"/>
                <w:left w:w="108" w:type="dxa"/>
                <w:bottom w:w="0" w:type="dxa"/>
                <w:right w:w="108" w:type="dxa"/>
              </w:tblCellMar>
            </w:tblPr>
            <w:tblGrid>
              <w:gridCol w:w="562"/>
              <w:gridCol w:w="2127"/>
              <w:gridCol w:w="2693"/>
              <w:gridCol w:w="1309"/>
              <w:gridCol w:w="1769"/>
            </w:tblGrid>
            <w:tr>
              <w:tblPrEx>
                <w:tblCellMar>
                  <w:top w:w="0" w:type="dxa"/>
                  <w:left w:w="108" w:type="dxa"/>
                  <w:bottom w:w="0" w:type="dxa"/>
                  <w:right w:w="108" w:type="dxa"/>
                </w:tblCellMar>
              </w:tblPrEx>
              <w:trPr>
                <w:trHeight w:val="268" w:hRule="atLeast"/>
              </w:trPr>
              <w:tc>
                <w:tcPr>
                  <w:tcW w:w="562"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序号</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材料名称</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品牌或产地</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等级</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color w:val="auto"/>
                      <w:sz w:val="21"/>
                      <w:szCs w:val="21"/>
                    </w:rPr>
                  </w:pPr>
                  <w:r>
                    <w:rPr>
                      <w:rFonts w:hint="eastAsia"/>
                      <w:b/>
                      <w:color w:val="auto"/>
                      <w:sz w:val="21"/>
                      <w:szCs w:val="21"/>
                    </w:rPr>
                    <w:t>备注</w:t>
                  </w:r>
                </w:p>
              </w:tc>
            </w:tr>
            <w:tr>
              <w:tblPrEx>
                <w:tblCellMar>
                  <w:top w:w="0" w:type="dxa"/>
                  <w:left w:w="108" w:type="dxa"/>
                  <w:bottom w:w="0" w:type="dxa"/>
                  <w:right w:w="108" w:type="dxa"/>
                </w:tblCellMar>
              </w:tblPrEx>
              <w:trPr>
                <w:trHeight w:val="354"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1</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无机涂料、乳胶漆</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防锈漆、防腐涂料</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多乐士</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立邦</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华润</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376"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2</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rPr>
                    <w:t>细木工板,、多层板</w:t>
                  </w:r>
                  <w:r>
                    <w:rPr>
                      <w:rFonts w:hint="eastAsia" w:ascii="宋体" w:hAnsi="宋体" w:eastAsia="宋体" w:cs="宋体"/>
                      <w:kern w:val="0"/>
                      <w:sz w:val="21"/>
                      <w:szCs w:val="21"/>
                      <w:lang w:eastAsia="zh-CN"/>
                    </w:rPr>
                    <w:t>、</w:t>
                  </w:r>
                  <w:r>
                    <w:rPr>
                      <w:rFonts w:hint="eastAsia" w:ascii="宋体" w:hAnsi="宋体" w:eastAsia="宋体" w:cs="宋体"/>
                      <w:kern w:val="0"/>
                      <w:sz w:val="21"/>
                      <w:szCs w:val="21"/>
                      <w:lang w:val="en-US" w:eastAsia="zh-CN"/>
                    </w:rPr>
                    <w:t>阻燃板</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千年舟</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免宝宝</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莫干山</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宋体" w:hAnsi="宋体" w:eastAsia="宋体" w:cs="宋体"/>
                      <w:bCs/>
                      <w:color w:val="auto"/>
                      <w:kern w:val="2"/>
                      <w:sz w:val="21"/>
                      <w:szCs w:val="21"/>
                      <w:lang w:val="en-US" w:eastAsia="zh-CN" w:bidi="ar-SA"/>
                    </w:rPr>
                  </w:pPr>
                  <w:r>
                    <w:rPr>
                      <w:rFonts w:hint="eastAsia"/>
                      <w:bCs/>
                      <w:color w:val="auto"/>
                      <w:sz w:val="21"/>
                      <w:szCs w:val="21"/>
                    </w:rPr>
                    <w:t>3</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轻钢龙骨、石膏板</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可耐福、龙牌、拉法基</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bCs/>
                      <w:color w:val="auto"/>
                      <w:kern w:val="2"/>
                      <w:sz w:val="21"/>
                      <w:szCs w:val="21"/>
                      <w:lang w:val="en-US" w:eastAsia="zh-CN" w:bidi="ar-SA"/>
                    </w:rPr>
                  </w:pPr>
                  <w:r>
                    <w:rPr>
                      <w:rFonts w:hint="eastAsia"/>
                      <w:bCs/>
                      <w:color w:val="auto"/>
                      <w:sz w:val="21"/>
                      <w:szCs w:val="21"/>
                    </w:rPr>
                    <w:t>4</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墙砖、地砖</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亚细亚、斯米克、冠军</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eastAsia="宋体" w:cs="宋体"/>
                      <w:bCs/>
                      <w:color w:val="auto"/>
                      <w:kern w:val="2"/>
                      <w:sz w:val="21"/>
                      <w:szCs w:val="21"/>
                      <w:lang w:val="en-US" w:eastAsia="zh-CN" w:bidi="ar-SA"/>
                    </w:rPr>
                  </w:pPr>
                  <w:r>
                    <w:rPr>
                      <w:rFonts w:hint="eastAsia"/>
                      <w:bCs/>
                      <w:color w:val="auto"/>
                      <w:sz w:val="21"/>
                      <w:szCs w:val="21"/>
                    </w:rPr>
                    <w:t>5</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瓷砖胶泥</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亚细亚（P3000)、德高（瓷砖胶TTB II型）、雷帝(325)</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宋体" w:hAnsi="宋体" w:cs="宋体"/>
                      <w:bCs/>
                      <w:color w:val="auto"/>
                      <w:sz w:val="21"/>
                      <w:szCs w:val="21"/>
                    </w:rPr>
                  </w:pPr>
                  <w:r>
                    <w:rPr>
                      <w:rFonts w:hint="eastAsia"/>
                      <w:bCs/>
                      <w:color w:val="auto"/>
                      <w:sz w:val="21"/>
                      <w:szCs w:val="21"/>
                    </w:rPr>
                    <w:t>6</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rPr>
                    <w:t>SBS防水卷材、JS防水涂料、聚氨酯防水涂料</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东方雨虹、科顺、禹王</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eastAsia="宋体"/>
                      <w:bCs/>
                      <w:color w:val="auto"/>
                      <w:sz w:val="21"/>
                      <w:szCs w:val="21"/>
                      <w:lang w:val="en-US" w:eastAsia="zh-CN"/>
                    </w:rPr>
                  </w:pPr>
                  <w:r>
                    <w:rPr>
                      <w:rFonts w:hint="eastAsia"/>
                      <w:bCs/>
                      <w:color w:val="auto"/>
                      <w:sz w:val="21"/>
                      <w:szCs w:val="21"/>
                      <w:lang w:val="en-US" w:eastAsia="zh-CN"/>
                    </w:rPr>
                    <w:t>7</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成品套装木门及门套</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兔宝宝、春天、大自然</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8</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门窗五金配件</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汇泰龙、顶固、坚朗</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rPr>
                    <w:t>9</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铝扣板</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友邦吊顶、法狮龙、奥普</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10</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高晶板</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艾特尼特、台荣、松本、宇航</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bCs/>
                      <w:color w:val="auto"/>
                      <w:sz w:val="21"/>
                      <w:szCs w:val="21"/>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11</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rPr>
                    <w:t>塑料给排水管</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中财</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伟星、日丰</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12</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灯具</w:t>
                  </w:r>
                  <w:r>
                    <w:rPr>
                      <w:rFonts w:hint="eastAsia" w:ascii="宋体" w:hAnsi="宋体" w:eastAsia="宋体" w:cs="宋体"/>
                      <w:kern w:val="0"/>
                      <w:sz w:val="21"/>
                      <w:szCs w:val="21"/>
                      <w:lang w:val="en-US" w:eastAsia="zh-CN"/>
                    </w:rPr>
                    <w:t>、光源</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雷士照明</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鸿雁</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阳光</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ascii="Times New Roman" w:hAnsi="Times New Roman" w:eastAsia="宋体" w:cs="Times New Roman"/>
                      <w:bCs/>
                      <w:color w:val="auto"/>
                      <w:kern w:val="2"/>
                      <w:sz w:val="21"/>
                      <w:szCs w:val="21"/>
                      <w:lang w:val="en-US" w:eastAsia="zh-CN" w:bidi="ar-SA"/>
                    </w:rPr>
                  </w:pPr>
                  <w:r>
                    <w:rPr>
                      <w:rFonts w:hint="eastAsia"/>
                      <w:bCs/>
                      <w:color w:val="auto"/>
                      <w:sz w:val="21"/>
                      <w:szCs w:val="21"/>
                      <w:lang w:val="en-US" w:eastAsia="zh-CN"/>
                    </w:rPr>
                    <w:t>13</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开关、插座</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rPr>
                    <w:t>鸿雁</w:t>
                  </w:r>
                  <w:r>
                    <w:rPr>
                      <w:rFonts w:hint="eastAsia" w:ascii="宋体" w:hAnsi="宋体" w:eastAsia="宋体" w:cs="宋体"/>
                      <w:kern w:val="0"/>
                      <w:sz w:val="21"/>
                      <w:szCs w:val="21"/>
                      <w:lang w:eastAsia="zh-CN"/>
                    </w:rPr>
                    <w:t>、西门子、</w:t>
                  </w:r>
                  <w:r>
                    <w:rPr>
                      <w:rFonts w:hint="eastAsia" w:ascii="宋体" w:hAnsi="宋体" w:eastAsia="宋体" w:cs="宋体"/>
                      <w:kern w:val="0"/>
                      <w:sz w:val="21"/>
                      <w:szCs w:val="21"/>
                      <w:lang w:val="en-US" w:eastAsia="zh-CN"/>
                    </w:rPr>
                    <w:t>ABB</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eastAsia"/>
                      <w:bCs/>
                      <w:color w:val="auto"/>
                      <w:sz w:val="21"/>
                      <w:szCs w:val="21"/>
                      <w:lang w:val="en-US" w:eastAsia="zh-CN"/>
                    </w:rPr>
                  </w:pPr>
                  <w:r>
                    <w:rPr>
                      <w:rFonts w:hint="eastAsia"/>
                      <w:bCs/>
                      <w:color w:val="auto"/>
                      <w:sz w:val="21"/>
                      <w:szCs w:val="21"/>
                    </w:rPr>
                    <w:t>1</w:t>
                  </w:r>
                  <w:r>
                    <w:rPr>
                      <w:rFonts w:hint="eastAsia"/>
                      <w:bCs/>
                      <w:color w:val="auto"/>
                      <w:sz w:val="21"/>
                      <w:szCs w:val="21"/>
                      <w:lang w:val="en-US" w:eastAsia="zh-CN"/>
                    </w:rPr>
                    <w:t>4</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电线、电缆</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rPr>
                    <w:t>杭州中策</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上海胜华</w:t>
                  </w:r>
                  <w:r>
                    <w:rPr>
                      <w:rFonts w:hint="eastAsia" w:ascii="宋体" w:hAnsi="宋体" w:eastAsia="宋体" w:cs="宋体"/>
                      <w:kern w:val="0"/>
                      <w:sz w:val="21"/>
                      <w:szCs w:val="21"/>
                      <w:lang w:eastAsia="zh-CN"/>
                    </w:rPr>
                    <w:t>、</w:t>
                  </w:r>
                  <w:r>
                    <w:rPr>
                      <w:rFonts w:hint="eastAsia" w:ascii="宋体" w:hAnsi="宋体" w:eastAsia="宋体" w:cs="宋体"/>
                      <w:kern w:val="0"/>
                      <w:sz w:val="21"/>
                      <w:szCs w:val="21"/>
                    </w:rPr>
                    <w:t>无锡长城</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ascii="Times New Roman" w:hAnsi="Times New Roman" w:eastAsia="宋体" w:cs="Times New Roman"/>
                      <w:bCs/>
                      <w:color w:val="auto"/>
                      <w:kern w:val="2"/>
                      <w:sz w:val="21"/>
                      <w:szCs w:val="21"/>
                      <w:lang w:val="en-US" w:eastAsia="zh-CN" w:bidi="ar-SA"/>
                    </w:rPr>
                  </w:pPr>
                  <w:r>
                    <w:rPr>
                      <w:rFonts w:hint="eastAsia"/>
                      <w:bCs/>
                      <w:color w:val="auto"/>
                      <w:sz w:val="21"/>
                      <w:szCs w:val="21"/>
                    </w:rPr>
                    <w:t>或相当于及以上</w:t>
                  </w:r>
                </w:p>
              </w:tc>
            </w:tr>
            <w:tr>
              <w:tblPrEx>
                <w:tblCellMar>
                  <w:top w:w="0" w:type="dxa"/>
                  <w:left w:w="108" w:type="dxa"/>
                  <w:bottom w:w="0" w:type="dxa"/>
                  <w:right w:w="108" w:type="dxa"/>
                </w:tblCellMar>
              </w:tblPrEx>
              <w:trPr>
                <w:trHeight w:val="441" w:hRule="atLeast"/>
              </w:trPr>
              <w:tc>
                <w:tcPr>
                  <w:tcW w:w="562"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pPr>
                    <w:jc w:val="center"/>
                    <w:rPr>
                      <w:rFonts w:hint="default" w:eastAsia="宋体"/>
                      <w:bCs/>
                      <w:color w:val="auto"/>
                      <w:sz w:val="21"/>
                      <w:szCs w:val="21"/>
                      <w:lang w:val="en-US" w:eastAsia="zh-CN"/>
                    </w:rPr>
                  </w:pPr>
                  <w:r>
                    <w:rPr>
                      <w:rFonts w:hint="eastAsia"/>
                      <w:bCs/>
                      <w:color w:val="auto"/>
                      <w:sz w:val="21"/>
                      <w:szCs w:val="21"/>
                      <w:lang w:val="en-US" w:eastAsia="zh-CN"/>
                    </w:rPr>
                    <w:t>15</w:t>
                  </w:r>
                </w:p>
              </w:tc>
              <w:tc>
                <w:tcPr>
                  <w:tcW w:w="2127"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bCs/>
                      <w:color w:val="auto"/>
                      <w:sz w:val="21"/>
                      <w:szCs w:val="21"/>
                    </w:rPr>
                    <w:t>洁具及附件</w:t>
                  </w:r>
                </w:p>
              </w:tc>
              <w:tc>
                <w:tcPr>
                  <w:tcW w:w="2693" w:type="dxa"/>
                  <w:tcBorders>
                    <w:top w:val="single" w:color="000000" w:sz="4" w:space="0"/>
                    <w:left w:val="single" w:color="000000" w:sz="4" w:space="0"/>
                    <w:bottom w:val="single" w:color="000000" w:sz="4" w:space="0"/>
                    <w:right w:val="single" w:color="000000" w:sz="4" w:space="0"/>
                  </w:tcBorders>
                  <w:noWrap/>
                  <w:vAlign w:val="center"/>
                </w:tcPr>
                <w:p>
                  <w:pPr>
                    <w:widowControl/>
                    <w:jc w:val="center"/>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eastAsia="zh-CN"/>
                    </w:rPr>
                    <w:t>箭牌、美加华、九牧</w:t>
                  </w:r>
                </w:p>
              </w:tc>
              <w:tc>
                <w:tcPr>
                  <w:tcW w:w="130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rPr>
                    <w:t>优等品</w:t>
                  </w:r>
                </w:p>
              </w:tc>
              <w:tc>
                <w:tcPr>
                  <w:tcW w:w="1769" w:type="dxa"/>
                  <w:tcBorders>
                    <w:top w:val="single" w:color="000000" w:sz="4" w:space="0"/>
                    <w:left w:val="single" w:color="000000" w:sz="4" w:space="0"/>
                    <w:bottom w:val="single" w:color="000000" w:sz="4" w:space="0"/>
                    <w:right w:val="single" w:color="000000" w:sz="4" w:space="0"/>
                  </w:tcBorders>
                  <w:noWrap/>
                  <w:vAlign w:val="center"/>
                </w:tcPr>
                <w:p>
                  <w:pPr>
                    <w:jc w:val="center"/>
                    <w:rPr>
                      <w:rFonts w:hint="eastAsia" w:ascii="Times New Roman" w:hAnsi="Times New Roman" w:eastAsia="宋体" w:cs="Times New Roman"/>
                      <w:bCs/>
                      <w:color w:val="auto"/>
                      <w:kern w:val="2"/>
                      <w:sz w:val="21"/>
                      <w:szCs w:val="21"/>
                      <w:lang w:val="en-US" w:eastAsia="zh-CN" w:bidi="ar-SA"/>
                    </w:rPr>
                  </w:pPr>
                  <w:r>
                    <w:rPr>
                      <w:rFonts w:hint="eastAsia"/>
                      <w:bCs/>
                      <w:color w:val="auto"/>
                      <w:sz w:val="21"/>
                      <w:szCs w:val="21"/>
                    </w:rPr>
                    <w:t>或相当于及以上</w:t>
                  </w:r>
                </w:p>
              </w:tc>
            </w:tr>
          </w:tbl>
          <w:p>
            <w:pPr>
              <w:pStyle w:val="2"/>
              <w:spacing w:line="360" w:lineRule="auto"/>
              <w:rPr>
                <w:rFonts w:hAnsi="宋体" w:cs="宋体"/>
                <w:color w:val="000000"/>
                <w:sz w:val="21"/>
                <w:szCs w:val="21"/>
                <w:lang w:val="zh-CN"/>
              </w:rPr>
            </w:pPr>
            <w:r>
              <w:rPr>
                <w:rFonts w:hint="eastAsia"/>
                <w:color w:val="auto"/>
                <w:kern w:val="1"/>
                <w:sz w:val="21"/>
                <w:szCs w:val="21"/>
              </w:rPr>
              <w:t>注意：涂料、油漆、多层板、细木工板、强化地板要达到环保E1级标准。</w:t>
            </w:r>
          </w:p>
        </w:tc>
      </w:tr>
    </w:tbl>
    <w:p>
      <w:pPr>
        <w:pStyle w:val="2"/>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_x0000_s1026" o:spid="_x0000_s1026" o:spt="202" type="#_x0000_t202" style="position:absolute;left:0pt;margin-left:-6.85pt;margin-top:16.7pt;height:53.3pt;width:435.85pt;mso-wrap-distance-bottom:3.6pt;mso-wrap-distance-left:9pt;mso-wrap-distance-right:9pt;mso-wrap-distance-top:3.6pt;z-index:251659264;mso-width-relative:page;mso-height-relative:page;"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I3YgSx0CAABbBAAADgAAAGRycy9lMm9Eb2MueG1srVRN&#10;rtMwEN4jcQfLe5q2qIVGTZ8EpWwQID04gOs4iSX/yXablAPADVixYc+5eg4+O+Xx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h72vkQ3wqrSTIq6tG8rCk7vgsRGRH6JyQlC1bJeieVygvf7l8rT44Mjd7lJxWJIw/C&#10;lCF9RVeLeaqDYXobTA1M7aBAMG3O9+BEuA44FbZloRsLyAjjbGkZhUclrOwEq9+YmsSTg8oGl4um&#10;YrSoKVECdzFZOTIyqa6JBDtlErTIk35RKTVsbEyy4rAfAJrMva1PaCLuPtTtrP9CCTMcRkWhwcF5&#10;2Xbw5O4W6QBmLkt4uR9pqO+vYd//J2x+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Fyf+VjYAAAA&#10;CgEAAA8AAAAAAAAAAQAgAAAAIgAAAGRycy9kb3ducmV2LnhtbFBLAQIUABQAAAAIAIdO4kAjdiBL&#10;HQIAAFsEAAAOAAAAAAAAAAEAIAAAACcBAABkcnMvZTJvRG9jLnhtbFBLBQYAAAAABgAGAFkBAAC2&#10;BQAAAAA=&#10;">
          <v:path/>
          <v:fill focussize="0,0"/>
          <v:stroke color="#FFFFFF" joinstyle="miter"/>
          <v:imagedata o:title=""/>
          <o:lock v:ext="edit"/>
          <v:textbox>
            <w:txbxContent>
              <w:p>
                <w:pPr>
                  <w:pStyle w:val="2"/>
                  <w:tabs>
                    <w:tab w:val="left" w:pos="0"/>
                  </w:tabs>
                  <w:jc w:val="center"/>
                  <w:rPr>
                    <w:b/>
                    <w:sz w:val="48"/>
                    <w:szCs w:val="48"/>
                  </w:rPr>
                </w:pPr>
                <w:r>
                  <w:rPr>
                    <w:rFonts w:hint="eastAsia"/>
                    <w:b/>
                    <w:sz w:val="48"/>
                    <w:szCs w:val="48"/>
                  </w:rPr>
                  <w:t>工程量清单编制总说明</w:t>
                </w:r>
              </w:p>
              <w:p>
                <w:pPr>
                  <w:rPr>
                    <w:rFonts w:asciiTheme="minorEastAsia" w:hAnsiTheme="minorEastAsia" w:eastAsiaTheme="minorEastAsia" w:cstheme="minorEastAsia"/>
                    <w:szCs w:val="21"/>
                  </w:rPr>
                </w:pPr>
                <w:r>
                  <w:rPr>
                    <w:rFonts w:hint="eastAsia" w:ascii="宋体" w:hAnsi="宋体" w:eastAsia="宋体" w:cs="宋体"/>
                    <w:sz w:val="21"/>
                    <w:szCs w:val="21"/>
                  </w:rPr>
                  <w:t>工程名称: 杭州电子科技大学东岳校区礼贤楼维修改造工程</w:t>
                </w:r>
                <w:r>
                  <w:rPr>
                    <w:rFonts w:hint="eastAsia" w:ascii="宋体" w:hAnsi="宋体" w:eastAsia="宋体" w:cs="宋体"/>
                    <w:sz w:val="21"/>
                    <w:szCs w:val="21"/>
                    <w:lang w:val="en-US" w:eastAsia="zh-CN"/>
                  </w:rPr>
                  <w:t xml:space="preserve">  </w:t>
                </w:r>
                <w:r>
                  <w:rPr>
                    <w:rFonts w:hint="eastAsia" w:ascii="宋体" w:hAnsi="宋体" w:cs="宋体"/>
                    <w:szCs w:val="21"/>
                    <w:lang w:val="en-US" w:eastAsia="zh-CN"/>
                  </w:rPr>
                  <w:t xml:space="preserve">            </w:t>
                </w:r>
                <w:r>
                  <w:rPr>
                    <w:rFonts w:hint="eastAsia" w:asciiTheme="minorEastAsia" w:hAnsiTheme="minorEastAsia" w:eastAsiaTheme="minorEastAsia" w:cstheme="minorEastAsia"/>
                    <w:szCs w:val="21"/>
                  </w:rPr>
                  <w:t>第</w:t>
                </w:r>
                <w:r>
                  <w:rPr>
                    <w:rFonts w:hint="eastAsia" w:asciiTheme="minorEastAsia" w:hAnsiTheme="minorEastAsia" w:eastAsiaTheme="minorEastAsia" w:cstheme="minorEastAsia"/>
                    <w:szCs w:val="21"/>
                  </w:rPr>
                  <w:fldChar w:fldCharType="begin"/>
                </w:r>
                <w:r>
                  <w:rPr>
                    <w:rFonts w:hint="eastAsia" w:asciiTheme="minorEastAsia" w:hAnsiTheme="minorEastAsia" w:eastAsiaTheme="minorEastAsia" w:cstheme="minorEastAsia"/>
                    <w:szCs w:val="21"/>
                  </w:rPr>
                  <w:instrText xml:space="preserve">PAGE  \* Arabic  \* MERGEFORMAT</w:instrText>
                </w:r>
                <w:r>
                  <w:rPr>
                    <w:rFonts w:hint="eastAsia" w:asciiTheme="minorEastAsia" w:hAnsiTheme="minorEastAsia" w:eastAsiaTheme="minorEastAsia" w:cstheme="minorEastAsia"/>
                    <w:szCs w:val="21"/>
                  </w:rPr>
                  <w:fldChar w:fldCharType="separate"/>
                </w:r>
                <w:r>
                  <w:rPr>
                    <w:rFonts w:asciiTheme="minorEastAsia" w:hAnsiTheme="minorEastAsia" w:eastAsiaTheme="minorEastAsia" w:cstheme="minorEastAsia"/>
                    <w:szCs w:val="21"/>
                  </w:rPr>
                  <w:t>5</w:t>
                </w:r>
                <w:r>
                  <w:rPr>
                    <w:rFonts w:hint="eastAsia" w:asciiTheme="minorEastAsia" w:hAnsiTheme="minorEastAsia" w:eastAsiaTheme="minorEastAsia" w:cstheme="minorEastAsia"/>
                    <w:szCs w:val="21"/>
                  </w:rPr>
                  <w:fldChar w:fldCharType="end"/>
                </w:r>
                <w:r>
                  <w:rPr>
                    <w:rFonts w:hint="eastAsia" w:asciiTheme="minorEastAsia" w:hAnsiTheme="minorEastAsia" w:eastAsiaTheme="minorEastAsia" w:cstheme="minorEastAsia"/>
                    <w:szCs w:val="21"/>
                  </w:rPr>
                  <w:t>页，共</w:t>
                </w:r>
                <w:r>
                  <w:rPr>
                    <w:rFonts w:hint="eastAsia" w:asciiTheme="minorEastAsia" w:hAnsiTheme="minorEastAsia" w:eastAsiaTheme="minorEastAsia" w:cstheme="minorEastAsia"/>
                    <w:szCs w:val="21"/>
                    <w:lang w:val="en-US" w:eastAsia="zh-CN"/>
                  </w:rPr>
                  <w:t>6</w:t>
                </w:r>
                <w:r>
                  <w:rPr>
                    <w:rFonts w:hint="eastAsia" w:asciiTheme="minorEastAsia" w:hAnsiTheme="minorEastAsia" w:eastAsiaTheme="minorEastAsia" w:cstheme="minorEastAsia"/>
                    <w:szCs w:val="21"/>
                  </w:rPr>
                  <w:t>页</w:t>
                </w:r>
              </w:p>
              <w:p/>
            </w:txbxContent>
          </v:textbox>
          <w10:wrap type="square"/>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E9816F"/>
    <w:multiLevelType w:val="singleLevel"/>
    <w:tmpl w:val="2DE9816F"/>
    <w:lvl w:ilvl="0" w:tentative="0">
      <w:start w:val="1"/>
      <w:numFmt w:val="decimal"/>
      <w:lvlText w:val="%1."/>
      <w:lvlJc w:val="left"/>
      <w:pPr>
        <w:ind w:left="425" w:hanging="425"/>
      </w:pPr>
      <w:rPr>
        <w:rFonts w:hint="default"/>
      </w:rPr>
    </w:lvl>
  </w:abstractNum>
  <w:abstractNum w:abstractNumId="1">
    <w:nsid w:val="69F0F066"/>
    <w:multiLevelType w:val="singleLevel"/>
    <w:tmpl w:val="69F0F066"/>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k0YzE1N2E0YmRkMGVjYjZiZTJjZTJjYTlhZjlhNTkifQ=="/>
  </w:docVars>
  <w:rsids>
    <w:rsidRoot w:val="00172A27"/>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2A27"/>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32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270A7"/>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0585"/>
    <w:rsid w:val="003B665A"/>
    <w:rsid w:val="003C0F0B"/>
    <w:rsid w:val="003C1F68"/>
    <w:rsid w:val="003D3322"/>
    <w:rsid w:val="003D3BF4"/>
    <w:rsid w:val="003D48F1"/>
    <w:rsid w:val="003E067C"/>
    <w:rsid w:val="003E44DC"/>
    <w:rsid w:val="003E6069"/>
    <w:rsid w:val="003E6A4D"/>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533B0"/>
    <w:rsid w:val="0056070F"/>
    <w:rsid w:val="00562001"/>
    <w:rsid w:val="00571A3B"/>
    <w:rsid w:val="005841D3"/>
    <w:rsid w:val="00593246"/>
    <w:rsid w:val="005A28EC"/>
    <w:rsid w:val="005B0805"/>
    <w:rsid w:val="005C150A"/>
    <w:rsid w:val="005C42BA"/>
    <w:rsid w:val="005D0AB2"/>
    <w:rsid w:val="005D5CB4"/>
    <w:rsid w:val="00601206"/>
    <w:rsid w:val="00602390"/>
    <w:rsid w:val="0061067F"/>
    <w:rsid w:val="00611541"/>
    <w:rsid w:val="00611B7A"/>
    <w:rsid w:val="0061779F"/>
    <w:rsid w:val="00622FAF"/>
    <w:rsid w:val="00626088"/>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7550B"/>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3EA1"/>
    <w:rsid w:val="00817C47"/>
    <w:rsid w:val="00823809"/>
    <w:rsid w:val="008240F5"/>
    <w:rsid w:val="008257EB"/>
    <w:rsid w:val="0083654F"/>
    <w:rsid w:val="00836BAC"/>
    <w:rsid w:val="00836F74"/>
    <w:rsid w:val="00841035"/>
    <w:rsid w:val="00841ACE"/>
    <w:rsid w:val="00841DAC"/>
    <w:rsid w:val="0084459A"/>
    <w:rsid w:val="0084682F"/>
    <w:rsid w:val="00855BF2"/>
    <w:rsid w:val="0086310E"/>
    <w:rsid w:val="008727EE"/>
    <w:rsid w:val="00874E85"/>
    <w:rsid w:val="00875515"/>
    <w:rsid w:val="0088323C"/>
    <w:rsid w:val="00884082"/>
    <w:rsid w:val="00884C50"/>
    <w:rsid w:val="00890015"/>
    <w:rsid w:val="00897E26"/>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BF474A"/>
    <w:rsid w:val="00C045E0"/>
    <w:rsid w:val="00C06599"/>
    <w:rsid w:val="00C1055D"/>
    <w:rsid w:val="00C1255A"/>
    <w:rsid w:val="00C131FB"/>
    <w:rsid w:val="00C2099E"/>
    <w:rsid w:val="00C244A8"/>
    <w:rsid w:val="00C25272"/>
    <w:rsid w:val="00C34FAC"/>
    <w:rsid w:val="00C57C65"/>
    <w:rsid w:val="00C74CC6"/>
    <w:rsid w:val="00C82DE7"/>
    <w:rsid w:val="00C834B9"/>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B83A1B"/>
    <w:rsid w:val="03366EA6"/>
    <w:rsid w:val="034313A4"/>
    <w:rsid w:val="043A15E5"/>
    <w:rsid w:val="04ED4B73"/>
    <w:rsid w:val="04F60E33"/>
    <w:rsid w:val="05483AEB"/>
    <w:rsid w:val="06DD6D2E"/>
    <w:rsid w:val="0B2E25C6"/>
    <w:rsid w:val="0B582BD0"/>
    <w:rsid w:val="0DBE4B97"/>
    <w:rsid w:val="0DC43C4D"/>
    <w:rsid w:val="0E613268"/>
    <w:rsid w:val="0F090DE9"/>
    <w:rsid w:val="0F500B2C"/>
    <w:rsid w:val="0F7E69BD"/>
    <w:rsid w:val="11BA701A"/>
    <w:rsid w:val="12BF28AB"/>
    <w:rsid w:val="13347445"/>
    <w:rsid w:val="155E749C"/>
    <w:rsid w:val="158F443B"/>
    <w:rsid w:val="15C0056C"/>
    <w:rsid w:val="16BC16E3"/>
    <w:rsid w:val="17A4103D"/>
    <w:rsid w:val="17B943BD"/>
    <w:rsid w:val="18D8695A"/>
    <w:rsid w:val="18E13BCB"/>
    <w:rsid w:val="195E04C0"/>
    <w:rsid w:val="1A7A0A79"/>
    <w:rsid w:val="1AEE7B63"/>
    <w:rsid w:val="1B617245"/>
    <w:rsid w:val="1B6E25C4"/>
    <w:rsid w:val="1B8B1502"/>
    <w:rsid w:val="1BA41F43"/>
    <w:rsid w:val="1C673203"/>
    <w:rsid w:val="1C8A14C7"/>
    <w:rsid w:val="1CA97C35"/>
    <w:rsid w:val="1D641E26"/>
    <w:rsid w:val="1E320A25"/>
    <w:rsid w:val="1EA35FEA"/>
    <w:rsid w:val="1F1C4BA5"/>
    <w:rsid w:val="1FB44D03"/>
    <w:rsid w:val="1FD04999"/>
    <w:rsid w:val="204A474C"/>
    <w:rsid w:val="216E146C"/>
    <w:rsid w:val="227B58D9"/>
    <w:rsid w:val="246C2EE2"/>
    <w:rsid w:val="24AB704C"/>
    <w:rsid w:val="25537BFE"/>
    <w:rsid w:val="2583364F"/>
    <w:rsid w:val="27160108"/>
    <w:rsid w:val="27756271"/>
    <w:rsid w:val="28136AE6"/>
    <w:rsid w:val="2A401BD5"/>
    <w:rsid w:val="2A5F54E8"/>
    <w:rsid w:val="2ACB6D8B"/>
    <w:rsid w:val="2AFC6642"/>
    <w:rsid w:val="2B8D57C9"/>
    <w:rsid w:val="2B9E6689"/>
    <w:rsid w:val="2BAA1395"/>
    <w:rsid w:val="2C183950"/>
    <w:rsid w:val="2C4E0713"/>
    <w:rsid w:val="2CB10DC9"/>
    <w:rsid w:val="2D791F86"/>
    <w:rsid w:val="2DCE2518"/>
    <w:rsid w:val="2DFA263E"/>
    <w:rsid w:val="2E6115DE"/>
    <w:rsid w:val="2EE638B2"/>
    <w:rsid w:val="32421F05"/>
    <w:rsid w:val="3251196A"/>
    <w:rsid w:val="32BF503B"/>
    <w:rsid w:val="32D541E9"/>
    <w:rsid w:val="344572AC"/>
    <w:rsid w:val="353106CC"/>
    <w:rsid w:val="365A75EB"/>
    <w:rsid w:val="394D24B7"/>
    <w:rsid w:val="39CB64E3"/>
    <w:rsid w:val="3A1F4A5E"/>
    <w:rsid w:val="3A881102"/>
    <w:rsid w:val="3B464036"/>
    <w:rsid w:val="3E3315FA"/>
    <w:rsid w:val="3EA619F5"/>
    <w:rsid w:val="3F50765C"/>
    <w:rsid w:val="3F57436C"/>
    <w:rsid w:val="4033368A"/>
    <w:rsid w:val="40664832"/>
    <w:rsid w:val="40CB28E7"/>
    <w:rsid w:val="43C024AB"/>
    <w:rsid w:val="4483254B"/>
    <w:rsid w:val="453B44DF"/>
    <w:rsid w:val="457A43D7"/>
    <w:rsid w:val="4698326B"/>
    <w:rsid w:val="497242D2"/>
    <w:rsid w:val="49951CE4"/>
    <w:rsid w:val="49A41BDF"/>
    <w:rsid w:val="4A3F4DA2"/>
    <w:rsid w:val="4A62606A"/>
    <w:rsid w:val="4A652AEB"/>
    <w:rsid w:val="4B90280D"/>
    <w:rsid w:val="4C1C277B"/>
    <w:rsid w:val="4C350911"/>
    <w:rsid w:val="4E110852"/>
    <w:rsid w:val="4E2E3285"/>
    <w:rsid w:val="4E456D68"/>
    <w:rsid w:val="4E6D0C94"/>
    <w:rsid w:val="50B60EBE"/>
    <w:rsid w:val="52393135"/>
    <w:rsid w:val="526B2003"/>
    <w:rsid w:val="52A34D8F"/>
    <w:rsid w:val="52C80B0B"/>
    <w:rsid w:val="53973ACB"/>
    <w:rsid w:val="54016821"/>
    <w:rsid w:val="54696247"/>
    <w:rsid w:val="56C63E25"/>
    <w:rsid w:val="56E147BB"/>
    <w:rsid w:val="57255D0E"/>
    <w:rsid w:val="57565E05"/>
    <w:rsid w:val="585821BA"/>
    <w:rsid w:val="587766E0"/>
    <w:rsid w:val="588C69A8"/>
    <w:rsid w:val="591F3539"/>
    <w:rsid w:val="598E1E00"/>
    <w:rsid w:val="59A423F5"/>
    <w:rsid w:val="5B445446"/>
    <w:rsid w:val="5C5F065B"/>
    <w:rsid w:val="5CE9261B"/>
    <w:rsid w:val="5D91534A"/>
    <w:rsid w:val="5E146F02"/>
    <w:rsid w:val="5F3470D3"/>
    <w:rsid w:val="5F681F1D"/>
    <w:rsid w:val="5FDE3F8D"/>
    <w:rsid w:val="601006B0"/>
    <w:rsid w:val="60E60187"/>
    <w:rsid w:val="614C50F9"/>
    <w:rsid w:val="61947A14"/>
    <w:rsid w:val="634A74C8"/>
    <w:rsid w:val="640D2EEB"/>
    <w:rsid w:val="644A7BC0"/>
    <w:rsid w:val="651E267F"/>
    <w:rsid w:val="65614110"/>
    <w:rsid w:val="6563635E"/>
    <w:rsid w:val="65D50E5C"/>
    <w:rsid w:val="667940C6"/>
    <w:rsid w:val="667B2F54"/>
    <w:rsid w:val="6720245A"/>
    <w:rsid w:val="67863043"/>
    <w:rsid w:val="68352A03"/>
    <w:rsid w:val="68703927"/>
    <w:rsid w:val="69666FBC"/>
    <w:rsid w:val="6B04407E"/>
    <w:rsid w:val="6B1D0764"/>
    <w:rsid w:val="6B3026C3"/>
    <w:rsid w:val="6B716962"/>
    <w:rsid w:val="6C264CF2"/>
    <w:rsid w:val="6C97569E"/>
    <w:rsid w:val="6CE71ED8"/>
    <w:rsid w:val="6D07065E"/>
    <w:rsid w:val="6E3C285F"/>
    <w:rsid w:val="6EA65ED8"/>
    <w:rsid w:val="6EE0041E"/>
    <w:rsid w:val="6F07626B"/>
    <w:rsid w:val="6FFF398F"/>
    <w:rsid w:val="70AA6125"/>
    <w:rsid w:val="717F3467"/>
    <w:rsid w:val="722577FA"/>
    <w:rsid w:val="72435ED2"/>
    <w:rsid w:val="730C00E3"/>
    <w:rsid w:val="73621405"/>
    <w:rsid w:val="73634D4F"/>
    <w:rsid w:val="73DA5699"/>
    <w:rsid w:val="744938D8"/>
    <w:rsid w:val="74890514"/>
    <w:rsid w:val="74B2104F"/>
    <w:rsid w:val="756248C1"/>
    <w:rsid w:val="75A0395A"/>
    <w:rsid w:val="766A0FC8"/>
    <w:rsid w:val="76740D50"/>
    <w:rsid w:val="77122EE5"/>
    <w:rsid w:val="773744A0"/>
    <w:rsid w:val="779151E4"/>
    <w:rsid w:val="78A403FD"/>
    <w:rsid w:val="794A4EA4"/>
    <w:rsid w:val="7A7E5845"/>
    <w:rsid w:val="7BE44282"/>
    <w:rsid w:val="7CCD2F68"/>
    <w:rsid w:val="7D017A9F"/>
    <w:rsid w:val="7D8B76B8"/>
    <w:rsid w:val="7E435130"/>
    <w:rsid w:val="7E7904C0"/>
    <w:rsid w:val="7EBD0531"/>
    <w:rsid w:val="7F6B1E8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16"/>
    <w:qFormat/>
    <w:uiPriority w:val="0"/>
    <w:rPr>
      <w:rFonts w:ascii="宋体" w:hAnsi="Courier New" w:cs="Courier New"/>
      <w:szCs w:val="21"/>
    </w:rPr>
  </w:style>
  <w:style w:type="paragraph" w:styleId="3">
    <w:name w:val="Balloon Text"/>
    <w:basedOn w:val="1"/>
    <w:semiHidden/>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toc 1"/>
    <w:basedOn w:val="1"/>
    <w:next w:val="1"/>
    <w:qFormat/>
    <w:uiPriority w:val="39"/>
    <w:pPr>
      <w:spacing w:before="120" w:after="120"/>
      <w:jc w:val="left"/>
    </w:pPr>
    <w:rPr>
      <w:rFonts w:ascii="Calibri" w:hAnsi="Calibri"/>
      <w:b/>
      <w:bCs/>
      <w:caps/>
      <w:sz w:val="20"/>
    </w:rPr>
  </w:style>
  <w:style w:type="paragraph" w:styleId="7">
    <w:name w:val="Normal (Web)"/>
    <w:basedOn w:val="1"/>
    <w:qFormat/>
    <w:uiPriority w:val="0"/>
    <w:pPr>
      <w:spacing w:before="100" w:beforeAutospacing="1" w:after="100" w:afterAutospacing="1"/>
      <w:jc w:val="left"/>
    </w:pPr>
    <w:rPr>
      <w:kern w:val="0"/>
      <w:sz w:val="24"/>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qFormat/>
    <w:uiPriority w:val="0"/>
  </w:style>
  <w:style w:type="paragraph" w:customStyle="1" w:styleId="12">
    <w:name w:val="Char"/>
    <w:basedOn w:val="1"/>
    <w:qFormat/>
    <w:uiPriority w:val="0"/>
    <w:rPr>
      <w:rFonts w:ascii="仿宋_GB2312" w:eastAsia="仿宋_GB2312"/>
      <w:b/>
      <w:sz w:val="32"/>
      <w:szCs w:val="32"/>
    </w:rPr>
  </w:style>
  <w:style w:type="paragraph" w:customStyle="1" w:styleId="13">
    <w:name w:val="_Style 10"/>
    <w:basedOn w:val="1"/>
    <w:qFormat/>
    <w:uiPriority w:val="0"/>
    <w:pPr>
      <w:ind w:firstLine="480"/>
    </w:pPr>
  </w:style>
  <w:style w:type="character" w:customStyle="1" w:styleId="14">
    <w:name w:val="页眉 Char"/>
    <w:basedOn w:val="10"/>
    <w:link w:val="5"/>
    <w:qFormat/>
    <w:uiPriority w:val="0"/>
    <w:rPr>
      <w:kern w:val="2"/>
      <w:sz w:val="18"/>
      <w:szCs w:val="18"/>
    </w:rPr>
  </w:style>
  <w:style w:type="character" w:customStyle="1" w:styleId="15">
    <w:name w:val="页脚 Char"/>
    <w:basedOn w:val="10"/>
    <w:link w:val="4"/>
    <w:qFormat/>
    <w:uiPriority w:val="0"/>
    <w:rPr>
      <w:kern w:val="2"/>
      <w:sz w:val="18"/>
      <w:szCs w:val="18"/>
    </w:rPr>
  </w:style>
  <w:style w:type="character" w:customStyle="1" w:styleId="16">
    <w:name w:val="纯文本 Char"/>
    <w:basedOn w:val="10"/>
    <w:link w:val="2"/>
    <w:qFormat/>
    <w:uiPriority w:val="0"/>
    <w:rPr>
      <w:rFonts w:ascii="宋体" w:hAnsi="Courier New" w:cs="Courier New"/>
      <w:kern w:val="2"/>
      <w:sz w:val="21"/>
      <w:szCs w:val="21"/>
    </w:rPr>
  </w:style>
  <w:style w:type="paragraph" w:styleId="17">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5</Pages>
  <Words>3666</Words>
  <Characters>3933</Characters>
  <Lines>31</Lines>
  <Paragraphs>9</Paragraphs>
  <TotalTime>1</TotalTime>
  <ScaleCrop>false</ScaleCrop>
  <LinksUpToDate>false</LinksUpToDate>
  <CharactersWithSpaces>3940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z</cp:lastModifiedBy>
  <cp:lastPrinted>2022-07-13T08:25:00Z</cp:lastPrinted>
  <dcterms:modified xsi:type="dcterms:W3CDTF">2023-08-03T07:32:39Z</dcterms:modified>
  <dc:title>编制总说明</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2F07729B0D4742D7B52D285D65F2E774</vt:lpwstr>
  </property>
</Properties>
</file>