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大数据工程技术人员实训平台</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项目名称：大数据工程技术人员实训平台</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QSZB-Z(H)-B23335(CS)</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[2023]37075号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大数据工程技术人员实训平台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2023年</w:t>
      </w:r>
      <w:r>
        <w:rPr>
          <w:rFonts w:hint="eastAsia"/>
          <w:b/>
          <w:color w:val="auto"/>
          <w:sz w:val="21"/>
          <w:szCs w:val="21"/>
          <w:highlight w:val="none"/>
          <w:u w:val="single"/>
          <w:lang w:eastAsia="zh-CN"/>
        </w:rPr>
        <w:t>9月11日9:00:00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790"/>
      <w:bookmarkStart w:id="1" w:name="_Toc35393621"/>
      <w:bookmarkStart w:id="2" w:name="_Toc28359002"/>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QSZB-Z(H)-B23335(CS)</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项目名称：大数据工程技术人员实训平台</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预算金额（元）：750000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最高限价（元）：7</w:t>
      </w:r>
      <w:r>
        <w:rPr>
          <w:rFonts w:hint="eastAsia"/>
          <w:color w:val="auto"/>
          <w:sz w:val="21"/>
          <w:szCs w:val="21"/>
          <w:highlight w:val="none"/>
          <w:lang w:eastAsia="zh-CN"/>
        </w:rPr>
        <w:t>00</w:t>
      </w:r>
      <w:r>
        <w:rPr>
          <w:rFonts w:hint="eastAsia"/>
          <w:color w:val="auto"/>
          <w:sz w:val="21"/>
          <w:szCs w:val="21"/>
          <w:highlight w:val="none"/>
        </w:rPr>
        <w:t>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rPr>
        <w:t>合同签订之日起</w:t>
      </w:r>
      <w:r>
        <w:rPr>
          <w:rFonts w:hint="eastAsia"/>
          <w:color w:val="auto"/>
          <w:spacing w:val="-6"/>
          <w:sz w:val="21"/>
          <w:szCs w:val="21"/>
          <w:highlight w:val="none"/>
          <w:lang w:val="en-US" w:eastAsia="zh-CN"/>
        </w:rPr>
        <w:t>7</w:t>
      </w:r>
      <w:r>
        <w:rPr>
          <w:rFonts w:hint="eastAsia"/>
          <w:color w:val="auto"/>
          <w:spacing w:val="-6"/>
          <w:sz w:val="21"/>
          <w:szCs w:val="21"/>
          <w:highlight w:val="none"/>
        </w:rPr>
        <w:t>天内交付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2"/>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大数据工程技术人员实训平台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否</w:t>
            </w:r>
          </w:p>
        </w:tc>
      </w:tr>
    </w:tbl>
    <w:p>
      <w:pPr>
        <w:adjustRightInd w:val="0"/>
        <w:snapToGrid w:val="0"/>
        <w:spacing w:line="288" w:lineRule="auto"/>
        <w:rPr>
          <w:b/>
          <w:color w:val="auto"/>
          <w:sz w:val="21"/>
          <w:szCs w:val="21"/>
          <w:highlight w:val="none"/>
        </w:rPr>
      </w:pPr>
      <w:bookmarkStart w:id="5" w:name="_Toc35393622"/>
      <w:bookmarkStart w:id="6" w:name="_Toc28359003"/>
      <w:bookmarkStart w:id="7" w:name="_Toc28359080"/>
      <w:bookmarkStart w:id="8" w:name="_Toc35393791"/>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本项目整体专门面向中小企业采购。提供货物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82"/>
      <w:bookmarkStart w:id="14" w:name="_Toc35393624"/>
      <w:bookmarkStart w:id="15" w:name="_Toc28359005"/>
      <w:bookmarkStart w:id="16" w:name="_Toc35393793"/>
      <w:r>
        <w:rPr>
          <w:rFonts w:hint="eastAsia"/>
          <w:color w:val="auto"/>
          <w:sz w:val="21"/>
          <w:szCs w:val="21"/>
          <w:highlight w:val="none"/>
        </w:rPr>
        <w:t>时间：2023年</w:t>
      </w:r>
      <w:r>
        <w:rPr>
          <w:rFonts w:hint="eastAsia"/>
          <w:color w:val="auto"/>
          <w:sz w:val="21"/>
          <w:szCs w:val="21"/>
          <w:highlight w:val="none"/>
          <w:lang w:val="en-US" w:eastAsia="zh-CN"/>
        </w:rPr>
        <w:t>8</w:t>
      </w:r>
      <w:r>
        <w:rPr>
          <w:rFonts w:hint="eastAsia"/>
          <w:color w:val="auto"/>
          <w:sz w:val="21"/>
          <w:szCs w:val="21"/>
          <w:highlight w:val="none"/>
        </w:rPr>
        <w:t>月</w:t>
      </w:r>
      <w:r>
        <w:rPr>
          <w:rFonts w:hint="eastAsia"/>
          <w:color w:val="auto"/>
          <w:sz w:val="21"/>
          <w:szCs w:val="21"/>
          <w:highlight w:val="none"/>
          <w:lang w:val="en-US" w:eastAsia="zh-CN"/>
        </w:rPr>
        <w:t>30</w:t>
      </w:r>
      <w:r>
        <w:rPr>
          <w:rFonts w:hint="eastAsia"/>
          <w:color w:val="auto"/>
          <w:sz w:val="21"/>
          <w:szCs w:val="21"/>
          <w:highlight w:val="none"/>
        </w:rPr>
        <w:t>日至2023年</w:t>
      </w:r>
      <w:r>
        <w:rPr>
          <w:rFonts w:hint="eastAsia"/>
          <w:color w:val="auto"/>
          <w:sz w:val="21"/>
          <w:szCs w:val="21"/>
          <w:highlight w:val="none"/>
          <w:lang w:eastAsia="zh-CN"/>
        </w:rPr>
        <w:t>9月11日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截止时间：2023年</w:t>
      </w:r>
      <w:r>
        <w:rPr>
          <w:rFonts w:hint="eastAsia"/>
          <w:bCs/>
          <w:color w:val="auto"/>
          <w:sz w:val="21"/>
          <w:szCs w:val="21"/>
          <w:highlight w:val="none"/>
          <w:lang w:eastAsia="zh-CN"/>
        </w:rPr>
        <w:t>9月11日9:00:00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794"/>
      <w:bookmarkStart w:id="18" w:name="_Toc28359084"/>
      <w:bookmarkStart w:id="19" w:name="_Toc28359007"/>
      <w:bookmarkStart w:id="20" w:name="_Toc35393625"/>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开启时间：2023年</w:t>
      </w:r>
      <w:r>
        <w:rPr>
          <w:rFonts w:hint="eastAsia"/>
          <w:bCs/>
          <w:color w:val="auto"/>
          <w:sz w:val="21"/>
          <w:szCs w:val="21"/>
          <w:highlight w:val="none"/>
          <w:lang w:eastAsia="zh-CN"/>
        </w:rPr>
        <w:t>9月11日9:00:00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4</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35393627"/>
      <w:bookmarkStart w:id="24" w:name="_Toc28359008"/>
      <w:bookmarkStart w:id="25" w:name="_Toc35393796"/>
      <w:bookmarkStart w:id="26"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项目联系人（询问）：刘老师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项目联系方式（询问）：13646710179</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rFonts w:hint="eastAsia" w:eastAsia="宋体"/>
          <w:color w:val="auto"/>
          <w:sz w:val="21"/>
          <w:szCs w:val="21"/>
          <w:highlight w:val="none"/>
          <w:lang w:val="en-US" w:eastAsia="zh-CN"/>
        </w:rPr>
      </w:pPr>
      <w:r>
        <w:rPr>
          <w:rFonts w:hint="eastAsia"/>
          <w:color w:val="auto"/>
          <w:sz w:val="21"/>
          <w:szCs w:val="21"/>
          <w:highlight w:val="none"/>
        </w:rPr>
        <w:t>质疑联系人：</w:t>
      </w:r>
      <w:r>
        <w:rPr>
          <w:rFonts w:hint="eastAsia"/>
          <w:color w:val="auto"/>
          <w:sz w:val="21"/>
          <w:szCs w:val="21"/>
          <w:highlight w:val="none"/>
          <w:lang w:val="en-US" w:eastAsia="zh-CN"/>
        </w:rPr>
        <w:t>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名称：杭州电子科技大学国有资产与实验室管理处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联系人：亓老师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监督投诉电话：0571-87713574</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政策咨询：何一平、冯华，0571-87058424、87055741</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预算金额未达100万元的采购项目，由采购人处理采购争议。</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8" w:name="_Hlk45005599"/>
            <w:r>
              <w:rPr>
                <w:rFonts w:hint="eastAsia"/>
                <w:b/>
                <w:bCs/>
                <w:color w:val="auto"/>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color w:val="auto"/>
                <w:sz w:val="21"/>
                <w:szCs w:val="21"/>
                <w:highlight w:val="none"/>
                <w:lang w:eastAsia="zh-CN"/>
              </w:rPr>
            </w:pPr>
            <w:r>
              <w:rPr>
                <w:rFonts w:hint="eastAsia" w:cs="Times New Roman"/>
                <w:b/>
                <w:bCs/>
                <w:color w:val="auto"/>
                <w:sz w:val="21"/>
                <w:szCs w:val="21"/>
                <w:highlight w:val="none"/>
              </w:rPr>
              <w:t>采购标的对应的中小企业划分标准所属行业：</w:t>
            </w:r>
            <w:r>
              <w:rPr>
                <w:rFonts w:hint="eastAsia" w:cs="Times New Roman"/>
                <w:b/>
                <w:bCs/>
                <w:color w:val="auto"/>
                <w:sz w:val="21"/>
                <w:szCs w:val="21"/>
                <w:highlight w:val="none"/>
                <w:lang w:eastAsia="zh-CN"/>
              </w:rPr>
              <w:t>软件和信息技术服务业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三、成交方需提供增值税专用发票，开票信息如下：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2"/>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30"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合同签订之日起</w:t>
            </w:r>
            <w:r>
              <w:rPr>
                <w:rFonts w:hint="eastAsia"/>
                <w:color w:val="auto"/>
                <w:sz w:val="21"/>
                <w:szCs w:val="21"/>
                <w:highlight w:val="none"/>
                <w:lang w:val="en-US" w:eastAsia="zh-CN"/>
              </w:rPr>
              <w:t>7</w:t>
            </w:r>
            <w:r>
              <w:rPr>
                <w:rFonts w:hint="eastAsia"/>
                <w:color w:val="auto"/>
                <w:sz w:val="21"/>
                <w:szCs w:val="21"/>
                <w:highlight w:val="none"/>
              </w:rPr>
              <w:t>天内交付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default"/>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eastAsia"/>
                <w:color w:val="auto"/>
                <w:sz w:val="21"/>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.安装调试：</w:t>
            </w:r>
            <w:r>
              <w:rPr>
                <w:rFonts w:hint="default"/>
                <w:color w:val="auto"/>
                <w:sz w:val="21"/>
                <w:szCs w:val="21"/>
                <w:highlight w:val="none"/>
              </w:rPr>
              <w:t xml:space="preserve"> </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.6供应商在响应文件中应提供安装调试计划、对安装场地和环境的要求。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5</w:t>
            </w:r>
            <w:r>
              <w:rPr>
                <w:rFonts w:hint="eastAsia"/>
                <w:color w:val="auto"/>
                <w:sz w:val="21"/>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6</w:t>
            </w:r>
            <w:r>
              <w:rPr>
                <w:rFonts w:hint="default"/>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上述内容的实现方式、时间、地点、人数应在响应文件中详细说明。</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r>
        <w:rPr>
          <w:rFonts w:hint="eastAsia"/>
          <w:color w:val="auto"/>
          <w:sz w:val="21"/>
          <w:szCs w:val="21"/>
          <w:highlight w:val="none"/>
        </w:rPr>
        <w:t>如技术要求中未注明需执行的国家相关标准、行业标准、地方标准或者其他标准、规范的，执行最新标准、规范。</w:t>
      </w:r>
    </w:p>
    <w:p>
      <w:pPr>
        <w:adjustRightInd w:val="0"/>
        <w:snapToGrid w:val="0"/>
        <w:spacing w:line="288" w:lineRule="auto"/>
        <w:rPr>
          <w:b/>
          <w:bCs/>
          <w:color w:val="auto"/>
          <w:sz w:val="21"/>
          <w:szCs w:val="21"/>
          <w:highlight w:val="none"/>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Hans"/>
        </w:rPr>
        <w:t>满足浙江省人力资源和社会保障厅</w:t>
      </w:r>
      <w:r>
        <w:rPr>
          <w:rFonts w:hint="default"/>
          <w:b/>
          <w:bCs/>
          <w:color w:val="auto"/>
          <w:sz w:val="21"/>
          <w:szCs w:val="21"/>
          <w:highlight w:val="none"/>
          <w:lang w:eastAsia="zh-Hans"/>
        </w:rPr>
        <w:t>、</w:t>
      </w:r>
      <w:r>
        <w:rPr>
          <w:rFonts w:hint="eastAsia"/>
          <w:b/>
          <w:bCs/>
          <w:color w:val="auto"/>
          <w:sz w:val="21"/>
          <w:szCs w:val="21"/>
          <w:highlight w:val="none"/>
          <w:lang w:val="en-US" w:eastAsia="zh-Hans"/>
        </w:rPr>
        <w:t>浙江省财政厅关于印发《浙江省数字技术工程师培育项目实施方案》的要求</w:t>
      </w:r>
      <w:r>
        <w:rPr>
          <w:rFonts w:hint="default"/>
          <w:b/>
          <w:bCs/>
          <w:color w:val="auto"/>
          <w:sz w:val="21"/>
          <w:szCs w:val="21"/>
          <w:highlight w:val="none"/>
          <w:lang w:eastAsia="zh-Hans"/>
        </w:rPr>
        <w:t>，</w:t>
      </w:r>
      <w:r>
        <w:rPr>
          <w:rFonts w:hint="eastAsia"/>
          <w:b/>
          <w:bCs/>
          <w:color w:val="auto"/>
          <w:sz w:val="21"/>
          <w:szCs w:val="21"/>
          <w:highlight w:val="none"/>
          <w:lang w:val="en-US" w:eastAsia="zh-Hans"/>
        </w:rPr>
        <w:t>符合</w:t>
      </w:r>
      <w:r>
        <w:rPr>
          <w:rFonts w:hint="eastAsia"/>
          <w:b/>
          <w:bCs/>
          <w:color w:val="auto"/>
          <w:sz w:val="21"/>
          <w:szCs w:val="21"/>
          <w:highlight w:val="none"/>
        </w:rPr>
        <w:t>大数据工程技术人员</w:t>
      </w:r>
      <w:r>
        <w:rPr>
          <w:rFonts w:hint="eastAsia"/>
          <w:b/>
          <w:bCs/>
          <w:color w:val="auto"/>
          <w:sz w:val="21"/>
          <w:szCs w:val="21"/>
          <w:highlight w:val="none"/>
          <w:lang w:val="en-US" w:eastAsia="zh-Hans"/>
        </w:rPr>
        <w:t>职业标准的培训</w:t>
      </w:r>
      <w:r>
        <w:rPr>
          <w:rFonts w:hint="eastAsia"/>
          <w:b/>
          <w:bCs/>
          <w:color w:val="auto"/>
          <w:sz w:val="21"/>
          <w:szCs w:val="21"/>
          <w:highlight w:val="none"/>
        </w:rPr>
        <w:t>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2"/>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
        <w:gridCol w:w="1733"/>
        <w:gridCol w:w="532"/>
        <w:gridCol w:w="615"/>
        <w:gridCol w:w="6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379"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733"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532"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1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80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5" w:hRule="atLeast"/>
          <w:jc w:val="center"/>
        </w:trPr>
        <w:tc>
          <w:tcPr>
            <w:tcW w:w="379"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733"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大数据工程技术人员实训平台</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（核心产品）</w:t>
            </w:r>
          </w:p>
        </w:tc>
        <w:tc>
          <w:tcPr>
            <w:tcW w:w="532"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61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w:t>
            </w:r>
          </w:p>
        </w:tc>
        <w:tc>
          <w:tcPr>
            <w:tcW w:w="6801" w:type="dxa"/>
            <w:vAlign w:val="center"/>
          </w:tcPr>
          <w:p>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一、平台技术：</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1、系统要求以容器化技术为基础，借助容器技术，提供快速启动、故障自恢复、资源隔离、快速干净清理、可伸缩等能力，实现高效便捷管理实训环境；</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2、系统须提供实训环境的动态创建功能，支持平台资源的快速复用；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3、系统须支持学生用户≤1秒内连接进入相关课程实训环境；</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4、系统须支持服务器节点数的后续扩容，实现支持更多的用户进行并发实训操作，</w:t>
            </w:r>
            <w:r>
              <w:rPr>
                <w:rFonts w:hint="eastAsia" w:ascii="宋体" w:hAnsi="宋体" w:eastAsia="宋体" w:cs="宋体"/>
                <w:b w:val="0"/>
                <w:bCs/>
                <w:color w:val="auto"/>
                <w:kern w:val="0"/>
                <w:sz w:val="21"/>
                <w:szCs w:val="21"/>
                <w:highlight w:val="none"/>
                <w:lang w:val="en-US" w:eastAsia="zh-CN" w:bidi="ar"/>
              </w:rPr>
              <w:t>系统不限制用户数</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5、系统须提供B/S架构，前后端以及内部各模块间都采用Restful接口交换数据，提高平台响应速度；</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6、安全性：系统须支持权限隔离，保护用户数据私密性；</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7、系统须具有可靠的数据存储和恢复能力，多节点冗余架构设计，性能随节点数量的增加而线性增加，支持多节点自动负载均衡及故障转移；</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8、系统须提供应用全生命周期管理，支持自动释放用户多余的应用空间；</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9、系统须支持实时管控系统和用户的资源使用情况，包括服务器（CPU和内存、网络、存储）、用户并发个数；</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10、系统须支持限制对硬件资源的使用量和并发数；</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11、系统须提供实时的资源动态图表；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12、系统须支持用户点击进入实训节点打开图形化桌面。</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二、实训环境工具：</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1、数据开发工具须提供语法高亮、SQL语法纠错功能、友好的运行错误码提示和实时的运行日志，并支持作业全生命周期状态展示；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2、数据开发工具须支持多数据源，支持JDBC数据源，支持CSV上传；支持数据开发节点的数据集直接展示；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3、须提供任务进度可视化展示的数据开发工具，用户运行后可通过可视化的方式展示任务当前进度；</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4、须提供支持批量任务调度的数据实训节点，支持工作流立即执行、定时调度和统一工作流的并发执行和工作流的条件执行等多种场景；</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5、须提供工作流式的图形化拖拽开发环境的数据实训节点，支持组件拖拽式操作，支持组件脚本编程和参数配置；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6、须提供连接组件构建工作流的数据实训节点，支持工作流的运行和结果查看；</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7、须提供Kylin、durid作为OLAP的数据实训节点；</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8、数据实训节点须内置主流大数据分部署存储系统、支持分布式数据仓库Hive和分布式列式存储NoSql数据库HBase；</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9、数据实训节点须支持主流大数据计算引擎，包括mr引擎、spark引擎等；</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10、数据实训节点须支持python和shell脚本运行环境；</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11、数据实训节点须提供多语言支持的spark开发环境，如scala、pyspark、sparkR等；</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12、数据实训节点须支持多种数据查询语言，如SQL、SparkSQL、HQL等；</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13、数据实训节点须支持执行多种脚本语言，支持执行SparkSQL脚本语言；支持执行Scala编程语言；支持执行Python脚本语言；支持执行Hql脚本语言；支持执行Shell脚本语言；</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14、须提供Hadoop核心HDFS、YARN组件的版本不低于3.2.0。</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三、实训内容：</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1、系统实训案例须按照</w:t>
            </w:r>
            <w:r>
              <w:rPr>
                <w:rFonts w:hint="eastAsia" w:ascii="宋体" w:hAnsi="宋体" w:eastAsia="宋体" w:cs="宋体"/>
                <w:color w:val="auto"/>
                <w:kern w:val="2"/>
                <w:sz w:val="21"/>
                <w:szCs w:val="21"/>
                <w:highlight w:val="none"/>
                <w:lang w:val="en-US" w:eastAsia="zh-CN" w:bidi="ar"/>
              </w:rPr>
              <w:t>人力资源社会保障部专业技术人员管理司组织编写的</w:t>
            </w:r>
            <w:r>
              <w:rPr>
                <w:rFonts w:hint="eastAsia" w:ascii="宋体" w:hAnsi="宋体" w:eastAsia="宋体" w:cs="宋体"/>
                <w:color w:val="auto"/>
                <w:kern w:val="0"/>
                <w:sz w:val="21"/>
                <w:szCs w:val="21"/>
                <w:highlight w:val="none"/>
                <w:lang w:val="en-US" w:eastAsia="zh-CN" w:bidi="ar"/>
              </w:rPr>
              <w:t>《大数据工程技术人员（初级）》相关教材提供大数据处理与应用方向、大数据分析与挖掘方向、数据管理方向及大数据基础技术的实训资源，须提供匹配正式出版教材的案例；</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2、《大数据存储系统搭建》实训案例中非关系型数据库和关系型数据仓库的操作须使用HBASE、hive、HDFS等相关组件；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3、《大数据作业开发系统搭建》和《大数据服务器系统搭建》实训案例须提供zabbix服务组件实现系统资源监控功能；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4、《大数据传输系统搭建》实训案例须支持kafka、flume、SQOOP等相关服务组件的安装以及配置功能；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5、《大数据查询系统搭建》实训案例须支持trino服务配置、支持kylin以及druid服务组件；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6、《大数据安全系统搭建》实训案例安全认证操作须支持kerberos组件，数据访问权限管理操作需要支持ranger组件；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7、《元数据管理》实训案例数据血缘关系查询操作须支持atlas组件，且支持hive元数据的全量以及增量导入；</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8、《网络数据处理》实训案例的数据预处理以及数仓实现操作需要使用hive、SQOOP等服务组件；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9、《离线数据处理》实训案例数仓实现操作须支持hive和sqopp服务组件，spark操作须支持sparkSQL以及Spark连接hive等；构建任务流操作时须提供dolphinscheduler组件；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10、《实时数据处理》实训案例Druid的可视化操作需要使用turnilo组件；须支持kafka作为channel和Sink与flume集成；</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11、《交互式数据处理》实训案例kylin流式操作需要使用kylin组件，kylin的可视化操作须使用zepplin组件；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12、《基于ElasticSearch的数据检索》实训案例须提供ElasticSearch、logstash、kibana的运行环境，支持IK分词器和pinyin分词器；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13、《数据统计分析》实训案例须提供RStudio的开发工具，支持SparkR的运行环境以及程序开发；</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14、《BI数据分析》实训案例BI数据分析操作需要使用Metabase组件；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15、《数据挖掘建模》实训案例须支持pyspark的运行环境，支持pyspark的开发工具jupyter；</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16、《数据可视化开发》实训案例须支持数据可视化编程操作，提供VSCode的开发工具，支持echars开发。</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四、平台功能：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1、系统须提供学生账号、教师账号、管理员账号的登录功能，支持账号验证且只允许用户单点登录平台；</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2、系统须提供实训查询、实训列表、实训详情查看的功能；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3、系统须提供根据不同实训类别进行实训筛选功能，实训类别是基于标签（包括最新、最热、已完成、未完成等标签）进行实训分类；</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4、系统须提供每个实训对应的实训环境，并提供进入实训环境的实训按钮；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5、系统须提供学生实训情况统计功能；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6、系统须提供实训手册、实训报告、实训操作同屏功能，支持用户全屏查看手册，支持用户全屏实训，支持用户全屏编写报告；支持用户复制代码段；系统须提供实训手册查看，支持向下滑动展示全部内容；</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7、系统须提供实训操作全局操作功能包括：存档、提交、退出、求助；</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8、系统须支持用户撰写实训报告，实训报告提供图片库、代码库、保存、预览、全屏的功能，支持图片、文字、代码、表格的输入，且插入的图片只能是实训环境截图的图片，保证报告真实性；</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9、系统须提供实训环境的全屏、粘贴、截图、刷新操作，允许将本地代码粘贴到实训环境中进行代码的执行；</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10、系统须提供终端和桌面切换功能，进入节点默认展示终端页面，支持点击桌面按钮切换到桌面页面，且切换等待时间不超过3秒；</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11、系统须提供实训评测功能，支持系统判断学生实训操作是否正确，并能依据评测结果提供实训操作错误提示，帮助学生进行实训操作更正。允许学生、教师查看实训评测结果；</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12、系统须提供模拟考试功能，支持用户进行模拟考试；</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13、系统须提供模拟考试信息介绍及模拟考试入口；</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14、系统须提供模拟考试题目、模拟考试报告、模拟考试操作功能；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15、系统须提供模拟考试实训操作全局操作功能包括：提交、退出；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16、系统须提供保存实训、考试报告并生成pdf文档，支持下载报告；</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17、系统须提供实训、考试报告批阅功能，支持录入分数和评语；</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18、系统须提供实训操作过程中异常退出（包括手动误关闭浏览器退出、本机断电自动退出、系统性能不稳定卡住退出、本机断网自动退出等异常情况）后可再次进入同一实训环境的功能；</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Hans"/>
              </w:rPr>
              <w:t>19、系统可支持</w:t>
            </w:r>
            <w:r>
              <w:rPr>
                <w:rFonts w:hint="eastAsia" w:ascii="宋体" w:hAnsi="宋体" w:eastAsia="宋体" w:cs="宋体"/>
                <w:color w:val="auto"/>
                <w:sz w:val="21"/>
                <w:szCs w:val="21"/>
                <w:highlight w:val="none"/>
                <w:lang w:val="en-US" w:eastAsia="zh-Hans"/>
              </w:rPr>
              <w:t>大数据工程技术人员</w:t>
            </w:r>
            <w:r>
              <w:rPr>
                <w:rFonts w:hint="eastAsia" w:ascii="宋体" w:hAnsi="宋体" w:eastAsia="宋体" w:cs="宋体"/>
                <w:color w:val="auto"/>
                <w:sz w:val="21"/>
                <w:szCs w:val="21"/>
                <w:highlight w:val="none"/>
                <w:lang w:eastAsia="zh-Hans"/>
              </w:rPr>
              <w:t>中级和高级的实训资源部署。</w:t>
            </w:r>
            <w:r>
              <w:rPr>
                <w:rFonts w:hint="eastAsia" w:ascii="宋体" w:hAnsi="宋体" w:eastAsia="宋体" w:cs="宋体"/>
                <w:color w:val="auto"/>
                <w:kern w:val="0"/>
                <w:sz w:val="21"/>
                <w:szCs w:val="21"/>
                <w:highlight w:val="none"/>
                <w:lang w:eastAsia="zh-CN" w:bidi="ar"/>
              </w:rPr>
              <w:t xml:space="preserve"> </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五、数据源平台—云平台：</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1、通过云平台能够采集行业场景终端设备数据；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2、可实现家居情景模式设定管理，灯光照明系统智能控制，家庭环境智能控制，智能化安防报警等功能；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3、可在广域网中通过PC、移动智能终端、智能网关等设备登录此云平台；</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4、具备项目管理功能，提供定制化的项目中心集中管理；</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5、支持SAAS项目的新建并支持授权API的自动生成功能；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6、支持云网关的配置，支持云网关的设备管理、编辑等功能；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7、云平台与项目云网关之间的心跳轮询时间可在3-15S之间灵活设置；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8、需能提供多种的项目案例配置默认地址，至少提供智能家居安居、养殖案例等默认地址配置；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9、兼容行业中常见的功能节点，至少支持数字量Modbus、模拟量Modbus及ZigBee无线传输类型的节点管理；</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10、支持至少1</w:t>
            </w:r>
            <w:r>
              <w:rPr>
                <w:rFonts w:hint="eastAsia" w:ascii="宋体" w:hAnsi="宋体" w:eastAsia="宋体" w:cs="宋体"/>
                <w:color w:val="auto"/>
                <w:kern w:val="0"/>
                <w:sz w:val="21"/>
                <w:szCs w:val="21"/>
                <w:highlight w:val="none"/>
                <w:lang w:eastAsia="zh-CN" w:bidi="ar"/>
              </w:rPr>
              <w:t>0</w:t>
            </w:r>
            <w:r>
              <w:rPr>
                <w:rFonts w:hint="eastAsia" w:ascii="宋体" w:hAnsi="宋体" w:eastAsia="宋体" w:cs="宋体"/>
                <w:color w:val="auto"/>
                <w:kern w:val="0"/>
                <w:sz w:val="21"/>
                <w:szCs w:val="21"/>
                <w:highlight w:val="none"/>
                <w:lang w:val="en-US" w:eastAsia="zh-CN" w:bidi="ar"/>
              </w:rPr>
              <w:t>种以上常用传感器节点，支持温度、湿度、水温、二氧化碳、光照、风速、大气压力、空气质量、可燃气体、火焰、红外对射传感器等；</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11、同时支持手动与默认的节点配置方案，提供至少一种默认节点配置方案；</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12、支持节点的状态查询并按需控制；</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13、支持学校自定义实训资源包挂接。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2" w:hRule="atLeast"/>
          <w:jc w:val="center"/>
        </w:trPr>
        <w:tc>
          <w:tcPr>
            <w:tcW w:w="379"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733"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大数据工程技术人员实训资源（初级）</w:t>
            </w:r>
          </w:p>
        </w:tc>
        <w:tc>
          <w:tcPr>
            <w:tcW w:w="532"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61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w:t>
            </w:r>
          </w:p>
        </w:tc>
        <w:tc>
          <w:tcPr>
            <w:tcW w:w="680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系统实训资源提供依据人力资源社会保障部专业技术人员管理司组织编写的《大数据工程技术人员（初级）》相关教材开发的实训案例环境、操作过程、实训组件等，包括：</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、大数据服务器系统搭建</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实训系统：安装在服务器硬件之上的操作系统，作为大数据系统的软件基础平台</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rPr>
              <w:t>大数据软件系统的核心支撑，需要提供额外的管理、配置、稳定、安全等维度的能力。实验要求掌握基于硬件系统规划服务器系统部署方案并通过脚本自动化部署，完成高可用及容灾配置，将各大数据组件联通。</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1）操作系统安装及操作知识</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（2）系统依赖环境管理</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（3）系统资源监控</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实训环境须提供配套安装包，包含但不限于：hadoop-3.2.1-src.tar.gz、jdk1.8.0_151.tar.gz、findbugs-3.0.1.tar.gz、protobuf-3.5.1.tar.gz、yum（os源、zabbix源）</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、大数据存储系统搭建</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本实验须至少包含Hadoop分布式集群、关系型数据库MySQL、非关系型数据库HBase及其操作、Hive数据仓库的部署与运维操作内容。可让学生在基本操作基础上重点掌握NoSQL及Hive数据仓库基本操作方法、优化处理方法等内容</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（1）部署Hadoop环境</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（2）分布式文件系统的操作</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（3）部署大数据关系型数据库（mysql）</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（4）部署大数据非关系型数据库（HBase）</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（5）Hive数据仓库的使用</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实训环境须提供配套安装包，包含但不限于：jdk1.8.0_151.tar.gz、hadoop-3.2.1.tar.gz、mysql-8.0.26.tar.gz、hive-3.1.2.tar.gz、hbase-2.2.5.tar.gz、mysql-connector-java.jar（驱动包）、zookeeper-3.6.1.tar.gz</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、大数据作业开发系统搭建</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实训系统：实验须至少包含MapReduce、Spark与Flink这三个常用大数据处理引擎。</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（1）MapReduce引擎依赖安装</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（2）部署Flink完全分布式集群</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（3）YARN资源管理器</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（4）HUE作业开发环境部署</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（5）Dolphinscheduling作业调度系统</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实训环境须提供配套安装包，包含但不限于：ideaIC-2021.3.2.tar.gz、spark-2.4.6.tar.gz、scala-intellij-bin-2021.3.18.zip、flink-1.12.2.tar.gz、hue.tar.gz、dolphinscheduler-1.3.6.tar.gz</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实训环境须提供配套的支持服务或组件，包含但不限于：Hadoop、JDK、Zookeeper、NameNode，DataNode，NodeManager，maven、MySQL、ResourceManager，JobHistoryServer</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、大数据传输系统搭建</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实训系统：实验须至少以大数据实际项目中数据迁移框架Sqoop的使用以及实时数据采集的方法作为主要内容，包括但不限于日志监控及消息队列传输原理，实时数据采集框架Flume及消息中间件Kafka的机制等要点</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（1）对sqoop进行部署配置</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（2）使用sqoop采集离线数据</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（3）搭建Flume、kafka、zookeeper并进行测试</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（4）设置数据主题分发数据至存储系统</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实训环境须提供配套安装包，包含但不限于：sqoop-1.4.7.tar.gz、apache-flume-1.9.0-bin.tar.gz、zookeeper-3.6.1.tar.gz、kafka-2.5.0.tar.gz</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实训环境须提供配套的支持服务或组件，包含但不限于：Hadoop、JDK、hive、mysql、NameNode、DataNode、NodeManager、ResourceManager、JobHistoryServer</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、大数据查询系统搭建</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实训系统：实验须以实际工作中联机数据分析和多维数据分析为场景，涉及数据的采集及数据可视化业务，同时介绍数据访问权限的问题</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（1）ROLAP系统搭建</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（2）数据MOLAP系统搭建</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（3）OLAP系统搭建</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（4）数据检索系统搭建</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实训环境须提供配套安装包，包含但不限于：trino-jdbc-357.jar、trino-server-357.tar.gz、dbeaver-ce-21.3.2-linux.gtk.x86_64.tar.gz、kylin-3.1.2.tar.gz、apache-druid-0.22.1.tar.gz、node-v12.18.1-linux-x64.tar.gz、yum（ELK）</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实训环境须提供配套的支持服务或组件，包含但不限于：Hadoop、JDK、Zookeeper、HBASE，hive，mysql，kafka</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、大数据安全系统搭建；</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实验须以真实工作中构建大数据所需的集群安全系统作为项目内容，项目至少面向保障数据系统的访问安全，针对不同级别的安全需求，如用户权限、数据权限以及平台安全风险等方面内容，构建完整的大数据安全系统</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（1）集群安装与用户鉴权</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（2）数据访问权限管理</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实训环境须提供配套安装包，包含但不限于：yum（os/ncmp/NTK）</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实训环境须提供配套的支持服务或组件，包含但不限于：JDK</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、网络数据处理</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实训系统：实验须包含对网站数据进行有针对性的提取和分析，以获取更多有价值的信息，充分实现网络数据价值和利益的最大化，为商业决策提供有效的手段</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（1）网络数据爬取</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（2）数据加载及预处理</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（3）数据仓库实现</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（4）即席查询、dbeaver查询</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（5）任务调度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依次执行各层的shell脚本来实现，为简化操作，使用dolphinscheduler实现任务的自动执行</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的支持服务或组件，包含但不限于：Hadoop、JDK、Zookeeper、maven、idea、hive、mysql、sqoop、dolphin、trino、dolphinscheduler、dbeaver、NameNode，DataNode，NodeManager，jupyter、ResourceManager、JobHistoryServer、sqoop、dolphin logger、dolphin worker，dolphinmaster，dolphinapi</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、离线数据处理</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实训系统：本项目须以网站点击流数据分析为例，运用大数据实时计算的基本思想，讲解网站点击流的生成、处理和实时分析的基本流程</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（1）业务系统实现</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（2）使用Sqoop将MySQL的业务数据导入到Hive中</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（3）数据仓库实现</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（4）使用Spark连接到Hive后，编写并执行SparkSQL语句对数据进行处理</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（5）任务调度-依次执行各层的shell脚本来实现，为简化操作，使用dolphinscheduler实现任务的自动执行</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实训环境须提供配套的支持服务或组件，包含但不限于：Hadoop、JDK、Zookeeper、hive、sqoop、mysql、dolphinscheduler、spark、scala、maven、idea、NameNode，DataNode，NodeManager，ResourceManage，JobHistoryServer，dolphinmaster，dolphinapi</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rPr>
              <w:t>、实时数据处理</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实训系统：本项目须以网站点击流数据分析为例，运用大数据实时计算的基本思想，讲解网站点击流的生成、处理和实时分析的基本流程</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（1）网页埋点开发</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（2）Flume日志收集</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（3）kafka信息队列</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（4）Spark Streaming实时计算</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（5）Druid实时查询</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的支持服务或组件，包含但不限于：Hadoop、JDK、Zookeeper、kafka、spark、scala、IDEA、maven、mysql、druid、turnilo、nginx、flume、NameNode、DataNode、NodeManager、spark-slave、spark-maser、spark-slave、ResourceManager、JobHistoryServer</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十</w:t>
            </w:r>
            <w:r>
              <w:rPr>
                <w:rFonts w:hint="eastAsia" w:ascii="宋体" w:hAnsi="宋体" w:eastAsia="宋体" w:cs="宋体"/>
                <w:b/>
                <w:bCs/>
                <w:color w:val="auto"/>
                <w:sz w:val="21"/>
                <w:szCs w:val="21"/>
                <w:highlight w:val="none"/>
              </w:rPr>
              <w:t>、交互式数据处理</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实训系统：本项目实验须重点讲解使用Kylin对Hive中的数据进行实时聚合查询的方式</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（1）Kylin基本使用</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（2）Kylin流式应用</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（3）BI集成</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实训环境须提供配套的支持服务或组件，包含但不限于：Hadoop、JDK、Zookeeper、kafka、HBASE、hive、kylin、mysql、zeppline、NameNode，DataNode，NodeManager，Hmaster、RegionServer、ResourceManager、JobHistoryServer</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十一</w:t>
            </w:r>
            <w:r>
              <w:rPr>
                <w:rFonts w:hint="eastAsia" w:ascii="宋体" w:hAnsi="宋体" w:eastAsia="宋体" w:cs="宋体"/>
                <w:b/>
                <w:bCs/>
                <w:color w:val="auto"/>
                <w:sz w:val="21"/>
                <w:szCs w:val="21"/>
                <w:highlight w:val="none"/>
              </w:rPr>
              <w:t>、基于ElasticSearch的数据检索</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实训系统：实验须使用ElasticSearch创建索引对图书信息进行各种类型的检索</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（1）ELK快速入门</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（2）Lucene基础入门</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（3）ElasticSearch应用</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（4）ELK日志分析</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实训环境须提供配套的支持服务或组件，包含但不限于：JDK、ELK、IDEA、Maven、ElasticSearch、logstash、Kibana、rsyslog</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十二</w:t>
            </w:r>
            <w:r>
              <w:rPr>
                <w:rFonts w:hint="eastAsia" w:ascii="宋体" w:hAnsi="宋体" w:eastAsia="宋体" w:cs="宋体"/>
                <w:b/>
                <w:bCs/>
                <w:color w:val="auto"/>
                <w:sz w:val="21"/>
                <w:szCs w:val="21"/>
                <w:highlight w:val="none"/>
              </w:rPr>
              <w:t>、数据统计分析</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实训系统：本项目须使用来自目前正在进行的对美国马萨诸塞州弗雷明翰镇居民的心血管研究项目的真实数据，可分析和预测患者是否在未来的10年里有患冠心病的风险</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（1）工程创建</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（2）数据获取与观察</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（3）数据预处理</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（4）数据分析及检验</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实训环境须提供配套的支持服务或组件，包含但不限于：Hadoop、JDK、spark、scala、rstudio、hive、mysql</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NameNode，DataNode，NodeManager，R、Rstudio、HiveMetaStore、HiveServer2、ResourceManager，JobHistoryServer</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i w:val="0"/>
                <w:iCs w:val="0"/>
                <w:color w:val="auto"/>
                <w:sz w:val="21"/>
                <w:szCs w:val="21"/>
                <w:highlight w:val="none"/>
                <w:lang w:eastAsia="zh-CN"/>
              </w:rPr>
            </w:pPr>
            <w:r>
              <w:rPr>
                <w:rFonts w:hint="eastAsia" w:ascii="宋体" w:hAnsi="宋体" w:eastAsia="宋体" w:cs="宋体"/>
                <w:b/>
                <w:bCs/>
                <w:i w:val="0"/>
                <w:iCs w:val="0"/>
                <w:color w:val="auto"/>
                <w:sz w:val="21"/>
                <w:szCs w:val="21"/>
                <w:highlight w:val="none"/>
                <w:lang w:val="en-US" w:eastAsia="zh-CN"/>
              </w:rPr>
              <w:t>十三</w:t>
            </w:r>
            <w:r>
              <w:rPr>
                <w:rFonts w:hint="eastAsia" w:ascii="宋体" w:hAnsi="宋体" w:eastAsia="宋体" w:cs="宋体"/>
                <w:b/>
                <w:bCs/>
                <w:i w:val="0"/>
                <w:iCs w:val="0"/>
                <w:color w:val="auto"/>
                <w:sz w:val="21"/>
                <w:szCs w:val="21"/>
                <w:highlight w:val="none"/>
              </w:rPr>
              <w:t>、数据挖掘建模</w:t>
            </w:r>
            <w:r>
              <w:rPr>
                <w:rFonts w:hint="eastAsia" w:ascii="宋体" w:hAnsi="宋体" w:eastAsia="宋体" w:cs="宋体"/>
                <w:b/>
                <w:bCs/>
                <w:i w:val="0"/>
                <w:iCs w:val="0"/>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实训系统：项目须为电影推荐项目，该项目应实现movielens网站的个性化电影推荐功能。项目任务应根据网站中所提供的电影数据信息，用以训练推荐模型，并最终实现对不同用户的不同推荐结果</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（1）数据挖掘前期准备</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（2）模型构建</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（3）模型评估与部署</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的支持服务或组件，包含但不限于：Hadoop、JDK、spark、Scala、Ancona3、hive、mysql、NameNode、DataNode、Nodemanger、SparkWorker、Anaconda、jupyter、HiveMetaStore、ResourceManager、JobHistoryServer、DataNode、Nodemanger、SparkMaster</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十四</w:t>
            </w:r>
            <w:r>
              <w:rPr>
                <w:rFonts w:hint="eastAsia" w:ascii="宋体" w:hAnsi="宋体" w:eastAsia="宋体" w:cs="宋体"/>
                <w:b/>
                <w:bCs/>
                <w:color w:val="auto"/>
                <w:sz w:val="21"/>
                <w:szCs w:val="21"/>
                <w:highlight w:val="none"/>
              </w:rPr>
              <w:t>、数据可视化开发</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实训系统：本项目须以创建全球气象仪表板的方式，将后台数据接口中所发出的数据信息呈现在Web页面上。构建前端页面的开发工具众多，本节应使用IDEA工具来构建前端网页</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（1）工程创建</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（2）ECharts 安装及配置</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（3）图表基础技能</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（4）复杂图表操作</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实训环境须提供配套的支持服务或组件，包含但不限于：VsCode</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十五</w:t>
            </w:r>
            <w:r>
              <w:rPr>
                <w:rFonts w:hint="eastAsia" w:ascii="宋体" w:hAnsi="宋体" w:eastAsia="宋体" w:cs="宋体"/>
                <w:b/>
                <w:bCs/>
                <w:color w:val="auto"/>
                <w:sz w:val="21"/>
                <w:szCs w:val="21"/>
                <w:highlight w:val="none"/>
              </w:rPr>
              <w:t>、BI数据分析</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项目须以实际工作中使用BI工具进行数据分析的项目内容为研究对象，项目内容应包括使用网页版BI工具作为数据分析工具，导入数据仓库中的数据集市层数据，进行数据关联、格式调整，并选择展示字段进行数据可视化图表制作，最终完成BI数据分析</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（1）BI数据分析数据准备</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（2）数据报表制作</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实训环境须提供配套的支持服务或组件，包含但不限于：Metabase、MySQL、JDK</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十六</w:t>
            </w:r>
            <w:r>
              <w:rPr>
                <w:rFonts w:hint="eastAsia" w:ascii="宋体" w:hAnsi="宋体" w:eastAsia="宋体" w:cs="宋体"/>
                <w:b/>
                <w:bCs/>
                <w:color w:val="auto"/>
                <w:sz w:val="21"/>
                <w:szCs w:val="21"/>
                <w:highlight w:val="none"/>
              </w:rPr>
              <w:t>、元数据管理</w:t>
            </w:r>
            <w:r>
              <w:rPr>
                <w:rFonts w:hint="eastAsia" w:ascii="宋体" w:hAnsi="宋体" w:eastAsia="宋体" w:cs="宋体"/>
                <w:b/>
                <w:bCs/>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实训系统：本项目须来自真实行业电商企业，应通过其业务应用软件数据上报到服务器的形式，收集很多用JSON格式的用户行为数据。包含营销人员提出需求：计算用户每日活跃指数，即从用户浏览商品个数、评论数、点赞数、广告点击数、商品消息推送数等方面，全面了解每位用户每日使用此应用软件的活跃程度，并对活跃指数高的用户给予一定的奖励或优惠</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实训内容至少包含：</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（1）Atlas启动</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（2）Hive的元数据导入Atlas</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（3）查询元数据</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（4）查看审计信息</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（5）元数据的数据血缘</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实训环境须提供配套的支持服务或组件，包含但不限于：JDK、Zookeeper、kafka、hive、mysql、atlas、solr、HBASE、NameNode、DataNode、NodeManager、ResourceManage、JobHistoryServer，DataNode、NodeManager，HMaster、Regionserver、RegionServer</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highlight w:val="none"/>
                <w:lang w:eastAsia="zh-Hans"/>
              </w:rPr>
            </w:pPr>
            <w:r>
              <w:rPr>
                <w:rFonts w:hint="eastAsia" w:cs="宋体"/>
                <w:b w:val="0"/>
                <w:bCs w:val="0"/>
                <w:color w:val="auto"/>
                <w:sz w:val="21"/>
                <w:szCs w:val="21"/>
                <w:highlight w:val="none"/>
                <w:lang w:val="en-US" w:eastAsia="zh-CN"/>
              </w:rPr>
              <w:t>4、大数据工程技术人员实训资源包（初级）：不少于</w:t>
            </w:r>
            <w:r>
              <w:rPr>
                <w:rFonts w:hint="eastAsia" w:ascii="宋体" w:hAnsi="宋体" w:eastAsia="宋体" w:cs="宋体"/>
                <w:b w:val="0"/>
                <w:bCs w:val="0"/>
                <w:color w:val="auto"/>
                <w:sz w:val="21"/>
                <w:szCs w:val="21"/>
                <w:highlight w:val="none"/>
              </w:rPr>
              <w:t>16个资源包名称、布局、所属分类</w:t>
            </w:r>
            <w:r>
              <w:rPr>
                <w:rFonts w:hint="eastAsia" w:cs="宋体"/>
                <w:b w:val="0"/>
                <w:bCs w:val="0"/>
                <w:color w:val="auto"/>
                <w:sz w:val="21"/>
                <w:szCs w:val="21"/>
                <w:highlight w:val="none"/>
                <w:lang w:val="en-US" w:eastAsia="zh-CN"/>
              </w:rPr>
              <w:t>应在系统中明确展示</w:t>
            </w:r>
            <w:r>
              <w:rPr>
                <w:rFonts w:hint="eastAsia" w:ascii="宋体" w:hAnsi="宋体" w:eastAsia="宋体" w:cs="宋体"/>
                <w:b w:val="0"/>
                <w:bCs w:val="0"/>
                <w:color w:val="auto"/>
                <w:sz w:val="21"/>
                <w:szCs w:val="21"/>
                <w:highlight w:val="none"/>
              </w:rPr>
              <w:t>，并</w:t>
            </w:r>
            <w:r>
              <w:rPr>
                <w:rFonts w:hint="eastAsia" w:cs="宋体"/>
                <w:b w:val="0"/>
                <w:bCs w:val="0"/>
                <w:color w:val="auto"/>
                <w:sz w:val="21"/>
                <w:szCs w:val="21"/>
                <w:highlight w:val="none"/>
                <w:lang w:val="en-US" w:eastAsia="zh-CN"/>
              </w:rPr>
              <w:t>支持详细演示</w:t>
            </w:r>
            <w:r>
              <w:rPr>
                <w:rFonts w:hint="eastAsia" w:ascii="宋体" w:hAnsi="宋体" w:eastAsia="宋体" w:cs="宋体"/>
                <w:b w:val="0"/>
                <w:bCs w:val="0"/>
                <w:color w:val="auto"/>
                <w:sz w:val="21"/>
                <w:szCs w:val="21"/>
                <w:highlight w:val="none"/>
              </w:rPr>
              <w:t>元数据管理资源包。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9" w:hRule="atLeast"/>
          <w:jc w:val="center"/>
        </w:trPr>
        <w:tc>
          <w:tcPr>
            <w:tcW w:w="379"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733"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教学资源包</w:t>
            </w:r>
          </w:p>
        </w:tc>
        <w:tc>
          <w:tcPr>
            <w:tcW w:w="532"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61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w:t>
            </w:r>
          </w:p>
        </w:tc>
        <w:tc>
          <w:tcPr>
            <w:tcW w:w="680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教学资源均应与人力资源社会保障部专业技术人员管理司组织编写的《大数据工程技术人员（初级）》相关教材相配套。</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教学资源包含训练题库、授课PPT、自学视频等，满足3个方向线上的自学及模拟训练刷题</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题库共计不少于1200道理论题和45道实操题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题库应包含课程的知识题库，素材应符合相关技术规范。题库所涉及的技术应为最新主流技术，不允许出现明显的已过时的技术。</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PPT</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共计不少于45份</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教学课件要求带有教学设计，设计开发不少于16个教学课件；教学课件内容贴合实际教学，PPT生动形象，具有带入性</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版式设计独特、新颖、颜色统一；模板朴素、大方，颜色适宜，便于长时间观看；在模板的适当位置标明课程名称、模块（章或节）序号与模块（章或节）的名称；多个页面均有的相同元素，如背景、按钮、标题、页码等，可以使用幻灯片母版来实现</w:t>
            </w:r>
            <w:r>
              <w:rPr>
                <w:rFonts w:hint="eastAsia" w:ascii="宋体" w:hAnsi="宋体" w:eastAsia="宋体" w:cs="宋体"/>
                <w:color w:val="auto"/>
                <w:sz w:val="21"/>
                <w:szCs w:val="21"/>
                <w:highlight w:val="none"/>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自学视频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共计不少于45个，需包含但不仅限于</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大数据基础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大数据处理与应用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大数据分析与挖掘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大数据管理</w:t>
            </w:r>
            <w:r>
              <w:rPr>
                <w:rFonts w:hint="eastAsia" w:ascii="宋体" w:hAnsi="宋体" w:eastAsia="宋体" w:cs="宋体"/>
                <w:color w:val="auto"/>
                <w:sz w:val="21"/>
                <w:szCs w:val="21"/>
                <w:highlight w:val="none"/>
                <w:lang w:eastAsia="zh-CN"/>
              </w:rPr>
              <w:t>。</w:t>
            </w:r>
          </w:p>
        </w:tc>
      </w:tr>
    </w:tbl>
    <w:p>
      <w:pPr>
        <w:adjustRightInd w:val="0"/>
        <w:snapToGrid w:val="0"/>
        <w:spacing w:line="288" w:lineRule="auto"/>
        <w:ind w:firstLine="422" w:firstLineChars="200"/>
        <w:rPr>
          <w:rFonts w:hint="eastAsia" w:eastAsia="宋体"/>
          <w:b/>
          <w:bCs/>
          <w:color w:val="auto"/>
          <w:sz w:val="21"/>
          <w:szCs w:val="21"/>
          <w:highlight w:val="none"/>
          <w:lang w:val="en-US" w:eastAsia="zh-Hans"/>
        </w:rPr>
      </w:pP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4.演示：</w:t>
      </w:r>
    </w:p>
    <w:p>
      <w:pPr>
        <w:adjustRightInd w:val="0"/>
        <w:snapToGrid w:val="0"/>
        <w:spacing w:line="288" w:lineRule="auto"/>
        <w:ind w:firstLine="420" w:firstLineChars="200"/>
        <w:rPr>
          <w:rFonts w:cs="Times New Roman"/>
          <w:b/>
          <w:bCs/>
          <w:color w:val="auto"/>
          <w:sz w:val="21"/>
          <w:szCs w:val="21"/>
          <w:highlight w:val="none"/>
        </w:rPr>
      </w:pPr>
      <w:r>
        <w:rPr>
          <w:rFonts w:hint="default"/>
          <w:color w:val="auto"/>
          <w:sz w:val="21"/>
          <w:szCs w:val="21"/>
          <w:highlight w:val="none"/>
        </w:rPr>
        <w:t>▲</w:t>
      </w:r>
      <w:r>
        <w:rPr>
          <w:rFonts w:hint="eastAsia" w:cs="Times New Roman"/>
          <w:b/>
          <w:bCs/>
          <w:color w:val="auto"/>
          <w:sz w:val="21"/>
          <w:szCs w:val="21"/>
          <w:highlight w:val="none"/>
        </w:rPr>
        <w:t>4.1 供应商演示内容需为真人操作软件录制的视频进行；</w:t>
      </w:r>
    </w:p>
    <w:p>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rPr>
          <w:rFonts w:cs="Times New Roman"/>
          <w:b/>
          <w:bCs/>
          <w:color w:val="auto"/>
          <w:sz w:val="21"/>
          <w:szCs w:val="21"/>
          <w:highlight w:val="none"/>
        </w:rPr>
      </w:pPr>
      <w:r>
        <w:rPr>
          <w:rFonts w:hint="eastAsia" w:cs="Times New Roman"/>
          <w:b/>
          <w:bCs/>
          <w:color w:val="auto"/>
          <w:sz w:val="21"/>
          <w:szCs w:val="21"/>
          <w:highlight w:val="none"/>
        </w:rPr>
        <w:t>4.2 演示内容</w:t>
      </w:r>
      <w:r>
        <w:rPr>
          <w:rFonts w:hint="eastAsia" w:cs="Times New Roman"/>
          <w:b/>
          <w:bCs/>
          <w:color w:val="auto"/>
          <w:sz w:val="21"/>
          <w:szCs w:val="21"/>
          <w:highlight w:val="none"/>
          <w:lang w:val="en-US" w:eastAsia="zh-CN"/>
        </w:rPr>
        <w:t>1</w:t>
      </w:r>
      <w:r>
        <w:rPr>
          <w:rFonts w:hint="eastAsia" w:cs="Times New Roman"/>
          <w:b/>
          <w:bCs/>
          <w:color w:val="auto"/>
          <w:sz w:val="21"/>
          <w:szCs w:val="21"/>
          <w:highlight w:val="none"/>
        </w:rPr>
        <w:t>如下：</w:t>
      </w:r>
    </w:p>
    <w:p>
      <w:pPr>
        <w:keepNext w:val="0"/>
        <w:keepLines w:val="0"/>
        <w:pageBreakBefore w:val="0"/>
        <w:widowControl w:val="0"/>
        <w:kinsoku/>
        <w:wordWrap/>
        <w:overflowPunct/>
        <w:topLinePunct w:val="0"/>
        <w:autoSpaceDE/>
        <w:autoSpaceDN/>
        <w:bidi w:val="0"/>
        <w:spacing w:line="288" w:lineRule="auto"/>
        <w:ind w:firstLine="420" w:firstLineChars="200"/>
        <w:textAlignment w:val="auto"/>
        <w:rPr>
          <w:rFonts w:hint="eastAsia" w:eastAsia="宋体"/>
          <w:bCs/>
          <w:color w:val="auto"/>
          <w:sz w:val="21"/>
          <w:szCs w:val="21"/>
          <w:highlight w:val="none"/>
          <w:lang w:eastAsia="zh-CN"/>
        </w:rPr>
      </w:pPr>
      <w:r>
        <w:rPr>
          <w:rFonts w:hint="eastAsia"/>
          <w:bCs/>
          <w:color w:val="auto"/>
          <w:sz w:val="21"/>
          <w:szCs w:val="21"/>
          <w:highlight w:val="none"/>
        </w:rPr>
        <w:t>（1）须提供工作流式的图形化拖拽开发环境的数据实训节点，支持组件拖拽式操作，支持组件脚本编程和参数配置</w:t>
      </w:r>
      <w:r>
        <w:rPr>
          <w:rFonts w:hint="eastAsia"/>
          <w:bCs/>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firstLine="420" w:firstLineChars="200"/>
        <w:textAlignment w:val="auto"/>
        <w:rPr>
          <w:rFonts w:hint="eastAsia" w:eastAsia="宋体"/>
          <w:bCs/>
          <w:color w:val="auto"/>
          <w:sz w:val="21"/>
          <w:szCs w:val="21"/>
          <w:highlight w:val="none"/>
          <w:lang w:eastAsia="zh-CN"/>
        </w:rPr>
      </w:pPr>
      <w:r>
        <w:rPr>
          <w:rFonts w:hint="eastAsia"/>
          <w:bCs/>
          <w:color w:val="auto"/>
          <w:sz w:val="21"/>
          <w:szCs w:val="21"/>
          <w:highlight w:val="none"/>
        </w:rPr>
        <w:t>（2）须提供Hadoop核心HDFS、YARN组件的版本</w:t>
      </w:r>
      <w:r>
        <w:rPr>
          <w:rFonts w:hint="eastAsia"/>
          <w:bCs/>
          <w:color w:val="auto"/>
          <w:sz w:val="21"/>
          <w:szCs w:val="21"/>
          <w:highlight w:val="none"/>
          <w:lang w:val="en-US" w:eastAsia="zh-CN"/>
        </w:rPr>
        <w:t>不低于</w:t>
      </w:r>
      <w:r>
        <w:rPr>
          <w:rFonts w:hint="eastAsia"/>
          <w:bCs/>
          <w:color w:val="auto"/>
          <w:sz w:val="21"/>
          <w:szCs w:val="21"/>
          <w:highlight w:val="none"/>
        </w:rPr>
        <w:t>3.2.0</w:t>
      </w:r>
      <w:r>
        <w:rPr>
          <w:rFonts w:hint="eastAsia"/>
          <w:bCs/>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firstLine="420" w:firstLineChars="200"/>
        <w:textAlignment w:val="auto"/>
        <w:rPr>
          <w:rFonts w:hint="eastAsia"/>
          <w:bCs/>
          <w:color w:val="auto"/>
          <w:sz w:val="21"/>
          <w:szCs w:val="21"/>
          <w:highlight w:val="none"/>
        </w:rPr>
      </w:pPr>
      <w:r>
        <w:rPr>
          <w:rFonts w:hint="eastAsia"/>
          <w:bCs/>
          <w:color w:val="auto"/>
          <w:sz w:val="21"/>
          <w:szCs w:val="21"/>
          <w:highlight w:val="none"/>
        </w:rPr>
        <w:t>（3）系统实训案例须按照人力资源社会保障部专业技术人员管理司组织编写的《大数据工程技术人员（初级）》相关教材提供大数据处理与应用方向、大数据分析与挖掘方向、数据管理方向及大数据基础技术的实训资源，须提供匹配正式出版教材的案例</w:t>
      </w:r>
      <w:r>
        <w:rPr>
          <w:rFonts w:hint="eastAsia"/>
          <w:bCs/>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firstLine="420" w:firstLineChars="200"/>
        <w:textAlignment w:val="auto"/>
        <w:rPr>
          <w:rFonts w:hint="eastAsia" w:eastAsia="宋体"/>
          <w:bCs/>
          <w:color w:val="auto"/>
          <w:sz w:val="21"/>
          <w:szCs w:val="21"/>
          <w:highlight w:val="none"/>
          <w:lang w:eastAsia="zh-CN"/>
        </w:rPr>
      </w:pPr>
      <w:r>
        <w:rPr>
          <w:rFonts w:hint="eastAsia"/>
          <w:bCs/>
          <w:color w:val="auto"/>
          <w:sz w:val="21"/>
          <w:szCs w:val="21"/>
          <w:highlight w:val="none"/>
          <w:lang w:eastAsia="zh-CN"/>
        </w:rPr>
        <w:t>（</w:t>
      </w:r>
      <w:r>
        <w:rPr>
          <w:rFonts w:hint="eastAsia"/>
          <w:bCs/>
          <w:color w:val="auto"/>
          <w:sz w:val="21"/>
          <w:szCs w:val="21"/>
          <w:highlight w:val="none"/>
          <w:lang w:val="en-US" w:eastAsia="zh-CN"/>
        </w:rPr>
        <w:t>4</w:t>
      </w:r>
      <w:r>
        <w:rPr>
          <w:rFonts w:hint="eastAsia"/>
          <w:bCs/>
          <w:color w:val="auto"/>
          <w:sz w:val="21"/>
          <w:szCs w:val="21"/>
          <w:highlight w:val="none"/>
          <w:lang w:eastAsia="zh-CN"/>
        </w:rPr>
        <w:t>）</w:t>
      </w:r>
      <w:r>
        <w:rPr>
          <w:rFonts w:hint="eastAsia"/>
          <w:bCs/>
          <w:color w:val="auto"/>
          <w:sz w:val="21"/>
          <w:szCs w:val="21"/>
          <w:highlight w:val="none"/>
        </w:rPr>
        <w:t>系统须支持用户撰写实训报告，实训报告提供图片库、代码库、保存、预览、全屏的功能，支持图片、文字、代码、表格的输入，且插入的图片只能是实训环境截图的图片，保证报告真实性</w:t>
      </w:r>
      <w:r>
        <w:rPr>
          <w:rFonts w:hint="eastAsia"/>
          <w:bCs/>
          <w:color w:val="auto"/>
          <w:sz w:val="21"/>
          <w:szCs w:val="21"/>
          <w:highlight w:val="none"/>
          <w:lang w:eastAsia="zh-CN"/>
        </w:rPr>
        <w:t>。</w:t>
      </w:r>
    </w:p>
    <w:p>
      <w:pPr>
        <w:pStyle w:val="11"/>
        <w:keepNext w:val="0"/>
        <w:keepLines w:val="0"/>
        <w:pageBreakBefore w:val="0"/>
        <w:widowControl w:val="0"/>
        <w:kinsoku/>
        <w:wordWrap/>
        <w:overflowPunct/>
        <w:topLinePunct w:val="0"/>
        <w:autoSpaceDE/>
        <w:autoSpaceDN/>
        <w:bidi w:val="0"/>
        <w:spacing w:after="0" w:line="288" w:lineRule="auto"/>
        <w:textAlignment w:val="auto"/>
        <w:rPr>
          <w:rFonts w:hint="default" w:ascii="宋体" w:hAnsi="宋体" w:eastAsia="宋体" w:cs="宋体"/>
          <w:bCs/>
          <w:color w:val="auto"/>
          <w:sz w:val="21"/>
          <w:szCs w:val="21"/>
          <w:highlight w:val="none"/>
          <w:lang w:eastAsia="zh-CN"/>
        </w:rPr>
      </w:pPr>
      <w:r>
        <w:rPr>
          <w:rFonts w:hint="default" w:ascii="宋体" w:hAnsi="宋体" w:eastAsia="宋体" w:cs="宋体"/>
          <w:bCs/>
          <w:color w:val="auto"/>
          <w:sz w:val="21"/>
          <w:szCs w:val="21"/>
          <w:highlight w:val="none"/>
        </w:rPr>
        <w:t>（</w:t>
      </w:r>
      <w:r>
        <w:rPr>
          <w:rFonts w:hint="default" w:ascii="宋体" w:hAnsi="宋体" w:eastAsia="宋体" w:cs="宋体"/>
          <w:bCs/>
          <w:color w:val="auto"/>
          <w:sz w:val="21"/>
          <w:szCs w:val="21"/>
          <w:highlight w:val="none"/>
          <w:lang w:val="en-US" w:eastAsia="zh-CN"/>
        </w:rPr>
        <w:t>5</w:t>
      </w:r>
      <w:r>
        <w:rPr>
          <w:rFonts w:hint="default" w:ascii="宋体" w:hAnsi="宋体" w:eastAsia="宋体" w:cs="宋体"/>
          <w:bCs/>
          <w:color w:val="auto"/>
          <w:sz w:val="21"/>
          <w:szCs w:val="21"/>
          <w:highlight w:val="none"/>
        </w:rPr>
        <w:t>）系统须提供实训评测功能，支持系统判断学生实训操作是否正确，并能依据评测结果提供实训操作错误提示，帮助学生进行实训操作更正。允许学生、教师查看实训评测结果</w:t>
      </w:r>
      <w:r>
        <w:rPr>
          <w:rFonts w:hint="default" w:ascii="宋体" w:hAnsi="宋体" w:eastAsia="宋体" w:cs="宋体"/>
          <w:bCs/>
          <w:color w:val="auto"/>
          <w:sz w:val="21"/>
          <w:szCs w:val="21"/>
          <w:highlight w:val="none"/>
          <w:lang w:eastAsia="zh-CN"/>
        </w:rPr>
        <w:t>。</w:t>
      </w:r>
    </w:p>
    <w:p>
      <w:pPr>
        <w:pStyle w:val="11"/>
        <w:keepNext w:val="0"/>
        <w:keepLines w:val="0"/>
        <w:pageBreakBefore w:val="0"/>
        <w:widowControl w:val="0"/>
        <w:kinsoku/>
        <w:wordWrap/>
        <w:overflowPunct/>
        <w:topLinePunct w:val="0"/>
        <w:autoSpaceDE/>
        <w:autoSpaceDN/>
        <w:bidi w:val="0"/>
        <w:spacing w:after="0" w:line="288" w:lineRule="auto"/>
        <w:ind w:firstLineChars="200"/>
        <w:textAlignment w:val="auto"/>
        <w:rPr>
          <w:rFonts w:hint="eastAsia"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t>（6）</w:t>
      </w:r>
      <w:r>
        <w:rPr>
          <w:rFonts w:hint="eastAsia" w:cs="宋体"/>
          <w:b w:val="0"/>
          <w:bCs w:val="0"/>
          <w:color w:val="auto"/>
          <w:sz w:val="21"/>
          <w:szCs w:val="21"/>
          <w:highlight w:val="none"/>
          <w:lang w:val="en-US" w:eastAsia="zh-CN"/>
        </w:rPr>
        <w:t>大数据工程技术人员实训资源包（初级）：不少于</w:t>
      </w:r>
      <w:r>
        <w:rPr>
          <w:rFonts w:hint="eastAsia" w:ascii="宋体" w:hAnsi="宋体" w:eastAsia="宋体" w:cs="宋体"/>
          <w:b w:val="0"/>
          <w:bCs w:val="0"/>
          <w:color w:val="auto"/>
          <w:sz w:val="21"/>
          <w:szCs w:val="21"/>
          <w:highlight w:val="none"/>
        </w:rPr>
        <w:t>16个资源包名称、布局、所属分类</w:t>
      </w:r>
      <w:r>
        <w:rPr>
          <w:rFonts w:hint="eastAsia" w:cs="宋体"/>
          <w:b w:val="0"/>
          <w:bCs w:val="0"/>
          <w:color w:val="auto"/>
          <w:sz w:val="21"/>
          <w:szCs w:val="21"/>
          <w:highlight w:val="none"/>
          <w:lang w:val="en-US" w:eastAsia="zh-CN"/>
        </w:rPr>
        <w:t>应在系统中明确展示</w:t>
      </w:r>
      <w:r>
        <w:rPr>
          <w:rFonts w:hint="eastAsia" w:ascii="宋体" w:hAnsi="宋体" w:eastAsia="宋体" w:cs="宋体"/>
          <w:b w:val="0"/>
          <w:bCs w:val="0"/>
          <w:color w:val="auto"/>
          <w:sz w:val="21"/>
          <w:szCs w:val="21"/>
          <w:highlight w:val="none"/>
        </w:rPr>
        <w:t>，并</w:t>
      </w:r>
      <w:r>
        <w:rPr>
          <w:rFonts w:hint="eastAsia" w:cs="宋体"/>
          <w:b w:val="0"/>
          <w:bCs w:val="0"/>
          <w:color w:val="auto"/>
          <w:sz w:val="21"/>
          <w:szCs w:val="21"/>
          <w:highlight w:val="none"/>
          <w:lang w:val="en-US" w:eastAsia="zh-CN"/>
        </w:rPr>
        <w:t>支持详细演示</w:t>
      </w:r>
      <w:r>
        <w:rPr>
          <w:rFonts w:hint="eastAsia" w:ascii="宋体" w:hAnsi="宋体" w:eastAsia="宋体" w:cs="宋体"/>
          <w:b w:val="0"/>
          <w:bCs w:val="0"/>
          <w:color w:val="auto"/>
          <w:sz w:val="21"/>
          <w:szCs w:val="21"/>
          <w:highlight w:val="none"/>
        </w:rPr>
        <w:t>元数据管理资源包。</w:t>
      </w:r>
    </w:p>
    <w:p>
      <w:pPr>
        <w:pStyle w:val="11"/>
        <w:keepNext w:val="0"/>
        <w:keepLines w:val="0"/>
        <w:pageBreakBefore w:val="0"/>
        <w:widowControl w:val="0"/>
        <w:kinsoku/>
        <w:wordWrap/>
        <w:overflowPunct/>
        <w:topLinePunct w:val="0"/>
        <w:autoSpaceDE/>
        <w:autoSpaceDN/>
        <w:bidi w:val="0"/>
        <w:adjustRightInd/>
        <w:snapToGrid/>
        <w:spacing w:after="0" w:line="288" w:lineRule="auto"/>
        <w:ind w:firstLine="420" w:firstLineChars="200"/>
        <w:textAlignment w:val="auto"/>
        <w:rPr>
          <w:rFonts w:hint="default" w:ascii="宋体" w:hAnsi="宋体" w:eastAsia="宋体" w:cs="宋体"/>
          <w:b/>
          <w:bCs w:val="0"/>
          <w:color w:val="auto"/>
          <w:sz w:val="21"/>
          <w:szCs w:val="21"/>
          <w:highlight w:val="none"/>
          <w:lang w:val="en-US" w:eastAsia="zh-CN"/>
        </w:rPr>
      </w:pPr>
      <w:r>
        <w:rPr>
          <w:rFonts w:hint="default" w:ascii="宋体" w:hAnsi="宋体" w:eastAsia="宋体" w:cs="宋体"/>
          <w:bCs/>
          <w:color w:val="auto"/>
          <w:sz w:val="21"/>
          <w:szCs w:val="21"/>
          <w:highlight w:val="none"/>
        </w:rPr>
        <w:t>▲</w:t>
      </w:r>
      <w:r>
        <w:rPr>
          <w:rFonts w:hint="eastAsia" w:ascii="宋体" w:hAnsi="宋体" w:cs="宋体"/>
          <w:b/>
          <w:bCs w:val="0"/>
          <w:color w:val="auto"/>
          <w:sz w:val="21"/>
          <w:szCs w:val="21"/>
          <w:highlight w:val="none"/>
          <w:lang w:val="en-US" w:eastAsia="zh-CN"/>
        </w:rPr>
        <w:t>4.3 演示内容2如下：</w:t>
      </w:r>
    </w:p>
    <w:p>
      <w:pPr>
        <w:pStyle w:val="11"/>
        <w:keepNext w:val="0"/>
        <w:keepLines w:val="0"/>
        <w:pageBreakBefore w:val="0"/>
        <w:widowControl w:val="0"/>
        <w:kinsoku/>
        <w:wordWrap/>
        <w:overflowPunct/>
        <w:topLinePunct w:val="0"/>
        <w:autoSpaceDE/>
        <w:autoSpaceDN/>
        <w:bidi w:val="0"/>
        <w:adjustRightInd/>
        <w:snapToGrid/>
        <w:spacing w:after="0" w:line="288" w:lineRule="auto"/>
        <w:ind w:firstLine="420" w:firstLineChars="200"/>
        <w:textAlignment w:val="auto"/>
        <w:rPr>
          <w:rFonts w:hint="default" w:ascii="宋体" w:hAnsi="宋体" w:eastAsia="宋体" w:cs="宋体"/>
          <w:bCs/>
          <w:color w:val="auto"/>
          <w:sz w:val="21"/>
          <w:szCs w:val="21"/>
          <w:highlight w:val="none"/>
          <w:lang w:eastAsia="zh-CN"/>
        </w:rPr>
      </w:pPr>
      <w:r>
        <w:rPr>
          <w:rFonts w:hint="default"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1</w:t>
      </w:r>
      <w:r>
        <w:rPr>
          <w:rFonts w:hint="default" w:ascii="宋体" w:hAnsi="宋体" w:eastAsia="宋体" w:cs="宋体"/>
          <w:bCs/>
          <w:color w:val="auto"/>
          <w:sz w:val="21"/>
          <w:szCs w:val="21"/>
          <w:highlight w:val="none"/>
        </w:rPr>
        <w:t>）支持SAAS项目的新建并支持授权API的自动生成功能</w:t>
      </w:r>
      <w:r>
        <w:rPr>
          <w:rFonts w:hint="default" w:ascii="宋体" w:hAnsi="宋体" w:eastAsia="宋体" w:cs="宋体"/>
          <w:bCs/>
          <w:color w:val="auto"/>
          <w:sz w:val="21"/>
          <w:szCs w:val="21"/>
          <w:highlight w:val="none"/>
          <w:lang w:eastAsia="zh-CN"/>
        </w:rPr>
        <w:t>。</w:t>
      </w:r>
    </w:p>
    <w:p>
      <w:pPr>
        <w:pStyle w:val="11"/>
        <w:keepNext w:val="0"/>
        <w:keepLines w:val="0"/>
        <w:pageBreakBefore w:val="0"/>
        <w:widowControl w:val="0"/>
        <w:kinsoku/>
        <w:wordWrap/>
        <w:overflowPunct/>
        <w:topLinePunct w:val="0"/>
        <w:autoSpaceDE/>
        <w:autoSpaceDN/>
        <w:bidi w:val="0"/>
        <w:adjustRightInd/>
        <w:snapToGrid/>
        <w:spacing w:after="0" w:line="288" w:lineRule="auto"/>
        <w:ind w:firstLine="420" w:firstLineChars="200"/>
        <w:textAlignment w:val="auto"/>
        <w:rPr>
          <w:rFonts w:hint="default" w:ascii="宋体" w:hAnsi="宋体" w:eastAsia="宋体" w:cs="宋体"/>
          <w:bCs/>
          <w:color w:val="auto"/>
          <w:sz w:val="21"/>
          <w:szCs w:val="21"/>
          <w:highlight w:val="none"/>
          <w:lang w:eastAsia="zh-CN"/>
        </w:rPr>
      </w:pPr>
      <w:r>
        <w:rPr>
          <w:rFonts w:hint="default"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2</w:t>
      </w:r>
      <w:r>
        <w:rPr>
          <w:rFonts w:hint="default" w:ascii="宋体" w:hAnsi="宋体" w:eastAsia="宋体" w:cs="宋体"/>
          <w:bCs/>
          <w:color w:val="auto"/>
          <w:sz w:val="21"/>
          <w:szCs w:val="21"/>
          <w:highlight w:val="none"/>
        </w:rPr>
        <w:t>）支持云网关的配置，支持云网关的设备管理、编辑等功能</w:t>
      </w:r>
      <w:r>
        <w:rPr>
          <w:rFonts w:hint="default" w:ascii="宋体" w:hAnsi="宋体" w:eastAsia="宋体" w:cs="宋体"/>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eastAsia="宋体"/>
          <w:bCs/>
          <w:strike/>
          <w:color w:val="auto"/>
          <w:sz w:val="21"/>
          <w:szCs w:val="21"/>
          <w:highlight w:val="none"/>
          <w:lang w:eastAsia="zh-CN"/>
        </w:rPr>
      </w:pPr>
      <w:r>
        <w:rPr>
          <w:rFonts w:hint="eastAsia"/>
          <w:bCs/>
          <w:color w:val="auto"/>
          <w:sz w:val="21"/>
          <w:szCs w:val="21"/>
          <w:highlight w:val="none"/>
        </w:rPr>
        <w:t>（</w:t>
      </w:r>
      <w:r>
        <w:rPr>
          <w:rFonts w:hint="eastAsia"/>
          <w:bCs/>
          <w:color w:val="auto"/>
          <w:sz w:val="21"/>
          <w:szCs w:val="21"/>
          <w:highlight w:val="none"/>
          <w:lang w:val="en-US" w:eastAsia="zh-CN"/>
        </w:rPr>
        <w:t>3</w:t>
      </w:r>
      <w:r>
        <w:rPr>
          <w:rFonts w:hint="eastAsia"/>
          <w:bCs/>
          <w:color w:val="auto"/>
          <w:sz w:val="21"/>
          <w:szCs w:val="21"/>
          <w:highlight w:val="none"/>
        </w:rPr>
        <w:t>）兼容行业中常见的功能节点，至少支持数字量Modbus、模拟量Modbus及ZigBee无线传输类型的节点管理</w:t>
      </w:r>
      <w:r>
        <w:rPr>
          <w:rFonts w:hint="eastAsia"/>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bCs/>
          <w:color w:val="auto"/>
          <w:sz w:val="21"/>
          <w:szCs w:val="21"/>
          <w:highlight w:val="none"/>
          <w:lang w:eastAsia="zh-CN"/>
        </w:rPr>
      </w:pPr>
      <w:r>
        <w:rPr>
          <w:rFonts w:hint="eastAsia"/>
          <w:bCs/>
          <w:color w:val="auto"/>
          <w:sz w:val="21"/>
          <w:szCs w:val="21"/>
          <w:highlight w:val="none"/>
        </w:rPr>
        <w:t>（</w:t>
      </w:r>
      <w:r>
        <w:rPr>
          <w:rFonts w:hint="eastAsia"/>
          <w:bCs/>
          <w:color w:val="auto"/>
          <w:sz w:val="21"/>
          <w:szCs w:val="21"/>
          <w:highlight w:val="none"/>
          <w:lang w:val="en-US" w:eastAsia="zh-CN"/>
        </w:rPr>
        <w:t>4</w:t>
      </w:r>
      <w:r>
        <w:rPr>
          <w:rFonts w:hint="eastAsia"/>
          <w:bCs/>
          <w:color w:val="auto"/>
          <w:sz w:val="21"/>
          <w:szCs w:val="21"/>
          <w:highlight w:val="none"/>
        </w:rPr>
        <w:t>）支持至少1</w:t>
      </w:r>
      <w:r>
        <w:rPr>
          <w:rFonts w:hint="default"/>
          <w:bCs/>
          <w:color w:val="auto"/>
          <w:sz w:val="21"/>
          <w:szCs w:val="21"/>
          <w:highlight w:val="none"/>
        </w:rPr>
        <w:t>0</w:t>
      </w:r>
      <w:r>
        <w:rPr>
          <w:rFonts w:hint="eastAsia"/>
          <w:bCs/>
          <w:color w:val="auto"/>
          <w:sz w:val="21"/>
          <w:szCs w:val="21"/>
          <w:highlight w:val="none"/>
        </w:rPr>
        <w:t>种以上常用传感器节点，支持温度、湿度、水温、二氧化碳、光照、风速、大气压力、空气质量、可燃气体、火焰、红外对射传感器等</w:t>
      </w:r>
      <w:r>
        <w:rPr>
          <w:rFonts w:hint="eastAsia"/>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default" w:eastAsia="宋体"/>
          <w:b/>
          <w:bCs w:val="0"/>
          <w:color w:val="auto"/>
          <w:sz w:val="21"/>
          <w:szCs w:val="21"/>
          <w:highlight w:val="none"/>
          <w:lang w:val="en-US" w:eastAsia="zh-CN"/>
        </w:rPr>
      </w:pPr>
      <w:r>
        <w:rPr>
          <w:rFonts w:hint="eastAsia"/>
          <w:b/>
          <w:bCs w:val="0"/>
          <w:color w:val="auto"/>
          <w:sz w:val="21"/>
          <w:szCs w:val="21"/>
          <w:highlight w:val="none"/>
          <w:lang w:val="en-US" w:eastAsia="zh-CN"/>
        </w:rPr>
        <w:t>4.4 演示内容1为打分项，具体评审标准详见“第四章  评审方法和评审标准”；演示内容2为实质性条款要求，未按演示内容2的要求进行演示的，响应无效。</w:t>
      </w:r>
    </w:p>
    <w:p>
      <w:pPr>
        <w:spacing w:line="288" w:lineRule="auto"/>
        <w:ind w:firstLine="422" w:firstLineChars="200"/>
        <w:rPr>
          <w:b/>
          <w:color w:val="auto"/>
          <w:sz w:val="21"/>
          <w:szCs w:val="21"/>
          <w:highlight w:val="none"/>
        </w:rPr>
      </w:pPr>
      <w:r>
        <w:rPr>
          <w:rFonts w:hint="eastAsia"/>
          <w:b/>
          <w:color w:val="auto"/>
          <w:sz w:val="21"/>
          <w:szCs w:val="21"/>
          <w:highlight w:val="none"/>
        </w:rPr>
        <w:t>4.</w:t>
      </w:r>
      <w:r>
        <w:rPr>
          <w:rFonts w:hint="eastAsia"/>
          <w:b/>
          <w:color w:val="auto"/>
          <w:sz w:val="21"/>
          <w:szCs w:val="21"/>
          <w:highlight w:val="none"/>
          <w:lang w:val="en-US" w:eastAsia="zh-CN"/>
        </w:rPr>
        <w:t>5</w:t>
      </w:r>
      <w:r>
        <w:rPr>
          <w:rFonts w:hint="eastAsia"/>
          <w:b/>
          <w:color w:val="auto"/>
          <w:sz w:val="21"/>
          <w:szCs w:val="21"/>
          <w:highlight w:val="none"/>
        </w:rPr>
        <w:t xml:space="preserve"> 演示U盘：</w:t>
      </w:r>
    </w:p>
    <w:p>
      <w:pPr>
        <w:spacing w:line="288" w:lineRule="auto"/>
        <w:ind w:firstLine="420" w:firstLineChars="200"/>
        <w:rPr>
          <w:bCs/>
          <w:color w:val="auto"/>
          <w:sz w:val="21"/>
          <w:szCs w:val="21"/>
          <w:highlight w:val="none"/>
        </w:rPr>
      </w:pPr>
      <w:r>
        <w:rPr>
          <w:rFonts w:hint="eastAsia"/>
          <w:bCs/>
          <w:color w:val="auto"/>
          <w:sz w:val="21"/>
          <w:szCs w:val="21"/>
          <w:highlight w:val="none"/>
        </w:rPr>
        <w:t>（1）根据“电子交易/不见面开评标”原则，供应商需将以上演示及讲解过程录制视频，演示时长不超过15分钟以.mp4格式存储于U盘。</w:t>
      </w:r>
    </w:p>
    <w:p>
      <w:pPr>
        <w:spacing w:line="288" w:lineRule="auto"/>
        <w:ind w:firstLine="420" w:firstLineChars="200"/>
        <w:rPr>
          <w:bCs/>
          <w:color w:val="auto"/>
          <w:sz w:val="21"/>
          <w:szCs w:val="21"/>
          <w:highlight w:val="none"/>
        </w:rPr>
      </w:pPr>
      <w:r>
        <w:rPr>
          <w:rFonts w:hint="eastAsia"/>
          <w:bCs/>
          <w:color w:val="auto"/>
          <w:sz w:val="21"/>
          <w:szCs w:val="21"/>
          <w:highlight w:val="none"/>
        </w:rPr>
        <w:t>（2）演示U盘可以EMS或顺丰邮寄形式在响应截止时间前递交，演示U盘应当密封包装并在包装上标注演示U盘、响应项目名称、响应供应商名称并加盖公章。</w:t>
      </w:r>
    </w:p>
    <w:p>
      <w:pPr>
        <w:adjustRightInd w:val="0"/>
        <w:snapToGrid w:val="0"/>
        <w:spacing w:line="288" w:lineRule="auto"/>
        <w:ind w:firstLine="404" w:firstLineChars="200"/>
        <w:rPr>
          <w:rFonts w:cs="Times New Roman"/>
          <w:b/>
          <w:bCs/>
          <w:color w:val="auto"/>
          <w:sz w:val="21"/>
          <w:szCs w:val="21"/>
          <w:highlight w:val="none"/>
        </w:rPr>
      </w:pPr>
      <w:r>
        <w:rPr>
          <w:rFonts w:hint="eastAsia"/>
          <w:bCs/>
          <w:color w:val="auto"/>
          <w:spacing w:val="-4"/>
          <w:sz w:val="21"/>
          <w:szCs w:val="21"/>
          <w:highlight w:val="none"/>
        </w:rPr>
        <w:t>（3）未按磋商文件要求提供演示U盘造成专家无法正常评审的风险由供应商自行承担。</w:t>
      </w: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本磋商文件适用于杭州电子科技大学大数据工程技术人员实训平台的磋商、评审、成交、验收、合同履约、付款等（法律、法规另有规定的，从其规定）。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▲1.供应商代表是法定代表人（单位负责人、自然人本人）的，须提供本人身份证明。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▲2.供应商代表不是法定代表人（单位负责人、自然人本人）的，须提供授权委托书（格式详见磋商文件第六章）和授权代表社保缴纳证明（</w:t>
            </w:r>
            <w:r>
              <w:rPr>
                <w:rFonts w:hint="eastAsia"/>
                <w:color w:val="auto"/>
                <w:sz w:val="21"/>
                <w:szCs w:val="21"/>
                <w:highlight w:val="none"/>
              </w:rPr>
              <w:t>2022年12月</w:t>
            </w:r>
            <w:r>
              <w:rPr>
                <w:rFonts w:hint="default"/>
                <w:color w:val="auto"/>
                <w:sz w:val="21"/>
                <w:szCs w:val="21"/>
                <w:highlight w:val="none"/>
              </w:rPr>
              <w:t>（含）以后任意一月）；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1"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代理服务费收费标准（差额累进）：成交金额的1.05%，不足3000元的按3000元计。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1.本项目</w:t>
            </w:r>
            <w:r>
              <w:rPr>
                <w:rFonts w:hint="eastAsia"/>
                <w:b w:val="0"/>
                <w:bCs w:val="0"/>
                <w:color w:val="auto"/>
                <w:sz w:val="21"/>
                <w:szCs w:val="21"/>
                <w:highlight w:val="none"/>
                <w:lang w:bidi="ar"/>
              </w:rPr>
              <w:t>不允许</w:t>
            </w:r>
            <w:r>
              <w:rPr>
                <w:rFonts w:hint="eastAsia"/>
                <w:color w:val="auto"/>
                <w:sz w:val="21"/>
                <w:szCs w:val="21"/>
                <w:highlight w:val="none"/>
                <w:lang w:bidi="ar"/>
              </w:rPr>
              <w:t>转包；</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keepNext w:val="0"/>
              <w:keepLines w:val="0"/>
              <w:widowControl w:val="0"/>
              <w:suppressLineNumbers w:val="0"/>
              <w:spacing w:before="0" w:beforeAutospacing="0" w:after="0" w:afterAutospacing="0"/>
              <w:ind w:left="0" w:right="0"/>
              <w:jc w:val="both"/>
              <w:rPr>
                <w:rFonts w:hint="default" w:eastAsia="宋体"/>
                <w:color w:val="auto"/>
                <w:sz w:val="21"/>
                <w:szCs w:val="21"/>
                <w:highlight w:val="none"/>
                <w:lang w:val="en-US" w:eastAsia="zh-CN"/>
              </w:rPr>
            </w:pPr>
            <w:r>
              <w:rPr>
                <w:rFonts w:hint="eastAsia" w:ascii="宋体" w:hAnsi="宋体" w:eastAsia="宋体" w:cs="Times New Roman"/>
                <w:color w:val="auto"/>
                <w:spacing w:val="-6"/>
                <w:kern w:val="2"/>
                <w:sz w:val="21"/>
                <w:szCs w:val="21"/>
                <w:highlight w:val="none"/>
                <w:lang w:val="en-US" w:eastAsia="zh-CN" w:bidi="ar"/>
              </w:rPr>
              <w:t>3.可以分包履行的（非主体、非关键性的工作）具体内容、金额或者比例：</w:t>
            </w:r>
            <w:r>
              <w:rPr>
                <w:rFonts w:hint="eastAsia" w:ascii="宋体" w:hAnsi="宋体" w:eastAsia="宋体" w:cs="宋体"/>
                <w:color w:val="auto"/>
                <w:spacing w:val="-6"/>
                <w:kern w:val="2"/>
                <w:sz w:val="21"/>
                <w:szCs w:val="21"/>
                <w:highlight w:val="none"/>
                <w:u w:val="single"/>
                <w:lang w:val="en-US" w:eastAsia="zh-CN" w:bidi="ar"/>
              </w:rPr>
              <w:t>教学资源包</w:t>
            </w:r>
            <w:r>
              <w:rPr>
                <w:rFonts w:hint="eastAsia" w:ascii="宋体" w:hAnsi="宋体" w:eastAsia="宋体" w:cs="宋体"/>
                <w:color w:val="auto"/>
                <w:spacing w:val="-6"/>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Cs/>
                <w:color w:val="auto"/>
                <w:sz w:val="21"/>
                <w:szCs w:val="21"/>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本磋商文件适用于杭州电子科技大学大数据工程技术人员实训平台的磋商、评审、成交、验收、合同履约、付款等（法律、法规另有规定的，从其规定）。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代理服务费收费标准：成交金额的1.05%，不足3000元的按3000元计。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bidi="ar"/>
        </w:rPr>
        <w:t>1.本项目不允许转包；</w:t>
      </w:r>
    </w:p>
    <w:p>
      <w:pPr>
        <w:keepNext w:val="0"/>
        <w:keepLines w:val="0"/>
        <w:suppressLineNumbers w:val="0"/>
        <w:adjustRightInd w:val="0"/>
        <w:snapToGrid w:val="0"/>
        <w:spacing w:before="0" w:beforeAutospacing="0" w:after="0" w:afterAutospacing="0" w:line="288" w:lineRule="auto"/>
        <w:ind w:left="0" w:right="0" w:firstLine="420" w:firstLineChars="200"/>
        <w:rPr>
          <w:rFonts w:hint="default" w:cs="Times New Roman"/>
          <w:color w:val="auto"/>
          <w:sz w:val="21"/>
          <w:szCs w:val="21"/>
          <w:highlight w:val="none"/>
        </w:rPr>
      </w:pPr>
      <w:r>
        <w:rPr>
          <w:rFonts w:hint="eastAsia" w:cs="Times New Roman"/>
          <w:color w:val="auto"/>
          <w:sz w:val="21"/>
          <w:szCs w:val="21"/>
          <w:highlight w:val="none"/>
          <w:lang w:bidi="ar"/>
        </w:rPr>
        <w:t>2.</w:t>
      </w:r>
      <w:r>
        <w:rPr>
          <w:rFonts w:hint="eastAsia"/>
          <w:color w:val="auto"/>
          <w:sz w:val="21"/>
          <w:szCs w:val="21"/>
          <w:highlight w:val="none"/>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outlineLvl w:val="2"/>
        <w:rPr>
          <w:rFonts w:hint="eastAsia"/>
          <w:color w:val="auto"/>
          <w:spacing w:val="-6"/>
          <w:sz w:val="21"/>
          <w:szCs w:val="21"/>
          <w:highlight w:val="none"/>
          <w:lang w:bidi="ar"/>
        </w:rPr>
      </w:pPr>
      <w:r>
        <w:rPr>
          <w:rFonts w:hint="eastAsia" w:cs="Times New Roman"/>
          <w:color w:val="auto"/>
          <w:spacing w:val="-6"/>
          <w:sz w:val="21"/>
          <w:szCs w:val="21"/>
          <w:highlight w:val="none"/>
          <w:lang w:bidi="ar"/>
        </w:rPr>
        <w:t>3.可以分包履行的（非主体、非关键性的工作）具体内容、金额或者比例：</w:t>
      </w:r>
      <w:r>
        <w:rPr>
          <w:rFonts w:hint="eastAsia" w:cs="Times New Roman"/>
          <w:color w:val="auto"/>
          <w:spacing w:val="-6"/>
          <w:sz w:val="21"/>
          <w:szCs w:val="21"/>
          <w:highlight w:val="none"/>
          <w:u w:val="single"/>
          <w:lang w:bidi="ar"/>
        </w:rPr>
        <w:t>教学资源包</w:t>
      </w:r>
      <w:r>
        <w:rPr>
          <w:rFonts w:hint="eastAsia"/>
          <w:color w:val="auto"/>
          <w:spacing w:val="-6"/>
          <w:sz w:val="21"/>
          <w:szCs w:val="21"/>
          <w:highlight w:val="none"/>
          <w:lang w:bidi="ar"/>
        </w:rPr>
        <w:t>。</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3" w:name="_Hlk92273406"/>
      <w:bookmarkStart w:id="34"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3"/>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color w:val="auto"/>
          <w:spacing w:val="-6"/>
          <w:kern w:val="0"/>
          <w:sz w:val="21"/>
          <w:szCs w:val="21"/>
          <w:highlight w:val="none"/>
        </w:rPr>
      </w:pPr>
      <w:bookmarkStart w:id="35"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6" w:name="_Hlk96329193"/>
      <w:r>
        <w:rPr>
          <w:rFonts w:hint="eastAsia"/>
          <w:color w:val="auto"/>
          <w:sz w:val="21"/>
          <w:szCs w:val="21"/>
          <w:highlight w:val="none"/>
        </w:rPr>
        <w:t>，供应商应写全称。</w:t>
      </w:r>
      <w:bookmarkEnd w:id="36"/>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（2）未提供或未按要求提供投标函、授权委托书；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（3）委托授权代表参加投标但未提供符合要求的授权代表社保缴纳证明；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7"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技术分按照磋商小组成员的独立评分结果的算术平均分计算，计算公式为：商务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3"/>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2"/>
        <w:gridCol w:w="647"/>
        <w:gridCol w:w="72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64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2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9" w:hRule="atLeast"/>
        </w:trPr>
        <w:tc>
          <w:tcPr>
            <w:tcW w:w="9618" w:type="dxa"/>
            <w:gridSpan w:val="3"/>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最后磋商报价</w:t>
            </w:r>
          </w:p>
        </w:tc>
        <w:tc>
          <w:tcPr>
            <w:tcW w:w="64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30</w:t>
            </w:r>
          </w:p>
        </w:tc>
        <w:tc>
          <w:tcPr>
            <w:tcW w:w="7259" w:type="dxa"/>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价格分采用低价优先法计算，即满足磋商文件要求且最后磋商报价最低的供应商的价格为磋商基准价，其价格分为满分。其他供应商的价格分统一按照下列公式计算：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9618" w:type="dxa"/>
            <w:gridSpan w:val="3"/>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商务</w:t>
            </w:r>
            <w:r>
              <w:rPr>
                <w:rFonts w:hint="eastAsia" w:ascii="宋体" w:hAnsi="宋体" w:eastAsia="宋体" w:cs="宋体"/>
                <w:b/>
                <w:bCs/>
                <w:color w:val="auto"/>
                <w:sz w:val="21"/>
                <w:szCs w:val="21"/>
                <w:highlight w:val="none"/>
              </w:rPr>
              <w:t>技术分（</w:t>
            </w:r>
            <w:r>
              <w:rPr>
                <w:rFonts w:hint="eastAsia" w:ascii="宋体" w:hAnsi="宋体" w:eastAsia="宋体" w:cs="宋体"/>
                <w:b/>
                <w:bCs/>
                <w:color w:val="auto"/>
                <w:sz w:val="21"/>
                <w:szCs w:val="21"/>
                <w:highlight w:val="none"/>
                <w:lang w:val="en-US" w:eastAsia="zh-CN"/>
              </w:rPr>
              <w:t>70</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响应程度</w:t>
            </w:r>
          </w:p>
        </w:tc>
        <w:tc>
          <w:tcPr>
            <w:tcW w:w="64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20</w:t>
            </w:r>
          </w:p>
        </w:tc>
        <w:tc>
          <w:tcPr>
            <w:tcW w:w="7259" w:type="dxa"/>
            <w:vAlign w:val="center"/>
          </w:tcPr>
          <w:p>
            <w:pPr>
              <w:keepNext w:val="0"/>
              <w:keepLines w:val="0"/>
              <w:suppressLineNumbers w:val="0"/>
              <w:spacing w:before="0" w:beforeAutospacing="0" w:after="0" w:afterAutospacing="0" w:line="240" w:lineRule="auto"/>
              <w:ind w:left="0" w:right="120"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不符合（负偏离）技术要求中标注“▲”条款（不可偏离）的响应文件无效，满足或明显优于磋商文件明确的全部技术条款要求的该项得满分；</w:t>
            </w:r>
          </w:p>
          <w:p>
            <w:pPr>
              <w:keepNext w:val="0"/>
              <w:keepLines w:val="0"/>
              <w:suppressLineNumbers w:val="0"/>
              <w:spacing w:before="0" w:beforeAutospacing="0" w:after="0" w:afterAutospacing="0" w:line="240" w:lineRule="auto"/>
              <w:ind w:left="0" w:right="120"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技术条款低于技术要求（负偏离）的每项扣</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分；</w:t>
            </w:r>
          </w:p>
          <w:p>
            <w:pPr>
              <w:keepNext w:val="0"/>
              <w:keepLines w:val="0"/>
              <w:suppressLineNumbers w:val="0"/>
              <w:spacing w:before="0" w:beforeAutospacing="0" w:after="0" w:afterAutospacing="0" w:line="240" w:lineRule="auto"/>
              <w:ind w:left="0" w:right="120"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cs="宋体"/>
                <w:color w:val="auto"/>
                <w:sz w:val="21"/>
                <w:szCs w:val="21"/>
                <w:highlight w:val="none"/>
                <w:lang w:val="en-US" w:eastAsia="zh-CN"/>
              </w:rPr>
              <w:t>10</w:t>
            </w:r>
            <w:r>
              <w:rPr>
                <w:rFonts w:hint="eastAsia" w:ascii="宋体" w:hAnsi="宋体" w:eastAsia="宋体" w:cs="宋体"/>
                <w:color w:val="auto"/>
                <w:sz w:val="21"/>
                <w:szCs w:val="21"/>
                <w:highlight w:val="none"/>
              </w:rPr>
              <w:t>项及以上的，视为采购人不能接受的附加条件。</w:t>
            </w:r>
            <w:bookmarkStart w:id="44" w:name="_GoBack"/>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建设能力</w:t>
            </w:r>
          </w:p>
        </w:tc>
        <w:tc>
          <w:tcPr>
            <w:tcW w:w="64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259" w:type="dxa"/>
            <w:vAlign w:val="center"/>
          </w:tcPr>
          <w:p>
            <w:pPr>
              <w:keepNext w:val="0"/>
              <w:keepLines w:val="0"/>
              <w:suppressLineNumbers w:val="0"/>
              <w:spacing w:before="0" w:beforeAutospacing="0" w:after="0" w:afterAutospacing="0" w:line="240" w:lineRule="auto"/>
              <w:ind w:left="0" w:right="120" w:right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响应方</w:t>
            </w:r>
            <w:r>
              <w:rPr>
                <w:rFonts w:hint="eastAsia" w:ascii="宋体" w:hAnsi="宋体" w:eastAsia="宋体" w:cs="宋体"/>
                <w:color w:val="auto"/>
                <w:sz w:val="21"/>
                <w:szCs w:val="21"/>
                <w:highlight w:val="none"/>
              </w:rPr>
              <w:t>或制造商具有数字技术</w:t>
            </w:r>
            <w:r>
              <w:rPr>
                <w:rFonts w:hint="eastAsia" w:cs="宋体"/>
                <w:color w:val="auto"/>
                <w:sz w:val="21"/>
                <w:szCs w:val="21"/>
                <w:highlight w:val="none"/>
                <w:lang w:val="en-US" w:eastAsia="zh-CN"/>
              </w:rPr>
              <w:t>工程师</w:t>
            </w:r>
            <w:r>
              <w:rPr>
                <w:rFonts w:hint="eastAsia" w:ascii="宋体" w:hAnsi="宋体" w:eastAsia="宋体" w:cs="宋体"/>
                <w:color w:val="auto"/>
                <w:sz w:val="21"/>
                <w:szCs w:val="21"/>
                <w:highlight w:val="none"/>
              </w:rPr>
              <w:t>培育</w:t>
            </w:r>
            <w:r>
              <w:rPr>
                <w:rFonts w:hint="eastAsia" w:cs="宋体"/>
                <w:color w:val="auto"/>
                <w:sz w:val="21"/>
                <w:szCs w:val="21"/>
                <w:highlight w:val="none"/>
                <w:lang w:val="en-US" w:eastAsia="zh-CN"/>
              </w:rPr>
              <w:t>项目</w:t>
            </w:r>
            <w:r>
              <w:rPr>
                <w:rFonts w:hint="eastAsia" w:ascii="宋体" w:hAnsi="宋体" w:eastAsia="宋体" w:cs="宋体"/>
                <w:color w:val="auto"/>
                <w:sz w:val="21"/>
                <w:szCs w:val="21"/>
                <w:highlight w:val="none"/>
              </w:rPr>
              <w:t>(大数据技术)</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建设</w:t>
            </w:r>
            <w:r>
              <w:rPr>
                <w:rFonts w:hint="eastAsia" w:ascii="宋体" w:hAnsi="宋体" w:eastAsia="宋体" w:cs="宋体"/>
                <w:color w:val="auto"/>
                <w:sz w:val="21"/>
                <w:szCs w:val="21"/>
                <w:highlight w:val="none"/>
                <w:lang w:val="en-US" w:eastAsia="zh-CN"/>
              </w:rPr>
              <w:t>能力情况。</w:t>
            </w:r>
          </w:p>
          <w:p>
            <w:pPr>
              <w:keepNext w:val="0"/>
              <w:keepLines w:val="0"/>
              <w:suppressLineNumbers w:val="0"/>
              <w:spacing w:before="0" w:beforeAutospacing="0" w:after="0" w:afterAutospacing="0" w:line="240" w:lineRule="auto"/>
              <w:ind w:left="0" w:right="120" w:right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建设能力强，</w:t>
            </w:r>
            <w:r>
              <w:rPr>
                <w:rFonts w:hint="eastAsia" w:ascii="宋体" w:hAnsi="宋体" w:eastAsia="宋体" w:cs="宋体"/>
                <w:color w:val="auto"/>
                <w:sz w:val="21"/>
                <w:szCs w:val="21"/>
                <w:highlight w:val="none"/>
                <w:lang w:val="en-US" w:bidi="ar-SA"/>
              </w:rPr>
              <w:t>具有</w:t>
            </w:r>
            <w:r>
              <w:rPr>
                <w:rFonts w:hint="eastAsia" w:ascii="宋体" w:hAnsi="宋体" w:eastAsia="宋体" w:cs="宋体"/>
                <w:color w:val="auto"/>
                <w:sz w:val="21"/>
                <w:szCs w:val="21"/>
                <w:highlight w:val="none"/>
              </w:rPr>
              <w:t>数字技术工程师培育项目(大数据技术)考核站点</w:t>
            </w:r>
            <w:r>
              <w:rPr>
                <w:rFonts w:hint="eastAsia" w:ascii="宋体" w:hAnsi="宋体" w:eastAsia="宋体" w:cs="宋体"/>
                <w:color w:val="auto"/>
                <w:sz w:val="21"/>
                <w:szCs w:val="21"/>
                <w:highlight w:val="none"/>
                <w:lang w:val="en-US" w:bidi="ar-SA"/>
              </w:rPr>
              <w:t>建设资质的证明</w:t>
            </w:r>
            <w:r>
              <w:rPr>
                <w:rFonts w:hint="eastAsia" w:ascii="宋体" w:hAnsi="宋体" w:eastAsia="宋体" w:cs="宋体"/>
                <w:color w:val="auto"/>
                <w:sz w:val="21"/>
                <w:szCs w:val="21"/>
                <w:highlight w:val="none"/>
                <w:lang w:val="en-US" w:eastAsia="zh-CN"/>
              </w:rPr>
              <w:t>的得5分；</w:t>
            </w:r>
          </w:p>
          <w:p>
            <w:pPr>
              <w:keepNext w:val="0"/>
              <w:keepLines w:val="0"/>
              <w:suppressLineNumbers w:val="0"/>
              <w:spacing w:before="0" w:beforeAutospacing="0" w:after="0" w:afterAutospacing="0" w:line="240" w:lineRule="auto"/>
              <w:ind w:left="0" w:right="120" w:rightChars="50"/>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建设能力</w:t>
            </w:r>
            <w:r>
              <w:rPr>
                <w:rFonts w:hint="eastAsia" w:cs="宋体"/>
                <w:color w:val="auto"/>
                <w:sz w:val="21"/>
                <w:szCs w:val="21"/>
                <w:highlight w:val="none"/>
                <w:lang w:val="en-US" w:eastAsia="zh-CN"/>
              </w:rPr>
              <w:t>一般的得3分；</w:t>
            </w:r>
          </w:p>
          <w:p>
            <w:pPr>
              <w:keepNext w:val="0"/>
              <w:keepLines w:val="0"/>
              <w:suppressLineNumbers w:val="0"/>
              <w:spacing w:before="0" w:beforeAutospacing="0" w:after="0" w:afterAutospacing="0" w:line="240" w:lineRule="auto"/>
              <w:ind w:left="0" w:right="120" w:rightChars="50"/>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建设能力</w:t>
            </w:r>
            <w:r>
              <w:rPr>
                <w:rFonts w:hint="eastAsia" w:cs="宋体"/>
                <w:color w:val="auto"/>
                <w:sz w:val="21"/>
                <w:szCs w:val="21"/>
                <w:highlight w:val="none"/>
                <w:lang w:val="en-US" w:eastAsia="zh-CN"/>
              </w:rPr>
              <w:t>存在一定欠缺的得1分；</w:t>
            </w:r>
          </w:p>
          <w:p>
            <w:pPr>
              <w:keepNext w:val="0"/>
              <w:keepLines w:val="0"/>
              <w:suppressLineNumbers w:val="0"/>
              <w:spacing w:before="0" w:beforeAutospacing="0" w:after="0" w:afterAutospacing="0" w:line="240" w:lineRule="auto"/>
              <w:ind w:left="0" w:right="120" w:right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9"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建设方案</w:t>
            </w:r>
          </w:p>
        </w:tc>
        <w:tc>
          <w:tcPr>
            <w:tcW w:w="64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259" w:type="dxa"/>
            <w:vAlign w:val="center"/>
          </w:tcPr>
          <w:p>
            <w:pPr>
              <w:keepNext w:val="0"/>
              <w:keepLines w:val="0"/>
              <w:suppressLineNumbers w:val="0"/>
              <w:spacing w:before="0" w:beforeAutospacing="0" w:after="0" w:afterAutospacing="0" w:line="240" w:lineRule="auto"/>
              <w:ind w:left="0" w:right="120" w:right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响应方针对</w:t>
            </w:r>
            <w:r>
              <w:rPr>
                <w:rFonts w:hint="eastAsia" w:ascii="宋体" w:hAnsi="宋体" w:eastAsia="宋体" w:cs="宋体"/>
                <w:color w:val="auto"/>
                <w:sz w:val="21"/>
                <w:szCs w:val="21"/>
                <w:highlight w:val="none"/>
              </w:rPr>
              <w:t>数字技术工程师培育项目(大数据技术)</w:t>
            </w:r>
            <w:r>
              <w:rPr>
                <w:rFonts w:hint="eastAsia" w:ascii="宋体" w:hAnsi="宋体" w:eastAsia="宋体" w:cs="宋体"/>
                <w:color w:val="auto"/>
                <w:sz w:val="21"/>
                <w:szCs w:val="21"/>
                <w:highlight w:val="none"/>
                <w:lang w:val="en-US" w:eastAsia="zh-CN"/>
              </w:rPr>
              <w:t>的相关建设方案情况。</w:t>
            </w:r>
          </w:p>
          <w:p>
            <w:pPr>
              <w:keepNext w:val="0"/>
              <w:keepLines w:val="0"/>
              <w:suppressLineNumbers w:val="0"/>
              <w:spacing w:before="0" w:beforeAutospacing="0" w:after="0" w:afterAutospacing="0" w:line="240" w:lineRule="auto"/>
              <w:ind w:left="0" w:right="120" w:right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建设方案针对性、可行性强的得5分；</w:t>
            </w:r>
          </w:p>
          <w:p>
            <w:pPr>
              <w:keepNext w:val="0"/>
              <w:keepLines w:val="0"/>
              <w:suppressLineNumbers w:val="0"/>
              <w:spacing w:before="0" w:beforeAutospacing="0" w:after="0" w:afterAutospacing="0" w:line="240" w:lineRule="auto"/>
              <w:ind w:left="0" w:right="120" w:right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建设方案针对性、可行性一般的得3分；</w:t>
            </w:r>
          </w:p>
          <w:p>
            <w:pPr>
              <w:keepNext w:val="0"/>
              <w:keepLines w:val="0"/>
              <w:suppressLineNumbers w:val="0"/>
              <w:spacing w:before="0" w:beforeAutospacing="0" w:after="0" w:afterAutospacing="0" w:line="240" w:lineRule="auto"/>
              <w:ind w:left="0" w:right="120" w:right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建设方案存在一定欠缺的得1分；</w:t>
            </w:r>
          </w:p>
          <w:p>
            <w:pPr>
              <w:keepNext w:val="0"/>
              <w:keepLines w:val="0"/>
              <w:suppressLineNumbers w:val="0"/>
              <w:spacing w:before="0" w:beforeAutospacing="0" w:after="0" w:afterAutospacing="0" w:line="240" w:lineRule="auto"/>
              <w:ind w:left="0" w:right="120" w:right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8"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项目实施方案</w:t>
            </w:r>
          </w:p>
        </w:tc>
        <w:tc>
          <w:tcPr>
            <w:tcW w:w="64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259"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响应方提供的具体实施方案</w:t>
            </w:r>
            <w:r>
              <w:rPr>
                <w:rFonts w:hint="eastAsia" w:ascii="宋体" w:hAnsi="宋体" w:eastAsia="宋体" w:cs="宋体"/>
                <w:color w:val="auto"/>
                <w:sz w:val="21"/>
                <w:szCs w:val="21"/>
                <w:highlight w:val="none"/>
                <w:lang w:val="en-US" w:eastAsia="zh-CN"/>
              </w:rPr>
              <w:t>情况，包括</w:t>
            </w:r>
            <w:r>
              <w:rPr>
                <w:rFonts w:hint="eastAsia" w:ascii="宋体" w:hAnsi="宋体" w:eastAsia="宋体" w:cs="宋体"/>
                <w:color w:val="auto"/>
                <w:sz w:val="21"/>
                <w:szCs w:val="21"/>
                <w:highlight w:val="none"/>
              </w:rPr>
              <w:t>项目实施进度、质量保证措施</w:t>
            </w:r>
            <w:r>
              <w:rPr>
                <w:rFonts w:hint="eastAsia" w:ascii="宋体" w:hAnsi="宋体" w:eastAsia="宋体" w:cs="宋体"/>
                <w:color w:val="auto"/>
                <w:sz w:val="21"/>
                <w:szCs w:val="21"/>
                <w:highlight w:val="none"/>
                <w:lang w:val="en-US" w:eastAsia="zh-CN"/>
              </w:rPr>
              <w:t>等。</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项目实施进度安排合理，响应方或制造商所派出的实施技术团队具备</w:t>
            </w:r>
            <w:r>
              <w:rPr>
                <w:rFonts w:hint="eastAsia" w:cs="宋体"/>
                <w:color w:val="auto"/>
                <w:sz w:val="21"/>
                <w:szCs w:val="21"/>
                <w:highlight w:val="none"/>
                <w:lang w:val="en-US" w:eastAsia="zh-CN"/>
              </w:rPr>
              <w:t>计算机技术与软件专业技术资格高级证书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质量保证措施针对性强的得5分；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项目实施进度安排，质量保证措施一般的得3分；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项目实施进度安排，质量保证措施存在一定欠缺的得1分；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9"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拟投入人员</w:t>
            </w:r>
          </w:p>
        </w:tc>
        <w:tc>
          <w:tcPr>
            <w:tcW w:w="64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259"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cs="宋体"/>
                <w:color w:val="auto"/>
                <w:sz w:val="21"/>
                <w:szCs w:val="21"/>
                <w:highlight w:val="none"/>
                <w:lang w:eastAsia="zh-CN"/>
              </w:rPr>
              <w:t>响应方</w:t>
            </w:r>
            <w:r>
              <w:rPr>
                <w:rFonts w:hint="eastAsia" w:ascii="宋体" w:hAnsi="宋体" w:eastAsia="宋体" w:cs="宋体"/>
                <w:color w:val="auto"/>
                <w:sz w:val="21"/>
                <w:szCs w:val="21"/>
                <w:highlight w:val="none"/>
              </w:rPr>
              <w:t>或制造商</w:t>
            </w:r>
            <w:r>
              <w:rPr>
                <w:rFonts w:hint="eastAsia" w:ascii="宋体" w:hAnsi="宋体" w:eastAsia="宋体" w:cs="宋体"/>
                <w:color w:val="auto"/>
                <w:sz w:val="21"/>
                <w:szCs w:val="21"/>
                <w:highlight w:val="none"/>
                <w:lang w:val="en-US" w:eastAsia="zh-CN"/>
              </w:rPr>
              <w:t>人员</w:t>
            </w:r>
            <w:r>
              <w:rPr>
                <w:rFonts w:hint="eastAsia" w:ascii="宋体" w:hAnsi="宋体" w:eastAsia="宋体" w:cs="宋体"/>
                <w:color w:val="auto"/>
                <w:sz w:val="21"/>
                <w:szCs w:val="21"/>
                <w:highlight w:val="none"/>
              </w:rPr>
              <w:t>具</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rPr>
              <w:t>人社部</w:t>
            </w:r>
            <w:r>
              <w:rPr>
                <w:rFonts w:hint="eastAsia" w:ascii="宋体" w:hAnsi="宋体" w:eastAsia="宋体" w:cs="宋体"/>
                <w:color w:val="auto"/>
                <w:sz w:val="21"/>
                <w:szCs w:val="21"/>
                <w:highlight w:val="none"/>
                <w:lang w:val="en-US" w:eastAsia="zh-CN"/>
              </w:rPr>
              <w:t>门的</w:t>
            </w:r>
            <w:r>
              <w:rPr>
                <w:rFonts w:hint="eastAsia" w:ascii="宋体" w:hAnsi="宋体" w:eastAsia="宋体" w:cs="宋体"/>
                <w:color w:val="auto"/>
                <w:sz w:val="21"/>
                <w:szCs w:val="21"/>
                <w:highlight w:val="none"/>
              </w:rPr>
              <w:t>信息技术（大数据、人工智能、物联网）相关职业技能等级认定</w:t>
            </w:r>
            <w:r>
              <w:rPr>
                <w:rFonts w:hint="eastAsia" w:ascii="宋体" w:hAnsi="宋体" w:eastAsia="宋体" w:cs="宋体"/>
                <w:color w:val="auto"/>
                <w:sz w:val="21"/>
                <w:szCs w:val="21"/>
                <w:highlight w:val="none"/>
                <w:lang w:val="en-US" w:eastAsia="zh-CN"/>
              </w:rPr>
              <w:t>证书，并具有充足的</w:t>
            </w:r>
            <w:r>
              <w:rPr>
                <w:rFonts w:hint="eastAsia" w:ascii="宋体" w:hAnsi="宋体" w:eastAsia="宋体" w:cs="宋体"/>
                <w:color w:val="auto"/>
                <w:sz w:val="21"/>
                <w:szCs w:val="21"/>
                <w:highlight w:val="none"/>
              </w:rPr>
              <w:t>工作经验</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得5分；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具备相关职业技能等级认定证书</w:t>
            </w:r>
            <w:r>
              <w:rPr>
                <w:rFonts w:hint="eastAsia" w:ascii="宋体" w:hAnsi="宋体" w:eastAsia="宋体" w:cs="宋体"/>
                <w:color w:val="auto"/>
                <w:sz w:val="21"/>
                <w:szCs w:val="21"/>
                <w:highlight w:val="none"/>
                <w:lang w:eastAsia="zh-CN"/>
              </w:rPr>
              <w:t>，并具有</w:t>
            </w:r>
            <w:r>
              <w:rPr>
                <w:rFonts w:hint="eastAsia" w:ascii="宋体" w:hAnsi="宋体" w:eastAsia="宋体" w:cs="宋体"/>
                <w:color w:val="auto"/>
                <w:sz w:val="21"/>
                <w:szCs w:val="21"/>
                <w:highlight w:val="none"/>
                <w:lang w:val="en-US" w:eastAsia="zh-CN"/>
              </w:rPr>
              <w:t>一定</w:t>
            </w:r>
            <w:r>
              <w:rPr>
                <w:rFonts w:hint="eastAsia" w:ascii="宋体" w:hAnsi="宋体" w:eastAsia="宋体" w:cs="宋体"/>
                <w:color w:val="auto"/>
                <w:sz w:val="21"/>
                <w:szCs w:val="21"/>
                <w:highlight w:val="none"/>
                <w:lang w:eastAsia="zh-CN"/>
              </w:rPr>
              <w:t>工作经验</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lang w:eastAsia="zh-CN"/>
              </w:rPr>
              <w:t>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不具备相关职业技能等级认定证书，但</w:t>
            </w:r>
            <w:r>
              <w:rPr>
                <w:rFonts w:hint="eastAsia" w:ascii="宋体" w:hAnsi="宋体" w:eastAsia="宋体" w:cs="宋体"/>
                <w:color w:val="auto"/>
                <w:sz w:val="21"/>
                <w:szCs w:val="21"/>
                <w:highlight w:val="none"/>
              </w:rPr>
              <w:t>有一定工作经验的得1分；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712" w:type="dxa"/>
            <w:vMerge w:val="restart"/>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售后服务方案</w:t>
            </w:r>
          </w:p>
        </w:tc>
        <w:tc>
          <w:tcPr>
            <w:tcW w:w="64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259"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响应方提供的</w:t>
            </w:r>
            <w:r>
              <w:rPr>
                <w:rFonts w:hint="eastAsia" w:ascii="宋体" w:hAnsi="宋体" w:eastAsia="宋体" w:cs="宋体"/>
                <w:color w:val="auto"/>
                <w:sz w:val="21"/>
                <w:szCs w:val="21"/>
                <w:highlight w:val="none"/>
              </w:rPr>
              <w:t>售后服务方案</w:t>
            </w:r>
            <w:r>
              <w:rPr>
                <w:rFonts w:hint="eastAsia" w:ascii="宋体" w:hAnsi="宋体" w:eastAsia="宋体" w:cs="宋体"/>
                <w:color w:val="auto"/>
                <w:sz w:val="21"/>
                <w:szCs w:val="21"/>
                <w:highlight w:val="none"/>
                <w:lang w:val="en-US" w:eastAsia="zh-CN"/>
              </w:rPr>
              <w:t>整体情况，包括售后服务</w:t>
            </w:r>
            <w:r>
              <w:rPr>
                <w:rFonts w:hint="eastAsia" w:ascii="宋体" w:hAnsi="宋体" w:eastAsia="宋体" w:cs="宋体"/>
                <w:color w:val="auto"/>
                <w:sz w:val="21"/>
                <w:szCs w:val="21"/>
                <w:highlight w:val="none"/>
              </w:rPr>
              <w:t>响应时间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售后服务技术力量等</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售后服务响应</w:t>
            </w:r>
            <w:r>
              <w:rPr>
                <w:rFonts w:hint="eastAsia" w:ascii="宋体" w:hAnsi="宋体" w:eastAsia="宋体" w:cs="宋体"/>
                <w:color w:val="auto"/>
                <w:sz w:val="21"/>
                <w:szCs w:val="21"/>
                <w:highlight w:val="none"/>
                <w:lang w:val="en-US" w:eastAsia="zh-CN"/>
              </w:rPr>
              <w:t>迅速</w:t>
            </w:r>
            <w:r>
              <w:rPr>
                <w:rFonts w:hint="eastAsia" w:ascii="宋体" w:hAnsi="宋体" w:eastAsia="宋体" w:cs="宋体"/>
                <w:color w:val="auto"/>
                <w:sz w:val="21"/>
                <w:szCs w:val="21"/>
                <w:highlight w:val="none"/>
                <w:lang w:eastAsia="zh-CN"/>
              </w:rPr>
              <w:t>、售后服务技术力量</w:t>
            </w:r>
            <w:r>
              <w:rPr>
                <w:rFonts w:hint="eastAsia" w:ascii="宋体" w:hAnsi="宋体" w:eastAsia="宋体" w:cs="宋体"/>
                <w:color w:val="auto"/>
                <w:sz w:val="21"/>
                <w:szCs w:val="21"/>
                <w:highlight w:val="none"/>
                <w:lang w:val="en-US" w:eastAsia="zh-CN"/>
              </w:rPr>
              <w:t>强的得5分</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售后服务响应</w:t>
            </w:r>
            <w:r>
              <w:rPr>
                <w:rFonts w:hint="eastAsia" w:ascii="宋体" w:hAnsi="宋体" w:eastAsia="宋体" w:cs="宋体"/>
                <w:color w:val="auto"/>
                <w:sz w:val="21"/>
                <w:szCs w:val="21"/>
                <w:highlight w:val="none"/>
                <w:lang w:val="en-US" w:eastAsia="zh-CN"/>
              </w:rPr>
              <w:t>速度</w:t>
            </w:r>
            <w:r>
              <w:rPr>
                <w:rFonts w:hint="eastAsia" w:ascii="宋体" w:hAnsi="宋体" w:eastAsia="宋体" w:cs="宋体"/>
                <w:color w:val="auto"/>
                <w:sz w:val="21"/>
                <w:szCs w:val="21"/>
                <w:highlight w:val="none"/>
                <w:lang w:eastAsia="zh-CN"/>
              </w:rPr>
              <w:t>、售后服务技术力量</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售后服务方案</w:t>
            </w:r>
            <w:r>
              <w:rPr>
                <w:rFonts w:hint="eastAsia" w:ascii="宋体" w:hAnsi="宋体" w:eastAsia="宋体" w:cs="宋体"/>
                <w:color w:val="auto"/>
                <w:sz w:val="21"/>
                <w:szCs w:val="21"/>
                <w:highlight w:val="none"/>
                <w:lang w:val="en-US" w:eastAsia="zh-CN"/>
              </w:rPr>
              <w:t>存在一定欠缺的得1分；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 w:hRule="atLeast"/>
        </w:trPr>
        <w:tc>
          <w:tcPr>
            <w:tcW w:w="1712"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p>
        </w:tc>
        <w:tc>
          <w:tcPr>
            <w:tcW w:w="64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259"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售后服务团队</w:t>
            </w:r>
            <w:r>
              <w:rPr>
                <w:rFonts w:hint="eastAsia" w:ascii="宋体" w:hAnsi="宋体" w:eastAsia="宋体" w:cs="宋体"/>
                <w:color w:val="auto"/>
                <w:sz w:val="21"/>
                <w:szCs w:val="21"/>
                <w:highlight w:val="none"/>
                <w:lang w:val="en-US" w:eastAsia="zh-CN"/>
              </w:rPr>
              <w:t>具</w:t>
            </w:r>
            <w:r>
              <w:rPr>
                <w:rFonts w:hint="eastAsia" w:ascii="宋体" w:hAnsi="宋体" w:eastAsia="宋体" w:cs="宋体"/>
                <w:color w:val="auto"/>
                <w:sz w:val="21"/>
                <w:szCs w:val="21"/>
                <w:highlight w:val="none"/>
              </w:rPr>
              <w:t>有国家级赛事或全国职业技能考试售后技术支撑经验的得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售后服务团队有省级赛事或省级职业技能考试售后技术支撑经验的得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售后服务团队无相关经验</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不得分。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注：提供相关技术支撑经验证明材料。</w:t>
            </w:r>
            <w:r>
              <w:rPr>
                <w:rFonts w:hint="eastAsia" w:ascii="宋体" w:hAnsi="宋体" w:eastAsia="宋体" w:cs="宋体"/>
                <w:color w:val="auto"/>
                <w:sz w:val="21"/>
                <w:szCs w:val="21"/>
                <w:highlight w:val="none"/>
              </w:rPr>
              <w:t>售后服务团队</w:t>
            </w:r>
            <w:r>
              <w:rPr>
                <w:rFonts w:hint="eastAsia" w:ascii="宋体" w:hAnsi="宋体" w:eastAsia="宋体" w:cs="宋体"/>
                <w:color w:val="auto"/>
                <w:sz w:val="21"/>
                <w:szCs w:val="21"/>
                <w:highlight w:val="none"/>
                <w:lang w:val="en-US" w:eastAsia="zh-CN"/>
              </w:rPr>
              <w:t>如为制造商原厂服务团队，需提供制造商相关证明材料。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5"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培训方案</w:t>
            </w:r>
          </w:p>
        </w:tc>
        <w:tc>
          <w:tcPr>
            <w:tcW w:w="64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259" w:type="dxa"/>
            <w:vAlign w:val="center"/>
          </w:tcPr>
          <w:p>
            <w:pPr>
              <w:keepNext w:val="0"/>
              <w:keepLines w:val="0"/>
              <w:numPr>
                <w:ilvl w:val="255"/>
                <w:numId w:val="0"/>
              </w:numPr>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响应方提供的</w:t>
            </w:r>
            <w:r>
              <w:rPr>
                <w:rFonts w:hint="eastAsia" w:ascii="宋体" w:hAnsi="宋体" w:eastAsia="宋体" w:cs="宋体"/>
                <w:color w:val="auto"/>
                <w:kern w:val="0"/>
                <w:sz w:val="21"/>
                <w:szCs w:val="21"/>
                <w:highlight w:val="none"/>
              </w:rPr>
              <w:t>培训方案</w:t>
            </w:r>
            <w:r>
              <w:rPr>
                <w:rFonts w:hint="eastAsia" w:ascii="宋体" w:hAnsi="宋体" w:eastAsia="宋体" w:cs="宋体"/>
                <w:color w:val="auto"/>
                <w:kern w:val="0"/>
                <w:sz w:val="21"/>
                <w:szCs w:val="21"/>
                <w:highlight w:val="none"/>
                <w:lang w:val="en-US" w:eastAsia="zh-CN"/>
              </w:rPr>
              <w:t>整体情况</w:t>
            </w:r>
            <w:r>
              <w:rPr>
                <w:rFonts w:hint="eastAsia" w:ascii="宋体" w:hAnsi="宋体" w:eastAsia="宋体" w:cs="宋体"/>
                <w:color w:val="auto"/>
                <w:kern w:val="0"/>
                <w:sz w:val="21"/>
                <w:szCs w:val="21"/>
                <w:highlight w:val="none"/>
                <w:lang w:eastAsia="zh-CN"/>
              </w:rPr>
              <w:t>。</w:t>
            </w:r>
          </w:p>
          <w:p>
            <w:pPr>
              <w:keepNext w:val="0"/>
              <w:keepLines w:val="0"/>
              <w:numPr>
                <w:ilvl w:val="255"/>
                <w:numId w:val="0"/>
              </w:numPr>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培训方案完整具体且根据项目实际情况有针对性，承诺能够保证操作人员熟练使用</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rPr>
              <w:t>得5分；</w:t>
            </w:r>
          </w:p>
          <w:p>
            <w:pPr>
              <w:keepNext w:val="0"/>
              <w:keepLines w:val="0"/>
              <w:numPr>
                <w:ilvl w:val="255"/>
                <w:numId w:val="0"/>
              </w:numPr>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培训方案针对性</w:t>
            </w:r>
            <w:r>
              <w:rPr>
                <w:rFonts w:hint="eastAsia" w:ascii="宋体" w:hAnsi="宋体" w:eastAsia="宋体" w:cs="宋体"/>
                <w:color w:val="auto"/>
                <w:kern w:val="0"/>
                <w:sz w:val="21"/>
                <w:szCs w:val="21"/>
                <w:highlight w:val="none"/>
                <w:lang w:val="en-US" w:eastAsia="zh-CN"/>
              </w:rPr>
              <w:t>一般的得3分</w:t>
            </w:r>
            <w:r>
              <w:rPr>
                <w:rFonts w:hint="eastAsia" w:ascii="宋体" w:hAnsi="宋体" w:eastAsia="宋体" w:cs="宋体"/>
                <w:color w:val="auto"/>
                <w:kern w:val="0"/>
                <w:sz w:val="21"/>
                <w:szCs w:val="21"/>
                <w:highlight w:val="none"/>
              </w:rPr>
              <w:t>；</w:t>
            </w:r>
          </w:p>
          <w:p>
            <w:pPr>
              <w:keepNext w:val="0"/>
              <w:keepLines w:val="0"/>
              <w:numPr>
                <w:ilvl w:val="255"/>
                <w:numId w:val="0"/>
              </w:numPr>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培训方案存在一定欠缺的得1分；</w:t>
            </w:r>
          </w:p>
          <w:p>
            <w:pPr>
              <w:keepNext w:val="0"/>
              <w:keepLines w:val="0"/>
              <w:numPr>
                <w:ilvl w:val="255"/>
                <w:numId w:val="0"/>
              </w:numPr>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演示</w:t>
            </w:r>
          </w:p>
        </w:tc>
        <w:tc>
          <w:tcPr>
            <w:tcW w:w="64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15</w:t>
            </w:r>
          </w:p>
        </w:tc>
        <w:tc>
          <w:tcPr>
            <w:tcW w:w="7259" w:type="dxa"/>
            <w:vAlign w:val="center"/>
          </w:tcPr>
          <w:p>
            <w:pPr>
              <w:keepNext w:val="0"/>
              <w:keepLines w:val="0"/>
              <w:numPr>
                <w:ilvl w:val="255"/>
                <w:numId w:val="0"/>
              </w:numPr>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供应商根据第二章 采购需求“4.演示”的要求进行演示，</w:t>
            </w:r>
            <w:r>
              <w:rPr>
                <w:rFonts w:hint="eastAsia" w:cs="宋体"/>
                <w:color w:val="auto"/>
                <w:kern w:val="0"/>
                <w:sz w:val="21"/>
                <w:szCs w:val="21"/>
                <w:highlight w:val="none"/>
                <w:lang w:val="en-US" w:eastAsia="zh-CN"/>
              </w:rPr>
              <w:t>打分项共6项，</w:t>
            </w:r>
            <w:r>
              <w:rPr>
                <w:rFonts w:hint="eastAsia" w:ascii="宋体" w:hAnsi="宋体" w:eastAsia="宋体" w:cs="宋体"/>
                <w:color w:val="auto"/>
                <w:kern w:val="0"/>
                <w:sz w:val="21"/>
                <w:szCs w:val="21"/>
                <w:highlight w:val="none"/>
              </w:rPr>
              <w:t>每项</w:t>
            </w:r>
            <w:r>
              <w:rPr>
                <w:rFonts w:hint="eastAsia" w:ascii="宋体" w:hAnsi="宋体" w:eastAsia="宋体" w:cs="宋体"/>
                <w:color w:val="auto"/>
                <w:kern w:val="0"/>
                <w:sz w:val="21"/>
                <w:szCs w:val="21"/>
                <w:highlight w:val="none"/>
                <w:lang w:eastAsia="zh-CN"/>
              </w:rPr>
              <w:t>：</w:t>
            </w:r>
          </w:p>
          <w:p>
            <w:pPr>
              <w:keepNext w:val="0"/>
              <w:keepLines w:val="0"/>
              <w:numPr>
                <w:ilvl w:val="255"/>
                <w:numId w:val="0"/>
              </w:numPr>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演示</w:t>
            </w:r>
            <w:r>
              <w:rPr>
                <w:rFonts w:hint="eastAsia" w:ascii="宋体" w:hAnsi="宋体" w:eastAsia="宋体" w:cs="宋体"/>
                <w:color w:val="auto"/>
                <w:kern w:val="0"/>
                <w:sz w:val="21"/>
                <w:szCs w:val="21"/>
                <w:highlight w:val="none"/>
                <w:lang w:val="en-US" w:eastAsia="zh-CN"/>
              </w:rPr>
              <w:t>内容完全符合要求的得</w:t>
            </w:r>
            <w:r>
              <w:rPr>
                <w:rFonts w:hint="eastAsia"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分</w:t>
            </w:r>
            <w:r>
              <w:rPr>
                <w:rFonts w:hint="eastAsia" w:ascii="宋体" w:hAnsi="宋体" w:eastAsia="宋体" w:cs="宋体"/>
                <w:color w:val="auto"/>
                <w:kern w:val="0"/>
                <w:sz w:val="21"/>
                <w:szCs w:val="21"/>
                <w:highlight w:val="none"/>
                <w:lang w:eastAsia="zh-CN"/>
              </w:rPr>
              <w:t>；</w:t>
            </w:r>
          </w:p>
          <w:p>
            <w:pPr>
              <w:keepNext w:val="0"/>
              <w:keepLines w:val="0"/>
              <w:numPr>
                <w:ilvl w:val="255"/>
                <w:numId w:val="0"/>
              </w:numPr>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演示内容</w:t>
            </w:r>
            <w:r>
              <w:rPr>
                <w:rFonts w:hint="eastAsia" w:ascii="宋体" w:hAnsi="宋体" w:eastAsia="宋体" w:cs="宋体"/>
                <w:color w:val="auto"/>
                <w:kern w:val="0"/>
                <w:sz w:val="21"/>
                <w:szCs w:val="21"/>
                <w:highlight w:val="none"/>
                <w:lang w:val="en-US" w:eastAsia="zh-CN"/>
              </w:rPr>
              <w:t>存在一定欠缺的得</w:t>
            </w:r>
            <w:r>
              <w:rPr>
                <w:rFonts w:hint="eastAsia"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分；</w:t>
            </w:r>
          </w:p>
          <w:p>
            <w:pPr>
              <w:keepNext w:val="0"/>
              <w:keepLines w:val="0"/>
              <w:numPr>
                <w:ilvl w:val="255"/>
                <w:numId w:val="0"/>
              </w:numPr>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未提供该项演示的，该项演示内容不得分</w:t>
            </w:r>
            <w:r>
              <w:rPr>
                <w:rFonts w:hint="eastAsia" w:ascii="宋体" w:hAnsi="宋体" w:eastAsia="宋体" w:cs="宋体"/>
                <w:color w:val="auto"/>
                <w:kern w:val="0"/>
                <w:sz w:val="21"/>
                <w:szCs w:val="21"/>
                <w:highlight w:val="none"/>
              </w:rPr>
              <w:t>。</w:t>
            </w:r>
          </w:p>
        </w:tc>
      </w:tr>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QSZB-Z(H)-B23335(CS)</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确认书编号：[2023]37075号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大数据工程技术人员实训平台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主机</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年（配件</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 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w:t>
      </w:r>
      <w:r>
        <w:rPr>
          <w:rFonts w:hint="eastAsia" w:cs="Times New Roman"/>
          <w:color w:val="auto"/>
          <w:spacing w:val="-6"/>
          <w:sz w:val="21"/>
          <w:szCs w:val="21"/>
          <w:highlight w:val="none"/>
          <w:lang w:val="en-US" w:eastAsia="zh-CN"/>
        </w:rPr>
        <w:t>7</w:t>
      </w:r>
      <w:r>
        <w:rPr>
          <w:rFonts w:hint="eastAsia" w:cs="Times New Roman"/>
          <w:color w:val="auto"/>
          <w:spacing w:val="-6"/>
          <w:sz w:val="21"/>
          <w:szCs w:val="21"/>
          <w:highlight w:val="none"/>
        </w:rPr>
        <w:t>天内交付。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设备自验收合格后起保修主机</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年（配件</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1"/>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8"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8"/>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39"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中小企业声明函（若属于中小企业）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属于监狱企业的证明文件（若属于监狱企业）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40"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（9</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0"/>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1" w:name="_Hlk94097338"/>
      <w:r>
        <w:rPr>
          <w:rFonts w:hint="eastAsia"/>
          <w:b/>
          <w:bCs/>
          <w:color w:val="auto"/>
          <w:sz w:val="21"/>
          <w:szCs w:val="21"/>
          <w:highlight w:val="none"/>
        </w:rPr>
        <w:t>资格审查要求的资格证明材料(均需加盖公章)</w:t>
      </w:r>
    </w:p>
    <w:bookmarkEnd w:id="41"/>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69" w:firstLineChars="236"/>
        <w:jc w:val="center"/>
        <w:outlineLvl w:val="2"/>
        <w:rPr>
          <w:b/>
          <w:color w:val="auto"/>
          <w:spacing w:val="-6"/>
          <w:sz w:val="21"/>
          <w:szCs w:val="21"/>
          <w:highlight w:val="none"/>
        </w:rPr>
      </w:pPr>
    </w:p>
    <w:p>
      <w:pPr>
        <w:adjustRightInd w:val="0"/>
        <w:snapToGrid w:val="0"/>
        <w:spacing w:line="288" w:lineRule="auto"/>
        <w:ind w:firstLine="498" w:firstLineChars="236"/>
        <w:jc w:val="center"/>
        <w:outlineLvl w:val="2"/>
        <w:rPr>
          <w:b/>
          <w:bCs/>
          <w:color w:val="auto"/>
          <w:sz w:val="21"/>
          <w:szCs w:val="21"/>
          <w:highlight w:val="none"/>
        </w:rPr>
      </w:pP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rFonts w:hint="eastAsia"/>
          <w:color w:val="auto"/>
          <w:sz w:val="21"/>
          <w:szCs w:val="21"/>
          <w:highlight w:val="none"/>
          <w:u w:val="single"/>
        </w:rPr>
        <w:t>杭州电子科技大学</w:t>
      </w:r>
      <w:r>
        <w:rPr>
          <w:color w:val="auto"/>
          <w:sz w:val="21"/>
          <w:szCs w:val="21"/>
          <w:highlight w:val="none"/>
        </w:rPr>
        <w:t>的</w:t>
      </w:r>
      <w:r>
        <w:rPr>
          <w:rFonts w:hint="eastAsia"/>
          <w:color w:val="auto"/>
          <w:sz w:val="21"/>
          <w:szCs w:val="21"/>
          <w:highlight w:val="none"/>
          <w:u w:val="single"/>
        </w:rPr>
        <w:t>大数据工程技术人员实训平台</w:t>
      </w:r>
      <w:r>
        <w:rPr>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hint="eastAsia"/>
          <w:color w:val="auto"/>
          <w:sz w:val="21"/>
          <w:szCs w:val="21"/>
          <w:highlight w:val="none"/>
          <w:u w:val="single"/>
        </w:rPr>
      </w:pPr>
      <w:r>
        <w:rPr>
          <w:color w:val="auto"/>
          <w:sz w:val="21"/>
          <w:szCs w:val="21"/>
          <w:highlight w:val="none"/>
          <w:u w:val="single"/>
        </w:rPr>
        <w:t>1.</w:t>
      </w:r>
      <w:r>
        <w:rPr>
          <w:rFonts w:hint="eastAsia"/>
          <w:color w:val="auto"/>
          <w:sz w:val="21"/>
          <w:szCs w:val="21"/>
          <w:highlight w:val="none"/>
          <w:u w:val="single"/>
        </w:rPr>
        <w:t>大数据工程技术人员实训平台</w:t>
      </w:r>
      <w:r>
        <w:rPr>
          <w:color w:val="auto"/>
          <w:sz w:val="21"/>
          <w:szCs w:val="21"/>
          <w:highlight w:val="none"/>
        </w:rPr>
        <w:t>，属于</w:t>
      </w:r>
      <w:r>
        <w:rPr>
          <w:rFonts w:hint="eastAsia"/>
          <w:color w:val="auto"/>
          <w:sz w:val="21"/>
          <w:szCs w:val="21"/>
          <w:highlight w:val="none"/>
          <w:lang w:eastAsia="zh-CN"/>
        </w:rPr>
        <w:t>软件和信息技术服务业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u w:val="single"/>
        </w:rPr>
        <w:t>。</w:t>
      </w:r>
    </w:p>
    <w:p>
      <w:pPr>
        <w:adjustRightInd w:val="0"/>
        <w:snapToGrid w:val="0"/>
        <w:spacing w:line="288" w:lineRule="auto"/>
        <w:ind w:firstLine="495" w:firstLineChars="236"/>
        <w:rPr>
          <w:rFonts w:hint="eastAsia"/>
          <w:color w:val="auto"/>
          <w:sz w:val="21"/>
          <w:szCs w:val="21"/>
          <w:highlight w:val="none"/>
          <w:u w:val="single"/>
        </w:rPr>
      </w:pPr>
      <w:r>
        <w:rPr>
          <w:rFonts w:hint="eastAsia"/>
          <w:color w:val="auto"/>
          <w:sz w:val="21"/>
          <w:szCs w:val="21"/>
          <w:highlight w:val="none"/>
          <w:u w:val="single"/>
          <w:lang w:val="en-US" w:eastAsia="zh-CN"/>
        </w:rPr>
        <w:t>2</w:t>
      </w:r>
      <w:r>
        <w:rPr>
          <w:color w:val="auto"/>
          <w:sz w:val="21"/>
          <w:szCs w:val="21"/>
          <w:highlight w:val="none"/>
          <w:u w:val="single"/>
        </w:rPr>
        <w:t>.</w:t>
      </w:r>
      <w:r>
        <w:rPr>
          <w:rFonts w:hint="eastAsia"/>
          <w:color w:val="auto"/>
          <w:sz w:val="21"/>
          <w:szCs w:val="21"/>
          <w:highlight w:val="none"/>
          <w:u w:val="single"/>
        </w:rPr>
        <w:t>大数据工程技术人员实训资源（初级）</w:t>
      </w:r>
      <w:r>
        <w:rPr>
          <w:color w:val="auto"/>
          <w:sz w:val="21"/>
          <w:szCs w:val="21"/>
          <w:highlight w:val="none"/>
        </w:rPr>
        <w:t>，属于</w:t>
      </w:r>
      <w:r>
        <w:rPr>
          <w:rFonts w:hint="eastAsia" w:eastAsia="宋体"/>
          <w:color w:val="auto"/>
          <w:sz w:val="21"/>
          <w:szCs w:val="21"/>
          <w:highlight w:val="none"/>
          <w:lang w:eastAsia="zh-CN"/>
        </w:rPr>
        <w:t>软件和信息技术服务业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u w:val="single"/>
        </w:rPr>
        <w:t>。</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u w:val="single"/>
          <w:lang w:val="en-US" w:eastAsia="zh-CN"/>
        </w:rPr>
        <w:t>3</w:t>
      </w:r>
      <w:r>
        <w:rPr>
          <w:color w:val="auto"/>
          <w:sz w:val="21"/>
          <w:szCs w:val="21"/>
          <w:highlight w:val="none"/>
          <w:u w:val="single"/>
        </w:rPr>
        <w:t>.</w:t>
      </w:r>
      <w:r>
        <w:rPr>
          <w:rFonts w:hint="eastAsia"/>
          <w:color w:val="auto"/>
          <w:sz w:val="21"/>
          <w:szCs w:val="21"/>
          <w:highlight w:val="none"/>
          <w:u w:val="single"/>
        </w:rPr>
        <w:t>教学资源包</w:t>
      </w:r>
      <w:r>
        <w:rPr>
          <w:color w:val="auto"/>
          <w:sz w:val="21"/>
          <w:szCs w:val="21"/>
          <w:highlight w:val="none"/>
        </w:rPr>
        <w:t xml:space="preserve"> ，属于</w:t>
      </w:r>
      <w:r>
        <w:rPr>
          <w:rFonts w:hint="eastAsia" w:eastAsia="宋体"/>
          <w:color w:val="auto"/>
          <w:sz w:val="21"/>
          <w:szCs w:val="21"/>
          <w:highlight w:val="none"/>
          <w:lang w:eastAsia="zh-CN"/>
        </w:rPr>
        <w:t>软件和信息技术服务业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u w:val="singl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bookmarkStart w:id="42" w:name="_Hlk71885339"/>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42"/>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项目名称：大数据工程技术人员实训平台</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QSZB-Z(H)-B23335(CS)</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color w:val="auto"/>
                <w:spacing w:val="-6"/>
                <w:sz w:val="21"/>
                <w:szCs w:val="21"/>
                <w:highlight w:val="none"/>
              </w:rPr>
              <w:t>▲</w:t>
            </w:r>
            <w:r>
              <w:rPr>
                <w:rFonts w:hint="eastAsia" w:cs="Times New Roman"/>
                <w:b/>
                <w:color w:val="auto"/>
                <w:spacing w:val="-6"/>
                <w:sz w:val="21"/>
                <w:szCs w:val="21"/>
                <w:highlight w:val="none"/>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杭州电子科技大学大数据工程技术人员实训平台</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QSZB-Z(H)-B23335(CS)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杭州电子科技大学大数据工程技术人员实训平台项目（项目编号：</w:t>
      </w:r>
      <w:r>
        <w:rPr>
          <w:rFonts w:hint="eastAsia" w:cs="Times New Roman"/>
          <w:bCs/>
          <w:color w:val="auto"/>
          <w:spacing w:val="-6"/>
          <w:sz w:val="21"/>
          <w:szCs w:val="21"/>
          <w:highlight w:val="none"/>
          <w:lang w:eastAsia="zh-CN"/>
        </w:rPr>
        <w:t>QSZB-Z(H)-B23335(CS)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▲提供授权代表社保缴纳证明（2022年12月（含）以后任意一月）。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2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附：授权代表社保缴纳证明（2022年12月（含）以后任意一月）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项目名称：大数据工程技术人员实训平台</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QSZB-Z(H)-B23335(CS)</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2"/>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b/>
          <w:color w:val="auto"/>
          <w:spacing w:val="-6"/>
          <w:sz w:val="21"/>
          <w:szCs w:val="21"/>
          <w:highlight w:val="none"/>
        </w:rPr>
      </w:pPr>
      <w:bookmarkStart w:id="43" w:name="_Hlk71885757"/>
      <w:r>
        <w:rPr>
          <w:rFonts w:hint="eastAsia"/>
          <w:b/>
          <w:color w:val="auto"/>
          <w:spacing w:val="-6"/>
          <w:sz w:val="21"/>
          <w:szCs w:val="21"/>
          <w:highlight w:val="none"/>
        </w:rPr>
        <w:t>（6）技术方案：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项目实施方案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安装调试验收</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技术服务、培训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说明：响应产品属于品目清单范围且提供国家确定的认证机构出具的有效的节能产品、环境标志产品认证证书（扫描件/复印件）。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bookmarkEnd w:id="43"/>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（9）供应商需要说明的其他文件和材料。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lang w:eastAsia="zh-CN"/>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lang w:eastAsia="zh-CN"/>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Helvetica">
    <w:altName w:val="Arial"/>
    <w:panose1 w:val="00000000000000000000"/>
    <w:charset w:val="00"/>
    <w:family w:val="swiss"/>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wZjFiNDkyMzVjNTc0YTZiMDdkMjZlYmRiZWM3ZmEifQ=="/>
  </w:docVars>
  <w:rsids>
    <w:rsidRoot w:val="00000000"/>
    <w:rsid w:val="06BC2AD6"/>
    <w:rsid w:val="11817EA9"/>
    <w:rsid w:val="125D0492"/>
    <w:rsid w:val="146A7E39"/>
    <w:rsid w:val="1B58011C"/>
    <w:rsid w:val="26E646AD"/>
    <w:rsid w:val="2E616825"/>
    <w:rsid w:val="373D0139"/>
    <w:rsid w:val="3A2B0CF2"/>
    <w:rsid w:val="5494553A"/>
    <w:rsid w:val="58AA405D"/>
    <w:rsid w:val="629272F0"/>
    <w:rsid w:val="7D716618"/>
    <w:rsid w:val="BBBD47FF"/>
    <w:rsid w:val="CFFB538B"/>
    <w:rsid w:val="DCC7CBFE"/>
    <w:rsid w:val="FCFF49A4"/>
    <w:rsid w:val="FEFB7D37"/>
    <w:rsid w:val="FFFDFFB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paragraph" w:styleId="2">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4">
    <w:name w:val="Default Paragraph Font"/>
    <w:unhideWhenUsed/>
    <w:qFormat/>
    <w:uiPriority w:val="1"/>
  </w:style>
  <w:style w:type="table" w:default="1" w:styleId="12">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3">
    <w:name w:val="annotation text"/>
    <w:basedOn w:val="1"/>
    <w:link w:val="18"/>
    <w:unhideWhenUsed/>
    <w:qFormat/>
    <w:uiPriority w:val="99"/>
    <w:pPr>
      <w:jc w:val="left"/>
    </w:pPr>
    <w:rPr>
      <w:rFonts w:ascii="Times New Roman" w:hAnsi="Times New Roman" w:cs="Times New Roman"/>
      <w:sz w:val="28"/>
    </w:rPr>
  </w:style>
  <w:style w:type="paragraph" w:styleId="4">
    <w:name w:val="Body Text Indent"/>
    <w:basedOn w:val="1"/>
    <w:link w:val="19"/>
    <w:qFormat/>
    <w:uiPriority w:val="0"/>
    <w:pPr>
      <w:spacing w:line="200" w:lineRule="atLeast"/>
      <w:ind w:firstLine="301"/>
    </w:pPr>
    <w:rPr>
      <w:rFonts w:hAnsi="Courier New" w:cs="Times New Roman"/>
      <w:spacing w:val="-4"/>
      <w:sz w:val="18"/>
      <w:szCs w:val="20"/>
    </w:rPr>
  </w:style>
  <w:style w:type="paragraph" w:styleId="5">
    <w:name w:val="Plain Text"/>
    <w:basedOn w:val="1"/>
    <w:link w:val="26"/>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7"/>
    <w:qFormat/>
    <w:uiPriority w:val="0"/>
    <w:rPr>
      <w:sz w:val="18"/>
      <w:szCs w:val="18"/>
    </w:rPr>
  </w:style>
  <w:style w:type="paragraph" w:styleId="7">
    <w:name w:val="footer"/>
    <w:basedOn w:val="1"/>
    <w:link w:val="24"/>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7"/>
    <w:unhideWhenUsed/>
    <w:qFormat/>
    <w:uiPriority w:val="0"/>
    <w:rPr>
      <w:rFonts w:ascii="宋体" w:hAnsi="宋体" w:cs="宋体"/>
      <w:b/>
      <w:bCs/>
      <w:sz w:val="24"/>
    </w:rPr>
  </w:style>
  <w:style w:type="paragraph" w:styleId="11">
    <w:name w:val="Body Text First Indent"/>
    <w:qFormat/>
    <w:uiPriority w:val="0"/>
    <w:pPr>
      <w:widowControl w:val="0"/>
      <w:spacing w:after="120" w:line="288" w:lineRule="auto"/>
      <w:ind w:firstLine="420" w:firstLineChars="100"/>
      <w:jc w:val="both"/>
    </w:pPr>
    <w:rPr>
      <w:rFonts w:ascii="Times New Roman" w:hAnsi="Times New Roman" w:eastAsia="宋体" w:cs="Times New Roman"/>
      <w:kern w:val="2"/>
      <w:sz w:val="28"/>
      <w:szCs w:val="24"/>
      <w:lang w:val="en-US" w:eastAsia="zh-CN" w:bidi="ar-SA"/>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字符"/>
    <w:basedOn w:val="14"/>
    <w:link w:val="6"/>
    <w:qFormat/>
    <w:uiPriority w:val="0"/>
    <w:rPr>
      <w:rFonts w:ascii="宋体" w:hAnsi="宋体" w:cs="宋体"/>
      <w:kern w:val="2"/>
      <w:sz w:val="18"/>
      <w:szCs w:val="18"/>
    </w:rPr>
  </w:style>
  <w:style w:type="character" w:customStyle="1" w:styleId="18">
    <w:name w:val="批注文字 字符"/>
    <w:basedOn w:val="14"/>
    <w:link w:val="3"/>
    <w:qFormat/>
    <w:uiPriority w:val="99"/>
    <w:rPr>
      <w:kern w:val="2"/>
      <w:sz w:val="28"/>
      <w:szCs w:val="24"/>
    </w:rPr>
  </w:style>
  <w:style w:type="character" w:customStyle="1" w:styleId="19">
    <w:name w:val="正文文本缩进 字符1"/>
    <w:link w:val="4"/>
    <w:qFormat/>
    <w:uiPriority w:val="0"/>
    <w:rPr>
      <w:rFonts w:ascii="宋体" w:hAnsi="Courier New"/>
      <w:spacing w:val="-4"/>
      <w:kern w:val="2"/>
      <w:sz w:val="18"/>
    </w:rPr>
  </w:style>
  <w:style w:type="character" w:customStyle="1" w:styleId="20">
    <w:name w:val="正文文本缩进 字符"/>
    <w:basedOn w:val="14"/>
    <w:qFormat/>
    <w:uiPriority w:val="0"/>
    <w:rPr>
      <w:rFonts w:ascii="宋体" w:hAnsi="宋体" w:cs="宋体"/>
      <w:kern w:val="2"/>
      <w:sz w:val="24"/>
      <w:szCs w:val="24"/>
    </w:rPr>
  </w:style>
  <w:style w:type="character" w:customStyle="1" w:styleId="21">
    <w:name w:val="正文文本缩进 字符2"/>
    <w:qFormat/>
    <w:uiPriority w:val="0"/>
    <w:rPr>
      <w:rFonts w:ascii="宋体" w:hAnsi="Courier New"/>
      <w:spacing w:val="-4"/>
      <w:kern w:val="2"/>
      <w:sz w:val="18"/>
    </w:rPr>
  </w:style>
  <w:style w:type="character" w:customStyle="1" w:styleId="22">
    <w:name w:val="未处理的提及1"/>
    <w:basedOn w:val="14"/>
    <w:unhideWhenUsed/>
    <w:qFormat/>
    <w:uiPriority w:val="99"/>
    <w:rPr>
      <w:color w:val="605E5C"/>
      <w:shd w:val="clear" w:color="auto" w:fill="E1DFDD"/>
    </w:rPr>
  </w:style>
  <w:style w:type="paragraph" w:customStyle="1" w:styleId="23">
    <w:name w:val="List Paragraph"/>
    <w:basedOn w:val="1"/>
    <w:qFormat/>
    <w:uiPriority w:val="99"/>
    <w:pPr>
      <w:ind w:firstLine="420" w:firstLineChars="200"/>
    </w:pPr>
  </w:style>
  <w:style w:type="character" w:customStyle="1" w:styleId="24">
    <w:name w:val="页脚 字符"/>
    <w:basedOn w:val="14"/>
    <w:link w:val="7"/>
    <w:qFormat/>
    <w:uiPriority w:val="99"/>
    <w:rPr>
      <w:rFonts w:ascii="宋体" w:hAnsi="宋体" w:cs="宋体"/>
      <w:kern w:val="2"/>
      <w:sz w:val="18"/>
      <w:szCs w:val="24"/>
    </w:rPr>
  </w:style>
  <w:style w:type="character" w:customStyle="1" w:styleId="25">
    <w:name w:val="纯文本 字符"/>
    <w:basedOn w:val="14"/>
    <w:qFormat/>
    <w:uiPriority w:val="0"/>
    <w:rPr>
      <w:rFonts w:hAnsi="Courier New" w:cs="Courier New" w:asciiTheme="minorEastAsia" w:eastAsiaTheme="minorEastAsia"/>
      <w:kern w:val="2"/>
      <w:sz w:val="24"/>
      <w:szCs w:val="24"/>
    </w:rPr>
  </w:style>
  <w:style w:type="character" w:customStyle="1" w:styleId="26">
    <w:name w:val="纯文本 字符1"/>
    <w:link w:val="5"/>
    <w:qFormat/>
    <w:uiPriority w:val="99"/>
    <w:rPr>
      <w:rFonts w:ascii="宋体" w:hAnsi="Courier New" w:eastAsiaTheme="minorEastAsia" w:cstheme="minorBidi"/>
      <w:kern w:val="2"/>
      <w:sz w:val="24"/>
      <w:szCs w:val="24"/>
    </w:rPr>
  </w:style>
  <w:style w:type="character" w:customStyle="1" w:styleId="27">
    <w:name w:val="批注主题 字符"/>
    <w:basedOn w:val="18"/>
    <w:link w:val="10"/>
    <w:semiHidden/>
    <w:qFormat/>
    <w:uiPriority w:val="0"/>
    <w:rPr>
      <w:rFonts w:ascii="宋体" w:hAnsi="宋体" w:cs="宋体"/>
      <w:b/>
      <w:bCs/>
      <w:kern w:val="2"/>
      <w:sz w:val="24"/>
      <w:szCs w:val="24"/>
    </w:rPr>
  </w:style>
  <w:style w:type="table" w:customStyle="1" w:styleId="28">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29">
    <w:name w:val="修订1"/>
    <w:hidden/>
    <w:semiHidden/>
    <w:qFormat/>
    <w:uiPriority w:val="99"/>
    <w:rPr>
      <w:rFonts w:ascii="宋体" w:hAnsi="宋体" w:eastAsia="宋体" w:cs="宋体"/>
      <w:kern w:val="2"/>
      <w:sz w:val="24"/>
      <w:szCs w:val="24"/>
      <w:lang w:val="en-US" w:eastAsia="zh-CN" w:bidi="ar-SA"/>
    </w:rPr>
  </w:style>
  <w:style w:type="paragraph" w:customStyle="1" w:styleId="30">
    <w:name w:val="Revision"/>
    <w:hidden/>
    <w:semiHidden/>
    <w:qFormat/>
    <w:uiPriority w:val="99"/>
    <w:rPr>
      <w:rFonts w:ascii="宋体" w:hAnsi="宋体" w:eastAsia="宋体" w:cs="宋体"/>
      <w:kern w:val="2"/>
      <w:sz w:val="24"/>
      <w:szCs w:val="24"/>
      <w:lang w:val="en-US" w:eastAsia="zh-CN" w:bidi="ar-SA"/>
    </w:rPr>
  </w:style>
  <w:style w:type="paragraph" w:customStyle="1" w:styleId="31">
    <w:name w:val="p1"/>
    <w:basedOn w:val="1"/>
    <w:qFormat/>
    <w:uiPriority w:val="0"/>
    <w:pPr>
      <w:spacing w:before="0" w:beforeAutospacing="0" w:after="0" w:afterAutospacing="0"/>
      <w:ind w:left="0" w:right="0"/>
      <w:jc w:val="left"/>
    </w:pPr>
    <w:rPr>
      <w:rFonts w:ascii="Helvetica" w:hAnsi="Helvetica" w:eastAsia="Helvetica" w:cs="Helvetica"/>
      <w:kern w:val="0"/>
      <w:sz w:val="44"/>
      <w:szCs w:val="4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36091</Words>
  <Characters>40116</Characters>
  <Lines>1</Lines>
  <Paragraphs>1</Paragraphs>
  <TotalTime>6</TotalTime>
  <ScaleCrop>false</ScaleCrop>
  <LinksUpToDate>false</LinksUpToDate>
  <CharactersWithSpaces>40950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2023-07-05T00:20:00Z</dcterms:created>
  <dc:creator>Administrator</dc:creator>
  <cp:lastModifiedBy>浙江求是招标代理有限公司</cp:lastModifiedBy>
  <cp:lastPrinted>2020-04-03T05:56:00Z</cp:lastPrinted>
  <dcterms:modified xsi:type="dcterms:W3CDTF">2023-08-30T01:50:42Z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BC07C89CCF494FCCB78F63BB1132DD6E_13</vt:lpwstr>
  </property>
</Properties>
</file>