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第三教学楼部分教室智慧教室改造</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第三教学楼部分教室智慧教室改造</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QSZB-Z(H)-B23291(GK)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[2023]49387号、[2023]49388号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outlineLvl w:val="0"/>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评标方法及评标标准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第三教学楼部分教室智慧教室改造</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2023年8月8日13:30:00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35393621"/>
      <w:bookmarkStart w:id="1" w:name="_Toc28359002"/>
      <w:bookmarkStart w:id="2" w:name="_Toc35393790"/>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QSZB-Z(H)-B23291(GK)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第三教学楼部分教室智慧教室改造</w:t>
      </w:r>
    </w:p>
    <w:bookmarkEnd w:id="4"/>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eastAsia="zh-CN"/>
        </w:rPr>
        <w:t>（元）</w:t>
      </w:r>
      <w:r>
        <w:rPr>
          <w:rFonts w:hint="eastAsia" w:ascii="宋体" w:hAnsi="宋体" w:eastAsia="宋体" w:cs="Times New Roman"/>
          <w:color w:val="auto"/>
          <w:szCs w:val="21"/>
          <w:highlight w:val="none"/>
        </w:rPr>
        <w:t>：29</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0030元</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.最高限价（元）：29</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0030元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采购清单中</w:t>
      </w:r>
      <w:r>
        <w:rPr>
          <w:rFonts w:hint="eastAsia" w:ascii="宋体" w:hAnsi="宋体" w:eastAsia="宋体" w:cs="Times New Roman"/>
          <w:color w:val="auto"/>
          <w:szCs w:val="21"/>
          <w:highlight w:val="none"/>
          <w:lang w:eastAsia="zh-CN"/>
        </w:rPr>
        <w:t>1-23项</w:t>
      </w:r>
      <w:r>
        <w:rPr>
          <w:rFonts w:hint="eastAsia" w:ascii="宋体" w:hAnsi="宋体" w:eastAsia="宋体" w:cs="Times New Roman"/>
          <w:color w:val="auto"/>
          <w:szCs w:val="21"/>
          <w:highlight w:val="none"/>
          <w:lang w:val="en-US" w:eastAsia="zh-CN"/>
        </w:rPr>
        <w:t>最高限价：</w:t>
      </w:r>
      <w:r>
        <w:rPr>
          <w:rFonts w:hint="eastAsia" w:ascii="宋体" w:hAnsi="宋体" w:eastAsia="宋体" w:cs="Times New Roman"/>
          <w:color w:val="auto"/>
          <w:szCs w:val="21"/>
          <w:highlight w:val="none"/>
          <w:lang w:eastAsia="zh-CN"/>
        </w:rPr>
        <w:t>1002110元，24-29项最高限价：1321980元，</w:t>
      </w:r>
      <w:r>
        <w:rPr>
          <w:rFonts w:hint="eastAsia" w:ascii="宋体" w:hAnsi="宋体" w:eastAsia="宋体" w:cs="Times New Roman"/>
          <w:color w:val="auto"/>
          <w:szCs w:val="21"/>
          <w:highlight w:val="none"/>
          <w:lang w:val="en-US" w:eastAsia="zh-CN"/>
        </w:rPr>
        <w:t>30</w:t>
      </w:r>
      <w:r>
        <w:rPr>
          <w:rFonts w:hint="eastAsia" w:ascii="宋体" w:hAnsi="宋体" w:eastAsia="宋体" w:cs="Times New Roman"/>
          <w:color w:val="auto"/>
          <w:szCs w:val="21"/>
          <w:highlight w:val="none"/>
          <w:lang w:eastAsia="zh-CN"/>
        </w:rPr>
        <w:t>-33项最高限价：575940元）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w:t>
      </w:r>
      <w:r>
        <w:rPr>
          <w:rFonts w:hint="eastAsia" w:ascii="宋体" w:hAnsi="宋体" w:eastAsia="宋体" w:cs="Times New Roman"/>
          <w:color w:val="auto"/>
          <w:szCs w:val="21"/>
          <w:highlight w:val="none"/>
          <w:lang w:val="en-US" w:eastAsia="zh-CN"/>
        </w:rPr>
        <w:t>约</w:t>
      </w:r>
      <w:r>
        <w:rPr>
          <w:rFonts w:hint="eastAsia" w:ascii="宋体" w:hAnsi="宋体" w:eastAsia="宋体" w:cs="Times New Roman"/>
          <w:color w:val="auto"/>
          <w:szCs w:val="21"/>
          <w:highlight w:val="none"/>
        </w:rPr>
        <w:t>期限：</w:t>
      </w:r>
      <w:r>
        <w:rPr>
          <w:rFonts w:hint="eastAsia" w:ascii="宋体" w:hAnsi="宋体" w:eastAsia="宋体" w:cs="Times New Roman"/>
          <w:color w:val="auto"/>
          <w:szCs w:val="21"/>
          <w:highlight w:val="none"/>
          <w:lang w:val="en-US" w:eastAsia="zh-CN"/>
        </w:rPr>
        <w:t>自合同签订之日起20日内交付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第三教学楼部分教室智慧教室改造</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t>否</w:t>
            </w:r>
          </w:p>
        </w:tc>
      </w:tr>
    </w:tbl>
    <w:p>
      <w:pPr>
        <w:adjustRightInd w:val="0"/>
        <w:snapToGrid w:val="0"/>
        <w:spacing w:line="288" w:lineRule="auto"/>
        <w:rPr>
          <w:rFonts w:ascii="宋体" w:hAnsi="宋体" w:eastAsia="宋体" w:cs="宋体"/>
          <w:b/>
          <w:color w:val="auto"/>
          <w:szCs w:val="21"/>
          <w:highlight w:val="none"/>
        </w:rPr>
      </w:pPr>
      <w:bookmarkStart w:id="5" w:name="_Toc35393622"/>
      <w:bookmarkStart w:id="6" w:name="_Toc28359080"/>
      <w:bookmarkStart w:id="7" w:name="_Toc35393791"/>
      <w:bookmarkStart w:id="8" w:name="_Toc28359003"/>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提供货物由中小企业制造，即货物由中小企业生产且使用该中小企业商号或者注册商标；供应商提供的货物既有中小企业制造货物，也有大型企业制造货物的，不符合本项目资格要求</w:t>
      </w:r>
      <w:r>
        <w:rPr>
          <w:rFonts w:hint="eastAsia" w:ascii="宋体" w:hAnsi="宋体" w:eastAsia="宋体" w:cs="Times New Roman"/>
          <w:color w:val="auto"/>
          <w:szCs w:val="21"/>
          <w:highlight w:val="none"/>
          <w:lang w:eastAsia="zh-CN"/>
        </w:rPr>
        <w:t>；</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工程由中小企业承建，即工程施工单位为中小企业</w:t>
      </w:r>
      <w:r>
        <w:rPr>
          <w:rFonts w:hint="eastAsia" w:ascii="宋体" w:hAnsi="宋体" w:eastAsia="宋体" w:cs="Times New Roman"/>
          <w:color w:val="auto"/>
          <w:szCs w:val="21"/>
          <w:highlight w:val="none"/>
          <w:lang w:eastAsia="zh-CN"/>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2023年</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18</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2023年</w:t>
      </w:r>
      <w:r>
        <w:rPr>
          <w:rFonts w:hint="eastAsia" w:ascii="宋体" w:hAnsi="宋体" w:eastAsia="宋体" w:cs="Times New Roman"/>
          <w:color w:val="auto"/>
          <w:szCs w:val="21"/>
          <w:highlight w:val="none"/>
          <w:lang w:val="en-US" w:eastAsia="zh-CN"/>
        </w:rPr>
        <w:t>8月8日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w:t>
      </w:r>
      <w:r>
        <w:rPr>
          <w:rFonts w:ascii="宋体" w:hAnsi="宋体" w:eastAsia="宋体" w:cs="Times New Roman"/>
          <w:color w:val="auto"/>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2023年8月8日13:30:00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2023年8月8日13:30:00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eastAsia="zh-CN"/>
        </w:rPr>
        <w:t>21楼</w:t>
      </w:r>
      <w:r>
        <w:rPr>
          <w:rFonts w:hint="eastAsia" w:ascii="宋体" w:hAnsi="宋体" w:eastAsia="宋体" w:cs="Times New Roman"/>
          <w:color w:val="auto"/>
          <w:szCs w:val="21"/>
          <w:highlight w:val="none"/>
        </w:rPr>
        <w:t>（求是招标会议室</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28359007"/>
      <w:bookmarkStart w:id="20" w:name="_Toc35393794"/>
      <w:bookmarkStart w:id="21" w:name="_Toc35393625"/>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ascii="宋体" w:hAnsi="宋体" w:eastAsia="宋体" w:cs="Times New Roman"/>
          <w:color w:val="auto"/>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r>
        <w:rPr>
          <w:rFonts w:hint="eastAsia" w:ascii="宋体" w:hAnsi="宋体" w:eastAsia="宋体" w:cs="Times New Roman"/>
          <w:color w:val="auto"/>
          <w:szCs w:val="21"/>
          <w:highlight w:val="none"/>
        </w:rPr>
        <w:t>支持科技创新、</w:t>
      </w:r>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7"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bookmarkEnd w:id="25"/>
    <w:bookmarkEnd w:id="26"/>
    <w:p>
      <w:pPr>
        <w:adjustRightInd w:val="0"/>
        <w:snapToGrid w:val="0"/>
        <w:spacing w:line="288" w:lineRule="auto"/>
        <w:rPr>
          <w:rFonts w:ascii="宋体" w:hAnsi="宋体" w:eastAsia="宋体" w:cs="Times New Roman"/>
          <w:b/>
          <w:color w:val="auto"/>
          <w:szCs w:val="21"/>
          <w:highlight w:val="none"/>
        </w:rPr>
      </w:pPr>
      <w:bookmarkStart w:id="28" w:name="_Toc35393627"/>
      <w:bookmarkStart w:id="29" w:name="_Toc28359085"/>
      <w:bookmarkStart w:id="30" w:name="_Toc28359008"/>
      <w:bookmarkStart w:id="31"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8"/>
      <w:bookmarkEnd w:id="29"/>
      <w:bookmarkEnd w:id="30"/>
      <w:bookmarkEnd w:id="31"/>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项目联系人（询问）：路老师</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查老师</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项目联系方式（询问）：15958012691</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15024495299</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24" w:firstLineChars="202"/>
        <w:rPr>
          <w:rFonts w:hint="eastAsia" w:ascii="宋体" w:hAnsi="宋体" w:eastAsia="宋体" w:cs="Times New Roman"/>
          <w:color w:val="auto"/>
          <w:szCs w:val="21"/>
          <w:highlight w:val="none"/>
        </w:rPr>
      </w:pP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胡沁梦</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24" w:firstLineChars="202"/>
        <w:rPr>
          <w:rFonts w:hint="eastAsia" w:ascii="宋体" w:hAnsi="宋体" w:eastAsia="宋体" w:cs="Times New Roman"/>
          <w:color w:val="auto"/>
          <w:szCs w:val="21"/>
          <w:highlight w:val="none"/>
        </w:rPr>
      </w:pP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名称：浙江省政府采购行政裁决服务中心（杭州）</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地址：杭州市上城区四季青街道新业路市民之家G03办公室</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联系人：朱女士、王女士</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监督投诉电话：0571-85252453</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政策咨询：何一平、冯华，0571-87058424、87055741</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 xml:space="preserve"> （https://www.zcygov.cn/），点击右侧咨询小采，获取采小蜜智能服务管家帮助，或拨打政采云服务热线400-881-7190获取热线服务帮助。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CA问题联系电话（人工）：汇信CA400-888-4636；天谷CA400-087-8198。</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949"/>
        <w:gridCol w:w="5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2" w:name="_Hlk45005599"/>
            <w:r>
              <w:rPr>
                <w:rFonts w:hint="eastAsia" w:ascii="宋体" w:hAnsi="宋体" w:eastAsia="宋体" w:cs="宋体"/>
                <w:b/>
                <w:bCs/>
                <w:color w:val="auto"/>
                <w:szCs w:val="21"/>
                <w:highlight w:val="none"/>
              </w:rPr>
              <w:t>序号</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9"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本项目属性为：货物</w:t>
            </w: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工程</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default" w:ascii="宋体" w:hAnsi="宋体" w:eastAsia="宋体" w:cs="Times New Roman"/>
                <w:b/>
                <w:bCs/>
                <w:color w:val="auto"/>
                <w:szCs w:val="21"/>
                <w:highlight w:val="none"/>
              </w:rPr>
              <w:t>工业</w:t>
            </w: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建筑业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中小企业划型标准：</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（1）工业：</w:t>
            </w:r>
            <w:r>
              <w:rPr>
                <w:rFonts w:hint="default" w:ascii="宋体" w:hAnsi="宋体" w:eastAsia="宋体" w:cs="Times New Roman"/>
                <w:b/>
                <w:bCs/>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lang w:val="en-US" w:eastAsia="zh-CN"/>
              </w:rPr>
            </w:pP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2</w:t>
            </w: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4" w:hRule="atLeast"/>
        </w:trPr>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94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84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2"/>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5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4"/>
        <w:gridCol w:w="765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015" w:hRule="atLeast"/>
        </w:trPr>
        <w:tc>
          <w:tcPr>
            <w:tcW w:w="18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3" w:name="_Hlk45005608"/>
            <w:r>
              <w:rPr>
                <w:rFonts w:hint="eastAsia" w:ascii="宋体" w:hAnsi="宋体" w:eastAsia="宋体" w:cs="Times New Roman"/>
                <w:b/>
                <w:color w:val="auto"/>
                <w:spacing w:val="-6"/>
                <w:szCs w:val="21"/>
                <w:highlight w:val="none"/>
              </w:rPr>
              <w:t>▲履约保证金</w:t>
            </w:r>
          </w:p>
        </w:tc>
        <w:tc>
          <w:tcPr>
            <w:tcW w:w="765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743" w:hRule="atLeast"/>
        </w:trPr>
        <w:tc>
          <w:tcPr>
            <w:tcW w:w="18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3.在签订合同时，供应商明确表示无需预付款或者主动要求降低预付款比例的，可降低预付款比例（预付款保函同步调整）。</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tc>
      </w:tr>
      <w:bookmarkEnd w:id="33"/>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自合同签订之日起20日内交付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货物部分5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工程部分2年（防水防漏5年），</w:t>
            </w:r>
            <w:r>
              <w:rPr>
                <w:rFonts w:hint="eastAsia" w:ascii="宋体" w:hAnsi="宋体" w:eastAsia="宋体" w:cs="宋体"/>
                <w:color w:val="auto"/>
                <w:szCs w:val="21"/>
                <w:highlight w:val="none"/>
              </w:rPr>
              <w:t>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rPr>
              <w:t>若需上门维修，则在：</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小时内到达现场并进行维修；</w:t>
            </w:r>
            <w:r>
              <w:rPr>
                <w:rFonts w:hint="eastAsia" w:ascii="宋体" w:hAnsi="宋体" w:eastAsia="宋体" w:cs="宋体"/>
                <w:color w:val="auto"/>
                <w:szCs w:val="21"/>
                <w:highlight w:val="none"/>
                <w:u w:val="single"/>
                <w:lang w:val="en-US" w:eastAsia="zh-CN"/>
              </w:rPr>
              <w:t>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val="en-US" w:eastAsia="zh-CN"/>
              </w:rPr>
              <w:t>7.</w:t>
            </w:r>
            <w:r>
              <w:rPr>
                <w:rFonts w:hint="eastAsia" w:ascii="宋体" w:hAnsi="宋体" w:eastAsia="宋体" w:cs="Times New Roman"/>
                <w:color w:val="auto"/>
                <w:spacing w:val="-6"/>
                <w:szCs w:val="21"/>
                <w:highlight w:val="none"/>
              </w:rPr>
              <w:t>本次智慧教室改造中涉及的教室内原有桌椅、设备、吊顶等等的拆除均由中标人负责；</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val="en-US" w:eastAsia="zh-CN"/>
              </w:rPr>
              <w:t>8.</w:t>
            </w:r>
            <w:r>
              <w:rPr>
                <w:rFonts w:hint="eastAsia" w:ascii="宋体" w:hAnsi="宋体" w:eastAsia="宋体" w:cs="Times New Roman"/>
                <w:color w:val="auto"/>
                <w:spacing w:val="-6"/>
                <w:szCs w:val="21"/>
                <w:highlight w:val="none"/>
              </w:rPr>
              <w:t>所有设备、家具、装修等涉及的线路布线、附件线材、安装调试等费用均由中标人负责；</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Times New Roman"/>
                <w:color w:val="auto"/>
                <w:spacing w:val="-6"/>
                <w:szCs w:val="21"/>
                <w:highlight w:val="none"/>
                <w:lang w:val="en-US" w:eastAsia="zh-CN"/>
              </w:rPr>
              <w:t>9.</w:t>
            </w:r>
            <w:r>
              <w:rPr>
                <w:rFonts w:hint="eastAsia" w:ascii="宋体" w:hAnsi="宋体" w:eastAsia="宋体" w:cs="Times New Roman"/>
                <w:color w:val="auto"/>
                <w:spacing w:val="-6"/>
                <w:szCs w:val="21"/>
                <w:highlight w:val="none"/>
              </w:rPr>
              <w:t>项目施工过程中，施工人员的安全问题均由中标人负责，采购人不承担任何责任</w:t>
            </w:r>
            <w:r>
              <w:rPr>
                <w:rFonts w:hint="eastAsia" w:ascii="宋体" w:hAnsi="宋体" w:eastAsia="宋体" w:cs="Times New Roman"/>
                <w:color w:val="auto"/>
                <w:spacing w:val="-6"/>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ascii="宋体" w:hAnsi="宋体" w:eastAsia="宋体" w:cs="宋体"/>
          <w:b/>
          <w:bCs/>
          <w:color w:val="auto"/>
          <w:szCs w:val="21"/>
          <w:highlight w:val="none"/>
        </w:rPr>
      </w:pPr>
      <w:bookmarkStart w:id="34"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5"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5"/>
    </w:p>
    <w:bookmarkEnd w:id="34"/>
    <w:p>
      <w:pPr>
        <w:adjustRightInd w:val="0"/>
        <w:snapToGrid w:val="0"/>
        <w:spacing w:line="288" w:lineRule="auto"/>
        <w:rPr>
          <w:rFonts w:hint="eastAsia" w:ascii="宋体" w:hAnsi="宋体" w:eastAsia="宋体" w:cs="宋体"/>
          <w:b w:val="0"/>
          <w:bCs w:val="0"/>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val="0"/>
          <w:bCs w:val="0"/>
          <w:color w:val="auto"/>
          <w:szCs w:val="21"/>
          <w:highlight w:val="none"/>
          <w:lang w:val="en-US" w:eastAsia="zh-CN"/>
        </w:rPr>
        <w:t>为营造良好的教学环境，满足广大师生多样化教学需求，杭州电子科技大学2023年暑期计划对第三教学楼现有的105、111、115、201、205、211、215等7间教室进行智慧教室改造，其中现有的111、205、211三间教室分别隔为2个房间。本次教室改造涉及多媒体设备、家具、装修等方面的内容。</w:t>
      </w:r>
    </w:p>
    <w:p>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超清智能显示终端（核心产品）</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1、整机屏幕需采用≥98英寸IPS液晶屏，显示比例16:9，屏幕分辨率≥3840*2160，色彩度≥10bit ,可视角度≥178°；</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2、采用超窄边框设计，屏占比≥92%，整机最薄处≤25mm；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3、整机采用Android 9.0系统，内置CPU性能不低于四核A73，内置GPU性能不低于双核Mali G52，RAM≥6GB，ROM≥64GB；</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4、采用2.2声道，顶部发声设计，内置2×7W+2×18W扬声器；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5、I/O接口：≥3路HDMI IN，≥5路 USB接口（前置≥2路，后置≥3路，至少包含2路USB3.0），≥1路TYPE-C接口，≥1路AUDIO OUT，≥1路RJ45 IN，≥1路RJ45 OUT，≥1路RS232；</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6、为保证显示色彩的丰富程度，色域≥90%NTSC；</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7、无线传屏软硬件均支持Windows10系统/MAC系统扩展屏显示，电脑投屏，最大支持4k@30的分辨率投屏；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8、支持应用窗口投屏满足：</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（1）沉浸式+个人端隐私保护，可避免消息弹窗；</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（2）应用窗口投屏时，电脑屏幕仍能操作其他应用</w:t>
            </w:r>
            <w:r>
              <w:rPr>
                <w:rFonts w:hint="eastAsia" w:ascii="宋体" w:hAnsi="宋体" w:eastAsia="宋体" w:cs="宋体"/>
                <w:b/>
                <w:bCs/>
                <w:color w:val="auto"/>
                <w:kern w:val="0"/>
                <w:sz w:val="21"/>
                <w:szCs w:val="21"/>
                <w:highlight w:val="none"/>
                <w:lang w:val="en-US" w:eastAsia="zh-CN" w:bidi="ar"/>
              </w:rPr>
              <w:t>（提供证明材料）</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9、传屏之后，在屏幕上部中间部分显示工具栏，可以进行基本的操作（具体包括勿扰模式，暂停投屏，传屏内容等）；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10、整机符合GB/T 17626.5-2019、GB/T 17626.2-2018、GB/T 17626.3-2016、GB/T 17626.4-2018、GB/T 17626.6-2017、GB/T 17626.11-2008等标准要求，确保整机使用安全；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11、整机具备抗振动、防跌落特性，保证整机运输或使用过程中不易受损，整机产品机身为金属外壳，满足GB4943.1-2011标准中的防火要求；</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12、可通过传屏工具栏暂停投屏功能进行画面冻结暂停，投屏电脑可自主进行其他操作，不影响整机的冻结画面内容显示；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13、整机无需外接任何视频会议终端，仅用整机即可召开视频会议，实现远端互联；</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14、通过个人电脑运行传屏工具，可调用连接在商显上的摄像头画面，并在个人电脑中开启视频会议；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15、内置欢迎界面，内置多种模板，并支持手机编辑欢迎界面；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16、支持手机、电脑通过客户端对整机展示内容进行截屏、实时录屏，并最终保存到手机、电脑上；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17、支持集控管理平台软件对接，实现集控相关功能，如：批量设备管理、远程操控设备、个性化设置、软件管理、图文推送等功能；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无线传屏终端</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1、支持≤5s快速投屏，提供USB Type-C接口及USB Type-A（转接头），支持操作系统：Windows7/ Windows 10/ Windows 11/Mac OS 10.12 及以上；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2、支持NFC一碰传，快速投屏；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3、支持电脑通过无线方式直接调用整机的摄像头；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4、支持国产化操作系统，如 UOS、麒麟OS，包括X86架构和ARM架构；</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5、无线传屏器无需插入大屏，支持蓝牙快速配对。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云笔记智能书写板</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18</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块</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1、触摸技术：红外触摸技术，支持普通水性笔在电子白板上直接书写，无须专用笔，使用方便；</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2、书写板夹层：采用铝蜂窝夹层，板材厚度≥15mm；板面材质：搪瓷表面，厚度≥0.4mm；板面硬度：＞4H，无尘笔书写擦拭无痕迹</w:t>
            </w:r>
            <w:r>
              <w:rPr>
                <w:rFonts w:hint="eastAsia" w:ascii="宋体" w:hAnsi="宋体" w:eastAsia="宋体" w:cs="宋体"/>
                <w:b/>
                <w:bCs/>
                <w:color w:val="auto"/>
                <w:kern w:val="0"/>
                <w:sz w:val="21"/>
                <w:szCs w:val="21"/>
                <w:highlight w:val="none"/>
                <w:lang w:val="en-US" w:eastAsia="zh-CN" w:bidi="ar"/>
              </w:rPr>
              <w:t>（提供具有CMA或CNAS标识的第三方检测/检验报告扫描件）</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3、板面颜色为白色。板面具备耐擦拭性，一般的水性白板笔都可以直接用干布擦拭；使用寿命不低于10年；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4、板体尺寸：≥100寸；</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5、板体尺寸比例:16：10；</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6、投影效果：板面需要经过特殊工艺处理，减少反射影像的光线扭曲，没有明显的光斑；</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7、抗腐蚀：甲苯、丁酮、酒精、油脂、石油、乙酸乙酯、二甲苯等几种常见腐蚀剂浸泡1小时，无变化；</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8、板书记录功能：支持实时记录当前版面内的所有板书内容，并且在电脑界面内窗口化显示；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9、支持在书写板面上通过图标在任意界面状态下一键激活板书记忆功能，无须教师手动通过客户端界面打开相关功能；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10、PPT翻页：支持在书写板面上点击翻页图标区域，对PPT画面进行翻页；</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11、一键清屏：支持在书写板面通过清屏图标对板书记录界面一键清屏；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12、一键切换：支持在书写板面通过切换图标对板书记录界面和PPT界面进行循环切换；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13、板书笔迹颜色选择：可以通过功能按钮选择板书数字化后的颜色，分为蓝色、红色、黑色，方便老师根据上课内容有差别的进行重点显示；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14、分享设置：可以通过功能按钮让老师随时设置当前内容的分享模式，教师可以自由选择暂停分享所有课堂内容；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15、推送设置：可以通过功能按钮让老师随时主动将当前内容分享给已加入到课程的学生；</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16、板擦自动识别：软件可自动识别板擦和笔，无需人工选择设置，不改变老师的使用习惯；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17、板书自动弹出：当进行板书时，无须进行任何手动切换，能够直接弹出并显示当前书写板的板书界面；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18、多板同时书写：支持同时接入多块书写板，并能够分别记录不同书写板的板书内容；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19、可以实时将板书内容同步传输到显示屏幕上，解决后排学生看不清白板书写的问题；</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20、学生可以根据自己对知识点的兴趣，通过手机微信实时获得当前投影机展示的内容，以及白板的内容，快速记录课堂笔记。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辅助显示屏（▲提供有效期内的节能产品认证证书）</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1、液晶显示器，屏幕尺寸≥55寸（对角线）,主屏画面同屏显示；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2、支持上电开机,与教室中控系统统一控制；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3、显示分辨率≥3840×2160；刷新频率≥60Hz。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辅助显示屏吊装支架</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套</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1、支持≥55寸液晶显示器吊装；</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2、吊装承重≥40KG；</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3、材质：优质冷轧钢；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4、支持左右360度旋转。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6</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电子时钟</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1、校时接口采用NTP网络接口；使时钟显示时间与同步时钟源保持准确一致，误差不超过1秒；</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2、供电电源：交流电220V±15％，50Hz±5%；</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3、子钟数码管可以远程或手动实现九级亮度调整；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4、LED显示单元发光强度：≥35mcd，对比度≥10：1；</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5、LED显示屏可视视角≥±65°，LED显示屏MTBF≥80,000小时；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6、独立计时精度：≤±0.1秒/天；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7、七段数码管显示，每段亮度均匀、全静态、无闪烁；</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8、子钟平均无故障时间（MTBF）：≥70000小时；寿命：＞20年；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9、数码管规格：4英寸红色数码管显示时分秒。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无线键鼠</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套</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全尺寸键盘，无线鼠标，带无线2.4G接收器。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8</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智慧教学主机</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1、处理器：四核以上，Intel i7 12代及以上CPU；</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2、内存：16GB DDR4；</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3、硬盘：≥256G SSD硬盘+≥1TB 机械盘；</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4、显卡：集成显卡；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5、网卡：1个RJ45网口，以太网 LAN 10/100/1000；</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6、视频端口：具备高清视频端口(HDMI口)*2；</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7、USB2.0至少两个，USB3.0至少4个，机箱前面板至少两个USB3.0接口；</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8、主板自带Wi-Fi 6无线网卡。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9</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手持式无线话筒</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套</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一、无线接收主机：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1、工作频率范围：UHF 640-690MHz；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2、可调范围：50MHz；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3、频道数目：≥200；</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4、频道间隔：250KHz；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5、频率稳定度：±0.005%以内；</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6、动态范围：90dB；</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7、最大频偏：±45KHZ；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8、音频响应：80HZ-16KHz(±3dB)；</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9、综合信噪比：≥85dB；</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10、综合失真：≤0.5%；</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11、可通过网口，上传无线麦实时电量、信噪比、充电状态以及是否带出教室的信息到后端管理平台；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12、可通过网口进行参数配置，DIY音质。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二、无线麦克风：</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1、无线话筒采用笔形设计，支持手持和挂脖；</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2、可外接头戴麦、领夹麦,外接麦克风时，自带麦克风无声；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3、具有电源开关、静音按键、对频按键和PPT翻页按键；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4、无线话筒面板上具有显示屏，可显示音量、电池电量、频段信息；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5、支持同频段的无限个数量的任何接收机；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6、自带PPT翻页发射功能，即插即用,不需专用驱动；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7、无线话筒可以满足国家核准无线电发射设备的认证要求 SRRC发射功率小于50MW；</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8、无线麦信噪比未达到设定的阈值，指示灯闪烁提示；</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9、拾音距离20cm。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三、充电底座：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1、支持电磁感应无线充电，无外插充电接口；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2、支持外接DC5V-2A供电；</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3、网口上传无线麦、备用电池和无线麦的充电状态、电量信息到后端管理平台；</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4、具备无线麦克风充电座软件；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5、具备机械锁自锁功能，通过协议对接中控，可实现无线麦上锁和开锁功能。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鹅颈麦克风</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个</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1、静电型电容式；超心型指向性；幻象供电24-52V DC,2mA；内置三针XLRM卡农公头；长度≥270mm；</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2、频率响应70-19,000Hz；感度-40dB；阻抗200ohms；最大输入声压级134dB；动态范围106dB；</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3、信噪比（以额定输出功率为参考）：68～72分贝；</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4、底座：幻象供电直流24-48V；功耗3:mA 典型；输出阻抗200ohms；插入损耗1dB(200欧姆输入阻抗)；</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5、静音衰减55dB于1000Hz；35dB于100Hz；30dB于50Hz；话筒座XLRF卡农母座、XLRM卡农公座、开关带LED双色指示灯；</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6、冷热冲击：高温60℃,低温-30℃,高温和低温各保持30min,中间转换时间≤30min,循环10次，在-30℃ 85%RH恒定湿热环境下，工作正常。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11</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功放</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1、铝合金面板，液晶显示屏，配拉手；支持MP3播放，可播放多种格式音乐；支持全功能遥控音乐输入切换、音乐加减、话筒加减、混响加减；支持话筒优先按键；</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2、支持7×24h连续工作；</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3、支持设定音乐和话筒最大音量；支持USB调音软件控制接口；支持1路光纤和1路同轴数字信号输入口；内置5.0蓝牙播放器,可播放多种无损格式音乐；</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4、支持1路纯人声莲花输出端子，方便用户使用点歌机时语音点歌；3路模拟立体声输入接口（AUX/BGM/DVD）；</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5、具有断电记忆功能，开机恢复上次使用的输入选择、音乐混响话筒音量等；共5路话筒输入，前3路话筒可单独调节输入增益；支持7级话筒防啸叫按键；</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6、音乐主音量/音乐高音/音乐中音/音乐低音/音乐左右平衡独立可调；话筒主音量/混响主音量/话筒高音/音筒中音/话筒低音/混响延时回响独立可调；</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7、频率响应：20Hz-20KHz；输出单通道功率约300W/320W/（8Ω；失真率0.01-0.05%；输出灵敏度0.765-0.775V；信噪比（以额定输出功率为参考）95～100分贝；</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8、线路输入灵敏度：250mv；话筒线路输入灵敏度：5-100mv；麦克风音质调整：±8dB。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高保真音箱</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只</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1、音箱系统：2.0声道；</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2、无源；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3、额定功率≥120W；</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4、频率响应：55Hz-18kHz；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5、灵敏度：≥95dB；</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6、喇叭规格：中、低音单元≥2×8英寸，高音单元≥2×1英寸，阻抗8Ω；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7、接口：弹簧式压接快速接口。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13</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时序电源</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numPr>
                <w:ilvl w:val="0"/>
                <w:numId w:val="2"/>
              </w:numPr>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采用ARM核32位处理器控制；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2、8路通道总承受功率为8KW电源；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3、具有2×24LCD背光显示功能；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3、每通道设立独立的硬件紧急关闭开关，可以通过开关紧急关闭某一路的电源输出；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4、可设置密码功能，保护系统用电安全管理；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5、软件编辑功能，可独立调整通道开机及关机的延时时间；</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6、设备内置定时开关机功能，支持≥12个月的定时时间设置；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7、设备内置中控代码生成器，方便第三方设备进行代码编辑；</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8、设备内置远程控制功能；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9、能与电源时序器进行多台扩展及级联设置；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10、设备受控控制方式多样，支持TCP/IP、WIFI、USB，RS485，RS232联机控制加上外部（远程）控制能控制复杂的电源系统；</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11、设备可通过红外学习功能及IO控制功能对第三方设备进行控制；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12、采用10A通用安全划盖插座；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13、工作电压：单相AC220V(±20%)；</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14、工作频率：50Hz或60Hz；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15、CPU采用不低于ARM核32位处理器；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16、显示方式：2×24 LCD背光液晶显示；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17、电源输入：连接单相3芯接线座，可外接3芯单相电缆；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18、时序通道：8通道独立控制的时序通道，8通道独立常开控制，8通道独立硬件开关式应急停止设置；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19、电源输出：</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（1）电源输出单相总极限负载的电流为40A；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（2）在音频负载情况下，每路极限总电流都为20A；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（3）在纯电阻负载情况下，每路极限总电流都为10A；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20、远程控制接口：RS485、RS232、TCP/IP、USB3.0/USB2.0、线控；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21、可通过软件对设备进行编程控制；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22、定时功能：内置万年历，可以对设备进行日、周设备定时，每天可设置定时开关机6次；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23、时序时间：可自行设置更改，开机延时为1至999秒，关机延时为1至999秒；</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24、密码功能：可设置无密码分功能选择锁定及6位数字、字母、符号密码分功能选择锁定；</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25、设备级联ID设置：可设置≥250个ID进行级联控制；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26、中控代码：设备软件内置中控代码生成器；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27、程序存储：5组数据存储；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28、抗静电测试：通过抗静电4000V测试；</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29、耐压测试：通过耐压5000V测试；</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30、接地电阻：R≤100Ω；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31、装机高度：1U。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14</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智慧教学终端</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套</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1、安装方式：主机支持安装于标准机柜的机架上；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2、机箱材质：优质冷轧钢材，表面静电喷塑；</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3、视频矩阵切换：HDMI输入≥4，HDMI输出≥2，最高分辨率支持4K/30Hz，且输出口支持用户在信号切换界面自由设为同屏输出或者异屏输出；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4、音频切换：3.5mm音频输入≥2，3.5mm音频输出≥2；</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5、USB接口：USB2.0输入接口≥3；USB2.0输出接口≥2；</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6、控制接口：IR≥1；RS-232≥2；RS-485≥4；受控I/O口≥2。需提供端口配置软件支持用户在PC端通过局域网络在线配置中控各控制接口上的控制码发码指令；</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7、AC电源接口：220V输入≥1，受控220V电源输出≥2；</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8、DC电源接口：5V输出≥2；</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9、中控主机支持级联扩展物联网控制主机、环境监测模块等硬件外设；</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10、支持投影机电源、教师机电源两路受控电源，且每路带有独立的带负载检测；</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11、主机上具备物理开关，可对中控主机进行一键断电；</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12、主机的正面面板需带有电源指示灯，可用来提示当前中控的工作状态。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15</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交互式智能书写屏（含融合中控面板）</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块</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1、书写屏的整体屏幕需采用双屏设计，电脑显示屏≥23.5寸，中控显示屏≥10.1寸，且两块屏幕需集成于同一个外壳内部，需采用铝合金进行整体包边；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2、电脑显示屏的显示尺寸≥23.5寸；分辨率≥1920*1080；触摸点数≥10点；屏幕亮度需≥250cd/㎡；</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3、书写屏背部需采用优质冷轧钢材进行封装，表面静电喷塑，不得有任何直接裸露的电路板器件；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4、书写屏背部需至少具备1路电源接口，1路HDMI输入接口，1路Touch输出口，2路RS232控制接口，1路Type-C控制接口，1路网路输入接口，2路电机控制接口，1路USB输入接口；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5、书写屏的屏幕正面边侧需具备独立的物理按键，可在中控屏未开机时控制讲桌高度的电动升降和显示屏倾斜角的电动翻转；</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6、显示屏需内置集成有拾音器、扬声器（2*4W以上）、NFC刷卡模块等常规外设模块；</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7、中控显示屏需内置Android10及以上的系统，运行内存≥2G，EmmC≥16G，主频≥1.6GHz；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8、书写屏需配置至少1支屏幕书写笔，该书写笔需具备防盗绳设计，可与书写屏或者讲桌桌体进行连接，避免产品使用过程中书写笔错拿和遗失；</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书写屏需支持抬笔批注功能，支持在电脑桌面状态下，无须点击任何软件按钮，实现抬笔即可进行电子批注的功能，且笔身上需具备橡皮擦按键，按下后自动切换至橡皮擦状态，并对产生的电子批注进行擦除；</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书写屏需支持手笔分离功能，支持在电脑桌面状态下，书写笔进行批注或者擦除动作后，无须点击任何软件按钮，实现通过手指直接进行触控操作；当手指操作完毕后，又可通过书写笔直接进行电子批注或擦除，这个过程中无须点击任何软件按钮，教师无须学习任何软件功能，零门槛使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书写屏需具备Windows窗口导航功能，在导航界面需支持收录和显示Windows系统内当前打开的各类软件和系统窗口的缩略图，至少需包括PPT、EXCEL、Word、图片、视频、视频展台等。教师可在导航窗口内通过点击缩略图即可实现各类资源在屏幕内的快速切换与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12、书写屏需具备各资源窗口的手势切换功能，在电脑桌面状态下，可通过五指左右横扫动作，实现导航窗口内各个资源前后两个方向的快速循环切换；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书写屏需具备虚拟白板功能，支持在导航窗口内一键创建虚拟白板窗口，教师可在虚拟白板窗口直接通过书写笔进行任意书写和圈画操作，且书写完毕后，支持无须点击任何软件按钮，直接通过手指对白板画布进行缩放和漫游操作；</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14、书写屏需支持通过手指手动点击屏幕侧边栏的工具按钮，自由设置手指在触控、批注、擦除3个模式内进行切换，实现在书写笔遗失或未使用的情况下，通过手指进行屏幕批注和批注擦除功能。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15、书写屏上通过书写笔在电脑桌面状态下产生的电子批注轨迹需具备压力感应功能，产生的批注轨迹可随着批注过程中压力大小的变化自动调整笔画粗细，逼真还原教师实际的书写效果；</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16、书写屏上通过手指批注在电脑桌面状态下产生的电子批注轨迹，需支持通过轨迹优化算法，根据手指的书写速度和方向自动调整笔画粗细，逼真还原教师实际的书写效果；</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17、书写屏的导航窗口和工具栏窗口需支持自动隐藏功能，若窗口展开后无后续点击操作，导航和工具栏窗口将自动隐藏，尽量避免对当前屏幕内容产生遮挡；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18、书写屏的中控屏界面内需具备电脑显示屏内的资源窗口界面，支持教师通过在中控屏内点击窗口缩略图实现对电脑窗口的快捷切换；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19、书写屏的中控屏需支持需教室配套多媒体中控系统的自动对接，可在屏幕内同步显示中控系统的操作界面，实现通过屏幕内的操作界面对教室内各多媒体设备进行集中控制。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教学驾驶舱</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一、整机结构：</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1、桌面板材：采用E0级25mm厚度白色免漆板；</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2、桌板前部具备多层板弯曲而成的木色高围挡设计，表面喷漆。高度≥100mm，可防止桌面物品滚落；桌面两侧前方具有和围挡同色的多层板凸台，用于放置控制设备和话筒等；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3、桌板尺寸约为1624mm×800mm，内侧环绕型设计，尺寸可根据教室环境调整；桌面封边：2mmPVC直封边，封边条颜色可与面板颜色不同，整体色彩需协调；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4、电动升降立柱采用双电机两节，桌架最大均布载荷：100Kg均布，最大速度：25mm/s，控制盒带遇阻回退功能；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5、桌架型材：优质钢材，表面处理选用静电喷涂技术，颜色为白色；</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6、桌面前部具备有完整平面的可拆卸前挡板设计，方便维护，可自由粘贴学校的校徽LOGO；</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7、讲桌左右两侧具有尼龙坦克链拖链，内径≥20*57mm（可打开），保证强弱电线缆分开走线，升降过程中线缆两头不会被拉扯；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8、桌面边缘具有塑料杯托，杯托内部直径≥80mm；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9、讲桌下部具有储物空间，可供教师临时存放书本、书包等用品；</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10、讲桌设计有机柜设备安装支架，安装数量≥8U（孔距470mm）。前后门都可以打开方便维护，前后门都具有散热孔。前门带锁；</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11、第三方中控安装接入：讲桌预留第三方中控安装位置以及安装支架，支持第三方中控接入讲桌。安装支架具有与桌面15度的倾斜角度，便于中控观看操作。</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二、整机功能：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1、讲桌需具备电动升降结构，桌面的离地总高度升降范围至少需有715mm-1215mm；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2、讲桌需具备可控制桌面升降的物理升降按键，并支持在升降过程中实时显示当前的桌面高度；</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3、显示器支架调节：显示器支架具有轨道可整体抽出，方便教师操作屏幕。显示器支架可支持电动翻转，可翻转角度≥15°，同时显示器支架底座设计键鼠收纳空间，用于存放键鼠设备；</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4、讲桌需具备可控制桌面显示屏翻转的物理按键；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5、桌面上至少需具备1个以上万能5孔220V电源插座、1个以上的USB接口，1路笔记本电脑的标准HDMI输入接口。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三、高拍仪模块：</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1、产品外壳材质：塑料；</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2、镜头规格：定焦镜头，≥1600万像素；</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3、拍摄画幅：≥A3幅面；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4、控制面板：控制面板采用高硬度压克力面板，全触摸感应按键；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5、灯光：高亮度LED辅助光源；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6、画面输出接口：USB2.0*1；</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7、电源供电：支持单USB取电和DC5V独立电源辅助供电；</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8、产品结构：具有折叠式翻盖和抽拉式隐藏结构，下压后可以把高拍仪整体隐藏与桌面下方。具有下压式弹簧装饰圈，可以下压装饰圈，整体提起高拍仪；</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9、安装方式：采用塑料大螺母夹紧与桌板上。</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四、传屏模块：</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1、外壳需采用塑料材质；</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2、具备≥1路的标准HDMI采集接口，支持对笔记本电脑、电视盒、无线投屏器等各类外设画面的音视频信号进行编码采集；</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3、具备≥1路的标准USB-A接口，可与任意的Windows系统电脑进行连接。并同时具备按压式的物理按键，支持一键将采集到的信号画面全屏显示在被连接的电脑画面内</w:t>
            </w:r>
            <w:r>
              <w:rPr>
                <w:rFonts w:hint="eastAsia" w:ascii="宋体" w:hAnsi="宋体" w:eastAsia="宋体" w:cs="宋体"/>
                <w:b/>
                <w:bCs/>
                <w:color w:val="auto"/>
                <w:kern w:val="0"/>
                <w:sz w:val="21"/>
                <w:szCs w:val="21"/>
                <w:highlight w:val="none"/>
                <w:lang w:val="en-US" w:eastAsia="zh-CN" w:bidi="ar"/>
              </w:rPr>
              <w:t>（提供证明材料）</w:t>
            </w:r>
            <w:r>
              <w:rPr>
                <w:rFonts w:hint="eastAsia" w:ascii="宋体" w:hAnsi="宋体" w:eastAsia="宋体" w:cs="宋体"/>
                <w:color w:val="auto"/>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4、模块需支持≥2台可同时连接至同一台Windows系统电脑上，并且在显示其中1台的信号画面时，另1台可一键切换至其对应的信号画面，无须进行任何重复点击或者其他操作；</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5、产品连接后在Windows系统电脑上显示的采集画面，需同时支持源设备的音频与视频同步播放与显示；</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6、需具备配套的采集画面管理软件，支持在产品连接的Windows系统电脑内通过交互界面查看所有的采集画面，并可手动切换和显示；</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7、产品无需具备独立的供电线，支持通过信号传输过程实现对自身的供电，且该过程不影响信号的稳定传输；</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8、需支持对投屏上来的画面进行冻结或解冻投屏画面；</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9、需支持对每一路投屏上来的画面打开或关闭声音；</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10、需支持对每一路投屏上来的画面进行放大和缩放；</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11、需支持对每一路投屏上来的画面进行截屏操作，可生成对应的静态图片，并支持保存在电脑硬盘上。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17</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融合中控客户端软件</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点</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1、系统平台需采用B/S架构模式，支持用户在电脑端、手机端可通过市面上主流的浏览器软件进行登录和访问本系统平台，且无须安装任何的浏览器插件（如FLASH，VLC等外部插件）；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2、系统平台的LOGO图片需支持学校自定义上传，满足学校校徽信息的展示需求；</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在管控模块的教室列表界面，支持将学校教室已标签图标的形式进行呈现展示，每个教室标签可显示当前教室的课程状态、话筒电量、教室设备状态等信息；且所呈现的教室标签可按照校区、教学楼、楼层等空间位置信息进行筛选显示，也可按照课程状态、设备状态等教室状态信息进行筛选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4、支持全选和选择部分教室进行一键开启和关闭教室内的多媒体设备，多媒体设备至少包括：一体机、电脑、投影机等设备；</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5、支持全选和选择部分教室实时发送文字消息到指定教室的电脑画面上，显示时长至少可设为一直显示、10分钟、1小时、5小时等；显示区域至少可设为全屏显示、中间显示、右下角显示；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系统平台需支持对教室内的多媒体设备功耗、健康状态和电脑状态进行实时监测，功耗监测至少需包含：电脑、投影仪、中控等设备；教室电脑的实时运行状态至少需包含：IP地址、MAC地址、CPU和内存的使用率、磁盘的使用率等；健康状态包括设备运行是否异常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7、定时开关机：支持全部或者部分教室的多媒体设备可每周在指定的星期数进行定时开启和关闭；</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8、课表开关机：支持全部或者部分教室的多媒体设备可根据教室课程表信息进行自动开启和关闭，且支持用户自定义设置任意分钟数进行提前开机和延后关机；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9、支持教室的远程管控权限按群组进行设置，可创建多个管控组，且每个管控组可设置不同的教室范围。当人员加入管控组后，自动获得该管控组下对应教室的管控权限；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10、系统平台支持依据学校教室的实际分布状况教室从校区、教学楼、楼层、教室号的四个层级进行架构设计，并且教室信息录入完毕后可重新进行教室位置的二次迁移；</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11、系统平台需提供故障工单模块，支持对每个故障创建对应的故障工单。创建故障时需支持记录故障教室、故障类型、故障设备、故障描述和现场照片等信息；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12、系统平台支持对每一个故障工单的处理流程进行自动化记录，可按时间轴的形式，记录工单的来源、创建人、指派人、处理人等相关流程信息；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至少需支持教师在教室端通过手机扫描教室二维码和通过中控面板一键呼叫这两种形式，实现与教室管理员的在线视频通话，且视频通话界面至少需支持教室摄像头画面、电脑桌面画面等多个画面的同步显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14、支持管理员老师可以系统平台查询所有的教室视频通话记录，每个通话记录需支持录音功能，在查看记录时可以回放当时的录音内容；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15、支持每条教室的视频通话记录可创建对应的故障工单记录，方便管理员老师在查询通话记录时同步上报故障信息；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系统平台需提供教室资产管理模块，支持按设备类型进行统一录入和管理。每台设备至少需包含所属教学楼、教室名、设备类型、品牌、型号、采购日期、使用时长、录入时间、采购部门等信息，并生成相关的统计报表。设备信息维护支持通过可以Excel表格进行批量导入、导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17、系统平台支持记录每间教室内不同设备的操作记录，如中控的开关机记录、班牌的门禁出入记录、智能门禁门锁的出入记录，所有记录在同一个界面内可查，无须切换不同的平台或者界面；</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18、系统平台支持创建周期性维护计划和寿命性维护计划，周期性维护计划可在设定的周期时间内自动提醒指定的运维人员进行维护处理；寿命性维护计划可在指定设备的寿命到达设定值后自动提醒指定的运维人员进行维护处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19、数据统计：教室使用率分析与排名、设备数量情况、设备使用时间和寿命统计、设备月故障统计、故障设备数统计等；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20、数据可视化界面：支持至少从教室建设、教室使用等多个维度显示当前校区内本学期内的各项数据，至少需包含：使用率最高和最低的前10名教室列表、学校所有设备的品牌分布信息、各类型设备的数量统计和设备平均时长统计</w:t>
            </w:r>
            <w:r>
              <w:rPr>
                <w:rFonts w:hint="eastAsia" w:ascii="宋体" w:hAnsi="宋体" w:eastAsia="宋体" w:cs="宋体"/>
                <w:color w:val="auto"/>
                <w:kern w:val="2"/>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21、媒资推送：</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（1）支持全选和选择部分教室进行一键推送图片、视频等媒资文件到教室电脑画面，并自动显示和播放，推送时可自定义显示的位置和显示时长。</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（2）具备个人文件夹和公共文件夹功能，每个用户可在个人空间上传、下载自己的私人文件；管理员可在统一发布和管理公共文件夹内的文件内容。</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22、在线巡课：</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（1）系统平台需要支持在线巡课功能，巡课画面需至少支持教室的老师摄像头画面、学生摄像头画面、计算机桌面画面等多个画面的同时显示。</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（2）在线巡课时需支持收听老师的上课声音和课程名称、任课教师、上课班级等课程信息的显示，且课程信息需支持根据教室课表实现自动更新。</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系统平台的在线巡检需至少支持图像巡课和列表巡课两种模式。图像巡课支持单页面同时显示不少于6间教室的监控视频画面，且每个画面都需至少包含教室信息、课程信息、上课教师等信息；列表巡课支持以表格的形式快速罗列当前所有的教室列表和对应的课程信息、上课教师等信息。</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（4）在线巡课时支持督导老师添加巡课记录，形成巡课日志。巡课日志可根据巡课时间、课程名称等信息进行查询。</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23、教室借用：</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（1）支持管理员对教室借用信息进行单条、批量通过/拒绝等编辑操作</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（2）黑名单管理：支持通过教室借用记录添加借用人至黑名单，支持通过搜索账号信息加入黑名单，加入黑名单的账号无法预约教室；</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（3）支持设置单个教室的预约申请是否需要管理员审批，支持设置单个教室是否允许预约；</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（4）支持配置教室中控、多媒体设备、门禁系统随预约时间自动开启/关闭；</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（5）支持设置教室每天可借用的时间段；</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（6）支持批量导入预约申请；</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24、班牌管理：</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（1）支持将班牌以网格或列表的形式进行呈现展示，每个班牌可显示当前的节目状态；</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（2）班牌可按照校区、教学楼、楼层等空间位置信息进行筛选显示，支持按照班牌状态筛选显示；</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（3）支持单选/批量选择班牌进行节目推送；</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（4）支持配置班牌界面显示学校名称、logo图片、背景等基本信息；</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（5）支持对班牌功能模块进行配置，包括课表、巡课、考勤、预约、资讯、门禁、报修等模块；</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（6）支持创建文字、音视频节目；支持创建校园资讯内容，支持以链接或富文本的形式呈现校园资讯。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18</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门禁系统</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扇</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一、门禁面板：</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1、外壳材质：正面玻璃面板，侧面采用铝合金边框；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2、整机的防水等级需达到IP66及以上；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3、设备能耗：工作电压为DC 12V；待机电流≈15mA；动作电流≈1A；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4、需支持通过蓝牙协议进行接入教室内的智能网关，实现远程控制和数据上传；</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5、需具备触摸式的数字密码键盘，支持用户通过密码进行开门；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6、配合管控平台，需可实现远程开门、定时开关门、临时密码开门等多种开门方式；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7、面板需具备触摸操作的背光灯设计，当手指进行操作时，背光灯自动亮起；当一定时间内无操作时，背光灯自动熄灭；</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二、门磁锁：</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1、外壳材质：铝合金外壳，颜色银色；</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2、工作电压：DC12V，工作电流≤480mA；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3、功能：单门控制；实现通电上锁，吸力≥280Kg；断电开锁；</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4、适用门型：木门、玻璃门、金属门、防火门。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三、门磁电源：</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1、工作电压：AC220V 50HZ；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2、输出电压：DC12V，瞬时电流≥5A，额定电流≥5A。</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四、出门按钮：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1、外壳材质：PC原料，颜色乳白色；</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2、接点输出：VO/COM接点；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3、功能：按下实现开门，适用于一切门禁系统。</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五、智能网关：</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1、外壳材质：塑料；</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2、电源输入：需支持通过USB Type C接口进行DC5V独立供电和支持通过网络接口PoE供电；</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3、IEEE标准：802.3；</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4、通讯范围：≥10米（无障碍物）；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5、需支持门禁面板、智能锁通过蓝牙协议进行数据接入。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19</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电子班牌（含班牌门禁管理系统）</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块</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一、电子班牌整机结构：</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1、显示屏：需具备≥13.3英寸TFT显示屏，分辨率≥1920*1080，屏幕比例16：9，前覆钢化玻璃；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2、整机尺寸（长*宽*厚）：≥510*320*27mm；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b/>
                <w:bCs/>
                <w:color w:val="auto"/>
                <w:kern w:val="0"/>
                <w:sz w:val="21"/>
                <w:szCs w:val="21"/>
                <w:highlight w:val="none"/>
                <w:lang w:val="en-US" w:eastAsia="zh-CN" w:bidi="ar"/>
              </w:rPr>
              <w:t>二、整机功能：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1、输入电源：DC12V供电，工作功率：＜25W，待机功率：≤0.5W；</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2、操作系统：Android智能操作系统6.0及以上；系统内存：≥2G；3、系统CPU：四核64位处理器，主频≥1.8GHz；</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4、接口要求：≥2路USB接口，支持外接鼠标、U盘等；≥1路RJ45网线接口；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5、需内置门禁控制模块，具备≥1路的门禁套件接口，可直连磁力锁、出门按钮等外设，实现对教室门的门禁控制；</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6、至少需内置如下的功能模块：≥1路抗干扰高清麦克风；≥2个箱体喇叭（功率≥2W，定阻8Ω）；≥1路支持MYFARE标准，S50 和 S70 等 14443A 协议卡的刷卡模块；</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7、边框左右两侧需具备有状态同步的指示灯，颜色至少支持红色，绿色，蓝色，且指示灯颜色需随上课状态自动变化。上课时为红色，下课时为绿色，考勤时为蓝色，方便用户远距离辨认识别；</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8、课程状态：需支持实时显示当前教室的上课状态，需包含课程名称、任课老师、上课班级、开课学院、上课时间等信息；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9、教室课表：需支持查看当前教室的当日课表、本周课表、学年校历；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10、个人课表：需支持用户可以通过扫码、刷卡等方式授权身份信息后，在智慧班牌上查看自己的个人课表；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11、资讯：需支持通知公告的发布，实时在设备终端上进行显示；发布方式支持转载链接、PDF文档、图文编辑等模式；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12、巡课：需支持巡查老师通过扫码、刷卡等方式授权身份信息后，可以查看自己权限内的教室内部网络摄像头，同时显示对应教室的上课信息、任课教师信息，并可通过教室列表切换教室；</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13、预约：需支持对空闲教室进行预约申请；</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14、报修：需支持教室内的各设备进行工单报修；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15、考勤：需支持通过扫码、刷卡等方式进行考勤，考勤数据实时显示，可在设定时间内及时将考勤结果发送给任课老师；</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16、指定时段息屏：需支持屏幕指定时段的息屏功能；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17、考试模式：需支持可以通过后台设置考场，显示为考场模式。满足学校将教学空间临时用于考场空间的需求，优化突出考试信息，便于教学管理。</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三、班牌门禁管理系统：</w:t>
            </w:r>
          </w:p>
          <w:p>
            <w:pPr>
              <w:pStyle w:val="20"/>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1、课程状态：实时显示当前教室的上课状态，需包含课程名称、任课老师、上课班级、开课学院、上课时间等信息；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2、教室课表：智慧班牌支持查看当前教室的当日课表、本周课表、学年校历；</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3、个人课表：用户可以通过扫码、刷卡等方式授权身份信息后，在智慧班牌上查看自己的个人课表；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4、资讯：支持通知公告的发布，实时在设备终端上进行显示；发布方式支持转载链接、PDF文档、图文编辑等模式；</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5、巡课：巡查老师通过扫码、刷卡等方式授权身份信息后，可以查看自己权限内的教室内部网络摄像头，同时显示对应教室的上课信息、任课教师信息，并可通过教室列表切换教室；</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6、预约：支持对空闲教室进行预约申请；</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7、报修：支持教室内的各设备进行工单报修；</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8、考勤：支持通过扫码、刷卡等方式进行考勤，考勤数据实时显示，可在设定时间内及时将考勤结果发送给任课老师；</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9、定时管理：后台具备定时开关设备功能；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10、考试模式：班牌可以通过后台设置考场，显示为考场模式。满足学校将教学空间临时用于考场空间的需求，优化突出考试信息，便于教学管理；</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11、电子班牌后台管理系统可统一批量设置并下发班牌显示内容，自定义显示内容支持图片、PDF文档、文字等，并支持背景色自定义。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20</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交换机</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1、≥8个全千兆以太网POE供电端口；</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2、≥2个万兆SFP光口；</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3、背板带宽≥40Gbps,包转发率14.88Mpps；</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4、MAC地址表≥8K；</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3、支持端口、电源防雷；</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5、自然散热；</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6、全金属机身。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21</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考场摄像头</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套</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每套含学生域和讲台域考场摄像头。</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一、学生域考场摄像头：</w:t>
            </w:r>
          </w:p>
          <w:p>
            <w:pPr>
              <w:keepNext w:val="0"/>
              <w:keepLines w:val="0"/>
              <w:widowControl/>
              <w:numPr>
                <w:ilvl w:val="0"/>
                <w:numId w:val="3"/>
              </w:numPr>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高清定焦巡查网络摄像机；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2、采用高性能200万(1920×1080) @ 25fps,可输出Full HD 1080p实时图像CMOS图像传感器；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3、视频压缩标准：H.264/MPEG4/MJPEG；</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4、含≥128GB SD/SDHC卡断网本地存储；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5、ICR日夜切换；2.8mm镜头焦距；</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6、最低照度：0.07Lux @(F1.2,AGC ON)；</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7、支持双向语音；</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8、音频输入：≥1路,MIC IN/Line IN,3.5mm音频接口；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9、音频输出：≥1路,3.5mm音频接口(线性电平,阻抗:600Ω)；</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10、通讯接口：≥1个 RJ45 10M/100M自适应以太网, ≥1个 RS-485 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11、报警输入：≥2路、报警输出：≥2路。</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二、讲台域考场摄像头：</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1、高清电动变焦网络摄像机，200万1/2.8”CMOS ICR日夜型筒型网络摄像机；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2、最小照度：0.01 Lux @(F1.2,AGC ON), 0 Lux with IR；</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3、镜头：2.8-12mm @ F1.4 水平视场角: 113°-33.8°；</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4、电动变焦；帧率：50Hz:25fps(1920×1080,1280×960,1280×720)；</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5、支持感兴趣区域编码（ROI支持双码流分别设置1个固定区域)；</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6、支持Micro SD/SDHC/SDXC卡(128GB)断网本地存储；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7、支持智能报警：越界侦测,区域入侵侦测；</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8、≥1对音频输入（Line in）/输出接口(插线式接口)；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9、≥1对报警输入/输出接口；</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10、电源供应：DC12V；</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11、红外照射距离：20-30米（含镜头、护罩）。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22</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智慧屏</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台</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1、教学一体机屏幕边缘采用金属包边防护，外部无任何可见内部功能模块连接线，有效屏蔽内部电路器件辐射，可以适应多种教学环境；</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2、教学一体机液晶屏显示尺寸≥86英寸，要求采用A+规屏；</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3、教学一体机液晶显示比例16:9；分辨率≥3840*2160，可视角度≥178°；</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4、采用零贴合技术；</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5、采用硬件级防蓝光技术</w:t>
            </w:r>
            <w:r>
              <w:rPr>
                <w:rFonts w:hint="eastAsia" w:ascii="宋体" w:hAnsi="宋体" w:eastAsia="宋体" w:cs="宋体"/>
                <w:b/>
                <w:bCs/>
                <w:color w:val="auto"/>
                <w:kern w:val="2"/>
                <w:sz w:val="21"/>
                <w:szCs w:val="21"/>
                <w:highlight w:val="none"/>
                <w:lang w:val="en-US" w:eastAsia="zh-CN" w:bidi="ar"/>
              </w:rPr>
              <w:t>（提供具有CMA或CNAS标识的第三方检测/检验报告）</w:t>
            </w:r>
            <w:r>
              <w:rPr>
                <w:rFonts w:hint="eastAsia" w:ascii="宋体" w:hAnsi="宋体" w:eastAsia="宋体" w:cs="宋体"/>
                <w:color w:val="auto"/>
                <w:kern w:val="2"/>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6、支持内置麦克风阵列，麦克风数量至少2个；</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7、在白板书写时书写延时＜40ms；</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8、须支持断点续传功能，终端升级过程中发生网络中断、断电重启，恢复后可断点续传，避免升级失败；</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9、须内置无线投屏接收器，无需外接接收部件，可选择USB接口的无线投屏发射器进行匹配，匹配完成后可将外部电脑或手机的屏幕画面通过无线方式传输到设备上显示；</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10、为方便日常教学投屏使用，须支持多种投屏方式，须包括但不限于APP投屏、智慧投屏器软投屏等方式；</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11、整机须同时支持Windows和Android双系统，只需一根网线，Windows和Android双系统均可实现上网功能；</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12、内置安卓系统，系统版本≥Android 9.0，支持在线升级；安卓主页面提供≥3个应用程序，并可以根据教学需求随意替换。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3"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23</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阅读亭</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个</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1、尺寸（长*宽*高）：≥1.2*1.2*2.6m；</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2、配备电源插座，额定电源：AC220V 50HZ；</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3、配备单人位桌椅，桌椅均可升降调节；</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4、钢化隔音玻璃：高强度钢化隔音玻璃，保证安全的同时高效隔音；</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5、柔和暖色灯光，对人眼无刺激；</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6、门禁：手动开门；</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7、支持新风系统或空调挂机接入；</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8、内部根据声学原理进行软装，能够有效地隔离外部的噪音,噪音≤30分贝。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24</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教师椅</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1、椅架钢架采用壁厚为1.5mm厚冷拉钢管经除油烤漆处理，坚固防锈；</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2、靠背护腰曲线设计，PP材质一体成型，靠背与连接件为一体设计，加厚网布；</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3、扶手采用固定形式，PP材质；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4、座垫采用密度为45KG/m³的高密度定型海绵；堆叠设计，可向上翻折，便于收纳；</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5、脚垫：采用优质软胶脚垫，装饰脚管的同时实现防滑、调节水平、保护地面的作用；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6、结实耐用，最终按招标人确认的设计方案为准，符合实际空间尺寸需求，与整体氛围匹配。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25</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直排桌</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756</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pStyle w:val="20"/>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1、桌面尺寸（W*D</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H）≥580*300*780</w:t>
            </w:r>
            <w:r>
              <w:rPr>
                <w:rFonts w:hint="eastAsia" w:cs="宋体"/>
                <w:color w:val="auto"/>
                <w:kern w:val="0"/>
                <w:sz w:val="21"/>
                <w:szCs w:val="21"/>
                <w:highlight w:val="none"/>
                <w:lang w:val="en-US" w:eastAsia="zh-CN" w:bidi="ar"/>
              </w:rPr>
              <w:t>mm</w:t>
            </w:r>
            <w:r>
              <w:rPr>
                <w:rFonts w:hint="eastAsia" w:ascii="宋体" w:hAnsi="宋体" w:eastAsia="宋体" w:cs="宋体"/>
                <w:color w:val="auto"/>
                <w:kern w:val="0"/>
                <w:sz w:val="21"/>
                <w:szCs w:val="21"/>
                <w:highlight w:val="none"/>
                <w:lang w:val="en-US" w:eastAsia="zh-CN" w:bidi="ar"/>
              </w:rPr>
              <w:t>；采用25mm厚的E0级刨花板，表面贴三聚氰胺，侧边封边工艺，25mm板用1.5*30mm封边条；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2、桌架：直径60mm，1.5mm厚的圆管冷轧钢立柱，底座采用8.0mm厚钢板。表面高温静电喷涂；</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3、书兜：采用18mm厚的不低于E0级刨花板，表面贴三聚氰胺，侧边封边工艺，18mm板用1.0*22mm封边条，书兜高度≥100mm；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4、前挡板：采用18mm厚E0级高密度板，封边：PVC胶边，18mm板用1.0*22mm封边条，前挡板高度高于桌面20mm；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5、木板颜色：木纹色；</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6、插座：每两人中间有一个五孔10A插座，线路需从学校配电间单独设置配电盒，并进行接入布线；</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7、最终按招标人确认的设计方案为准，符合实际空间尺寸需求，与整体氛围匹配；</w:t>
            </w:r>
          </w:p>
          <w:p>
            <w:pPr>
              <w:keepNext w:val="0"/>
              <w:keepLines w:val="0"/>
              <w:widowControl/>
              <w:suppressLineNumbers w:val="0"/>
              <w:spacing w:before="0" w:beforeAutospacing="0" w:after="0" w:afterAutospacing="0" w:line="240" w:lineRule="auto"/>
              <w:ind w:left="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8、桌面防潮、防水，导圆边设计；所有板材环保达E0级国家标准及以上。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26</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固定椅</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756</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1、座椅尺寸：中心距550mm，椅高900mm，座高450mm，扶手高度610mm，座包打开深度620mm；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2、材质说明：</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（1）座、背海绵：采用高全新海绵电脑精密切割成型，不凹陷，不易老化；</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（2）座、背内板：采用优质夹板经模具压弯成型，外型成弧形，美观大方，厚度约为9mm；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（3）座、背外板：采用优质15mm厚多层板面贴防火板经模具压弯成型，边扫清油。背板设计符合人体正确坐姿；</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（4）扶手框+站脚：脚管采用优质20*60mm管材并经二氧化碳焊接成型，并经打磨，除锈，磷化，静电喷粉，高温锔炉等工序处理；扶手前段采用倒弯设计，能避免钩到衣物，减少碰撞时的冲击力；</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（5）扶手面：采用优质多层板，高档防火板饰面，耐磨损，扶手面厚度约15mm，扶手内部采用实心扁铁支撑，稳固可靠；</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6、面料：采用礼堂椅高级专用面料，耐磨、防褪色、防氧化，安全环保等优点；</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7、座椅结构：采用加强型连接结构，使座在受外力作用与背相碰撞时受力点不在海绵上；</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8、回位功能：座内采用重力回复功能；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9、地面固定：采用膨胀螺丝使座椅与地面固定；</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所有板材环保达E0级国家标准及以上。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27</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活动桌</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1、桌面尺寸（L*D*H）：600*450*750mm；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2、前后脚管：采用优质30mm*60mm冷轧蛋形管（壁厚1.5mm)；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3、书网管：采用优质φ14mm冷轧圆管(壁厚1.0mm)；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4、连接杆：采用优质φ50mm圆形冷轧管（壁厚1.5mm)；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5、采用优质φ65mm尼龙静音万向带刹车脚轮；</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6、桌子两侧设置旋钮开关，可折叠；</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2"/>
                <w:sz w:val="21"/>
                <w:szCs w:val="21"/>
                <w:highlight w:val="none"/>
                <w:lang w:val="en-US" w:eastAsia="zh-CN" w:bidi="ar"/>
              </w:rPr>
              <w:t>课斗大小（L*D*H）：400*200*140mm；</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桌面采用厚度25mm的环保等级E0级刨花板，表面贴三聚氰胺，侧边封边工艺；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9、最终按校方认可的设计方案为准，符合实际空间尺寸需求，与整体氛围匹配；</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10、所有板材环保达E0级国家标准及以上。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28</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活动椅</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1、基材：所有基材选用E0级环保材料；</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2、结构：设计大方合理，稳重，结构简单，连接牢固，简洁美观；</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3、表面：光滑，有光泽，整体效果好；</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4、款式根据教室环境定制，设计方案中体现，最终产品需根据采购人实际要求定制；</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5、所有板材环保达E0级国家标准及以上。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29</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一体式排桌椅</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位</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1、尺寸（W*D*H）：650*500*750mm；</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2、桌面：厚度25mm的环保等级E0级刨花板，表面贴三聚氰胺，侧边封边工艺；</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3、立脚管：采用φ32mm*1.2mm圆管；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4、前后拉换管：采用25mm*25mm*1.0mm方管；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5、左右拉换管：采用50mm*25mm*1.0mm矩管；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6、课斗：课斗侧板规格325mm*165mm*23.5mm，采用1.5mm优质冷轧钢板经冲压拉伸成型，中间用φ16mm*1.0圆管，整体焊接成型；</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7、前档板：采用1.2mm优质冷轧钢板冲压成型，中间带条形花纹孔；</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w:t>
            </w:r>
            <w:r>
              <w:rPr>
                <w:rFonts w:hint="eastAsia" w:ascii="宋体" w:hAnsi="宋体" w:eastAsia="宋体" w:cs="宋体"/>
                <w:color w:val="auto"/>
                <w:kern w:val="2"/>
                <w:sz w:val="21"/>
                <w:szCs w:val="21"/>
                <w:highlight w:val="none"/>
                <w:lang w:val="en-US" w:eastAsia="zh-CN" w:bidi="ar"/>
              </w:rPr>
              <w:t>所有板材环保达E0级国家标准及以上。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30</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教室地面处理</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1255</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1、基层处理：清除基层表面的沙砾、尘土、遗留杂物等；</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2、自流平施工：检查水泥自流平是否符合有关技术标准，如过期的自流平不得使用；</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3、放线：根据设计图案、胶地板规格、房间大小、进行分格、弹线定位；</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4、2mm厚PVC地胶板安装；</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5、投入的材料需满足GB/T 11982.1-2015标准相关要求，通过中国环境标志产品认证、国家环保产品质量监督检验中心检测，有优秀的防水阻燃性能，防火安全等级B1级及以上。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31</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教室吊顶处理</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1255</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1、优选干燥、平整、面纸完整无损、无受潮、弯曲变形、板断裂、面纸起鼓的石膏板进行吊顶；</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2、顶面油漆喷涂；</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3、灯光：灯光选用护眼照明灯，色温范围4000~4500K，整体满足教室照明标准；</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4、石膏板和护眼照明灯需提前提供样品，采购人确认后施工；</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5、为保证教室音效，使用穿孔石膏板吊顶；</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6、最终效果需根据采购人实际要求定制。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32</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教室墙面处理</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1812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p>
        </w:tc>
        <w:tc>
          <w:tcPr>
            <w:tcW w:w="6269" w:type="dxa"/>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1、教室内四周墙面整体处理，对墙面的基层进行平整修复，将墙面出现坑洼的地方用水泥沙浆修复平整，将明显的凸出部位铲平，让整个墙面变得平整；</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2、满批腻子粉，砂纸打磨平整，内墙乳胶漆滚/刷两遍；</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3、施工时乳胶漆颜色或配色方案需经采购人现场确认。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33</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教室隔墙</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144</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轻质砖隔墙、墙内加固处理，可承重100KG智慧屏或15平方米的LED大屏。墙体整体强度高，耐水抗渗、隔音防火。</w:t>
            </w:r>
          </w:p>
        </w:tc>
      </w:tr>
    </w:tbl>
    <w:p>
      <w:pPr>
        <w:adjustRightInd w:val="0"/>
        <w:snapToGrid w:val="0"/>
        <w:spacing w:line="288"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注：投标人如有需要可自行踏勘，踏勘联系人：路老师、查老师，联系电话：15958012691、15024495299。</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4.演示：</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▲4.1 供应商演示内容需为真人操作软件</w:t>
      </w: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lang w:val="en-US" w:eastAsia="zh-CN"/>
        </w:rPr>
        <w:t>设备</w:t>
      </w:r>
      <w:r>
        <w:rPr>
          <w:rFonts w:hint="eastAsia" w:ascii="宋体" w:hAnsi="宋体" w:eastAsia="宋体" w:cs="Times New Roman"/>
          <w:b/>
          <w:bCs/>
          <w:color w:val="auto"/>
          <w:sz w:val="21"/>
          <w:szCs w:val="21"/>
          <w:highlight w:val="none"/>
        </w:rPr>
        <w:t>录制的视频进行，以PPT、非真人操作软件</w:t>
      </w: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lang w:val="en-US" w:eastAsia="zh-CN"/>
        </w:rPr>
        <w:t>设备</w:t>
      </w:r>
      <w:r>
        <w:rPr>
          <w:rFonts w:hint="eastAsia" w:ascii="宋体" w:hAnsi="宋体" w:eastAsia="宋体" w:cs="Times New Roman"/>
          <w:b/>
          <w:bCs/>
          <w:color w:val="auto"/>
          <w:sz w:val="21"/>
          <w:szCs w:val="21"/>
          <w:highlight w:val="none"/>
        </w:rPr>
        <w:t>录制的视频、图片等视同未演示，响应无效；</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4.2 演示内容如下：</w:t>
      </w:r>
    </w:p>
    <w:p>
      <w:pPr>
        <w:spacing w:line="288" w:lineRule="auto"/>
        <w:ind w:firstLine="422" w:firstLineChars="200"/>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4.2.1 </w:t>
      </w:r>
      <w:r>
        <w:rPr>
          <w:rFonts w:hint="eastAsia" w:ascii="宋体" w:hAnsi="宋体" w:eastAsia="宋体" w:cs="宋体"/>
          <w:b/>
          <w:bCs w:val="0"/>
          <w:color w:val="auto"/>
          <w:sz w:val="21"/>
          <w:szCs w:val="21"/>
          <w:highlight w:val="none"/>
        </w:rPr>
        <w:t>教学驾驶舱</w:t>
      </w:r>
      <w:r>
        <w:rPr>
          <w:rFonts w:hint="eastAsia" w:ascii="宋体" w:hAnsi="宋体" w:eastAsia="宋体" w:cs="宋体"/>
          <w:b/>
          <w:bCs w:val="0"/>
          <w:color w:val="auto"/>
          <w:sz w:val="21"/>
          <w:szCs w:val="21"/>
          <w:highlight w:val="none"/>
          <w:lang w:eastAsia="zh-CN"/>
        </w:rPr>
        <w:t>：</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显示器支架具有轨道可整体抽出，方便教师操作屏幕。</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显示器支架可支持电动翻转，可翻转角度≥15°，同时显示器支架底座设计键鼠收纳空间，用于存放键鼠设备。</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讲桌左右两侧具有尼龙坦克链拖链，保证强弱电线缆分开走线，升降过程中线缆两头不会被拉扯</w:t>
      </w:r>
      <w:r>
        <w:rPr>
          <w:rFonts w:hint="eastAsia" w:ascii="宋体" w:hAnsi="宋体" w:eastAsia="宋体" w:cs="宋体"/>
          <w:b w:val="0"/>
          <w:bCs/>
          <w:color w:val="auto"/>
          <w:sz w:val="21"/>
          <w:szCs w:val="21"/>
          <w:highlight w:val="none"/>
          <w:lang w:eastAsia="zh-CN"/>
        </w:rPr>
        <w:t>。</w:t>
      </w:r>
    </w:p>
    <w:p>
      <w:pPr>
        <w:spacing w:line="288" w:lineRule="auto"/>
        <w:ind w:firstLine="422" w:firstLineChars="200"/>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4.2.2 </w:t>
      </w:r>
      <w:r>
        <w:rPr>
          <w:rFonts w:hint="eastAsia" w:ascii="宋体" w:hAnsi="宋体" w:eastAsia="宋体" w:cs="宋体"/>
          <w:b/>
          <w:bCs w:val="0"/>
          <w:color w:val="auto"/>
          <w:sz w:val="21"/>
          <w:szCs w:val="21"/>
          <w:highlight w:val="none"/>
        </w:rPr>
        <w:t>交互式智能书写屏</w:t>
      </w:r>
      <w:r>
        <w:rPr>
          <w:rFonts w:hint="eastAsia" w:ascii="宋体" w:hAnsi="宋体" w:eastAsia="宋体" w:cs="宋体"/>
          <w:b/>
          <w:bCs w:val="0"/>
          <w:color w:val="auto"/>
          <w:sz w:val="21"/>
          <w:szCs w:val="21"/>
          <w:highlight w:val="none"/>
          <w:lang w:eastAsia="zh-CN"/>
        </w:rPr>
        <w:t>：</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书写屏需具备各资源窗口的手势切换功能，在电脑桌面状态下，可通过五指左右横扫动作，实现导航窗口内各个资源前后两个方向的快速循环切换。</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书写屏的中控屏界面内需具备电脑显示屏内的资源窗口界面，支持教师通过在中控屏内点击窗口缩略图实现对电脑窗口的快捷切换。</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书写屏的中控屏需支持需教室配套多媒体中控系统的自动对接，可在屏幕内同步显示中控系统的操作界面，实现通过屏幕内的操作界面对教室内各多媒体设备进行集中控制。</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书写屏需支持手笔分离功能，支持在电脑桌面状态下，书写笔进行批注或者擦除动作后，无须点击任何软件按钮，实现通过手指直接进行触控操作；当手指操作完毕后，又可通过书写笔直接进行电子批注或擦除，这个过程中无须点击任何软件按钮，教师无须学习任何软件功能，零门槛使用。</w:t>
      </w:r>
    </w:p>
    <w:p>
      <w:pPr>
        <w:spacing w:line="288" w:lineRule="auto"/>
        <w:ind w:firstLine="422" w:firstLineChars="200"/>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4.2.3 </w:t>
      </w:r>
      <w:r>
        <w:rPr>
          <w:rFonts w:hint="eastAsia" w:ascii="宋体" w:hAnsi="宋体" w:eastAsia="宋体" w:cs="宋体"/>
          <w:b/>
          <w:bCs w:val="0"/>
          <w:color w:val="auto"/>
          <w:sz w:val="21"/>
          <w:szCs w:val="21"/>
          <w:highlight w:val="none"/>
        </w:rPr>
        <w:t>融合中控客户端软件</w:t>
      </w:r>
      <w:r>
        <w:rPr>
          <w:rFonts w:hint="eastAsia" w:ascii="宋体" w:hAnsi="宋体" w:eastAsia="宋体" w:cs="宋体"/>
          <w:b/>
          <w:bCs w:val="0"/>
          <w:color w:val="auto"/>
          <w:sz w:val="21"/>
          <w:szCs w:val="21"/>
          <w:highlight w:val="none"/>
          <w:lang w:eastAsia="zh-CN"/>
        </w:rPr>
        <w:t>：</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至少需支持教师在教室端通过手机扫描教室二维码和通过中控面板一键呼叫这两种形式，实现与教室管理员的在线视频通话，且视频通话界面至少需支持教室摄像头画面、电脑桌面画面等多个画面的同步显示。</w:t>
      </w:r>
    </w:p>
    <w:p>
      <w:pPr>
        <w:spacing w:line="288"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支持管理员老师可以系统平台查询所有的教室视频通话记录，每个通话记录需支持录音功能，在查看记录时可以回放当时的录音内容。</w:t>
      </w:r>
    </w:p>
    <w:p>
      <w:pPr>
        <w:spacing w:line="288" w:lineRule="auto"/>
        <w:ind w:firstLine="420" w:firstLineChars="200"/>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支持每条教室的视频通话记录可创建对应的故障工单记录，方便管理员老师在查询通话记录时同步上报故障信息。</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（1）根据“电子交易/不见面开评标”原则，供应商需将以上演示及讲解过程录制视频，演示时长不超过15分钟以.mp4格式存储于U盘。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截止时间前递交，演示U盘应当密封包装并在包装上标注演示U盘、</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项目名称、</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供应商名称并加盖公章。</w:t>
      </w:r>
    </w:p>
    <w:p>
      <w:pPr>
        <w:widowControl/>
        <w:adjustRightInd w:val="0"/>
        <w:snapToGrid w:val="0"/>
        <w:spacing w:line="288" w:lineRule="auto"/>
        <w:ind w:firstLine="404" w:firstLineChars="200"/>
        <w:jc w:val="left"/>
        <w:rPr>
          <w:rFonts w:ascii="宋体" w:hAnsi="宋体" w:eastAsia="宋体" w:cs="Times New Roman"/>
          <w:color w:val="auto"/>
          <w:szCs w:val="21"/>
          <w:highlight w:val="none"/>
        </w:rPr>
      </w:pPr>
      <w:r>
        <w:rPr>
          <w:rFonts w:hint="eastAsia" w:ascii="宋体" w:hAnsi="宋体" w:eastAsia="宋体" w:cs="宋体"/>
          <w:bCs/>
          <w:color w:val="auto"/>
          <w:spacing w:val="-4"/>
          <w:sz w:val="21"/>
          <w:szCs w:val="21"/>
          <w:highlight w:val="none"/>
        </w:rPr>
        <w:t>（3）未按</w:t>
      </w:r>
      <w:r>
        <w:rPr>
          <w:rFonts w:hint="eastAsia" w:ascii="宋体" w:hAnsi="宋体" w:eastAsia="宋体" w:cs="宋体"/>
          <w:bCs/>
          <w:color w:val="auto"/>
          <w:spacing w:val="-4"/>
          <w:sz w:val="21"/>
          <w:szCs w:val="21"/>
          <w:highlight w:val="none"/>
          <w:lang w:val="en-US" w:eastAsia="zh-CN"/>
        </w:rPr>
        <w:t>招标</w:t>
      </w:r>
      <w:r>
        <w:rPr>
          <w:rFonts w:hint="eastAsia" w:ascii="宋体" w:hAnsi="宋体" w:eastAsia="宋体" w:cs="宋体"/>
          <w:bCs/>
          <w:color w:val="auto"/>
          <w:spacing w:val="-4"/>
          <w:sz w:val="21"/>
          <w:szCs w:val="21"/>
          <w:highlight w:val="none"/>
        </w:rPr>
        <w:t>文件要求提供演示U盘造成专家无法正常评审的风险由供应商自行承担。</w:t>
      </w:r>
      <w:r>
        <w:rPr>
          <w:rFonts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杭州电子科技大学第三教学楼部分教室智慧教室改造</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▲1.投标人代表是法定代表人（单位负责人、自然人本人）的，须提供本人身份证明。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▲2.投标人代表不是法定代表人（单位负责人、自然人本人）的，须提供授权委托书（格式详见招标文件第六章）和授权代表社保缴纳证明（202</w:t>
            </w:r>
            <w:r>
              <w:rPr>
                <w:rFonts w:hint="eastAsia" w:ascii="宋体" w:hAnsi="宋体" w:eastAsia="宋体"/>
                <w:color w:val="auto"/>
                <w:szCs w:val="21"/>
                <w:highlight w:val="none"/>
                <w:lang w:val="en-US" w:eastAsia="zh-CN"/>
              </w:rPr>
              <w:t>2</w:t>
            </w:r>
            <w:r>
              <w:rPr>
                <w:rFonts w:hint="default" w:ascii="宋体" w:hAnsi="宋体" w:eastAsia="宋体"/>
                <w:color w:val="auto"/>
                <w:szCs w:val="21"/>
                <w:highlight w:val="none"/>
              </w:rPr>
              <w:t>年12月（含）以后任意一月）；</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▲3.投标人委派不在本单位缴纳社保的人员作为授权代表的，应当在投标文件中，说明具体原因、授权代表缴纳社保的单位，并附列该授权代表缴纳社保清单。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本项目接受联合体投标。</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两个以上的自然人、法人或者其他组织可以组成一个联合体，以一个供应商的身份共同参加政府采购。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投标人根据招标文件的规定和采购项目的实际情况，拟在中标后将中标项目的非主体、非关键性工作分包的，应当在投标文件中载明分包承担主体，分包承担主体应当具备相应资质条件且不得再次分包。</w:t>
            </w:r>
          </w:p>
          <w:p>
            <w:pPr>
              <w:keepNext w:val="0"/>
              <w:keepLines w:val="0"/>
              <w:widowControl w:val="0"/>
              <w:suppressLineNumbers w:val="0"/>
              <w:spacing w:before="0" w:beforeAutospacing="0" w:after="0" w:afterAutospacing="0"/>
              <w:ind w:left="0" w:right="0"/>
              <w:jc w:val="both"/>
              <w:rPr>
                <w:rFonts w:hint="default" w:ascii="宋体" w:hAnsi="宋体" w:eastAsia="宋体"/>
                <w:color w:val="auto"/>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ascii="宋体" w:hAnsi="宋体" w:eastAsia="宋体" w:cs="Times New Roman"/>
                <w:color w:val="auto"/>
                <w:spacing w:val="-6"/>
                <w:kern w:val="2"/>
                <w:sz w:val="21"/>
                <w:szCs w:val="21"/>
                <w:highlight w:val="none"/>
                <w:u w:val="single"/>
                <w:lang w:val="en-US" w:eastAsia="zh-CN" w:bidi="ar"/>
              </w:rPr>
              <w:t>装修改造</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lang w:val="en-US" w:eastAsia="zh-CN"/>
              </w:rPr>
              <w:t>1.</w:t>
            </w: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lang w:val="en-US" w:eastAsia="zh-CN"/>
              </w:rPr>
              <w:t>2.</w:t>
            </w: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w:t>
            </w:r>
            <w:r>
              <w:rPr>
                <w:rFonts w:hint="eastAsia" w:ascii="宋体" w:hAnsi="宋体" w:eastAsia="宋体" w:cs="宋体"/>
                <w:bCs/>
                <w:color w:val="auto"/>
                <w:szCs w:val="21"/>
                <w:highlight w:val="none"/>
                <w:lang w:eastAsia="zh-CN"/>
              </w:rPr>
              <w:t>21楼</w:t>
            </w:r>
            <w:r>
              <w:rPr>
                <w:rFonts w:hint="eastAsia" w:ascii="宋体" w:hAnsi="宋体" w:eastAsia="宋体" w:cs="宋体"/>
                <w:bCs/>
                <w:color w:val="auto"/>
                <w:szCs w:val="21"/>
                <w:highlight w:val="none"/>
              </w:rPr>
              <w:t>H室，浙江求是招标代理有限公司（</w:t>
            </w:r>
            <w:r>
              <w:rPr>
                <w:rFonts w:hint="eastAsia" w:ascii="宋体" w:hAnsi="宋体" w:eastAsia="宋体" w:cs="宋体"/>
                <w:bCs/>
                <w:color w:val="auto"/>
                <w:szCs w:val="21"/>
                <w:highlight w:val="none"/>
                <w:lang w:eastAsia="zh-CN"/>
              </w:rPr>
              <w:t>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不得出现“0元”“免费赠送”等形式的无偿报价，否则视为投标文件含有采购人不能接受的附加条件的，投标无效</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评标方法及评标标准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评标方法及评标标准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6"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6"/>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杭州电子科技大学第三教学楼部分教室智慧教室改造</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420" w:firstLineChars="200"/>
        <w:jc w:val="left"/>
        <w:rPr>
          <w:rFonts w:ascii="宋体" w:hAnsi="宋体" w:eastAsia="宋体"/>
          <w:color w:val="auto"/>
          <w:szCs w:val="21"/>
          <w:highlight w:val="none"/>
        </w:rPr>
      </w:pPr>
      <w:bookmarkStart w:id="37"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7"/>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▲2.投标人代表不是法定代表人（单位负责人、自然人本人）的，须提供授权委托书（格式详见招标文件第六章）和授权代表社保缴纳证明（202</w:t>
      </w:r>
      <w:r>
        <w:rPr>
          <w:rFonts w:hint="eastAsia" w:ascii="宋体" w:hAnsi="宋体" w:eastAsia="宋体" w:cs="Times New Roman"/>
          <w:color w:val="auto"/>
          <w:spacing w:val="-6"/>
          <w:szCs w:val="21"/>
          <w:highlight w:val="none"/>
          <w:lang w:val="en-US" w:eastAsia="zh-CN"/>
        </w:rPr>
        <w:t>2</w:t>
      </w:r>
      <w:r>
        <w:rPr>
          <w:rFonts w:hint="eastAsia" w:ascii="宋体" w:hAnsi="宋体" w:eastAsia="宋体" w:cs="Times New Roman"/>
          <w:color w:val="auto"/>
          <w:spacing w:val="-6"/>
          <w:szCs w:val="21"/>
          <w:highlight w:val="none"/>
        </w:rPr>
        <w:t>年12月（含）以后任意一月）；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本项目接受联合体投标。</w:t>
      </w:r>
    </w:p>
    <w:p>
      <w:pPr>
        <w:adjustRightInd w:val="0"/>
        <w:snapToGrid w:val="0"/>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5" w:firstLineChars="215"/>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424" w:firstLineChars="202"/>
        <w:rPr>
          <w:rFonts w:ascii="宋体" w:hAnsi="宋体" w:eastAsia="宋体"/>
          <w:color w:val="auto"/>
          <w:szCs w:val="21"/>
          <w:highlight w:val="none"/>
        </w:rPr>
      </w:pPr>
      <w:r>
        <w:rPr>
          <w:rFonts w:hint="eastAsia" w:ascii="宋体" w:hAnsi="宋体" w:eastAsia="宋体"/>
          <w:color w:val="auto"/>
          <w:szCs w:val="21"/>
          <w:highlight w:val="none"/>
        </w:rPr>
        <w:t>2</w:t>
      </w:r>
      <w:r>
        <w:rPr>
          <w:rFonts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3.可以分包履行的（非主体、非关键性的工作）具体内容、金额或者比例：</w:t>
      </w:r>
      <w:r>
        <w:rPr>
          <w:rFonts w:hint="eastAsia" w:ascii="宋体" w:hAnsi="宋体" w:eastAsia="宋体" w:cs="Times New Roman"/>
          <w:color w:val="auto"/>
          <w:spacing w:val="-6"/>
          <w:szCs w:val="21"/>
          <w:highlight w:val="none"/>
          <w:u w:val="single"/>
          <w:lang w:val="en-US" w:eastAsia="zh-CN"/>
        </w:rPr>
        <w:t>装修改造</w:t>
      </w:r>
      <w:r>
        <w:rPr>
          <w:rFonts w:ascii="宋体" w:hAnsi="宋体" w:eastAsia="宋体" w:cs="Times New Roman"/>
          <w:color w:val="auto"/>
          <w:spacing w:val="-6"/>
          <w:szCs w:val="21"/>
          <w:highlight w:val="none"/>
        </w:rPr>
        <w:t>。</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8"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38"/>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39" w:name="_Hlk92273111"/>
      <w:bookmarkStart w:id="40"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3.支持科技创新</w:t>
      </w:r>
    </w:p>
    <w:p>
      <w:pPr>
        <w:adjustRightInd w:val="0"/>
        <w:snapToGrid w:val="0"/>
        <w:spacing w:line="288" w:lineRule="auto"/>
        <w:ind w:firstLine="396" w:firstLineChars="200"/>
        <w:jc w:val="left"/>
        <w:rPr>
          <w:rFonts w:hint="eastAsia" w:ascii="宋体" w:hAnsi="宋体" w:eastAsia="宋体" w:cs="Times New Roman"/>
          <w:b w:val="0"/>
          <w:bCs w:val="0"/>
          <w:color w:val="auto"/>
          <w:spacing w:val="-6"/>
          <w:szCs w:val="21"/>
          <w:highlight w:val="none"/>
        </w:rPr>
      </w:pPr>
      <w:r>
        <w:rPr>
          <w:rFonts w:hint="eastAsia" w:ascii="宋体" w:hAnsi="宋体" w:eastAsia="宋体" w:cs="Times New Roman"/>
          <w:b w:val="0"/>
          <w:bCs w:val="0"/>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lang w:val="en-US" w:eastAsia="zh-CN"/>
        </w:rPr>
        <w:t>4</w:t>
      </w:r>
      <w:r>
        <w:rPr>
          <w:rFonts w:ascii="宋体" w:hAnsi="宋体" w:eastAsia="宋体" w:cs="Times New Roman"/>
          <w:b/>
          <w:bCs/>
          <w:color w:val="auto"/>
          <w:spacing w:val="-6"/>
          <w:szCs w:val="21"/>
          <w:highlight w:val="none"/>
        </w:rPr>
        <w:t>.支持中小企业发展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val="en-US"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val="en-US"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39"/>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0"/>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4.评标方法及评标标准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1"/>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2" w:name="_Hlk96329183"/>
      <w:r>
        <w:rPr>
          <w:rFonts w:hint="eastAsia" w:ascii="宋体" w:hAnsi="宋体" w:eastAsia="宋体"/>
          <w:color w:val="auto"/>
          <w:spacing w:val="-6"/>
          <w:szCs w:val="21"/>
          <w:highlight w:val="none"/>
        </w:rPr>
        <w:t>加盖公章</w:t>
      </w:r>
      <w:bookmarkEnd w:id="42"/>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3.投标文件不得涂改，若有修改错漏处，须由投标人加盖公章，或者由</w:t>
      </w:r>
      <w:r>
        <w:rPr>
          <w:rFonts w:hint="eastAsia" w:ascii="宋体" w:hAnsi="宋体" w:eastAsia="宋体"/>
          <w:color w:val="auto"/>
          <w:spacing w:val="-6"/>
          <w:szCs w:val="21"/>
          <w:highlight w:val="none"/>
          <w:lang w:eastAsia="zh-CN"/>
        </w:rPr>
        <w:t>投标人代表</w:t>
      </w:r>
      <w:r>
        <w:rPr>
          <w:rFonts w:hint="eastAsia" w:ascii="宋体" w:hAnsi="宋体" w:eastAsia="宋体"/>
          <w:color w:val="auto"/>
          <w:spacing w:val="-6"/>
          <w:szCs w:val="21"/>
          <w:highlight w:val="none"/>
        </w:rPr>
        <w:t>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w:t>
      </w:r>
      <w:r>
        <w:rPr>
          <w:rFonts w:hint="eastAsia" w:ascii="宋体" w:hAnsi="宋体" w:eastAsia="宋体" w:cs="宋体"/>
          <w:b/>
          <w:bCs/>
          <w:color w:val="auto"/>
          <w:szCs w:val="21"/>
          <w:highlight w:val="none"/>
          <w:lang w:eastAsia="zh-CN"/>
        </w:rPr>
        <w:t>21楼</w:t>
      </w:r>
      <w:r>
        <w:rPr>
          <w:rFonts w:hint="eastAsia" w:ascii="宋体" w:hAnsi="宋体" w:eastAsia="宋体" w:cs="宋体"/>
          <w:b/>
          <w:bCs/>
          <w:color w:val="auto"/>
          <w:szCs w:val="21"/>
          <w:highlight w:val="none"/>
        </w:rPr>
        <w:t>H室，浙江求是招标代理有限公司（</w:t>
      </w:r>
      <w:r>
        <w:rPr>
          <w:rFonts w:hint="eastAsia" w:ascii="宋体" w:hAnsi="宋体" w:eastAsia="宋体" w:cs="宋体"/>
          <w:b/>
          <w:bCs/>
          <w:color w:val="auto"/>
          <w:szCs w:val="21"/>
          <w:highlight w:val="none"/>
          <w:lang w:eastAsia="zh-CN"/>
        </w:rPr>
        <w:t>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hint="eastAsia" w:ascii="宋体" w:hAnsi="宋体" w:eastAsia="宋体"/>
          <w:color w:val="auto"/>
          <w:spacing w:val="-6"/>
          <w:szCs w:val="21"/>
          <w:highlight w:val="none"/>
        </w:rPr>
      </w:pPr>
      <w:bookmarkStart w:id="43" w:name="_Hlk94018616"/>
      <w:r>
        <w:rPr>
          <w:rFonts w:hint="eastAsia" w:ascii="宋体" w:hAnsi="宋体" w:eastAsia="宋体"/>
          <w:color w:val="auto"/>
          <w:spacing w:val="-6"/>
          <w:szCs w:val="21"/>
          <w:highlight w:val="none"/>
        </w:rPr>
        <w:t>▲c.通过政府采购云平台成功上传的电子加密响应文件已按时解密的，备份响应文件自动失效。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▲d.供应商仅递交备份响应文件而未将电子加密响应文件成功上传至政府采购云平台的，响应无效。</w:t>
      </w:r>
    </w:p>
    <w:bookmarkEnd w:id="43"/>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44"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不得出现“0元”“免费赠送”等形式的无偿报价，否则视为投标文件含有采购人不能接受的附加条件的，投标无效</w:t>
      </w:r>
      <w:r>
        <w:rPr>
          <w:rFonts w:hAnsi="宋体" w:eastAsia="宋体" w:cs="宋体"/>
          <w:color w:val="auto"/>
          <w:sz w:val="21"/>
          <w:szCs w:val="21"/>
          <w:highlight w:val="none"/>
        </w:rPr>
        <w:t>。</w:t>
      </w:r>
    </w:p>
    <w:bookmarkEnd w:id="44"/>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四、资格审查不通过、投标无效情形</w:t>
      </w:r>
    </w:p>
    <w:p>
      <w:pPr>
        <w:adjustRightInd w:val="0"/>
        <w:snapToGrid w:val="0"/>
        <w:spacing w:line="288" w:lineRule="auto"/>
        <w:ind w:firstLine="420" w:firstLineChars="200"/>
        <w:rPr>
          <w:rFonts w:ascii="宋体" w:hAnsi="宋体" w:eastAsia="宋体" w:cs="宋体"/>
          <w:color w:val="auto"/>
          <w:szCs w:val="21"/>
          <w:highlight w:val="none"/>
        </w:rPr>
      </w:pPr>
      <w:bookmarkStart w:id="45" w:name="_Hlk94018682"/>
      <w:r>
        <w:rPr>
          <w:rFonts w:hint="eastAsia" w:ascii="宋体" w:hAnsi="宋体" w:eastAsia="宋体" w:cs="宋体"/>
          <w:color w:val="auto"/>
          <w:szCs w:val="21"/>
          <w:highlight w:val="none"/>
        </w:rPr>
        <w:t>未响应招标文件“▲”标记条款要求的，投标无效。</w:t>
      </w:r>
    </w:p>
    <w:bookmarkEnd w:id="45"/>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r>
        <w:rPr>
          <w:rFonts w:hint="eastAsia" w:ascii="宋体" w:hAnsi="宋体" w:eastAsia="宋体" w:cs="Times New Roman"/>
          <w:color w:val="auto"/>
          <w:spacing w:val="-6"/>
          <w:szCs w:val="21"/>
          <w:highlight w:val="none"/>
          <w:lang w:eastAsia="zh-CN"/>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（2）未提供或未按要求提供投标函、授权委托书；</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（3）委托授权代表参加投标但未提供符合要求的授权代表社保缴纳证明；</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（4）未提供或未如实提供采购需求偏离表的；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（6）投标技术方案不明确，存在一个或一个以上备选（替代）投标方案的；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6"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6"/>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99"/>
        <w:snapToGrid w:val="0"/>
        <w:spacing w:before="0" w:line="288" w:lineRule="auto"/>
        <w:ind w:left="0" w:firstLine="424" w:firstLineChars="201"/>
        <w:rPr>
          <w:rFonts w:ascii="宋体" w:hAnsi="宋体"/>
          <w:color w:val="auto"/>
          <w:szCs w:val="21"/>
          <w:highlight w:val="none"/>
        </w:rPr>
      </w:pPr>
      <w:bookmarkStart w:id="47"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8"/>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根据财库[2016]125号《关于在政府采购活动中查询及使用信用记录有关问题的通知》要求，采购代理机构会对投标人信用记录进行查询并甄别。信用信息查询的截止时点：投标截止时间；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（1）查询渠道：“信用中国”（www.creditchina.gov.cn）、“中国政府采购网”（www.ccgp.gov.cn）；</w:t>
      </w:r>
    </w:p>
    <w:p>
      <w:pPr>
        <w:pStyle w:val="98"/>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hint="eastAsia"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47"/>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48"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48"/>
    <w:p>
      <w:pPr>
        <w:adjustRightInd w:val="0"/>
        <w:snapToGrid w:val="0"/>
        <w:spacing w:line="288" w:lineRule="auto"/>
        <w:ind w:firstLine="426" w:firstLineChars="202"/>
        <w:rPr>
          <w:rFonts w:ascii="宋体" w:hAnsi="宋体" w:eastAsia="宋体" w:cs="Arial"/>
          <w:b/>
          <w:color w:val="auto"/>
          <w:kern w:val="0"/>
          <w:szCs w:val="21"/>
          <w:highlight w:val="none"/>
        </w:rPr>
      </w:pPr>
      <w:bookmarkStart w:id="49"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同时出现两种以上不一致的，按照</w:t>
      </w:r>
      <w:r>
        <w:rPr>
          <w:rFonts w:hint="eastAsia" w:ascii="宋体" w:hAnsi="宋体" w:cs="仿宋"/>
          <w:color w:val="auto"/>
          <w:kern w:val="0"/>
          <w:sz w:val="21"/>
          <w:szCs w:val="21"/>
          <w:highlight w:val="none"/>
        </w:rPr>
        <w:t>前款规定的顺序修正。修正后的报价按照财政部第</w:t>
      </w:r>
      <w:r>
        <w:rPr>
          <w:rFonts w:ascii="宋体" w:hAnsi="宋体" w:cs="仿宋"/>
          <w:color w:val="auto"/>
          <w:kern w:val="0"/>
          <w:sz w:val="21"/>
          <w:szCs w:val="21"/>
          <w:highlight w:val="none"/>
        </w:rPr>
        <w:t>87号令</w:t>
      </w:r>
      <w:r>
        <w:rPr>
          <w:rFonts w:hint="eastAsia" w:ascii="宋体" w:hAnsi="宋体" w:cs="仿宋"/>
          <w:color w:val="auto"/>
          <w:kern w:val="0"/>
          <w:sz w:val="21"/>
          <w:szCs w:val="21"/>
          <w:highlight w:val="none"/>
        </w:rPr>
        <w:t>《政府采购货物和服务招标投标管理办法》第五十一条第二款的规定“投标人的澄清、说明或者补正应当采用书面形式，并</w:t>
      </w:r>
      <w:bookmarkStart w:id="50" w:name="_Hlk96329302"/>
      <w:r>
        <w:rPr>
          <w:rFonts w:hint="eastAsia" w:ascii="宋体" w:hAnsi="宋体" w:cs="仿宋"/>
          <w:color w:val="auto"/>
          <w:kern w:val="0"/>
          <w:sz w:val="21"/>
          <w:szCs w:val="21"/>
          <w:highlight w:val="none"/>
        </w:rPr>
        <w:t>加盖公章，或者由</w:t>
      </w:r>
      <w:r>
        <w:rPr>
          <w:rFonts w:hint="eastAsia" w:ascii="宋体" w:hAnsi="宋体" w:cs="仿宋"/>
          <w:color w:val="auto"/>
          <w:kern w:val="0"/>
          <w:sz w:val="21"/>
          <w:szCs w:val="21"/>
          <w:highlight w:val="none"/>
          <w:lang w:eastAsia="zh-CN"/>
        </w:rPr>
        <w:t>投标人代表</w:t>
      </w:r>
      <w:r>
        <w:rPr>
          <w:rFonts w:hint="eastAsia" w:ascii="宋体" w:hAnsi="宋体" w:cs="仿宋"/>
          <w:color w:val="auto"/>
          <w:kern w:val="0"/>
          <w:sz w:val="21"/>
          <w:szCs w:val="21"/>
          <w:highlight w:val="none"/>
        </w:rPr>
        <w:t>签名</w:t>
      </w:r>
      <w:bookmarkEnd w:id="50"/>
      <w:r>
        <w:rPr>
          <w:rFonts w:hint="eastAsia" w:ascii="宋体" w:hAnsi="宋体" w:cs="仿宋"/>
          <w:color w:val="auto"/>
          <w:kern w:val="0"/>
          <w:sz w:val="21"/>
          <w:szCs w:val="21"/>
          <w:highlight w:val="none"/>
        </w:rPr>
        <w:t>。投标人的澄清、说明或者补正不得超出投标文件的范围或者改变投标文件的实质性内容。”经投标人确认后产生约束力。投标人不确认的，其投标无效。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评标办法：本项目评标办法是综合评分法，具体评标内容及评分标准等详见“第四章：评标方法及评标标准”。</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中标候选人并列的，采取随机抽取的方式确定）。投标文件满足招标文件全部实质性要求，且按照评审因素的量化指标评审得分最高的投标人为排名第一的中标候选人。</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49"/>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评标方法及评标标准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hint="default"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8</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投标人自20</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年1月1日以来（以合同签订时间为准）同类合同业绩（以提供的合同扫描件为准）：每提供1份合同业绩得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投标人信誉</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【客观分】投标人具有有效的质量管理体系、</w:t>
            </w:r>
            <w:r>
              <w:rPr>
                <w:rFonts w:hint="eastAsia" w:ascii="宋体" w:hAnsi="宋体" w:eastAsia="宋体" w:cs="宋体"/>
                <w:color w:val="auto"/>
                <w:szCs w:val="21"/>
                <w:highlight w:val="none"/>
                <w:lang w:val="en-US" w:eastAsia="zh-CN"/>
              </w:rPr>
              <w:t>信息安全管理体系</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职业健康安全</w:t>
            </w:r>
            <w:r>
              <w:rPr>
                <w:rFonts w:hint="eastAsia" w:ascii="宋体" w:hAnsi="宋体" w:eastAsia="宋体" w:cs="宋体"/>
                <w:color w:val="auto"/>
                <w:szCs w:val="21"/>
                <w:highlight w:val="none"/>
              </w:rPr>
              <w:t>管理体系认证证书的，每有1份得1分，最高得3分（提供证书扫描件、国家认证认可监督管理委员会官网（http://www.cnca.gov.cn/）查询截图，不提供不得分）。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2</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投标产品属于品目清单范围且提供国家确定的认证机构出具的有效的节能产品认证证书（扫描件）的得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投标产品属于品目清单范围且提供国家确定的认证机构出具的有效的环境标志产品认证证书（扫描件）的得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hint="default"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（6</w:t>
            </w:r>
            <w:r>
              <w:rPr>
                <w:rFonts w:hint="eastAsia" w:ascii="宋体" w:hAnsi="宋体" w:eastAsia="宋体" w:cs="Times New Roman"/>
                <w:b/>
                <w:bCs/>
                <w:color w:val="auto"/>
                <w:szCs w:val="21"/>
                <w:highlight w:val="none"/>
                <w:lang w:val="en-US" w:eastAsia="zh-CN"/>
              </w:rPr>
              <w:t>2</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21</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Cs w:val="21"/>
                <w:highlight w:val="none"/>
              </w:rPr>
            </w:pPr>
            <w:r>
              <w:rPr>
                <w:rFonts w:hint="default" w:ascii="宋体" w:hAnsi="宋体" w:eastAsia="宋体" w:cs="宋体"/>
                <w:b/>
                <w:bCs/>
                <w:color w:val="auto"/>
                <w:kern w:val="0"/>
                <w:szCs w:val="21"/>
                <w:highlight w:val="none"/>
              </w:rPr>
              <w:t>方案设计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rPr>
              <w:t>【主观分】投标人提供的平面图空间布局</w:t>
            </w:r>
            <w:r>
              <w:rPr>
                <w:rFonts w:hint="eastAsia" w:ascii="宋体" w:hAnsi="宋体" w:eastAsia="宋体" w:cs="宋体"/>
                <w:color w:val="auto"/>
                <w:szCs w:val="21"/>
                <w:highlight w:val="none"/>
                <w:lang w:val="en-US" w:eastAsia="zh-CN"/>
              </w:rPr>
              <w:t>的</w:t>
            </w:r>
            <w:r>
              <w:rPr>
                <w:rFonts w:hint="default" w:ascii="宋体" w:hAnsi="宋体" w:eastAsia="宋体" w:cs="宋体"/>
                <w:color w:val="auto"/>
                <w:szCs w:val="21"/>
                <w:highlight w:val="none"/>
              </w:rPr>
              <w:t>空间利用率</w:t>
            </w:r>
            <w:r>
              <w:rPr>
                <w:rFonts w:hint="eastAsia" w:ascii="宋体" w:hAnsi="宋体" w:eastAsia="宋体" w:cs="宋体"/>
                <w:color w:val="auto"/>
                <w:szCs w:val="21"/>
                <w:highlight w:val="none"/>
                <w:lang w:val="en-US" w:eastAsia="zh-CN"/>
              </w:rPr>
              <w:t>及</w:t>
            </w:r>
            <w:r>
              <w:rPr>
                <w:rFonts w:hint="default" w:ascii="宋体" w:hAnsi="宋体" w:eastAsia="宋体" w:cs="宋体"/>
                <w:color w:val="auto"/>
                <w:szCs w:val="21"/>
                <w:highlight w:val="none"/>
              </w:rPr>
              <w:t>合理性</w:t>
            </w:r>
            <w:r>
              <w:rPr>
                <w:rFonts w:hint="eastAsia" w:ascii="宋体" w:hAnsi="宋体" w:eastAsia="宋体" w:cs="宋体"/>
                <w:color w:val="auto"/>
                <w:szCs w:val="21"/>
                <w:highlight w:val="none"/>
                <w:lang w:val="en-US"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rPr>
              <w:t>【主观分】投标人提供的设计效果图美观度、合理性</w:t>
            </w:r>
            <w:r>
              <w:rPr>
                <w:rFonts w:hint="eastAsia" w:ascii="宋体" w:hAnsi="宋体" w:eastAsia="宋体" w:cs="宋体"/>
                <w:color w:val="auto"/>
                <w:szCs w:val="21"/>
                <w:highlight w:val="none"/>
                <w:lang w:val="en-US"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主</w:t>
            </w:r>
            <w:r>
              <w:rPr>
                <w:rFonts w:hint="eastAsia" w:ascii="宋体" w:hAnsi="宋体" w:eastAsia="宋体" w:cs="宋体"/>
                <w:color w:val="auto"/>
                <w:szCs w:val="21"/>
                <w:highlight w:val="none"/>
              </w:rPr>
              <w:t>观分】投标人提供的装饰施工图、设备强弱电布线图、点位图等设计方案的详尽程度及合理性、科学性</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【主观分】投标人安装、调试计划的完整性和合理性等情况</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人员配置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【主观分】投标人提供的项目负责人、项目组实施人员配置的合理性</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rPr>
              <w:t>【客观分】</w:t>
            </w:r>
            <w:r>
              <w:rPr>
                <w:rFonts w:hint="eastAsia" w:ascii="宋体" w:hAnsi="宋体" w:eastAsia="宋体" w:cs="宋体"/>
                <w:color w:val="auto"/>
                <w:szCs w:val="21"/>
                <w:highlight w:val="none"/>
                <w:lang w:val="en-US" w:eastAsia="zh-CN"/>
              </w:rPr>
              <w:t>拟投入人员具有高级工程师证书的，每有1人得0.5分，最高得1分（提供证书扫描件及近三个月任意一月投标人本单位为其缴纳社保的证明材料，不提供不得分）。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培训方案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【主观分】投标人提供的培训方案、培训承诺等内容及措施合理</w:t>
            </w:r>
            <w:r>
              <w:rPr>
                <w:rFonts w:hint="eastAsia" w:ascii="宋体" w:hAnsi="宋体" w:eastAsia="宋体" w:cs="宋体"/>
                <w:color w:val="auto"/>
                <w:szCs w:val="21"/>
                <w:highlight w:val="none"/>
                <w:lang w:val="en-US" w:eastAsia="zh-CN"/>
              </w:rPr>
              <w:t>性</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与</w:t>
            </w:r>
            <w:r>
              <w:rPr>
                <w:rFonts w:hint="default" w:ascii="宋体" w:hAnsi="宋体" w:eastAsia="宋体" w:cs="宋体"/>
                <w:color w:val="auto"/>
                <w:szCs w:val="21"/>
                <w:highlight w:val="none"/>
              </w:rPr>
              <w:t>本项目特点的符合程度</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rPr>
              <w:t>【主观分】投标人售后服务承诺的可行性、完整性</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包括但不限于详细的售后服务方案、质保期后的保修承诺、培训方案、定期巡检、售后服务人员的配备、解决问题的能力、紧急故障处理预案、响应时间、维修时间</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售后服务保障</w:t>
            </w:r>
            <w:r>
              <w:rPr>
                <w:rFonts w:hint="eastAsia" w:ascii="宋体" w:hAnsi="宋体" w:eastAsia="宋体" w:cs="宋体"/>
                <w:color w:val="auto"/>
                <w:szCs w:val="21"/>
                <w:highlight w:val="none"/>
                <w:lang w:val="en-US"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演示</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【主观分】投标人根据第二章 采购需求的要求提供演示，每项演示内容最高得1.5分。</w:t>
            </w:r>
          </w:p>
        </w:tc>
      </w:tr>
    </w:tbl>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bookmarkStart w:id="51" w:name="_Hlk81817387"/>
      <w:r>
        <w:rPr>
          <w:rFonts w:hint="eastAsia" w:ascii="宋体" w:hAnsi="宋体" w:eastAsia="宋体" w:cs="Times New Roman"/>
          <w:b/>
          <w:color w:val="auto"/>
          <w:szCs w:val="21"/>
          <w:highlight w:val="none"/>
        </w:rPr>
        <w:t>本项目专门面向中小企业采购，不再执行价格评审优惠的扶持政策。</w:t>
      </w:r>
    </w:p>
    <w:bookmarkEnd w:id="51"/>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color w:val="auto"/>
          <w:spacing w:val="-6"/>
          <w:sz w:val="21"/>
          <w:szCs w:val="21"/>
          <w:highlight w:val="none"/>
        </w:rPr>
        <w:t>政府采购合同</w:t>
      </w:r>
    </w:p>
    <w:p>
      <w:pPr>
        <w:adjustRightInd w:val="0"/>
        <w:snapToGrid w:val="0"/>
        <w:spacing w:line="288" w:lineRule="auto"/>
        <w:rPr>
          <w:rFonts w:ascii="宋体" w:hAnsi="宋体" w:eastAsia="宋体" w:cs="宋体"/>
          <w:color w:val="auto"/>
          <w:sz w:val="21"/>
          <w:szCs w:val="21"/>
          <w:highlight w:val="none"/>
        </w:rPr>
      </w:pP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2023</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eastAsia="zh-CN"/>
        </w:rPr>
        <w:t>第三教学楼部分教室智慧教室改造</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主机</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年（配件</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1.交货时间：合同签订之日起</w:t>
      </w:r>
      <w:r>
        <w:rPr>
          <w:rFonts w:hint="eastAsia" w:ascii="宋体" w:hAnsi="宋体" w:eastAsia="宋体" w:cs="Times New Roman"/>
          <w:color w:val="auto"/>
          <w:spacing w:val="-6"/>
          <w:sz w:val="21"/>
          <w:szCs w:val="21"/>
          <w:highlight w:val="none"/>
          <w:lang w:val="en-US" w:eastAsia="zh-CN"/>
        </w:rPr>
        <w:t>2</w:t>
      </w:r>
      <w:r>
        <w:rPr>
          <w:rFonts w:hint="eastAsia" w:ascii="宋体" w:hAnsi="宋体" w:eastAsia="宋体" w:cs="Times New Roman"/>
          <w:color w:val="auto"/>
          <w:spacing w:val="-6"/>
          <w:sz w:val="21"/>
          <w:szCs w:val="21"/>
          <w:highlight w:val="none"/>
        </w:rPr>
        <w:t>0日内交付。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3"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设备自验收合格后起保修主机</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年（配件</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4"/>
        </w:num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4.本合同未尽事宜，遵照《民法典》有关条文执行。</w:t>
      </w:r>
    </w:p>
    <w:p>
      <w:pPr>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5.本合同一式五份，乙方、采购代理机构各执壹份，甲方执叁份。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中小企业声明函（若属于中小企业）</w:t>
      </w:r>
    </w:p>
    <w:p>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属于监狱企业的证明文件（若属于监狱企业）</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残疾人福利性单位声明函（若属于残疾人福利性单位）</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▲联合体投标的，联合体各方均应提供资格文件（</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材料</w:t>
      </w:r>
      <w:r>
        <w:rPr>
          <w:rFonts w:ascii="宋体" w:hAnsi="宋体" w:eastAsia="宋体" w:cs="宋体"/>
          <w:b/>
          <w:color w:val="auto"/>
          <w:spacing w:val="-6"/>
          <w:szCs w:val="21"/>
          <w:highlight w:val="none"/>
        </w:rPr>
        <w:t>。</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（2）授权委托书/法定代表人（单位负责人、自然人本人）身份证明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2022</w:t>
      </w:r>
      <w:r>
        <w:rPr>
          <w:rFonts w:hint="eastAsia" w:ascii="宋体" w:hAnsi="宋体" w:eastAsia="宋体" w:cs="Times New Roman"/>
          <w:color w:val="auto"/>
          <w:spacing w:val="-6"/>
          <w:szCs w:val="21"/>
          <w:highlight w:val="none"/>
        </w:rPr>
        <w:t>年12月（含）以后任意一月）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项目实施方案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安装调试验收</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技术服务、培训</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hint="eastAsia" w:ascii="宋体" w:hAnsi="宋体" w:eastAsia="宋体" w:cs="Times New Roman"/>
          <w:b/>
          <w:color w:val="auto"/>
          <w:spacing w:val="-6"/>
          <w:sz w:val="84"/>
          <w:szCs w:val="84"/>
          <w:highlight w:val="none"/>
        </w:rPr>
      </w:pP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hint="eastAsia"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t>
      </w:r>
      <w:r>
        <w:rPr>
          <w:rFonts w:ascii="宋体" w:hAnsi="宋体" w:eastAsia="宋体" w:cs="Times New Roman"/>
          <w:color w:val="auto"/>
          <w:spacing w:val="-6"/>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一</w:t>
      </w:r>
      <w:r>
        <w:rPr>
          <w:rFonts w:hint="eastAsia" w:ascii="宋体" w:hAnsi="宋体" w:eastAsia="宋体" w:cs="Times New Roman"/>
          <w:color w:val="auto"/>
          <w:spacing w:val="-6"/>
          <w:szCs w:val="21"/>
          <w:highlight w:val="none"/>
          <w:lang w:eastAsia="zh-CN"/>
        </w:rPr>
        <w:t>）</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二</w:t>
      </w:r>
      <w:r>
        <w:rPr>
          <w:rFonts w:hint="eastAsia" w:ascii="宋体" w:hAnsi="宋体" w:eastAsia="宋体" w:cs="Times New Roman"/>
          <w:color w:val="auto"/>
          <w:spacing w:val="-6"/>
          <w:szCs w:val="21"/>
          <w:highlight w:val="none"/>
          <w:lang w:eastAsia="zh-CN"/>
        </w:rPr>
        <w:t>）</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pPr>
        <w:adjustRightInd w:val="0"/>
        <w:snapToGrid w:val="0"/>
        <w:spacing w:line="288" w:lineRule="auto"/>
        <w:jc w:val="center"/>
        <w:outlineLvl w:val="2"/>
        <w:rPr>
          <w:rFonts w:ascii="宋体" w:hAnsi="宋体" w:eastAsia="宋体" w:cs="宋体"/>
          <w:b/>
          <w:color w:val="auto"/>
          <w:spacing w:val="-6"/>
          <w:szCs w:val="21"/>
          <w:highlight w:val="none"/>
        </w:rPr>
      </w:pP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t>中小企业声明函</w:t>
      </w:r>
    </w:p>
    <w:p>
      <w:pPr>
        <w:adjustRightInd w:val="0"/>
        <w:snapToGrid w:val="0"/>
        <w:spacing w:line="288" w:lineRule="auto"/>
        <w:ind w:firstLine="498" w:firstLineChars="236"/>
        <w:rPr>
          <w:rFonts w:ascii="宋体" w:hAnsi="宋体" w:eastAsia="宋体" w:cs="Times New Roman"/>
          <w:b/>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color w:val="auto"/>
          <w:szCs w:val="21"/>
          <w:highlight w:val="none"/>
        </w:rPr>
        <w:t>本公司（联</w:t>
      </w:r>
      <w:r>
        <w:rPr>
          <w:rFonts w:ascii="宋体" w:hAnsi="宋体" w:eastAsia="宋体" w:cs="Times New Roman"/>
          <w:i w:val="0"/>
          <w:iCs w:val="0"/>
          <w:color w:val="auto"/>
          <w:szCs w:val="21"/>
          <w:highlight w:val="none"/>
        </w:rPr>
        <w:t>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第三教学楼部分教室智慧教室改造</w:t>
      </w:r>
      <w:r>
        <w:rPr>
          <w:rFonts w:ascii="宋体" w:hAnsi="宋体" w:eastAsia="宋体" w:cs="Times New Roman"/>
          <w:i w:val="0"/>
          <w:iCs w:val="0"/>
          <w:color w:val="auto"/>
          <w:szCs w:val="21"/>
          <w:highlight w:val="none"/>
        </w:rPr>
        <w:t>采购活动，提供的货物全部由符合政策要求的中小企业制造</w:t>
      </w:r>
      <w:r>
        <w:rPr>
          <w:rFonts w:hint="eastAsia" w:ascii="宋体" w:hAnsi="宋体" w:eastAsia="宋体" w:cs="Times New Roman"/>
          <w:i w:val="0"/>
          <w:iCs w:val="0"/>
          <w:color w:val="auto"/>
          <w:szCs w:val="21"/>
          <w:highlight w:val="none"/>
          <w:lang w:eastAsia="zh-CN"/>
        </w:rPr>
        <w:t>，工程的施工单位全部为符合政策要求的中小企业</w:t>
      </w:r>
      <w:r>
        <w:rPr>
          <w:rFonts w:ascii="宋体" w:hAnsi="宋体" w:eastAsia="宋体" w:cs="Times New Roman"/>
          <w:i w:val="0"/>
          <w:iCs w:val="0"/>
          <w:color w:val="auto"/>
          <w:szCs w:val="21"/>
          <w:highlight w:val="none"/>
        </w:rPr>
        <w:t>。相关企业（含联合体中的中小企业、签订分包意向协议的中小企业）的具体情况如下：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超清智能显示终端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无线传屏终端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云笔记智能书写板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辅助显示屏</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辅助显示屏吊装支架</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电子时钟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无线键鼠</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智慧教学主机</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手持式无线话筒</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鹅颈麦克风</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功放</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高保真音箱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时序电源</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智慧教学终端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交互式智能书写屏（含融合中控面板）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教学驾驶舱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融合中控客户端软件</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门禁系统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电子班牌（含班牌门禁管理系统）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交换机</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考场摄像头</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智慧屏</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阅读亭</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教师椅</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直排桌</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固定椅</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活动桌</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活动椅</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一体式排桌椅</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教室地面处理</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建筑业</w:t>
      </w:r>
      <w:r>
        <w:rPr>
          <w:rFonts w:ascii="宋体" w:hAnsi="宋体" w:eastAsia="宋体" w:cs="Times New Roman"/>
          <w:i w:val="0"/>
          <w:iCs w:val="0"/>
          <w:color w:val="auto"/>
          <w:szCs w:val="21"/>
          <w:highlight w:val="none"/>
        </w:rPr>
        <w:t>；</w:t>
      </w:r>
      <w:r>
        <w:rPr>
          <w:rFonts w:hint="eastAsia" w:ascii="宋体" w:hAnsi="宋体" w:eastAsia="宋体" w:cs="Times New Roman"/>
          <w:i w:val="0"/>
          <w:iCs w:val="0"/>
          <w:color w:val="auto"/>
          <w:szCs w:val="21"/>
          <w:highlight w:val="none"/>
          <w:lang w:val="en-US" w:eastAsia="zh-CN"/>
        </w:rPr>
        <w:t>承建企业</w:t>
      </w:r>
      <w:r>
        <w:rPr>
          <w:rFonts w:ascii="宋体" w:hAnsi="宋体" w:eastAsia="宋体" w:cs="Times New Roman"/>
          <w:i w:val="0"/>
          <w:iCs w:val="0"/>
          <w:color w:val="auto"/>
          <w:szCs w:val="21"/>
          <w:highlight w:val="none"/>
        </w:rPr>
        <w:t>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教室吊顶处理</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建筑业</w:t>
      </w:r>
      <w:r>
        <w:rPr>
          <w:rFonts w:ascii="宋体" w:hAnsi="宋体" w:eastAsia="宋体" w:cs="Times New Roman"/>
          <w:i w:val="0"/>
          <w:iCs w:val="0"/>
          <w:color w:val="auto"/>
          <w:szCs w:val="21"/>
          <w:highlight w:val="none"/>
        </w:rPr>
        <w:t>；</w:t>
      </w:r>
      <w:r>
        <w:rPr>
          <w:rFonts w:hint="eastAsia" w:ascii="宋体" w:hAnsi="宋体" w:eastAsia="宋体" w:cs="Times New Roman"/>
          <w:i w:val="0"/>
          <w:iCs w:val="0"/>
          <w:color w:val="auto"/>
          <w:szCs w:val="21"/>
          <w:highlight w:val="none"/>
        </w:rPr>
        <w:t>承建企业为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教室墙面处理</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建筑业</w:t>
      </w:r>
      <w:r>
        <w:rPr>
          <w:rFonts w:ascii="宋体" w:hAnsi="宋体" w:eastAsia="宋体" w:cs="Times New Roman"/>
          <w:i w:val="0"/>
          <w:iCs w:val="0"/>
          <w:color w:val="auto"/>
          <w:szCs w:val="21"/>
          <w:highlight w:val="none"/>
        </w:rPr>
        <w:t>；</w:t>
      </w:r>
      <w:r>
        <w:rPr>
          <w:rFonts w:hint="eastAsia" w:ascii="宋体" w:hAnsi="宋体" w:eastAsia="宋体" w:cs="Times New Roman"/>
          <w:i w:val="0"/>
          <w:iCs w:val="0"/>
          <w:color w:val="auto"/>
          <w:szCs w:val="21"/>
          <w:highlight w:val="none"/>
        </w:rPr>
        <w:t>承建企业为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教室隔墙</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建筑业</w:t>
      </w:r>
      <w:r>
        <w:rPr>
          <w:rFonts w:ascii="宋体" w:hAnsi="宋体" w:eastAsia="宋体" w:cs="Times New Roman"/>
          <w:i w:val="0"/>
          <w:iCs w:val="0"/>
          <w:color w:val="auto"/>
          <w:szCs w:val="21"/>
          <w:highlight w:val="none"/>
        </w:rPr>
        <w:t>；</w:t>
      </w:r>
      <w:r>
        <w:rPr>
          <w:rFonts w:hint="eastAsia" w:ascii="宋体" w:hAnsi="宋体" w:eastAsia="宋体" w:cs="Times New Roman"/>
          <w:i w:val="0"/>
          <w:iCs w:val="0"/>
          <w:color w:val="auto"/>
          <w:szCs w:val="21"/>
          <w:highlight w:val="none"/>
        </w:rPr>
        <w:t>承建企业为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rFonts w:ascii="宋体" w:hAnsi="宋体" w:eastAsia="宋体" w:cs="宋体"/>
          <w:color w:val="auto"/>
          <w:szCs w:val="21"/>
          <w:highlight w:val="none"/>
        </w:rPr>
        <w:t>如项目包含“多件”标的物的，需按标的物项数逐项填写。</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5.本项目仅以《中小企业声明函》作为评判投标人是否属于中小企业的唯一依据。</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由本单位承担工程），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hint="eastAsia" w:ascii="宋体" w:hAnsi="宋体" w:eastAsia="宋体" w:cs="Times New Roman"/>
          <w:b/>
          <w:color w:val="auto"/>
          <w:spacing w:val="-6"/>
          <w:sz w:val="84"/>
          <w:szCs w:val="84"/>
          <w:highlight w:val="none"/>
        </w:rPr>
      </w:pP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杭州电子科技大学第三教学楼部分教室智慧教室改造</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QSZB-Z(H)-B23291(GK)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杭州电子科技大学第三教学楼部分教室智慧教室改造</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QSZB-Z(H)-B23291(GK)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▲提供授权代表社保缴纳证明（202</w:t>
      </w:r>
      <w:r>
        <w:rPr>
          <w:rFonts w:hint="eastAsia" w:ascii="宋体" w:hAnsi="宋体" w:eastAsia="宋体" w:cs="Times New Roman"/>
          <w:color w:val="auto"/>
          <w:spacing w:val="-6"/>
          <w:szCs w:val="21"/>
          <w:highlight w:val="none"/>
          <w:u w:val="single"/>
          <w:lang w:val="en-US" w:eastAsia="zh-CN"/>
        </w:rPr>
        <w:t>2</w:t>
      </w:r>
      <w:r>
        <w:rPr>
          <w:rFonts w:hint="eastAsia" w:ascii="宋体" w:hAnsi="宋体" w:eastAsia="宋体" w:cs="Times New Roman"/>
          <w:color w:val="auto"/>
          <w:spacing w:val="-6"/>
          <w:szCs w:val="21"/>
          <w:highlight w:val="none"/>
          <w:u w:val="single"/>
        </w:rPr>
        <w:t>年12月（含）以后任意一月）。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39" w:hRule="atLeast"/>
        </w:trPr>
        <w:tc>
          <w:tcPr>
            <w:tcW w:w="4701" w:type="dxa"/>
          </w:tcPr>
          <w:p>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附：授权代表社保缴纳证明（202</w:t>
      </w:r>
      <w:r>
        <w:rPr>
          <w:rFonts w:hint="eastAsia" w:ascii="宋体" w:hAnsi="宋体" w:eastAsia="宋体" w:cs="Times New Roman"/>
          <w:b/>
          <w:bCs/>
          <w:color w:val="auto"/>
          <w:szCs w:val="21"/>
          <w:highlight w:val="none"/>
          <w:lang w:val="en-US" w:eastAsia="zh-CN"/>
        </w:rPr>
        <w:t>2</w:t>
      </w:r>
      <w:r>
        <w:rPr>
          <w:rFonts w:hint="eastAsia" w:ascii="宋体" w:hAnsi="宋体" w:eastAsia="宋体" w:cs="Times New Roman"/>
          <w:b/>
          <w:bCs/>
          <w:color w:val="auto"/>
          <w:szCs w:val="21"/>
          <w:highlight w:val="none"/>
        </w:rPr>
        <w:t>年12月（含）以后任意一月）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bookmarkStart w:id="52" w:name="_GoBack"/>
      <w:bookmarkEnd w:id="52"/>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第三教学楼部分教室智慧教室改造</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QSZB-Z(H)-B23291(GK)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p>
      <w:pPr>
        <w:adjustRightInd w:val="0"/>
        <w:snapToGrid w:val="0"/>
        <w:spacing w:line="288" w:lineRule="auto"/>
        <w:rPr>
          <w:rFonts w:ascii="宋体" w:hAnsi="宋体" w:eastAsia="宋体" w:cs="宋体"/>
          <w:color w:val="auto"/>
          <w:spacing w:val="-6"/>
          <w:szCs w:val="21"/>
          <w:highlight w:val="none"/>
        </w:rPr>
      </w:pPr>
    </w:p>
    <w:tbl>
      <w:tblPr>
        <w:tblStyle w:val="23"/>
        <w:tblW w:w="955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5"/>
        <w:gridCol w:w="1522"/>
        <w:gridCol w:w="836"/>
        <w:gridCol w:w="1740"/>
        <w:gridCol w:w="1740"/>
        <w:gridCol w:w="625"/>
        <w:gridCol w:w="836"/>
        <w:gridCol w:w="16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制造商</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52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6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（6）技术方案：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项目实施方案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安装调试验收</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售后服务</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技术服务、培训</w:t>
      </w: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配件耗材</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hint="eastAsia" w:ascii="宋体" w:hAnsi="宋体" w:eastAsia="宋体" w:cs="Times New Roman"/>
          <w:b/>
          <w:color w:val="auto"/>
          <w:spacing w:val="-6"/>
          <w:sz w:val="84"/>
          <w:szCs w:val="84"/>
          <w:highlight w:val="none"/>
        </w:rPr>
      </w:pP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第三教学楼部分教室智慧教室改造</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QSZB-Z(H)-B23291(GK)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采购人将以合同形式有偿取得货物或服务，不接受投标人给予的赠品、回扣或者与采购无关的其他商品、服务，不得出现“0元”“免费赠送”等形式的无偿报价，否则视为投标文件含有采购人不能接受的附加条件的，投标无效。</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w:t>
      </w:r>
      <w:r>
        <w:rPr>
          <w:rFonts w:hint="eastAsia" w:ascii="宋体" w:hAnsi="宋体" w:eastAsia="宋体" w:cs="仿宋_GB2312"/>
          <w:color w:val="auto"/>
          <w:kern w:val="0"/>
          <w:szCs w:val="21"/>
          <w:highlight w:val="none"/>
          <w:lang w:eastAsia="zh-CN"/>
        </w:rPr>
        <w:t>（</w:t>
      </w:r>
      <w:r>
        <w:rPr>
          <w:rFonts w:hint="eastAsia" w:ascii="宋体" w:hAnsi="宋体" w:eastAsia="宋体" w:cs="仿宋_GB2312"/>
          <w:color w:val="auto"/>
          <w:kern w:val="0"/>
          <w:szCs w:val="21"/>
          <w:highlight w:val="none"/>
          <w:lang w:val="en-US" w:eastAsia="zh-CN"/>
        </w:rPr>
        <w:t>或工程全部由符合要求的小微企业承建</w:t>
      </w:r>
      <w:r>
        <w:rPr>
          <w:rFonts w:hint="eastAsia" w:ascii="宋体" w:hAnsi="宋体" w:eastAsia="宋体" w:cs="仿宋_GB2312"/>
          <w:color w:val="auto"/>
          <w:kern w:val="0"/>
          <w:szCs w:val="21"/>
          <w:highlight w:val="none"/>
          <w:lang w:eastAsia="zh-CN"/>
        </w:rPr>
        <w:t>）</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或工程全部由符合要求的小微企业承建），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w:t>
      </w:r>
      <w:r>
        <w:rPr>
          <w:rFonts w:hint="eastAsia" w:ascii="宋体" w:hAnsi="宋体" w:eastAsia="宋体" w:cs="仿宋_GB2312"/>
          <w:b/>
          <w:color w:val="auto"/>
          <w:kern w:val="0"/>
          <w:szCs w:val="21"/>
          <w:highlight w:val="none"/>
          <w:lang w:val="en-US" w:eastAsia="zh-CN"/>
        </w:rPr>
        <w:t>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（分包供应商名称）提供的货物全部由小微企业制造（或工程全部由符合要求的小微企业承建），</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或工程全部由符合要求的小微企业承建），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w:t>
      </w:r>
      <w:r>
        <w:rPr>
          <w:rFonts w:hint="eastAsia" w:ascii="宋体" w:hAnsi="宋体" w:eastAsia="宋体" w:cs="仿宋_GB2312"/>
          <w:b/>
          <w:color w:val="auto"/>
          <w:kern w:val="0"/>
          <w:szCs w:val="21"/>
          <w:highlight w:val="none"/>
          <w:lang w:val="en-US" w:eastAsia="zh-CN"/>
        </w:rPr>
        <w:t>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30B91"/>
    <w:multiLevelType w:val="multilevel"/>
    <w:tmpl w:val="92030B9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B34DFB8"/>
    <w:multiLevelType w:val="multilevel"/>
    <w:tmpl w:val="1B34DFB8"/>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00756626"/>
    <w:rsid w:val="000009E4"/>
    <w:rsid w:val="0000114F"/>
    <w:rsid w:val="0000436F"/>
    <w:rsid w:val="00006469"/>
    <w:rsid w:val="00006CFD"/>
    <w:rsid w:val="000116E4"/>
    <w:rsid w:val="00013608"/>
    <w:rsid w:val="00013B07"/>
    <w:rsid w:val="00014530"/>
    <w:rsid w:val="00015995"/>
    <w:rsid w:val="00016D69"/>
    <w:rsid w:val="00037CC3"/>
    <w:rsid w:val="00037F12"/>
    <w:rsid w:val="000404C3"/>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91AA5"/>
    <w:rsid w:val="00091FF9"/>
    <w:rsid w:val="000922B3"/>
    <w:rsid w:val="000949E6"/>
    <w:rsid w:val="0009761D"/>
    <w:rsid w:val="000A108A"/>
    <w:rsid w:val="000A68FB"/>
    <w:rsid w:val="000A74CF"/>
    <w:rsid w:val="000A7D0F"/>
    <w:rsid w:val="000B1B92"/>
    <w:rsid w:val="000B5BC8"/>
    <w:rsid w:val="000C1DE2"/>
    <w:rsid w:val="000C1EF8"/>
    <w:rsid w:val="000C3537"/>
    <w:rsid w:val="000C587E"/>
    <w:rsid w:val="000C67A6"/>
    <w:rsid w:val="000D0B38"/>
    <w:rsid w:val="000D107B"/>
    <w:rsid w:val="000D4121"/>
    <w:rsid w:val="000D763B"/>
    <w:rsid w:val="000E0B46"/>
    <w:rsid w:val="000E12A8"/>
    <w:rsid w:val="000E6420"/>
    <w:rsid w:val="000F4562"/>
    <w:rsid w:val="00103101"/>
    <w:rsid w:val="00106A4D"/>
    <w:rsid w:val="001137C8"/>
    <w:rsid w:val="00117EF1"/>
    <w:rsid w:val="001203D7"/>
    <w:rsid w:val="00120781"/>
    <w:rsid w:val="00130294"/>
    <w:rsid w:val="001358FA"/>
    <w:rsid w:val="00137FB9"/>
    <w:rsid w:val="00145597"/>
    <w:rsid w:val="001466D3"/>
    <w:rsid w:val="001472FE"/>
    <w:rsid w:val="00147E13"/>
    <w:rsid w:val="00154E6E"/>
    <w:rsid w:val="00160F71"/>
    <w:rsid w:val="00162355"/>
    <w:rsid w:val="00162B7F"/>
    <w:rsid w:val="001639E5"/>
    <w:rsid w:val="00164553"/>
    <w:rsid w:val="00164E88"/>
    <w:rsid w:val="00166D36"/>
    <w:rsid w:val="00167EC3"/>
    <w:rsid w:val="0017064E"/>
    <w:rsid w:val="00170DD1"/>
    <w:rsid w:val="00172304"/>
    <w:rsid w:val="0018079E"/>
    <w:rsid w:val="00182FEC"/>
    <w:rsid w:val="00183AD9"/>
    <w:rsid w:val="00191976"/>
    <w:rsid w:val="00197EDA"/>
    <w:rsid w:val="001A1C51"/>
    <w:rsid w:val="001A2D63"/>
    <w:rsid w:val="001A2F81"/>
    <w:rsid w:val="001B01EC"/>
    <w:rsid w:val="001B03B6"/>
    <w:rsid w:val="001B1958"/>
    <w:rsid w:val="001B2E94"/>
    <w:rsid w:val="001B3AE6"/>
    <w:rsid w:val="001B63B2"/>
    <w:rsid w:val="001B6AE4"/>
    <w:rsid w:val="001B6C0D"/>
    <w:rsid w:val="001C1474"/>
    <w:rsid w:val="001C2000"/>
    <w:rsid w:val="001C2933"/>
    <w:rsid w:val="001C4075"/>
    <w:rsid w:val="001C6036"/>
    <w:rsid w:val="001D157A"/>
    <w:rsid w:val="001D2D58"/>
    <w:rsid w:val="001D7868"/>
    <w:rsid w:val="001E1516"/>
    <w:rsid w:val="001E3085"/>
    <w:rsid w:val="001F36AC"/>
    <w:rsid w:val="001F7274"/>
    <w:rsid w:val="002004E1"/>
    <w:rsid w:val="00200536"/>
    <w:rsid w:val="00201125"/>
    <w:rsid w:val="00201321"/>
    <w:rsid w:val="00204F17"/>
    <w:rsid w:val="00210339"/>
    <w:rsid w:val="00211660"/>
    <w:rsid w:val="00213589"/>
    <w:rsid w:val="00221BD1"/>
    <w:rsid w:val="00223595"/>
    <w:rsid w:val="00224BD6"/>
    <w:rsid w:val="002265A9"/>
    <w:rsid w:val="00230DA7"/>
    <w:rsid w:val="002336BD"/>
    <w:rsid w:val="00236327"/>
    <w:rsid w:val="00236937"/>
    <w:rsid w:val="002402D1"/>
    <w:rsid w:val="002435F2"/>
    <w:rsid w:val="00243D1E"/>
    <w:rsid w:val="00251F2E"/>
    <w:rsid w:val="0025569A"/>
    <w:rsid w:val="00255E9B"/>
    <w:rsid w:val="00255F77"/>
    <w:rsid w:val="0025659F"/>
    <w:rsid w:val="002570E8"/>
    <w:rsid w:val="00257110"/>
    <w:rsid w:val="002607CF"/>
    <w:rsid w:val="00262884"/>
    <w:rsid w:val="00263BCE"/>
    <w:rsid w:val="00264D84"/>
    <w:rsid w:val="00267917"/>
    <w:rsid w:val="00272073"/>
    <w:rsid w:val="00275FBD"/>
    <w:rsid w:val="00283AE2"/>
    <w:rsid w:val="00283EB5"/>
    <w:rsid w:val="00296AB0"/>
    <w:rsid w:val="002A17E3"/>
    <w:rsid w:val="002A7085"/>
    <w:rsid w:val="002A799A"/>
    <w:rsid w:val="002B0296"/>
    <w:rsid w:val="002B1048"/>
    <w:rsid w:val="002B4AE9"/>
    <w:rsid w:val="002C3342"/>
    <w:rsid w:val="002D2EAF"/>
    <w:rsid w:val="002D3A28"/>
    <w:rsid w:val="002E3494"/>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17B9"/>
    <w:rsid w:val="00311A4B"/>
    <w:rsid w:val="00312BBF"/>
    <w:rsid w:val="00317A81"/>
    <w:rsid w:val="00320EE9"/>
    <w:rsid w:val="00321487"/>
    <w:rsid w:val="00327618"/>
    <w:rsid w:val="0033301D"/>
    <w:rsid w:val="00336F68"/>
    <w:rsid w:val="00336FDD"/>
    <w:rsid w:val="00341604"/>
    <w:rsid w:val="00347CBA"/>
    <w:rsid w:val="003502B4"/>
    <w:rsid w:val="00352E2F"/>
    <w:rsid w:val="003560E6"/>
    <w:rsid w:val="00357CF0"/>
    <w:rsid w:val="00363F3D"/>
    <w:rsid w:val="003665F6"/>
    <w:rsid w:val="0036728D"/>
    <w:rsid w:val="00371425"/>
    <w:rsid w:val="00371E29"/>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7992"/>
    <w:rsid w:val="003A7D03"/>
    <w:rsid w:val="003B064C"/>
    <w:rsid w:val="003B13A5"/>
    <w:rsid w:val="003B3605"/>
    <w:rsid w:val="003B5B05"/>
    <w:rsid w:val="003B6DAB"/>
    <w:rsid w:val="003C3454"/>
    <w:rsid w:val="003C4781"/>
    <w:rsid w:val="003C5468"/>
    <w:rsid w:val="003C7A4A"/>
    <w:rsid w:val="003D1ED8"/>
    <w:rsid w:val="003D26B2"/>
    <w:rsid w:val="003D3515"/>
    <w:rsid w:val="003D6E1E"/>
    <w:rsid w:val="003E24B1"/>
    <w:rsid w:val="003E60E1"/>
    <w:rsid w:val="003F52EA"/>
    <w:rsid w:val="004011A4"/>
    <w:rsid w:val="00403B44"/>
    <w:rsid w:val="00403FBB"/>
    <w:rsid w:val="00405332"/>
    <w:rsid w:val="0041002E"/>
    <w:rsid w:val="00413B01"/>
    <w:rsid w:val="004142D4"/>
    <w:rsid w:val="004173F4"/>
    <w:rsid w:val="00417F83"/>
    <w:rsid w:val="0043170C"/>
    <w:rsid w:val="004327AE"/>
    <w:rsid w:val="00433671"/>
    <w:rsid w:val="004430E8"/>
    <w:rsid w:val="0045480E"/>
    <w:rsid w:val="00456743"/>
    <w:rsid w:val="00456DA5"/>
    <w:rsid w:val="00457EA2"/>
    <w:rsid w:val="00461FD3"/>
    <w:rsid w:val="00462180"/>
    <w:rsid w:val="004626CF"/>
    <w:rsid w:val="00463860"/>
    <w:rsid w:val="00463AF9"/>
    <w:rsid w:val="004644FC"/>
    <w:rsid w:val="00464B58"/>
    <w:rsid w:val="00464D58"/>
    <w:rsid w:val="004719AB"/>
    <w:rsid w:val="0047231B"/>
    <w:rsid w:val="0047725C"/>
    <w:rsid w:val="004840CF"/>
    <w:rsid w:val="0048470A"/>
    <w:rsid w:val="00484EC1"/>
    <w:rsid w:val="00485246"/>
    <w:rsid w:val="004866A5"/>
    <w:rsid w:val="00491047"/>
    <w:rsid w:val="004914C8"/>
    <w:rsid w:val="0049330E"/>
    <w:rsid w:val="004934D4"/>
    <w:rsid w:val="004967FF"/>
    <w:rsid w:val="00497365"/>
    <w:rsid w:val="004977E3"/>
    <w:rsid w:val="00497B33"/>
    <w:rsid w:val="004A0913"/>
    <w:rsid w:val="004A1C68"/>
    <w:rsid w:val="004A2732"/>
    <w:rsid w:val="004A2B24"/>
    <w:rsid w:val="004A4BA1"/>
    <w:rsid w:val="004A62EE"/>
    <w:rsid w:val="004A758D"/>
    <w:rsid w:val="004A7612"/>
    <w:rsid w:val="004B1139"/>
    <w:rsid w:val="004B7ECD"/>
    <w:rsid w:val="004C0ACF"/>
    <w:rsid w:val="004C38B7"/>
    <w:rsid w:val="004C4AEA"/>
    <w:rsid w:val="004C5359"/>
    <w:rsid w:val="004D0781"/>
    <w:rsid w:val="004D2BC8"/>
    <w:rsid w:val="004D3156"/>
    <w:rsid w:val="004D3FD1"/>
    <w:rsid w:val="004D6D2F"/>
    <w:rsid w:val="004D71C3"/>
    <w:rsid w:val="004E373B"/>
    <w:rsid w:val="004E40A7"/>
    <w:rsid w:val="004E764E"/>
    <w:rsid w:val="004F1F7A"/>
    <w:rsid w:val="004F749F"/>
    <w:rsid w:val="005000B3"/>
    <w:rsid w:val="005004BC"/>
    <w:rsid w:val="0050432A"/>
    <w:rsid w:val="0051415E"/>
    <w:rsid w:val="0051461C"/>
    <w:rsid w:val="00516C2B"/>
    <w:rsid w:val="00517F0F"/>
    <w:rsid w:val="00520566"/>
    <w:rsid w:val="00520844"/>
    <w:rsid w:val="00520CCA"/>
    <w:rsid w:val="0052332C"/>
    <w:rsid w:val="005238C8"/>
    <w:rsid w:val="0052419B"/>
    <w:rsid w:val="00525513"/>
    <w:rsid w:val="00530E18"/>
    <w:rsid w:val="00533573"/>
    <w:rsid w:val="0053482D"/>
    <w:rsid w:val="005349E7"/>
    <w:rsid w:val="00536EA4"/>
    <w:rsid w:val="00543979"/>
    <w:rsid w:val="0055295C"/>
    <w:rsid w:val="005541E6"/>
    <w:rsid w:val="005552F4"/>
    <w:rsid w:val="00555329"/>
    <w:rsid w:val="005579AA"/>
    <w:rsid w:val="0056031C"/>
    <w:rsid w:val="00561927"/>
    <w:rsid w:val="00563576"/>
    <w:rsid w:val="00565695"/>
    <w:rsid w:val="005666C3"/>
    <w:rsid w:val="00567903"/>
    <w:rsid w:val="005735F1"/>
    <w:rsid w:val="005762C1"/>
    <w:rsid w:val="00577861"/>
    <w:rsid w:val="00584B0A"/>
    <w:rsid w:val="00585951"/>
    <w:rsid w:val="00587DC3"/>
    <w:rsid w:val="00592BC6"/>
    <w:rsid w:val="00593624"/>
    <w:rsid w:val="005936D5"/>
    <w:rsid w:val="0059376A"/>
    <w:rsid w:val="005938EE"/>
    <w:rsid w:val="00594309"/>
    <w:rsid w:val="00595A42"/>
    <w:rsid w:val="00597EA9"/>
    <w:rsid w:val="005A2031"/>
    <w:rsid w:val="005A603C"/>
    <w:rsid w:val="005A6A8A"/>
    <w:rsid w:val="005B2265"/>
    <w:rsid w:val="005B7D64"/>
    <w:rsid w:val="005C25EA"/>
    <w:rsid w:val="005D0C62"/>
    <w:rsid w:val="005D4D28"/>
    <w:rsid w:val="005D5F6E"/>
    <w:rsid w:val="005E2D92"/>
    <w:rsid w:val="005E632D"/>
    <w:rsid w:val="005E74BA"/>
    <w:rsid w:val="005F1144"/>
    <w:rsid w:val="005F14E1"/>
    <w:rsid w:val="005F2651"/>
    <w:rsid w:val="005F531A"/>
    <w:rsid w:val="005F5528"/>
    <w:rsid w:val="005F65C8"/>
    <w:rsid w:val="005F70AB"/>
    <w:rsid w:val="005F7DB1"/>
    <w:rsid w:val="00602E5E"/>
    <w:rsid w:val="0060397B"/>
    <w:rsid w:val="006070EC"/>
    <w:rsid w:val="006072E8"/>
    <w:rsid w:val="00611AFB"/>
    <w:rsid w:val="006135DB"/>
    <w:rsid w:val="006143BF"/>
    <w:rsid w:val="006153AB"/>
    <w:rsid w:val="006175EF"/>
    <w:rsid w:val="006252C4"/>
    <w:rsid w:val="006279EA"/>
    <w:rsid w:val="006314E7"/>
    <w:rsid w:val="00635BD5"/>
    <w:rsid w:val="00640CB4"/>
    <w:rsid w:val="00641772"/>
    <w:rsid w:val="00642A44"/>
    <w:rsid w:val="00657DC0"/>
    <w:rsid w:val="00660BB7"/>
    <w:rsid w:val="00664079"/>
    <w:rsid w:val="006642C4"/>
    <w:rsid w:val="00664DAA"/>
    <w:rsid w:val="00664F3B"/>
    <w:rsid w:val="006713B5"/>
    <w:rsid w:val="00674C38"/>
    <w:rsid w:val="006763DA"/>
    <w:rsid w:val="00681FEB"/>
    <w:rsid w:val="006823E7"/>
    <w:rsid w:val="0068459B"/>
    <w:rsid w:val="00685148"/>
    <w:rsid w:val="006900EA"/>
    <w:rsid w:val="0069103C"/>
    <w:rsid w:val="00691AD4"/>
    <w:rsid w:val="0069264D"/>
    <w:rsid w:val="00693005"/>
    <w:rsid w:val="00693820"/>
    <w:rsid w:val="00696E42"/>
    <w:rsid w:val="00697054"/>
    <w:rsid w:val="00697CA8"/>
    <w:rsid w:val="006A43F9"/>
    <w:rsid w:val="006A4806"/>
    <w:rsid w:val="006A4E30"/>
    <w:rsid w:val="006B4735"/>
    <w:rsid w:val="006B60FC"/>
    <w:rsid w:val="006C0103"/>
    <w:rsid w:val="006C1090"/>
    <w:rsid w:val="006C3E32"/>
    <w:rsid w:val="006C5E79"/>
    <w:rsid w:val="006C7249"/>
    <w:rsid w:val="006D3FAD"/>
    <w:rsid w:val="006D584E"/>
    <w:rsid w:val="006D5DA2"/>
    <w:rsid w:val="006E0F3D"/>
    <w:rsid w:val="006E6008"/>
    <w:rsid w:val="006F1A49"/>
    <w:rsid w:val="006F4883"/>
    <w:rsid w:val="006F6B94"/>
    <w:rsid w:val="00701FAE"/>
    <w:rsid w:val="00710E91"/>
    <w:rsid w:val="00712B38"/>
    <w:rsid w:val="00716277"/>
    <w:rsid w:val="0071668C"/>
    <w:rsid w:val="0071784C"/>
    <w:rsid w:val="00722B86"/>
    <w:rsid w:val="00725627"/>
    <w:rsid w:val="007258CF"/>
    <w:rsid w:val="00726EB1"/>
    <w:rsid w:val="00732E62"/>
    <w:rsid w:val="007359D0"/>
    <w:rsid w:val="00735C25"/>
    <w:rsid w:val="0073691D"/>
    <w:rsid w:val="00737B87"/>
    <w:rsid w:val="00742745"/>
    <w:rsid w:val="007433C8"/>
    <w:rsid w:val="0074775E"/>
    <w:rsid w:val="00756626"/>
    <w:rsid w:val="007572BE"/>
    <w:rsid w:val="00763093"/>
    <w:rsid w:val="00764B19"/>
    <w:rsid w:val="00765853"/>
    <w:rsid w:val="0076760A"/>
    <w:rsid w:val="00774D1E"/>
    <w:rsid w:val="007765A6"/>
    <w:rsid w:val="00777132"/>
    <w:rsid w:val="0078494B"/>
    <w:rsid w:val="00784A57"/>
    <w:rsid w:val="007851E4"/>
    <w:rsid w:val="00785B83"/>
    <w:rsid w:val="00785D4D"/>
    <w:rsid w:val="0078688E"/>
    <w:rsid w:val="00787700"/>
    <w:rsid w:val="007910A8"/>
    <w:rsid w:val="00791D7E"/>
    <w:rsid w:val="0079274B"/>
    <w:rsid w:val="00792E7D"/>
    <w:rsid w:val="007958CB"/>
    <w:rsid w:val="00796DBA"/>
    <w:rsid w:val="007A1535"/>
    <w:rsid w:val="007A2697"/>
    <w:rsid w:val="007A3332"/>
    <w:rsid w:val="007A4000"/>
    <w:rsid w:val="007A6DC4"/>
    <w:rsid w:val="007A7660"/>
    <w:rsid w:val="007A7E00"/>
    <w:rsid w:val="007B2A33"/>
    <w:rsid w:val="007B3510"/>
    <w:rsid w:val="007B70E0"/>
    <w:rsid w:val="007D0155"/>
    <w:rsid w:val="007D0409"/>
    <w:rsid w:val="007D0DB5"/>
    <w:rsid w:val="007D299D"/>
    <w:rsid w:val="007D3533"/>
    <w:rsid w:val="007D5A95"/>
    <w:rsid w:val="007D736C"/>
    <w:rsid w:val="007D7DBA"/>
    <w:rsid w:val="007E0063"/>
    <w:rsid w:val="007E13AE"/>
    <w:rsid w:val="007E1841"/>
    <w:rsid w:val="007E5D59"/>
    <w:rsid w:val="007E6466"/>
    <w:rsid w:val="007E6782"/>
    <w:rsid w:val="007E74B9"/>
    <w:rsid w:val="007E7D3E"/>
    <w:rsid w:val="007F3874"/>
    <w:rsid w:val="007F46A2"/>
    <w:rsid w:val="007F5783"/>
    <w:rsid w:val="007F58B9"/>
    <w:rsid w:val="007F73C5"/>
    <w:rsid w:val="007F7402"/>
    <w:rsid w:val="008051C0"/>
    <w:rsid w:val="008062F5"/>
    <w:rsid w:val="00810B33"/>
    <w:rsid w:val="00814392"/>
    <w:rsid w:val="008143E7"/>
    <w:rsid w:val="008147B0"/>
    <w:rsid w:val="0081666D"/>
    <w:rsid w:val="00816F86"/>
    <w:rsid w:val="00826BEC"/>
    <w:rsid w:val="008309E3"/>
    <w:rsid w:val="0083275D"/>
    <w:rsid w:val="008331E4"/>
    <w:rsid w:val="0083518C"/>
    <w:rsid w:val="00835258"/>
    <w:rsid w:val="00836C7B"/>
    <w:rsid w:val="00837A11"/>
    <w:rsid w:val="008400F7"/>
    <w:rsid w:val="00845785"/>
    <w:rsid w:val="0084594D"/>
    <w:rsid w:val="0084629B"/>
    <w:rsid w:val="008470A5"/>
    <w:rsid w:val="008524BA"/>
    <w:rsid w:val="00854FBA"/>
    <w:rsid w:val="00860FD0"/>
    <w:rsid w:val="008629F4"/>
    <w:rsid w:val="0087038D"/>
    <w:rsid w:val="008800E3"/>
    <w:rsid w:val="008807C0"/>
    <w:rsid w:val="00887F0C"/>
    <w:rsid w:val="00893A32"/>
    <w:rsid w:val="008A1A9C"/>
    <w:rsid w:val="008A541E"/>
    <w:rsid w:val="008B0ED1"/>
    <w:rsid w:val="008B3188"/>
    <w:rsid w:val="008B336F"/>
    <w:rsid w:val="008B56D2"/>
    <w:rsid w:val="008B7147"/>
    <w:rsid w:val="008C23E0"/>
    <w:rsid w:val="008C3D8A"/>
    <w:rsid w:val="008C3FF0"/>
    <w:rsid w:val="008C56F5"/>
    <w:rsid w:val="008C6787"/>
    <w:rsid w:val="008C7394"/>
    <w:rsid w:val="008C7810"/>
    <w:rsid w:val="008D0FB0"/>
    <w:rsid w:val="008D2DB0"/>
    <w:rsid w:val="008D3747"/>
    <w:rsid w:val="008D6BE2"/>
    <w:rsid w:val="008E0100"/>
    <w:rsid w:val="008E7989"/>
    <w:rsid w:val="008E7DD4"/>
    <w:rsid w:val="008F3F87"/>
    <w:rsid w:val="008F3FFA"/>
    <w:rsid w:val="0090229C"/>
    <w:rsid w:val="00903112"/>
    <w:rsid w:val="0090469F"/>
    <w:rsid w:val="0090555B"/>
    <w:rsid w:val="00912B21"/>
    <w:rsid w:val="00917842"/>
    <w:rsid w:val="009207E0"/>
    <w:rsid w:val="00921DF6"/>
    <w:rsid w:val="00924893"/>
    <w:rsid w:val="00926422"/>
    <w:rsid w:val="009302F3"/>
    <w:rsid w:val="00934006"/>
    <w:rsid w:val="009369AF"/>
    <w:rsid w:val="00937328"/>
    <w:rsid w:val="0093779E"/>
    <w:rsid w:val="00940228"/>
    <w:rsid w:val="00945580"/>
    <w:rsid w:val="00950D6E"/>
    <w:rsid w:val="009548AD"/>
    <w:rsid w:val="0095717F"/>
    <w:rsid w:val="0096020D"/>
    <w:rsid w:val="009652E1"/>
    <w:rsid w:val="009700EA"/>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FED"/>
    <w:rsid w:val="009B6FEB"/>
    <w:rsid w:val="009C428B"/>
    <w:rsid w:val="009C5F48"/>
    <w:rsid w:val="009C62B5"/>
    <w:rsid w:val="009D4E08"/>
    <w:rsid w:val="009D5CF6"/>
    <w:rsid w:val="009D79D9"/>
    <w:rsid w:val="009E0D54"/>
    <w:rsid w:val="009E2C98"/>
    <w:rsid w:val="009E5DE6"/>
    <w:rsid w:val="009E6E7D"/>
    <w:rsid w:val="009F00CA"/>
    <w:rsid w:val="009F6E40"/>
    <w:rsid w:val="00A01CA9"/>
    <w:rsid w:val="00A02B70"/>
    <w:rsid w:val="00A02EC0"/>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500FC"/>
    <w:rsid w:val="00A50DF7"/>
    <w:rsid w:val="00A5356D"/>
    <w:rsid w:val="00A56E2F"/>
    <w:rsid w:val="00A63F72"/>
    <w:rsid w:val="00A66EBD"/>
    <w:rsid w:val="00A739E7"/>
    <w:rsid w:val="00A75C85"/>
    <w:rsid w:val="00A81A17"/>
    <w:rsid w:val="00A8478E"/>
    <w:rsid w:val="00A85D86"/>
    <w:rsid w:val="00A91A61"/>
    <w:rsid w:val="00A91F9F"/>
    <w:rsid w:val="00A93BEF"/>
    <w:rsid w:val="00AA1EC4"/>
    <w:rsid w:val="00AA26BF"/>
    <w:rsid w:val="00AA4EEB"/>
    <w:rsid w:val="00AA6158"/>
    <w:rsid w:val="00AB197A"/>
    <w:rsid w:val="00AB538C"/>
    <w:rsid w:val="00AB6351"/>
    <w:rsid w:val="00AC0C26"/>
    <w:rsid w:val="00AC2AE1"/>
    <w:rsid w:val="00AC729C"/>
    <w:rsid w:val="00AD15D6"/>
    <w:rsid w:val="00AD4215"/>
    <w:rsid w:val="00AD454A"/>
    <w:rsid w:val="00AD7AC4"/>
    <w:rsid w:val="00AE109C"/>
    <w:rsid w:val="00AE2D51"/>
    <w:rsid w:val="00AE5218"/>
    <w:rsid w:val="00AE6143"/>
    <w:rsid w:val="00AE6479"/>
    <w:rsid w:val="00AE65DE"/>
    <w:rsid w:val="00AF0A8C"/>
    <w:rsid w:val="00AF0D11"/>
    <w:rsid w:val="00AF2EB1"/>
    <w:rsid w:val="00AF4159"/>
    <w:rsid w:val="00AF47F0"/>
    <w:rsid w:val="00AF4C17"/>
    <w:rsid w:val="00AF57C7"/>
    <w:rsid w:val="00AF7D17"/>
    <w:rsid w:val="00AF7E39"/>
    <w:rsid w:val="00B016AA"/>
    <w:rsid w:val="00B11414"/>
    <w:rsid w:val="00B2224D"/>
    <w:rsid w:val="00B26485"/>
    <w:rsid w:val="00B27103"/>
    <w:rsid w:val="00B27134"/>
    <w:rsid w:val="00B27466"/>
    <w:rsid w:val="00B31493"/>
    <w:rsid w:val="00B408F4"/>
    <w:rsid w:val="00B41A65"/>
    <w:rsid w:val="00B44146"/>
    <w:rsid w:val="00B5172B"/>
    <w:rsid w:val="00B5208F"/>
    <w:rsid w:val="00B54056"/>
    <w:rsid w:val="00B54F8A"/>
    <w:rsid w:val="00B608E3"/>
    <w:rsid w:val="00B6179A"/>
    <w:rsid w:val="00B63121"/>
    <w:rsid w:val="00B64886"/>
    <w:rsid w:val="00B6513B"/>
    <w:rsid w:val="00B66247"/>
    <w:rsid w:val="00B6671E"/>
    <w:rsid w:val="00B709E0"/>
    <w:rsid w:val="00B71159"/>
    <w:rsid w:val="00B724F3"/>
    <w:rsid w:val="00B76833"/>
    <w:rsid w:val="00B76BE5"/>
    <w:rsid w:val="00B83888"/>
    <w:rsid w:val="00B852B1"/>
    <w:rsid w:val="00B85628"/>
    <w:rsid w:val="00B90814"/>
    <w:rsid w:val="00B90B33"/>
    <w:rsid w:val="00B91B56"/>
    <w:rsid w:val="00B962D4"/>
    <w:rsid w:val="00B96B37"/>
    <w:rsid w:val="00BA396F"/>
    <w:rsid w:val="00BA4D43"/>
    <w:rsid w:val="00BA74CC"/>
    <w:rsid w:val="00BB0B3D"/>
    <w:rsid w:val="00BB5F21"/>
    <w:rsid w:val="00BB5FAE"/>
    <w:rsid w:val="00BC1A71"/>
    <w:rsid w:val="00BC48DB"/>
    <w:rsid w:val="00BC4928"/>
    <w:rsid w:val="00BC74E1"/>
    <w:rsid w:val="00BC78C9"/>
    <w:rsid w:val="00BD2CA3"/>
    <w:rsid w:val="00BD2EE6"/>
    <w:rsid w:val="00BD5352"/>
    <w:rsid w:val="00BD7446"/>
    <w:rsid w:val="00BE0F12"/>
    <w:rsid w:val="00BE21D5"/>
    <w:rsid w:val="00BE5332"/>
    <w:rsid w:val="00BF3D5C"/>
    <w:rsid w:val="00C01687"/>
    <w:rsid w:val="00C02080"/>
    <w:rsid w:val="00C02627"/>
    <w:rsid w:val="00C03DE1"/>
    <w:rsid w:val="00C049FB"/>
    <w:rsid w:val="00C07B07"/>
    <w:rsid w:val="00C10A57"/>
    <w:rsid w:val="00C111CD"/>
    <w:rsid w:val="00C11B1B"/>
    <w:rsid w:val="00C12647"/>
    <w:rsid w:val="00C12F52"/>
    <w:rsid w:val="00C2067F"/>
    <w:rsid w:val="00C21AEB"/>
    <w:rsid w:val="00C25898"/>
    <w:rsid w:val="00C266F1"/>
    <w:rsid w:val="00C270E3"/>
    <w:rsid w:val="00C31323"/>
    <w:rsid w:val="00C32230"/>
    <w:rsid w:val="00C343E2"/>
    <w:rsid w:val="00C3722B"/>
    <w:rsid w:val="00C373A3"/>
    <w:rsid w:val="00C41A90"/>
    <w:rsid w:val="00C41BEC"/>
    <w:rsid w:val="00C44455"/>
    <w:rsid w:val="00C5397C"/>
    <w:rsid w:val="00C57474"/>
    <w:rsid w:val="00C6026E"/>
    <w:rsid w:val="00C61007"/>
    <w:rsid w:val="00C61726"/>
    <w:rsid w:val="00C641CA"/>
    <w:rsid w:val="00C6577C"/>
    <w:rsid w:val="00C667C1"/>
    <w:rsid w:val="00C674A0"/>
    <w:rsid w:val="00C71F89"/>
    <w:rsid w:val="00C72C1E"/>
    <w:rsid w:val="00C72F15"/>
    <w:rsid w:val="00C746CE"/>
    <w:rsid w:val="00C74B9A"/>
    <w:rsid w:val="00C77FD8"/>
    <w:rsid w:val="00C855AA"/>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1574"/>
    <w:rsid w:val="00CD15DC"/>
    <w:rsid w:val="00CD4CE1"/>
    <w:rsid w:val="00CD674E"/>
    <w:rsid w:val="00CD6C86"/>
    <w:rsid w:val="00CD6CAD"/>
    <w:rsid w:val="00CD7100"/>
    <w:rsid w:val="00CE1BC2"/>
    <w:rsid w:val="00CE3C16"/>
    <w:rsid w:val="00CE6FB6"/>
    <w:rsid w:val="00CE7AD9"/>
    <w:rsid w:val="00CF3576"/>
    <w:rsid w:val="00CF4740"/>
    <w:rsid w:val="00CF6826"/>
    <w:rsid w:val="00CF7A2E"/>
    <w:rsid w:val="00D00847"/>
    <w:rsid w:val="00D03363"/>
    <w:rsid w:val="00D04AA5"/>
    <w:rsid w:val="00D14CB3"/>
    <w:rsid w:val="00D20C5C"/>
    <w:rsid w:val="00D23BB6"/>
    <w:rsid w:val="00D24377"/>
    <w:rsid w:val="00D25F8C"/>
    <w:rsid w:val="00D26829"/>
    <w:rsid w:val="00D279B4"/>
    <w:rsid w:val="00D304E2"/>
    <w:rsid w:val="00D33AD3"/>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9DE"/>
    <w:rsid w:val="00D76D20"/>
    <w:rsid w:val="00D81C37"/>
    <w:rsid w:val="00D82CD2"/>
    <w:rsid w:val="00D938B2"/>
    <w:rsid w:val="00D944DF"/>
    <w:rsid w:val="00DA023F"/>
    <w:rsid w:val="00DA249D"/>
    <w:rsid w:val="00DA739D"/>
    <w:rsid w:val="00DB1340"/>
    <w:rsid w:val="00DB18EF"/>
    <w:rsid w:val="00DB23D8"/>
    <w:rsid w:val="00DB3FB2"/>
    <w:rsid w:val="00DB4B8D"/>
    <w:rsid w:val="00DB52B1"/>
    <w:rsid w:val="00DB696D"/>
    <w:rsid w:val="00DB7068"/>
    <w:rsid w:val="00DC4D9B"/>
    <w:rsid w:val="00DD013F"/>
    <w:rsid w:val="00DD17D3"/>
    <w:rsid w:val="00DD3FB1"/>
    <w:rsid w:val="00DD4E42"/>
    <w:rsid w:val="00DD5814"/>
    <w:rsid w:val="00DD6C53"/>
    <w:rsid w:val="00DE123F"/>
    <w:rsid w:val="00DE2C67"/>
    <w:rsid w:val="00DE45BC"/>
    <w:rsid w:val="00DE5638"/>
    <w:rsid w:val="00DE7182"/>
    <w:rsid w:val="00DF02C6"/>
    <w:rsid w:val="00DF11F5"/>
    <w:rsid w:val="00DF26D8"/>
    <w:rsid w:val="00DF3656"/>
    <w:rsid w:val="00DF3A80"/>
    <w:rsid w:val="00DF4586"/>
    <w:rsid w:val="00DF5B5D"/>
    <w:rsid w:val="00DF5D92"/>
    <w:rsid w:val="00DF65B2"/>
    <w:rsid w:val="00DF73F4"/>
    <w:rsid w:val="00E001D9"/>
    <w:rsid w:val="00E03ACF"/>
    <w:rsid w:val="00E03B2B"/>
    <w:rsid w:val="00E03DEE"/>
    <w:rsid w:val="00E04498"/>
    <w:rsid w:val="00E04709"/>
    <w:rsid w:val="00E048FB"/>
    <w:rsid w:val="00E0701D"/>
    <w:rsid w:val="00E1306D"/>
    <w:rsid w:val="00E136E8"/>
    <w:rsid w:val="00E151D8"/>
    <w:rsid w:val="00E15522"/>
    <w:rsid w:val="00E159C7"/>
    <w:rsid w:val="00E215AB"/>
    <w:rsid w:val="00E22BDB"/>
    <w:rsid w:val="00E261F0"/>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20B9"/>
    <w:rsid w:val="00E92C09"/>
    <w:rsid w:val="00E9413C"/>
    <w:rsid w:val="00E94676"/>
    <w:rsid w:val="00E96BF3"/>
    <w:rsid w:val="00EA0C3B"/>
    <w:rsid w:val="00EA1755"/>
    <w:rsid w:val="00EA18DE"/>
    <w:rsid w:val="00EA4F01"/>
    <w:rsid w:val="00EA6C57"/>
    <w:rsid w:val="00EB0A8D"/>
    <w:rsid w:val="00EB32D8"/>
    <w:rsid w:val="00EB7AB1"/>
    <w:rsid w:val="00EC2397"/>
    <w:rsid w:val="00EC4F83"/>
    <w:rsid w:val="00ED15BD"/>
    <w:rsid w:val="00ED1947"/>
    <w:rsid w:val="00ED1C7D"/>
    <w:rsid w:val="00ED22B7"/>
    <w:rsid w:val="00ED487B"/>
    <w:rsid w:val="00ED558D"/>
    <w:rsid w:val="00EE04AC"/>
    <w:rsid w:val="00EE20BA"/>
    <w:rsid w:val="00EE2E85"/>
    <w:rsid w:val="00EE370B"/>
    <w:rsid w:val="00EE3A4F"/>
    <w:rsid w:val="00EE6014"/>
    <w:rsid w:val="00EE69E7"/>
    <w:rsid w:val="00EF2298"/>
    <w:rsid w:val="00EF23EC"/>
    <w:rsid w:val="00EF4317"/>
    <w:rsid w:val="00EF50C5"/>
    <w:rsid w:val="00EF560F"/>
    <w:rsid w:val="00F06AEE"/>
    <w:rsid w:val="00F10C79"/>
    <w:rsid w:val="00F13AE7"/>
    <w:rsid w:val="00F14F28"/>
    <w:rsid w:val="00F15F50"/>
    <w:rsid w:val="00F20358"/>
    <w:rsid w:val="00F23FE1"/>
    <w:rsid w:val="00F244B7"/>
    <w:rsid w:val="00F24546"/>
    <w:rsid w:val="00F249B5"/>
    <w:rsid w:val="00F25AE9"/>
    <w:rsid w:val="00F25FC8"/>
    <w:rsid w:val="00F26F38"/>
    <w:rsid w:val="00F27C4E"/>
    <w:rsid w:val="00F30E12"/>
    <w:rsid w:val="00F33F8B"/>
    <w:rsid w:val="00F343CD"/>
    <w:rsid w:val="00F37864"/>
    <w:rsid w:val="00F431A3"/>
    <w:rsid w:val="00F43AE5"/>
    <w:rsid w:val="00F44EFF"/>
    <w:rsid w:val="00F45A96"/>
    <w:rsid w:val="00F45C23"/>
    <w:rsid w:val="00F5041F"/>
    <w:rsid w:val="00F529D3"/>
    <w:rsid w:val="00F5535C"/>
    <w:rsid w:val="00F55A1E"/>
    <w:rsid w:val="00F55A6D"/>
    <w:rsid w:val="00F56BE9"/>
    <w:rsid w:val="00F612B8"/>
    <w:rsid w:val="00F61515"/>
    <w:rsid w:val="00F63B33"/>
    <w:rsid w:val="00F65007"/>
    <w:rsid w:val="00F65257"/>
    <w:rsid w:val="00F66744"/>
    <w:rsid w:val="00F7137A"/>
    <w:rsid w:val="00F75F0C"/>
    <w:rsid w:val="00F76A54"/>
    <w:rsid w:val="00F827AA"/>
    <w:rsid w:val="00F85469"/>
    <w:rsid w:val="00F855E3"/>
    <w:rsid w:val="00F857AF"/>
    <w:rsid w:val="00F86F0B"/>
    <w:rsid w:val="00F87AC8"/>
    <w:rsid w:val="00F87B12"/>
    <w:rsid w:val="00F90BB7"/>
    <w:rsid w:val="00F91A27"/>
    <w:rsid w:val="00F94E51"/>
    <w:rsid w:val="00F9692B"/>
    <w:rsid w:val="00FA15C6"/>
    <w:rsid w:val="00FA3C67"/>
    <w:rsid w:val="00FA4722"/>
    <w:rsid w:val="00FA4BE6"/>
    <w:rsid w:val="00FA52DE"/>
    <w:rsid w:val="00FA5F22"/>
    <w:rsid w:val="00FB4062"/>
    <w:rsid w:val="00FC0078"/>
    <w:rsid w:val="00FC59A5"/>
    <w:rsid w:val="00FD1F23"/>
    <w:rsid w:val="00FD3E41"/>
    <w:rsid w:val="00FD4A9E"/>
    <w:rsid w:val="00FD55B1"/>
    <w:rsid w:val="00FD6717"/>
    <w:rsid w:val="00FE0D9E"/>
    <w:rsid w:val="00FE1EE7"/>
    <w:rsid w:val="00FE5A7E"/>
    <w:rsid w:val="00FF3198"/>
    <w:rsid w:val="010033FE"/>
    <w:rsid w:val="01285229"/>
    <w:rsid w:val="01D9649E"/>
    <w:rsid w:val="01F81427"/>
    <w:rsid w:val="02960CFF"/>
    <w:rsid w:val="03F93561"/>
    <w:rsid w:val="04B55D6C"/>
    <w:rsid w:val="05D34727"/>
    <w:rsid w:val="068D25E2"/>
    <w:rsid w:val="08931933"/>
    <w:rsid w:val="08C80624"/>
    <w:rsid w:val="0B4A1776"/>
    <w:rsid w:val="0C786503"/>
    <w:rsid w:val="0D1A04C9"/>
    <w:rsid w:val="0FC07E05"/>
    <w:rsid w:val="10757130"/>
    <w:rsid w:val="112B34AD"/>
    <w:rsid w:val="11FF5827"/>
    <w:rsid w:val="122E4771"/>
    <w:rsid w:val="136D2C68"/>
    <w:rsid w:val="13C21AA1"/>
    <w:rsid w:val="14A55F99"/>
    <w:rsid w:val="14C1375A"/>
    <w:rsid w:val="18090C43"/>
    <w:rsid w:val="180C22CF"/>
    <w:rsid w:val="18FB5F15"/>
    <w:rsid w:val="190B4C3F"/>
    <w:rsid w:val="1B321622"/>
    <w:rsid w:val="1CCB529E"/>
    <w:rsid w:val="1E500EC1"/>
    <w:rsid w:val="1F9C38D3"/>
    <w:rsid w:val="1FFC2F7D"/>
    <w:rsid w:val="20767551"/>
    <w:rsid w:val="21DB64E2"/>
    <w:rsid w:val="221C4C30"/>
    <w:rsid w:val="22A70B6C"/>
    <w:rsid w:val="23C14303"/>
    <w:rsid w:val="23FF4622"/>
    <w:rsid w:val="25336DE2"/>
    <w:rsid w:val="27432BC1"/>
    <w:rsid w:val="279766FA"/>
    <w:rsid w:val="27F0275A"/>
    <w:rsid w:val="282467D3"/>
    <w:rsid w:val="28580092"/>
    <w:rsid w:val="28BC23D4"/>
    <w:rsid w:val="29A5185F"/>
    <w:rsid w:val="2AA10ED5"/>
    <w:rsid w:val="2ADA0518"/>
    <w:rsid w:val="2B76483A"/>
    <w:rsid w:val="2BF346A6"/>
    <w:rsid w:val="2C921974"/>
    <w:rsid w:val="2D6A1437"/>
    <w:rsid w:val="2DBE14C9"/>
    <w:rsid w:val="2F6A64D8"/>
    <w:rsid w:val="30616EA9"/>
    <w:rsid w:val="31A44D82"/>
    <w:rsid w:val="31C35561"/>
    <w:rsid w:val="32BE120D"/>
    <w:rsid w:val="330C0EF9"/>
    <w:rsid w:val="33506DE6"/>
    <w:rsid w:val="336F3DB6"/>
    <w:rsid w:val="340E6FCE"/>
    <w:rsid w:val="35A54CED"/>
    <w:rsid w:val="35EE6320"/>
    <w:rsid w:val="360A2A1F"/>
    <w:rsid w:val="361B6700"/>
    <w:rsid w:val="36486F1C"/>
    <w:rsid w:val="36FF18F5"/>
    <w:rsid w:val="37534CA7"/>
    <w:rsid w:val="37D824F1"/>
    <w:rsid w:val="39392EEE"/>
    <w:rsid w:val="3B0C4DFA"/>
    <w:rsid w:val="3C4D26C6"/>
    <w:rsid w:val="3CC6531E"/>
    <w:rsid w:val="3D044EFC"/>
    <w:rsid w:val="3E2851F0"/>
    <w:rsid w:val="3E330981"/>
    <w:rsid w:val="3E6946AD"/>
    <w:rsid w:val="3EB60CB3"/>
    <w:rsid w:val="3EC436F9"/>
    <w:rsid w:val="3F740895"/>
    <w:rsid w:val="3FB93DC6"/>
    <w:rsid w:val="400A14DE"/>
    <w:rsid w:val="402A691C"/>
    <w:rsid w:val="406C3DD7"/>
    <w:rsid w:val="40AC2857"/>
    <w:rsid w:val="42054C29"/>
    <w:rsid w:val="422E66F3"/>
    <w:rsid w:val="4275164D"/>
    <w:rsid w:val="430A3262"/>
    <w:rsid w:val="44E14903"/>
    <w:rsid w:val="44F72D99"/>
    <w:rsid w:val="46A824B9"/>
    <w:rsid w:val="46BB170B"/>
    <w:rsid w:val="474C1898"/>
    <w:rsid w:val="47510906"/>
    <w:rsid w:val="495D70F7"/>
    <w:rsid w:val="4B7D5F80"/>
    <w:rsid w:val="4BF40741"/>
    <w:rsid w:val="4C5E019B"/>
    <w:rsid w:val="4F64249F"/>
    <w:rsid w:val="4F6E1200"/>
    <w:rsid w:val="4FEE189E"/>
    <w:rsid w:val="53541084"/>
    <w:rsid w:val="53F038EA"/>
    <w:rsid w:val="541A2351"/>
    <w:rsid w:val="56505B5A"/>
    <w:rsid w:val="59BA69E3"/>
    <w:rsid w:val="5A661DF4"/>
    <w:rsid w:val="5ACF0178"/>
    <w:rsid w:val="5AD64453"/>
    <w:rsid w:val="5C3E17F9"/>
    <w:rsid w:val="5C6F2A76"/>
    <w:rsid w:val="5C9F7DAE"/>
    <w:rsid w:val="5D3A6920"/>
    <w:rsid w:val="5D8135CC"/>
    <w:rsid w:val="5E0C3DF6"/>
    <w:rsid w:val="5F126292"/>
    <w:rsid w:val="600446EC"/>
    <w:rsid w:val="600D2EE6"/>
    <w:rsid w:val="620C3D04"/>
    <w:rsid w:val="621760F6"/>
    <w:rsid w:val="62246B60"/>
    <w:rsid w:val="625A6860"/>
    <w:rsid w:val="632E523D"/>
    <w:rsid w:val="644F1ACD"/>
    <w:rsid w:val="655F4B80"/>
    <w:rsid w:val="666E73CA"/>
    <w:rsid w:val="67D93890"/>
    <w:rsid w:val="67FF1998"/>
    <w:rsid w:val="680D1D99"/>
    <w:rsid w:val="69431270"/>
    <w:rsid w:val="6A7F4F75"/>
    <w:rsid w:val="6ACA16F9"/>
    <w:rsid w:val="6B16774A"/>
    <w:rsid w:val="6B2F4A5B"/>
    <w:rsid w:val="6C3D6720"/>
    <w:rsid w:val="6ECE2681"/>
    <w:rsid w:val="6FD53DEF"/>
    <w:rsid w:val="72340F9C"/>
    <w:rsid w:val="7243295B"/>
    <w:rsid w:val="774152C9"/>
    <w:rsid w:val="79084CF4"/>
    <w:rsid w:val="793070F8"/>
    <w:rsid w:val="79D825C1"/>
    <w:rsid w:val="7B5D131E"/>
    <w:rsid w:val="7C4107DE"/>
    <w:rsid w:val="7D1B4B63"/>
    <w:rsid w:val="7DB41B16"/>
    <w:rsid w:val="7DEB79E2"/>
    <w:rsid w:val="7DFC5027"/>
    <w:rsid w:val="7E002D54"/>
    <w:rsid w:val="7E307212"/>
    <w:rsid w:val="7EFC0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26399</Words>
  <Characters>27830</Characters>
  <Lines>1</Lines>
  <Paragraphs>1</Paragraphs>
  <TotalTime>6</TotalTime>
  <ScaleCrop>false</ScaleCrop>
  <LinksUpToDate>false</LinksUpToDate>
  <CharactersWithSpaces>28956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dcterms:modified xsi:type="dcterms:W3CDTF">2023-07-18T10:00:25Z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