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精准育人系统开发</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w:t>
      </w:r>
      <w:bookmarkStart w:id="0" w:name="_Hlk118028247"/>
      <w:r>
        <w:rPr>
          <w:rFonts w:hint="eastAsia" w:ascii="楷体" w:hAnsi="楷体" w:eastAsia="楷体" w:cs="楷体"/>
          <w:b/>
          <w:bCs/>
          <w:color w:val="auto"/>
          <w:sz w:val="30"/>
          <w:szCs w:val="30"/>
          <w:highlight w:val="none"/>
        </w:rPr>
        <w:t>精准育人系统开发</w:t>
      </w:r>
      <w:bookmarkEnd w:id="0"/>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项目编号：QSZB-Z(F)-B22442(CS)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[2022]72211号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精准育人系统开发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2022年</w:t>
      </w:r>
      <w:r>
        <w:rPr>
          <w:rFonts w:hint="eastAsia"/>
          <w:b/>
          <w:color w:val="auto"/>
          <w:sz w:val="21"/>
          <w:szCs w:val="21"/>
          <w:highlight w:val="none"/>
          <w:u w:val="single"/>
          <w:lang w:eastAsia="zh-CN"/>
        </w:rPr>
        <w:t>11月21日13:30:00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1" w:name="_Toc35393790"/>
      <w:bookmarkStart w:id="2" w:name="_Toc28359079"/>
      <w:bookmarkStart w:id="3" w:name="_Toc28359002"/>
      <w:bookmarkStart w:id="4" w:name="_Toc35393621"/>
      <w:bookmarkStart w:id="5" w:name="_Hlk24379207"/>
      <w:r>
        <w:rPr>
          <w:rFonts w:hint="eastAsia"/>
          <w:b/>
          <w:color w:val="auto"/>
          <w:sz w:val="21"/>
          <w:szCs w:val="21"/>
          <w:highlight w:val="none"/>
        </w:rPr>
        <w:t>一、项目基本情况</w:t>
      </w:r>
      <w:bookmarkEnd w:id="1"/>
      <w:bookmarkEnd w:id="2"/>
      <w:bookmarkEnd w:id="3"/>
      <w:bookmarkEnd w:id="4"/>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rPr>
        <w:t>QSZB-Z(F)-B22442(CS)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项目名称：精准育人系统开发</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5"/>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预算金额（元）：500000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最高限价（元）：500000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合同履约期限：自</w:t>
      </w:r>
      <w:r>
        <w:rPr>
          <w:rFonts w:hint="eastAsia"/>
          <w:color w:val="auto"/>
          <w:spacing w:val="-6"/>
          <w:sz w:val="21"/>
          <w:szCs w:val="21"/>
          <w:highlight w:val="none"/>
        </w:rPr>
        <w:t>合同签订之日起60日内交付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2"/>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522"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830"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522"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精准育人系统开发</w:t>
            </w:r>
          </w:p>
        </w:tc>
        <w:tc>
          <w:tcPr>
            <w:tcW w:w="830"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830"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项</w:t>
            </w:r>
          </w:p>
        </w:tc>
        <w:tc>
          <w:tcPr>
            <w:tcW w:w="3655"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详见第二章 采购需求</w:t>
            </w:r>
          </w:p>
        </w:tc>
      </w:tr>
    </w:tbl>
    <w:p>
      <w:pPr>
        <w:adjustRightInd w:val="0"/>
        <w:snapToGrid w:val="0"/>
        <w:spacing w:line="288" w:lineRule="auto"/>
        <w:rPr>
          <w:b/>
          <w:color w:val="auto"/>
          <w:sz w:val="21"/>
          <w:szCs w:val="21"/>
          <w:highlight w:val="none"/>
        </w:rPr>
      </w:pPr>
      <w:bookmarkStart w:id="6" w:name="_Toc35393622"/>
      <w:bookmarkStart w:id="7" w:name="_Toc35393791"/>
      <w:bookmarkStart w:id="8" w:name="_Toc28359080"/>
      <w:bookmarkStart w:id="9" w:name="_Toc28359003"/>
      <w:r>
        <w:rPr>
          <w:rFonts w:hint="eastAsia"/>
          <w:b/>
          <w:color w:val="auto"/>
          <w:sz w:val="21"/>
          <w:szCs w:val="21"/>
          <w:highlight w:val="none"/>
        </w:rPr>
        <w:t>二、申请人的资格要求：</w:t>
      </w:r>
      <w:bookmarkEnd w:id="6"/>
      <w:bookmarkEnd w:id="7"/>
      <w:bookmarkEnd w:id="8"/>
      <w:bookmarkEnd w:id="9"/>
    </w:p>
    <w:p>
      <w:pPr>
        <w:adjustRightInd w:val="0"/>
        <w:snapToGrid w:val="0"/>
        <w:spacing w:line="288" w:lineRule="auto"/>
        <w:ind w:firstLine="420" w:firstLineChars="200"/>
        <w:jc w:val="left"/>
        <w:rPr>
          <w:color w:val="auto"/>
          <w:sz w:val="21"/>
          <w:szCs w:val="21"/>
          <w:highlight w:val="none"/>
        </w:rPr>
      </w:pPr>
      <w:bookmarkStart w:id="10" w:name="_Toc28359004"/>
      <w:bookmarkStart w:id="11"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整体专门面向中小企业采购。服务由中小企业承接，即提供服务的人员为中小企业依照《中华人民共和国劳动合同法》订立劳动合同的从业人员）。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2" w:name="_Toc35393792"/>
      <w:bookmarkStart w:id="13" w:name="_Toc35393623"/>
      <w:r>
        <w:rPr>
          <w:rFonts w:hint="eastAsia"/>
          <w:b/>
          <w:color w:val="auto"/>
          <w:sz w:val="21"/>
          <w:szCs w:val="21"/>
          <w:highlight w:val="none"/>
        </w:rPr>
        <w:t>三、获取（下载）采购文件</w:t>
      </w:r>
      <w:bookmarkEnd w:id="10"/>
      <w:bookmarkEnd w:id="11"/>
      <w:bookmarkEnd w:id="12"/>
      <w:bookmarkEnd w:id="13"/>
    </w:p>
    <w:p>
      <w:pPr>
        <w:adjustRightInd w:val="0"/>
        <w:snapToGrid w:val="0"/>
        <w:spacing w:line="288" w:lineRule="auto"/>
        <w:ind w:firstLine="420" w:firstLineChars="200"/>
        <w:rPr>
          <w:color w:val="auto"/>
          <w:sz w:val="21"/>
          <w:szCs w:val="21"/>
          <w:highlight w:val="none"/>
        </w:rPr>
      </w:pPr>
      <w:bookmarkStart w:id="14" w:name="_Toc28359005"/>
      <w:bookmarkStart w:id="15" w:name="_Toc35393624"/>
      <w:bookmarkStart w:id="16" w:name="_Toc28359082"/>
      <w:bookmarkStart w:id="17" w:name="_Toc35393793"/>
      <w:r>
        <w:rPr>
          <w:rFonts w:hint="eastAsia"/>
          <w:color w:val="auto"/>
          <w:sz w:val="21"/>
          <w:szCs w:val="21"/>
          <w:highlight w:val="none"/>
        </w:rPr>
        <w:t>时间：2022年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1</w:t>
      </w:r>
      <w:r>
        <w:rPr>
          <w:rFonts w:hint="eastAsia"/>
          <w:color w:val="auto"/>
          <w:sz w:val="21"/>
          <w:szCs w:val="21"/>
          <w:highlight w:val="none"/>
        </w:rPr>
        <w:t>日至2022年</w:t>
      </w:r>
      <w:r>
        <w:rPr>
          <w:rFonts w:hint="eastAsia"/>
          <w:color w:val="auto"/>
          <w:sz w:val="21"/>
          <w:szCs w:val="21"/>
          <w:highlight w:val="none"/>
          <w:lang w:eastAsia="zh-CN"/>
        </w:rPr>
        <w:t>11月21日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4"/>
      <w:bookmarkEnd w:id="15"/>
      <w:bookmarkEnd w:id="16"/>
      <w:bookmarkEnd w:id="17"/>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截止时间：2022年</w:t>
      </w:r>
      <w:r>
        <w:rPr>
          <w:rFonts w:hint="eastAsia"/>
          <w:bCs/>
          <w:color w:val="auto"/>
          <w:sz w:val="21"/>
          <w:szCs w:val="21"/>
          <w:highlight w:val="none"/>
          <w:lang w:eastAsia="zh-CN"/>
        </w:rPr>
        <w:t>11月21日13:30:00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8" w:name="_Toc28359007"/>
      <w:bookmarkStart w:id="19" w:name="_Toc35393625"/>
      <w:bookmarkStart w:id="20" w:name="_Toc35393794"/>
      <w:bookmarkStart w:id="21"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开启时间：2022年</w:t>
      </w:r>
      <w:r>
        <w:rPr>
          <w:rFonts w:hint="eastAsia"/>
          <w:bCs/>
          <w:color w:val="auto"/>
          <w:sz w:val="21"/>
          <w:szCs w:val="21"/>
          <w:highlight w:val="none"/>
          <w:lang w:eastAsia="zh-CN"/>
        </w:rPr>
        <w:t>11月21日13:30:00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4</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8"/>
      <w:bookmarkEnd w:id="19"/>
      <w:bookmarkEnd w:id="20"/>
      <w:bookmarkEnd w:id="21"/>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2" w:name="_Toc35393626"/>
      <w:bookmarkStart w:id="23" w:name="_Toc35393795"/>
      <w:r>
        <w:rPr>
          <w:rFonts w:hint="eastAsia"/>
          <w:b/>
          <w:color w:val="auto"/>
          <w:sz w:val="21"/>
          <w:szCs w:val="21"/>
          <w:highlight w:val="none"/>
        </w:rPr>
        <w:t>七、其他补充事宜</w:t>
      </w:r>
      <w:bookmarkEnd w:id="22"/>
      <w:bookmarkEnd w:id="23"/>
    </w:p>
    <w:p>
      <w:pPr>
        <w:adjustRightInd w:val="0"/>
        <w:snapToGrid w:val="0"/>
        <w:spacing w:line="288" w:lineRule="auto"/>
        <w:ind w:firstLine="420" w:firstLineChars="200"/>
        <w:rPr>
          <w:rFonts w:cs="Times New Roman"/>
          <w:color w:val="auto"/>
          <w:sz w:val="21"/>
          <w:szCs w:val="21"/>
          <w:highlight w:val="none"/>
        </w:rPr>
      </w:pPr>
      <w:bookmarkStart w:id="24" w:name="_Toc35393627"/>
      <w:bookmarkStart w:id="25" w:name="_Toc28359008"/>
      <w:bookmarkStart w:id="26" w:name="_Toc28359085"/>
      <w:bookmarkStart w:id="27" w:name="_Toc35393796"/>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项目联系人（询问）：黄老师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项目联系方式（询问）：0571-87713562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质疑联系人：蒋敏芝</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联系人：齐鲁、吴聪瑜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监督投诉电话：0571-87057612</w:t>
      </w:r>
      <w:r>
        <w:rPr>
          <w:color w:val="auto"/>
          <w:sz w:val="21"/>
          <w:szCs w:val="21"/>
          <w:highlight w:val="none"/>
        </w:rPr>
        <w:t>、87058489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bookmarkStart w:id="29" w:name="_Hlk45005599"/>
            <w:r>
              <w:rPr>
                <w:rFonts w:hint="eastAsia"/>
                <w:b/>
                <w:bCs/>
                <w:color w:val="auto"/>
                <w:sz w:val="21"/>
                <w:szCs w:val="21"/>
                <w:highlight w:val="none"/>
              </w:rPr>
              <w:t>序号</w:t>
            </w:r>
          </w:p>
        </w:tc>
        <w:tc>
          <w:tcPr>
            <w:tcW w:w="3302"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608"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302"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608"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w:t>
            </w:r>
            <w:r>
              <w:rPr>
                <w:rFonts w:cs="Times New Roman"/>
                <w:b/>
                <w:bCs/>
                <w:color w:val="auto"/>
                <w:sz w:val="21"/>
                <w:szCs w:val="21"/>
                <w:highlight w:val="none"/>
              </w:rPr>
              <w:t>服务</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采购标的对应的中小企业划分标准所属行业：软件和信息技术服务业</w:t>
            </w:r>
          </w:p>
          <w:p>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2"/>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2.提交方式：支票、汇票、本票或金融机构、担保机构出具的保函等非现金形式或银行转账。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1.合同生效以及具备实施条件后7个工作日内，且供应商已向采购人提交银行、保险公司等金融机构出具的预付款保函的，采购人向供应商支付合同总价的40%；系统所有功能上线，并通过采购人验收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2.在签订合同时，供应商明确表示无需预付款或者主动要求降低预付款比例的，可降低预付款比例（预付款保函同步调整）。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3.供应商明确表示无需预付款时，付款方式按以下要求执行：项目整体设计方案经采购人审核通过后，采购人支付合同总价的40%，系统所有功能上线，并通过采购人验收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注：供应商需提供增值税发票，开票信息如下：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开户银行：工行高新支行</w:t>
            </w:r>
          </w:p>
          <w:p>
            <w:pPr>
              <w:rPr>
                <w:color w:val="auto"/>
                <w:spacing w:val="-6"/>
                <w:kern w:val="0"/>
                <w:sz w:val="21"/>
                <w:szCs w:val="21"/>
                <w:highlight w:val="none"/>
              </w:rPr>
            </w:pPr>
            <w:r>
              <w:rPr>
                <w:rFonts w:hint="eastAsia"/>
                <w:color w:val="auto"/>
                <w:spacing w:val="-6"/>
                <w:kern w:val="0"/>
                <w:sz w:val="21"/>
                <w:szCs w:val="21"/>
                <w:highlight w:val="none"/>
                <w:lang w:bidi="ar"/>
              </w:rPr>
              <w:t>银行账号：1202026209008806216</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2"/>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自合同签订之日起60日内交付。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年，项目验收合格后开始计算。质保期满后的维保费用由甲乙双方协商确定。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.在质保期内，供应商应对系统出现的质量及安全问题负责处理解决并承担一切费用。</w:t>
            </w:r>
          </w:p>
          <w:p>
            <w:pPr>
              <w:adjustRightInd w:val="0"/>
              <w:snapToGrid w:val="0"/>
              <w:spacing w:line="288" w:lineRule="auto"/>
              <w:rPr>
                <w:color w:val="auto"/>
                <w:sz w:val="21"/>
                <w:szCs w:val="21"/>
                <w:highlight w:val="none"/>
                <w:u w:val="single"/>
              </w:rPr>
            </w:pPr>
            <w:r>
              <w:rPr>
                <w:rFonts w:hint="eastAsia"/>
                <w:color w:val="auto"/>
                <w:sz w:val="21"/>
                <w:szCs w:val="21"/>
                <w:highlight w:val="none"/>
              </w:rPr>
              <w:t>2.</w:t>
            </w:r>
            <w:bookmarkStart w:id="31" w:name="_Hlk118043119"/>
            <w:r>
              <w:rPr>
                <w:rFonts w:hint="eastAsia"/>
                <w:color w:val="auto"/>
                <w:sz w:val="21"/>
                <w:szCs w:val="21"/>
                <w:highlight w:val="none"/>
                <w:u w:val="single"/>
              </w:rPr>
              <w:t>如在使用过程中发生问题，供应商维修响应时间：1小时以内；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若需上门处理，则在：2小时内到达现场并进行处理；不超过8小时解决故障。</w:t>
            </w:r>
          </w:p>
          <w:bookmarkEnd w:id="31"/>
          <w:p>
            <w:pPr>
              <w:adjustRightInd w:val="0"/>
              <w:snapToGrid w:val="0"/>
              <w:spacing w:line="288" w:lineRule="auto"/>
              <w:rPr>
                <w:color w:val="auto"/>
                <w:sz w:val="21"/>
                <w:szCs w:val="21"/>
                <w:highlight w:val="none"/>
              </w:rPr>
            </w:pPr>
            <w:r>
              <w:rPr>
                <w:rFonts w:hint="eastAsia"/>
                <w:color w:val="auto"/>
                <w:sz w:val="21"/>
                <w:szCs w:val="21"/>
                <w:highlight w:val="none"/>
              </w:rPr>
              <w:t>3.在服务期内针对重大节日、特殊事件等，应按采购人要求提供相关支持和服务。</w:t>
            </w:r>
          </w:p>
          <w:p>
            <w:pPr>
              <w:adjustRightInd w:val="0"/>
              <w:snapToGrid w:val="0"/>
              <w:spacing w:line="288" w:lineRule="auto"/>
              <w:rPr>
                <w:color w:val="auto"/>
                <w:sz w:val="21"/>
                <w:szCs w:val="21"/>
                <w:highlight w:val="none"/>
              </w:rPr>
            </w:pPr>
            <w:r>
              <w:rPr>
                <w:rFonts w:hint="eastAsia"/>
                <w:color w:val="auto"/>
                <w:sz w:val="21"/>
                <w:szCs w:val="21"/>
                <w:highlight w:val="none"/>
              </w:rPr>
              <w:t>4.培训：</w:t>
            </w:r>
          </w:p>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2.2供应商提供的技术规格、经采购人认可的合同系统的有效检验文件；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2.3供应商响应文件中提供的经采购人认可的合同系统的验收标准（符合中国有关的国家、地方、行业标准）和检测办法及相应检测手段。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3.若发现任何质量问题，供应商负责妥善处理直至采购人满意，由此产生的费用由供应商承担。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4.1所供系统符合标准和合同的要求；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4.4所供系统已通过使用单位组织的验收；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spacing w:line="288" w:lineRule="auto"/>
        <w:ind w:firstLine="422" w:firstLineChars="200"/>
        <w:rPr>
          <w:b/>
          <w:bCs/>
          <w:color w:val="auto"/>
          <w:sz w:val="21"/>
          <w:szCs w:val="21"/>
          <w:highlight w:val="none"/>
        </w:rPr>
      </w:pPr>
      <w:r>
        <w:rPr>
          <w:b/>
          <w:bCs/>
          <w:color w:val="auto"/>
          <w:sz w:val="21"/>
          <w:szCs w:val="21"/>
          <w:highlight w:val="none"/>
        </w:rPr>
        <w:t>1</w:t>
      </w:r>
      <w:r>
        <w:rPr>
          <w:rFonts w:hint="eastAsia"/>
          <w:b/>
          <w:bCs/>
          <w:color w:val="auto"/>
          <w:sz w:val="21"/>
          <w:szCs w:val="21"/>
          <w:highlight w:val="none"/>
        </w:rPr>
        <w:t>.建设内容及要求：</w:t>
      </w:r>
    </w:p>
    <w:p>
      <w:pPr>
        <w:spacing w:line="288" w:lineRule="auto"/>
        <w:ind w:firstLine="422" w:firstLineChars="200"/>
        <w:rPr>
          <w:b/>
          <w:bCs/>
          <w:color w:val="auto"/>
          <w:sz w:val="21"/>
          <w:szCs w:val="21"/>
          <w:highlight w:val="none"/>
        </w:rPr>
      </w:pPr>
      <w:r>
        <w:rPr>
          <w:b/>
          <w:bCs/>
          <w:color w:val="auto"/>
          <w:sz w:val="21"/>
          <w:szCs w:val="21"/>
          <w:highlight w:val="none"/>
        </w:rPr>
        <w:t>1</w:t>
      </w:r>
      <w:r>
        <w:rPr>
          <w:rFonts w:hint="eastAsia"/>
          <w:b/>
          <w:bCs/>
          <w:color w:val="auto"/>
          <w:sz w:val="21"/>
          <w:szCs w:val="21"/>
          <w:highlight w:val="none"/>
        </w:rPr>
        <w:t>.1 开发内容清单：</w:t>
      </w:r>
    </w:p>
    <w:tbl>
      <w:tblPr>
        <w:tblStyle w:val="12"/>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01"/>
        <w:gridCol w:w="851"/>
        <w:gridCol w:w="1134"/>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vAlign w:val="center"/>
          </w:tcPr>
          <w:p>
            <w:pPr>
              <w:jc w:val="center"/>
              <w:rPr>
                <w:b/>
                <w:color w:val="auto"/>
                <w:sz w:val="21"/>
                <w:szCs w:val="21"/>
                <w:highlight w:val="none"/>
              </w:rPr>
            </w:pPr>
            <w:r>
              <w:rPr>
                <w:rFonts w:hint="eastAsia"/>
                <w:b/>
                <w:color w:val="auto"/>
                <w:sz w:val="21"/>
                <w:szCs w:val="21"/>
                <w:highlight w:val="none"/>
              </w:rPr>
              <w:t>序号</w:t>
            </w:r>
          </w:p>
        </w:tc>
        <w:tc>
          <w:tcPr>
            <w:tcW w:w="1701" w:type="dxa"/>
            <w:vAlign w:val="center"/>
          </w:tcPr>
          <w:p>
            <w:pPr>
              <w:jc w:val="center"/>
              <w:rPr>
                <w:b/>
                <w:color w:val="auto"/>
                <w:sz w:val="21"/>
                <w:szCs w:val="21"/>
                <w:highlight w:val="none"/>
              </w:rPr>
            </w:pPr>
            <w:r>
              <w:rPr>
                <w:rFonts w:hint="eastAsia"/>
                <w:b/>
                <w:color w:val="auto"/>
                <w:sz w:val="21"/>
                <w:szCs w:val="21"/>
                <w:highlight w:val="none"/>
              </w:rPr>
              <w:t>名称</w:t>
            </w:r>
          </w:p>
        </w:tc>
        <w:tc>
          <w:tcPr>
            <w:tcW w:w="851" w:type="dxa"/>
            <w:vAlign w:val="center"/>
          </w:tcPr>
          <w:p>
            <w:pPr>
              <w:jc w:val="center"/>
              <w:rPr>
                <w:b/>
                <w:color w:val="auto"/>
                <w:sz w:val="21"/>
                <w:szCs w:val="21"/>
                <w:highlight w:val="none"/>
              </w:rPr>
            </w:pPr>
            <w:r>
              <w:rPr>
                <w:rFonts w:hint="eastAsia"/>
                <w:b/>
                <w:color w:val="auto"/>
                <w:sz w:val="21"/>
                <w:szCs w:val="21"/>
                <w:highlight w:val="none"/>
              </w:rPr>
              <w:t>数量</w:t>
            </w:r>
          </w:p>
        </w:tc>
        <w:tc>
          <w:tcPr>
            <w:tcW w:w="1134" w:type="dxa"/>
            <w:vAlign w:val="center"/>
          </w:tcPr>
          <w:p>
            <w:pPr>
              <w:jc w:val="center"/>
              <w:rPr>
                <w:b/>
                <w:color w:val="auto"/>
                <w:sz w:val="21"/>
                <w:szCs w:val="21"/>
                <w:highlight w:val="none"/>
              </w:rPr>
            </w:pPr>
            <w:r>
              <w:rPr>
                <w:rFonts w:hint="eastAsia"/>
                <w:b/>
                <w:color w:val="auto"/>
                <w:sz w:val="21"/>
                <w:szCs w:val="21"/>
                <w:highlight w:val="none"/>
              </w:rPr>
              <w:t>单位</w:t>
            </w:r>
          </w:p>
        </w:tc>
        <w:tc>
          <w:tcPr>
            <w:tcW w:w="5103" w:type="dxa"/>
            <w:vAlign w:val="center"/>
          </w:tcPr>
          <w:p>
            <w:pPr>
              <w:jc w:val="center"/>
              <w:rPr>
                <w:b/>
                <w:color w:val="auto"/>
                <w:sz w:val="21"/>
                <w:szCs w:val="21"/>
                <w:highlight w:val="none"/>
              </w:rPr>
            </w:pPr>
            <w:r>
              <w:rPr>
                <w:rFonts w:hint="eastAsia"/>
                <w:b/>
                <w:color w:val="auto"/>
                <w:sz w:val="21"/>
                <w:szCs w:val="21"/>
                <w:highlight w:val="none"/>
              </w:rPr>
              <w:t>基本功能模块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vAlign w:val="center"/>
          </w:tcPr>
          <w:p>
            <w:pPr>
              <w:jc w:val="center"/>
              <w:rPr>
                <w:color w:val="auto"/>
                <w:sz w:val="21"/>
                <w:szCs w:val="21"/>
                <w:highlight w:val="none"/>
              </w:rPr>
            </w:pPr>
            <w:r>
              <w:rPr>
                <w:rFonts w:hint="eastAsia"/>
                <w:color w:val="auto"/>
                <w:sz w:val="21"/>
                <w:szCs w:val="21"/>
                <w:highlight w:val="none"/>
              </w:rPr>
              <w:t>1</w:t>
            </w:r>
          </w:p>
        </w:tc>
        <w:tc>
          <w:tcPr>
            <w:tcW w:w="1701" w:type="dxa"/>
            <w:vAlign w:val="center"/>
          </w:tcPr>
          <w:p>
            <w:pPr>
              <w:jc w:val="center"/>
              <w:rPr>
                <w:color w:val="auto"/>
                <w:sz w:val="21"/>
                <w:szCs w:val="21"/>
                <w:highlight w:val="none"/>
                <w:lang w:bidi="ar"/>
              </w:rPr>
            </w:pPr>
            <w:r>
              <w:rPr>
                <w:rFonts w:hint="eastAsia"/>
                <w:color w:val="auto"/>
                <w:sz w:val="21"/>
                <w:szCs w:val="21"/>
                <w:highlight w:val="none"/>
                <w:lang w:bidi="ar"/>
              </w:rPr>
              <w:t>我爱数理化</w:t>
            </w:r>
          </w:p>
        </w:tc>
        <w:tc>
          <w:tcPr>
            <w:tcW w:w="851" w:type="dxa"/>
            <w:vAlign w:val="center"/>
          </w:tcPr>
          <w:p>
            <w:pPr>
              <w:jc w:val="center"/>
              <w:rPr>
                <w:color w:val="auto"/>
                <w:sz w:val="21"/>
                <w:szCs w:val="21"/>
                <w:highlight w:val="none"/>
              </w:rPr>
            </w:pPr>
            <w:r>
              <w:rPr>
                <w:rFonts w:hint="eastAsia"/>
                <w:color w:val="auto"/>
                <w:sz w:val="21"/>
                <w:szCs w:val="21"/>
                <w:highlight w:val="none"/>
              </w:rPr>
              <w:t>1</w:t>
            </w:r>
          </w:p>
        </w:tc>
        <w:tc>
          <w:tcPr>
            <w:tcW w:w="1134" w:type="dxa"/>
            <w:vAlign w:val="center"/>
          </w:tcPr>
          <w:p>
            <w:pPr>
              <w:jc w:val="center"/>
              <w:rPr>
                <w:color w:val="auto"/>
                <w:sz w:val="21"/>
                <w:szCs w:val="21"/>
                <w:highlight w:val="none"/>
              </w:rPr>
            </w:pPr>
            <w:r>
              <w:rPr>
                <w:rFonts w:hint="eastAsia"/>
                <w:color w:val="auto"/>
                <w:sz w:val="21"/>
                <w:szCs w:val="21"/>
                <w:highlight w:val="none"/>
              </w:rPr>
              <w:t>项</w:t>
            </w:r>
          </w:p>
        </w:tc>
        <w:tc>
          <w:tcPr>
            <w:tcW w:w="5103" w:type="dxa"/>
            <w:vAlign w:val="center"/>
          </w:tcPr>
          <w:p>
            <w:pPr>
              <w:jc w:val="center"/>
              <w:rPr>
                <w:color w:val="auto"/>
                <w:sz w:val="21"/>
                <w:szCs w:val="21"/>
                <w:highlight w:val="none"/>
              </w:rPr>
            </w:pPr>
            <w:r>
              <w:rPr>
                <w:rFonts w:hint="eastAsia"/>
                <w:color w:val="auto"/>
                <w:sz w:val="21"/>
                <w:szCs w:val="21"/>
                <w:highlight w:val="none"/>
                <w:lang w:bidi="ar"/>
              </w:rPr>
              <w:t>功能模块需求说明详见2.1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vAlign w:val="center"/>
          </w:tcPr>
          <w:p>
            <w:pPr>
              <w:jc w:val="center"/>
              <w:rPr>
                <w:color w:val="auto"/>
                <w:sz w:val="21"/>
                <w:szCs w:val="21"/>
                <w:highlight w:val="none"/>
              </w:rPr>
            </w:pPr>
            <w:r>
              <w:rPr>
                <w:rFonts w:hint="eastAsia"/>
                <w:color w:val="auto"/>
                <w:sz w:val="21"/>
                <w:szCs w:val="21"/>
                <w:highlight w:val="none"/>
              </w:rPr>
              <w:t>2</w:t>
            </w:r>
          </w:p>
        </w:tc>
        <w:tc>
          <w:tcPr>
            <w:tcW w:w="1701" w:type="dxa"/>
            <w:vAlign w:val="center"/>
          </w:tcPr>
          <w:p>
            <w:pPr>
              <w:jc w:val="center"/>
              <w:rPr>
                <w:color w:val="auto"/>
                <w:sz w:val="21"/>
                <w:szCs w:val="21"/>
                <w:highlight w:val="none"/>
                <w:lang w:bidi="ar"/>
              </w:rPr>
            </w:pPr>
            <w:r>
              <w:rPr>
                <w:rFonts w:hint="eastAsia"/>
                <w:color w:val="auto"/>
                <w:sz w:val="21"/>
                <w:szCs w:val="21"/>
                <w:highlight w:val="none"/>
                <w:lang w:bidi="ar"/>
              </w:rPr>
              <w:t>成长指数</w:t>
            </w:r>
          </w:p>
        </w:tc>
        <w:tc>
          <w:tcPr>
            <w:tcW w:w="851" w:type="dxa"/>
            <w:vAlign w:val="center"/>
          </w:tcPr>
          <w:p>
            <w:pPr>
              <w:jc w:val="center"/>
              <w:rPr>
                <w:color w:val="auto"/>
                <w:sz w:val="21"/>
                <w:szCs w:val="21"/>
                <w:highlight w:val="none"/>
              </w:rPr>
            </w:pPr>
            <w:r>
              <w:rPr>
                <w:rFonts w:hint="eastAsia"/>
                <w:color w:val="auto"/>
                <w:sz w:val="21"/>
                <w:szCs w:val="21"/>
                <w:highlight w:val="none"/>
              </w:rPr>
              <w:t>1</w:t>
            </w:r>
          </w:p>
        </w:tc>
        <w:tc>
          <w:tcPr>
            <w:tcW w:w="1134" w:type="dxa"/>
            <w:vAlign w:val="center"/>
          </w:tcPr>
          <w:p>
            <w:pPr>
              <w:jc w:val="center"/>
              <w:rPr>
                <w:color w:val="auto"/>
                <w:sz w:val="21"/>
                <w:szCs w:val="21"/>
                <w:highlight w:val="none"/>
              </w:rPr>
            </w:pPr>
            <w:r>
              <w:rPr>
                <w:rFonts w:hint="eastAsia"/>
                <w:color w:val="auto"/>
                <w:sz w:val="21"/>
                <w:szCs w:val="21"/>
                <w:highlight w:val="none"/>
              </w:rPr>
              <w:t>项</w:t>
            </w:r>
          </w:p>
        </w:tc>
        <w:tc>
          <w:tcPr>
            <w:tcW w:w="5103" w:type="dxa"/>
            <w:vAlign w:val="center"/>
          </w:tcPr>
          <w:p>
            <w:pPr>
              <w:jc w:val="center"/>
              <w:rPr>
                <w:color w:val="auto"/>
                <w:sz w:val="21"/>
                <w:szCs w:val="21"/>
                <w:highlight w:val="none"/>
                <w:lang w:bidi="ar"/>
              </w:rPr>
            </w:pPr>
            <w:r>
              <w:rPr>
                <w:rFonts w:hint="eastAsia"/>
                <w:color w:val="auto"/>
                <w:sz w:val="21"/>
                <w:szCs w:val="21"/>
                <w:highlight w:val="none"/>
                <w:lang w:bidi="ar"/>
              </w:rPr>
              <w:t>功能模块需求说明详见2.2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09" w:type="dxa"/>
            <w:vAlign w:val="center"/>
          </w:tcPr>
          <w:p>
            <w:pPr>
              <w:jc w:val="center"/>
              <w:rPr>
                <w:color w:val="auto"/>
                <w:sz w:val="21"/>
                <w:szCs w:val="21"/>
                <w:highlight w:val="none"/>
              </w:rPr>
            </w:pPr>
            <w:r>
              <w:rPr>
                <w:rFonts w:hint="eastAsia"/>
                <w:color w:val="auto"/>
                <w:sz w:val="21"/>
                <w:szCs w:val="21"/>
                <w:highlight w:val="none"/>
              </w:rPr>
              <w:t>3</w:t>
            </w:r>
          </w:p>
        </w:tc>
        <w:tc>
          <w:tcPr>
            <w:tcW w:w="1701" w:type="dxa"/>
            <w:vAlign w:val="center"/>
          </w:tcPr>
          <w:p>
            <w:pPr>
              <w:jc w:val="center"/>
              <w:rPr>
                <w:color w:val="auto"/>
                <w:sz w:val="21"/>
                <w:szCs w:val="21"/>
                <w:highlight w:val="none"/>
                <w:lang w:bidi="ar"/>
              </w:rPr>
            </w:pPr>
            <w:r>
              <w:rPr>
                <w:rFonts w:hint="eastAsia"/>
                <w:color w:val="auto"/>
                <w:sz w:val="21"/>
                <w:szCs w:val="21"/>
                <w:highlight w:val="none"/>
                <w:lang w:bidi="ar"/>
              </w:rPr>
              <w:t>疫情防控</w:t>
            </w:r>
          </w:p>
        </w:tc>
        <w:tc>
          <w:tcPr>
            <w:tcW w:w="851" w:type="dxa"/>
            <w:vAlign w:val="center"/>
          </w:tcPr>
          <w:p>
            <w:pPr>
              <w:jc w:val="center"/>
              <w:rPr>
                <w:color w:val="auto"/>
                <w:sz w:val="21"/>
                <w:szCs w:val="21"/>
                <w:highlight w:val="none"/>
              </w:rPr>
            </w:pPr>
            <w:r>
              <w:rPr>
                <w:rFonts w:hint="eastAsia"/>
                <w:color w:val="auto"/>
                <w:sz w:val="21"/>
                <w:szCs w:val="21"/>
                <w:highlight w:val="none"/>
              </w:rPr>
              <w:t>1</w:t>
            </w:r>
          </w:p>
        </w:tc>
        <w:tc>
          <w:tcPr>
            <w:tcW w:w="1134" w:type="dxa"/>
            <w:vAlign w:val="center"/>
          </w:tcPr>
          <w:p>
            <w:pPr>
              <w:jc w:val="center"/>
              <w:rPr>
                <w:color w:val="auto"/>
                <w:sz w:val="21"/>
                <w:szCs w:val="21"/>
                <w:highlight w:val="none"/>
              </w:rPr>
            </w:pPr>
            <w:r>
              <w:rPr>
                <w:rFonts w:hint="eastAsia"/>
                <w:color w:val="auto"/>
                <w:sz w:val="21"/>
                <w:szCs w:val="21"/>
                <w:highlight w:val="none"/>
              </w:rPr>
              <w:t>项</w:t>
            </w:r>
          </w:p>
        </w:tc>
        <w:tc>
          <w:tcPr>
            <w:tcW w:w="5103" w:type="dxa"/>
            <w:vAlign w:val="center"/>
          </w:tcPr>
          <w:p>
            <w:pPr>
              <w:jc w:val="center"/>
              <w:rPr>
                <w:color w:val="auto"/>
                <w:sz w:val="21"/>
                <w:szCs w:val="21"/>
                <w:highlight w:val="none"/>
                <w:lang w:bidi="ar"/>
              </w:rPr>
            </w:pPr>
            <w:r>
              <w:rPr>
                <w:rFonts w:hint="eastAsia"/>
                <w:color w:val="auto"/>
                <w:sz w:val="21"/>
                <w:szCs w:val="21"/>
                <w:highlight w:val="none"/>
                <w:lang w:bidi="ar"/>
              </w:rPr>
              <w:t>功能模块需求说明详见2.3</w:t>
            </w:r>
          </w:p>
        </w:tc>
      </w:tr>
    </w:tbl>
    <w:p>
      <w:pPr>
        <w:spacing w:line="288" w:lineRule="auto"/>
        <w:ind w:firstLine="422" w:firstLineChars="200"/>
        <w:rPr>
          <w:b/>
          <w:color w:val="auto"/>
          <w:sz w:val="21"/>
          <w:szCs w:val="21"/>
          <w:highlight w:val="none"/>
        </w:rPr>
      </w:pPr>
      <w:r>
        <w:rPr>
          <w:rFonts w:hint="eastAsia"/>
          <w:b/>
          <w:color w:val="auto"/>
          <w:sz w:val="21"/>
          <w:szCs w:val="21"/>
          <w:highlight w:val="none"/>
        </w:rPr>
        <w:t>根据项目实际要求，包含二级等保认证费用。</w:t>
      </w:r>
    </w:p>
    <w:p>
      <w:pPr>
        <w:spacing w:line="288" w:lineRule="auto"/>
        <w:ind w:firstLine="422" w:firstLineChars="200"/>
        <w:rPr>
          <w:b/>
          <w:color w:val="auto"/>
          <w:sz w:val="21"/>
          <w:szCs w:val="21"/>
          <w:highlight w:val="none"/>
        </w:rPr>
      </w:pPr>
      <w:r>
        <w:rPr>
          <w:b/>
          <w:color w:val="auto"/>
          <w:sz w:val="21"/>
          <w:szCs w:val="21"/>
          <w:highlight w:val="none"/>
        </w:rPr>
        <w:t>2.</w:t>
      </w:r>
      <w:r>
        <w:rPr>
          <w:rFonts w:hint="eastAsia"/>
          <w:b/>
          <w:color w:val="auto"/>
          <w:sz w:val="21"/>
          <w:szCs w:val="21"/>
          <w:highlight w:val="none"/>
        </w:rPr>
        <w:t>总体功能需求：</w:t>
      </w:r>
    </w:p>
    <w:p>
      <w:pPr>
        <w:spacing w:line="288" w:lineRule="auto"/>
        <w:ind w:firstLine="422" w:firstLineChars="200"/>
        <w:jc w:val="left"/>
        <w:rPr>
          <w:b/>
          <w:bCs/>
          <w:color w:val="auto"/>
          <w:sz w:val="21"/>
          <w:szCs w:val="21"/>
          <w:highlight w:val="none"/>
        </w:rPr>
      </w:pPr>
      <w:bookmarkStart w:id="32" w:name="_Hlk118038678"/>
      <w:r>
        <w:rPr>
          <w:rFonts w:hint="eastAsia"/>
          <w:b/>
          <w:bCs/>
          <w:color w:val="auto"/>
          <w:sz w:val="21"/>
          <w:szCs w:val="21"/>
          <w:highlight w:val="none"/>
        </w:rPr>
        <w:t>2.</w:t>
      </w:r>
      <w:r>
        <w:rPr>
          <w:b/>
          <w:bCs/>
          <w:color w:val="auto"/>
          <w:sz w:val="21"/>
          <w:szCs w:val="21"/>
          <w:highlight w:val="none"/>
        </w:rPr>
        <w:t>1</w:t>
      </w:r>
      <w:r>
        <w:rPr>
          <w:rFonts w:hint="eastAsia"/>
          <w:b/>
          <w:bCs/>
          <w:color w:val="auto"/>
          <w:sz w:val="21"/>
          <w:szCs w:val="21"/>
          <w:highlight w:val="none"/>
        </w:rPr>
        <w:t xml:space="preserve"> 我爱数理化：</w:t>
      </w:r>
    </w:p>
    <w:p>
      <w:pPr>
        <w:spacing w:line="288" w:lineRule="auto"/>
        <w:ind w:firstLine="420" w:firstLineChars="200"/>
        <w:jc w:val="left"/>
        <w:rPr>
          <w:color w:val="auto"/>
          <w:sz w:val="21"/>
          <w:szCs w:val="21"/>
          <w:highlight w:val="none"/>
        </w:rPr>
      </w:pPr>
      <w:r>
        <w:rPr>
          <w:rFonts w:hint="eastAsia"/>
          <w:color w:val="auto"/>
          <w:sz w:val="21"/>
          <w:szCs w:val="21"/>
          <w:highlight w:val="none"/>
        </w:rPr>
        <w:t>我爱数理化分为五大模块，分别为：第一部分：随堂练习；第二部分：课后练习；第三部分：学业帮扶；第四部分：学业预警；第五部分：题库录入；第六部分：视频学习，第七部分：数据打通。</w:t>
      </w:r>
    </w:p>
    <w:p>
      <w:pPr>
        <w:spacing w:line="288" w:lineRule="auto"/>
        <w:ind w:firstLine="420" w:firstLineChars="200"/>
        <w:jc w:val="left"/>
        <w:rPr>
          <w:color w:val="auto"/>
          <w:sz w:val="21"/>
          <w:szCs w:val="21"/>
          <w:highlight w:val="none"/>
        </w:rPr>
      </w:pPr>
      <w:r>
        <w:rPr>
          <w:rFonts w:hint="eastAsia"/>
          <w:color w:val="auto"/>
          <w:sz w:val="21"/>
          <w:szCs w:val="21"/>
          <w:highlight w:val="none"/>
        </w:rPr>
        <w:t>（1）随堂练习：</w:t>
      </w:r>
    </w:p>
    <w:p>
      <w:pPr>
        <w:spacing w:line="288" w:lineRule="auto"/>
        <w:ind w:firstLine="420" w:firstLineChars="200"/>
        <w:jc w:val="left"/>
        <w:rPr>
          <w:color w:val="auto"/>
          <w:sz w:val="21"/>
          <w:szCs w:val="21"/>
          <w:highlight w:val="none"/>
        </w:rPr>
      </w:pPr>
      <w:r>
        <w:rPr>
          <w:rFonts w:hint="eastAsia"/>
          <w:color w:val="auto"/>
          <w:sz w:val="21"/>
          <w:szCs w:val="21"/>
          <w:highlight w:val="none"/>
        </w:rPr>
        <w:t>1）教师端：支持在课堂上随机发放不定数量的题目，供学生有限时间内在线答题，内容抽取题库中录入的题目；</w:t>
      </w:r>
    </w:p>
    <w:p>
      <w:pPr>
        <w:pStyle w:val="2"/>
        <w:spacing w:line="288" w:lineRule="auto"/>
        <w:ind w:firstLine="404" w:firstLineChars="200"/>
        <w:rPr>
          <w:color w:val="auto"/>
          <w:sz w:val="21"/>
          <w:szCs w:val="21"/>
          <w:highlight w:val="none"/>
        </w:rPr>
      </w:pPr>
      <w:r>
        <w:rPr>
          <w:rFonts w:hint="eastAsia"/>
          <w:color w:val="auto"/>
          <w:sz w:val="21"/>
          <w:szCs w:val="21"/>
          <w:highlight w:val="none"/>
        </w:rPr>
        <w:t>2）学生端：支持在手机端答题；</w:t>
      </w:r>
    </w:p>
    <w:p>
      <w:pPr>
        <w:pStyle w:val="2"/>
        <w:spacing w:line="288" w:lineRule="auto"/>
        <w:ind w:firstLine="404" w:firstLineChars="200"/>
        <w:rPr>
          <w:color w:val="auto"/>
          <w:sz w:val="21"/>
          <w:szCs w:val="21"/>
          <w:highlight w:val="none"/>
        </w:rPr>
      </w:pPr>
      <w:r>
        <w:rPr>
          <w:rFonts w:hint="eastAsia"/>
          <w:color w:val="auto"/>
          <w:sz w:val="21"/>
          <w:szCs w:val="21"/>
          <w:highlight w:val="none"/>
        </w:rPr>
        <w:t>3）统计：教师可查看学生的答题情况。</w:t>
      </w:r>
    </w:p>
    <w:p>
      <w:pPr>
        <w:spacing w:line="288" w:lineRule="auto"/>
        <w:ind w:firstLine="420" w:firstLineChars="200"/>
        <w:jc w:val="left"/>
        <w:rPr>
          <w:color w:val="auto"/>
          <w:sz w:val="21"/>
          <w:szCs w:val="21"/>
          <w:highlight w:val="none"/>
        </w:rPr>
      </w:pPr>
      <w:r>
        <w:rPr>
          <w:rFonts w:hint="eastAsia"/>
          <w:color w:val="auto"/>
          <w:sz w:val="21"/>
          <w:szCs w:val="21"/>
          <w:highlight w:val="none"/>
        </w:rPr>
        <w:t>（2）课后练习：支持在手机上刷题库，并获取积分，题库由题库录入工具中产生。可查看刷题进度以及得分。</w:t>
      </w:r>
    </w:p>
    <w:p>
      <w:pPr>
        <w:spacing w:line="288" w:lineRule="auto"/>
        <w:ind w:firstLine="420" w:firstLineChars="200"/>
        <w:jc w:val="left"/>
        <w:rPr>
          <w:color w:val="auto"/>
          <w:sz w:val="21"/>
          <w:szCs w:val="21"/>
          <w:highlight w:val="none"/>
        </w:rPr>
      </w:pPr>
      <w:r>
        <w:rPr>
          <w:rFonts w:hint="eastAsia"/>
          <w:color w:val="auto"/>
          <w:sz w:val="21"/>
          <w:szCs w:val="21"/>
          <w:highlight w:val="none"/>
        </w:rPr>
        <w:t>（3）学业帮扶：</w:t>
      </w:r>
    </w:p>
    <w:p>
      <w:pPr>
        <w:pStyle w:val="2"/>
        <w:spacing w:line="288" w:lineRule="auto"/>
        <w:ind w:firstLine="404" w:firstLineChars="200"/>
        <w:rPr>
          <w:color w:val="auto"/>
          <w:sz w:val="21"/>
          <w:szCs w:val="21"/>
          <w:highlight w:val="none"/>
        </w:rPr>
      </w:pPr>
      <w:r>
        <w:rPr>
          <w:rFonts w:hint="eastAsia"/>
          <w:color w:val="auto"/>
          <w:sz w:val="21"/>
          <w:szCs w:val="21"/>
          <w:highlight w:val="none"/>
        </w:rPr>
        <w:t>1）学生端：支持预约教师、学生学业帮扶；</w:t>
      </w:r>
    </w:p>
    <w:p>
      <w:pPr>
        <w:pStyle w:val="2"/>
        <w:spacing w:line="288" w:lineRule="auto"/>
        <w:ind w:firstLine="404" w:firstLineChars="200"/>
        <w:rPr>
          <w:color w:val="auto"/>
          <w:sz w:val="21"/>
          <w:szCs w:val="21"/>
          <w:highlight w:val="none"/>
        </w:rPr>
      </w:pPr>
      <w:r>
        <w:rPr>
          <w:rFonts w:hint="eastAsia"/>
          <w:color w:val="auto"/>
          <w:sz w:val="21"/>
          <w:szCs w:val="21"/>
          <w:highlight w:val="none"/>
        </w:rPr>
        <w:t>2）教师在平台中发布空闲时间，帮扶工作量支持量化统计。</w:t>
      </w:r>
    </w:p>
    <w:p>
      <w:pPr>
        <w:spacing w:line="288" w:lineRule="auto"/>
        <w:ind w:firstLine="420" w:firstLineChars="200"/>
        <w:jc w:val="left"/>
        <w:rPr>
          <w:color w:val="auto"/>
          <w:sz w:val="21"/>
          <w:szCs w:val="21"/>
          <w:highlight w:val="none"/>
        </w:rPr>
      </w:pPr>
      <w:r>
        <w:rPr>
          <w:rFonts w:hint="eastAsia"/>
          <w:color w:val="auto"/>
          <w:sz w:val="21"/>
          <w:szCs w:val="21"/>
          <w:highlight w:val="none"/>
        </w:rPr>
        <w:t>（4）学业预警：系统自动生成学业画像，展示数据大屏；支持向教师、辅导员推送课堂练习成绩较差的学生；辅导员谈心谈话并生成数据合入谈心谈话模块。</w:t>
      </w:r>
    </w:p>
    <w:p>
      <w:pPr>
        <w:spacing w:line="288" w:lineRule="auto"/>
        <w:ind w:firstLine="420" w:firstLineChars="200"/>
        <w:jc w:val="left"/>
        <w:rPr>
          <w:color w:val="auto"/>
          <w:sz w:val="21"/>
          <w:szCs w:val="21"/>
          <w:highlight w:val="none"/>
        </w:rPr>
      </w:pPr>
      <w:r>
        <w:rPr>
          <w:rFonts w:hint="eastAsia"/>
          <w:color w:val="auto"/>
          <w:sz w:val="21"/>
          <w:szCs w:val="21"/>
          <w:highlight w:val="none"/>
        </w:rPr>
        <w:t>（5）题库录入：支持题库录入，不限于数学公式、文本等录入，包括标题，标签，解析等模块。题目支持关联视频平台中教学视频。</w:t>
      </w:r>
    </w:p>
    <w:p>
      <w:pPr>
        <w:pStyle w:val="2"/>
        <w:spacing w:line="288" w:lineRule="auto"/>
        <w:ind w:firstLineChars="200"/>
        <w:rPr>
          <w:rFonts w:hAnsi="宋体" w:cs="宋体"/>
          <w:color w:val="auto"/>
          <w:spacing w:val="0"/>
          <w:kern w:val="2"/>
          <w:sz w:val="21"/>
          <w:szCs w:val="21"/>
          <w:highlight w:val="none"/>
        </w:rPr>
      </w:pPr>
      <w:r>
        <w:rPr>
          <w:rFonts w:hint="eastAsia" w:hAnsi="宋体" w:cs="宋体"/>
          <w:color w:val="auto"/>
          <w:spacing w:val="0"/>
          <w:kern w:val="2"/>
          <w:sz w:val="21"/>
          <w:szCs w:val="21"/>
          <w:highlight w:val="none"/>
        </w:rPr>
        <w:t>（6）视频学习：支持上传视频文件，学生可在线观看视频，并记录观看时长，有防作弊功能。</w:t>
      </w:r>
    </w:p>
    <w:p>
      <w:pPr>
        <w:pStyle w:val="2"/>
        <w:spacing w:line="288" w:lineRule="auto"/>
        <w:ind w:firstLine="404" w:firstLineChars="200"/>
        <w:rPr>
          <w:color w:val="auto"/>
          <w:sz w:val="21"/>
          <w:szCs w:val="21"/>
          <w:highlight w:val="none"/>
        </w:rPr>
      </w:pPr>
      <w:r>
        <w:rPr>
          <w:rFonts w:hint="eastAsia"/>
          <w:color w:val="auto"/>
          <w:sz w:val="21"/>
          <w:szCs w:val="21"/>
          <w:highlight w:val="none"/>
        </w:rPr>
        <w:t>（7）数据打通：学生产生的练习成绩，支持在上课啦平台导出以及和教务系统打通。</w:t>
      </w:r>
    </w:p>
    <w:p>
      <w:pPr>
        <w:spacing w:line="288" w:lineRule="auto"/>
        <w:ind w:firstLine="422" w:firstLineChars="200"/>
        <w:jc w:val="left"/>
        <w:rPr>
          <w:b/>
          <w:bCs/>
          <w:color w:val="auto"/>
          <w:sz w:val="21"/>
          <w:szCs w:val="21"/>
          <w:highlight w:val="none"/>
        </w:rPr>
      </w:pPr>
      <w:r>
        <w:rPr>
          <w:rFonts w:hint="eastAsia"/>
          <w:b/>
          <w:bCs/>
          <w:color w:val="auto"/>
          <w:sz w:val="21"/>
          <w:szCs w:val="21"/>
          <w:highlight w:val="none"/>
        </w:rPr>
        <w:t>2.</w:t>
      </w:r>
      <w:r>
        <w:rPr>
          <w:b/>
          <w:bCs/>
          <w:color w:val="auto"/>
          <w:sz w:val="21"/>
          <w:szCs w:val="21"/>
          <w:highlight w:val="none"/>
        </w:rPr>
        <w:t>2</w:t>
      </w:r>
      <w:r>
        <w:rPr>
          <w:rFonts w:hint="eastAsia"/>
          <w:b/>
          <w:bCs/>
          <w:color w:val="auto"/>
          <w:sz w:val="21"/>
          <w:szCs w:val="21"/>
          <w:highlight w:val="none"/>
        </w:rPr>
        <w:t xml:space="preserve"> 成长指数：</w:t>
      </w:r>
    </w:p>
    <w:p>
      <w:pPr>
        <w:spacing w:line="288" w:lineRule="auto"/>
        <w:ind w:firstLine="420" w:firstLineChars="200"/>
        <w:jc w:val="left"/>
        <w:rPr>
          <w:color w:val="auto"/>
          <w:sz w:val="21"/>
          <w:szCs w:val="21"/>
          <w:highlight w:val="none"/>
        </w:rPr>
      </w:pPr>
      <w:r>
        <w:rPr>
          <w:rFonts w:hint="eastAsia"/>
          <w:color w:val="auto"/>
          <w:sz w:val="21"/>
          <w:szCs w:val="21"/>
          <w:highlight w:val="none"/>
        </w:rPr>
        <w:t>成长指数分为三大模块，分别为：第一部分：奖学金评定；第二部分：学生数据管理；第三部分：学生档案画像。</w:t>
      </w:r>
    </w:p>
    <w:p>
      <w:pPr>
        <w:spacing w:line="288" w:lineRule="auto"/>
        <w:ind w:firstLine="420" w:firstLineChars="200"/>
        <w:jc w:val="left"/>
        <w:rPr>
          <w:color w:val="auto"/>
          <w:sz w:val="21"/>
          <w:szCs w:val="21"/>
          <w:highlight w:val="none"/>
        </w:rPr>
      </w:pPr>
      <w:r>
        <w:rPr>
          <w:rFonts w:hint="eastAsia"/>
          <w:color w:val="auto"/>
          <w:sz w:val="21"/>
          <w:szCs w:val="21"/>
          <w:highlight w:val="none"/>
        </w:rPr>
        <w:t>（1）奖学金评定：</w:t>
      </w:r>
    </w:p>
    <w:p>
      <w:pPr>
        <w:pStyle w:val="2"/>
        <w:spacing w:line="288" w:lineRule="auto"/>
        <w:ind w:firstLine="404" w:firstLineChars="200"/>
        <w:rPr>
          <w:color w:val="auto"/>
          <w:sz w:val="21"/>
          <w:szCs w:val="21"/>
          <w:highlight w:val="none"/>
        </w:rPr>
      </w:pPr>
      <w:r>
        <w:rPr>
          <w:rFonts w:hint="eastAsia"/>
          <w:color w:val="auto"/>
          <w:sz w:val="21"/>
          <w:szCs w:val="21"/>
          <w:highlight w:val="none"/>
        </w:rPr>
        <w:t>1）支持奖学金评定结果上传；</w:t>
      </w:r>
    </w:p>
    <w:p>
      <w:pPr>
        <w:pStyle w:val="2"/>
        <w:spacing w:line="288" w:lineRule="auto"/>
        <w:ind w:firstLine="404" w:firstLineChars="200"/>
        <w:rPr>
          <w:color w:val="auto"/>
          <w:sz w:val="21"/>
          <w:szCs w:val="21"/>
          <w:highlight w:val="none"/>
        </w:rPr>
      </w:pPr>
      <w:r>
        <w:rPr>
          <w:rFonts w:hint="eastAsia"/>
          <w:color w:val="auto"/>
          <w:sz w:val="21"/>
          <w:szCs w:val="21"/>
          <w:highlight w:val="none"/>
        </w:rPr>
        <w:t>（2）学生数据采集管理：</w:t>
      </w:r>
    </w:p>
    <w:p>
      <w:pPr>
        <w:pStyle w:val="2"/>
        <w:spacing w:line="288" w:lineRule="auto"/>
        <w:ind w:firstLine="404" w:firstLineChars="200"/>
        <w:rPr>
          <w:color w:val="auto"/>
          <w:sz w:val="21"/>
          <w:szCs w:val="21"/>
          <w:highlight w:val="none"/>
        </w:rPr>
      </w:pPr>
      <w:r>
        <w:rPr>
          <w:rFonts w:hint="eastAsia"/>
          <w:color w:val="auto"/>
          <w:sz w:val="21"/>
          <w:szCs w:val="21"/>
          <w:highlight w:val="none"/>
        </w:rPr>
        <w:t>1）支持学生上传每学期个人小结，学生可网上互评打分，辅导员和评议小组打分，根据规则自动统计学生互评分数；</w:t>
      </w:r>
    </w:p>
    <w:p>
      <w:pPr>
        <w:pStyle w:val="2"/>
        <w:spacing w:line="288" w:lineRule="auto"/>
        <w:ind w:firstLine="404" w:firstLineChars="200"/>
        <w:rPr>
          <w:color w:val="auto"/>
          <w:sz w:val="21"/>
          <w:szCs w:val="21"/>
          <w:highlight w:val="none"/>
        </w:rPr>
      </w:pPr>
      <w:r>
        <w:rPr>
          <w:rFonts w:hint="eastAsia"/>
          <w:color w:val="auto"/>
          <w:sz w:val="21"/>
          <w:szCs w:val="21"/>
          <w:highlight w:val="none"/>
        </w:rPr>
        <w:t>2）支持系统自动采集教务处学生GPA或加权平均分成绩、体育成绩等数据；</w:t>
      </w:r>
    </w:p>
    <w:p>
      <w:pPr>
        <w:pStyle w:val="2"/>
        <w:spacing w:line="288" w:lineRule="auto"/>
        <w:ind w:firstLine="404" w:firstLineChars="200"/>
        <w:rPr>
          <w:color w:val="auto"/>
          <w:sz w:val="21"/>
          <w:szCs w:val="21"/>
          <w:highlight w:val="none"/>
        </w:rPr>
      </w:pPr>
      <w:r>
        <w:rPr>
          <w:rFonts w:hint="eastAsia"/>
          <w:color w:val="auto"/>
          <w:sz w:val="21"/>
          <w:szCs w:val="21"/>
          <w:highlight w:val="none"/>
        </w:rPr>
        <w:t>3）支持校级管理员导入学生竞赛数据，数据能跟库中的学号、姓名，已有竞赛数据进行去重统计校验，确保数据高质量；</w:t>
      </w:r>
    </w:p>
    <w:p>
      <w:pPr>
        <w:pStyle w:val="2"/>
        <w:spacing w:line="288" w:lineRule="auto"/>
        <w:ind w:firstLine="404" w:firstLineChars="200"/>
        <w:rPr>
          <w:color w:val="auto"/>
          <w:sz w:val="21"/>
          <w:szCs w:val="21"/>
          <w:highlight w:val="none"/>
        </w:rPr>
      </w:pPr>
      <w:r>
        <w:rPr>
          <w:rFonts w:hint="eastAsia"/>
          <w:color w:val="auto"/>
          <w:sz w:val="21"/>
          <w:szCs w:val="21"/>
          <w:highlight w:val="none"/>
        </w:rPr>
        <w:t>4）支持学生上报奖学金综合测评支撑材料，辅导员审核并自动录入；</w:t>
      </w:r>
    </w:p>
    <w:p>
      <w:pPr>
        <w:pStyle w:val="2"/>
        <w:spacing w:line="288" w:lineRule="auto"/>
        <w:ind w:firstLine="404" w:firstLineChars="200"/>
        <w:rPr>
          <w:color w:val="auto"/>
          <w:sz w:val="21"/>
          <w:szCs w:val="21"/>
          <w:highlight w:val="none"/>
        </w:rPr>
      </w:pPr>
      <w:r>
        <w:rPr>
          <w:rFonts w:hint="eastAsia"/>
          <w:color w:val="auto"/>
          <w:sz w:val="21"/>
          <w:szCs w:val="21"/>
          <w:highlight w:val="none"/>
        </w:rPr>
        <w:t>5）支持对接或自动采集的其他学生评奖学金需要的数据。</w:t>
      </w:r>
    </w:p>
    <w:p>
      <w:pPr>
        <w:pStyle w:val="2"/>
        <w:spacing w:line="288" w:lineRule="auto"/>
        <w:ind w:firstLine="404" w:firstLineChars="200"/>
        <w:rPr>
          <w:color w:val="auto"/>
          <w:sz w:val="21"/>
          <w:szCs w:val="21"/>
          <w:highlight w:val="none"/>
        </w:rPr>
      </w:pPr>
      <w:r>
        <w:rPr>
          <w:color w:val="auto"/>
          <w:sz w:val="21"/>
          <w:szCs w:val="21"/>
          <w:highlight w:val="none"/>
        </w:rPr>
        <w:t>6</w:t>
      </w:r>
      <w:r>
        <w:rPr>
          <w:rFonts w:hint="eastAsia"/>
          <w:color w:val="auto"/>
          <w:sz w:val="21"/>
          <w:szCs w:val="21"/>
          <w:highlight w:val="none"/>
        </w:rPr>
        <w:t>）支持评定小组审核、奖学金公示功能。</w:t>
      </w:r>
    </w:p>
    <w:p>
      <w:pPr>
        <w:pStyle w:val="2"/>
        <w:spacing w:line="288" w:lineRule="auto"/>
        <w:ind w:firstLine="404" w:firstLineChars="200"/>
        <w:rPr>
          <w:color w:val="auto"/>
          <w:sz w:val="21"/>
          <w:szCs w:val="21"/>
          <w:highlight w:val="none"/>
        </w:rPr>
      </w:pPr>
      <w:r>
        <w:rPr>
          <w:rFonts w:hint="eastAsia"/>
          <w:color w:val="auto"/>
          <w:sz w:val="21"/>
          <w:szCs w:val="21"/>
          <w:highlight w:val="none"/>
        </w:rPr>
        <w:t>（3）学生档案画像：</w:t>
      </w:r>
    </w:p>
    <w:p>
      <w:pPr>
        <w:pStyle w:val="2"/>
        <w:spacing w:line="288" w:lineRule="auto"/>
        <w:ind w:firstLine="404" w:firstLineChars="200"/>
        <w:rPr>
          <w:color w:val="auto"/>
          <w:sz w:val="21"/>
          <w:szCs w:val="21"/>
          <w:highlight w:val="none"/>
        </w:rPr>
      </w:pPr>
      <w:r>
        <w:rPr>
          <w:rFonts w:hint="eastAsia"/>
          <w:color w:val="auto"/>
          <w:sz w:val="21"/>
          <w:szCs w:val="21"/>
          <w:highlight w:val="none"/>
        </w:rPr>
        <w:t>支持查看学生个人的基本信息等档案画像。</w:t>
      </w:r>
    </w:p>
    <w:p>
      <w:pPr>
        <w:spacing w:line="288" w:lineRule="auto"/>
        <w:ind w:firstLine="422" w:firstLineChars="200"/>
        <w:jc w:val="left"/>
        <w:rPr>
          <w:b/>
          <w:bCs/>
          <w:color w:val="auto"/>
          <w:sz w:val="21"/>
          <w:szCs w:val="21"/>
          <w:highlight w:val="none"/>
        </w:rPr>
      </w:pPr>
      <w:r>
        <w:rPr>
          <w:rFonts w:hint="eastAsia"/>
          <w:b/>
          <w:bCs/>
          <w:color w:val="auto"/>
          <w:sz w:val="21"/>
          <w:szCs w:val="21"/>
          <w:highlight w:val="none"/>
        </w:rPr>
        <w:t>2.</w:t>
      </w:r>
      <w:r>
        <w:rPr>
          <w:b/>
          <w:bCs/>
          <w:color w:val="auto"/>
          <w:sz w:val="21"/>
          <w:szCs w:val="21"/>
          <w:highlight w:val="none"/>
        </w:rPr>
        <w:t>3</w:t>
      </w:r>
      <w:r>
        <w:rPr>
          <w:rFonts w:hint="eastAsia"/>
          <w:b/>
          <w:bCs/>
          <w:color w:val="auto"/>
          <w:sz w:val="21"/>
          <w:szCs w:val="21"/>
          <w:highlight w:val="none"/>
        </w:rPr>
        <w:t xml:space="preserve"> 疫情防控：</w:t>
      </w:r>
    </w:p>
    <w:p>
      <w:pPr>
        <w:spacing w:line="288" w:lineRule="auto"/>
        <w:ind w:firstLine="420" w:firstLineChars="200"/>
        <w:jc w:val="left"/>
        <w:rPr>
          <w:color w:val="auto"/>
          <w:sz w:val="21"/>
          <w:szCs w:val="21"/>
          <w:highlight w:val="none"/>
        </w:rPr>
      </w:pPr>
      <w:r>
        <w:rPr>
          <w:rFonts w:hint="eastAsia"/>
          <w:color w:val="auto"/>
          <w:sz w:val="21"/>
          <w:szCs w:val="21"/>
          <w:highlight w:val="none"/>
        </w:rPr>
        <w:t>疫情防控分为四大模块，分别为：第一部分：校园通行码；第二部分：风险监控；第三部分：闸机联动；第四部分：数据看板；对接大屏数据，学生报到返校信息采集，新生报到数据库打通，疫情防控学生数据库管理。</w:t>
      </w:r>
    </w:p>
    <w:p>
      <w:pPr>
        <w:spacing w:line="288" w:lineRule="auto"/>
        <w:ind w:firstLine="420" w:firstLineChars="200"/>
        <w:jc w:val="left"/>
        <w:rPr>
          <w:color w:val="auto"/>
          <w:sz w:val="21"/>
          <w:szCs w:val="21"/>
          <w:highlight w:val="none"/>
        </w:rPr>
      </w:pPr>
      <w:r>
        <w:rPr>
          <w:rFonts w:hint="eastAsia"/>
          <w:color w:val="auto"/>
          <w:sz w:val="21"/>
          <w:szCs w:val="21"/>
          <w:highlight w:val="none"/>
        </w:rPr>
        <w:t>（1）校园通行码：</w:t>
      </w:r>
    </w:p>
    <w:p>
      <w:pPr>
        <w:pStyle w:val="2"/>
        <w:spacing w:line="288" w:lineRule="auto"/>
        <w:ind w:firstLine="404" w:firstLineChars="200"/>
        <w:rPr>
          <w:color w:val="auto"/>
          <w:sz w:val="21"/>
          <w:szCs w:val="21"/>
          <w:highlight w:val="none"/>
        </w:rPr>
      </w:pPr>
      <w:r>
        <w:rPr>
          <w:rFonts w:hint="eastAsia"/>
          <w:color w:val="auto"/>
          <w:sz w:val="21"/>
          <w:szCs w:val="21"/>
          <w:highlight w:val="none"/>
        </w:rPr>
        <w:t>结合学生杭州健康码情况、打卡情况、是否去过中高风险地区、疫苗接种情况、核酸检测情况、是否晚归未归、是否去过杭州市外等条件，判断学生的通行码状态是否符合入校要求；</w:t>
      </w:r>
    </w:p>
    <w:p>
      <w:pPr>
        <w:spacing w:line="288" w:lineRule="auto"/>
        <w:ind w:firstLine="420" w:firstLineChars="200"/>
        <w:jc w:val="left"/>
        <w:rPr>
          <w:color w:val="auto"/>
          <w:sz w:val="21"/>
          <w:szCs w:val="21"/>
          <w:highlight w:val="none"/>
        </w:rPr>
      </w:pPr>
      <w:r>
        <w:rPr>
          <w:rFonts w:hint="eastAsia"/>
          <w:color w:val="auto"/>
          <w:sz w:val="21"/>
          <w:szCs w:val="21"/>
          <w:highlight w:val="none"/>
        </w:rPr>
        <w:t>（2）风险监控：校园通行码异常的数据需要推送给学生本人、辅导员等管理人员。</w:t>
      </w:r>
    </w:p>
    <w:p>
      <w:pPr>
        <w:spacing w:line="288" w:lineRule="auto"/>
        <w:ind w:firstLine="420" w:firstLineChars="200"/>
        <w:jc w:val="left"/>
        <w:rPr>
          <w:color w:val="auto"/>
          <w:sz w:val="21"/>
          <w:szCs w:val="21"/>
          <w:highlight w:val="none"/>
        </w:rPr>
      </w:pPr>
      <w:r>
        <w:rPr>
          <w:rFonts w:hint="eastAsia"/>
          <w:color w:val="auto"/>
          <w:sz w:val="21"/>
          <w:szCs w:val="21"/>
          <w:highlight w:val="none"/>
        </w:rPr>
        <w:t>（3）闸机联动：支持与海康、宇视等人脸闸机对接，精准定位学生出入校情况，并与平台规则关联判定学生的通行码情况。</w:t>
      </w:r>
    </w:p>
    <w:p>
      <w:pPr>
        <w:pStyle w:val="2"/>
        <w:spacing w:line="288" w:lineRule="auto"/>
        <w:ind w:firstLine="404" w:firstLineChars="200"/>
        <w:rPr>
          <w:color w:val="auto"/>
          <w:sz w:val="21"/>
          <w:szCs w:val="21"/>
          <w:highlight w:val="none"/>
        </w:rPr>
      </w:pPr>
      <w:r>
        <w:rPr>
          <w:rFonts w:hint="eastAsia"/>
          <w:color w:val="auto"/>
          <w:sz w:val="21"/>
          <w:szCs w:val="21"/>
          <w:highlight w:val="none"/>
        </w:rPr>
        <w:t>（4）数据看板：</w:t>
      </w:r>
    </w:p>
    <w:p>
      <w:pPr>
        <w:pStyle w:val="2"/>
        <w:spacing w:line="288" w:lineRule="auto"/>
        <w:ind w:firstLine="404" w:firstLineChars="200"/>
        <w:rPr>
          <w:color w:val="auto"/>
          <w:sz w:val="21"/>
          <w:szCs w:val="21"/>
          <w:highlight w:val="none"/>
        </w:rPr>
      </w:pPr>
      <w:r>
        <w:rPr>
          <w:rFonts w:hint="eastAsia"/>
          <w:color w:val="auto"/>
          <w:sz w:val="21"/>
          <w:szCs w:val="21"/>
          <w:highlight w:val="none"/>
        </w:rPr>
        <w:t>1）支持查看数据驾驶舱，数据可下钻，包括学生报到情况、预计返校情况、通行码情况、健康码情况、中高风险情况、发热情况、请假情况、打卡情况数据；</w:t>
      </w:r>
    </w:p>
    <w:p>
      <w:pPr>
        <w:pStyle w:val="2"/>
        <w:spacing w:line="288" w:lineRule="auto"/>
        <w:ind w:firstLine="404" w:firstLineChars="200"/>
        <w:rPr>
          <w:color w:val="auto"/>
          <w:sz w:val="21"/>
          <w:szCs w:val="21"/>
          <w:highlight w:val="none"/>
        </w:rPr>
      </w:pPr>
      <w:r>
        <w:rPr>
          <w:rFonts w:hint="eastAsia"/>
          <w:color w:val="auto"/>
          <w:sz w:val="21"/>
          <w:szCs w:val="21"/>
          <w:highlight w:val="none"/>
        </w:rPr>
        <w:t>2）支持后台数据导出：学生健康码情况、打卡位置情况（精确到区）、是否中高风险地区、疫苗接种情况、学生在离校情况；</w:t>
      </w:r>
    </w:p>
    <w:p>
      <w:pPr>
        <w:pStyle w:val="2"/>
        <w:spacing w:line="288" w:lineRule="auto"/>
        <w:ind w:firstLine="404" w:firstLineChars="200"/>
        <w:rPr>
          <w:color w:val="auto"/>
          <w:sz w:val="21"/>
          <w:szCs w:val="21"/>
          <w:highlight w:val="none"/>
        </w:rPr>
      </w:pPr>
      <w:r>
        <w:rPr>
          <w:rFonts w:hint="eastAsia"/>
          <w:color w:val="auto"/>
          <w:sz w:val="21"/>
          <w:szCs w:val="21"/>
          <w:highlight w:val="none"/>
        </w:rPr>
        <w:t>3）支持数据与省平台需上报字段吻合，学生能够区分大陆、港台等不同类型学生的统计；</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4）教师端：支持查看自己分管学生通行码情况数据；副书记可查看全学院数据。</w:t>
      </w:r>
    </w:p>
    <w:bookmarkEnd w:id="32"/>
    <w:p>
      <w:pPr>
        <w:adjustRightInd w:val="0"/>
        <w:snapToGrid w:val="0"/>
        <w:spacing w:line="288" w:lineRule="auto"/>
        <w:ind w:firstLine="422" w:firstLineChars="200"/>
        <w:rPr>
          <w:b/>
          <w:bCs/>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3.演示：</w:t>
      </w:r>
    </w:p>
    <w:p>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▲3.1 供应商演示内容需为真人操作软件或DEMO系统录制的视频进行，以PPT、非真人操作软件或DEMO系统录制的视频、图片等视同未演示，响应无效。演示内容如下；</w:t>
      </w:r>
    </w:p>
    <w:p>
      <w:pPr>
        <w:spacing w:line="288" w:lineRule="auto"/>
        <w:ind w:firstLine="422" w:firstLineChars="200"/>
        <w:jc w:val="left"/>
        <w:rPr>
          <w:color w:val="auto"/>
          <w:highlight w:val="none"/>
        </w:rPr>
      </w:pPr>
      <w:r>
        <w:rPr>
          <w:rFonts w:hint="eastAsia"/>
          <w:b/>
          <w:bCs/>
          <w:color w:val="auto"/>
          <w:sz w:val="21"/>
          <w:szCs w:val="21"/>
          <w:highlight w:val="none"/>
        </w:rPr>
        <w:t>3</w:t>
      </w:r>
      <w:r>
        <w:rPr>
          <w:b/>
          <w:bCs/>
          <w:color w:val="auto"/>
          <w:sz w:val="21"/>
          <w:szCs w:val="21"/>
          <w:highlight w:val="none"/>
        </w:rPr>
        <w:t>.1.1</w:t>
      </w:r>
      <w:r>
        <w:rPr>
          <w:rFonts w:hint="eastAsia"/>
          <w:b/>
          <w:bCs/>
          <w:color w:val="auto"/>
          <w:sz w:val="21"/>
          <w:szCs w:val="21"/>
          <w:highlight w:val="none"/>
        </w:rPr>
        <w:t xml:space="preserve"> 我爱数理化</w:t>
      </w:r>
    </w:p>
    <w:p>
      <w:pPr>
        <w:spacing w:line="288" w:lineRule="auto"/>
        <w:ind w:firstLine="422" w:firstLineChars="200"/>
        <w:jc w:val="left"/>
        <w:rPr>
          <w:b/>
          <w:bCs/>
          <w:color w:val="auto"/>
          <w:sz w:val="21"/>
          <w:szCs w:val="21"/>
          <w:highlight w:val="none"/>
        </w:rPr>
      </w:pPr>
      <w:r>
        <w:rPr>
          <w:rFonts w:hint="eastAsia"/>
          <w:b/>
          <w:bCs/>
          <w:color w:val="auto"/>
          <w:sz w:val="21"/>
          <w:szCs w:val="21"/>
          <w:highlight w:val="none"/>
        </w:rPr>
        <w:t>（1）随堂练习：</w:t>
      </w:r>
    </w:p>
    <w:p>
      <w:pPr>
        <w:spacing w:line="288" w:lineRule="auto"/>
        <w:ind w:firstLine="404" w:firstLineChars="200"/>
        <w:rPr>
          <w:color w:val="auto"/>
          <w:sz w:val="21"/>
          <w:szCs w:val="21"/>
          <w:highlight w:val="none"/>
        </w:rPr>
      </w:pPr>
      <w:r>
        <w:rPr>
          <w:rFonts w:hint="eastAsia" w:hAnsi="Courier New" w:cs="Times New Roman"/>
          <w:color w:val="auto"/>
          <w:spacing w:val="-4"/>
          <w:sz w:val="21"/>
          <w:szCs w:val="21"/>
          <w:highlight w:val="none"/>
        </w:rPr>
        <w:t>1）教师端：</w:t>
      </w:r>
      <w:r>
        <w:rPr>
          <w:rFonts w:hint="eastAsia"/>
          <w:color w:val="auto"/>
          <w:sz w:val="21"/>
          <w:szCs w:val="21"/>
          <w:highlight w:val="none"/>
        </w:rPr>
        <w:t>支持在课堂上随机发放不定数量的题目，供学生有限时间内在线答题，内容抽取题库中录入的题目；</w:t>
      </w:r>
    </w:p>
    <w:p>
      <w:pPr>
        <w:spacing w:line="288" w:lineRule="auto"/>
        <w:ind w:firstLine="404" w:firstLineChars="200"/>
        <w:rPr>
          <w:rFonts w:hAnsi="Courier New" w:cs="Times New Roman"/>
          <w:color w:val="auto"/>
          <w:spacing w:val="-4"/>
          <w:sz w:val="21"/>
          <w:szCs w:val="21"/>
          <w:highlight w:val="none"/>
        </w:rPr>
      </w:pPr>
      <w:r>
        <w:rPr>
          <w:rFonts w:hint="eastAsia" w:hAnsi="Courier New" w:cs="Times New Roman"/>
          <w:color w:val="auto"/>
          <w:spacing w:val="-4"/>
          <w:sz w:val="21"/>
          <w:szCs w:val="21"/>
          <w:highlight w:val="none"/>
        </w:rPr>
        <w:t>2）学生端：支持在手机端答题；</w:t>
      </w:r>
    </w:p>
    <w:p>
      <w:pPr>
        <w:spacing w:line="288" w:lineRule="auto"/>
        <w:ind w:firstLine="404" w:firstLineChars="200"/>
        <w:rPr>
          <w:rFonts w:hAnsi="Courier New" w:cs="Times New Roman"/>
          <w:color w:val="auto"/>
          <w:spacing w:val="-4"/>
          <w:sz w:val="21"/>
          <w:szCs w:val="21"/>
          <w:highlight w:val="none"/>
        </w:rPr>
      </w:pPr>
      <w:r>
        <w:rPr>
          <w:rFonts w:hint="eastAsia" w:hAnsi="Courier New" w:cs="Times New Roman"/>
          <w:color w:val="auto"/>
          <w:spacing w:val="-4"/>
          <w:sz w:val="21"/>
          <w:szCs w:val="21"/>
          <w:highlight w:val="none"/>
        </w:rPr>
        <w:t>3）统计：教师可查看学生的答题情况。</w:t>
      </w:r>
    </w:p>
    <w:p>
      <w:pPr>
        <w:adjustRightInd w:val="0"/>
        <w:snapToGrid w:val="0"/>
        <w:spacing w:line="288" w:lineRule="auto"/>
        <w:ind w:firstLine="406" w:firstLineChars="200"/>
        <w:rPr>
          <w:color w:val="auto"/>
          <w:sz w:val="21"/>
          <w:szCs w:val="21"/>
          <w:highlight w:val="none"/>
        </w:rPr>
      </w:pPr>
      <w:r>
        <w:rPr>
          <w:rFonts w:hint="eastAsia" w:hAnsi="Courier New" w:cs="Times New Roman"/>
          <w:b/>
          <w:bCs/>
          <w:color w:val="auto"/>
          <w:spacing w:val="-4"/>
          <w:sz w:val="21"/>
          <w:szCs w:val="21"/>
          <w:highlight w:val="none"/>
        </w:rPr>
        <w:t>（2）题库录入：</w:t>
      </w:r>
      <w:r>
        <w:rPr>
          <w:rFonts w:hint="eastAsia"/>
          <w:color w:val="auto"/>
          <w:sz w:val="21"/>
          <w:szCs w:val="21"/>
          <w:highlight w:val="none"/>
        </w:rPr>
        <w:t>支持题库录入，不限于数学公式、文本等录入，包括标题，标签，解析等模块。题目支持关联视频平台中教学视频。</w:t>
      </w:r>
    </w:p>
    <w:p>
      <w:pPr>
        <w:spacing w:line="288" w:lineRule="auto"/>
        <w:ind w:firstLine="422" w:firstLineChars="200"/>
        <w:jc w:val="left"/>
        <w:rPr>
          <w:color w:val="auto"/>
          <w:highlight w:val="none"/>
        </w:rPr>
      </w:pPr>
      <w:r>
        <w:rPr>
          <w:rFonts w:hint="eastAsia"/>
          <w:b/>
          <w:bCs/>
          <w:color w:val="auto"/>
          <w:sz w:val="21"/>
          <w:szCs w:val="21"/>
          <w:highlight w:val="none"/>
        </w:rPr>
        <w:t>3</w:t>
      </w:r>
      <w:r>
        <w:rPr>
          <w:b/>
          <w:bCs/>
          <w:color w:val="auto"/>
          <w:sz w:val="21"/>
          <w:szCs w:val="21"/>
          <w:highlight w:val="none"/>
        </w:rPr>
        <w:t>.1.2</w:t>
      </w:r>
      <w:r>
        <w:rPr>
          <w:rFonts w:hint="eastAsia"/>
          <w:b/>
          <w:bCs/>
          <w:color w:val="auto"/>
          <w:sz w:val="21"/>
          <w:szCs w:val="21"/>
          <w:highlight w:val="none"/>
        </w:rPr>
        <w:t xml:space="preserve"> 成长指数</w:t>
      </w:r>
    </w:p>
    <w:p>
      <w:pPr>
        <w:spacing w:line="288" w:lineRule="auto"/>
        <w:ind w:firstLine="422" w:firstLineChars="200"/>
        <w:jc w:val="left"/>
        <w:rPr>
          <w:color w:val="auto"/>
          <w:sz w:val="21"/>
          <w:szCs w:val="21"/>
          <w:highlight w:val="none"/>
        </w:rPr>
      </w:pPr>
      <w:r>
        <w:rPr>
          <w:rFonts w:hint="eastAsia"/>
          <w:b/>
          <w:bCs/>
          <w:color w:val="auto"/>
          <w:sz w:val="21"/>
          <w:szCs w:val="21"/>
          <w:highlight w:val="none"/>
        </w:rPr>
        <w:t>（1）奖学金评定：</w:t>
      </w:r>
      <w:r>
        <w:rPr>
          <w:rFonts w:hint="eastAsia"/>
          <w:color w:val="auto"/>
          <w:sz w:val="21"/>
          <w:szCs w:val="21"/>
          <w:highlight w:val="none"/>
        </w:rPr>
        <w:t>支持奖学金评定结果上传；</w:t>
      </w:r>
    </w:p>
    <w:p>
      <w:pPr>
        <w:pStyle w:val="2"/>
        <w:spacing w:line="288" w:lineRule="auto"/>
        <w:ind w:firstLine="406" w:firstLineChars="200"/>
        <w:rPr>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）学生档案画像：</w:t>
      </w:r>
      <w:r>
        <w:rPr>
          <w:rFonts w:hint="eastAsia"/>
          <w:color w:val="auto"/>
          <w:sz w:val="21"/>
          <w:szCs w:val="21"/>
          <w:highlight w:val="none"/>
        </w:rPr>
        <w:t>支持查看学生个人的基本信息等档案画像。</w:t>
      </w:r>
    </w:p>
    <w:p>
      <w:pPr>
        <w:adjustRightInd w:val="0"/>
        <w:snapToGrid w:val="0"/>
        <w:spacing w:line="288" w:lineRule="auto"/>
        <w:ind w:firstLine="406" w:firstLineChars="200"/>
        <w:rPr>
          <w:rFonts w:hAnsi="Courier New" w:cs="Times New Roman"/>
          <w:b/>
          <w:bCs/>
          <w:color w:val="auto"/>
          <w:spacing w:val="-4"/>
          <w:sz w:val="21"/>
          <w:szCs w:val="21"/>
          <w:highlight w:val="none"/>
        </w:rPr>
      </w:pPr>
      <w:r>
        <w:rPr>
          <w:rFonts w:hint="eastAsia" w:hAnsi="Courier New" w:cs="Times New Roman"/>
          <w:b/>
          <w:bCs/>
          <w:color w:val="auto"/>
          <w:spacing w:val="-4"/>
          <w:sz w:val="21"/>
          <w:szCs w:val="21"/>
          <w:highlight w:val="none"/>
        </w:rPr>
        <w:t>3</w:t>
      </w:r>
      <w:r>
        <w:rPr>
          <w:rFonts w:hAnsi="Courier New" w:cs="Times New Roman"/>
          <w:b/>
          <w:bCs/>
          <w:color w:val="auto"/>
          <w:spacing w:val="-4"/>
          <w:sz w:val="21"/>
          <w:szCs w:val="21"/>
          <w:highlight w:val="none"/>
        </w:rPr>
        <w:t>.1.3</w:t>
      </w:r>
      <w:r>
        <w:rPr>
          <w:rFonts w:hint="eastAsia" w:hAnsi="Courier New" w:cs="Times New Roman"/>
          <w:b/>
          <w:bCs/>
          <w:color w:val="auto"/>
          <w:spacing w:val="-4"/>
          <w:sz w:val="21"/>
          <w:szCs w:val="21"/>
          <w:highlight w:val="none"/>
        </w:rPr>
        <w:t xml:space="preserve"> 疫情防控</w:t>
      </w:r>
    </w:p>
    <w:p>
      <w:pPr>
        <w:adjustRightInd w:val="0"/>
        <w:snapToGrid w:val="0"/>
        <w:spacing w:line="288" w:lineRule="auto"/>
        <w:ind w:firstLine="406" w:firstLineChars="200"/>
        <w:rPr>
          <w:color w:val="auto"/>
          <w:sz w:val="21"/>
          <w:szCs w:val="21"/>
          <w:highlight w:val="none"/>
        </w:rPr>
      </w:pPr>
      <w:r>
        <w:rPr>
          <w:rFonts w:hint="eastAsia" w:hAnsi="Courier New" w:cs="Times New Roman"/>
          <w:b/>
          <w:bCs/>
          <w:color w:val="auto"/>
          <w:spacing w:val="-4"/>
          <w:sz w:val="21"/>
          <w:szCs w:val="21"/>
          <w:highlight w:val="none"/>
        </w:rPr>
        <w:t>（1）校园通行码：</w:t>
      </w:r>
      <w:r>
        <w:rPr>
          <w:rFonts w:hint="eastAsia"/>
          <w:color w:val="auto"/>
          <w:sz w:val="21"/>
          <w:szCs w:val="21"/>
          <w:highlight w:val="none"/>
        </w:rPr>
        <w:t>结合学生杭州健康码情况、打卡情况、是否去过中高风险地区、疫苗接种情况、核酸检测情况、是否晚归未归、是否去过杭州市外等条件，判断学生的通行码状态是否符合入校要求；</w:t>
      </w:r>
    </w:p>
    <w:p>
      <w:pPr>
        <w:spacing w:line="288" w:lineRule="auto"/>
        <w:ind w:firstLine="422" w:firstLineChars="200"/>
        <w:jc w:val="left"/>
        <w:rPr>
          <w:color w:val="auto"/>
          <w:sz w:val="21"/>
          <w:szCs w:val="21"/>
          <w:highlight w:val="none"/>
        </w:rPr>
      </w:pPr>
      <w:r>
        <w:rPr>
          <w:rFonts w:hint="eastAsia"/>
          <w:b/>
          <w:bCs/>
          <w:color w:val="auto"/>
          <w:sz w:val="21"/>
          <w:szCs w:val="21"/>
          <w:highlight w:val="none"/>
        </w:rPr>
        <w:t>（2）风险监控：</w:t>
      </w:r>
      <w:r>
        <w:rPr>
          <w:rFonts w:hint="eastAsia"/>
          <w:color w:val="auto"/>
          <w:sz w:val="21"/>
          <w:szCs w:val="21"/>
          <w:highlight w:val="none"/>
        </w:rPr>
        <w:t>校园通行码异常的数据需要推送给学生本人、辅导员等管理人员。</w:t>
      </w:r>
    </w:p>
    <w:p>
      <w:pPr>
        <w:spacing w:line="288" w:lineRule="auto"/>
        <w:ind w:firstLine="422" w:firstLineChars="200"/>
        <w:jc w:val="left"/>
        <w:rPr>
          <w:color w:val="auto"/>
          <w:sz w:val="21"/>
          <w:szCs w:val="21"/>
          <w:highlight w:val="none"/>
        </w:rPr>
      </w:pPr>
      <w:r>
        <w:rPr>
          <w:rFonts w:hint="eastAsia"/>
          <w:b/>
          <w:bCs/>
          <w:color w:val="auto"/>
          <w:sz w:val="21"/>
          <w:szCs w:val="21"/>
          <w:highlight w:val="none"/>
        </w:rPr>
        <w:t>（3）闸机联动：</w:t>
      </w:r>
      <w:r>
        <w:rPr>
          <w:rFonts w:hint="eastAsia"/>
          <w:color w:val="auto"/>
          <w:sz w:val="21"/>
          <w:szCs w:val="21"/>
          <w:highlight w:val="none"/>
        </w:rPr>
        <w:t>支持与海康、宇视等人脸闸机对接，精准定位学生出入校情况，并与平台规则关联判定学生的通行码情况。</w:t>
      </w:r>
    </w:p>
    <w:p>
      <w:pPr>
        <w:adjustRightInd w:val="0"/>
        <w:snapToGrid w:val="0"/>
        <w:spacing w:line="288" w:lineRule="auto"/>
        <w:ind w:firstLine="406" w:firstLineChars="200"/>
        <w:rPr>
          <w:rFonts w:hAnsi="Courier New" w:cs="Times New Roman"/>
          <w:b/>
          <w:bCs/>
          <w:color w:val="auto"/>
          <w:spacing w:val="-4"/>
          <w:sz w:val="21"/>
          <w:szCs w:val="21"/>
          <w:highlight w:val="none"/>
        </w:rPr>
      </w:pPr>
      <w:r>
        <w:rPr>
          <w:rFonts w:hint="eastAsia" w:hAnsi="Courier New" w:cs="Times New Roman"/>
          <w:b/>
          <w:bCs/>
          <w:color w:val="auto"/>
          <w:spacing w:val="-4"/>
          <w:sz w:val="21"/>
          <w:szCs w:val="21"/>
          <w:highlight w:val="none"/>
        </w:rPr>
        <w:t>（</w:t>
      </w:r>
      <w:r>
        <w:rPr>
          <w:rFonts w:hAnsi="Courier New" w:cs="Times New Roman"/>
          <w:b/>
          <w:bCs/>
          <w:color w:val="auto"/>
          <w:spacing w:val="-4"/>
          <w:sz w:val="21"/>
          <w:szCs w:val="21"/>
          <w:highlight w:val="none"/>
        </w:rPr>
        <w:t>4</w:t>
      </w:r>
      <w:r>
        <w:rPr>
          <w:rFonts w:hint="eastAsia" w:hAnsi="Courier New" w:cs="Times New Roman"/>
          <w:b/>
          <w:bCs/>
          <w:color w:val="auto"/>
          <w:spacing w:val="-4"/>
          <w:sz w:val="21"/>
          <w:szCs w:val="21"/>
          <w:highlight w:val="none"/>
        </w:rPr>
        <w:t>）数据看板：</w:t>
      </w:r>
    </w:p>
    <w:p>
      <w:pPr>
        <w:pStyle w:val="2"/>
        <w:spacing w:line="288" w:lineRule="auto"/>
        <w:ind w:firstLine="404" w:firstLineChars="200"/>
        <w:rPr>
          <w:color w:val="auto"/>
          <w:sz w:val="21"/>
          <w:szCs w:val="21"/>
          <w:highlight w:val="none"/>
        </w:rPr>
      </w:pPr>
      <w:r>
        <w:rPr>
          <w:rFonts w:hint="eastAsia"/>
          <w:color w:val="auto"/>
          <w:sz w:val="21"/>
          <w:szCs w:val="21"/>
          <w:highlight w:val="none"/>
        </w:rPr>
        <w:t>1）支持查看数据驾驶舱，数据可下钻，包括学生报到情况、预计返校情况、通行码情况、健康码情况、中高风险情况、发热情况、请假情况、打卡情况数据；</w:t>
      </w:r>
    </w:p>
    <w:p>
      <w:pPr>
        <w:pStyle w:val="2"/>
        <w:spacing w:line="288" w:lineRule="auto"/>
        <w:ind w:firstLine="404" w:firstLineChars="200"/>
        <w:rPr>
          <w:color w:val="auto"/>
          <w:sz w:val="21"/>
          <w:szCs w:val="21"/>
          <w:highlight w:val="none"/>
        </w:rPr>
      </w:pPr>
      <w:r>
        <w:rPr>
          <w:rFonts w:hint="eastAsia"/>
          <w:color w:val="auto"/>
          <w:sz w:val="21"/>
          <w:szCs w:val="21"/>
          <w:highlight w:val="none"/>
        </w:rPr>
        <w:t>2）支持后台数据导出：学生健康码情况、打卡位置情况（精确到区）、是否中高风险地区、疫苗接种情况、学生在离校情况；</w:t>
      </w:r>
    </w:p>
    <w:p>
      <w:pPr>
        <w:adjustRightInd w:val="0"/>
        <w:snapToGrid w:val="0"/>
        <w:spacing w:line="288" w:lineRule="auto"/>
        <w:ind w:firstLine="420" w:firstLineChars="200"/>
        <w:rPr>
          <w:b/>
          <w:bCs/>
          <w:color w:val="auto"/>
          <w:sz w:val="21"/>
          <w:szCs w:val="21"/>
          <w:highlight w:val="none"/>
        </w:rPr>
      </w:pPr>
      <w:r>
        <w:rPr>
          <w:color w:val="auto"/>
          <w:sz w:val="21"/>
          <w:szCs w:val="21"/>
          <w:highlight w:val="none"/>
        </w:rPr>
        <w:t>3</w:t>
      </w:r>
      <w:r>
        <w:rPr>
          <w:rFonts w:hint="eastAsia"/>
          <w:color w:val="auto"/>
          <w:sz w:val="21"/>
          <w:szCs w:val="21"/>
          <w:highlight w:val="none"/>
        </w:rPr>
        <w:t>）教师端：支持查看自己分管学生通行码情况数据；副书记可查看全学院数据。</w:t>
      </w:r>
    </w:p>
    <w:p>
      <w:pPr>
        <w:pStyle w:val="2"/>
        <w:spacing w:line="288" w:lineRule="auto"/>
        <w:ind w:firstLine="344" w:firstLineChars="200"/>
        <w:rPr>
          <w:color w:val="auto"/>
          <w:highlight w:val="none"/>
        </w:rPr>
      </w:pPr>
    </w:p>
    <w:p>
      <w:pPr>
        <w:spacing w:line="288" w:lineRule="auto"/>
        <w:ind w:firstLine="422" w:firstLineChars="200"/>
        <w:rPr>
          <w:b/>
          <w:color w:val="auto"/>
          <w:sz w:val="21"/>
          <w:szCs w:val="21"/>
          <w:highlight w:val="none"/>
        </w:rPr>
      </w:pPr>
      <w:r>
        <w:rPr>
          <w:rFonts w:hint="eastAsia"/>
          <w:b/>
          <w:color w:val="auto"/>
          <w:sz w:val="21"/>
          <w:szCs w:val="21"/>
          <w:highlight w:val="none"/>
        </w:rPr>
        <w:t>3.2 演示U盘：</w:t>
      </w:r>
    </w:p>
    <w:p>
      <w:pPr>
        <w:spacing w:line="288" w:lineRule="auto"/>
        <w:ind w:firstLine="420" w:firstLineChars="200"/>
        <w:rPr>
          <w:bCs/>
          <w:color w:val="auto"/>
          <w:sz w:val="21"/>
          <w:szCs w:val="21"/>
          <w:highlight w:val="none"/>
        </w:rPr>
      </w:pPr>
      <w:r>
        <w:rPr>
          <w:rFonts w:hint="eastAsia"/>
          <w:bCs/>
          <w:color w:val="auto"/>
          <w:sz w:val="21"/>
          <w:szCs w:val="21"/>
          <w:highlight w:val="none"/>
        </w:rPr>
        <w:t>（1）根据“电子交易/不见面开评标”原则，供应商需将以上演示及讲解过程录制视频，演示时长不超过15分钟以.mp4格式存储于U盘。</w:t>
      </w:r>
    </w:p>
    <w:p>
      <w:pPr>
        <w:spacing w:line="288" w:lineRule="auto"/>
        <w:ind w:firstLine="420" w:firstLineChars="200"/>
        <w:rPr>
          <w:bCs/>
          <w:color w:val="auto"/>
          <w:sz w:val="21"/>
          <w:szCs w:val="21"/>
          <w:highlight w:val="none"/>
        </w:rPr>
      </w:pPr>
      <w:r>
        <w:rPr>
          <w:rFonts w:hint="eastAsia"/>
          <w:bCs/>
          <w:color w:val="auto"/>
          <w:sz w:val="21"/>
          <w:szCs w:val="21"/>
          <w:highlight w:val="none"/>
        </w:rPr>
        <w:t>（2）演示U盘可以EMS或顺丰邮寄形式在响应截止时间前递交，演示U盘应当密封包装并在包装上标注演示U盘、响应项目名称、响应供应商名称并加盖公章。</w:t>
      </w:r>
    </w:p>
    <w:p>
      <w:pPr>
        <w:adjustRightInd w:val="0"/>
        <w:snapToGrid w:val="0"/>
        <w:spacing w:line="288" w:lineRule="auto"/>
        <w:ind w:firstLine="404" w:firstLineChars="200"/>
        <w:rPr>
          <w:rFonts w:cs="Times New Roman"/>
          <w:bCs/>
          <w:color w:val="auto"/>
          <w:sz w:val="21"/>
          <w:szCs w:val="21"/>
          <w:highlight w:val="none"/>
        </w:rPr>
      </w:pPr>
      <w:r>
        <w:rPr>
          <w:rFonts w:hint="eastAsia"/>
          <w:bCs/>
          <w:color w:val="auto"/>
          <w:spacing w:val="-4"/>
          <w:sz w:val="21"/>
          <w:szCs w:val="21"/>
          <w:highlight w:val="none"/>
        </w:rPr>
        <w:t>（3）未按磋商文件要求提供演示U盘造成专家无法正常评审的风险由供应商自行承担。</w:t>
      </w:r>
    </w:p>
    <w:p>
      <w:pPr>
        <w:autoSpaceDE w:val="0"/>
        <w:autoSpaceDN w:val="0"/>
        <w:adjustRightInd w:val="0"/>
        <w:spacing w:line="288" w:lineRule="auto"/>
        <w:jc w:val="left"/>
        <w:rPr>
          <w:b/>
          <w:color w:val="auto"/>
          <w:kern w:val="0"/>
          <w:sz w:val="21"/>
          <w:szCs w:val="21"/>
          <w:highlight w:val="none"/>
        </w:rPr>
      </w:pPr>
    </w:p>
    <w:p>
      <w:pPr>
        <w:widowControl/>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本磋商文件适用于杭州电子科技大学精准育人系统开发的磋商、评审、成交、验收、合同履约、付款等（法律、法规另有规定的，从其规定）。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3"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3"/>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color w:val="auto"/>
                      <w:sz w:val="21"/>
                      <w:szCs w:val="21"/>
                      <w:highlight w:val="none"/>
                    </w:rPr>
                  </w:pPr>
                  <w:r>
                    <w:rPr>
                      <w:rFonts w:hint="eastAsia"/>
                      <w:b/>
                      <w:color w:val="auto"/>
                      <w:sz w:val="21"/>
                      <w:szCs w:val="21"/>
                      <w:highlight w:val="none"/>
                      <w:lang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b/>
                      <w:color w:val="auto"/>
                      <w:sz w:val="21"/>
                      <w:szCs w:val="21"/>
                      <w:highlight w:val="none"/>
                    </w:rPr>
                  </w:pPr>
                  <w:r>
                    <w:rPr>
                      <w:rFonts w:hint="eastAsia"/>
                      <w:b/>
                      <w:color w:val="auto"/>
                      <w:sz w:val="21"/>
                      <w:szCs w:val="21"/>
                      <w:highlight w:val="none"/>
                      <w:lang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1.05</w:t>
                  </w:r>
                </w:p>
              </w:tc>
            </w:tr>
          </w:tbl>
          <w:p>
            <w:pPr>
              <w:adjustRightInd w:val="0"/>
              <w:snapToGrid w:val="0"/>
              <w:spacing w:line="288" w:lineRule="auto"/>
              <w:jc w:val="center"/>
              <w:rPr>
                <w:color w:val="auto"/>
                <w:sz w:val="21"/>
                <w:szCs w:val="21"/>
                <w:highlight w:val="none"/>
              </w:rPr>
            </w:pPr>
            <w:r>
              <w:rPr>
                <w:rFonts w:hint="eastAsia"/>
                <w:color w:val="auto"/>
                <w:sz w:val="21"/>
                <w:szCs w:val="21"/>
                <w:highlight w:val="none"/>
              </w:rPr>
              <w:t>代理服务费不足3000元的按3000元计。</w:t>
            </w:r>
            <w:bookmarkEnd w:id="3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p>
            <w:pPr>
              <w:adjustRightInd w:val="0"/>
              <w:snapToGrid w:val="0"/>
              <w:spacing w:line="288" w:lineRule="auto"/>
              <w:rPr>
                <w:color w:val="auto"/>
                <w:sz w:val="21"/>
                <w:szCs w:val="21"/>
                <w:highlight w:val="none"/>
              </w:rPr>
            </w:pP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中小企业声明函（若属于中小企业）</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属于监狱企业的证明文件（若属于监狱企业）</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残疾人福利性单位声明函（若属于残疾人福利性单位）</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本磋商文件适用于杭州电子科技大学精准育人系统开发的磋商、评审、成交、验收、合同履约、付款等（法律、法规另有规定的，从其规定）。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3"/>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color w:val="auto"/>
                <w:sz w:val="21"/>
                <w:szCs w:val="21"/>
                <w:highlight w:val="none"/>
              </w:rPr>
            </w:pPr>
            <w:r>
              <w:rPr>
                <w:rFonts w:hint="eastAsia"/>
                <w:b/>
                <w:color w:val="auto"/>
                <w:sz w:val="21"/>
                <w:szCs w:val="21"/>
                <w:highlight w:val="none"/>
                <w:lang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b/>
                <w:color w:val="auto"/>
                <w:sz w:val="21"/>
                <w:szCs w:val="21"/>
                <w:highlight w:val="none"/>
              </w:rPr>
            </w:pPr>
            <w:r>
              <w:rPr>
                <w:rFonts w:hint="eastAsia"/>
                <w:b/>
                <w:color w:val="auto"/>
                <w:sz w:val="21"/>
                <w:szCs w:val="21"/>
                <w:highlight w:val="none"/>
                <w:lang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1.05</w:t>
            </w:r>
          </w:p>
        </w:tc>
      </w:tr>
    </w:tbl>
    <w:p>
      <w:pPr>
        <w:adjustRightInd w:val="0"/>
        <w:snapToGrid w:val="0"/>
        <w:spacing w:line="288" w:lineRule="auto"/>
        <w:ind w:firstLine="420" w:firstLineChars="200"/>
        <w:jc w:val="center"/>
        <w:rPr>
          <w:color w:val="auto"/>
          <w:sz w:val="21"/>
          <w:szCs w:val="21"/>
          <w:highlight w:val="none"/>
        </w:rPr>
      </w:pPr>
      <w:r>
        <w:rPr>
          <w:rFonts w:hint="eastAsia"/>
          <w:color w:val="auto"/>
          <w:sz w:val="21"/>
          <w:szCs w:val="21"/>
          <w:highlight w:val="none"/>
        </w:rPr>
        <w:t>代理服务费不足3000元的按3000元计。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5" w:name="_Hlk92273406"/>
      <w:bookmarkStart w:id="36"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5"/>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6"/>
    <w:p>
      <w:pPr>
        <w:adjustRightInd w:val="0"/>
        <w:snapToGrid w:val="0"/>
        <w:spacing w:line="288" w:lineRule="auto"/>
        <w:outlineLvl w:val="2"/>
        <w:rPr>
          <w:b/>
          <w:color w:val="auto"/>
          <w:spacing w:val="-6"/>
          <w:kern w:val="0"/>
          <w:sz w:val="21"/>
          <w:szCs w:val="21"/>
          <w:highlight w:val="none"/>
        </w:rPr>
      </w:pPr>
      <w:bookmarkStart w:id="37"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7"/>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8" w:name="_Hlk96329193"/>
      <w:r>
        <w:rPr>
          <w:rFonts w:hint="eastAsia"/>
          <w:color w:val="auto"/>
          <w:sz w:val="21"/>
          <w:szCs w:val="21"/>
          <w:highlight w:val="none"/>
        </w:rPr>
        <w:t>，供应商应写全称。</w:t>
      </w:r>
      <w:bookmarkEnd w:id="38"/>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9"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9"/>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3"/>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评审因素</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分值</w:t>
            </w:r>
          </w:p>
        </w:tc>
        <w:tc>
          <w:tcPr>
            <w:tcW w:w="7071"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价格分（10）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最后磋商报价</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10</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磋商报价得分</w:t>
            </w:r>
            <w:r>
              <w:rPr>
                <w:color w:val="auto"/>
                <w:kern w:val="0"/>
                <w:sz w:val="21"/>
                <w:szCs w:val="21"/>
                <w:highlight w:val="none"/>
              </w:rPr>
              <w:t>=（磋商基准价/最后磋商报价）×</w:t>
            </w:r>
            <w:r>
              <w:rPr>
                <w:rFonts w:hint="eastAsia"/>
                <w:color w:val="auto"/>
                <w:kern w:val="0"/>
                <w:sz w:val="21"/>
                <w:szCs w:val="21"/>
                <w:highlight w:val="none"/>
              </w:rPr>
              <w:t>1</w:t>
            </w:r>
            <w:r>
              <w:rPr>
                <w:color w:val="auto"/>
                <w:kern w:val="0"/>
                <w:sz w:val="21"/>
                <w:szCs w:val="21"/>
                <w:highlight w:val="none"/>
              </w:rPr>
              <w:t>0</w:t>
            </w:r>
            <w:r>
              <w:rPr>
                <w:rFonts w:hint="eastAsia"/>
                <w:color w:val="auto"/>
                <w:kern w:val="0"/>
                <w:sz w:val="21"/>
                <w:szCs w:val="21"/>
                <w:highlight w:val="none"/>
              </w:rPr>
              <w:t>%</w:t>
            </w:r>
            <w:r>
              <w:rPr>
                <w:color w:val="auto"/>
                <w:kern w:val="0"/>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商务分（1）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业绩</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1</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供应商自201</w:t>
            </w:r>
            <w:r>
              <w:rPr>
                <w:color w:val="auto"/>
                <w:kern w:val="0"/>
                <w:sz w:val="21"/>
                <w:szCs w:val="21"/>
                <w:highlight w:val="none"/>
              </w:rPr>
              <w:t>9</w:t>
            </w:r>
            <w:r>
              <w:rPr>
                <w:rFonts w:hint="eastAsia"/>
                <w:color w:val="auto"/>
                <w:kern w:val="0"/>
                <w:sz w:val="21"/>
                <w:szCs w:val="21"/>
                <w:highlight w:val="none"/>
              </w:rPr>
              <w:t>年1月1日以来（以合同签订时间为准）同类合同业绩（以提供的合同扫描件为准）：每提供1份合同业绩得0.5分，最高得1分。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498" w:type="dxa"/>
            <w:gridSpan w:val="3"/>
            <w:vAlign w:val="center"/>
          </w:tcPr>
          <w:p>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技术分（</w:t>
            </w:r>
            <w:r>
              <w:rPr>
                <w:b/>
                <w:bCs/>
                <w:color w:val="auto"/>
                <w:kern w:val="0"/>
                <w:sz w:val="21"/>
                <w:szCs w:val="21"/>
                <w:highlight w:val="none"/>
              </w:rPr>
              <w:t>8</w:t>
            </w:r>
            <w:r>
              <w:rPr>
                <w:rFonts w:hint="eastAsia"/>
                <w:b/>
                <w:bCs/>
                <w:color w:val="auto"/>
                <w:kern w:val="0"/>
                <w:sz w:val="21"/>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响应程度</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30</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不符合（负偏离）服务要求中标注“▲”条款（不可偏离）的响应文件无效，满足或明显优于磋商文件明确的全部</w:t>
            </w:r>
            <w:r>
              <w:rPr>
                <w:rFonts w:hint="eastAsia"/>
                <w:color w:val="auto"/>
                <w:kern w:val="0"/>
                <w:sz w:val="21"/>
                <w:szCs w:val="21"/>
                <w:highlight w:val="none"/>
                <w:lang w:val="en-US" w:eastAsia="zh-CN"/>
              </w:rPr>
              <w:t>技术</w:t>
            </w:r>
            <w:r>
              <w:rPr>
                <w:rFonts w:hint="eastAsia"/>
                <w:color w:val="auto"/>
                <w:kern w:val="0"/>
                <w:sz w:val="21"/>
                <w:szCs w:val="21"/>
                <w:highlight w:val="none"/>
              </w:rPr>
              <w:t>要求的该项得满分；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响应条款低于技术要求（负偏离）的每项扣</w:t>
            </w:r>
            <w:r>
              <w:rPr>
                <w:color w:val="auto"/>
                <w:kern w:val="0"/>
                <w:sz w:val="21"/>
                <w:szCs w:val="21"/>
                <w:highlight w:val="none"/>
              </w:rPr>
              <w:t>3</w:t>
            </w:r>
            <w:r>
              <w:rPr>
                <w:rFonts w:hint="eastAsia"/>
                <w:color w:val="auto"/>
                <w:kern w:val="0"/>
                <w:sz w:val="21"/>
                <w:szCs w:val="21"/>
                <w:highlight w:val="none"/>
              </w:rPr>
              <w:t>分；</w:t>
            </w:r>
          </w:p>
          <w:p>
            <w:pPr>
              <w:adjustRightInd w:val="0"/>
              <w:snapToGrid w:val="0"/>
              <w:spacing w:line="288" w:lineRule="auto"/>
              <w:rPr>
                <w:color w:val="auto"/>
                <w:kern w:val="0"/>
                <w:sz w:val="21"/>
                <w:szCs w:val="21"/>
                <w:highlight w:val="none"/>
              </w:rPr>
            </w:pPr>
            <w:r>
              <w:rPr>
                <w:rFonts w:hint="eastAsia"/>
                <w:color w:val="auto"/>
                <w:kern w:val="0"/>
                <w:sz w:val="21"/>
                <w:szCs w:val="21"/>
                <w:highlight w:val="none"/>
              </w:rPr>
              <w:t>负偏离10项及以上的响应文件无效。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color w:val="auto"/>
                <w:kern w:val="0"/>
                <w:sz w:val="21"/>
                <w:szCs w:val="21"/>
                <w:highlight w:val="none"/>
              </w:rPr>
            </w:pPr>
            <w:r>
              <w:rPr>
                <w:rFonts w:hint="eastAsia" w:cs="Times New Roman"/>
                <w:b/>
                <w:bCs/>
                <w:color w:val="auto"/>
                <w:kern w:val="0"/>
                <w:sz w:val="21"/>
                <w:szCs w:val="21"/>
                <w:highlight w:val="none"/>
              </w:rPr>
              <w:t>实施方案</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5</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spacing w:val="-6"/>
                <w:sz w:val="21"/>
                <w:szCs w:val="21"/>
                <w:highlight w:val="none"/>
                <w:lang w:bidi="ar"/>
              </w:rPr>
              <w:t>供应商提供的系统设计、方案设计的完整性、合理性，本项最高得5分。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kern w:val="0"/>
                <w:sz w:val="21"/>
                <w:szCs w:val="21"/>
                <w:highlight w:val="none"/>
              </w:rPr>
            </w:pP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5</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spacing w:val="-6"/>
                <w:sz w:val="21"/>
                <w:szCs w:val="21"/>
                <w:highlight w:val="none"/>
                <w:lang w:bidi="ar"/>
              </w:rPr>
              <w:t>供应商提供的技术架构、安全方案的完整性、合理性，本项最高得5分。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kern w:val="0"/>
                <w:sz w:val="21"/>
                <w:szCs w:val="21"/>
                <w:highlight w:val="none"/>
              </w:rPr>
            </w:pP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5</w:t>
            </w:r>
          </w:p>
        </w:tc>
        <w:tc>
          <w:tcPr>
            <w:tcW w:w="7071" w:type="dxa"/>
            <w:vAlign w:val="center"/>
          </w:tcPr>
          <w:p>
            <w:pPr>
              <w:adjustRightInd w:val="0"/>
              <w:snapToGrid w:val="0"/>
              <w:spacing w:line="288" w:lineRule="auto"/>
              <w:rPr>
                <w:rFonts w:cs="Times New Roman"/>
                <w:color w:val="auto"/>
                <w:kern w:val="0"/>
                <w:sz w:val="21"/>
                <w:szCs w:val="21"/>
                <w:highlight w:val="none"/>
              </w:rPr>
            </w:pPr>
            <w:r>
              <w:rPr>
                <w:rFonts w:hint="eastAsia"/>
                <w:color w:val="auto"/>
                <w:spacing w:val="-6"/>
                <w:sz w:val="21"/>
                <w:szCs w:val="21"/>
                <w:highlight w:val="none"/>
                <w:lang w:bidi="ar"/>
              </w:rPr>
              <w:t>供应商提供的项目管理实施方案、进度计划的完整性、合理性，本项最高得5分。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售后服务</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5</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供应商承诺的售后服务响应时间、保证措施等情况，本项最高得5分。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培训计划</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4</w:t>
            </w:r>
          </w:p>
        </w:tc>
        <w:tc>
          <w:tcPr>
            <w:tcW w:w="7071" w:type="dxa"/>
            <w:vAlign w:val="center"/>
          </w:tcPr>
          <w:p>
            <w:pPr>
              <w:adjustRightInd w:val="0"/>
              <w:snapToGrid w:val="0"/>
              <w:spacing w:line="288" w:lineRule="auto"/>
              <w:rPr>
                <w:color w:val="auto"/>
                <w:kern w:val="0"/>
                <w:sz w:val="21"/>
                <w:szCs w:val="21"/>
                <w:highlight w:val="none"/>
              </w:rPr>
            </w:pPr>
            <w:r>
              <w:rPr>
                <w:rFonts w:hint="eastAsia"/>
                <w:color w:val="auto"/>
                <w:kern w:val="0"/>
                <w:sz w:val="21"/>
                <w:szCs w:val="21"/>
                <w:highlight w:val="none"/>
              </w:rPr>
              <w:t>供应商培训计划的合理性、可行性，本项最高得4分。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kern w:val="0"/>
                <w:sz w:val="21"/>
                <w:szCs w:val="21"/>
                <w:highlight w:val="none"/>
              </w:rPr>
            </w:pPr>
            <w:r>
              <w:rPr>
                <w:rFonts w:hint="eastAsia" w:cs="Times New Roman"/>
                <w:b/>
                <w:bCs/>
                <w:color w:val="auto"/>
                <w:kern w:val="0"/>
                <w:sz w:val="21"/>
                <w:szCs w:val="21"/>
                <w:highlight w:val="none"/>
              </w:rPr>
              <w:t>测试验收、质量控制</w:t>
            </w:r>
          </w:p>
        </w:tc>
        <w:tc>
          <w:tcPr>
            <w:tcW w:w="682"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5</w:t>
            </w:r>
          </w:p>
        </w:tc>
        <w:tc>
          <w:tcPr>
            <w:tcW w:w="7071" w:type="dxa"/>
          </w:tcPr>
          <w:p>
            <w:pPr>
              <w:adjustRightInd w:val="0"/>
              <w:snapToGrid w:val="0"/>
              <w:spacing w:line="288" w:lineRule="auto"/>
              <w:rPr>
                <w:color w:val="auto"/>
                <w:kern w:val="0"/>
                <w:sz w:val="21"/>
                <w:szCs w:val="21"/>
                <w:highlight w:val="none"/>
              </w:rPr>
            </w:pPr>
            <w:r>
              <w:rPr>
                <w:rFonts w:hint="eastAsia" w:cs="Times New Roman"/>
                <w:color w:val="auto"/>
                <w:kern w:val="0"/>
                <w:sz w:val="21"/>
                <w:szCs w:val="21"/>
                <w:highlight w:val="none"/>
              </w:rPr>
              <w:t>供应商提供的测试验收、文档收集归档、质量控制、项目关键点步骤思路的合理性、科学性、可行性。本项</w:t>
            </w:r>
            <w:r>
              <w:rPr>
                <w:rFonts w:hint="eastAsia"/>
                <w:color w:val="auto"/>
                <w:kern w:val="0"/>
                <w:sz w:val="21"/>
                <w:szCs w:val="21"/>
                <w:highlight w:val="none"/>
              </w:rPr>
              <w:t>最高得</w:t>
            </w:r>
            <w:r>
              <w:rPr>
                <w:color w:val="auto"/>
                <w:kern w:val="0"/>
                <w:sz w:val="21"/>
                <w:szCs w:val="21"/>
                <w:highlight w:val="none"/>
              </w:rPr>
              <w:t>5</w:t>
            </w:r>
            <w:r>
              <w:rPr>
                <w:rFonts w:hint="eastAsia"/>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rFonts w:cs="Times New Roman"/>
                <w:b/>
                <w:bCs/>
                <w:color w:val="auto"/>
                <w:kern w:val="0"/>
                <w:sz w:val="21"/>
                <w:szCs w:val="21"/>
                <w:highlight w:val="none"/>
              </w:rPr>
            </w:pPr>
            <w:r>
              <w:rPr>
                <w:rFonts w:hint="eastAsia"/>
                <w:b/>
                <w:bCs/>
                <w:color w:val="auto"/>
                <w:kern w:val="0"/>
                <w:sz w:val="21"/>
                <w:szCs w:val="21"/>
                <w:highlight w:val="none"/>
              </w:rPr>
              <w:t>演示</w:t>
            </w:r>
          </w:p>
        </w:tc>
        <w:tc>
          <w:tcPr>
            <w:tcW w:w="682" w:type="dxa"/>
            <w:vAlign w:val="center"/>
          </w:tcPr>
          <w:p>
            <w:pPr>
              <w:jc w:val="center"/>
              <w:rPr>
                <w:b/>
                <w:bCs/>
                <w:color w:val="auto"/>
                <w:sz w:val="21"/>
                <w:szCs w:val="21"/>
                <w:highlight w:val="none"/>
              </w:rPr>
            </w:pPr>
            <w:r>
              <w:rPr>
                <w:rFonts w:hint="eastAsia"/>
                <w:b/>
                <w:bCs/>
                <w:color w:val="auto"/>
                <w:sz w:val="21"/>
                <w:szCs w:val="21"/>
                <w:highlight w:val="none"/>
              </w:rPr>
              <w:t>30</w:t>
            </w:r>
          </w:p>
        </w:tc>
        <w:tc>
          <w:tcPr>
            <w:tcW w:w="7071" w:type="dxa"/>
            <w:vAlign w:val="center"/>
          </w:tcPr>
          <w:p>
            <w:pPr>
              <w:rPr>
                <w:rFonts w:cs="Times New Roman"/>
                <w:color w:val="auto"/>
                <w:kern w:val="0"/>
                <w:sz w:val="21"/>
                <w:szCs w:val="21"/>
                <w:highlight w:val="none"/>
              </w:rPr>
            </w:pPr>
            <w:r>
              <w:rPr>
                <w:rFonts w:hint="eastAsia"/>
                <w:color w:val="auto"/>
                <w:kern w:val="0"/>
                <w:sz w:val="21"/>
                <w:szCs w:val="21"/>
                <w:highlight w:val="none"/>
              </w:rPr>
              <w:t>供应商针对“第二章 采购需求”中的演示要求进行演示。演示内容共12项，每项演示最高得2.5分。</w:t>
            </w:r>
          </w:p>
        </w:tc>
      </w:tr>
    </w:tbl>
    <w:p>
      <w:pPr>
        <w:adjustRightInd w:val="0"/>
        <w:snapToGrid w:val="0"/>
        <w:spacing w:line="288" w:lineRule="auto"/>
        <w:rPr>
          <w:rFonts w:cs="Times New Roman"/>
          <w:b/>
          <w:bCs/>
          <w:color w:val="auto"/>
          <w:spacing w:val="-6"/>
          <w:sz w:val="21"/>
          <w:szCs w:val="21"/>
          <w:highlight w:val="none"/>
        </w:rPr>
      </w:pPr>
      <w:bookmarkStart w:id="40" w:name="_Hlk81817387"/>
      <w:r>
        <w:rPr>
          <w:rFonts w:hint="eastAsia"/>
          <w:b/>
          <w:color w:val="auto"/>
          <w:sz w:val="21"/>
          <w:szCs w:val="21"/>
          <w:highlight w:val="none"/>
        </w:rPr>
        <w:t>说明：本项目专门面向中小企业采购，不再执行价格评审优惠的扶持政策。</w:t>
      </w:r>
    </w:p>
    <w:bookmarkEnd w:id="40"/>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采购编号：QSZB-Z(F)-B22442(CS)</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确认书编号：[2022]72211号</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甲方（需方）：杭州电子科技大学</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乙方（供方）：</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采购代理机构：浙江求是招标代理有限公司</w:t>
      </w:r>
    </w:p>
    <w:p>
      <w:pPr>
        <w:adjustRightInd w:val="0"/>
        <w:snapToGrid w:val="0"/>
        <w:spacing w:line="288" w:lineRule="auto"/>
        <w:rPr>
          <w:rFonts w:cs="Times New Roman"/>
          <w:color w:val="auto"/>
          <w:spacing w:val="-6"/>
          <w:sz w:val="21"/>
          <w:szCs w:val="21"/>
          <w:highlight w:val="none"/>
        </w:rPr>
      </w:pPr>
      <w:r>
        <w:rPr>
          <w:rFonts w:hint="eastAsia" w:cs="Times New Roman"/>
          <w:b/>
          <w:bCs/>
          <w:color w:val="auto"/>
          <w:spacing w:val="-6"/>
          <w:sz w:val="21"/>
          <w:szCs w:val="21"/>
          <w:highlight w:val="none"/>
        </w:rPr>
        <w:t>签约时间、地点：2022年  月   日，杭州</w:t>
      </w:r>
    </w:p>
    <w:p>
      <w:pPr>
        <w:adjustRightInd w:val="0"/>
        <w:snapToGrid w:val="0"/>
        <w:spacing w:line="288" w:lineRule="auto"/>
        <w:ind w:firstLine="396" w:firstLineChars="200"/>
        <w:rPr>
          <w:color w:val="auto"/>
          <w:spacing w:val="-6"/>
          <w:sz w:val="21"/>
          <w:szCs w:val="21"/>
          <w:highlight w:val="none"/>
        </w:rPr>
      </w:pP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精准育人系统开发  </w:t>
      </w:r>
      <w:r>
        <w:rPr>
          <w:rFonts w:hint="eastAsia"/>
          <w:color w:val="auto"/>
          <w:spacing w:val="-6"/>
          <w:sz w:val="21"/>
          <w:szCs w:val="21"/>
          <w:highlight w:val="none"/>
        </w:rPr>
        <w:t>项目竞争性磋商采购的结果，签署本合同。</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第一条：服务内容</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根据采购需求（详见附件）</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第二条：服务期限</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自合同签订之日起60日内交付。</w:t>
      </w:r>
    </w:p>
    <w:p>
      <w:pPr>
        <w:snapToGrid w:val="0"/>
        <w:spacing w:line="288" w:lineRule="auto"/>
        <w:ind w:left="340" w:hanging="340" w:hangingChars="171"/>
        <w:rPr>
          <w:b/>
          <w:color w:val="auto"/>
          <w:spacing w:val="-6"/>
          <w:sz w:val="21"/>
          <w:szCs w:val="21"/>
          <w:highlight w:val="none"/>
        </w:rPr>
      </w:pPr>
      <w:r>
        <w:rPr>
          <w:rFonts w:hint="eastAsia"/>
          <w:b/>
          <w:color w:val="auto"/>
          <w:spacing w:val="-6"/>
          <w:sz w:val="21"/>
          <w:szCs w:val="21"/>
          <w:highlight w:val="none"/>
          <w:lang w:bidi="ar"/>
        </w:rPr>
        <w:t>第三条：知识产权</w:t>
      </w:r>
    </w:p>
    <w:p>
      <w:pPr>
        <w:snapToGrid w:val="0"/>
        <w:spacing w:line="288" w:lineRule="auto"/>
        <w:ind w:firstLine="396" w:firstLineChars="200"/>
        <w:rPr>
          <w:color w:val="auto"/>
          <w:spacing w:val="-6"/>
          <w:sz w:val="21"/>
          <w:szCs w:val="21"/>
          <w:highlight w:val="none"/>
          <w:lang w:bidi="ar"/>
        </w:rPr>
      </w:pPr>
      <w:r>
        <w:rPr>
          <w:rFonts w:hint="eastAsia"/>
          <w:color w:val="auto"/>
          <w:spacing w:val="-6"/>
          <w:sz w:val="21"/>
          <w:szCs w:val="21"/>
          <w:highlight w:val="none"/>
          <w:lang w:bidi="ar"/>
        </w:rPr>
        <w:t>1、软件系统源代码及知识产权归属于杭州电子科技大学。</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2、乙方应保证所提供的服务或其任何一部分均不会侵犯任何第三方的知识产权。</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3、乙方应提供系统的技术文件，包括并不限于平台环境配置说明、数字字典、表结构说明、需求说明书、需求确认书、软件著作权扫描件、操作手册、维护手册、系统培训资料以及业务应用系统集成接口和（或）技术说明、验收报告等，以上文件应在项目验收时交付甲方。</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4、乙方保证甲方拥有系统的所有权利，包括系统的所有权、使用权和版权等，如因此和第三方发生争议，由乙方负责处置并承担相应责任。</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lang w:bidi="ar"/>
        </w:rPr>
        <w:t>第四条：服务费用及结算方式</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1、本项目合同总价为人民币     元整（</w:t>
      </w:r>
      <w:r>
        <w:rPr>
          <w:rFonts w:ascii="Arial" w:hAnsi="Arial" w:cs="Arial"/>
          <w:color w:val="auto"/>
          <w:spacing w:val="-6"/>
          <w:kern w:val="0"/>
          <w:sz w:val="21"/>
          <w:szCs w:val="21"/>
          <w:highlight w:val="none"/>
          <w:lang w:bidi="ar"/>
        </w:rPr>
        <w:t>¥</w:t>
      </w:r>
      <w:r>
        <w:rPr>
          <w:rFonts w:hint="eastAsia"/>
          <w:color w:val="auto"/>
          <w:spacing w:val="-6"/>
          <w:kern w:val="0"/>
          <w:sz w:val="21"/>
          <w:szCs w:val="21"/>
          <w:highlight w:val="none"/>
          <w:lang w:bidi="ar"/>
        </w:rPr>
        <w:t xml:space="preserve">    .00元），合同总价包含开发设计、供货、安装、调试、培训、维保等所有费用（含与第三方平台或系统对接的费用），即从合同签订到整个系统调试验收合格交付甲方使用，甲方不再另行支付其他费用。</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2、合同签订后一周内，乙方向甲方提交合同总价1%的履约保证金，履约保证金在合同履约期间无违约情形的，项目验收结束后，于一周内退还（不计息）；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转账信息如下：</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收款单位（户名）:杭州电子科技大学</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银行账号：1202026209008806216</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3、合同生效以及具备实施条件后7个工作日内，且乙方已向甲方提交银行、保险公司等金融机构出具的预付款保函的，甲方向乙方支付合同总价的40%；系统所有功能上线，并通过甲方验收后，甲方在收到发票后7个工作日内，向乙方支付合同总价的60%。</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4、在签订合同时，乙方明确表示无需预付款或者主动要求降低预付款比例的，可降低预付款比例（预付款保函同步调整）。</w:t>
      </w:r>
      <w:bookmarkStart w:id="52" w:name="_GoBack"/>
      <w:bookmarkEnd w:id="52"/>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5、乙方明确表示无需预付款时，付款方式按以下要求执行：项目整体设计方案经甲方审核通过后，甲方支付合同总价的40%，系统所有功能上线，并通过甲方验收后，甲方在收到发票后7个工作日内，向乙方支付合同总价的60%。</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注：乙方需提供增值税发票，开票信息如下：</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抬头：杭州电子科技大学</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税号：12330000470009026T</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地址：杭州市下沙高教园区杭州电子科技大学</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电话：0571-86915020</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银行账号：1202026209008806216</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第五条：保密义务</w:t>
      </w:r>
    </w:p>
    <w:p>
      <w:pPr>
        <w:snapToGrid w:val="0"/>
        <w:spacing w:line="288" w:lineRule="auto"/>
        <w:ind w:firstLine="420"/>
        <w:rPr>
          <w:color w:val="auto"/>
          <w:spacing w:val="-6"/>
          <w:sz w:val="21"/>
          <w:szCs w:val="21"/>
          <w:highlight w:val="none"/>
        </w:rPr>
      </w:pPr>
      <w:r>
        <w:rPr>
          <w:rFonts w:hint="eastAsia"/>
          <w:color w:val="auto"/>
          <w:spacing w:val="-6"/>
          <w:sz w:val="21"/>
          <w:szCs w:val="21"/>
          <w:highlight w:val="none"/>
          <w:lang w:bidi="ar"/>
        </w:rPr>
        <w:t>1、对于服务过程中所涉及的全部信息，包括但不限于技术参数、设计方案、技术秘密等，乙方应严格保密，不得向任何第三方披露。</w:t>
      </w:r>
    </w:p>
    <w:p>
      <w:pPr>
        <w:snapToGrid w:val="0"/>
        <w:spacing w:line="288" w:lineRule="auto"/>
        <w:ind w:firstLine="420"/>
        <w:rPr>
          <w:color w:val="auto"/>
          <w:spacing w:val="-6"/>
          <w:sz w:val="21"/>
          <w:szCs w:val="21"/>
          <w:highlight w:val="none"/>
        </w:rPr>
      </w:pPr>
      <w:r>
        <w:rPr>
          <w:rFonts w:hint="eastAsia"/>
          <w:color w:val="auto"/>
          <w:spacing w:val="-6"/>
          <w:sz w:val="21"/>
          <w:szCs w:val="21"/>
          <w:highlight w:val="none"/>
          <w:lang w:bidi="ar"/>
        </w:rPr>
        <w:t>2、关于本条所涉之保密义务，其期限不受本合同之期限限制，乙方应长期遵守，直至该等保密信息成为公开信息为止。</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第六条：不可抗力事件处理</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1、在合同有效期内，任何一方因不可抗力事件导致不能履行合同，则合同履行期可延长，其延长期与不可抗力影响期相同。</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2、不可抗力事件发生后，应立即通知对方，并寄送有关权威机构出具的证明。</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3、不可抗力事件延续120天以上，双方应通过友好协商，确定是否继续履行合同。</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第七条：违约责任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在本合同履行过程中，双方因违约或造成对方经济、社会效益等损失的应当赔偿。</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1、甲方无正当理由拒绝接收服务，到期拒付服务费的，甲方向乙方偿付应付费用的百分之五作为违约金。甲方逾期付款的，则每日按逾期金额的万分之五向乙方偿付违约金。</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2、乙方提供的服务不符合本项目相关文件和本合同规定的，甲方有权拒收，并且乙方须向甲方支付本合同总服务费的百分之五作为违约金，并承担其他法律责任。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4、未经甲方同意，乙方不得擅自将本合同服务转包第三方承担。如擅自转包，则乙方应支付给甲方本合同总服务费百分之五的违约金。乙方还需承担其他相应法律责任。</w:t>
      </w:r>
    </w:p>
    <w:p>
      <w:pPr>
        <w:snapToGrid w:val="0"/>
        <w:spacing w:line="288" w:lineRule="auto"/>
        <w:ind w:firstLine="396" w:firstLineChars="200"/>
        <w:rPr>
          <w:b/>
          <w:color w:val="auto"/>
          <w:spacing w:val="-6"/>
          <w:sz w:val="21"/>
          <w:szCs w:val="21"/>
          <w:highlight w:val="none"/>
        </w:rPr>
      </w:pPr>
      <w:r>
        <w:rPr>
          <w:rFonts w:hint="eastAsia"/>
          <w:color w:val="auto"/>
          <w:spacing w:val="-6"/>
          <w:sz w:val="21"/>
          <w:szCs w:val="21"/>
          <w:highlight w:val="none"/>
          <w:lang w:bidi="ar"/>
        </w:rPr>
        <w:t>5、其他违约责任按《中华人民共和国民法典》处理。</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第八条：争议解决</w:t>
      </w:r>
    </w:p>
    <w:p>
      <w:pPr>
        <w:snapToGrid w:val="0"/>
        <w:spacing w:line="288" w:lineRule="auto"/>
        <w:ind w:right="26" w:rightChars="11" w:firstLine="396" w:firstLineChars="200"/>
        <w:rPr>
          <w:color w:val="auto"/>
          <w:spacing w:val="-6"/>
          <w:sz w:val="21"/>
          <w:szCs w:val="21"/>
          <w:highlight w:val="none"/>
        </w:rPr>
      </w:pPr>
      <w:r>
        <w:rPr>
          <w:rFonts w:hint="eastAsia"/>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第九条：合同生效</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合同经三方法定代表人或授权代表签字并加盖单位公章后生效。</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本合同未尽事宜，遵照《中华人民共和国民法典》有关条文执行。</w:t>
      </w:r>
    </w:p>
    <w:p>
      <w:pPr>
        <w:numPr>
          <w:ilvl w:val="0"/>
          <w:numId w:val="1"/>
        </w:num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本合同一式五份，乙方、采购代理机构各执壹份，甲方执叁份。</w:t>
      </w:r>
    </w:p>
    <w:tbl>
      <w:tblPr>
        <w:tblStyle w:val="12"/>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1"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4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2"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b/>
          <w:bCs/>
          <w:color w:val="auto"/>
          <w:sz w:val="21"/>
          <w:szCs w:val="21"/>
          <w:highlight w:val="none"/>
        </w:rPr>
      </w:pPr>
      <w:bookmarkStart w:id="43" w:name="_Hlk118028894"/>
      <w:r>
        <w:rPr>
          <w:rFonts w:hint="eastAsia"/>
          <w:b/>
          <w:bCs/>
          <w:color w:val="auto"/>
          <w:sz w:val="21"/>
          <w:szCs w:val="21"/>
          <w:highlight w:val="none"/>
        </w:rPr>
        <w:t>中小企业声明函（若属于中小企业）</w:t>
      </w:r>
    </w:p>
    <w:bookmarkEnd w:id="43"/>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4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w:t>
      </w:r>
      <w:bookmarkStart w:id="44" w:name="_Hlk118030421"/>
      <w:r>
        <w:rPr>
          <w:rFonts w:hint="eastAsia"/>
          <w:color w:val="auto"/>
          <w:sz w:val="21"/>
          <w:szCs w:val="21"/>
          <w:highlight w:val="none"/>
        </w:rPr>
        <w:t>2021年12月（含）以后任意一月供应商授权代表社保缴纳证明</w:t>
      </w:r>
    </w:p>
    <w:bookmarkEnd w:id="44"/>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5）采购需求偏离表</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6</w:t>
      </w:r>
      <w:r>
        <w:rPr>
          <w:rFonts w:hint="eastAsia"/>
          <w:color w:val="auto"/>
          <w:sz w:val="21"/>
          <w:szCs w:val="21"/>
          <w:highlight w:val="none"/>
          <w:lang w:eastAsia="zh-CN"/>
        </w:rPr>
        <w:t>）</w:t>
      </w:r>
      <w:r>
        <w:rPr>
          <w:rFonts w:hint="eastAsia"/>
          <w:color w:val="auto"/>
          <w:sz w:val="21"/>
          <w:szCs w:val="21"/>
          <w:highlight w:val="none"/>
        </w:rPr>
        <w:t>实施方案</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7</w:t>
      </w:r>
      <w:r>
        <w:rPr>
          <w:rFonts w:hint="eastAsia"/>
          <w:color w:val="auto"/>
          <w:sz w:val="21"/>
          <w:szCs w:val="21"/>
          <w:highlight w:val="none"/>
          <w:lang w:eastAsia="zh-CN"/>
        </w:rPr>
        <w:t>）</w:t>
      </w:r>
      <w:r>
        <w:rPr>
          <w:rFonts w:hint="eastAsia"/>
          <w:color w:val="auto"/>
          <w:sz w:val="21"/>
          <w:szCs w:val="21"/>
          <w:highlight w:val="none"/>
        </w:rPr>
        <w:t>售后服务</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8</w:t>
      </w:r>
      <w:r>
        <w:rPr>
          <w:rFonts w:hint="eastAsia"/>
          <w:color w:val="auto"/>
          <w:sz w:val="21"/>
          <w:szCs w:val="21"/>
          <w:highlight w:val="none"/>
          <w:lang w:eastAsia="zh-CN"/>
        </w:rPr>
        <w:t>）</w:t>
      </w:r>
      <w:r>
        <w:rPr>
          <w:rFonts w:hint="eastAsia"/>
          <w:color w:val="auto"/>
          <w:sz w:val="21"/>
          <w:szCs w:val="21"/>
          <w:highlight w:val="none"/>
        </w:rPr>
        <w:t>培训计划</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9</w:t>
      </w:r>
      <w:r>
        <w:rPr>
          <w:rFonts w:hint="eastAsia"/>
          <w:color w:val="auto"/>
          <w:sz w:val="21"/>
          <w:szCs w:val="21"/>
          <w:highlight w:val="none"/>
          <w:lang w:eastAsia="zh-CN"/>
        </w:rPr>
        <w:t>）</w:t>
      </w:r>
      <w:r>
        <w:rPr>
          <w:rFonts w:hint="eastAsia"/>
          <w:color w:val="auto"/>
          <w:sz w:val="21"/>
          <w:szCs w:val="21"/>
          <w:highlight w:val="none"/>
        </w:rPr>
        <w:t>测试验收、质量控制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lang w:val="en-US" w:eastAsia="zh-CN"/>
        </w:rPr>
        <w:t>0</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p>
    <w:p>
      <w:pPr>
        <w:pStyle w:val="2"/>
        <w:rPr>
          <w:color w:val="auto"/>
          <w:highlight w:val="none"/>
        </w:rPr>
      </w:pPr>
    </w:p>
    <w:p>
      <w:pPr>
        <w:pStyle w:val="2"/>
        <w:rPr>
          <w:color w:val="auto"/>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5" w:name="_Hlk94097338"/>
      <w:r>
        <w:rPr>
          <w:rFonts w:hint="eastAsia"/>
          <w:b/>
          <w:bCs/>
          <w:color w:val="auto"/>
          <w:sz w:val="21"/>
          <w:szCs w:val="21"/>
          <w:highlight w:val="none"/>
        </w:rPr>
        <w:t>资格审查要求的资格证明材料(均需加盖公章)</w:t>
      </w:r>
    </w:p>
    <w:bookmarkEnd w:id="45"/>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bookmarkStart w:id="46" w:name="_Hlk118028139"/>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bookmarkEnd w:id="46"/>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98" w:firstLineChars="236"/>
        <w:jc w:val="center"/>
        <w:outlineLvl w:val="2"/>
        <w:rPr>
          <w:b/>
          <w:bCs/>
          <w:color w:val="auto"/>
          <w:sz w:val="21"/>
          <w:szCs w:val="21"/>
          <w:highlight w:val="none"/>
        </w:rPr>
      </w:pPr>
      <w:bookmarkStart w:id="47" w:name="_Hlk118029013"/>
      <w:r>
        <w:rPr>
          <w:b/>
          <w:bCs/>
          <w:color w:val="auto"/>
          <w:sz w:val="21"/>
          <w:szCs w:val="21"/>
          <w:highlight w:val="none"/>
        </w:rPr>
        <w:t>中小企业声明函（服务）</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采购活动，服务全部由符合政策要求的中小企业承接。相关企业（含联合体中的中小企业、签订分包意向协议的中小企业）的具体情况如下：</w:t>
      </w:r>
    </w:p>
    <w:p>
      <w:pPr>
        <w:adjustRightInd w:val="0"/>
        <w:snapToGrid w:val="0"/>
        <w:spacing w:line="288" w:lineRule="auto"/>
        <w:ind w:firstLine="495" w:firstLineChars="236"/>
        <w:rPr>
          <w:i/>
          <w:color w:val="auto"/>
          <w:sz w:val="21"/>
          <w:szCs w:val="21"/>
          <w:highlight w:val="none"/>
          <w:u w:val="single"/>
        </w:rPr>
      </w:pPr>
      <w:r>
        <w:rPr>
          <w:rFonts w:hint="eastAsia"/>
          <w:i/>
          <w:color w:val="auto"/>
          <w:sz w:val="21"/>
          <w:szCs w:val="21"/>
          <w:highlight w:val="none"/>
          <w:u w:val="single"/>
        </w:rPr>
        <w:t>1</w:t>
      </w:r>
      <w:r>
        <w:rPr>
          <w:i/>
          <w:color w:val="auto"/>
          <w:sz w:val="21"/>
          <w:szCs w:val="21"/>
          <w:highlight w:val="none"/>
          <w:u w:val="single"/>
        </w:rPr>
        <w:t>.（标的名称），属于（采购文件中明确的所属行业）；</w:t>
      </w:r>
      <w:r>
        <w:rPr>
          <w:color w:val="auto"/>
          <w:sz w:val="21"/>
          <w:szCs w:val="21"/>
          <w:highlight w:val="none"/>
        </w:rPr>
        <w:t>承接企业为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rFonts w:hint="eastAsia"/>
          <w:i/>
          <w:color w:val="auto"/>
          <w:sz w:val="21"/>
          <w:szCs w:val="21"/>
          <w:highlight w:val="none"/>
          <w:u w:val="single"/>
        </w:rPr>
        <w:t>2</w:t>
      </w:r>
      <w:r>
        <w:rPr>
          <w:i/>
          <w:color w:val="auto"/>
          <w:sz w:val="21"/>
          <w:szCs w:val="21"/>
          <w:highlight w:val="none"/>
          <w:u w:val="single"/>
        </w:rPr>
        <w:t>.（标的名称）</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w:t>
      </w:r>
      <w:r>
        <w:rPr>
          <w:color w:val="auto"/>
          <w:sz w:val="21"/>
          <w:szCs w:val="21"/>
          <w:highlight w:val="none"/>
        </w:rPr>
        <w:t>；承接企业为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bookmarkEnd w:id="47"/>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，且本单位参加______（采购人）单位的______（项目名称）项目采购活动提供提供服务。</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1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bookmarkStart w:id="48" w:name="_Hlk118029294"/>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项目名称：精准育人系统开发</w:t>
      </w:r>
    </w:p>
    <w:p>
      <w:pPr>
        <w:adjustRightInd w:val="0"/>
        <w:snapToGrid w:val="0"/>
        <w:spacing w:line="288" w:lineRule="auto"/>
        <w:rPr>
          <w:color w:val="auto"/>
          <w:sz w:val="21"/>
          <w:szCs w:val="21"/>
          <w:highlight w:val="none"/>
        </w:rPr>
      </w:pPr>
      <w:r>
        <w:rPr>
          <w:rFonts w:hint="eastAsia"/>
          <w:color w:val="auto"/>
          <w:sz w:val="21"/>
          <w:szCs w:val="21"/>
          <w:highlight w:val="none"/>
        </w:rPr>
        <w:t>项目编号：QSZB-Z(F)-B22442(CS)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2547"/>
        <w:gridCol w:w="1702"/>
        <w:gridCol w:w="1767"/>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bookmarkStart w:id="49" w:name="_Hlk118029558"/>
            <w:r>
              <w:rPr>
                <w:rFonts w:hint="eastAsia"/>
                <w:b/>
                <w:bCs/>
                <w:color w:val="auto"/>
                <w:sz w:val="21"/>
                <w:szCs w:val="21"/>
                <w:highlight w:val="none"/>
              </w:rPr>
              <w:t>序号</w:t>
            </w: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具体服务</w:t>
            </w: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254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cs="Times New Roman"/>
                <w:b/>
                <w:color w:val="auto"/>
                <w:spacing w:val="-6"/>
                <w:sz w:val="21"/>
                <w:szCs w:val="21"/>
                <w:highlight w:val="none"/>
              </w:rPr>
              <w:t>说明：采购人将以合同形式有偿取得服务，不接受供应商给予的赠品、回扣或者与采购无关的其他商品、服务。</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3.以上表格要求细分项目及报价，在“具体服务”一栏中，填写具体服务。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49"/>
    <w:p>
      <w:pPr>
        <w:adjustRightInd w:val="0"/>
        <w:snapToGrid w:val="0"/>
        <w:spacing w:line="288" w:lineRule="auto"/>
        <w:rPr>
          <w:color w:val="auto"/>
          <w:sz w:val="21"/>
          <w:szCs w:val="21"/>
          <w:highlight w:val="none"/>
        </w:rPr>
      </w:pPr>
      <w:r>
        <w:rPr>
          <w:rFonts w:hint="eastAsia"/>
          <w:color w:val="auto"/>
          <w:sz w:val="21"/>
          <w:szCs w:val="21"/>
          <w:highlight w:val="none"/>
        </w:rPr>
        <w:br w:type="page"/>
      </w:r>
    </w:p>
    <w:bookmarkEnd w:id="48"/>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bookmarkStart w:id="50" w:name="_Hlk118029983"/>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杭州电子科技大学精准育人系统开发</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：QSZB-Z(F)-B22442(CS)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0"/>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bookmarkStart w:id="51" w:name="_Hlk118030178"/>
      <w:r>
        <w:rPr>
          <w:rFonts w:hint="eastAsia"/>
          <w:color w:val="auto"/>
          <w:sz w:val="21"/>
          <w:szCs w:val="21"/>
          <w:highlight w:val="none"/>
        </w:rPr>
        <w:t>致：杭州电子科技大学、浙江求是招标代理有限公司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杭州电子科技大学精准育人系统开发标项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▲供应商授权代表必须为供应商本单位在职职工，并提供2021</w:t>
      </w:r>
      <w:r>
        <w:rPr>
          <w:color w:val="auto"/>
          <w:sz w:val="21"/>
          <w:szCs w:val="21"/>
          <w:highlight w:val="none"/>
          <w:u w:val="single"/>
        </w:rPr>
        <w:t>年12月（含）以后任意一月社保缴纳证明</w:t>
      </w:r>
      <w:r>
        <w:rPr>
          <w:rFonts w:hint="eastAsia"/>
          <w:color w:val="auto"/>
          <w:sz w:val="21"/>
          <w:szCs w:val="21"/>
          <w:highlight w:val="none"/>
          <w:u w:val="single"/>
        </w:rPr>
        <w:t>。</w:t>
      </w:r>
    </w:p>
    <w:p>
      <w:pPr>
        <w:adjustRightInd w:val="0"/>
        <w:snapToGrid w:val="0"/>
        <w:spacing w:line="288" w:lineRule="auto"/>
        <w:rPr>
          <w:b/>
          <w:bCs/>
          <w:color w:val="auto"/>
          <w:sz w:val="21"/>
          <w:szCs w:val="21"/>
          <w:highlight w:val="none"/>
        </w:rPr>
      </w:pPr>
    </w:p>
    <w:p>
      <w:pPr>
        <w:adjustRightInd w:val="0"/>
        <w:snapToGrid w:val="0"/>
        <w:spacing w:line="288" w:lineRule="auto"/>
        <w:rPr>
          <w:color w:val="auto"/>
          <w:sz w:val="21"/>
          <w:szCs w:val="21"/>
          <w:highlight w:val="none"/>
        </w:rPr>
      </w:pPr>
      <w:r>
        <w:rPr>
          <w:rFonts w:hint="eastAsia"/>
          <w:b/>
          <w:bCs/>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法定代表人身份证明：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授权代表身份证明：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tc>
      </w:tr>
      <w:bookmarkEnd w:id="51"/>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）2021年12月（含）以后任意一月的供应商授权代表社保缴纳证明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项目名称：精准育人系统开发</w:t>
      </w:r>
    </w:p>
    <w:p>
      <w:pPr>
        <w:adjustRightInd w:val="0"/>
        <w:snapToGrid w:val="0"/>
        <w:spacing w:line="288" w:lineRule="auto"/>
        <w:rPr>
          <w:color w:val="auto"/>
          <w:sz w:val="21"/>
          <w:szCs w:val="21"/>
          <w:highlight w:val="none"/>
        </w:rPr>
      </w:pPr>
      <w:r>
        <w:rPr>
          <w:rFonts w:hint="eastAsia"/>
          <w:color w:val="auto"/>
          <w:sz w:val="21"/>
          <w:szCs w:val="21"/>
          <w:highlight w:val="none"/>
        </w:rPr>
        <w:t>项目编号：QSZB-Z(F)-B22442(CS)</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lang w:bidi="ar"/>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widowControl/>
        <w:jc w:val="left"/>
        <w:rPr>
          <w:rFonts w:hint="eastAsia"/>
          <w:b/>
          <w:bCs/>
          <w:color w:val="auto"/>
          <w:sz w:val="21"/>
          <w:szCs w:val="21"/>
          <w:highlight w:val="none"/>
        </w:rPr>
      </w:pPr>
      <w:r>
        <w:rPr>
          <w:rFonts w:hint="eastAsia"/>
          <w:b/>
          <w:bCs/>
          <w:color w:val="auto"/>
          <w:sz w:val="21"/>
          <w:szCs w:val="21"/>
          <w:highlight w:val="none"/>
        </w:rPr>
        <w:t>（6）实施方案</w:t>
      </w:r>
    </w:p>
    <w:p>
      <w:pPr>
        <w:widowControl/>
        <w:jc w:val="left"/>
        <w:rPr>
          <w:rFonts w:hint="eastAsia"/>
          <w:b/>
          <w:bCs/>
          <w:color w:val="auto"/>
          <w:sz w:val="21"/>
          <w:szCs w:val="21"/>
          <w:highlight w:val="none"/>
        </w:rPr>
      </w:pPr>
      <w:r>
        <w:rPr>
          <w:rFonts w:hint="eastAsia"/>
          <w:b/>
          <w:bCs/>
          <w:color w:val="auto"/>
          <w:sz w:val="21"/>
          <w:szCs w:val="21"/>
          <w:highlight w:val="none"/>
        </w:rPr>
        <w:t>（7）售后服务</w:t>
      </w:r>
    </w:p>
    <w:p>
      <w:pPr>
        <w:widowControl/>
        <w:jc w:val="left"/>
        <w:rPr>
          <w:rFonts w:hint="eastAsia"/>
          <w:b/>
          <w:bCs/>
          <w:color w:val="auto"/>
          <w:sz w:val="21"/>
          <w:szCs w:val="21"/>
          <w:highlight w:val="none"/>
        </w:rPr>
      </w:pPr>
      <w:r>
        <w:rPr>
          <w:rFonts w:hint="eastAsia"/>
          <w:b/>
          <w:bCs/>
          <w:color w:val="auto"/>
          <w:sz w:val="21"/>
          <w:szCs w:val="21"/>
          <w:highlight w:val="none"/>
        </w:rPr>
        <w:t>（8）培训计划</w:t>
      </w:r>
    </w:p>
    <w:p>
      <w:pPr>
        <w:widowControl/>
        <w:jc w:val="left"/>
        <w:rPr>
          <w:b/>
          <w:color w:val="auto"/>
          <w:spacing w:val="-6"/>
          <w:sz w:val="21"/>
          <w:szCs w:val="21"/>
          <w:highlight w:val="none"/>
        </w:rPr>
      </w:pPr>
      <w:r>
        <w:rPr>
          <w:rFonts w:hint="eastAsia"/>
          <w:b/>
          <w:bCs/>
          <w:color w:val="auto"/>
          <w:sz w:val="21"/>
          <w:szCs w:val="21"/>
          <w:highlight w:val="none"/>
        </w:rPr>
        <w:t>（9）测试验收、质量控制</w:t>
      </w: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1F6ACE"/>
    <w:multiLevelType w:val="multilevel"/>
    <w:tmpl w:val="E51F6AC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26AA"/>
    <w:rsid w:val="00017F85"/>
    <w:rsid w:val="00020F6F"/>
    <w:rsid w:val="00021B54"/>
    <w:rsid w:val="00021E52"/>
    <w:rsid w:val="0002527B"/>
    <w:rsid w:val="00026204"/>
    <w:rsid w:val="0002684E"/>
    <w:rsid w:val="00031B39"/>
    <w:rsid w:val="00033A1D"/>
    <w:rsid w:val="00052BA5"/>
    <w:rsid w:val="0006288D"/>
    <w:rsid w:val="00064FF1"/>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E7D93"/>
    <w:rsid w:val="000F1F25"/>
    <w:rsid w:val="000F74F6"/>
    <w:rsid w:val="000F7F44"/>
    <w:rsid w:val="00110E4C"/>
    <w:rsid w:val="0012475B"/>
    <w:rsid w:val="00127812"/>
    <w:rsid w:val="0013073F"/>
    <w:rsid w:val="00132B0E"/>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467A"/>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655A"/>
    <w:rsid w:val="00297341"/>
    <w:rsid w:val="002A0D65"/>
    <w:rsid w:val="002A143E"/>
    <w:rsid w:val="002A2B06"/>
    <w:rsid w:val="002A497A"/>
    <w:rsid w:val="002A7800"/>
    <w:rsid w:val="002B00EC"/>
    <w:rsid w:val="002B6EDB"/>
    <w:rsid w:val="002C7B80"/>
    <w:rsid w:val="002D59A6"/>
    <w:rsid w:val="002D5B1A"/>
    <w:rsid w:val="002D75DE"/>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714"/>
    <w:rsid w:val="00333ECD"/>
    <w:rsid w:val="003451E0"/>
    <w:rsid w:val="00347DC5"/>
    <w:rsid w:val="003544E6"/>
    <w:rsid w:val="003554CF"/>
    <w:rsid w:val="003574D9"/>
    <w:rsid w:val="0036448F"/>
    <w:rsid w:val="003658D8"/>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3F0C89"/>
    <w:rsid w:val="0040087E"/>
    <w:rsid w:val="00403DFF"/>
    <w:rsid w:val="0040692C"/>
    <w:rsid w:val="00406E33"/>
    <w:rsid w:val="00410205"/>
    <w:rsid w:val="004114B7"/>
    <w:rsid w:val="00411C4F"/>
    <w:rsid w:val="00414B48"/>
    <w:rsid w:val="00421745"/>
    <w:rsid w:val="004235BA"/>
    <w:rsid w:val="0043243E"/>
    <w:rsid w:val="0043271C"/>
    <w:rsid w:val="00436610"/>
    <w:rsid w:val="004373B0"/>
    <w:rsid w:val="00437E88"/>
    <w:rsid w:val="004407A1"/>
    <w:rsid w:val="0044631C"/>
    <w:rsid w:val="00447892"/>
    <w:rsid w:val="0045716B"/>
    <w:rsid w:val="00460410"/>
    <w:rsid w:val="0046295C"/>
    <w:rsid w:val="00462F48"/>
    <w:rsid w:val="00467FA3"/>
    <w:rsid w:val="00475C02"/>
    <w:rsid w:val="0047650F"/>
    <w:rsid w:val="00477C08"/>
    <w:rsid w:val="0048411A"/>
    <w:rsid w:val="00491B8C"/>
    <w:rsid w:val="00494CFA"/>
    <w:rsid w:val="004A7850"/>
    <w:rsid w:val="004B27EF"/>
    <w:rsid w:val="004B5D4B"/>
    <w:rsid w:val="004C0583"/>
    <w:rsid w:val="004C28D6"/>
    <w:rsid w:val="004C5538"/>
    <w:rsid w:val="004D29E5"/>
    <w:rsid w:val="004E0163"/>
    <w:rsid w:val="004E5385"/>
    <w:rsid w:val="004E5BEF"/>
    <w:rsid w:val="0050167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0ECB"/>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37FD"/>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2DCD"/>
    <w:rsid w:val="006B4656"/>
    <w:rsid w:val="006C1D47"/>
    <w:rsid w:val="006C3481"/>
    <w:rsid w:val="006C6EEA"/>
    <w:rsid w:val="006D3BAA"/>
    <w:rsid w:val="006D634D"/>
    <w:rsid w:val="006D7283"/>
    <w:rsid w:val="006E5749"/>
    <w:rsid w:val="006F277C"/>
    <w:rsid w:val="006F46B6"/>
    <w:rsid w:val="0070138B"/>
    <w:rsid w:val="00705EF5"/>
    <w:rsid w:val="00707602"/>
    <w:rsid w:val="00707B60"/>
    <w:rsid w:val="00711714"/>
    <w:rsid w:val="00712984"/>
    <w:rsid w:val="0071599A"/>
    <w:rsid w:val="007325CF"/>
    <w:rsid w:val="007326C2"/>
    <w:rsid w:val="00732CDB"/>
    <w:rsid w:val="0073538E"/>
    <w:rsid w:val="00742B0C"/>
    <w:rsid w:val="007430B7"/>
    <w:rsid w:val="007453F9"/>
    <w:rsid w:val="0075711C"/>
    <w:rsid w:val="007577E7"/>
    <w:rsid w:val="00757AD3"/>
    <w:rsid w:val="00757B26"/>
    <w:rsid w:val="00761FCE"/>
    <w:rsid w:val="00766D5A"/>
    <w:rsid w:val="007674CC"/>
    <w:rsid w:val="00771EA2"/>
    <w:rsid w:val="007746C9"/>
    <w:rsid w:val="007836E8"/>
    <w:rsid w:val="00783DE5"/>
    <w:rsid w:val="00786251"/>
    <w:rsid w:val="007873F4"/>
    <w:rsid w:val="007904D7"/>
    <w:rsid w:val="00791767"/>
    <w:rsid w:val="00792FBD"/>
    <w:rsid w:val="007A2CA3"/>
    <w:rsid w:val="007B160C"/>
    <w:rsid w:val="007C2F9C"/>
    <w:rsid w:val="007C537A"/>
    <w:rsid w:val="007C79B6"/>
    <w:rsid w:val="007D1444"/>
    <w:rsid w:val="007D2661"/>
    <w:rsid w:val="007E240F"/>
    <w:rsid w:val="007E681D"/>
    <w:rsid w:val="007F2E8B"/>
    <w:rsid w:val="007F6A04"/>
    <w:rsid w:val="00800ABA"/>
    <w:rsid w:val="00800FCE"/>
    <w:rsid w:val="008102C9"/>
    <w:rsid w:val="00810FA6"/>
    <w:rsid w:val="008133A4"/>
    <w:rsid w:val="00814C63"/>
    <w:rsid w:val="008316E0"/>
    <w:rsid w:val="00837339"/>
    <w:rsid w:val="00840283"/>
    <w:rsid w:val="00840FE7"/>
    <w:rsid w:val="00841ADD"/>
    <w:rsid w:val="00843675"/>
    <w:rsid w:val="00851510"/>
    <w:rsid w:val="008634FB"/>
    <w:rsid w:val="008639D0"/>
    <w:rsid w:val="008726B6"/>
    <w:rsid w:val="00881242"/>
    <w:rsid w:val="00882EE8"/>
    <w:rsid w:val="008A129F"/>
    <w:rsid w:val="008A2AE3"/>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27A90"/>
    <w:rsid w:val="00936D8A"/>
    <w:rsid w:val="00937430"/>
    <w:rsid w:val="00946CA8"/>
    <w:rsid w:val="00950B67"/>
    <w:rsid w:val="00953C5E"/>
    <w:rsid w:val="00957D35"/>
    <w:rsid w:val="009637F6"/>
    <w:rsid w:val="009653D9"/>
    <w:rsid w:val="00966E9D"/>
    <w:rsid w:val="00967418"/>
    <w:rsid w:val="00981D3A"/>
    <w:rsid w:val="009835C7"/>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27CD4"/>
    <w:rsid w:val="00A30675"/>
    <w:rsid w:val="00A31A33"/>
    <w:rsid w:val="00A33906"/>
    <w:rsid w:val="00A35229"/>
    <w:rsid w:val="00A40AAC"/>
    <w:rsid w:val="00A42750"/>
    <w:rsid w:val="00A42C00"/>
    <w:rsid w:val="00A44530"/>
    <w:rsid w:val="00A549DF"/>
    <w:rsid w:val="00A6088B"/>
    <w:rsid w:val="00A64554"/>
    <w:rsid w:val="00A732F4"/>
    <w:rsid w:val="00A73C39"/>
    <w:rsid w:val="00A76EBE"/>
    <w:rsid w:val="00A819DE"/>
    <w:rsid w:val="00A81A32"/>
    <w:rsid w:val="00A82257"/>
    <w:rsid w:val="00A86E0A"/>
    <w:rsid w:val="00A9606B"/>
    <w:rsid w:val="00A96AF6"/>
    <w:rsid w:val="00A96BAB"/>
    <w:rsid w:val="00AA0EF3"/>
    <w:rsid w:val="00AA31FE"/>
    <w:rsid w:val="00AA3A8D"/>
    <w:rsid w:val="00AA6460"/>
    <w:rsid w:val="00AB018B"/>
    <w:rsid w:val="00AB05B7"/>
    <w:rsid w:val="00AB2659"/>
    <w:rsid w:val="00AB4295"/>
    <w:rsid w:val="00AB5BA0"/>
    <w:rsid w:val="00AB5FB1"/>
    <w:rsid w:val="00AC1688"/>
    <w:rsid w:val="00AC20C7"/>
    <w:rsid w:val="00AC2671"/>
    <w:rsid w:val="00AC6367"/>
    <w:rsid w:val="00AC6923"/>
    <w:rsid w:val="00AD3EB3"/>
    <w:rsid w:val="00AD6DFA"/>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0CB0"/>
    <w:rsid w:val="00B22B41"/>
    <w:rsid w:val="00B255CB"/>
    <w:rsid w:val="00B273E5"/>
    <w:rsid w:val="00B27D5F"/>
    <w:rsid w:val="00B33C94"/>
    <w:rsid w:val="00B34DE9"/>
    <w:rsid w:val="00B35964"/>
    <w:rsid w:val="00B3599C"/>
    <w:rsid w:val="00B368F7"/>
    <w:rsid w:val="00B43EB1"/>
    <w:rsid w:val="00B44156"/>
    <w:rsid w:val="00B461A3"/>
    <w:rsid w:val="00B46901"/>
    <w:rsid w:val="00B60372"/>
    <w:rsid w:val="00B60617"/>
    <w:rsid w:val="00B75F72"/>
    <w:rsid w:val="00B76572"/>
    <w:rsid w:val="00B8265D"/>
    <w:rsid w:val="00B82769"/>
    <w:rsid w:val="00B83D54"/>
    <w:rsid w:val="00BA1344"/>
    <w:rsid w:val="00BA20EE"/>
    <w:rsid w:val="00BA23C3"/>
    <w:rsid w:val="00BA5574"/>
    <w:rsid w:val="00BA5B33"/>
    <w:rsid w:val="00BB0434"/>
    <w:rsid w:val="00BB537B"/>
    <w:rsid w:val="00BC0A2A"/>
    <w:rsid w:val="00BC0C37"/>
    <w:rsid w:val="00BC69B9"/>
    <w:rsid w:val="00BD1071"/>
    <w:rsid w:val="00BD48DF"/>
    <w:rsid w:val="00BD4A95"/>
    <w:rsid w:val="00BD6DF5"/>
    <w:rsid w:val="00BF12A4"/>
    <w:rsid w:val="00BF7858"/>
    <w:rsid w:val="00C00789"/>
    <w:rsid w:val="00C06714"/>
    <w:rsid w:val="00C06A4F"/>
    <w:rsid w:val="00C127D1"/>
    <w:rsid w:val="00C16A0C"/>
    <w:rsid w:val="00C23F1B"/>
    <w:rsid w:val="00C31136"/>
    <w:rsid w:val="00C32739"/>
    <w:rsid w:val="00C419D0"/>
    <w:rsid w:val="00C43452"/>
    <w:rsid w:val="00C43EC7"/>
    <w:rsid w:val="00C52EE1"/>
    <w:rsid w:val="00C55C7A"/>
    <w:rsid w:val="00C57C91"/>
    <w:rsid w:val="00C7549F"/>
    <w:rsid w:val="00C80011"/>
    <w:rsid w:val="00C8122C"/>
    <w:rsid w:val="00C86AE4"/>
    <w:rsid w:val="00C87810"/>
    <w:rsid w:val="00C91A0B"/>
    <w:rsid w:val="00CA49FE"/>
    <w:rsid w:val="00CA6274"/>
    <w:rsid w:val="00CA65D5"/>
    <w:rsid w:val="00CA68BB"/>
    <w:rsid w:val="00CA714D"/>
    <w:rsid w:val="00CB0955"/>
    <w:rsid w:val="00CB14DC"/>
    <w:rsid w:val="00CB430B"/>
    <w:rsid w:val="00CC137F"/>
    <w:rsid w:val="00CC4BB4"/>
    <w:rsid w:val="00CD13BC"/>
    <w:rsid w:val="00CD43DF"/>
    <w:rsid w:val="00CD7BE2"/>
    <w:rsid w:val="00CE2B63"/>
    <w:rsid w:val="00CE313A"/>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39D2"/>
    <w:rsid w:val="00D358FB"/>
    <w:rsid w:val="00D37F05"/>
    <w:rsid w:val="00D44ACC"/>
    <w:rsid w:val="00D45C73"/>
    <w:rsid w:val="00D45F06"/>
    <w:rsid w:val="00D5473A"/>
    <w:rsid w:val="00D549C3"/>
    <w:rsid w:val="00D57BB0"/>
    <w:rsid w:val="00D60DAD"/>
    <w:rsid w:val="00D63B7F"/>
    <w:rsid w:val="00D6455C"/>
    <w:rsid w:val="00D6559F"/>
    <w:rsid w:val="00D66B50"/>
    <w:rsid w:val="00D70BAD"/>
    <w:rsid w:val="00D722AC"/>
    <w:rsid w:val="00D80A2C"/>
    <w:rsid w:val="00D87236"/>
    <w:rsid w:val="00D91A7B"/>
    <w:rsid w:val="00D92F42"/>
    <w:rsid w:val="00D930C1"/>
    <w:rsid w:val="00D938F4"/>
    <w:rsid w:val="00D94A0C"/>
    <w:rsid w:val="00D96E37"/>
    <w:rsid w:val="00DA38EB"/>
    <w:rsid w:val="00DA499E"/>
    <w:rsid w:val="00DA57F3"/>
    <w:rsid w:val="00DA6115"/>
    <w:rsid w:val="00DA66D7"/>
    <w:rsid w:val="00DB0427"/>
    <w:rsid w:val="00DB252D"/>
    <w:rsid w:val="00DB7001"/>
    <w:rsid w:val="00DD03A9"/>
    <w:rsid w:val="00DD07ED"/>
    <w:rsid w:val="00DD08CA"/>
    <w:rsid w:val="00DD2AFA"/>
    <w:rsid w:val="00DD3361"/>
    <w:rsid w:val="00DD6BD6"/>
    <w:rsid w:val="00DD6C5E"/>
    <w:rsid w:val="00DE0018"/>
    <w:rsid w:val="00DE276C"/>
    <w:rsid w:val="00DE402D"/>
    <w:rsid w:val="00DE6C87"/>
    <w:rsid w:val="00DF07C2"/>
    <w:rsid w:val="00DF205A"/>
    <w:rsid w:val="00DF3A0D"/>
    <w:rsid w:val="00DF40BC"/>
    <w:rsid w:val="00DF5142"/>
    <w:rsid w:val="00E02718"/>
    <w:rsid w:val="00E02BC1"/>
    <w:rsid w:val="00E03F07"/>
    <w:rsid w:val="00E06FA8"/>
    <w:rsid w:val="00E07963"/>
    <w:rsid w:val="00E12310"/>
    <w:rsid w:val="00E172A6"/>
    <w:rsid w:val="00E17C9D"/>
    <w:rsid w:val="00E26AFE"/>
    <w:rsid w:val="00E26F8C"/>
    <w:rsid w:val="00E30E42"/>
    <w:rsid w:val="00E3206B"/>
    <w:rsid w:val="00E36D93"/>
    <w:rsid w:val="00E370E0"/>
    <w:rsid w:val="00E44DDA"/>
    <w:rsid w:val="00E5038C"/>
    <w:rsid w:val="00E53955"/>
    <w:rsid w:val="00E565AC"/>
    <w:rsid w:val="00E65F2D"/>
    <w:rsid w:val="00E66BFD"/>
    <w:rsid w:val="00E702BC"/>
    <w:rsid w:val="00E7371B"/>
    <w:rsid w:val="00E9083B"/>
    <w:rsid w:val="00E90F04"/>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7615D"/>
    <w:rsid w:val="00F80014"/>
    <w:rsid w:val="00F80F99"/>
    <w:rsid w:val="00F8465A"/>
    <w:rsid w:val="00F9106A"/>
    <w:rsid w:val="00F94DF0"/>
    <w:rsid w:val="00FA173C"/>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2B03C85"/>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67872"/>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4B561F"/>
    <w:rsid w:val="195041F3"/>
    <w:rsid w:val="198978FC"/>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8351A0"/>
    <w:rsid w:val="58B24F2D"/>
    <w:rsid w:val="58B6757E"/>
    <w:rsid w:val="59427DB3"/>
    <w:rsid w:val="597E6AEA"/>
    <w:rsid w:val="59D83E0E"/>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4F4E0A"/>
    <w:rsid w:val="5E58304E"/>
    <w:rsid w:val="5E8C73C5"/>
    <w:rsid w:val="5EF26512"/>
    <w:rsid w:val="5F333DDF"/>
    <w:rsid w:val="5F653280"/>
    <w:rsid w:val="5F7C52CA"/>
    <w:rsid w:val="60122100"/>
    <w:rsid w:val="60BF4EDB"/>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311E47"/>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A2260E"/>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A51CE8"/>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2">
    <w:name w:val="Body Text First Indent 2"/>
    <w:unhideWhenUsed/>
    <w:qFormat/>
    <w:uiPriority w:val="99"/>
    <w:pPr>
      <w:widowControl w:val="0"/>
      <w:spacing w:line="200" w:lineRule="atLeast"/>
      <w:ind w:firstLine="420"/>
      <w:jc w:val="both"/>
    </w:pPr>
    <w:rPr>
      <w:rFonts w:ascii="宋体" w:hAnsi="Courier New" w:eastAsia="宋体" w:cs="Times New Roman"/>
      <w:spacing w:val="-4"/>
      <w:sz w:val="18"/>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Date"/>
    <w:basedOn w:val="1"/>
    <w:next w:val="1"/>
    <w:link w:val="28"/>
    <w:qFormat/>
    <w:uiPriority w:val="0"/>
    <w:pPr>
      <w:ind w:left="100" w:leftChars="2500"/>
    </w:pPr>
  </w:style>
  <w:style w:type="paragraph" w:styleId="7">
    <w:name w:val="Balloon Text"/>
    <w:basedOn w:val="1"/>
    <w:link w:val="17"/>
    <w:qFormat/>
    <w:uiPriority w:val="0"/>
    <w:rPr>
      <w:sz w:val="18"/>
      <w:szCs w:val="18"/>
    </w:rPr>
  </w:style>
  <w:style w:type="paragraph" w:styleId="8">
    <w:name w:val="footer"/>
    <w:basedOn w:val="1"/>
    <w:link w:val="24"/>
    <w:qFormat/>
    <w:uiPriority w:val="99"/>
    <w:pPr>
      <w:tabs>
        <w:tab w:val="center" w:pos="4153"/>
        <w:tab w:val="right" w:pos="8306"/>
      </w:tabs>
      <w:snapToGrid w:val="0"/>
      <w:jc w:val="left"/>
    </w:pPr>
    <w:rPr>
      <w:sz w:val="18"/>
    </w:rPr>
  </w:style>
  <w:style w:type="paragraph" w:styleId="9">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unhideWhenUsed/>
    <w:qFormat/>
    <w:uiPriority w:val="99"/>
    <w:pPr>
      <w:widowControl/>
      <w:spacing w:before="100" w:beforeAutospacing="1" w:after="100" w:afterAutospacing="1"/>
      <w:jc w:val="left"/>
    </w:pPr>
    <w:rPr>
      <w:kern w:val="0"/>
    </w:rPr>
  </w:style>
  <w:style w:type="paragraph" w:styleId="11">
    <w:name w:val="annotation subject"/>
    <w:basedOn w:val="3"/>
    <w:next w:val="3"/>
    <w:link w:val="27"/>
    <w:semiHidden/>
    <w:unhideWhenUsed/>
    <w:qFormat/>
    <w:uiPriority w:val="0"/>
    <w:rPr>
      <w:rFonts w:ascii="宋体" w:hAnsi="宋体" w:cs="宋体"/>
      <w:b/>
      <w:bCs/>
      <w:sz w:val="24"/>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cBorders>
        <w:top w:val="single" w:color="auto" w:sz="4" w:space="0"/>
        <w:left w:val="single" w:color="auto" w:sz="4" w:space="0"/>
        <w:bottom w:val="single" w:color="auto" w:sz="4" w:space="0"/>
        <w:right w:val="single" w:color="auto" w:sz="4" w:space="0"/>
      </w:tcBorders>
    </w:tc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7"/>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页脚 字符"/>
    <w:basedOn w:val="14"/>
    <w:link w:val="8"/>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5"/>
    <w:qFormat/>
    <w:uiPriority w:val="99"/>
    <w:rPr>
      <w:rFonts w:ascii="宋体" w:hAnsi="Courier New" w:eastAsiaTheme="minorEastAsia" w:cstheme="minorBidi"/>
      <w:kern w:val="2"/>
      <w:sz w:val="24"/>
      <w:szCs w:val="24"/>
    </w:rPr>
  </w:style>
  <w:style w:type="character" w:customStyle="1" w:styleId="27">
    <w:name w:val="批注主题 字符"/>
    <w:basedOn w:val="18"/>
    <w:link w:val="11"/>
    <w:semiHidden/>
    <w:qFormat/>
    <w:uiPriority w:val="0"/>
    <w:rPr>
      <w:rFonts w:ascii="宋体" w:hAnsi="宋体" w:cs="宋体"/>
      <w:b/>
      <w:bCs/>
      <w:kern w:val="2"/>
      <w:sz w:val="24"/>
      <w:szCs w:val="24"/>
    </w:rPr>
  </w:style>
  <w:style w:type="character" w:customStyle="1" w:styleId="28">
    <w:name w:val="日期 字符"/>
    <w:basedOn w:val="14"/>
    <w:link w:val="6"/>
    <w:qFormat/>
    <w:uiPriority w:val="0"/>
    <w:rPr>
      <w:rFonts w:ascii="宋体" w:hAnsi="宋体" w:cs="宋体"/>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Normal.dotm</Template>
  <Pages>47</Pages>
  <Words>4495</Words>
  <Characters>25624</Characters>
  <Lines>213</Lines>
  <Paragraphs>60</Paragraphs>
  <TotalTime>47</TotalTime>
  <ScaleCrop>false</ScaleCrop>
  <LinksUpToDate>false</LinksUpToDate>
  <CharactersWithSpaces>30059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浙江求是招标代理有限公司</cp:lastModifiedBy>
  <cp:lastPrinted>2020-04-01T05:56:00Z</cp:lastPrinted>
  <dcterms:modified xsi:type="dcterms:W3CDTF">2022-11-04T03:23:39Z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