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14:paraId="1E2C7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14:paraId="52FEDD3A">
            <w:pPr>
              <w:pStyle w:val="3"/>
              <w:keepNext w:val="0"/>
              <w:keepLines w:val="0"/>
              <w:pageBreakBefore w:val="0"/>
              <w:widowControl w:val="0"/>
              <w:kinsoku/>
              <w:wordWrap/>
              <w:overflowPunct/>
              <w:topLinePunct w:val="0"/>
              <w:bidi w:val="0"/>
              <w:adjustRightInd/>
              <w:snapToGrid/>
              <w:spacing w:line="360" w:lineRule="auto"/>
              <w:textAlignment w:val="auto"/>
              <w:rPr>
                <w:rFonts w:asciiTheme="majorEastAsia" w:hAnsiTheme="majorEastAsia" w:eastAsiaTheme="majorEastAsia"/>
              </w:rPr>
            </w:pPr>
            <w:r>
              <w:rPr>
                <w:rFonts w:hint="eastAsia" w:hAnsi="宋体" w:cs="宋体"/>
                <w:color w:val="000000"/>
                <w:highlight w:val="none"/>
              </w:rPr>
              <w:t>一、</w:t>
            </w:r>
            <w:r>
              <w:rPr>
                <w:rFonts w:hint="eastAsia" w:asciiTheme="majorEastAsia" w:hAnsiTheme="majorEastAsia" w:eastAsiaTheme="majorEastAsia"/>
              </w:rPr>
              <w:t>工程概况：</w:t>
            </w:r>
            <w:r>
              <w:rPr>
                <w:rFonts w:hint="eastAsia" w:asciiTheme="majorEastAsia" w:hAnsiTheme="majorEastAsia" w:eastAsiaTheme="majorEastAsia"/>
                <w:lang w:val="en-US" w:eastAsia="zh-CN"/>
              </w:rPr>
              <w:t>杭州电子科技大学科技馆6楼新质生产力研究院装修改造工程</w:t>
            </w:r>
            <w:r>
              <w:rPr>
                <w:rFonts w:hint="eastAsia" w:hAnsi="宋体" w:cs="宋体"/>
                <w:lang w:eastAsia="zh-CN"/>
              </w:rPr>
              <w:t>，</w:t>
            </w:r>
            <w:r>
              <w:rPr>
                <w:rFonts w:hint="eastAsia" w:hAnsi="宋体" w:cs="宋体"/>
                <w:lang w:val="en-US" w:eastAsia="zh-CN"/>
              </w:rPr>
              <w:t>工程范围为</w:t>
            </w:r>
            <w:r>
              <w:rPr>
                <w:rFonts w:hint="eastAsia" w:hAnsi="宋体" w:cs="宋体"/>
              </w:rPr>
              <w:t>杭州电子科技大学科技馆6楼新质生产力研究院装修改造工程</w:t>
            </w:r>
            <w:r>
              <w:rPr>
                <w:rFonts w:hint="eastAsia" w:hAnsi="宋体" w:cs="宋体"/>
                <w:lang w:val="en-US" w:eastAsia="zh-CN"/>
              </w:rPr>
              <w:t>工程量清单内所有内容，</w:t>
            </w:r>
            <w:r>
              <w:rPr>
                <w:rFonts w:hint="eastAsia" w:cs="宋体" w:asciiTheme="majorEastAsia" w:hAnsiTheme="majorEastAsia" w:eastAsiaTheme="majorEastAsia"/>
                <w:color w:val="000000"/>
                <w:lang w:val="en-US" w:eastAsia="zh-CN"/>
              </w:rPr>
              <w:t>地板地砖重铺、墙面装饰、吊顶换新及相应安装专业增加，</w:t>
            </w:r>
            <w:r>
              <w:rPr>
                <w:rFonts w:hint="eastAsia" w:cs="宋体" w:asciiTheme="majorEastAsia" w:hAnsiTheme="majorEastAsia" w:eastAsiaTheme="majorEastAsia"/>
                <w:color w:val="000000"/>
              </w:rPr>
              <w:t>具体内容和工程做法详见施工图及设计说明。</w:t>
            </w:r>
          </w:p>
          <w:p w14:paraId="692ABF1D">
            <w:pPr>
              <w:autoSpaceDE w:val="0"/>
              <w:autoSpaceDN w:val="0"/>
              <w:adjustRightInd w:val="0"/>
              <w:spacing w:line="360" w:lineRule="auto"/>
              <w:rPr>
                <w:rFonts w:ascii="宋体" w:hAnsi="宋体" w:cs="宋体"/>
                <w:color w:val="000000"/>
                <w:szCs w:val="21"/>
                <w:highlight w:val="none"/>
              </w:rPr>
            </w:pPr>
            <w:r>
              <w:rPr>
                <w:rFonts w:hint="eastAsia" w:ascii="宋体" w:hAnsi="宋体" w:cs="宋体"/>
                <w:color w:val="000000"/>
                <w:szCs w:val="21"/>
                <w:highlight w:val="none"/>
              </w:rPr>
              <w:t>二、工程招标范围：根据业主提供的图纸确</w:t>
            </w:r>
            <w:r>
              <w:rPr>
                <w:rFonts w:hint="eastAsia" w:cs="宋体"/>
                <w:color w:val="000000"/>
                <w:highlight w:val="none"/>
              </w:rPr>
              <w:t>定的范围。</w:t>
            </w:r>
          </w:p>
          <w:p w14:paraId="7A46138B">
            <w:pPr>
              <w:autoSpaceDE w:val="0"/>
              <w:autoSpaceDN w:val="0"/>
              <w:adjustRightInd w:val="0"/>
              <w:spacing w:line="360" w:lineRule="auto"/>
              <w:rPr>
                <w:rFonts w:hAnsi="宋体" w:cs="宋体"/>
                <w:color w:val="000000"/>
                <w:highlight w:val="none"/>
              </w:rPr>
            </w:pPr>
            <w:r>
              <w:rPr>
                <w:rFonts w:hint="eastAsia" w:hAnsi="宋体" w:cs="宋体"/>
                <w:color w:val="000000"/>
                <w:highlight w:val="none"/>
              </w:rPr>
              <w:t>三、编制依据：</w:t>
            </w:r>
          </w:p>
          <w:p w14:paraId="206F9FD7">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14:paraId="17C052D8">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14:paraId="6A9EC04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3.《通用安装工程工程量计算规范》（GB50856—2013）；</w:t>
            </w:r>
          </w:p>
          <w:p w14:paraId="06707921">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14:paraId="24FC10B8">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5．《关于印发建设工程工程量计算规范（2013）浙江省补充规定的通知》（浙建站计﹝2013﹞63号）；</w:t>
            </w:r>
          </w:p>
          <w:p w14:paraId="7430B29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14:paraId="6C04F79C">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7．《浙江省建设工程计价规则》（2018版）；</w:t>
            </w:r>
          </w:p>
          <w:p w14:paraId="17F811EF">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8.《关于增值税调整后我省建设工程计价依据增值税税率及有关计价调整的通知》（浙建建发[2019]92号 ）；</w:t>
            </w:r>
          </w:p>
          <w:p w14:paraId="00EC0C76">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9.《杭州市城乡建设委员会关于推进杭州市建筑施工领域安全生产责任保险工作的通知》（杭建工发[2021]384号）、《关于明确杭州市建筑施工领域安全生产责任保险费用计取的通知》（杭建招标造价中心[2021]84号）；</w:t>
            </w:r>
          </w:p>
          <w:p w14:paraId="7240F7B6">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10.《省建设厅关于调整建筑工程安全文明施工费的通知》（浙建建发[2022]37号）；</w:t>
            </w:r>
          </w:p>
          <w:p w14:paraId="40352B5F">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11.关于贯彻《省建设厅关于调整建筑工程安全文明施工费的通知》的通知（杭建市发[2022]54号）；</w:t>
            </w:r>
          </w:p>
          <w:p w14:paraId="0C5AA2E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12．省、市建设行政主管部门以及工程造价管理机构颁发的相关计价办法和计价规定；</w:t>
            </w:r>
          </w:p>
          <w:p w14:paraId="026B6B3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13．其他与工程项目有关的规范、标准和技术资料；</w:t>
            </w:r>
          </w:p>
          <w:p w14:paraId="5F7D3F7F">
            <w:pPr>
              <w:autoSpaceDE w:val="0"/>
              <w:autoSpaceDN w:val="0"/>
              <w:adjustRightInd w:val="0"/>
              <w:spacing w:line="360" w:lineRule="auto"/>
              <w:ind w:firstLine="1"/>
              <w:jc w:val="left"/>
              <w:rPr>
                <w:rFonts w:ascii="宋体" w:hAnsi="宋体" w:cs="宋体"/>
                <w:color w:val="000000"/>
                <w:szCs w:val="21"/>
                <w:highlight w:val="none"/>
              </w:rPr>
            </w:pPr>
            <w:r>
              <w:rPr>
                <w:rFonts w:hint="eastAsia" w:ascii="宋体" w:hAnsi="宋体" w:cs="宋体"/>
                <w:color w:val="000000"/>
                <w:szCs w:val="21"/>
                <w:highlight w:val="none"/>
              </w:rPr>
              <w:t xml:space="preserve">   </w:t>
            </w:r>
            <w:r>
              <w:rPr>
                <w:rFonts w:ascii="宋体" w:hAnsi="宋体" w:cs="宋体"/>
                <w:color w:val="000000"/>
                <w:szCs w:val="21"/>
                <w:highlight w:val="none"/>
              </w:rPr>
              <w:t xml:space="preserve"> </w:t>
            </w:r>
            <w:r>
              <w:rPr>
                <w:rFonts w:hint="eastAsia" w:ascii="宋体" w:hAnsi="宋体" w:cs="宋体"/>
                <w:color w:val="000000"/>
                <w:szCs w:val="21"/>
                <w:highlight w:val="none"/>
              </w:rPr>
              <w:t>14．施工现场实际情况、工程特点、常规施工方案；</w:t>
            </w:r>
          </w:p>
          <w:p w14:paraId="6CE8CF1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15．业主提供的设计图纸。</w:t>
            </w:r>
          </w:p>
          <w:p w14:paraId="09172A2F">
            <w:pPr>
              <w:pStyle w:val="3"/>
              <w:tabs>
                <w:tab w:val="left" w:pos="3060"/>
              </w:tabs>
              <w:spacing w:line="360" w:lineRule="auto"/>
              <w:ind w:firstLine="1"/>
              <w:rPr>
                <w:rFonts w:hAnsi="宋体" w:cs="宋体"/>
                <w:color w:val="000000"/>
                <w:highlight w:val="none"/>
              </w:rPr>
            </w:pPr>
            <w:r>
              <w:rPr>
                <w:rFonts w:hint="eastAsia" w:hAnsi="宋体" w:cs="宋体"/>
                <w:color w:val="000000"/>
                <w:highlight w:val="none"/>
              </w:rPr>
              <w:t>四、报价要求：</w:t>
            </w:r>
          </w:p>
          <w:p w14:paraId="279CA9F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1．工程量清单应与投标人须知，通用合同条款、专用合同条款、技术标准和要求及图纸等文件结合起来查阅与理解，并根据现场实际情况综合考虑报价；</w:t>
            </w:r>
          </w:p>
          <w:p w14:paraId="7734B7C4">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14:paraId="149BA2B3">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14:paraId="08682F2A">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4</w:t>
            </w:r>
            <w:r>
              <w:rPr>
                <w:rFonts w:hint="eastAsia" w:hAnsi="宋体" w:cs="宋体"/>
                <w:color w:val="000000"/>
                <w:highlight w:val="none"/>
              </w:rPr>
              <w:t>．安全文明施工基本费费率不得低于《浙江省建设工程计价规则》（2018版）规定的下限，按市区工程计取，其中疫情常态化防控及“智慧工地”费用计取按照：浙建建发[2022]37号文件执行，包含在安全文明施工费内，具体如下：</w:t>
            </w:r>
          </w:p>
          <w:p w14:paraId="3E7A4E9A">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机械费”，最低费率为：5.91%；</w:t>
            </w:r>
          </w:p>
          <w:p w14:paraId="488ACDE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机械费”，最低费率为：7.35%；</w:t>
            </w:r>
          </w:p>
          <w:p w14:paraId="72F15236">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5</w:t>
            </w:r>
            <w:r>
              <w:rPr>
                <w:rFonts w:hint="eastAsia" w:hAnsi="宋体" w:cs="宋体"/>
                <w:color w:val="000000"/>
                <w:highlight w:val="none"/>
              </w:rPr>
              <w:t>．规费费率不得低于《浙江省建设工程计价规则》（</w:t>
            </w:r>
            <w:r>
              <w:rPr>
                <w:rFonts w:hAnsi="宋体" w:cs="宋体"/>
                <w:color w:val="000000"/>
                <w:highlight w:val="none"/>
              </w:rPr>
              <w:t>201</w:t>
            </w:r>
            <w:r>
              <w:rPr>
                <w:rFonts w:hint="eastAsia" w:hAnsi="宋体" w:cs="宋体"/>
                <w:color w:val="000000"/>
                <w:highlight w:val="none"/>
              </w:rPr>
              <w:t>8版）的30%，具体如下：</w:t>
            </w:r>
          </w:p>
          <w:p w14:paraId="30B48742">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机械费”，最低费率为：8.38%；</w:t>
            </w:r>
          </w:p>
          <w:p w14:paraId="7D3B587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机械费”，最低费率为：9.19%；</w:t>
            </w:r>
          </w:p>
          <w:p w14:paraId="7DE92CFD">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6</w:t>
            </w:r>
            <w:r>
              <w:rPr>
                <w:rFonts w:hint="eastAsia" w:hAnsi="宋体" w:cs="宋体"/>
                <w:color w:val="000000"/>
                <w:highlight w:val="none"/>
              </w:rPr>
              <w:t>．根据杭建市发【2018】578号文规定，企业管理费报价不得低于省建设行政主管部门颁发的施工费用定额和相关取费计价文件规定的对应专业工程企业管理费弹性费率下限乘以20%的计算值。其中安责险计取按照：杭建工发[2021] 384号文件，杭建招标造价中心[2021]84号文件结合本项目实际情况，自行考虑，包含在企业管理费内。同时，投标人必须对企业管理费中所包含的现场临时宿舍空调设施、安全生产责任保险等费用，在相应的清单明细表中(表2-5)进行单独费用报价分析。具体如下：</w:t>
            </w:r>
          </w:p>
          <w:p w14:paraId="7556BEFC">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机械费”，最低费率为：2.28%；</w:t>
            </w:r>
          </w:p>
          <w:p w14:paraId="4F0579D2">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机械费”，最低费率为：3.26%；</w:t>
            </w:r>
          </w:p>
          <w:p w14:paraId="60AE8021">
            <w:pPr>
              <w:pStyle w:val="3"/>
              <w:numPr>
                <w:ilvl w:val="0"/>
                <w:numId w:val="1"/>
              </w:numPr>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税金应根据《浙江省建设工程计价规则》（2018版）的规定及浙建建发[2019]92号的相关规定以（税前工程造价）为取费基数, 取费费率为：9%。</w:t>
            </w:r>
          </w:p>
          <w:p w14:paraId="704D1017">
            <w:pPr>
              <w:spacing w:line="360" w:lineRule="exact"/>
              <w:rPr>
                <w:rFonts w:hint="default" w:ascii="宋体" w:hAnsi="宋体" w:eastAsia="宋体" w:cs="宋体"/>
                <w:b w:val="0"/>
                <w:bCs w:val="0"/>
                <w:szCs w:val="21"/>
                <w:highlight w:val="none"/>
                <w:lang w:val="en-US" w:eastAsia="zh-CN"/>
              </w:rPr>
            </w:pPr>
            <w:r>
              <w:rPr>
                <w:rFonts w:hint="eastAsia" w:ascii="宋体" w:hAnsi="宋体" w:cs="宋体"/>
                <w:b w:val="0"/>
                <w:bCs w:val="0"/>
                <w:szCs w:val="21"/>
                <w:highlight w:val="none"/>
              </w:rPr>
              <w:t>五、招标人自行采购材料的名称、规格型号、数量，要求总承包人提供的服务内容</w:t>
            </w:r>
            <w:r>
              <w:rPr>
                <w:rFonts w:hint="eastAsia" w:ascii="宋体" w:hAnsi="宋体" w:cs="宋体"/>
                <w:b w:val="0"/>
                <w:bCs w:val="0"/>
                <w:szCs w:val="21"/>
                <w:highlight w:val="none"/>
                <w:lang w:eastAsia="zh-CN"/>
              </w:rPr>
              <w:t>：</w:t>
            </w:r>
            <w:r>
              <w:rPr>
                <w:rFonts w:hint="eastAsia" w:ascii="宋体" w:hAnsi="宋体" w:cs="宋体"/>
                <w:b w:val="0"/>
                <w:bCs w:val="0"/>
                <w:szCs w:val="21"/>
                <w:highlight w:val="none"/>
                <w:lang w:val="en-US" w:eastAsia="zh-CN"/>
              </w:rPr>
              <w:t>无。</w:t>
            </w:r>
          </w:p>
          <w:p w14:paraId="28D7148A">
            <w:pPr>
              <w:pStyle w:val="3"/>
              <w:spacing w:line="360" w:lineRule="auto"/>
              <w:rPr>
                <w:rFonts w:hAnsi="宋体" w:cs="宋体"/>
                <w:color w:val="000000"/>
                <w:highlight w:val="none"/>
              </w:rPr>
            </w:pPr>
            <w:r>
              <w:rPr>
                <w:rFonts w:hint="eastAsia" w:hAnsi="宋体" w:cs="宋体"/>
                <w:color w:val="000000"/>
                <w:highlight w:val="none"/>
              </w:rPr>
              <w:t>六、编制说明：</w:t>
            </w:r>
          </w:p>
          <w:p w14:paraId="4D87548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1、</w:t>
            </w:r>
            <w:r>
              <w:rPr>
                <w:rFonts w:hint="eastAsia" w:ascii="宋体" w:hAnsi="宋体" w:eastAsia="宋体" w:cs="宋体"/>
                <w:color w:val="auto"/>
                <w:kern w:val="24"/>
                <w:sz w:val="21"/>
                <w:szCs w:val="21"/>
              </w:rPr>
              <w:t>所有饰面材料及</w:t>
            </w:r>
            <w:r>
              <w:rPr>
                <w:rFonts w:hint="eastAsia" w:ascii="宋体" w:hAnsi="宋体" w:cs="宋体"/>
                <w:color w:val="auto"/>
                <w:kern w:val="24"/>
                <w:sz w:val="21"/>
                <w:szCs w:val="21"/>
                <w:lang w:val="en-US" w:eastAsia="zh-CN"/>
              </w:rPr>
              <w:t>碳晶板</w:t>
            </w:r>
            <w:r>
              <w:rPr>
                <w:rFonts w:hint="eastAsia" w:ascii="宋体" w:hAnsi="宋体" w:cs="宋体"/>
                <w:color w:val="auto"/>
                <w:kern w:val="24"/>
                <w:sz w:val="21"/>
                <w:szCs w:val="21"/>
                <w:lang w:eastAsia="zh-CN"/>
              </w:rPr>
              <w:t>、</w:t>
            </w:r>
            <w:r>
              <w:rPr>
                <w:rFonts w:hint="eastAsia" w:ascii="宋体" w:hAnsi="宋体" w:cs="宋体"/>
                <w:color w:val="auto"/>
                <w:kern w:val="24"/>
                <w:sz w:val="21"/>
                <w:szCs w:val="21"/>
                <w:lang w:val="en-US" w:eastAsia="zh-CN"/>
              </w:rPr>
              <w:t>木饰面、不锈钢板</w:t>
            </w:r>
            <w:r>
              <w:rPr>
                <w:rFonts w:hint="eastAsia" w:ascii="宋体" w:hAnsi="宋体" w:eastAsia="宋体" w:cs="宋体"/>
                <w:color w:val="auto"/>
                <w:kern w:val="24"/>
                <w:sz w:val="21"/>
                <w:szCs w:val="21"/>
              </w:rPr>
              <w:t>等均区分颜色，请投标单位自行充分考虑不同颜色和规格的报价的影响，中标后由招标人确定具体颜色，投标不得有异议，综合单价不作调整</w:t>
            </w:r>
            <w:r>
              <w:rPr>
                <w:rFonts w:hint="eastAsia" w:ascii="宋体" w:hAnsi="宋体" w:eastAsia="宋体" w:cs="宋体"/>
                <w:color w:val="auto"/>
                <w:kern w:val="24"/>
                <w:sz w:val="21"/>
                <w:szCs w:val="21"/>
                <w:lang w:eastAsia="zh-CN"/>
              </w:rPr>
              <w:t>；</w:t>
            </w:r>
          </w:p>
          <w:p w14:paraId="42212FA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2、</w:t>
            </w:r>
            <w:r>
              <w:rPr>
                <w:rFonts w:hint="eastAsia" w:ascii="宋体" w:hAnsi="宋体" w:eastAsia="宋体" w:cs="宋体"/>
                <w:color w:val="auto"/>
                <w:kern w:val="24"/>
                <w:sz w:val="21"/>
                <w:szCs w:val="21"/>
              </w:rPr>
              <w:t>所有门窗的</w:t>
            </w:r>
            <w:r>
              <w:rPr>
                <w:rFonts w:hint="eastAsia" w:ascii="宋体" w:hAnsi="宋体" w:eastAsia="宋体" w:cs="宋体"/>
                <w:color w:val="auto"/>
                <w:kern w:val="24"/>
                <w:sz w:val="21"/>
                <w:szCs w:val="21"/>
                <w:lang w:val="en-US" w:eastAsia="zh-CN"/>
              </w:rPr>
              <w:t>门窗套及门窗套线、五金、</w:t>
            </w:r>
            <w:r>
              <w:rPr>
                <w:rFonts w:hint="eastAsia" w:ascii="宋体" w:hAnsi="宋体" w:eastAsia="宋体" w:cs="宋体"/>
                <w:color w:val="auto"/>
                <w:kern w:val="24"/>
                <w:sz w:val="21"/>
                <w:szCs w:val="21"/>
              </w:rPr>
              <w:t>门锁、拉手、地弹簧、门铰、合页、</w:t>
            </w:r>
            <w:r>
              <w:rPr>
                <w:rFonts w:hint="eastAsia" w:ascii="宋体" w:hAnsi="宋体" w:eastAsia="宋体" w:cs="宋体"/>
                <w:color w:val="auto"/>
                <w:kern w:val="24"/>
                <w:sz w:val="21"/>
                <w:szCs w:val="21"/>
                <w:lang w:val="en-US" w:eastAsia="zh-CN"/>
              </w:rPr>
              <w:t>闭门器、顺位器、</w:t>
            </w:r>
            <w:r>
              <w:rPr>
                <w:rFonts w:hint="eastAsia" w:ascii="宋体" w:hAnsi="宋体" w:eastAsia="宋体" w:cs="宋体"/>
                <w:color w:val="auto"/>
                <w:kern w:val="24"/>
                <w:sz w:val="21"/>
                <w:szCs w:val="21"/>
              </w:rPr>
              <w:t>内外打胶等，费用均包含在门窗综合单价中</w:t>
            </w:r>
            <w:r>
              <w:rPr>
                <w:rFonts w:hint="eastAsia" w:ascii="宋体" w:hAnsi="宋体" w:eastAsia="宋体" w:cs="宋体"/>
                <w:color w:val="auto"/>
                <w:kern w:val="24"/>
                <w:sz w:val="21"/>
                <w:szCs w:val="21"/>
                <w:lang w:eastAsia="zh-CN"/>
              </w:rPr>
              <w:t>；</w:t>
            </w:r>
          </w:p>
          <w:p w14:paraId="68959B1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3、</w:t>
            </w:r>
            <w:r>
              <w:rPr>
                <w:rFonts w:hint="eastAsia" w:ascii="宋体" w:hAnsi="宋体" w:eastAsia="宋体" w:cs="宋体"/>
                <w:color w:val="auto"/>
                <w:kern w:val="24"/>
                <w:sz w:val="21"/>
                <w:szCs w:val="21"/>
              </w:rPr>
              <w:t>装修工程中所有石材、石材线条的报价均需包含磨边、铣槽、表面处理(酸洗打蜡、镜面处理)、开孔、倒角、磨边、六面防护处理等费用，由投标人自行考虑，计入报价</w:t>
            </w:r>
            <w:r>
              <w:rPr>
                <w:rFonts w:hint="eastAsia" w:ascii="宋体" w:hAnsi="宋体" w:eastAsia="宋体" w:cs="宋体"/>
                <w:color w:val="auto"/>
                <w:kern w:val="24"/>
                <w:sz w:val="21"/>
                <w:szCs w:val="21"/>
                <w:lang w:eastAsia="zh-CN"/>
              </w:rPr>
              <w:t>；</w:t>
            </w:r>
          </w:p>
          <w:p w14:paraId="285553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sz w:val="21"/>
                <w:szCs w:val="21"/>
                <w:lang w:val="en-US" w:eastAsia="zh-CN"/>
              </w:rPr>
              <w:t>4、石膏板吊顶处、墙面处石膏板开孔、检修口安装、工艺缝、凹槽预留等，均综合考虑在石膏板吊顶、墙面相关综合单价内；</w:t>
            </w:r>
          </w:p>
          <w:p w14:paraId="5C13B93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5、</w:t>
            </w:r>
            <w:r>
              <w:rPr>
                <w:rFonts w:hint="eastAsia" w:ascii="宋体" w:hAnsi="宋体" w:eastAsia="宋体" w:cs="宋体"/>
                <w:color w:val="auto"/>
                <w:kern w:val="24"/>
                <w:sz w:val="21"/>
                <w:szCs w:val="21"/>
              </w:rPr>
              <w:t>所有木龙骨及木基层按刷防火涂料三道计入，并做防火、防潮、防腐、防虫处理，其费用计入投标报价中，中标后招标人不再另行支付相关费用。</w:t>
            </w:r>
          </w:p>
          <w:p w14:paraId="7410F57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color w:val="auto"/>
                <w:kern w:val="24"/>
                <w:sz w:val="21"/>
                <w:szCs w:val="21"/>
                <w:lang w:val="en-US" w:eastAsia="zh-CN"/>
              </w:rPr>
              <w:t>6、</w:t>
            </w:r>
            <w:r>
              <w:rPr>
                <w:rFonts w:hint="eastAsia" w:ascii="宋体" w:hAnsi="宋体" w:eastAsia="宋体" w:cs="宋体"/>
                <w:color w:val="auto"/>
                <w:kern w:val="24"/>
                <w:sz w:val="21"/>
                <w:szCs w:val="21"/>
              </w:rPr>
              <w:t>装修工程中所有吊顶、隔断、墙面、地面及其他部位等需要安装相关设备、灯具等而需在相关面层上预留孔洞或者开孔的，投标人应综合考虑，费用计入所涉及项目综合单价。</w:t>
            </w:r>
          </w:p>
          <w:p w14:paraId="7409D98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20" w:firstLineChars="200"/>
              <w:jc w:val="both"/>
              <w:textAlignment w:val="auto"/>
              <w:rPr>
                <w:rFonts w:hint="eastAsia" w:ascii="宋体" w:hAnsi="宋体" w:eastAsia="宋体" w:cs="宋体"/>
                <w:color w:val="auto"/>
                <w:kern w:val="24"/>
                <w:sz w:val="21"/>
                <w:szCs w:val="21"/>
                <w:highlight w:val="none"/>
                <w:lang w:val="en-US" w:eastAsia="zh-CN"/>
              </w:rPr>
            </w:pPr>
            <w:r>
              <w:rPr>
                <w:rFonts w:hint="eastAsia" w:ascii="宋体" w:hAnsi="宋体" w:cs="宋体"/>
                <w:sz w:val="21"/>
                <w:szCs w:val="21"/>
                <w:highlight w:val="none"/>
                <w:lang w:val="en-US" w:eastAsia="zh-CN"/>
              </w:rPr>
              <w:t>7</w:t>
            </w:r>
            <w:r>
              <w:rPr>
                <w:rFonts w:hint="eastAsia" w:ascii="宋体" w:hAnsi="宋体" w:eastAsia="宋体" w:cs="宋体"/>
                <w:sz w:val="21"/>
                <w:szCs w:val="21"/>
                <w:highlight w:val="none"/>
                <w:lang w:val="en-US" w:eastAsia="zh-CN"/>
              </w:rPr>
              <w:t>、</w:t>
            </w:r>
            <w:r>
              <w:rPr>
                <w:rFonts w:hint="eastAsia" w:ascii="宋体" w:hAnsi="宋体" w:eastAsia="宋体" w:cs="宋体"/>
                <w:color w:val="auto"/>
                <w:kern w:val="24"/>
                <w:sz w:val="21"/>
                <w:szCs w:val="21"/>
                <w:highlight w:val="none"/>
                <w:lang w:val="en-US" w:eastAsia="zh-CN"/>
              </w:rPr>
              <w:t>不锈钢材质按304系列报价，装饰面铣槽、折边等费用综合考虑在综合单价内；</w:t>
            </w:r>
          </w:p>
          <w:p w14:paraId="2DCFD74C">
            <w:pPr>
              <w:pStyle w:val="3"/>
              <w:spacing w:line="360" w:lineRule="auto"/>
              <w:rPr>
                <w:rFonts w:hAnsi="宋体" w:cs="宋体"/>
                <w:color w:val="000000"/>
                <w:highlight w:val="none"/>
              </w:rPr>
            </w:pPr>
            <w:r>
              <w:rPr>
                <w:rFonts w:hint="eastAsia" w:hAnsi="宋体" w:cs="宋体"/>
                <w:color w:val="000000"/>
                <w:highlight w:val="none"/>
                <w:lang w:val="en-US" w:eastAsia="zh-CN"/>
              </w:rPr>
              <w:t>七</w:t>
            </w:r>
            <w:r>
              <w:rPr>
                <w:rFonts w:hint="eastAsia" w:hAnsi="宋体" w:cs="宋体"/>
                <w:color w:val="000000"/>
                <w:highlight w:val="none"/>
              </w:rPr>
              <w:t>、材料：</w:t>
            </w:r>
          </w:p>
          <w:p w14:paraId="7B37A108">
            <w:pPr>
              <w:keepNext w:val="0"/>
              <w:keepLines w:val="0"/>
              <w:pageBreakBefore w:val="0"/>
              <w:widowControl w:val="0"/>
              <w:tabs>
                <w:tab w:val="left" w:pos="0"/>
              </w:tabs>
              <w:kinsoku/>
              <w:wordWrap/>
              <w:overflowPunct/>
              <w:topLinePunct/>
              <w:autoSpaceDE/>
              <w:autoSpaceDN/>
              <w:bidi w:val="0"/>
              <w:adjustRightInd/>
              <w:snapToGrid/>
              <w:spacing w:line="440" w:lineRule="exact"/>
              <w:ind w:firstLine="420" w:firstLineChars="200"/>
              <w:jc w:val="left"/>
              <w:textAlignment w:val="auto"/>
              <w:rPr>
                <w:rFonts w:hint="eastAsia" w:ascii="宋体" w:hAnsi="宋体"/>
                <w:szCs w:val="21"/>
                <w:highlight w:val="none"/>
              </w:rPr>
            </w:pPr>
            <w:r>
              <w:rPr>
                <w:rFonts w:hint="eastAsia" w:ascii="宋体" w:hAnsi="宋体"/>
                <w:szCs w:val="21"/>
                <w:highlight w:val="none"/>
              </w:rPr>
              <w:t>（一）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14:paraId="59A59272">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ascii="宋体" w:hAnsi="宋体"/>
                <w:szCs w:val="21"/>
                <w:highlight w:val="none"/>
              </w:rPr>
            </w:pPr>
            <w:r>
              <w:rPr>
                <w:rFonts w:hint="eastAsia" w:ascii="宋体" w:hAnsi="宋体"/>
                <w:szCs w:val="21"/>
                <w:highlight w:val="none"/>
              </w:rPr>
              <w:t>（二）其他的设备、材料等采购：</w:t>
            </w:r>
          </w:p>
          <w:p w14:paraId="4F3EA272">
            <w:pPr>
              <w:spacing w:line="400" w:lineRule="exact"/>
              <w:ind w:firstLine="420" w:firstLineChars="200"/>
              <w:rPr>
                <w:rFonts w:ascii="宋体" w:hAnsi="宋体"/>
                <w:szCs w:val="21"/>
                <w:highlight w:val="none"/>
              </w:rPr>
            </w:pPr>
            <w:r>
              <w:rPr>
                <w:rFonts w:hint="eastAsia" w:ascii="宋体" w:hAnsi="宋体"/>
                <w:szCs w:val="21"/>
                <w:highlight w:val="none"/>
              </w:rPr>
              <w:t>1、所有招标人未确定品牌厂家的材料必须采用信誉好、品牌好、知名度高、同等行业中规模中等以上的生产厂家的产品，产品必须满足国家质量标准，由投标人自行采购；</w:t>
            </w:r>
          </w:p>
          <w:p w14:paraId="2C10F120">
            <w:pPr>
              <w:spacing w:line="400" w:lineRule="exact"/>
              <w:ind w:firstLine="420" w:firstLineChars="200"/>
              <w:rPr>
                <w:rFonts w:ascii="宋体" w:hAnsi="宋体"/>
                <w:szCs w:val="21"/>
                <w:highlight w:val="none"/>
              </w:rPr>
            </w:pPr>
            <w:r>
              <w:rPr>
                <w:rFonts w:hint="eastAsia" w:ascii="宋体" w:hAnsi="宋体"/>
                <w:szCs w:val="21"/>
                <w:highlight w:val="none"/>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p>
          <w:p w14:paraId="7455F87A">
            <w:pPr>
              <w:tabs>
                <w:tab w:val="left" w:pos="0"/>
              </w:tabs>
              <w:topLinePunct/>
              <w:spacing w:line="440" w:lineRule="exact"/>
              <w:ind w:firstLine="420" w:firstLineChars="200"/>
              <w:jc w:val="left"/>
              <w:rPr>
                <w:rFonts w:ascii="宋体" w:hAnsi="宋体" w:cs="宋体"/>
                <w:kern w:val="0"/>
                <w:szCs w:val="21"/>
                <w:highlight w:val="none"/>
                <w:lang w:val="zh-CN"/>
              </w:rPr>
            </w:pPr>
            <w:r>
              <w:rPr>
                <w:rFonts w:hint="eastAsia" w:ascii="宋体" w:hAnsi="宋体"/>
                <w:szCs w:val="21"/>
                <w:highlight w:val="none"/>
              </w:rPr>
              <w:t>3、招标人有权对材料品牌进行变更，投标人应服从并做好配合工作。</w:t>
            </w:r>
            <w:r>
              <w:rPr>
                <w:rFonts w:ascii="宋体" w:hAnsi="宋体" w:cs="宋体"/>
                <w:kern w:val="0"/>
                <w:szCs w:val="21"/>
                <w:highlight w:val="none"/>
                <w:lang w:val="zh-CN"/>
              </w:rPr>
              <w:t xml:space="preserve">  </w:t>
            </w:r>
          </w:p>
          <w:p w14:paraId="59782B16">
            <w:pPr>
              <w:pStyle w:val="3"/>
              <w:spacing w:line="360" w:lineRule="auto"/>
              <w:rPr>
                <w:rFonts w:hAnsi="宋体" w:cs="宋体"/>
                <w:color w:val="000000"/>
                <w:highlight w:val="none"/>
              </w:rPr>
            </w:pPr>
            <w:r>
              <w:rPr>
                <w:rFonts w:hint="eastAsia" w:hAnsi="宋体" w:cs="宋体"/>
                <w:color w:val="000000"/>
                <w:highlight w:val="none"/>
                <w:lang w:val="en-US" w:eastAsia="zh-CN"/>
              </w:rPr>
              <w:t>八</w:t>
            </w:r>
            <w:r>
              <w:rPr>
                <w:rFonts w:hint="eastAsia" w:hAnsi="宋体" w:cs="宋体"/>
                <w:color w:val="000000"/>
                <w:highlight w:val="none"/>
              </w:rPr>
              <w:t>、其他说明：</w:t>
            </w:r>
          </w:p>
          <w:p w14:paraId="03908809">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14:paraId="10ABED16">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2.各投标单位需要在相应的子目中综合考虑费用；</w:t>
            </w:r>
          </w:p>
          <w:p w14:paraId="798294FB">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3.措施费中以“项”为单位措施项目均一次性包干，费用由各投标单位根据施工组织设计方案自行考虑报价，应考虑现场的各种风险因素；</w:t>
            </w:r>
          </w:p>
          <w:p w14:paraId="73B15276">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14:paraId="60A9B4D1">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5.根据工程量清单报价原则“固定综合单价”，以“项”为单位的工程量清单项目综合单价为包干价，请投标单位根据项目实际情况合理报价；</w:t>
            </w:r>
          </w:p>
          <w:p w14:paraId="43A835F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14:paraId="450DF18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7.分部分项工程量清单中的工程量是按实物净量计算，一切损耗均应在投标报价内；</w:t>
            </w:r>
          </w:p>
          <w:p w14:paraId="749C57BB">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8.投标人应充分考虑周边建筑、道路和地下管线设施的保护费用，并考虑在总投标价中；</w:t>
            </w:r>
          </w:p>
          <w:p w14:paraId="443B7F1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 xml:space="preserve">9.本工程所有的材料的环保等级必须满足国家及地方标准，符合验收相关规范； </w:t>
            </w:r>
          </w:p>
          <w:p w14:paraId="60DE43A8">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10.投标人应充分考虑脚手架等技术措施，相应费用计入技术措施费中，并充分考虑报价风险，今后结算不进行调整；</w:t>
            </w:r>
          </w:p>
          <w:p w14:paraId="720DE25D">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11.各投标单位应根据现场实际情况自行考虑，包含施工范围内所有的原结构和建筑垃圾拆除及外运等,所有外运物弃置场地及运距由投标人自行综合考虑，相应费用均计入报价，今后不作调整；</w:t>
            </w:r>
          </w:p>
          <w:p w14:paraId="482E8E3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12.相关工艺施工前应做的基层清理工作应包含在投标报价中，清单特征描述中不再一一描述；</w:t>
            </w:r>
          </w:p>
          <w:p w14:paraId="221D921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13.本清单项目特征描述不完整时，投标单位应结合施工图及相关规范、规定等进行综合考虑；</w:t>
            </w:r>
          </w:p>
          <w:p w14:paraId="46D0CBC5">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14.本工程按照《杭州市人民政府办公厅关于印发杭州市建设工程推广应用预拌砂浆管理办法的通知》（杭政办函【2011】32号文件）的要求使用预拌砂浆，投标人应将使用预拌砂浆的费用计入投标报价；</w:t>
            </w:r>
          </w:p>
          <w:p w14:paraId="64C88F12">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15.本工程砼按《杭州市商品混凝土管理办法 杭州市政府令第115号》文件要求使用商品混凝土。</w:t>
            </w:r>
          </w:p>
          <w:p w14:paraId="12707BD4">
            <w:pPr>
              <w:pStyle w:val="3"/>
              <w:spacing w:line="360" w:lineRule="auto"/>
              <w:rPr>
                <w:rFonts w:hint="default"/>
              </w:rPr>
            </w:pPr>
            <w:r>
              <w:rPr>
                <w:rFonts w:hint="eastAsia" w:hAnsi="宋体" w:cs="宋体"/>
                <w:color w:val="000000"/>
                <w:highlight w:val="none"/>
                <w:lang w:val="en-US" w:eastAsia="zh-CN"/>
              </w:rPr>
              <w:t>九</w:t>
            </w:r>
            <w:r>
              <w:rPr>
                <w:rFonts w:hint="eastAsia" w:hAnsi="宋体" w:cs="宋体"/>
                <w:color w:val="000000"/>
                <w:highlight w:val="none"/>
                <w:lang w:val="zh-CN"/>
              </w:rPr>
              <w:t>、其他不详之处，详见国家及地方标准。</w:t>
            </w:r>
          </w:p>
          <w:p w14:paraId="06572AAC">
            <w:pPr>
              <w:tabs>
                <w:tab w:val="left" w:pos="0"/>
              </w:tabs>
              <w:topLinePunct/>
              <w:spacing w:line="440" w:lineRule="exact"/>
              <w:jc w:val="left"/>
              <w:rPr>
                <w:rFonts w:hint="default" w:ascii="Times New Roman" w:hAnsi="Times New Roman" w:eastAsia="宋体" w:cs="Times New Roman"/>
                <w:b/>
                <w:kern w:val="1"/>
                <w:sz w:val="21"/>
                <w:szCs w:val="21"/>
              </w:rPr>
            </w:pPr>
            <w:r>
              <w:rPr>
                <w:rFonts w:hint="default" w:ascii="Times New Roman" w:hAnsi="Times New Roman" w:eastAsia="宋体" w:cs="Times New Roman"/>
                <w:b/>
                <w:kern w:val="1"/>
                <w:sz w:val="21"/>
                <w:szCs w:val="21"/>
              </w:rPr>
              <w:t>品牌推荐表：</w:t>
            </w:r>
          </w:p>
          <w:p w14:paraId="3F64F334">
            <w:pPr>
              <w:spacing w:line="360" w:lineRule="auto"/>
              <w:jc w:val="center"/>
              <w:rPr>
                <w:rFonts w:hint="default" w:ascii="Times New Roman" w:hAnsi="Times New Roman" w:eastAsia="宋体" w:cs="Times New Roman"/>
                <w:kern w:val="1"/>
                <w:sz w:val="21"/>
                <w:szCs w:val="21"/>
              </w:rPr>
            </w:pPr>
            <w:r>
              <w:rPr>
                <w:rFonts w:hint="default" w:ascii="Times New Roman" w:hAnsi="Times New Roman" w:eastAsia="宋体" w:cs="Times New Roman"/>
                <w:kern w:val="1"/>
                <w:sz w:val="21"/>
                <w:szCs w:val="21"/>
              </w:rPr>
              <w:t>招标人推荐材料、设备品牌一览表</w:t>
            </w:r>
          </w:p>
          <w:tbl>
            <w:tblPr>
              <w:tblStyle w:val="8"/>
              <w:tblW w:w="0" w:type="auto"/>
              <w:tblInd w:w="202" w:type="dxa"/>
              <w:tblLayout w:type="fixed"/>
              <w:tblCellMar>
                <w:top w:w="0" w:type="dxa"/>
                <w:left w:w="108" w:type="dxa"/>
                <w:bottom w:w="0" w:type="dxa"/>
                <w:right w:w="108" w:type="dxa"/>
              </w:tblCellMar>
            </w:tblPr>
            <w:tblGrid>
              <w:gridCol w:w="678"/>
              <w:gridCol w:w="2268"/>
              <w:gridCol w:w="2637"/>
              <w:gridCol w:w="1470"/>
              <w:gridCol w:w="1200"/>
            </w:tblGrid>
            <w:tr w14:paraId="65FBAB5F">
              <w:tblPrEx>
                <w:tblCellMar>
                  <w:top w:w="0" w:type="dxa"/>
                  <w:left w:w="108" w:type="dxa"/>
                  <w:bottom w:w="0" w:type="dxa"/>
                  <w:right w:w="108" w:type="dxa"/>
                </w:tblCellMar>
              </w:tblPrEx>
              <w:trPr>
                <w:trHeight w:val="268" w:hRule="atLeast"/>
              </w:trPr>
              <w:tc>
                <w:tcPr>
                  <w:tcW w:w="678" w:type="dxa"/>
                  <w:tcBorders>
                    <w:top w:val="single" w:color="000000" w:sz="4" w:space="0"/>
                    <w:left w:val="single" w:color="000000" w:sz="4" w:space="0"/>
                    <w:bottom w:val="single" w:color="000000" w:sz="4" w:space="0"/>
                    <w:right w:val="single" w:color="000000" w:sz="4" w:space="0"/>
                  </w:tcBorders>
                  <w:noWrap w:val="0"/>
                  <w:vAlign w:val="center"/>
                </w:tcPr>
                <w:p w14:paraId="2C441E97">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序号</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4A69BF5">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材料名称</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53FF0592">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品牌或产地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6057494A">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等级</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DABAA26">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备注</w:t>
                  </w:r>
                </w:p>
              </w:tc>
            </w:tr>
            <w:tr w14:paraId="4D5BDF55">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AF713C">
                  <w:pPr>
                    <w:jc w:val="center"/>
                    <w:rPr>
                      <w:rFonts w:hint="eastAsia" w:ascii="宋体" w:hAnsi="宋体" w:eastAsia="宋体" w:cs="宋体"/>
                      <w:sz w:val="21"/>
                      <w:szCs w:val="21"/>
                    </w:rPr>
                  </w:pPr>
                  <w:r>
                    <w:rPr>
                      <w:rFonts w:hint="eastAsia" w:ascii="宋体" w:hAnsi="宋体" w:eastAsia="宋体" w:cs="宋体"/>
                      <w:sz w:val="21"/>
                      <w:szCs w:val="21"/>
                    </w:rPr>
                    <w:t>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35089F13">
                  <w:pPr>
                    <w:jc w:val="center"/>
                    <w:rPr>
                      <w:rFonts w:hint="eastAsia" w:ascii="宋体" w:hAnsi="宋体" w:eastAsia="宋体" w:cs="宋体"/>
                      <w:sz w:val="21"/>
                      <w:szCs w:val="21"/>
                    </w:rPr>
                  </w:pPr>
                  <w:r>
                    <w:rPr>
                      <w:rFonts w:hint="eastAsia" w:ascii="宋体" w:hAnsi="宋体" w:eastAsia="宋体" w:cs="宋体"/>
                      <w:sz w:val="21"/>
                      <w:szCs w:val="21"/>
                    </w:rPr>
                    <w:t>轻钢龙骨、石膏板</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1F110A6F">
                  <w:pPr>
                    <w:jc w:val="center"/>
                    <w:rPr>
                      <w:rFonts w:hint="eastAsia" w:ascii="宋体" w:hAnsi="宋体" w:eastAsia="宋体" w:cs="宋体"/>
                      <w:sz w:val="21"/>
                      <w:szCs w:val="21"/>
                    </w:rPr>
                  </w:pPr>
                  <w:r>
                    <w:rPr>
                      <w:rFonts w:hint="eastAsia" w:ascii="宋体" w:hAnsi="宋体" w:eastAsia="宋体" w:cs="宋体"/>
                      <w:sz w:val="21"/>
                      <w:szCs w:val="21"/>
                    </w:rPr>
                    <w:t>可耐福、 龙牌、 拉法基</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209F20BC">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9437694">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3400B0E2">
              <w:tblPrEx>
                <w:tblCellMar>
                  <w:top w:w="0" w:type="dxa"/>
                  <w:left w:w="108" w:type="dxa"/>
                  <w:bottom w:w="0" w:type="dxa"/>
                  <w:right w:w="108" w:type="dxa"/>
                </w:tblCellMar>
              </w:tblPrEx>
              <w:trPr>
                <w:trHeight w:val="37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E892B4">
                  <w:pPr>
                    <w:jc w:val="center"/>
                    <w:rPr>
                      <w:rFonts w:hint="eastAsia" w:ascii="宋体" w:hAnsi="宋体" w:eastAsia="宋体" w:cs="宋体"/>
                      <w:sz w:val="21"/>
                      <w:szCs w:val="21"/>
                    </w:rPr>
                  </w:pPr>
                  <w:r>
                    <w:rPr>
                      <w:rFonts w:hint="eastAsia" w:ascii="宋体" w:hAnsi="宋体" w:eastAsia="宋体" w:cs="宋体"/>
                      <w:sz w:val="21"/>
                      <w:szCs w:val="21"/>
                    </w:rPr>
                    <w:t>2</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37877EEB">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乳胶漆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749322A8">
                  <w:pPr>
                    <w:jc w:val="center"/>
                    <w:rPr>
                      <w:rFonts w:hint="eastAsia" w:ascii="宋体" w:hAnsi="宋体" w:eastAsia="宋体" w:cs="宋体"/>
                      <w:sz w:val="21"/>
                      <w:szCs w:val="21"/>
                    </w:rPr>
                  </w:pPr>
                  <w:r>
                    <w:rPr>
                      <w:rFonts w:hint="eastAsia" w:ascii="宋体" w:hAnsi="宋体" w:eastAsia="宋体" w:cs="宋体"/>
                      <w:sz w:val="21"/>
                      <w:szCs w:val="21"/>
                    </w:rPr>
                    <w:t>立邦、 多乐士、 华润</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38746DF2">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2FF446E">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1F03312D">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EB9F2C">
                  <w:pPr>
                    <w:jc w:val="center"/>
                    <w:rPr>
                      <w:rFonts w:hint="eastAsia" w:ascii="宋体" w:hAnsi="宋体" w:eastAsia="宋体" w:cs="宋体"/>
                      <w:sz w:val="21"/>
                      <w:szCs w:val="21"/>
                    </w:rPr>
                  </w:pPr>
                  <w:r>
                    <w:rPr>
                      <w:rFonts w:hint="eastAsia" w:ascii="宋体" w:hAnsi="宋体" w:eastAsia="宋体" w:cs="宋体"/>
                      <w:sz w:val="21"/>
                      <w:szCs w:val="21"/>
                    </w:rPr>
                    <w:t>3</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4204813">
                  <w:pPr>
                    <w:jc w:val="center"/>
                    <w:rPr>
                      <w:rFonts w:hint="eastAsia" w:ascii="宋体" w:hAnsi="宋体" w:eastAsia="宋体" w:cs="宋体"/>
                      <w:sz w:val="21"/>
                      <w:szCs w:val="21"/>
                    </w:rPr>
                  </w:pPr>
                  <w:r>
                    <w:rPr>
                      <w:rFonts w:hint="eastAsia" w:ascii="宋体" w:hAnsi="宋体" w:eastAsia="宋体" w:cs="宋体"/>
                      <w:sz w:val="21"/>
                      <w:szCs w:val="21"/>
                    </w:rPr>
                    <w:t>细木工板</w:t>
                  </w:r>
                  <w:r>
                    <w:rPr>
                      <w:rFonts w:hint="eastAsia" w:ascii="宋体" w:hAnsi="宋体" w:eastAsia="宋体" w:cs="宋体"/>
                      <w:sz w:val="21"/>
                      <w:szCs w:val="21"/>
                      <w:lang w:eastAsia="zh-CN"/>
                    </w:rPr>
                    <w:t>、</w:t>
                  </w:r>
                  <w:r>
                    <w:rPr>
                      <w:rFonts w:hint="eastAsia" w:ascii="宋体" w:hAnsi="宋体" w:eastAsia="宋体" w:cs="宋体"/>
                      <w:sz w:val="21"/>
                      <w:szCs w:val="21"/>
                    </w:rPr>
                    <w:t>多层板</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514FE8EC">
                  <w:pPr>
                    <w:jc w:val="center"/>
                    <w:rPr>
                      <w:rFonts w:hint="eastAsia" w:ascii="宋体" w:hAnsi="宋体" w:eastAsia="宋体" w:cs="宋体"/>
                      <w:sz w:val="21"/>
                      <w:szCs w:val="21"/>
                    </w:rPr>
                  </w:pPr>
                  <w:r>
                    <w:rPr>
                      <w:rFonts w:hint="eastAsia" w:ascii="宋体" w:hAnsi="宋体" w:eastAsia="宋体" w:cs="宋体"/>
                      <w:sz w:val="21"/>
                      <w:szCs w:val="21"/>
                    </w:rPr>
                    <w:t>兔宝宝、 千年舟</w:t>
                  </w:r>
                  <w:r>
                    <w:rPr>
                      <w:rFonts w:hint="eastAsia" w:ascii="宋体" w:hAnsi="宋体" w:eastAsia="宋体" w:cs="宋体"/>
                      <w:sz w:val="21"/>
                      <w:szCs w:val="21"/>
                      <w:lang w:eastAsia="zh-CN"/>
                    </w:rPr>
                    <w:t>、</w:t>
                  </w:r>
                  <w:r>
                    <w:rPr>
                      <w:rFonts w:hint="eastAsia" w:ascii="宋体" w:hAnsi="宋体" w:eastAsia="宋体" w:cs="宋体"/>
                      <w:sz w:val="21"/>
                      <w:szCs w:val="21"/>
                    </w:rPr>
                    <w:t xml:space="preserve"> 森鹿</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148978EE">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1B5EA0A">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586C9248">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3D03D4">
                  <w:pPr>
                    <w:jc w:val="center"/>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4</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18CC5837">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成品套装木门及门套</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2F31FDCC">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兔宝宝、春天、大自然</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269B66B6">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62A97B3">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7E95ECC7">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813F12">
                  <w:pPr>
                    <w:jc w:val="center"/>
                    <w:rPr>
                      <w:rFonts w:hint="default" w:ascii="宋体" w:hAnsi="宋体" w:cs="宋体"/>
                      <w:sz w:val="21"/>
                      <w:szCs w:val="21"/>
                      <w:lang w:val="en-US" w:eastAsia="zh-CN"/>
                    </w:rPr>
                  </w:pPr>
                  <w:r>
                    <w:rPr>
                      <w:rFonts w:hint="eastAsia" w:ascii="宋体" w:hAnsi="宋体" w:cs="宋体"/>
                      <w:sz w:val="21"/>
                      <w:szCs w:val="21"/>
                      <w:lang w:val="en-US" w:eastAsia="zh-CN"/>
                    </w:rPr>
                    <w:t>5</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1C06A65A">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木饰面</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0E5AE12B">
                  <w:pPr>
                    <w:jc w:val="center"/>
                    <w:rPr>
                      <w:rFonts w:hint="default" w:ascii="宋体" w:hAnsi="宋体" w:eastAsia="宋体" w:cs="宋体"/>
                      <w:sz w:val="21"/>
                      <w:szCs w:val="21"/>
                      <w:lang w:val="en-US" w:eastAsia="zh-CN"/>
                    </w:rPr>
                  </w:pPr>
                  <w:r>
                    <w:rPr>
                      <w:rFonts w:hint="eastAsia" w:ascii="宋体" w:hAnsi="宋体" w:eastAsia="宋体" w:cs="宋体"/>
                      <w:sz w:val="21"/>
                      <w:szCs w:val="21"/>
                    </w:rPr>
                    <w:t>兔宝宝、 千年舟</w:t>
                  </w:r>
                  <w:r>
                    <w:rPr>
                      <w:rFonts w:hint="eastAsia" w:ascii="宋体" w:hAnsi="宋体" w:eastAsia="宋体" w:cs="宋体"/>
                      <w:sz w:val="21"/>
                      <w:szCs w:val="21"/>
                      <w:lang w:eastAsia="zh-CN"/>
                    </w:rPr>
                    <w:t>、</w:t>
                  </w:r>
                  <w:r>
                    <w:rPr>
                      <w:rFonts w:hint="eastAsia" w:ascii="宋体" w:hAnsi="宋体" w:cs="宋体"/>
                      <w:sz w:val="21"/>
                      <w:szCs w:val="21"/>
                      <w:lang w:val="en-US" w:eastAsia="zh-CN"/>
                    </w:rPr>
                    <w:t>森鹿</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3425C76B">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A49B901">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35292F9D">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AEAE12">
                  <w:pPr>
                    <w:jc w:val="center"/>
                    <w:rPr>
                      <w:rFonts w:hint="default" w:ascii="宋体" w:hAnsi="宋体" w:cs="宋体"/>
                      <w:sz w:val="21"/>
                      <w:szCs w:val="21"/>
                      <w:lang w:val="en-US" w:eastAsia="zh-CN"/>
                    </w:rPr>
                  </w:pPr>
                  <w:r>
                    <w:rPr>
                      <w:rFonts w:hint="eastAsia" w:ascii="宋体" w:hAnsi="宋体" w:cs="宋体"/>
                      <w:sz w:val="21"/>
                      <w:szCs w:val="21"/>
                      <w:lang w:val="en-US" w:eastAsia="zh-CN"/>
                    </w:rPr>
                    <w:t>6</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0E34F266">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实木复合地板</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43D70E7B">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圣象、安心、世友</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10B02D10">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4637E2A">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235FDD87">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A68302">
                  <w:pPr>
                    <w:jc w:val="center"/>
                    <w:rPr>
                      <w:rFonts w:hint="default" w:ascii="宋体" w:hAnsi="宋体" w:cs="宋体"/>
                      <w:sz w:val="21"/>
                      <w:szCs w:val="21"/>
                      <w:lang w:val="en-US" w:eastAsia="zh-CN"/>
                    </w:rPr>
                  </w:pPr>
                  <w:r>
                    <w:rPr>
                      <w:rFonts w:hint="eastAsia" w:ascii="宋体" w:hAnsi="宋体" w:cs="宋体"/>
                      <w:sz w:val="21"/>
                      <w:szCs w:val="21"/>
                      <w:lang w:val="en-US" w:eastAsia="zh-CN"/>
                    </w:rPr>
                    <w:t>7</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1FA29C29">
                  <w:pPr>
                    <w:jc w:val="center"/>
                    <w:rPr>
                      <w:rFonts w:hint="default" w:ascii="宋体" w:hAnsi="宋体" w:cs="宋体"/>
                      <w:sz w:val="21"/>
                      <w:szCs w:val="21"/>
                      <w:lang w:val="en-US" w:eastAsia="zh-CN"/>
                    </w:rPr>
                  </w:pPr>
                  <w:r>
                    <w:rPr>
                      <w:rFonts w:hint="eastAsia" w:ascii="宋体" w:hAnsi="宋体" w:cs="宋体"/>
                      <w:sz w:val="21"/>
                      <w:szCs w:val="21"/>
                      <w:lang w:val="en-US" w:eastAsia="zh-CN"/>
                    </w:rPr>
                    <w:t>地砖、岩板</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5EA01857">
                  <w:pPr>
                    <w:jc w:val="center"/>
                    <w:rPr>
                      <w:rFonts w:hint="default" w:ascii="宋体" w:hAnsi="宋体" w:cs="宋体"/>
                      <w:sz w:val="21"/>
                      <w:szCs w:val="21"/>
                      <w:lang w:val="en-US" w:eastAsia="zh-CN"/>
                    </w:rPr>
                  </w:pPr>
                  <w:r>
                    <w:rPr>
                      <w:rFonts w:hint="eastAsia" w:ascii="宋体" w:hAnsi="宋体" w:cs="宋体"/>
                      <w:sz w:val="21"/>
                      <w:szCs w:val="21"/>
                      <w:lang w:val="en-US" w:eastAsia="zh-CN"/>
                    </w:rPr>
                    <w:t>东鹏、马可波罗、冠军</w:t>
                  </w:r>
                </w:p>
              </w:tc>
              <w:tc>
                <w:tcPr>
                  <w:tcW w:w="1470" w:type="dxa"/>
                  <w:tcBorders>
                    <w:top w:val="single" w:color="000000" w:sz="4" w:space="0"/>
                    <w:left w:val="single" w:color="000000" w:sz="4" w:space="0"/>
                    <w:bottom w:val="single" w:color="000000" w:sz="4" w:space="0"/>
                    <w:right w:val="single" w:color="000000" w:sz="4" w:space="0"/>
                  </w:tcBorders>
                  <w:shd w:val="clear"/>
                  <w:noWrap w:val="0"/>
                  <w:vAlign w:val="center"/>
                </w:tcPr>
                <w:p w14:paraId="400DBAAE">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noWrap w:val="0"/>
                  <w:vAlign w:val="center"/>
                </w:tcPr>
                <w:p w14:paraId="709172B0">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2B2AC521">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EAACA5">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8</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2154C801">
                  <w:pPr>
                    <w:jc w:val="center"/>
                    <w:rPr>
                      <w:rFonts w:hint="eastAsia" w:ascii="宋体" w:hAnsi="宋体" w:eastAsia="宋体" w:cs="宋体"/>
                      <w:sz w:val="21"/>
                      <w:szCs w:val="21"/>
                    </w:rPr>
                  </w:pPr>
                  <w:r>
                    <w:rPr>
                      <w:rFonts w:hint="eastAsia" w:ascii="宋体" w:hAnsi="宋体" w:eastAsia="宋体" w:cs="宋体"/>
                      <w:sz w:val="21"/>
                      <w:szCs w:val="21"/>
                    </w:rPr>
                    <w:t>电线</w:t>
                  </w:r>
                  <w:r>
                    <w:rPr>
                      <w:rFonts w:hint="eastAsia" w:ascii="宋体" w:hAnsi="宋体" w:eastAsia="宋体" w:cs="宋体"/>
                      <w:sz w:val="21"/>
                      <w:szCs w:val="21"/>
                      <w:lang w:eastAsia="zh-CN"/>
                    </w:rPr>
                    <w:t>、</w:t>
                  </w:r>
                  <w:r>
                    <w:rPr>
                      <w:rFonts w:hint="eastAsia" w:ascii="宋体" w:hAnsi="宋体" w:eastAsia="宋体" w:cs="宋体"/>
                      <w:sz w:val="21"/>
                      <w:szCs w:val="21"/>
                    </w:rPr>
                    <w:t>电缆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1A2F96B0">
                  <w:pPr>
                    <w:jc w:val="center"/>
                    <w:rPr>
                      <w:rFonts w:hint="eastAsia" w:ascii="宋体" w:hAnsi="宋体" w:eastAsia="宋体" w:cs="宋体"/>
                      <w:sz w:val="21"/>
                      <w:szCs w:val="21"/>
                    </w:rPr>
                  </w:pPr>
                  <w:r>
                    <w:rPr>
                      <w:rFonts w:hint="eastAsia" w:ascii="宋体" w:hAnsi="宋体" w:eastAsia="宋体" w:cs="宋体"/>
                      <w:sz w:val="21"/>
                      <w:szCs w:val="21"/>
                    </w:rPr>
                    <w:t>元通、万马、永通</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7590228E">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23E9A02">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7A598657">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ECC510">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9</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1DB1A1C6">
                  <w:pPr>
                    <w:jc w:val="center"/>
                    <w:rPr>
                      <w:rFonts w:hint="eastAsia" w:ascii="宋体" w:hAnsi="宋体" w:eastAsia="宋体" w:cs="宋体"/>
                      <w:sz w:val="21"/>
                      <w:szCs w:val="21"/>
                    </w:rPr>
                  </w:pPr>
                  <w:r>
                    <w:rPr>
                      <w:rFonts w:hint="eastAsia" w:ascii="宋体" w:hAnsi="宋体" w:eastAsia="宋体" w:cs="宋体"/>
                      <w:sz w:val="21"/>
                      <w:szCs w:val="21"/>
                    </w:rPr>
                    <w:t>配电箱元器件</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6904B3C1">
                  <w:pPr>
                    <w:jc w:val="center"/>
                    <w:rPr>
                      <w:rFonts w:hint="eastAsia" w:ascii="宋体" w:hAnsi="宋体" w:eastAsia="宋体" w:cs="宋体"/>
                      <w:sz w:val="21"/>
                      <w:szCs w:val="21"/>
                    </w:rPr>
                  </w:pPr>
                  <w:r>
                    <w:rPr>
                      <w:rFonts w:hint="eastAsia" w:ascii="宋体" w:hAnsi="宋体" w:eastAsia="宋体" w:cs="宋体"/>
                      <w:sz w:val="21"/>
                      <w:szCs w:val="21"/>
                    </w:rPr>
                    <w:t>施耐德</w:t>
                  </w:r>
                  <w:r>
                    <w:rPr>
                      <w:rFonts w:hint="eastAsia" w:ascii="宋体" w:hAnsi="宋体" w:eastAsia="宋体" w:cs="宋体"/>
                      <w:sz w:val="21"/>
                      <w:szCs w:val="21"/>
                      <w:lang w:eastAsia="zh-CN"/>
                    </w:rPr>
                    <w:t>、</w:t>
                  </w:r>
                  <w:bookmarkStart w:id="0" w:name="_GoBack"/>
                  <w:bookmarkEnd w:id="0"/>
                  <w:r>
                    <w:rPr>
                      <w:rFonts w:hint="eastAsia" w:ascii="宋体" w:hAnsi="宋体" w:eastAsia="宋体" w:cs="宋体"/>
                      <w:sz w:val="21"/>
                      <w:szCs w:val="21"/>
                    </w:rPr>
                    <w:t>ABB</w:t>
                  </w:r>
                  <w:r>
                    <w:rPr>
                      <w:rFonts w:hint="eastAsia" w:ascii="宋体" w:hAnsi="宋体" w:eastAsia="宋体" w:cs="宋体"/>
                      <w:sz w:val="21"/>
                      <w:szCs w:val="21"/>
                      <w:lang w:eastAsia="zh-CN"/>
                    </w:rPr>
                    <w:t>、</w:t>
                  </w:r>
                  <w:r>
                    <w:rPr>
                      <w:rFonts w:hint="eastAsia" w:ascii="宋体" w:hAnsi="宋体" w:eastAsia="宋体" w:cs="宋体"/>
                      <w:sz w:val="21"/>
                      <w:szCs w:val="21"/>
                    </w:rPr>
                    <w:t>西门子</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2177F498">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706888C">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1D07530B">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DD7CFE">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10</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E9ED30D">
                  <w:pPr>
                    <w:jc w:val="center"/>
                    <w:rPr>
                      <w:rFonts w:hint="eastAsia" w:ascii="宋体" w:hAnsi="宋体" w:eastAsia="宋体" w:cs="宋体"/>
                      <w:sz w:val="21"/>
                      <w:szCs w:val="21"/>
                    </w:rPr>
                  </w:pPr>
                  <w:r>
                    <w:rPr>
                      <w:rFonts w:hint="eastAsia" w:ascii="宋体" w:hAnsi="宋体" w:eastAsia="宋体" w:cs="宋体"/>
                      <w:sz w:val="21"/>
                      <w:szCs w:val="21"/>
                    </w:rPr>
                    <w:t>开关、插座</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2A3F78BF">
                  <w:pPr>
                    <w:jc w:val="center"/>
                    <w:rPr>
                      <w:rFonts w:hint="eastAsia" w:ascii="宋体" w:hAnsi="宋体" w:eastAsia="宋体" w:cs="宋体"/>
                      <w:sz w:val="21"/>
                      <w:szCs w:val="21"/>
                    </w:rPr>
                  </w:pPr>
                  <w:r>
                    <w:rPr>
                      <w:rFonts w:hint="eastAsia" w:ascii="宋体" w:hAnsi="宋体" w:eastAsia="宋体" w:cs="宋体"/>
                      <w:sz w:val="21"/>
                      <w:szCs w:val="21"/>
                    </w:rPr>
                    <w:t>鸿雁</w:t>
                  </w:r>
                  <w:r>
                    <w:rPr>
                      <w:rFonts w:hint="eastAsia" w:ascii="宋体" w:hAnsi="宋体" w:eastAsia="宋体" w:cs="宋体"/>
                      <w:sz w:val="21"/>
                      <w:szCs w:val="21"/>
                      <w:lang w:eastAsia="zh-CN"/>
                    </w:rPr>
                    <w:t>、</w:t>
                  </w:r>
                  <w:r>
                    <w:rPr>
                      <w:rFonts w:hint="eastAsia" w:ascii="宋体" w:hAnsi="宋体" w:eastAsia="宋体" w:cs="宋体"/>
                      <w:sz w:val="21"/>
                      <w:szCs w:val="21"/>
                    </w:rPr>
                    <w:t>德力西、正泰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0DB216B6">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ED17577">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4B0F7C18">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BD7DFA">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6E067B2B">
                  <w:pPr>
                    <w:jc w:val="center"/>
                    <w:rPr>
                      <w:rFonts w:hint="eastAsia" w:ascii="宋体" w:hAnsi="宋体" w:eastAsia="宋体" w:cs="宋体"/>
                      <w:sz w:val="21"/>
                      <w:szCs w:val="21"/>
                    </w:rPr>
                  </w:pPr>
                  <w:r>
                    <w:rPr>
                      <w:rFonts w:hint="eastAsia" w:ascii="宋体" w:hAnsi="宋体" w:eastAsia="宋体" w:cs="宋体"/>
                      <w:sz w:val="21"/>
                      <w:szCs w:val="21"/>
                    </w:rPr>
                    <w:t>LED灯具</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4435F949">
                  <w:pPr>
                    <w:jc w:val="center"/>
                    <w:rPr>
                      <w:rFonts w:hint="eastAsia" w:ascii="宋体" w:hAnsi="宋体" w:eastAsia="宋体" w:cs="宋体"/>
                      <w:sz w:val="21"/>
                      <w:szCs w:val="21"/>
                    </w:rPr>
                  </w:pPr>
                  <w:r>
                    <w:rPr>
                      <w:rFonts w:hint="eastAsia" w:ascii="宋体" w:hAnsi="宋体" w:eastAsia="宋体" w:cs="宋体"/>
                      <w:sz w:val="21"/>
                      <w:szCs w:val="21"/>
                    </w:rPr>
                    <w:t>雷士、松下、三雄极光</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704D9058">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87235EA">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29AD4DDE">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530E4D">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12</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0FD1C77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综合布线缆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74FA72B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一舟、百通、罗格朗</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38ABF759">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FA4FF28">
                  <w:pPr>
                    <w:jc w:val="center"/>
                    <w:rPr>
                      <w:rFonts w:hint="eastAsia" w:ascii="宋体" w:hAnsi="宋体" w:eastAsia="宋体" w:cs="宋体"/>
                      <w:sz w:val="21"/>
                      <w:szCs w:val="21"/>
                    </w:rPr>
                  </w:pPr>
                  <w:r>
                    <w:rPr>
                      <w:rFonts w:hint="eastAsia" w:ascii="宋体" w:hAnsi="宋体" w:eastAsia="宋体" w:cs="宋体"/>
                      <w:sz w:val="21"/>
                      <w:szCs w:val="21"/>
                      <w:lang w:val="en-US" w:eastAsia="zh-CN"/>
                    </w:rPr>
                    <w:t>或相当于</w:t>
                  </w:r>
                </w:p>
              </w:tc>
            </w:tr>
            <w:tr w14:paraId="3F4ACFEA">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82C7EE">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13</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068A5B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光缆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253A757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长飞、烽火、一舟</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2290E87B">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C1E5DAC">
                  <w:pPr>
                    <w:jc w:val="center"/>
                    <w:rPr>
                      <w:rFonts w:hint="eastAsia" w:ascii="宋体" w:hAnsi="宋体" w:eastAsia="宋体" w:cs="宋体"/>
                      <w:sz w:val="21"/>
                      <w:szCs w:val="21"/>
                    </w:rPr>
                  </w:pPr>
                  <w:r>
                    <w:rPr>
                      <w:rFonts w:hint="eastAsia" w:ascii="宋体" w:hAnsi="宋体" w:eastAsia="宋体" w:cs="宋体"/>
                      <w:sz w:val="21"/>
                      <w:szCs w:val="21"/>
                      <w:lang w:val="en-US" w:eastAsia="zh-CN"/>
                    </w:rPr>
                    <w:t>或相当于</w:t>
                  </w:r>
                </w:p>
              </w:tc>
            </w:tr>
          </w:tbl>
          <w:p w14:paraId="658CBB49">
            <w:pPr>
              <w:pStyle w:val="3"/>
              <w:spacing w:line="360" w:lineRule="auto"/>
              <w:rPr>
                <w:rFonts w:hint="eastAsia" w:hAnsi="宋体" w:cs="宋体"/>
                <w:color w:val="000000"/>
                <w:highlight w:val="none"/>
                <w:lang w:val="zh-CN"/>
              </w:rPr>
            </w:pPr>
            <w:r>
              <w:rPr>
                <w:rFonts w:hint="default" w:ascii="Times New Roman" w:hAnsi="Times New Roman" w:eastAsia="宋体" w:cs="Times New Roman"/>
                <w:kern w:val="1"/>
                <w:sz w:val="21"/>
                <w:szCs w:val="21"/>
              </w:rPr>
              <w:t>注意：涂料、油漆、多层板、细木工板要达到环保E1级标准。</w:t>
            </w:r>
            <w:r>
              <w:rPr>
                <w:rFonts w:ascii="宋体" w:hAnsi="宋体" w:cs="宋体"/>
                <w:kern w:val="0"/>
                <w:szCs w:val="21"/>
                <w:highlight w:val="none"/>
                <w:lang w:val="zh-CN"/>
              </w:rPr>
              <w:t xml:space="preserve"> </w:t>
            </w:r>
          </w:p>
        </w:tc>
      </w:tr>
    </w:tbl>
    <w:p w14:paraId="2AB86B1C">
      <w:pPr>
        <w:pStyle w:val="3"/>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54FA8">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676910"/>
              <wp:effectExtent l="4445" t="4445" r="22860" b="23495"/>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67691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7CD547AA">
                          <w:pPr>
                            <w:pStyle w:val="3"/>
                            <w:tabs>
                              <w:tab w:val="left" w:pos="0"/>
                            </w:tabs>
                            <w:jc w:val="center"/>
                            <w:rPr>
                              <w:b/>
                              <w:sz w:val="48"/>
                              <w:szCs w:val="48"/>
                            </w:rPr>
                          </w:pPr>
                          <w:r>
                            <w:rPr>
                              <w:rFonts w:hint="eastAsia"/>
                              <w:b/>
                              <w:sz w:val="48"/>
                              <w:szCs w:val="48"/>
                            </w:rPr>
                            <w:t>工程量清单编制总说明</w:t>
                          </w:r>
                        </w:p>
                        <w:p w14:paraId="40450DA2">
                          <w:pPr>
                            <w:rPr>
                              <w:rFonts w:hint="eastAsia" w:ascii="宋体" w:hAnsi="宋体" w:eastAsia="宋体" w:cs="宋体"/>
                              <w:sz w:val="21"/>
                              <w:szCs w:val="21"/>
                            </w:rPr>
                          </w:pPr>
                          <w:r>
                            <w:rPr>
                              <w:rFonts w:hint="eastAsia" w:ascii="宋体" w:hAnsi="宋体" w:eastAsia="宋体" w:cs="宋体"/>
                              <w:sz w:val="21"/>
                              <w:szCs w:val="21"/>
                            </w:rPr>
                            <w:t xml:space="preserve">工程名称: </w:t>
                          </w:r>
                          <w:r>
                            <w:rPr>
                              <w:rFonts w:hint="eastAsia" w:asciiTheme="majorEastAsia" w:hAnsiTheme="majorEastAsia" w:eastAsiaTheme="majorEastAsia"/>
                              <w:lang w:val="en-US" w:eastAsia="zh-CN"/>
                            </w:rPr>
                            <w:t xml:space="preserve">杭州电子科技大学科技馆6楼新质生产力研究院装修改造工程  </w:t>
                          </w:r>
                          <w:r>
                            <w:rPr>
                              <w:rFonts w:hint="eastAsia" w:ascii="宋体" w:hAnsi="宋体" w:eastAsia="宋体" w:cs="宋体"/>
                              <w:sz w:val="21"/>
                              <w:szCs w:val="21"/>
                            </w:rPr>
                            <w:t>第</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PAGE  \* Arabic  \* MERGEFORMAT</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页，共</w:t>
                          </w:r>
                          <w:r>
                            <w:rPr>
                              <w:rFonts w:hint="eastAsia" w:ascii="宋体" w:hAnsi="宋体" w:cs="宋体"/>
                              <w:sz w:val="21"/>
                              <w:szCs w:val="21"/>
                              <w:lang w:val="en-US" w:eastAsia="zh-CN"/>
                            </w:rPr>
                            <w:t>5</w:t>
                          </w:r>
                          <w:r>
                            <w:rPr>
                              <w:rFonts w:hint="eastAsia" w:ascii="宋体" w:hAnsi="宋体" w:eastAsia="宋体" w:cs="宋体"/>
                              <w:sz w:val="21"/>
                              <w:szCs w:val="21"/>
                            </w:rPr>
                            <w:t>页</w:t>
                          </w:r>
                        </w:p>
                        <w:p w14:paraId="421259F5">
                          <w:pPr>
                            <w:rPr>
                              <w:rFonts w:hint="eastAsia" w:ascii="宋体" w:hAnsi="宋体" w:eastAsia="宋体" w:cs="宋体"/>
                              <w:sz w:val="21"/>
                              <w:szCs w:val="21"/>
                            </w:rPr>
                          </w:pPr>
                        </w:p>
                      </w:txbxContent>
                    </wps:txbx>
                    <wps:bodyPr vert="horz" anchor="t" upright="1"/>
                  </wps:wsp>
                </a:graphicData>
              </a:graphic>
            </wp:anchor>
          </w:drawing>
        </mc:Choice>
        <mc:Fallback>
          <w:pict>
            <v:shape id="文本框 2" o:spid="_x0000_s1026" o:spt="202" type="#_x0000_t202" style="position:absolute;left:0pt;margin-left:-6.85pt;margin-top:16.7pt;height:53.3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yf+VjYAAAACgEAAA8A&#10;AAAAAAAAAQAgAAAAIgAAAGRycy9kb3ducmV2LnhtbFBLAQIUABQAAAAIAIdO4kBFAkw+FwIAAE0E&#10;AAAOAAAAAAAAAAEAIAAAACcBAABkcnMvZTJvRG9jLnhtbFBLBQYAAAAABgAGAFkBAACwBQAAAAA=&#10;">
              <v:fill on="t" focussize="0,0"/>
              <v:stroke color="#FFFFFF" joinstyle="miter"/>
              <v:imagedata o:title=""/>
              <o:lock v:ext="edit" aspectratio="f"/>
              <v:textbox>
                <w:txbxContent>
                  <w:p w14:paraId="7CD547AA">
                    <w:pPr>
                      <w:pStyle w:val="3"/>
                      <w:tabs>
                        <w:tab w:val="left" w:pos="0"/>
                      </w:tabs>
                      <w:jc w:val="center"/>
                      <w:rPr>
                        <w:b/>
                        <w:sz w:val="48"/>
                        <w:szCs w:val="48"/>
                      </w:rPr>
                    </w:pPr>
                    <w:r>
                      <w:rPr>
                        <w:rFonts w:hint="eastAsia"/>
                        <w:b/>
                        <w:sz w:val="48"/>
                        <w:szCs w:val="48"/>
                      </w:rPr>
                      <w:t>工程量清单编制总说明</w:t>
                    </w:r>
                  </w:p>
                  <w:p w14:paraId="40450DA2">
                    <w:pPr>
                      <w:rPr>
                        <w:rFonts w:hint="eastAsia" w:ascii="宋体" w:hAnsi="宋体" w:eastAsia="宋体" w:cs="宋体"/>
                        <w:sz w:val="21"/>
                        <w:szCs w:val="21"/>
                      </w:rPr>
                    </w:pPr>
                    <w:r>
                      <w:rPr>
                        <w:rFonts w:hint="eastAsia" w:ascii="宋体" w:hAnsi="宋体" w:eastAsia="宋体" w:cs="宋体"/>
                        <w:sz w:val="21"/>
                        <w:szCs w:val="21"/>
                      </w:rPr>
                      <w:t xml:space="preserve">工程名称: </w:t>
                    </w:r>
                    <w:r>
                      <w:rPr>
                        <w:rFonts w:hint="eastAsia" w:asciiTheme="majorEastAsia" w:hAnsiTheme="majorEastAsia" w:eastAsiaTheme="majorEastAsia"/>
                        <w:lang w:val="en-US" w:eastAsia="zh-CN"/>
                      </w:rPr>
                      <w:t xml:space="preserve">杭州电子科技大学科技馆6楼新质生产力研究院装修改造工程  </w:t>
                    </w:r>
                    <w:r>
                      <w:rPr>
                        <w:rFonts w:hint="eastAsia" w:ascii="宋体" w:hAnsi="宋体" w:eastAsia="宋体" w:cs="宋体"/>
                        <w:sz w:val="21"/>
                        <w:szCs w:val="21"/>
                      </w:rPr>
                      <w:t>第</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PAGE  \* Arabic  \* MERGEFORMAT</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页，共</w:t>
                    </w:r>
                    <w:r>
                      <w:rPr>
                        <w:rFonts w:hint="eastAsia" w:ascii="宋体" w:hAnsi="宋体" w:cs="宋体"/>
                        <w:sz w:val="21"/>
                        <w:szCs w:val="21"/>
                        <w:lang w:val="en-US" w:eastAsia="zh-CN"/>
                      </w:rPr>
                      <w:t>5</w:t>
                    </w:r>
                    <w:r>
                      <w:rPr>
                        <w:rFonts w:hint="eastAsia" w:ascii="宋体" w:hAnsi="宋体" w:eastAsia="宋体" w:cs="宋体"/>
                        <w:sz w:val="21"/>
                        <w:szCs w:val="21"/>
                      </w:rPr>
                      <w:t>页</w:t>
                    </w:r>
                  </w:p>
                  <w:p w14:paraId="421259F5">
                    <w:pPr>
                      <w:rPr>
                        <w:rFonts w:hint="eastAsia" w:ascii="宋体" w:hAnsi="宋体" w:eastAsia="宋体" w:cs="宋体"/>
                        <w:sz w:val="21"/>
                        <w:szCs w:val="21"/>
                      </w:rPr>
                    </w:pPr>
                  </w:p>
                </w:txbxContent>
              </v:textbox>
              <w10:wrap type="square"/>
            </v:shape>
          </w:pict>
        </mc:Fallback>
      </mc:AlternateConten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BCB0A9"/>
    <w:multiLevelType w:val="singleLevel"/>
    <w:tmpl w:val="B2BCB0A9"/>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mMzcwOTczMTU1NjAyMmFlNDY0NzUzZWY4NTdlNjg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1E48"/>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1A65"/>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9F8"/>
    <w:rsid w:val="00D37E82"/>
    <w:rsid w:val="00D526A6"/>
    <w:rsid w:val="00D526BD"/>
    <w:rsid w:val="00D55216"/>
    <w:rsid w:val="00D574EE"/>
    <w:rsid w:val="00D602E0"/>
    <w:rsid w:val="00D60AF4"/>
    <w:rsid w:val="00D61E53"/>
    <w:rsid w:val="00D75207"/>
    <w:rsid w:val="00D80E44"/>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3366EA6"/>
    <w:rsid w:val="03392FBC"/>
    <w:rsid w:val="0B7F1CA7"/>
    <w:rsid w:val="0C396B4C"/>
    <w:rsid w:val="0E613268"/>
    <w:rsid w:val="0F090DE9"/>
    <w:rsid w:val="12BF28AB"/>
    <w:rsid w:val="13347445"/>
    <w:rsid w:val="150A6237"/>
    <w:rsid w:val="158F443B"/>
    <w:rsid w:val="17A4103D"/>
    <w:rsid w:val="17B943BD"/>
    <w:rsid w:val="18BA19F3"/>
    <w:rsid w:val="18E13BCB"/>
    <w:rsid w:val="1A003988"/>
    <w:rsid w:val="1AEE7B63"/>
    <w:rsid w:val="1B617245"/>
    <w:rsid w:val="1B6E25C4"/>
    <w:rsid w:val="1CA97C35"/>
    <w:rsid w:val="1D641E26"/>
    <w:rsid w:val="1E320A25"/>
    <w:rsid w:val="1FB44D03"/>
    <w:rsid w:val="1FD04999"/>
    <w:rsid w:val="227B58D9"/>
    <w:rsid w:val="246C2EE2"/>
    <w:rsid w:val="24AB704C"/>
    <w:rsid w:val="25537BFE"/>
    <w:rsid w:val="2583364F"/>
    <w:rsid w:val="26181E3F"/>
    <w:rsid w:val="27160108"/>
    <w:rsid w:val="2801460D"/>
    <w:rsid w:val="28136AE6"/>
    <w:rsid w:val="28940A5E"/>
    <w:rsid w:val="2AFC6642"/>
    <w:rsid w:val="2B7D5822"/>
    <w:rsid w:val="2B8D57C9"/>
    <w:rsid w:val="2C183950"/>
    <w:rsid w:val="2E6115DE"/>
    <w:rsid w:val="2EE638B2"/>
    <w:rsid w:val="315546E1"/>
    <w:rsid w:val="32421F05"/>
    <w:rsid w:val="3251196A"/>
    <w:rsid w:val="32D541E9"/>
    <w:rsid w:val="344572AC"/>
    <w:rsid w:val="35596F99"/>
    <w:rsid w:val="365232D0"/>
    <w:rsid w:val="376C67F2"/>
    <w:rsid w:val="38631C99"/>
    <w:rsid w:val="38741687"/>
    <w:rsid w:val="3B464036"/>
    <w:rsid w:val="3C601127"/>
    <w:rsid w:val="3CD46665"/>
    <w:rsid w:val="4033368A"/>
    <w:rsid w:val="40CB28E7"/>
    <w:rsid w:val="41A1696E"/>
    <w:rsid w:val="438C4271"/>
    <w:rsid w:val="43C024AB"/>
    <w:rsid w:val="453B44DF"/>
    <w:rsid w:val="4698326B"/>
    <w:rsid w:val="497242D2"/>
    <w:rsid w:val="49951CE4"/>
    <w:rsid w:val="49A41BDF"/>
    <w:rsid w:val="4A3F4DA2"/>
    <w:rsid w:val="4A62606A"/>
    <w:rsid w:val="4A652AEB"/>
    <w:rsid w:val="4B90280D"/>
    <w:rsid w:val="4C1C277B"/>
    <w:rsid w:val="4CD13B0A"/>
    <w:rsid w:val="4D515E48"/>
    <w:rsid w:val="4E110852"/>
    <w:rsid w:val="4F6339A5"/>
    <w:rsid w:val="50456116"/>
    <w:rsid w:val="50B60EBE"/>
    <w:rsid w:val="526B2003"/>
    <w:rsid w:val="53014E26"/>
    <w:rsid w:val="53973ACB"/>
    <w:rsid w:val="54016821"/>
    <w:rsid w:val="54951AC4"/>
    <w:rsid w:val="55FA2C72"/>
    <w:rsid w:val="56C63E25"/>
    <w:rsid w:val="57255D0E"/>
    <w:rsid w:val="578564E2"/>
    <w:rsid w:val="585821BA"/>
    <w:rsid w:val="587766E0"/>
    <w:rsid w:val="588C69A8"/>
    <w:rsid w:val="591F3539"/>
    <w:rsid w:val="5C5F065B"/>
    <w:rsid w:val="5CE9261B"/>
    <w:rsid w:val="5F681F1D"/>
    <w:rsid w:val="5FDE3F8D"/>
    <w:rsid w:val="644A7BC0"/>
    <w:rsid w:val="64572A05"/>
    <w:rsid w:val="65614110"/>
    <w:rsid w:val="6563635E"/>
    <w:rsid w:val="667B2F54"/>
    <w:rsid w:val="68352A03"/>
    <w:rsid w:val="6B1D0764"/>
    <w:rsid w:val="6C264CF2"/>
    <w:rsid w:val="6D07065E"/>
    <w:rsid w:val="6F07626B"/>
    <w:rsid w:val="717F3467"/>
    <w:rsid w:val="72035D78"/>
    <w:rsid w:val="722577FA"/>
    <w:rsid w:val="72435ED2"/>
    <w:rsid w:val="730C00E3"/>
    <w:rsid w:val="73621405"/>
    <w:rsid w:val="74890514"/>
    <w:rsid w:val="74B2104F"/>
    <w:rsid w:val="756248C1"/>
    <w:rsid w:val="76740D50"/>
    <w:rsid w:val="77122EE5"/>
    <w:rsid w:val="773744A0"/>
    <w:rsid w:val="794A4EA4"/>
    <w:rsid w:val="7BE44282"/>
    <w:rsid w:val="7CCD2F68"/>
    <w:rsid w:val="7D8B76B8"/>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w:next w:val="1"/>
    <w:autoRedefine/>
    <w:qFormat/>
    <w:uiPriority w:val="0"/>
    <w:pPr>
      <w:widowControl w:val="0"/>
      <w:spacing w:after="120"/>
      <w:jc w:val="both"/>
    </w:pPr>
    <w:rPr>
      <w:rFonts w:ascii="Calibri" w:hAnsi="Calibri" w:eastAsia="宋体" w:cs="Times New Roman"/>
      <w:kern w:val="2"/>
      <w:sz w:val="28"/>
      <w:szCs w:val="24"/>
      <w:lang w:val="en-US" w:eastAsia="zh-CN" w:bidi="ar-SA"/>
    </w:rPr>
  </w:style>
  <w:style w:type="paragraph" w:styleId="3">
    <w:name w:val="Plain Text"/>
    <w:basedOn w:val="1"/>
    <w:link w:val="16"/>
    <w:autoRedefine/>
    <w:qFormat/>
    <w:uiPriority w:val="0"/>
    <w:rPr>
      <w:rFonts w:ascii="宋体" w:hAnsi="Courier New" w:cs="Courier New"/>
      <w:szCs w:val="21"/>
    </w:rPr>
  </w:style>
  <w:style w:type="paragraph" w:styleId="4">
    <w:name w:val="Balloon Text"/>
    <w:basedOn w:val="1"/>
    <w:autoRedefine/>
    <w:semiHidden/>
    <w:qFormat/>
    <w:uiPriority w:val="0"/>
    <w:rPr>
      <w:sz w:val="18"/>
      <w:szCs w:val="18"/>
    </w:rPr>
  </w:style>
  <w:style w:type="paragraph" w:styleId="5">
    <w:name w:val="footer"/>
    <w:basedOn w:val="1"/>
    <w:link w:val="15"/>
    <w:autoRedefine/>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autoRedefine/>
    <w:qFormat/>
    <w:uiPriority w:val="39"/>
    <w:pPr>
      <w:spacing w:before="120" w:after="120"/>
      <w:jc w:val="left"/>
    </w:pPr>
    <w:rPr>
      <w:rFonts w:ascii="Calibri" w:hAnsi="Calibri"/>
      <w:b/>
      <w:bCs/>
      <w:caps/>
      <w:sz w:val="20"/>
    </w:rPr>
  </w:style>
  <w:style w:type="table" w:styleId="9">
    <w:name w:val="Table Grid"/>
    <w:basedOn w:val="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Char"/>
    <w:basedOn w:val="1"/>
    <w:autoRedefine/>
    <w:qFormat/>
    <w:uiPriority w:val="0"/>
    <w:rPr>
      <w:rFonts w:ascii="仿宋_GB2312" w:eastAsia="仿宋_GB2312"/>
      <w:b/>
      <w:sz w:val="32"/>
      <w:szCs w:val="32"/>
    </w:rPr>
  </w:style>
  <w:style w:type="paragraph" w:customStyle="1" w:styleId="13">
    <w:name w:val="_Style 10"/>
    <w:basedOn w:val="1"/>
    <w:autoRedefine/>
    <w:qFormat/>
    <w:uiPriority w:val="0"/>
    <w:pPr>
      <w:ind w:firstLine="480"/>
    </w:pPr>
  </w:style>
  <w:style w:type="character" w:customStyle="1" w:styleId="14">
    <w:name w:val="页眉 字符"/>
    <w:basedOn w:val="10"/>
    <w:link w:val="6"/>
    <w:qFormat/>
    <w:uiPriority w:val="0"/>
    <w:rPr>
      <w:kern w:val="2"/>
      <w:sz w:val="18"/>
      <w:szCs w:val="18"/>
    </w:rPr>
  </w:style>
  <w:style w:type="character" w:customStyle="1" w:styleId="15">
    <w:name w:val="页脚 字符"/>
    <w:basedOn w:val="10"/>
    <w:link w:val="5"/>
    <w:qFormat/>
    <w:uiPriority w:val="0"/>
    <w:rPr>
      <w:kern w:val="2"/>
      <w:sz w:val="18"/>
      <w:szCs w:val="18"/>
    </w:rPr>
  </w:style>
  <w:style w:type="character" w:customStyle="1" w:styleId="16">
    <w:name w:val="纯文本 字符"/>
    <w:basedOn w:val="10"/>
    <w:link w:val="3"/>
    <w:autoRedefine/>
    <w:qFormat/>
    <w:uiPriority w:val="0"/>
    <w:rPr>
      <w:rFonts w:ascii="宋体" w:hAnsi="Courier New" w:cs="Courier New"/>
      <w:kern w:val="2"/>
      <w:sz w:val="21"/>
      <w:szCs w:val="21"/>
    </w:rPr>
  </w:style>
  <w:style w:type="paragraph" w:styleId="1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5</Pages>
  <Words>3922</Words>
  <Characters>4129</Characters>
  <Lines>37</Lines>
  <Paragraphs>10</Paragraphs>
  <TotalTime>2</TotalTime>
  <ScaleCrop>false</ScaleCrop>
  <LinksUpToDate>false</LinksUpToDate>
  <CharactersWithSpaces>4148</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gx3</cp:lastModifiedBy>
  <cp:lastPrinted>2022-07-05T06:43:00Z</cp:lastPrinted>
  <dcterms:modified xsi:type="dcterms:W3CDTF">2024-11-20T08:03:03Z</dcterms:modified>
  <dc:title>编制总说明</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CC07AE87BEEE4EF0BA3A4B2C2397955B</vt:lpwstr>
  </property>
</Properties>
</file>