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48"/>
      </w:tblGrid>
      <w:tr w14:paraId="4D09A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8748" w:type="dxa"/>
          </w:tcPr>
          <w:p w14:paraId="26EE54A2">
            <w:pPr>
              <w:autoSpaceDE w:val="0"/>
              <w:autoSpaceDN w:val="0"/>
              <w:adjustRightInd w:val="0"/>
              <w:spacing w:line="360" w:lineRule="auto"/>
              <w:rPr>
                <w:rFonts w:ascii="宋体" w:hAnsi="宋体" w:cs="宋体"/>
                <w:color w:val="000000"/>
                <w:szCs w:val="21"/>
                <w:highlight w:val="none"/>
              </w:rPr>
            </w:pPr>
            <w:r>
              <w:rPr>
                <w:rFonts w:hint="eastAsia" w:hAnsi="宋体" w:cs="宋体"/>
                <w:color w:val="000000"/>
                <w:highlight w:val="none"/>
              </w:rPr>
              <w:t>一、工程概</w:t>
            </w:r>
            <w:r>
              <w:rPr>
                <w:rFonts w:hint="eastAsia" w:ascii="宋体" w:hAnsi="宋体" w:cs="宋体"/>
                <w:color w:val="000000"/>
                <w:szCs w:val="21"/>
                <w:highlight w:val="none"/>
              </w:rPr>
              <w:t>况：</w:t>
            </w:r>
            <w:r>
              <w:rPr>
                <w:rFonts w:hint="eastAsia" w:hAnsi="宋体" w:cs="宋体"/>
                <w:color w:val="000000"/>
                <w:highlight w:val="none"/>
              </w:rPr>
              <w:t>杭州电子科技大学下沙校区变电所基础改造工程（变电所智能化系统搭建）</w:t>
            </w:r>
            <w:r>
              <w:rPr>
                <w:rFonts w:hint="eastAsia" w:hAnsi="宋体" w:cs="宋体"/>
                <w:color w:val="000000"/>
                <w:highlight w:val="none"/>
                <w:lang w:eastAsia="zh-CN"/>
              </w:rPr>
              <w:t>，</w:t>
            </w:r>
            <w:r>
              <w:rPr>
                <w:rFonts w:hint="eastAsia" w:hAnsi="宋体" w:cs="宋体"/>
                <w:highlight w:val="none"/>
                <w:lang w:val="en-US" w:eastAsia="zh-CN"/>
              </w:rPr>
              <w:t>工程范围为</w:t>
            </w:r>
            <w:r>
              <w:rPr>
                <w:rFonts w:hint="eastAsia" w:hAnsi="宋体" w:cs="宋体"/>
                <w:color w:val="000000"/>
                <w:highlight w:val="none"/>
              </w:rPr>
              <w:t>杭州电子科技大学下沙校区变电所基础改造工程（变电所智能化系统搭建）</w:t>
            </w:r>
            <w:r>
              <w:rPr>
                <w:rFonts w:hint="eastAsia" w:hAnsi="宋体" w:cs="宋体"/>
                <w:highlight w:val="none"/>
                <w:lang w:val="en-US" w:eastAsia="zh-CN"/>
              </w:rPr>
              <w:t>工程量清单内所有内容，管道开挖约4000m，管线敷设完成，进行绿化、道路、地砖等原状复原。</w:t>
            </w:r>
            <w:r>
              <w:rPr>
                <w:rFonts w:hint="eastAsia" w:cs="宋体" w:asciiTheme="majorEastAsia" w:hAnsiTheme="majorEastAsia" w:eastAsiaTheme="majorEastAsia"/>
                <w:color w:val="000000"/>
                <w:highlight w:val="none"/>
              </w:rPr>
              <w:t>具体内容和工程做法详见施工图及设计说明。</w:t>
            </w:r>
          </w:p>
          <w:p w14:paraId="65420ADD">
            <w:pPr>
              <w:autoSpaceDE w:val="0"/>
              <w:autoSpaceDN w:val="0"/>
              <w:adjustRightInd w:val="0"/>
              <w:spacing w:line="360" w:lineRule="auto"/>
              <w:rPr>
                <w:rFonts w:ascii="宋体" w:hAnsi="宋体" w:cs="宋体"/>
                <w:color w:val="000000"/>
                <w:szCs w:val="21"/>
                <w:highlight w:val="none"/>
              </w:rPr>
            </w:pPr>
            <w:r>
              <w:rPr>
                <w:rFonts w:hint="eastAsia" w:ascii="宋体" w:hAnsi="宋体" w:cs="宋体"/>
                <w:color w:val="000000"/>
                <w:szCs w:val="21"/>
                <w:highlight w:val="none"/>
              </w:rPr>
              <w:t>二、工程招标范围：根据业主提供的图纸确</w:t>
            </w:r>
            <w:r>
              <w:rPr>
                <w:rFonts w:hint="eastAsia" w:cs="宋体"/>
                <w:color w:val="000000"/>
                <w:highlight w:val="none"/>
              </w:rPr>
              <w:t>定的范围。</w:t>
            </w:r>
          </w:p>
          <w:p w14:paraId="4FEB167E">
            <w:pPr>
              <w:autoSpaceDE w:val="0"/>
              <w:autoSpaceDN w:val="0"/>
              <w:adjustRightInd w:val="0"/>
              <w:spacing w:line="360" w:lineRule="auto"/>
              <w:rPr>
                <w:rFonts w:hAnsi="宋体" w:cs="宋体"/>
                <w:color w:val="000000"/>
                <w:highlight w:val="none"/>
              </w:rPr>
            </w:pPr>
            <w:r>
              <w:rPr>
                <w:rFonts w:hint="eastAsia" w:hAnsi="宋体" w:cs="宋体"/>
                <w:color w:val="000000"/>
                <w:highlight w:val="none"/>
              </w:rPr>
              <w:t>三、编制依据：</w:t>
            </w:r>
          </w:p>
          <w:p w14:paraId="61D93E77">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1</w:t>
            </w:r>
            <w:r>
              <w:rPr>
                <w:rFonts w:hint="eastAsia" w:ascii="宋体" w:hAnsi="宋体" w:cs="宋体"/>
                <w:color w:val="000000"/>
                <w:szCs w:val="21"/>
                <w:highlight w:val="none"/>
              </w:rPr>
              <w:t>.《建设工程工程量清单计价规范》（GB50500—2013）；</w:t>
            </w:r>
          </w:p>
          <w:p w14:paraId="7564AE4F">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2</w:t>
            </w:r>
            <w:r>
              <w:rPr>
                <w:rFonts w:hint="eastAsia" w:ascii="宋体" w:hAnsi="宋体" w:cs="宋体"/>
                <w:color w:val="000000"/>
                <w:szCs w:val="21"/>
                <w:highlight w:val="none"/>
              </w:rPr>
              <w:t>.《通用安装工程工程量计算规范》（GB5085</w:t>
            </w: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rPr>
              <w:t>—2013）；</w:t>
            </w:r>
          </w:p>
          <w:p w14:paraId="6DEBF2C8">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3.</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市政</w:t>
            </w:r>
            <w:r>
              <w:rPr>
                <w:rFonts w:hint="eastAsia" w:ascii="宋体" w:hAnsi="宋体" w:cs="宋体"/>
                <w:color w:val="000000"/>
                <w:szCs w:val="21"/>
                <w:highlight w:val="none"/>
              </w:rPr>
              <w:t>工程工程量计算规范》（GB5085</w:t>
            </w:r>
            <w:r>
              <w:rPr>
                <w:rFonts w:hint="eastAsia" w:ascii="宋体" w:hAnsi="宋体" w:cs="宋体"/>
                <w:color w:val="000000"/>
                <w:szCs w:val="21"/>
                <w:highlight w:val="none"/>
                <w:lang w:val="en-US" w:eastAsia="zh-CN"/>
              </w:rPr>
              <w:t>7</w:t>
            </w:r>
            <w:r>
              <w:rPr>
                <w:rFonts w:hint="eastAsia" w:ascii="宋体" w:hAnsi="宋体" w:cs="宋体"/>
                <w:color w:val="000000"/>
                <w:szCs w:val="21"/>
                <w:highlight w:val="none"/>
              </w:rPr>
              <w:t>—2013）；</w:t>
            </w:r>
          </w:p>
          <w:p w14:paraId="7D258861">
            <w:pPr>
              <w:autoSpaceDE w:val="0"/>
              <w:autoSpaceDN w:val="0"/>
              <w:adjustRightInd w:val="0"/>
              <w:spacing w:line="360" w:lineRule="auto"/>
              <w:ind w:firstLine="420"/>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4.</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园林绿化</w:t>
            </w:r>
            <w:r>
              <w:rPr>
                <w:rFonts w:hint="eastAsia" w:ascii="宋体" w:hAnsi="宋体" w:cs="宋体"/>
                <w:color w:val="000000"/>
                <w:szCs w:val="21"/>
                <w:highlight w:val="none"/>
              </w:rPr>
              <w:t>工程工程量计算规范》（GB5085</w:t>
            </w:r>
            <w:r>
              <w:rPr>
                <w:rFonts w:hint="eastAsia" w:ascii="宋体" w:hAnsi="宋体" w:cs="宋体"/>
                <w:color w:val="000000"/>
                <w:szCs w:val="21"/>
                <w:highlight w:val="none"/>
                <w:lang w:val="en-US" w:eastAsia="zh-CN"/>
              </w:rPr>
              <w:t>8</w:t>
            </w:r>
            <w:r>
              <w:rPr>
                <w:rFonts w:hint="eastAsia" w:ascii="宋体" w:hAnsi="宋体" w:cs="宋体"/>
                <w:color w:val="000000"/>
                <w:szCs w:val="21"/>
                <w:highlight w:val="none"/>
              </w:rPr>
              <w:t>—2013）；</w:t>
            </w:r>
          </w:p>
          <w:p w14:paraId="471DD191">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5</w:t>
            </w:r>
            <w:r>
              <w:rPr>
                <w:rFonts w:hint="eastAsia" w:ascii="宋体" w:hAnsi="宋体" w:cs="宋体"/>
                <w:color w:val="000000"/>
                <w:szCs w:val="21"/>
                <w:highlight w:val="none"/>
              </w:rPr>
              <w:t>．</w:t>
            </w:r>
            <w:r>
              <w:rPr>
                <w:rFonts w:hint="eastAsia" w:cs="宋体" w:asciiTheme="majorEastAsia" w:hAnsiTheme="majorEastAsia" w:eastAsiaTheme="majorEastAsia"/>
                <w:color w:val="000000"/>
                <w:szCs w:val="21"/>
                <w:highlight w:val="none"/>
              </w:rPr>
              <w:t>《浙江省建设工程工程量清单计价指引》（2</w:t>
            </w:r>
            <w:r>
              <w:rPr>
                <w:rFonts w:cs="宋体" w:asciiTheme="majorEastAsia" w:hAnsiTheme="majorEastAsia" w:eastAsiaTheme="majorEastAsia"/>
                <w:color w:val="000000"/>
                <w:szCs w:val="21"/>
                <w:highlight w:val="none"/>
              </w:rPr>
              <w:t>013</w:t>
            </w:r>
            <w:r>
              <w:rPr>
                <w:rFonts w:hint="eastAsia" w:cs="宋体" w:asciiTheme="majorEastAsia" w:hAnsiTheme="majorEastAsia" w:eastAsiaTheme="majorEastAsia"/>
                <w:color w:val="000000"/>
                <w:szCs w:val="21"/>
                <w:highlight w:val="none"/>
              </w:rPr>
              <w:t>版）；</w:t>
            </w:r>
          </w:p>
          <w:p w14:paraId="6CA28C65">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rPr>
              <w:t>《关于印发建设工程工程量计算规范（2013）浙江省补充规定的通知》（浙建站计﹝2013﹞63号）；</w:t>
            </w:r>
          </w:p>
          <w:p w14:paraId="23EC400C">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7</w:t>
            </w:r>
            <w:r>
              <w:rPr>
                <w:rFonts w:hint="eastAsia" w:ascii="宋体" w:hAnsi="宋体" w:cs="宋体"/>
                <w:color w:val="000000"/>
                <w:szCs w:val="21"/>
                <w:highlight w:val="none"/>
              </w:rPr>
              <w:t>．《杭州市建设工程工程量清单计价实施细则（201</w:t>
            </w:r>
            <w:r>
              <w:rPr>
                <w:rFonts w:ascii="宋体" w:hAnsi="宋体" w:cs="宋体"/>
                <w:color w:val="000000"/>
                <w:szCs w:val="21"/>
                <w:highlight w:val="none"/>
              </w:rPr>
              <w:t>8</w:t>
            </w:r>
            <w:r>
              <w:rPr>
                <w:rFonts w:hint="eastAsia" w:ascii="宋体" w:hAnsi="宋体" w:cs="宋体"/>
                <w:color w:val="000000"/>
                <w:szCs w:val="21"/>
                <w:highlight w:val="none"/>
              </w:rPr>
              <w:t>年修订）》；</w:t>
            </w:r>
          </w:p>
          <w:p w14:paraId="2AC5B375">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8</w:t>
            </w:r>
            <w:r>
              <w:rPr>
                <w:rFonts w:hint="eastAsia" w:ascii="宋体" w:hAnsi="宋体" w:cs="宋体"/>
                <w:color w:val="000000"/>
                <w:szCs w:val="21"/>
                <w:highlight w:val="none"/>
              </w:rPr>
              <w:t>．《浙江省建设工程计价规则》（2018版）；</w:t>
            </w:r>
          </w:p>
          <w:p w14:paraId="32071C7A">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9.《关于增值税调整后我省建设工程计价依据增值税税率及有关计价调整的通知》（浙建建发[2019]92号 ）；</w:t>
            </w:r>
          </w:p>
          <w:p w14:paraId="3D567890">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10.《杭州市城乡建设委员会关于推进杭州市建筑施工领域安全生产责任保险工作的通知》（杭建工发[2021]384号）、《关于明确杭州市建筑施工领域安全生产责任保险费用计取的通知》（杭建招标造价中心[2021]84号）；</w:t>
            </w:r>
          </w:p>
          <w:p w14:paraId="617D9D98">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11.《省建设厅关于调整建筑工程安全文明施工费的通知》（浙建建发[2022]37号）；</w:t>
            </w:r>
          </w:p>
          <w:p w14:paraId="0937F076">
            <w:pPr>
              <w:autoSpaceDE w:val="0"/>
              <w:autoSpaceDN w:val="0"/>
              <w:adjustRightInd w:val="0"/>
              <w:spacing w:line="360" w:lineRule="auto"/>
              <w:ind w:firstLine="420"/>
              <w:rPr>
                <w:rFonts w:hint="default"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12.关于贯彻《省建设厅关于调整建筑工程安全文明施工费的通知》的通知（杭建市发[2022]54号）；</w:t>
            </w:r>
          </w:p>
          <w:p w14:paraId="1920BD06">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13</w:t>
            </w:r>
            <w:r>
              <w:rPr>
                <w:rFonts w:hint="eastAsia" w:ascii="宋体" w:hAnsi="宋体" w:cs="宋体"/>
                <w:color w:val="000000"/>
                <w:szCs w:val="21"/>
                <w:highlight w:val="none"/>
              </w:rPr>
              <w:t>．省、市建设行政主管部门以及工程造价管理机构颁发的相关计价办法和计价规定；</w:t>
            </w:r>
          </w:p>
          <w:p w14:paraId="4721D634">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14</w:t>
            </w:r>
            <w:r>
              <w:rPr>
                <w:rFonts w:hint="eastAsia" w:ascii="宋体" w:hAnsi="宋体" w:cs="宋体"/>
                <w:color w:val="000000"/>
                <w:szCs w:val="21"/>
                <w:highlight w:val="none"/>
              </w:rPr>
              <w:t>．其他与工程项目有关的规范、标准和技术资料；</w:t>
            </w:r>
          </w:p>
          <w:p w14:paraId="6D9C13AB">
            <w:pPr>
              <w:autoSpaceDE w:val="0"/>
              <w:autoSpaceDN w:val="0"/>
              <w:adjustRightInd w:val="0"/>
              <w:spacing w:line="360" w:lineRule="auto"/>
              <w:ind w:firstLine="1"/>
              <w:jc w:val="left"/>
              <w:rPr>
                <w:rFonts w:ascii="宋体" w:hAnsi="宋体" w:cs="宋体"/>
                <w:color w:val="000000"/>
                <w:szCs w:val="21"/>
                <w:highlight w:val="none"/>
              </w:rPr>
            </w:pPr>
            <w:r>
              <w:rPr>
                <w:rFonts w:hint="eastAsia" w:ascii="宋体" w:hAnsi="宋体" w:cs="宋体"/>
                <w:color w:val="000000"/>
                <w:szCs w:val="21"/>
                <w:highlight w:val="none"/>
              </w:rPr>
              <w:t xml:space="preserve">   </w:t>
            </w:r>
            <w:r>
              <w:rPr>
                <w:rFonts w:ascii="宋体" w:hAnsi="宋体" w:cs="宋体"/>
                <w:color w:val="000000"/>
                <w:szCs w:val="21"/>
                <w:highlight w:val="none"/>
              </w:rPr>
              <w:t xml:space="preserve"> </w:t>
            </w:r>
            <w:r>
              <w:rPr>
                <w:rFonts w:hint="eastAsia" w:ascii="宋体" w:hAnsi="宋体" w:cs="宋体"/>
                <w:color w:val="000000"/>
                <w:szCs w:val="21"/>
                <w:highlight w:val="none"/>
                <w:lang w:val="en-US" w:eastAsia="zh-CN"/>
              </w:rPr>
              <w:t>15</w:t>
            </w:r>
            <w:r>
              <w:rPr>
                <w:rFonts w:hint="eastAsia" w:ascii="宋体" w:hAnsi="宋体" w:cs="宋体"/>
                <w:color w:val="000000"/>
                <w:szCs w:val="21"/>
                <w:highlight w:val="none"/>
              </w:rPr>
              <w:t>．施工现场实际情况、工程特点、常规施工方案；</w:t>
            </w:r>
          </w:p>
          <w:p w14:paraId="0F8CA27F">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16</w:t>
            </w:r>
            <w:r>
              <w:rPr>
                <w:rFonts w:hint="eastAsia" w:ascii="宋体" w:hAnsi="宋体" w:cs="宋体"/>
                <w:color w:val="000000"/>
                <w:szCs w:val="21"/>
                <w:highlight w:val="none"/>
              </w:rPr>
              <w:t>．业主提供的设计图纸。</w:t>
            </w:r>
          </w:p>
          <w:p w14:paraId="0AC66F4A">
            <w:pPr>
              <w:pStyle w:val="3"/>
              <w:tabs>
                <w:tab w:val="left" w:pos="3060"/>
              </w:tabs>
              <w:spacing w:line="360" w:lineRule="auto"/>
              <w:ind w:firstLine="1"/>
              <w:rPr>
                <w:rFonts w:hAnsi="宋体" w:cs="宋体"/>
                <w:color w:val="000000"/>
                <w:highlight w:val="none"/>
              </w:rPr>
            </w:pPr>
            <w:r>
              <w:rPr>
                <w:rFonts w:hint="eastAsia" w:hAnsi="宋体" w:cs="宋体"/>
                <w:color w:val="000000"/>
                <w:highlight w:val="none"/>
              </w:rPr>
              <w:t>四、报价要求：</w:t>
            </w:r>
          </w:p>
          <w:p w14:paraId="463E7F93">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1</w:t>
            </w:r>
            <w:r>
              <w:rPr>
                <w:rFonts w:hint="eastAsia" w:hAnsi="宋体" w:cs="宋体"/>
                <w:color w:val="000000"/>
                <w:highlight w:val="none"/>
                <w:lang w:val="en-US" w:eastAsia="zh-CN"/>
              </w:rPr>
              <w:t>.</w:t>
            </w:r>
            <w:r>
              <w:rPr>
                <w:rFonts w:hint="eastAsia" w:hAnsi="宋体" w:cs="宋体"/>
                <w:color w:val="000000"/>
                <w:highlight w:val="none"/>
              </w:rPr>
              <w:t>工程量清单应与投标人须知，通用合同条款、专用合同条款、技术标准和要求及图纸等文件结合起来查阅与理解，并根据现场实际情况综合考虑报价；</w:t>
            </w:r>
          </w:p>
          <w:p w14:paraId="23AD7C1C">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2</w:t>
            </w:r>
            <w:r>
              <w:rPr>
                <w:rFonts w:hint="eastAsia" w:hAnsi="宋体" w:cs="宋体"/>
                <w:color w:val="000000"/>
                <w:highlight w:val="none"/>
                <w:lang w:val="en-US" w:eastAsia="zh-CN"/>
              </w:rPr>
              <w:t>.</w:t>
            </w:r>
            <w:r>
              <w:rPr>
                <w:rFonts w:hint="eastAsia" w:hAnsi="宋体" w:cs="宋体"/>
                <w:color w:val="000000"/>
                <w:highlight w:val="none"/>
              </w:rPr>
              <w:t>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14:paraId="741D68A6">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3</w:t>
            </w:r>
            <w:r>
              <w:rPr>
                <w:rFonts w:hint="eastAsia" w:hAnsi="宋体" w:cs="宋体"/>
                <w:color w:val="000000"/>
                <w:highlight w:val="none"/>
                <w:lang w:val="en-US" w:eastAsia="zh-CN"/>
              </w:rPr>
              <w:t>.</w:t>
            </w:r>
            <w:r>
              <w:rPr>
                <w:rFonts w:hint="eastAsia" w:hAnsi="宋体" w:cs="宋体"/>
                <w:color w:val="000000"/>
                <w:highlight w:val="none"/>
              </w:rPr>
              <w:t>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14:paraId="7558FFD1">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4</w:t>
            </w:r>
            <w:r>
              <w:rPr>
                <w:rFonts w:hint="eastAsia" w:hAnsi="宋体" w:cs="宋体"/>
                <w:color w:val="000000"/>
                <w:highlight w:val="none"/>
                <w:lang w:val="en-US" w:eastAsia="zh-CN"/>
              </w:rPr>
              <w:t>.</w:t>
            </w:r>
            <w:r>
              <w:rPr>
                <w:rFonts w:hint="eastAsia" w:hAnsi="宋体" w:cs="宋体"/>
                <w:color w:val="000000"/>
                <w:highlight w:val="none"/>
              </w:rPr>
              <w:t>安全文明施工基本费费率不得低于《浙江省建设工程计价规则》（2018版）规定的下限，按市区工程计取，其中疫情常态化防控及“智慧工地”费用计取按照：浙建建发[2022]37号文件</w:t>
            </w:r>
            <w:r>
              <w:rPr>
                <w:rFonts w:hint="eastAsia" w:hAnsi="宋体" w:cs="宋体"/>
                <w:color w:val="000000"/>
                <w:highlight w:val="none"/>
                <w:lang w:val="en-US" w:eastAsia="zh-CN"/>
              </w:rPr>
              <w:t>执行</w:t>
            </w:r>
            <w:r>
              <w:rPr>
                <w:rFonts w:hint="eastAsia" w:hAnsi="宋体" w:cs="宋体"/>
                <w:color w:val="000000"/>
                <w:highlight w:val="none"/>
              </w:rPr>
              <w:t>，包含在安全文明施工费内</w:t>
            </w:r>
            <w:r>
              <w:rPr>
                <w:rFonts w:hint="eastAsia" w:hAnsi="宋体" w:cs="宋体"/>
                <w:color w:val="000000"/>
                <w:highlight w:val="none"/>
                <w:lang w:eastAsia="zh-CN"/>
              </w:rPr>
              <w:t>，</w:t>
            </w:r>
            <w:r>
              <w:rPr>
                <w:rFonts w:hint="eastAsia" w:hAnsi="宋体" w:cs="宋体"/>
                <w:color w:val="000000"/>
                <w:highlight w:val="none"/>
              </w:rPr>
              <w:t>具体如下：</w:t>
            </w:r>
          </w:p>
          <w:p w14:paraId="4EC9E347">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lang w:val="en-US" w:eastAsia="zh-CN"/>
              </w:rPr>
              <w:t>安装</w:t>
            </w:r>
            <w:r>
              <w:rPr>
                <w:rFonts w:hint="eastAsia" w:cs="宋体" w:asciiTheme="majorEastAsia" w:hAnsiTheme="majorEastAsia" w:eastAsiaTheme="majorEastAsia"/>
                <w:color w:val="000000"/>
                <w:szCs w:val="21"/>
                <w:highlight w:val="none"/>
              </w:rPr>
              <w:t>工程：取费基数为“人工费</w:t>
            </w:r>
            <w:r>
              <w:rPr>
                <w:rFonts w:cs="宋体" w:asciiTheme="majorEastAsia" w:hAnsiTheme="majorEastAsia" w:eastAsiaTheme="majorEastAsia"/>
                <w:color w:val="000000"/>
                <w:szCs w:val="21"/>
                <w:highlight w:val="none"/>
              </w:rPr>
              <w:t>+</w:t>
            </w:r>
            <w:r>
              <w:rPr>
                <w:rFonts w:hint="eastAsia" w:cs="宋体" w:asciiTheme="majorEastAsia" w:hAnsiTheme="majorEastAsia" w:eastAsiaTheme="majorEastAsia"/>
                <w:color w:val="000000"/>
                <w:szCs w:val="21"/>
                <w:highlight w:val="none"/>
              </w:rPr>
              <w:t>机械费”，取费费率为：</w:t>
            </w:r>
            <w:r>
              <w:rPr>
                <w:rFonts w:hint="eastAsia" w:cs="宋体" w:asciiTheme="majorEastAsia" w:hAnsiTheme="majorEastAsia" w:eastAsiaTheme="majorEastAsia"/>
                <w:color w:val="000000"/>
                <w:szCs w:val="21"/>
                <w:highlight w:val="none"/>
                <w:lang w:val="en-US" w:eastAsia="zh-CN"/>
              </w:rPr>
              <w:t>7.35</w:t>
            </w:r>
            <w:r>
              <w:rPr>
                <w:rFonts w:hint="eastAsia" w:cs="宋体" w:asciiTheme="majorEastAsia" w:hAnsiTheme="majorEastAsia" w:eastAsiaTheme="majorEastAsia"/>
                <w:color w:val="000000"/>
                <w:szCs w:val="21"/>
                <w:highlight w:val="none"/>
              </w:rPr>
              <w:t>%；</w:t>
            </w:r>
          </w:p>
          <w:p w14:paraId="0A38CB07">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lang w:val="en-US" w:eastAsia="zh-CN"/>
              </w:rPr>
              <w:t>市政</w:t>
            </w:r>
            <w:r>
              <w:rPr>
                <w:rFonts w:hint="eastAsia" w:cs="宋体" w:asciiTheme="majorEastAsia" w:hAnsiTheme="majorEastAsia" w:eastAsiaTheme="majorEastAsia"/>
                <w:color w:val="000000"/>
                <w:szCs w:val="21"/>
                <w:highlight w:val="none"/>
              </w:rPr>
              <w:t>工程：取费基数为“人工费</w:t>
            </w:r>
            <w:r>
              <w:rPr>
                <w:rFonts w:cs="宋体" w:asciiTheme="majorEastAsia" w:hAnsiTheme="majorEastAsia" w:eastAsiaTheme="majorEastAsia"/>
                <w:color w:val="000000"/>
                <w:szCs w:val="21"/>
                <w:highlight w:val="none"/>
              </w:rPr>
              <w:t>+</w:t>
            </w:r>
            <w:r>
              <w:rPr>
                <w:rFonts w:hint="eastAsia" w:cs="宋体" w:asciiTheme="majorEastAsia" w:hAnsiTheme="majorEastAsia" w:eastAsiaTheme="majorEastAsia"/>
                <w:color w:val="000000"/>
                <w:szCs w:val="21"/>
                <w:highlight w:val="none"/>
              </w:rPr>
              <w:t>机械费”，取费费率为：</w:t>
            </w:r>
            <w:r>
              <w:rPr>
                <w:rFonts w:hint="eastAsia" w:cs="宋体" w:asciiTheme="majorEastAsia" w:hAnsiTheme="majorEastAsia" w:eastAsiaTheme="majorEastAsia"/>
                <w:color w:val="000000"/>
                <w:szCs w:val="21"/>
                <w:highlight w:val="none"/>
                <w:lang w:val="en-US" w:eastAsia="zh-CN"/>
              </w:rPr>
              <w:t>8.81</w:t>
            </w:r>
            <w:r>
              <w:rPr>
                <w:rFonts w:hint="eastAsia" w:cs="宋体" w:asciiTheme="majorEastAsia" w:hAnsiTheme="majorEastAsia" w:eastAsiaTheme="majorEastAsia"/>
                <w:color w:val="000000"/>
                <w:szCs w:val="21"/>
                <w:highlight w:val="none"/>
              </w:rPr>
              <w:t>%；</w:t>
            </w:r>
          </w:p>
          <w:p w14:paraId="60E100B0">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5</w:t>
            </w:r>
            <w:r>
              <w:rPr>
                <w:rFonts w:hint="eastAsia" w:hAnsi="宋体" w:cs="宋体"/>
                <w:color w:val="000000"/>
                <w:highlight w:val="none"/>
                <w:lang w:val="en-US" w:eastAsia="zh-CN"/>
              </w:rPr>
              <w:t>.</w:t>
            </w:r>
            <w:r>
              <w:rPr>
                <w:rFonts w:hint="eastAsia" w:hAnsi="宋体" w:cs="宋体"/>
                <w:color w:val="000000"/>
                <w:highlight w:val="none"/>
              </w:rPr>
              <w:t>规费费率不得低于《浙江省建设工程计价规则》（</w:t>
            </w:r>
            <w:r>
              <w:rPr>
                <w:rFonts w:hAnsi="宋体" w:cs="宋体"/>
                <w:color w:val="000000"/>
                <w:highlight w:val="none"/>
              </w:rPr>
              <w:t>201</w:t>
            </w:r>
            <w:r>
              <w:rPr>
                <w:rFonts w:hint="eastAsia" w:hAnsi="宋体" w:cs="宋体"/>
                <w:color w:val="000000"/>
                <w:highlight w:val="none"/>
              </w:rPr>
              <w:t>8版）的30%，具体如下：</w:t>
            </w:r>
          </w:p>
          <w:p w14:paraId="2123B1D8">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lang w:val="en-US" w:eastAsia="zh-CN"/>
              </w:rPr>
              <w:t>安装</w:t>
            </w:r>
            <w:r>
              <w:rPr>
                <w:rFonts w:hint="eastAsia" w:cs="宋体" w:asciiTheme="majorEastAsia" w:hAnsiTheme="majorEastAsia" w:eastAsiaTheme="majorEastAsia"/>
                <w:color w:val="000000"/>
                <w:szCs w:val="21"/>
                <w:highlight w:val="none"/>
              </w:rPr>
              <w:t>工程：取费基数为“人工费</w:t>
            </w:r>
            <w:r>
              <w:rPr>
                <w:rFonts w:cs="宋体" w:asciiTheme="majorEastAsia" w:hAnsiTheme="majorEastAsia" w:eastAsiaTheme="majorEastAsia"/>
                <w:color w:val="000000"/>
                <w:szCs w:val="21"/>
                <w:highlight w:val="none"/>
              </w:rPr>
              <w:t>+</w:t>
            </w:r>
            <w:r>
              <w:rPr>
                <w:rFonts w:hint="eastAsia" w:cs="宋体" w:asciiTheme="majorEastAsia" w:hAnsiTheme="majorEastAsia" w:eastAsiaTheme="majorEastAsia"/>
                <w:color w:val="000000"/>
                <w:szCs w:val="21"/>
                <w:highlight w:val="none"/>
              </w:rPr>
              <w:t>机械费”，取费费率为：</w:t>
            </w:r>
            <w:r>
              <w:rPr>
                <w:rFonts w:hint="eastAsia" w:cs="宋体" w:asciiTheme="majorEastAsia" w:hAnsiTheme="majorEastAsia" w:eastAsiaTheme="majorEastAsia"/>
                <w:color w:val="000000"/>
                <w:szCs w:val="21"/>
                <w:highlight w:val="none"/>
                <w:lang w:val="en-US" w:eastAsia="zh-CN"/>
              </w:rPr>
              <w:t>9.19</w:t>
            </w:r>
            <w:r>
              <w:rPr>
                <w:rFonts w:hint="eastAsia" w:cs="宋体" w:asciiTheme="majorEastAsia" w:hAnsiTheme="majorEastAsia" w:eastAsiaTheme="majorEastAsia"/>
                <w:color w:val="000000"/>
                <w:szCs w:val="21"/>
                <w:highlight w:val="none"/>
              </w:rPr>
              <w:t>%；</w:t>
            </w:r>
          </w:p>
          <w:p w14:paraId="501F0564">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lang w:val="en-US" w:eastAsia="zh-CN"/>
              </w:rPr>
              <w:t>市政</w:t>
            </w:r>
            <w:r>
              <w:rPr>
                <w:rFonts w:hint="eastAsia" w:cs="宋体" w:asciiTheme="majorEastAsia" w:hAnsiTheme="majorEastAsia" w:eastAsiaTheme="majorEastAsia"/>
                <w:color w:val="000000"/>
                <w:szCs w:val="21"/>
                <w:highlight w:val="none"/>
              </w:rPr>
              <w:t>工程：取费基数为“人工费</w:t>
            </w:r>
            <w:r>
              <w:rPr>
                <w:rFonts w:cs="宋体" w:asciiTheme="majorEastAsia" w:hAnsiTheme="majorEastAsia" w:eastAsiaTheme="majorEastAsia"/>
                <w:color w:val="000000"/>
                <w:szCs w:val="21"/>
                <w:highlight w:val="none"/>
              </w:rPr>
              <w:t>+</w:t>
            </w:r>
            <w:r>
              <w:rPr>
                <w:rFonts w:hint="eastAsia" w:cs="宋体" w:asciiTheme="majorEastAsia" w:hAnsiTheme="majorEastAsia" w:eastAsiaTheme="majorEastAsia"/>
                <w:color w:val="000000"/>
                <w:szCs w:val="21"/>
                <w:highlight w:val="none"/>
              </w:rPr>
              <w:t>机械费”，取费费率为：</w:t>
            </w:r>
            <w:r>
              <w:rPr>
                <w:rFonts w:hint="eastAsia" w:cs="宋体" w:asciiTheme="majorEastAsia" w:hAnsiTheme="majorEastAsia" w:eastAsiaTheme="majorEastAsia"/>
                <w:color w:val="000000"/>
                <w:szCs w:val="21"/>
                <w:highlight w:val="none"/>
                <w:lang w:val="en-US" w:eastAsia="zh-CN"/>
              </w:rPr>
              <w:t>5.63</w:t>
            </w:r>
            <w:r>
              <w:rPr>
                <w:rFonts w:hint="eastAsia" w:cs="宋体" w:asciiTheme="majorEastAsia" w:hAnsiTheme="majorEastAsia" w:eastAsiaTheme="majorEastAsia"/>
                <w:color w:val="000000"/>
                <w:szCs w:val="21"/>
                <w:highlight w:val="none"/>
              </w:rPr>
              <w:t>%；</w:t>
            </w:r>
          </w:p>
          <w:p w14:paraId="7EA89900">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6</w:t>
            </w:r>
            <w:r>
              <w:rPr>
                <w:rFonts w:hint="eastAsia" w:hAnsi="宋体" w:cs="宋体"/>
                <w:color w:val="000000"/>
                <w:highlight w:val="none"/>
                <w:lang w:val="en-US" w:eastAsia="zh-CN"/>
              </w:rPr>
              <w:t>.</w:t>
            </w:r>
            <w:r>
              <w:rPr>
                <w:rFonts w:hint="eastAsia" w:hAnsi="宋体" w:cs="宋体"/>
                <w:color w:val="000000"/>
                <w:highlight w:val="none"/>
              </w:rPr>
              <w:t>根据杭建市发【2018】578号文规定，企业管理费报价不得低于省建设行政主管部门颁发的施工费用定额和相关取费计价文件规定的对应专业工程企业管理费弹性费率下限乘以20%的计算值。其中安责险计取按照：杭建工发</w:t>
            </w:r>
            <w:r>
              <w:rPr>
                <w:rFonts w:hint="eastAsia" w:hAnsi="宋体" w:cs="宋体"/>
                <w:color w:val="000000"/>
                <w:highlight w:val="none"/>
                <w:lang w:val="en-US" w:eastAsia="zh-CN"/>
              </w:rPr>
              <w:t>][</w:t>
            </w:r>
            <w:r>
              <w:rPr>
                <w:rFonts w:hint="eastAsia" w:hAnsi="宋体" w:cs="宋体"/>
                <w:color w:val="000000"/>
                <w:highlight w:val="none"/>
              </w:rPr>
              <w:t>2021</w:t>
            </w:r>
            <w:r>
              <w:rPr>
                <w:rFonts w:hint="eastAsia" w:hAnsi="宋体" w:cs="宋体"/>
                <w:color w:val="000000"/>
                <w:highlight w:val="none"/>
                <w:lang w:val="en-US" w:eastAsia="zh-CN"/>
              </w:rPr>
              <w:t>]</w:t>
            </w:r>
            <w:r>
              <w:rPr>
                <w:rFonts w:hint="eastAsia" w:hAnsi="宋体" w:cs="宋体"/>
                <w:color w:val="000000"/>
                <w:highlight w:val="none"/>
              </w:rPr>
              <w:t xml:space="preserve"> 384号文件，杭建招标造价中心</w:t>
            </w:r>
            <w:r>
              <w:rPr>
                <w:rFonts w:hint="eastAsia" w:hAnsi="宋体" w:cs="宋体"/>
                <w:color w:val="000000"/>
                <w:highlight w:val="none"/>
                <w:lang w:val="en-US" w:eastAsia="zh-CN"/>
              </w:rPr>
              <w:t>[</w:t>
            </w:r>
            <w:r>
              <w:rPr>
                <w:rFonts w:hint="eastAsia" w:hAnsi="宋体" w:cs="宋体"/>
                <w:color w:val="000000"/>
                <w:highlight w:val="none"/>
              </w:rPr>
              <w:t>2021</w:t>
            </w:r>
            <w:r>
              <w:rPr>
                <w:rFonts w:hint="eastAsia" w:hAnsi="宋体" w:cs="宋体"/>
                <w:color w:val="000000"/>
                <w:highlight w:val="none"/>
                <w:lang w:val="en-US" w:eastAsia="zh-CN"/>
              </w:rPr>
              <w:t>]</w:t>
            </w:r>
            <w:r>
              <w:rPr>
                <w:rFonts w:hint="eastAsia" w:hAnsi="宋体" w:cs="宋体"/>
                <w:color w:val="000000"/>
                <w:highlight w:val="none"/>
              </w:rPr>
              <w:t>84号文件结合本项目实际情况，自行考虑，包含在企业管理费内。同时，投标人必须对企业管理费中所包含的</w:t>
            </w:r>
            <w:r>
              <w:rPr>
                <w:rFonts w:hint="eastAsia" w:hAnsi="宋体" w:cs="宋体"/>
                <w:color w:val="000000"/>
                <w:highlight w:val="none"/>
                <w:lang w:val="en-US" w:eastAsia="zh-CN"/>
              </w:rPr>
              <w:t>现场</w:t>
            </w:r>
            <w:r>
              <w:rPr>
                <w:rFonts w:hint="eastAsia" w:hAnsi="宋体" w:cs="宋体"/>
                <w:color w:val="000000"/>
                <w:highlight w:val="none"/>
              </w:rPr>
              <w:t>临时宿舍</w:t>
            </w:r>
            <w:r>
              <w:rPr>
                <w:rFonts w:hint="eastAsia" w:hAnsi="宋体" w:cs="宋体"/>
                <w:color w:val="000000"/>
                <w:highlight w:val="none"/>
                <w:lang w:val="en-US" w:eastAsia="zh-CN"/>
              </w:rPr>
              <w:t>空调设施、安全生产责任保险等</w:t>
            </w:r>
            <w:r>
              <w:rPr>
                <w:rFonts w:hint="eastAsia" w:hAnsi="宋体" w:cs="宋体"/>
                <w:color w:val="000000"/>
                <w:highlight w:val="none"/>
              </w:rPr>
              <w:t>费用，在相应的清单明细表中</w:t>
            </w:r>
            <w:r>
              <w:rPr>
                <w:rFonts w:hint="eastAsia" w:hAnsi="宋体" w:cs="宋体"/>
                <w:color w:val="000000"/>
                <w:highlight w:val="none"/>
                <w:lang w:val="en-US" w:eastAsia="zh-CN"/>
              </w:rPr>
              <w:t>(表2-5)</w:t>
            </w:r>
            <w:r>
              <w:rPr>
                <w:rFonts w:hint="eastAsia" w:hAnsi="宋体" w:cs="宋体"/>
                <w:color w:val="000000"/>
                <w:highlight w:val="none"/>
              </w:rPr>
              <w:t>进行单独费用报价分析。具体如下：</w:t>
            </w:r>
          </w:p>
          <w:p w14:paraId="687BB92D">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lang w:val="en-US" w:eastAsia="zh-CN"/>
              </w:rPr>
              <w:t>安装</w:t>
            </w:r>
            <w:r>
              <w:rPr>
                <w:rFonts w:hint="eastAsia" w:cs="宋体" w:asciiTheme="majorEastAsia" w:hAnsiTheme="majorEastAsia" w:eastAsiaTheme="majorEastAsia"/>
                <w:color w:val="000000"/>
                <w:szCs w:val="21"/>
                <w:highlight w:val="none"/>
              </w:rPr>
              <w:t>工程：取费基数为“人工费</w:t>
            </w:r>
            <w:r>
              <w:rPr>
                <w:rFonts w:cs="宋体" w:asciiTheme="majorEastAsia" w:hAnsiTheme="majorEastAsia" w:eastAsiaTheme="majorEastAsia"/>
                <w:color w:val="000000"/>
                <w:szCs w:val="21"/>
                <w:highlight w:val="none"/>
              </w:rPr>
              <w:t>+</w:t>
            </w:r>
            <w:r>
              <w:rPr>
                <w:rFonts w:hint="eastAsia" w:cs="宋体" w:asciiTheme="majorEastAsia" w:hAnsiTheme="majorEastAsia" w:eastAsiaTheme="majorEastAsia"/>
                <w:color w:val="000000"/>
                <w:szCs w:val="21"/>
                <w:highlight w:val="none"/>
              </w:rPr>
              <w:t>机械费”，取费费率为：</w:t>
            </w:r>
            <w:r>
              <w:rPr>
                <w:rFonts w:hint="eastAsia" w:cs="宋体" w:asciiTheme="majorEastAsia" w:hAnsiTheme="majorEastAsia" w:eastAsiaTheme="majorEastAsia"/>
                <w:color w:val="000000"/>
                <w:szCs w:val="21"/>
                <w:highlight w:val="none"/>
                <w:lang w:val="en-US" w:eastAsia="zh-CN"/>
              </w:rPr>
              <w:t>3.26</w:t>
            </w:r>
            <w:r>
              <w:rPr>
                <w:rFonts w:hint="eastAsia" w:cs="宋体" w:asciiTheme="majorEastAsia" w:hAnsiTheme="majorEastAsia" w:eastAsiaTheme="majorEastAsia"/>
                <w:color w:val="000000"/>
                <w:szCs w:val="21"/>
                <w:highlight w:val="none"/>
              </w:rPr>
              <w:t>%；</w:t>
            </w:r>
          </w:p>
          <w:p w14:paraId="4B257999">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lang w:val="en-US" w:eastAsia="zh-CN"/>
              </w:rPr>
              <w:t>市政</w:t>
            </w:r>
            <w:r>
              <w:rPr>
                <w:rFonts w:hint="eastAsia" w:cs="宋体" w:asciiTheme="majorEastAsia" w:hAnsiTheme="majorEastAsia" w:eastAsiaTheme="majorEastAsia"/>
                <w:color w:val="000000"/>
                <w:szCs w:val="21"/>
                <w:highlight w:val="none"/>
              </w:rPr>
              <w:t>工程：取费基数为“人工费</w:t>
            </w:r>
            <w:r>
              <w:rPr>
                <w:rFonts w:cs="宋体" w:asciiTheme="majorEastAsia" w:hAnsiTheme="majorEastAsia" w:eastAsiaTheme="majorEastAsia"/>
                <w:color w:val="000000"/>
                <w:szCs w:val="21"/>
                <w:highlight w:val="none"/>
              </w:rPr>
              <w:t>+</w:t>
            </w:r>
            <w:r>
              <w:rPr>
                <w:rFonts w:hint="eastAsia" w:cs="宋体" w:asciiTheme="majorEastAsia" w:hAnsiTheme="majorEastAsia" w:eastAsiaTheme="majorEastAsia"/>
                <w:color w:val="000000"/>
                <w:szCs w:val="21"/>
                <w:highlight w:val="none"/>
              </w:rPr>
              <w:t>机械费”，取费费率为：</w:t>
            </w:r>
            <w:r>
              <w:rPr>
                <w:rFonts w:hint="eastAsia" w:cs="宋体" w:asciiTheme="majorEastAsia" w:hAnsiTheme="majorEastAsia" w:eastAsiaTheme="majorEastAsia"/>
                <w:color w:val="000000"/>
                <w:szCs w:val="21"/>
                <w:highlight w:val="none"/>
                <w:lang w:val="en-US" w:eastAsia="zh-CN"/>
              </w:rPr>
              <w:t>2.56</w:t>
            </w:r>
            <w:r>
              <w:rPr>
                <w:rFonts w:hint="eastAsia" w:cs="宋体" w:asciiTheme="majorEastAsia" w:hAnsiTheme="majorEastAsia" w:eastAsiaTheme="majorEastAsia"/>
                <w:color w:val="000000"/>
                <w:szCs w:val="21"/>
                <w:highlight w:val="none"/>
              </w:rPr>
              <w:t>%；</w:t>
            </w:r>
          </w:p>
          <w:p w14:paraId="19D2D439">
            <w:pPr>
              <w:pStyle w:val="3"/>
              <w:tabs>
                <w:tab w:val="left" w:pos="3330"/>
              </w:tabs>
              <w:spacing w:line="360" w:lineRule="auto"/>
              <w:ind w:firstLine="420" w:firstLineChars="200"/>
              <w:rPr>
                <w:rFonts w:hint="eastAsia" w:hAnsi="宋体" w:eastAsia="宋体" w:cs="宋体"/>
                <w:color w:val="000000"/>
                <w:highlight w:val="none"/>
                <w:lang w:val="en-US" w:eastAsia="zh-CN"/>
              </w:rPr>
            </w:pPr>
            <w:r>
              <w:rPr>
                <w:rFonts w:hAnsi="宋体" w:cs="宋体"/>
                <w:color w:val="000000"/>
                <w:highlight w:val="none"/>
              </w:rPr>
              <w:t>7</w:t>
            </w:r>
            <w:r>
              <w:rPr>
                <w:rFonts w:hint="eastAsia" w:hAnsi="宋体" w:cs="宋体"/>
                <w:color w:val="000000"/>
                <w:highlight w:val="none"/>
                <w:lang w:val="en-US" w:eastAsia="zh-CN"/>
              </w:rPr>
              <w:t>.</w:t>
            </w:r>
            <w:bookmarkStart w:id="0" w:name="_GoBack"/>
            <w:bookmarkEnd w:id="0"/>
            <w:r>
              <w:rPr>
                <w:rFonts w:hint="eastAsia" w:hAnsi="宋体" w:cs="宋体"/>
                <w:color w:val="000000"/>
                <w:highlight w:val="none"/>
              </w:rPr>
              <w:t>税金应根据《浙江省建设工程计价规则》（2018版）的规定及浙建建发[2019]92号的相关规定以（税前工程造价）为取费基数, 取费费率为：9%</w:t>
            </w:r>
            <w:r>
              <w:rPr>
                <w:rFonts w:hint="eastAsia" w:hAnsi="宋体" w:cs="宋体"/>
                <w:color w:val="000000"/>
                <w:highlight w:val="none"/>
                <w:lang w:eastAsia="zh-CN"/>
              </w:rPr>
              <w:t>。</w:t>
            </w:r>
          </w:p>
          <w:p w14:paraId="0614432A">
            <w:pPr>
              <w:pStyle w:val="3"/>
              <w:spacing w:line="360" w:lineRule="auto"/>
              <w:rPr>
                <w:rFonts w:hint="eastAsia" w:hAnsi="宋体" w:cs="宋体"/>
                <w:color w:val="000000"/>
                <w:highlight w:val="none"/>
              </w:rPr>
            </w:pPr>
            <w:r>
              <w:rPr>
                <w:rFonts w:hint="eastAsia" w:hAnsi="宋体" w:cs="宋体"/>
                <w:color w:val="000000"/>
                <w:highlight w:val="none"/>
                <w:lang w:val="en-US" w:eastAsia="zh-CN"/>
              </w:rPr>
              <w:t>五</w:t>
            </w:r>
            <w:r>
              <w:rPr>
                <w:rFonts w:hint="eastAsia" w:hAnsi="宋体" w:cs="宋体"/>
                <w:color w:val="000000"/>
                <w:highlight w:val="none"/>
              </w:rPr>
              <w:t>、</w:t>
            </w:r>
            <w:r>
              <w:rPr>
                <w:rFonts w:hint="eastAsia" w:hAnsi="宋体" w:cs="宋体"/>
                <w:color w:val="000000"/>
                <w:highlight w:val="none"/>
                <w:lang w:eastAsia="zh-CN"/>
              </w:rPr>
              <w:t>材料</w:t>
            </w:r>
            <w:r>
              <w:rPr>
                <w:rFonts w:hint="eastAsia" w:hAnsi="宋体" w:cs="宋体"/>
                <w:color w:val="000000"/>
                <w:highlight w:val="none"/>
              </w:rPr>
              <w:t>：</w:t>
            </w:r>
          </w:p>
          <w:p w14:paraId="36BB344A">
            <w:pPr>
              <w:spacing w:line="400" w:lineRule="exact"/>
              <w:ind w:firstLine="210" w:firstLineChars="100"/>
              <w:rPr>
                <w:rFonts w:hint="eastAsia" w:ascii="宋体" w:hAnsi="宋体"/>
                <w:szCs w:val="21"/>
                <w:highlight w:val="none"/>
              </w:rPr>
            </w:pPr>
            <w:r>
              <w:rPr>
                <w:rFonts w:hint="eastAsia" w:ascii="宋体" w:hAnsi="宋体" w:eastAsia="宋体" w:cs="Times New Roman"/>
                <w:szCs w:val="21"/>
                <w:highlight w:val="none"/>
              </w:rPr>
              <w:t>（</w:t>
            </w:r>
            <w:r>
              <w:rPr>
                <w:rFonts w:hint="eastAsia" w:ascii="宋体" w:hAnsi="宋体" w:eastAsia="宋体" w:cs="Times New Roman"/>
                <w:szCs w:val="21"/>
                <w:highlight w:val="none"/>
                <w:lang w:val="en-US" w:eastAsia="zh-CN"/>
              </w:rPr>
              <w:t>一</w:t>
            </w:r>
            <w:r>
              <w:rPr>
                <w:rFonts w:hint="eastAsia" w:ascii="宋体" w:hAnsi="宋体" w:eastAsia="宋体" w:cs="Times New Roman"/>
                <w:szCs w:val="21"/>
                <w:highlight w:val="none"/>
              </w:rPr>
              <w:t>）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14:paraId="189B310B">
            <w:pPr>
              <w:spacing w:line="400" w:lineRule="exact"/>
              <w:ind w:firstLine="210" w:firstLineChars="100"/>
              <w:rPr>
                <w:rFonts w:hint="eastAsia"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二</w:t>
            </w:r>
            <w:r>
              <w:rPr>
                <w:rFonts w:hint="eastAsia" w:ascii="宋体" w:hAnsi="宋体"/>
                <w:szCs w:val="21"/>
                <w:highlight w:val="none"/>
              </w:rPr>
              <w:t>）其他的设备、材料等采购：</w:t>
            </w:r>
          </w:p>
          <w:p w14:paraId="3B9BDB83">
            <w:pPr>
              <w:spacing w:line="400" w:lineRule="exact"/>
              <w:ind w:firstLine="420" w:firstLineChars="200"/>
              <w:rPr>
                <w:rFonts w:hint="eastAsia" w:ascii="宋体" w:hAnsi="宋体" w:eastAsia="宋体"/>
                <w:szCs w:val="21"/>
                <w:highlight w:val="none"/>
                <w:lang w:eastAsia="zh-CN"/>
              </w:rPr>
            </w:pPr>
            <w:r>
              <w:rPr>
                <w:rFonts w:hint="eastAsia" w:ascii="宋体" w:hAnsi="宋体"/>
                <w:szCs w:val="21"/>
                <w:highlight w:val="none"/>
              </w:rPr>
              <w:t>1、所有招标人未确定品牌厂家的材料必须采用信誉好、品牌好、知名度高、同等行业中规模中等以上的生产厂家的产品，产品必须满足国家质量标准，由投标人自行采购</w:t>
            </w:r>
            <w:r>
              <w:rPr>
                <w:rFonts w:hint="eastAsia" w:ascii="宋体" w:hAnsi="宋体"/>
                <w:szCs w:val="21"/>
                <w:highlight w:val="none"/>
                <w:lang w:eastAsia="zh-CN"/>
              </w:rPr>
              <w:t>；</w:t>
            </w:r>
          </w:p>
          <w:p w14:paraId="613E179E">
            <w:pPr>
              <w:spacing w:line="400" w:lineRule="exact"/>
              <w:ind w:firstLine="420" w:firstLineChars="200"/>
              <w:rPr>
                <w:rFonts w:hint="eastAsia" w:ascii="宋体" w:hAnsi="宋体" w:eastAsia="宋体"/>
                <w:szCs w:val="21"/>
                <w:highlight w:val="none"/>
                <w:lang w:eastAsia="zh-CN"/>
              </w:rPr>
            </w:pPr>
            <w:r>
              <w:rPr>
                <w:rFonts w:hint="eastAsia" w:ascii="宋体" w:hAnsi="宋体"/>
                <w:szCs w:val="21"/>
                <w:highlight w:val="none"/>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r>
              <w:rPr>
                <w:rFonts w:hint="eastAsia" w:ascii="宋体" w:hAnsi="宋体"/>
                <w:szCs w:val="21"/>
                <w:highlight w:val="none"/>
                <w:lang w:eastAsia="zh-CN"/>
              </w:rPr>
              <w:t>；</w:t>
            </w:r>
          </w:p>
          <w:p w14:paraId="656E0891">
            <w:pPr>
              <w:autoSpaceDE w:val="0"/>
              <w:autoSpaceDN w:val="0"/>
              <w:adjustRightInd w:val="0"/>
              <w:spacing w:line="380" w:lineRule="exact"/>
              <w:ind w:firstLine="420" w:firstLineChars="200"/>
              <w:jc w:val="left"/>
              <w:rPr>
                <w:rFonts w:hint="eastAsia" w:ascii="宋体" w:hAnsi="宋体" w:cs="宋体"/>
                <w:kern w:val="0"/>
                <w:szCs w:val="21"/>
                <w:highlight w:val="none"/>
                <w:lang w:val="zh-CN"/>
              </w:rPr>
            </w:pPr>
            <w:r>
              <w:rPr>
                <w:rFonts w:hint="eastAsia" w:ascii="宋体" w:hAnsi="宋体"/>
                <w:szCs w:val="21"/>
                <w:highlight w:val="none"/>
              </w:rPr>
              <w:t>3、招标人有权对材料品牌进行变更，投标人应服从并做好配合工作。</w:t>
            </w:r>
            <w:r>
              <w:rPr>
                <w:rFonts w:ascii="宋体" w:hAnsi="宋体" w:cs="宋体"/>
                <w:kern w:val="0"/>
                <w:szCs w:val="21"/>
                <w:highlight w:val="none"/>
                <w:lang w:val="zh-CN"/>
              </w:rPr>
              <w:t xml:space="preserve">   </w:t>
            </w:r>
          </w:p>
          <w:p w14:paraId="51D119F1">
            <w:pPr>
              <w:pStyle w:val="3"/>
              <w:spacing w:line="360" w:lineRule="auto"/>
              <w:rPr>
                <w:rFonts w:hint="eastAsia" w:hAnsi="宋体" w:cs="宋体"/>
                <w:color w:val="000000"/>
                <w:highlight w:val="none"/>
                <w:lang w:val="en-US" w:eastAsia="zh-CN"/>
              </w:rPr>
            </w:pPr>
            <w:r>
              <w:rPr>
                <w:rFonts w:hint="eastAsia" w:hAnsi="宋体" w:cs="宋体"/>
                <w:color w:val="000000"/>
                <w:highlight w:val="none"/>
                <w:lang w:val="en-US" w:eastAsia="zh-CN"/>
              </w:rPr>
              <w:t>六、其他说明：</w:t>
            </w:r>
          </w:p>
          <w:p w14:paraId="40792AA1">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r>
              <w:rPr>
                <w:rFonts w:hint="eastAsia" w:ascii="宋体" w:hAnsi="宋体" w:eastAsia="宋体" w:cs="宋体"/>
                <w:color w:val="000000"/>
                <w:szCs w:val="21"/>
                <w:highlight w:val="none"/>
                <w:lang w:val="en-US" w:eastAsia="zh-CN"/>
              </w:rPr>
              <w:t>.</w:t>
            </w:r>
            <w:r>
              <w:rPr>
                <w:rFonts w:hint="eastAsia" w:ascii="宋体" w:hAnsi="宋体" w:eastAsia="宋体" w:cs="宋体"/>
                <w:color w:val="000000"/>
                <w:szCs w:val="21"/>
                <w:highlight w:val="none"/>
              </w:rPr>
              <w:t>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14:paraId="62E60B4C">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w:t>
            </w:r>
            <w:r>
              <w:rPr>
                <w:rFonts w:hint="eastAsia" w:ascii="宋体" w:hAnsi="宋体" w:eastAsia="宋体" w:cs="宋体"/>
                <w:color w:val="000000"/>
                <w:szCs w:val="21"/>
                <w:highlight w:val="none"/>
                <w:lang w:val="en-US" w:eastAsia="zh-CN"/>
              </w:rPr>
              <w:t>.</w:t>
            </w:r>
            <w:r>
              <w:rPr>
                <w:rFonts w:hint="eastAsia" w:ascii="宋体" w:hAnsi="宋体" w:eastAsia="宋体" w:cs="宋体"/>
                <w:color w:val="000000"/>
                <w:szCs w:val="21"/>
                <w:highlight w:val="none"/>
              </w:rPr>
              <w:t>各投标单位需要在相应的子目中综合考虑费用；</w:t>
            </w:r>
          </w:p>
          <w:p w14:paraId="7C9F17AE">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3.</w:t>
            </w:r>
            <w:r>
              <w:rPr>
                <w:rFonts w:hint="eastAsia" w:ascii="宋体" w:hAnsi="宋体" w:eastAsia="宋体" w:cs="宋体"/>
                <w:color w:val="000000"/>
                <w:szCs w:val="21"/>
                <w:highlight w:val="none"/>
              </w:rPr>
              <w:t>措施费中以“项”为单位措施项目均一次性包干，费用由各投标单位根据施工组织设计方案自行考虑报价，应考虑现场的各种风险因素；</w:t>
            </w:r>
          </w:p>
          <w:p w14:paraId="3409A617">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4.</w:t>
            </w:r>
            <w:r>
              <w:rPr>
                <w:rFonts w:hint="eastAsia" w:ascii="宋体" w:hAnsi="宋体" w:eastAsia="宋体" w:cs="宋体"/>
                <w:color w:val="000000"/>
                <w:szCs w:val="21"/>
                <w:highlight w:val="none"/>
              </w:rPr>
              <w:t>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14:paraId="3368CA34">
            <w:pPr>
              <w:autoSpaceDE w:val="0"/>
              <w:autoSpaceDN w:val="0"/>
              <w:adjustRightInd w:val="0"/>
              <w:spacing w:line="360" w:lineRule="auto"/>
              <w:ind w:firstLine="420"/>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val="en-US" w:eastAsia="zh-CN"/>
              </w:rPr>
              <w:t>5.</w:t>
            </w:r>
            <w:r>
              <w:rPr>
                <w:rFonts w:hint="eastAsia" w:ascii="宋体" w:hAnsi="宋体" w:eastAsia="宋体" w:cs="宋体"/>
                <w:color w:val="000000"/>
                <w:szCs w:val="21"/>
                <w:highlight w:val="none"/>
              </w:rPr>
              <w:t>根据工程量清单报价原则“固定综合单价”，以“项”为单位的工程量清单项目综合单价为包干价，请投标单位根据项目实际情况合理报价</w:t>
            </w:r>
            <w:r>
              <w:rPr>
                <w:rFonts w:hint="eastAsia" w:ascii="宋体" w:hAnsi="宋体" w:eastAsia="宋体" w:cs="宋体"/>
                <w:color w:val="000000"/>
                <w:szCs w:val="21"/>
                <w:highlight w:val="none"/>
                <w:lang w:eastAsia="zh-CN"/>
              </w:rPr>
              <w:t>；</w:t>
            </w:r>
          </w:p>
          <w:p w14:paraId="49133F8A">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6.</w:t>
            </w:r>
            <w:r>
              <w:rPr>
                <w:rFonts w:hint="eastAsia" w:ascii="宋体" w:hAnsi="宋体" w:eastAsia="宋体" w:cs="宋体"/>
                <w:color w:val="000000"/>
                <w:szCs w:val="21"/>
                <w:highlight w:val="none"/>
              </w:rPr>
              <w:t>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14:paraId="3C270F03">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7.</w:t>
            </w:r>
            <w:r>
              <w:rPr>
                <w:rFonts w:hint="eastAsia" w:ascii="宋体" w:hAnsi="宋体" w:eastAsia="宋体" w:cs="宋体"/>
                <w:color w:val="000000"/>
                <w:szCs w:val="21"/>
                <w:highlight w:val="none"/>
              </w:rPr>
              <w:t>分部分项工程量清单中的工程量是按实物净量计算，一切损耗均应在投标报价内；</w:t>
            </w:r>
          </w:p>
          <w:p w14:paraId="1452AC2D">
            <w:pPr>
              <w:autoSpaceDE w:val="0"/>
              <w:autoSpaceDN w:val="0"/>
              <w:adjustRightInd w:val="0"/>
              <w:spacing w:line="360" w:lineRule="auto"/>
              <w:ind w:firstLine="420"/>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val="en-US" w:eastAsia="zh-CN"/>
              </w:rPr>
              <w:t>8.</w:t>
            </w:r>
            <w:r>
              <w:rPr>
                <w:rFonts w:hint="eastAsia" w:ascii="宋体" w:hAnsi="宋体" w:eastAsia="宋体" w:cs="宋体"/>
                <w:color w:val="000000"/>
                <w:szCs w:val="21"/>
                <w:highlight w:val="none"/>
              </w:rPr>
              <w:t>投标人应充分考虑周边建筑、道路和地下管线设施的保护费用，并考虑在总投标价中</w:t>
            </w:r>
            <w:r>
              <w:rPr>
                <w:rFonts w:hint="eastAsia" w:ascii="宋体" w:hAnsi="宋体" w:eastAsia="宋体" w:cs="宋体"/>
                <w:color w:val="000000"/>
                <w:szCs w:val="21"/>
                <w:highlight w:val="none"/>
                <w:lang w:eastAsia="zh-CN"/>
              </w:rPr>
              <w:t>；</w:t>
            </w:r>
          </w:p>
          <w:p w14:paraId="7CE0D613">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9.</w:t>
            </w:r>
            <w:r>
              <w:rPr>
                <w:rFonts w:hint="eastAsia" w:ascii="宋体" w:hAnsi="宋体" w:eastAsia="宋体" w:cs="宋体"/>
                <w:color w:val="000000"/>
                <w:szCs w:val="21"/>
                <w:highlight w:val="none"/>
              </w:rPr>
              <w:t xml:space="preserve">本工程所有的材料的环保等级必须满足国家及地方标准，符合验收相关规范； </w:t>
            </w:r>
          </w:p>
          <w:p w14:paraId="2D8AA910">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10.</w:t>
            </w:r>
            <w:r>
              <w:rPr>
                <w:rFonts w:hint="eastAsia" w:ascii="宋体" w:hAnsi="宋体" w:eastAsia="宋体" w:cs="宋体"/>
                <w:color w:val="000000"/>
                <w:szCs w:val="21"/>
                <w:highlight w:val="none"/>
              </w:rPr>
              <w:t>投标人应充分考虑脚手架等技术措施，相应费用计入技术措施费中，并充分考虑报价风险，今后结算不进行调整；</w:t>
            </w:r>
          </w:p>
          <w:p w14:paraId="2F7DB485">
            <w:pPr>
              <w:autoSpaceDE w:val="0"/>
              <w:autoSpaceDN w:val="0"/>
              <w:adjustRightInd w:val="0"/>
              <w:spacing w:line="360" w:lineRule="auto"/>
              <w:ind w:firstLine="420"/>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11.</w:t>
            </w:r>
            <w:r>
              <w:rPr>
                <w:rFonts w:hint="eastAsia" w:ascii="宋体" w:hAnsi="宋体" w:eastAsia="宋体" w:cs="宋体"/>
                <w:color w:val="000000"/>
                <w:szCs w:val="21"/>
                <w:highlight w:val="none"/>
              </w:rPr>
              <w:t>各投标单位应根据现场实际情况自行考虑，包含施工范围内所有的原结构和建筑垃圾拆除及外运等,所有外运物弃置场地及运距由投标人自行综合考虑，相应费用均计入报价，今后不作调整</w:t>
            </w:r>
            <w:r>
              <w:rPr>
                <w:rFonts w:hint="eastAsia" w:ascii="宋体" w:hAnsi="宋体" w:eastAsia="宋体" w:cs="宋体"/>
                <w:color w:val="000000"/>
                <w:szCs w:val="21"/>
                <w:highlight w:val="none"/>
                <w:lang w:eastAsia="zh-CN"/>
              </w:rPr>
              <w:t>；</w:t>
            </w:r>
          </w:p>
          <w:p w14:paraId="3CE56347">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12.</w:t>
            </w:r>
            <w:r>
              <w:rPr>
                <w:rFonts w:hint="eastAsia" w:ascii="宋体" w:hAnsi="宋体" w:eastAsia="宋体" w:cs="宋体"/>
                <w:color w:val="000000"/>
                <w:szCs w:val="21"/>
                <w:highlight w:val="none"/>
              </w:rPr>
              <w:t>相关工艺施工前应做的基层清理工作应包含在投标报价中，清单特征描述中不再一一描述；</w:t>
            </w:r>
          </w:p>
          <w:p w14:paraId="72941411">
            <w:pPr>
              <w:autoSpaceDE w:val="0"/>
              <w:autoSpaceDN w:val="0"/>
              <w:adjustRightInd w:val="0"/>
              <w:spacing w:line="360" w:lineRule="auto"/>
              <w:ind w:firstLine="420"/>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val="en-US" w:eastAsia="zh-CN"/>
              </w:rPr>
              <w:t>13.</w:t>
            </w:r>
            <w:r>
              <w:rPr>
                <w:rFonts w:hint="eastAsia" w:ascii="宋体" w:hAnsi="宋体" w:eastAsia="宋体" w:cs="宋体"/>
                <w:color w:val="000000"/>
                <w:szCs w:val="21"/>
                <w:highlight w:val="none"/>
              </w:rPr>
              <w:t>本清单项目特征描述不完整时，投标单位应结合施工图及相关规范、规定等进行综合考虑</w:t>
            </w:r>
            <w:r>
              <w:rPr>
                <w:rFonts w:hint="eastAsia" w:ascii="宋体" w:hAnsi="宋体" w:eastAsia="宋体" w:cs="宋体"/>
                <w:color w:val="000000"/>
                <w:szCs w:val="21"/>
                <w:highlight w:val="none"/>
                <w:lang w:eastAsia="zh-CN"/>
              </w:rPr>
              <w:t>；</w:t>
            </w:r>
          </w:p>
          <w:p w14:paraId="7B565BF4">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14.本工程按照《杭州市人民政府办公厅关于印发杭州市建设工程推广应用预拌砂浆管理办法的通知》（杭政办函【2011</w:t>
            </w:r>
            <w:r>
              <w:rPr>
                <w:rFonts w:hint="eastAsia" w:ascii="宋体" w:hAnsi="宋体" w:eastAsia="宋体" w:cs="宋体"/>
                <w:color w:val="000000"/>
                <w:szCs w:val="21"/>
                <w:highlight w:val="none"/>
              </w:rPr>
              <w:t>】32号文件）的要求使用预拌砂浆，投标人应将使用预拌砂浆的费用计入投标报价；</w:t>
            </w:r>
          </w:p>
          <w:p w14:paraId="749AAB6A">
            <w:pPr>
              <w:autoSpaceDE w:val="0"/>
              <w:autoSpaceDN w:val="0"/>
              <w:adjustRightInd w:val="0"/>
              <w:spacing w:line="360" w:lineRule="auto"/>
              <w:ind w:firstLine="420"/>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15.本工程砼按《杭州市商品混凝土管理办法 杭州市政府令第115号》文件</w:t>
            </w:r>
            <w:r>
              <w:rPr>
                <w:rFonts w:hint="eastAsia" w:ascii="宋体" w:hAnsi="宋体" w:eastAsia="宋体" w:cs="宋体"/>
                <w:color w:val="000000"/>
                <w:szCs w:val="21"/>
                <w:highlight w:val="none"/>
              </w:rPr>
              <w:t>要求使用</w:t>
            </w:r>
            <w:r>
              <w:rPr>
                <w:rFonts w:hint="eastAsia" w:ascii="宋体" w:hAnsi="宋体" w:eastAsia="宋体" w:cs="宋体"/>
                <w:color w:val="000000"/>
                <w:szCs w:val="21"/>
                <w:highlight w:val="none"/>
                <w:lang w:val="en-US" w:eastAsia="zh-CN"/>
              </w:rPr>
              <w:t>商品混凝土。</w:t>
            </w:r>
          </w:p>
          <w:p w14:paraId="4A99E38A">
            <w:pPr>
              <w:pStyle w:val="3"/>
              <w:spacing w:line="360" w:lineRule="auto"/>
              <w:rPr>
                <w:rFonts w:hint="eastAsia" w:ascii="宋体" w:hAnsi="宋体" w:eastAsia="宋体" w:cs="宋体"/>
                <w:color w:val="000000"/>
                <w:highlight w:val="none"/>
                <w:lang w:val="zh-CN" w:eastAsia="zh-CN"/>
              </w:rPr>
            </w:pPr>
            <w:r>
              <w:rPr>
                <w:rFonts w:hint="eastAsia" w:hAnsi="宋体" w:cs="宋体"/>
                <w:color w:val="000000"/>
                <w:highlight w:val="none"/>
                <w:lang w:val="en-US" w:eastAsia="zh-CN"/>
              </w:rPr>
              <w:t>七</w:t>
            </w:r>
            <w:r>
              <w:rPr>
                <w:rFonts w:hint="eastAsia" w:ascii="宋体" w:hAnsi="宋体" w:eastAsia="宋体" w:cs="宋体"/>
                <w:color w:val="000000"/>
                <w:highlight w:val="none"/>
                <w:lang w:val="zh-CN" w:eastAsia="zh-CN"/>
              </w:rPr>
              <w:t>、其他不详之处，详见国家及地方标准。</w:t>
            </w:r>
          </w:p>
          <w:p w14:paraId="06572AAC">
            <w:pPr>
              <w:tabs>
                <w:tab w:val="left" w:pos="0"/>
              </w:tabs>
              <w:topLinePunct/>
              <w:spacing w:line="440" w:lineRule="exact"/>
              <w:jc w:val="left"/>
              <w:rPr>
                <w:rFonts w:hint="default" w:ascii="Times New Roman" w:hAnsi="Times New Roman" w:eastAsia="宋体" w:cs="Times New Roman"/>
                <w:b/>
                <w:kern w:val="1"/>
                <w:sz w:val="21"/>
                <w:szCs w:val="21"/>
              </w:rPr>
            </w:pPr>
            <w:r>
              <w:rPr>
                <w:rFonts w:hint="default" w:ascii="Times New Roman" w:hAnsi="Times New Roman" w:eastAsia="宋体" w:cs="Times New Roman"/>
                <w:b/>
                <w:kern w:val="1"/>
                <w:sz w:val="21"/>
                <w:szCs w:val="21"/>
              </w:rPr>
              <w:t>品牌推荐表：</w:t>
            </w:r>
          </w:p>
          <w:p w14:paraId="3F64F334">
            <w:pPr>
              <w:spacing w:line="360" w:lineRule="auto"/>
              <w:jc w:val="center"/>
              <w:rPr>
                <w:rFonts w:hint="default" w:ascii="Times New Roman" w:hAnsi="Times New Roman" w:eastAsia="宋体" w:cs="Times New Roman"/>
                <w:kern w:val="1"/>
                <w:sz w:val="21"/>
                <w:szCs w:val="21"/>
              </w:rPr>
            </w:pPr>
            <w:r>
              <w:rPr>
                <w:rFonts w:hint="default" w:ascii="Times New Roman" w:hAnsi="Times New Roman" w:eastAsia="宋体" w:cs="Times New Roman"/>
                <w:kern w:val="1"/>
                <w:sz w:val="21"/>
                <w:szCs w:val="21"/>
              </w:rPr>
              <w:t>招标人推荐材料、设备品牌一览表</w:t>
            </w:r>
          </w:p>
          <w:tbl>
            <w:tblPr>
              <w:tblStyle w:val="8"/>
              <w:tblW w:w="0" w:type="auto"/>
              <w:tblInd w:w="202" w:type="dxa"/>
              <w:tblLayout w:type="autofit"/>
              <w:tblCellMar>
                <w:top w:w="0" w:type="dxa"/>
                <w:left w:w="108" w:type="dxa"/>
                <w:bottom w:w="0" w:type="dxa"/>
                <w:right w:w="108" w:type="dxa"/>
              </w:tblCellMar>
            </w:tblPr>
            <w:tblGrid>
              <w:gridCol w:w="678"/>
              <w:gridCol w:w="2268"/>
              <w:gridCol w:w="2637"/>
              <w:gridCol w:w="1470"/>
              <w:gridCol w:w="1200"/>
            </w:tblGrid>
            <w:tr w14:paraId="65FBAB5F">
              <w:tblPrEx>
                <w:tblCellMar>
                  <w:top w:w="0" w:type="dxa"/>
                  <w:left w:w="108" w:type="dxa"/>
                  <w:bottom w:w="0" w:type="dxa"/>
                  <w:right w:w="108" w:type="dxa"/>
                </w:tblCellMar>
              </w:tblPrEx>
              <w:trPr>
                <w:trHeight w:val="268" w:hRule="atLeast"/>
              </w:trPr>
              <w:tc>
                <w:tcPr>
                  <w:tcW w:w="678" w:type="dxa"/>
                  <w:tcBorders>
                    <w:top w:val="single" w:color="000000" w:sz="4" w:space="0"/>
                    <w:left w:val="single" w:color="000000" w:sz="4" w:space="0"/>
                    <w:bottom w:val="single" w:color="000000" w:sz="4" w:space="0"/>
                    <w:right w:val="single" w:color="000000" w:sz="4" w:space="0"/>
                  </w:tcBorders>
                  <w:noWrap w:val="0"/>
                  <w:vAlign w:val="center"/>
                </w:tcPr>
                <w:p w14:paraId="2C441E97">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序号</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4A69BF5">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材料名称</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53FF0592">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品牌或产地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6057494A">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等级</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DABAA26">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备注</w:t>
                  </w:r>
                </w:p>
              </w:tc>
            </w:tr>
            <w:tr w14:paraId="3F4ACFEA">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82C7EE">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068A5B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光缆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253A757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长飞、烽火、一舟</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2290E87B">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C1E5DAC">
                  <w:pPr>
                    <w:jc w:val="center"/>
                    <w:rPr>
                      <w:rFonts w:hint="eastAsia" w:ascii="宋体" w:hAnsi="宋体" w:eastAsia="宋体" w:cs="宋体"/>
                      <w:sz w:val="21"/>
                      <w:szCs w:val="21"/>
                    </w:rPr>
                  </w:pPr>
                  <w:r>
                    <w:rPr>
                      <w:rFonts w:hint="eastAsia" w:ascii="宋体" w:hAnsi="宋体" w:eastAsia="宋体" w:cs="宋体"/>
                      <w:sz w:val="21"/>
                      <w:szCs w:val="21"/>
                      <w:lang w:val="en-US" w:eastAsia="zh-CN"/>
                    </w:rPr>
                    <w:t>或相当于</w:t>
                  </w:r>
                </w:p>
              </w:tc>
            </w:tr>
          </w:tbl>
          <w:p w14:paraId="6DE8EE32">
            <w:pPr>
              <w:pStyle w:val="3"/>
              <w:spacing w:line="360" w:lineRule="auto"/>
              <w:rPr>
                <w:rFonts w:hint="eastAsia" w:ascii="宋体" w:hAnsi="宋体" w:eastAsia="宋体" w:cs="宋体"/>
                <w:color w:val="000000"/>
                <w:highlight w:val="none"/>
                <w:lang w:val="zh-CN" w:eastAsia="zh-CN"/>
              </w:rPr>
            </w:pPr>
          </w:p>
        </w:tc>
      </w:tr>
    </w:tbl>
    <w:p w14:paraId="70D14975">
      <w:pPr>
        <w:pStyle w:val="3"/>
        <w:tabs>
          <w:tab w:val="left" w:pos="0"/>
        </w:tabs>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54EAB9">
    <w:pPr>
      <w:rPr>
        <w:rFonts w:hint="eastAsia"/>
      </w:rPr>
    </w:pPr>
    <w: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535295" cy="671195"/>
              <wp:effectExtent l="5080" t="4445" r="22225" b="10160"/>
              <wp:wrapSquare wrapText="bothSides"/>
              <wp:docPr id="1" name="文本框 2"/>
              <wp:cNvGraphicFramePr/>
              <a:graphic xmlns:a="http://schemas.openxmlformats.org/drawingml/2006/main">
                <a:graphicData uri="http://schemas.microsoft.com/office/word/2010/wordprocessingShape">
                  <wps:wsp>
                    <wps:cNvSpPr txBox="1"/>
                    <wps:spPr>
                      <a:xfrm>
                        <a:off x="0" y="0"/>
                        <a:ext cx="5535295" cy="671195"/>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7D6C1A61">
                          <w:pPr>
                            <w:pStyle w:val="3"/>
                            <w:tabs>
                              <w:tab w:val="left" w:pos="0"/>
                            </w:tabs>
                            <w:jc w:val="center"/>
                            <w:rPr>
                              <w:b/>
                              <w:sz w:val="48"/>
                              <w:szCs w:val="48"/>
                            </w:rPr>
                          </w:pPr>
                          <w:r>
                            <w:rPr>
                              <w:rFonts w:hint="eastAsia"/>
                              <w:b/>
                              <w:sz w:val="48"/>
                              <w:szCs w:val="48"/>
                            </w:rPr>
                            <w:t>工程量清单编制总说明</w:t>
                          </w:r>
                        </w:p>
                        <w:p w14:paraId="0B6024CF">
                          <w:pPr>
                            <w:jc w:val="left"/>
                          </w:pPr>
                          <w:r>
                            <w:rPr>
                              <w:rFonts w:hint="eastAsia" w:ascii="宋体" w:hAnsi="宋体" w:eastAsia="宋体" w:cs="宋体"/>
                              <w:sz w:val="18"/>
                              <w:szCs w:val="18"/>
                            </w:rPr>
                            <w:t xml:space="preserve">工程名称: </w:t>
                          </w:r>
                          <w:r>
                            <w:rPr>
                              <w:rFonts w:hint="eastAsia" w:hAnsi="宋体" w:cs="宋体"/>
                              <w:color w:val="000000"/>
                              <w:sz w:val="18"/>
                              <w:szCs w:val="18"/>
                              <w:highlight w:val="none"/>
                            </w:rPr>
                            <w:t>杭州电子科技大学下沙校区变电所基础改造工程（变电所智能化系统搭建）</w:t>
                          </w:r>
                          <w:r>
                            <w:rPr>
                              <w:rFonts w:hint="eastAsia" w:hAnsi="宋体" w:cs="宋体"/>
                              <w:color w:val="000000"/>
                              <w:sz w:val="18"/>
                              <w:szCs w:val="18"/>
                              <w:highlight w:val="none"/>
                              <w:lang w:val="en-US" w:eastAsia="zh-CN"/>
                            </w:rPr>
                            <w:t xml:space="preserve">   </w:t>
                          </w:r>
                          <w:r>
                            <w:rPr>
                              <w:rFonts w:hint="eastAsia" w:asciiTheme="minorEastAsia" w:hAnsiTheme="minorEastAsia" w:eastAsiaTheme="minorEastAsia" w:cstheme="minorEastAsia"/>
                              <w:sz w:val="18"/>
                              <w:szCs w:val="18"/>
                            </w:rPr>
                            <w:t>第</w:t>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PAGE  \* Arabic  \* MERGEFORMAT</w:instrText>
                          </w:r>
                          <w:r>
                            <w:rPr>
                              <w:rFonts w:hint="eastAsia" w:asciiTheme="minorEastAsia" w:hAnsiTheme="minorEastAsia" w:eastAsiaTheme="minorEastAsia" w:cstheme="minorEastAsia"/>
                              <w:sz w:val="18"/>
                              <w:szCs w:val="18"/>
                            </w:rPr>
                            <w:fldChar w:fldCharType="separate"/>
                          </w:r>
                          <w:r>
                            <w:rPr>
                              <w:rFonts w:asciiTheme="minorEastAsia" w:hAnsiTheme="minorEastAsia" w:eastAsiaTheme="minorEastAsia" w:cstheme="minorEastAsia"/>
                              <w:sz w:val="18"/>
                              <w:szCs w:val="18"/>
                            </w:rPr>
                            <w:t>1</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sz w:val="18"/>
                              <w:szCs w:val="18"/>
                            </w:rPr>
                            <w:t>页，共</w:t>
                          </w:r>
                          <w:r>
                            <w:rPr>
                              <w:rFonts w:hint="eastAsia" w:asciiTheme="minorEastAsia" w:hAnsiTheme="minorEastAsia" w:eastAsiaTheme="minorEastAsia" w:cstheme="minorEastAsia"/>
                              <w:sz w:val="18"/>
                              <w:szCs w:val="18"/>
                              <w:lang w:val="en-US" w:eastAsia="zh-CN"/>
                            </w:rPr>
                            <w:t>4页</w:t>
                          </w:r>
                        </w:p>
                      </w:txbxContent>
                    </wps:txbx>
                    <wps:bodyPr vert="horz" anchor="t" upright="1"/>
                  </wps:wsp>
                </a:graphicData>
              </a:graphic>
            </wp:anchor>
          </w:drawing>
        </mc:Choice>
        <mc:Fallback>
          <w:pict>
            <v:shape id="文本框 2" o:spid="_x0000_s1026" o:spt="202" type="#_x0000_t202" style="position:absolute;left:0pt;margin-left:-6.85pt;margin-top:16.7pt;height:52.85pt;width:435.85pt;mso-wrap-distance-bottom:3.6pt;mso-wrap-distance-left:9pt;mso-wrap-distance-right:9pt;mso-wrap-distance-top:3.6pt;z-index:251659264;mso-width-relative:page;mso-height-relative:page;" fillcolor="#FFFFFF" filled="t" stroked="t" coordsize="21600,21600" o:gfxdata="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Kh0QB7ZAAAACgEAAA8AAAAA&#10;AAAAAQAgAAAAIgAAAGRycy9kb3ducmV2LnhtbFBLAQIUABQAAAAIAIdO4kAgMo21EwIAAE0EAAAO&#10;AAAAAAAAAAEAIAAAACgBAABkcnMvZTJvRG9jLnhtbFBLBQYAAAAABgAGAFkBAACtBQAAAAA=&#10;">
              <v:fill on="t" focussize="0,0"/>
              <v:stroke color="#FFFFFF" joinstyle="miter"/>
              <v:imagedata o:title=""/>
              <o:lock v:ext="edit" aspectratio="f"/>
              <v:textbox>
                <w:txbxContent>
                  <w:p w14:paraId="7D6C1A61">
                    <w:pPr>
                      <w:pStyle w:val="3"/>
                      <w:tabs>
                        <w:tab w:val="left" w:pos="0"/>
                      </w:tabs>
                      <w:jc w:val="center"/>
                      <w:rPr>
                        <w:b/>
                        <w:sz w:val="48"/>
                        <w:szCs w:val="48"/>
                      </w:rPr>
                    </w:pPr>
                    <w:r>
                      <w:rPr>
                        <w:rFonts w:hint="eastAsia"/>
                        <w:b/>
                        <w:sz w:val="48"/>
                        <w:szCs w:val="48"/>
                      </w:rPr>
                      <w:t>工程量清单编制总说明</w:t>
                    </w:r>
                  </w:p>
                  <w:p w14:paraId="0B6024CF">
                    <w:pPr>
                      <w:jc w:val="left"/>
                    </w:pPr>
                    <w:r>
                      <w:rPr>
                        <w:rFonts w:hint="eastAsia" w:ascii="宋体" w:hAnsi="宋体" w:eastAsia="宋体" w:cs="宋体"/>
                        <w:sz w:val="18"/>
                        <w:szCs w:val="18"/>
                      </w:rPr>
                      <w:t xml:space="preserve">工程名称: </w:t>
                    </w:r>
                    <w:r>
                      <w:rPr>
                        <w:rFonts w:hint="eastAsia" w:hAnsi="宋体" w:cs="宋体"/>
                        <w:color w:val="000000"/>
                        <w:sz w:val="18"/>
                        <w:szCs w:val="18"/>
                        <w:highlight w:val="none"/>
                      </w:rPr>
                      <w:t>杭州电子科技大学下沙校区变电所基础改造工程（变电所智能化系统搭建）</w:t>
                    </w:r>
                    <w:r>
                      <w:rPr>
                        <w:rFonts w:hint="eastAsia" w:hAnsi="宋体" w:cs="宋体"/>
                        <w:color w:val="000000"/>
                        <w:sz w:val="18"/>
                        <w:szCs w:val="18"/>
                        <w:highlight w:val="none"/>
                        <w:lang w:val="en-US" w:eastAsia="zh-CN"/>
                      </w:rPr>
                      <w:t xml:space="preserve">   </w:t>
                    </w:r>
                    <w:r>
                      <w:rPr>
                        <w:rFonts w:hint="eastAsia" w:asciiTheme="minorEastAsia" w:hAnsiTheme="minorEastAsia" w:eastAsiaTheme="minorEastAsia" w:cstheme="minorEastAsia"/>
                        <w:sz w:val="18"/>
                        <w:szCs w:val="18"/>
                      </w:rPr>
                      <w:t>第</w:t>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PAGE  \* Arabic  \* MERGEFORMAT</w:instrText>
                    </w:r>
                    <w:r>
                      <w:rPr>
                        <w:rFonts w:hint="eastAsia" w:asciiTheme="minorEastAsia" w:hAnsiTheme="minorEastAsia" w:eastAsiaTheme="minorEastAsia" w:cstheme="minorEastAsia"/>
                        <w:sz w:val="18"/>
                        <w:szCs w:val="18"/>
                      </w:rPr>
                      <w:fldChar w:fldCharType="separate"/>
                    </w:r>
                    <w:r>
                      <w:rPr>
                        <w:rFonts w:asciiTheme="minorEastAsia" w:hAnsiTheme="minorEastAsia" w:eastAsiaTheme="minorEastAsia" w:cstheme="minorEastAsia"/>
                        <w:sz w:val="18"/>
                        <w:szCs w:val="18"/>
                      </w:rPr>
                      <w:t>1</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sz w:val="18"/>
                        <w:szCs w:val="18"/>
                      </w:rPr>
                      <w:t>页，共</w:t>
                    </w:r>
                    <w:r>
                      <w:rPr>
                        <w:rFonts w:hint="eastAsia" w:asciiTheme="minorEastAsia" w:hAnsiTheme="minorEastAsia" w:eastAsiaTheme="minorEastAsia" w:cstheme="minorEastAsia"/>
                        <w:sz w:val="18"/>
                        <w:szCs w:val="18"/>
                        <w:lang w:val="en-US" w:eastAsia="zh-CN"/>
                      </w:rPr>
                      <w:t>4页</w:t>
                    </w:r>
                  </w:p>
                </w:txbxContent>
              </v:textbox>
              <w10:wrap type="square"/>
            </v:shape>
          </w:pict>
        </mc:Fallback>
      </mc:AlternateContent>
    </w: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mMzcwOTczMTU1NjAyMmFlNDY0NzUzZWY4NTdlNjgifQ=="/>
  </w:docVars>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E82"/>
    <w:rsid w:val="00D526A6"/>
    <w:rsid w:val="00D526BD"/>
    <w:rsid w:val="00D55216"/>
    <w:rsid w:val="00D574EE"/>
    <w:rsid w:val="00D602E0"/>
    <w:rsid w:val="00D60AF4"/>
    <w:rsid w:val="00D61E53"/>
    <w:rsid w:val="00D75207"/>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3366EA6"/>
    <w:rsid w:val="0E613268"/>
    <w:rsid w:val="0F090DE9"/>
    <w:rsid w:val="118212D6"/>
    <w:rsid w:val="12BF28AB"/>
    <w:rsid w:val="13347445"/>
    <w:rsid w:val="158F443B"/>
    <w:rsid w:val="17A4103D"/>
    <w:rsid w:val="17B943BD"/>
    <w:rsid w:val="18E13BCB"/>
    <w:rsid w:val="1AEE7B63"/>
    <w:rsid w:val="1B617245"/>
    <w:rsid w:val="1B6E25C4"/>
    <w:rsid w:val="1CA97C35"/>
    <w:rsid w:val="1D641E26"/>
    <w:rsid w:val="1E320A25"/>
    <w:rsid w:val="1FB44D03"/>
    <w:rsid w:val="1FD04999"/>
    <w:rsid w:val="227B58D9"/>
    <w:rsid w:val="246C2EE2"/>
    <w:rsid w:val="24AB704C"/>
    <w:rsid w:val="25537BFE"/>
    <w:rsid w:val="2583364F"/>
    <w:rsid w:val="27160108"/>
    <w:rsid w:val="28136AE6"/>
    <w:rsid w:val="2AFC6642"/>
    <w:rsid w:val="2B8D57C9"/>
    <w:rsid w:val="2C183950"/>
    <w:rsid w:val="2E6115DE"/>
    <w:rsid w:val="2EE638B2"/>
    <w:rsid w:val="32421F05"/>
    <w:rsid w:val="3251196A"/>
    <w:rsid w:val="32D541E9"/>
    <w:rsid w:val="344572AC"/>
    <w:rsid w:val="3B464036"/>
    <w:rsid w:val="4033368A"/>
    <w:rsid w:val="40CB28E7"/>
    <w:rsid w:val="43C024AB"/>
    <w:rsid w:val="453B44DF"/>
    <w:rsid w:val="4698326B"/>
    <w:rsid w:val="497242D2"/>
    <w:rsid w:val="49951CE4"/>
    <w:rsid w:val="49A41BDF"/>
    <w:rsid w:val="49CC0C92"/>
    <w:rsid w:val="4A3F4DA2"/>
    <w:rsid w:val="4A62606A"/>
    <w:rsid w:val="4A652AEB"/>
    <w:rsid w:val="4B90280D"/>
    <w:rsid w:val="4C1C277B"/>
    <w:rsid w:val="4E110852"/>
    <w:rsid w:val="50B60EBE"/>
    <w:rsid w:val="526B2003"/>
    <w:rsid w:val="53973ACB"/>
    <w:rsid w:val="54016821"/>
    <w:rsid w:val="56C63E25"/>
    <w:rsid w:val="57255D0E"/>
    <w:rsid w:val="585821BA"/>
    <w:rsid w:val="587766E0"/>
    <w:rsid w:val="588C69A8"/>
    <w:rsid w:val="591F3539"/>
    <w:rsid w:val="5C5F065B"/>
    <w:rsid w:val="5CE9261B"/>
    <w:rsid w:val="5F681F1D"/>
    <w:rsid w:val="5FDE3F8D"/>
    <w:rsid w:val="644A7BC0"/>
    <w:rsid w:val="65614110"/>
    <w:rsid w:val="6563635E"/>
    <w:rsid w:val="68352A03"/>
    <w:rsid w:val="6B1D0764"/>
    <w:rsid w:val="6C264CF2"/>
    <w:rsid w:val="6D07065E"/>
    <w:rsid w:val="6F07626B"/>
    <w:rsid w:val="717F3467"/>
    <w:rsid w:val="722577FA"/>
    <w:rsid w:val="72435ED2"/>
    <w:rsid w:val="730C00E3"/>
    <w:rsid w:val="73621405"/>
    <w:rsid w:val="74890514"/>
    <w:rsid w:val="74B2104F"/>
    <w:rsid w:val="756248C1"/>
    <w:rsid w:val="76740D50"/>
    <w:rsid w:val="77122EE5"/>
    <w:rsid w:val="773744A0"/>
    <w:rsid w:val="794A4EA4"/>
    <w:rsid w:val="7BE44282"/>
    <w:rsid w:val="7CCD2F68"/>
    <w:rsid w:val="7D8B76B8"/>
    <w:rsid w:val="7E435130"/>
    <w:rsid w:val="7F3124BB"/>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next w:val="1"/>
    <w:qFormat/>
    <w:uiPriority w:val="0"/>
    <w:pPr>
      <w:widowControl w:val="0"/>
      <w:spacing w:after="120"/>
      <w:jc w:val="both"/>
    </w:pPr>
    <w:rPr>
      <w:rFonts w:ascii="Calibri" w:hAnsi="Calibri" w:eastAsia="宋体" w:cs="Times New Roman"/>
      <w:kern w:val="2"/>
      <w:sz w:val="28"/>
      <w:szCs w:val="24"/>
      <w:lang w:val="en-US" w:eastAsia="zh-CN" w:bidi="ar-SA"/>
    </w:rPr>
  </w:style>
  <w:style w:type="paragraph" w:styleId="3">
    <w:name w:val="Plain Text"/>
    <w:basedOn w:val="1"/>
    <w:link w:val="16"/>
    <w:qFormat/>
    <w:uiPriority w:val="0"/>
    <w:rPr>
      <w:rFonts w:ascii="宋体" w:hAnsi="Courier New" w:cs="Courier New"/>
      <w:szCs w:val="21"/>
    </w:rPr>
  </w:style>
  <w:style w:type="paragraph" w:styleId="4">
    <w:name w:val="Balloon Text"/>
    <w:basedOn w:val="1"/>
    <w:semiHidden/>
    <w:qFormat/>
    <w:uiPriority w:val="0"/>
    <w:rPr>
      <w:sz w:val="18"/>
      <w:szCs w:val="18"/>
    </w:rPr>
  </w:style>
  <w:style w:type="paragraph" w:styleId="5">
    <w:name w:val="footer"/>
    <w:basedOn w:val="1"/>
    <w:link w:val="15"/>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39"/>
    <w:pPr>
      <w:spacing w:before="120" w:after="120"/>
      <w:jc w:val="left"/>
    </w:pPr>
    <w:rPr>
      <w:rFonts w:ascii="Calibri" w:hAnsi="Calibri"/>
      <w:b/>
      <w:bCs/>
      <w:caps/>
      <w:sz w:val="20"/>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paragraph" w:customStyle="1" w:styleId="12">
    <w:name w:val="Char"/>
    <w:basedOn w:val="1"/>
    <w:qFormat/>
    <w:uiPriority w:val="0"/>
    <w:rPr>
      <w:rFonts w:ascii="仿宋_GB2312" w:eastAsia="仿宋_GB2312"/>
      <w:b/>
      <w:sz w:val="32"/>
      <w:szCs w:val="32"/>
    </w:rPr>
  </w:style>
  <w:style w:type="paragraph" w:customStyle="1" w:styleId="13">
    <w:name w:val="_Style 10"/>
    <w:basedOn w:val="1"/>
    <w:qFormat/>
    <w:uiPriority w:val="0"/>
    <w:pPr>
      <w:ind w:firstLine="480"/>
    </w:pPr>
  </w:style>
  <w:style w:type="character" w:customStyle="1" w:styleId="14">
    <w:name w:val="页眉 字符"/>
    <w:basedOn w:val="10"/>
    <w:link w:val="6"/>
    <w:qFormat/>
    <w:uiPriority w:val="0"/>
    <w:rPr>
      <w:kern w:val="2"/>
      <w:sz w:val="18"/>
      <w:szCs w:val="18"/>
    </w:rPr>
  </w:style>
  <w:style w:type="character" w:customStyle="1" w:styleId="15">
    <w:name w:val="页脚 字符"/>
    <w:basedOn w:val="10"/>
    <w:link w:val="5"/>
    <w:qFormat/>
    <w:uiPriority w:val="0"/>
    <w:rPr>
      <w:kern w:val="2"/>
      <w:sz w:val="18"/>
      <w:szCs w:val="18"/>
    </w:rPr>
  </w:style>
  <w:style w:type="character" w:customStyle="1" w:styleId="16">
    <w:name w:val="纯文本 字符"/>
    <w:basedOn w:val="10"/>
    <w:link w:val="3"/>
    <w:qFormat/>
    <w:uiPriority w:val="0"/>
    <w:rPr>
      <w:rFonts w:ascii="宋体" w:hAnsi="Courier New" w:cs="Courier New"/>
      <w:kern w:val="2"/>
      <w:sz w:val="21"/>
      <w:szCs w:val="21"/>
    </w:rPr>
  </w:style>
  <w:style w:type="paragraph" w:styleId="1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FC922-2DE9-4D63-812D-0728796363F6}">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4</Pages>
  <Words>3123</Words>
  <Characters>3333</Characters>
  <Lines>13</Lines>
  <Paragraphs>3</Paragraphs>
  <TotalTime>2</TotalTime>
  <ScaleCrop>false</ScaleCrop>
  <LinksUpToDate>false</LinksUpToDate>
  <CharactersWithSpaces>3345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gx3</cp:lastModifiedBy>
  <cp:lastPrinted>2021-03-25T11:59:00Z</cp:lastPrinted>
  <dcterms:modified xsi:type="dcterms:W3CDTF">2024-06-18T10:19:35Z</dcterms:modified>
  <dc:title>编制总说明</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CC07AE87BEEE4EF0BA3A4B2C2397955B</vt:lpwstr>
  </property>
</Properties>
</file>