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2024年中文图书采购</w:t>
      </w: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2024年中文图书采购</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QSZB-Z(H)-B23515(GK)</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临[2023]97137号</w:t>
      </w:r>
    </w:p>
    <w:p>
      <w:pPr>
        <w:adjustRightInd w:val="0"/>
        <w:snapToGrid w:val="0"/>
        <w:spacing w:line="288" w:lineRule="auto"/>
        <w:rPr>
          <w:rFonts w:ascii="楷体" w:hAnsi="楷体" w:eastAsia="楷体" w:cs="Times New Roman"/>
          <w:b/>
          <w:color w:val="auto"/>
          <w:szCs w:val="21"/>
          <w:highlight w:val="none"/>
        </w:rPr>
      </w:pPr>
    </w:p>
    <w:p>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adjustRightInd w:val="0"/>
        <w:snapToGrid w:val="0"/>
        <w:spacing w:line="288" w:lineRule="auto"/>
        <w:jc w:val="left"/>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2024年中文图书采购</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2023年12月22日13:30:00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rPr>
          <w:rFonts w:ascii="宋体" w:hAnsi="宋体" w:eastAsia="宋体" w:cs="宋体"/>
          <w:b/>
          <w:color w:val="auto"/>
          <w:szCs w:val="21"/>
          <w:highlight w:val="none"/>
        </w:rPr>
      </w:pPr>
      <w:bookmarkStart w:id="0" w:name="_Toc35393790"/>
      <w:bookmarkStart w:id="1" w:name="_Toc35393621"/>
      <w:bookmarkStart w:id="2" w:name="_Toc28359079"/>
      <w:bookmarkStart w:id="3" w:name="_Toc28359002"/>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QSZB-Z(H)-B23515(GK)</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2024年中文图书采购</w:t>
      </w:r>
    </w:p>
    <w:bookmarkEnd w:id="4"/>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标项一：1300000元；标项二：1250000元；标项三：1030000元</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.最高限价：标项一：1300000元；标项二：1250000元；标项三：1030000元</w:t>
      </w:r>
    </w:p>
    <w:p>
      <w:pPr>
        <w:adjustRightInd w:val="0"/>
        <w:snapToGrid w:val="0"/>
        <w:spacing w:line="288" w:lineRule="auto"/>
        <w:ind w:firstLine="420" w:firstLineChars="20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.合同履约期限：自合同签订之日起至202</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年12月31日</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标项</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一</w:t>
            </w:r>
          </w:p>
        </w:tc>
        <w:tc>
          <w:tcPr>
            <w:tcW w:w="3006" w:type="dxa"/>
            <w:tcBorders>
              <w:right w:val="single" w:color="auto" w:sz="4" w:space="0"/>
              <w:tl2br w:val="nil"/>
              <w:tr2bl w:val="nil"/>
            </w:tcBorders>
            <w:vAlign w:val="center"/>
          </w:tcPr>
          <w:p>
            <w:pPr>
              <w:pStyle w:val="109"/>
              <w:keepNext w:val="0"/>
              <w:keepLines w:val="0"/>
              <w:widowControl/>
              <w:suppressLineNumbers w:val="0"/>
              <w:ind w:left="0" w:leftChars="0" w:right="0" w:rightChars="0"/>
              <w:jc w:val="center"/>
              <w:rPr>
                <w:rFonts w:ascii="宋体" w:hAnsi="宋体" w:eastAsia="宋体" w:cs="宋体"/>
                <w:bCs/>
                <w:color w:val="auto"/>
                <w:szCs w:val="21"/>
                <w:highlight w:val="none"/>
              </w:rPr>
            </w:pPr>
            <w:r>
              <w:rPr>
                <w:rFonts w:hint="eastAsia" w:ascii="宋体" w:hAnsi="宋体" w:eastAsia="宋体" w:cs="宋体"/>
                <w:color w:val="auto"/>
                <w:kern w:val="2"/>
                <w:sz w:val="21"/>
                <w:szCs w:val="21"/>
                <w:highlight w:val="none"/>
              </w:rPr>
              <w:t>202</w:t>
            </w:r>
            <w:r>
              <w:rPr>
                <w:rFonts w:hint="eastAsia"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年中文纸质图书——自科类及其他图书</w:t>
            </w:r>
          </w:p>
        </w:tc>
        <w:tc>
          <w:tcPr>
            <w:tcW w:w="708" w:type="dxa"/>
            <w:tcBorders>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Cs/>
                <w:color w:val="auto"/>
                <w:szCs w:val="21"/>
                <w:highlight w:val="none"/>
              </w:rPr>
            </w:pPr>
            <w:r>
              <w:rPr>
                <w:rFonts w:hint="eastAsia" w:ascii="宋体" w:hAnsi="宋体" w:eastAsia="宋体" w:cs="宋体"/>
                <w:color w:val="auto"/>
                <w:kern w:val="2"/>
                <w:sz w:val="21"/>
                <w:szCs w:val="21"/>
                <w:highlight w:val="none"/>
                <w:lang w:val="en-US" w:eastAsia="zh-CN" w:bidi="ar"/>
              </w:rPr>
              <w:t>1</w:t>
            </w:r>
          </w:p>
        </w:tc>
        <w:tc>
          <w:tcPr>
            <w:tcW w:w="709" w:type="dxa"/>
            <w:tcBorders>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Cs/>
                <w:color w:val="auto"/>
                <w:szCs w:val="21"/>
                <w:highlight w:val="none"/>
              </w:rPr>
            </w:pPr>
            <w:r>
              <w:rPr>
                <w:rFonts w:hint="eastAsia" w:ascii="宋体" w:hAnsi="宋体" w:eastAsia="宋体" w:cs="宋体"/>
                <w:color w:val="auto"/>
                <w:kern w:val="2"/>
                <w:sz w:val="21"/>
                <w:szCs w:val="21"/>
                <w:highlight w:val="none"/>
                <w:lang w:val="en-US" w:eastAsia="zh-CN" w:bidi="ar"/>
              </w:rPr>
              <w:t>批</w:t>
            </w:r>
          </w:p>
        </w:tc>
        <w:tc>
          <w:tcPr>
            <w:tcW w:w="3119" w:type="dxa"/>
            <w:tcBorders>
              <w:right w:val="single" w:color="auto" w:sz="4" w:space="0"/>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Cs/>
                <w:color w:val="auto"/>
                <w:szCs w:val="21"/>
                <w:highlight w:val="none"/>
              </w:rPr>
            </w:pPr>
            <w:r>
              <w:rPr>
                <w:rFonts w:hint="eastAsia" w:ascii="宋体" w:hAnsi="宋体" w:eastAsia="宋体" w:cs="宋体"/>
                <w:color w:val="auto"/>
                <w:kern w:val="2"/>
                <w:sz w:val="21"/>
                <w:szCs w:val="21"/>
                <w:highlight w:val="none"/>
                <w:lang w:val="en-US" w:eastAsia="zh-CN" w:bidi="ar"/>
              </w:rPr>
              <w:t>详见第二章 采购需求</w:t>
            </w:r>
          </w:p>
        </w:tc>
        <w:tc>
          <w:tcPr>
            <w:tcW w:w="1276" w:type="dxa"/>
            <w:tcBorders>
              <w:right w:val="single" w:color="auto" w:sz="4" w:space="0"/>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二</w:t>
            </w:r>
          </w:p>
        </w:tc>
        <w:tc>
          <w:tcPr>
            <w:tcW w:w="3006" w:type="dxa"/>
            <w:tcBorders>
              <w:right w:val="single" w:color="auto" w:sz="4" w:space="0"/>
              <w:tl2br w:val="nil"/>
              <w:tr2bl w:val="nil"/>
            </w:tcBorders>
            <w:vAlign w:val="center"/>
          </w:tcPr>
          <w:p>
            <w:pPr>
              <w:pStyle w:val="109"/>
              <w:keepNext w:val="0"/>
              <w:keepLines w:val="0"/>
              <w:widowControl/>
              <w:suppressLineNumbers w:val="0"/>
              <w:ind w:left="0" w:leftChars="0" w:right="0" w:rightChars="0"/>
              <w:jc w:val="center"/>
              <w:rPr>
                <w:rFonts w:ascii="宋体" w:hAnsi="宋体" w:eastAsia="宋体" w:cs="宋体"/>
                <w:bCs/>
                <w:color w:val="auto"/>
                <w:szCs w:val="21"/>
                <w:highlight w:val="none"/>
              </w:rPr>
            </w:pPr>
            <w:r>
              <w:rPr>
                <w:rFonts w:hint="eastAsia" w:ascii="宋体" w:hAnsi="宋体" w:eastAsia="宋体" w:cs="宋体"/>
                <w:color w:val="auto"/>
                <w:kern w:val="2"/>
                <w:sz w:val="21"/>
                <w:szCs w:val="21"/>
                <w:highlight w:val="none"/>
              </w:rPr>
              <w:t>202</w:t>
            </w:r>
            <w:r>
              <w:rPr>
                <w:rFonts w:hint="eastAsia"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年中文纸质图书——社科类及其他图书</w:t>
            </w:r>
          </w:p>
        </w:tc>
        <w:tc>
          <w:tcPr>
            <w:tcW w:w="708" w:type="dxa"/>
            <w:tcBorders>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Cs/>
                <w:color w:val="auto"/>
                <w:szCs w:val="21"/>
                <w:highlight w:val="none"/>
              </w:rPr>
            </w:pPr>
            <w:r>
              <w:rPr>
                <w:rFonts w:hint="eastAsia" w:ascii="宋体" w:hAnsi="宋体" w:eastAsia="宋体" w:cs="宋体"/>
                <w:color w:val="auto"/>
                <w:kern w:val="2"/>
                <w:sz w:val="21"/>
                <w:szCs w:val="21"/>
                <w:highlight w:val="none"/>
                <w:lang w:val="en-US" w:eastAsia="zh-CN" w:bidi="ar"/>
              </w:rPr>
              <w:t>1</w:t>
            </w:r>
          </w:p>
        </w:tc>
        <w:tc>
          <w:tcPr>
            <w:tcW w:w="709" w:type="dxa"/>
            <w:tcBorders>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Cs/>
                <w:color w:val="auto"/>
                <w:szCs w:val="21"/>
                <w:highlight w:val="none"/>
              </w:rPr>
            </w:pPr>
            <w:r>
              <w:rPr>
                <w:rFonts w:hint="eastAsia" w:ascii="宋体" w:hAnsi="宋体" w:eastAsia="宋体" w:cs="宋体"/>
                <w:color w:val="auto"/>
                <w:kern w:val="2"/>
                <w:sz w:val="21"/>
                <w:szCs w:val="21"/>
                <w:highlight w:val="none"/>
                <w:lang w:val="en-US" w:eastAsia="zh-CN" w:bidi="ar"/>
              </w:rPr>
              <w:t>批</w:t>
            </w:r>
          </w:p>
        </w:tc>
        <w:tc>
          <w:tcPr>
            <w:tcW w:w="3119" w:type="dxa"/>
            <w:tcBorders>
              <w:right w:val="single" w:color="auto" w:sz="4" w:space="0"/>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Cs/>
                <w:color w:val="auto"/>
                <w:szCs w:val="21"/>
                <w:highlight w:val="none"/>
              </w:rPr>
            </w:pPr>
            <w:r>
              <w:rPr>
                <w:rFonts w:hint="eastAsia" w:ascii="宋体" w:hAnsi="宋体" w:eastAsia="宋体" w:cs="宋体"/>
                <w:color w:val="auto"/>
                <w:kern w:val="2"/>
                <w:sz w:val="21"/>
                <w:szCs w:val="21"/>
                <w:highlight w:val="none"/>
                <w:lang w:val="en-US" w:eastAsia="zh-CN" w:bidi="ar"/>
              </w:rPr>
              <w:t>详见第二章 采购需求</w:t>
            </w:r>
          </w:p>
        </w:tc>
        <w:tc>
          <w:tcPr>
            <w:tcW w:w="1276" w:type="dxa"/>
            <w:tcBorders>
              <w:right w:val="single" w:color="auto" w:sz="4" w:space="0"/>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三</w:t>
            </w:r>
          </w:p>
        </w:tc>
        <w:tc>
          <w:tcPr>
            <w:tcW w:w="3006" w:type="dxa"/>
            <w:tcBorders>
              <w:right w:val="single" w:color="auto" w:sz="4" w:space="0"/>
              <w:tl2br w:val="nil"/>
              <w:tr2bl w:val="nil"/>
            </w:tcBorders>
            <w:vAlign w:val="center"/>
          </w:tcPr>
          <w:p>
            <w:pPr>
              <w:pStyle w:val="109"/>
              <w:keepNext w:val="0"/>
              <w:keepLines w:val="0"/>
              <w:widowControl/>
              <w:suppressLineNumbers w:val="0"/>
              <w:ind w:left="0" w:leftChars="0" w:right="0" w:rightChars="0"/>
              <w:jc w:val="center"/>
              <w:rPr>
                <w:rFonts w:ascii="宋体" w:hAnsi="宋体" w:eastAsia="宋体" w:cs="宋体"/>
                <w:bCs/>
                <w:color w:val="auto"/>
                <w:szCs w:val="21"/>
                <w:highlight w:val="none"/>
              </w:rPr>
            </w:pPr>
            <w:r>
              <w:rPr>
                <w:rFonts w:hint="eastAsia" w:ascii="宋体" w:hAnsi="宋体" w:eastAsia="宋体" w:cs="宋体"/>
                <w:color w:val="auto"/>
                <w:kern w:val="2"/>
                <w:sz w:val="21"/>
                <w:szCs w:val="21"/>
                <w:highlight w:val="none"/>
              </w:rPr>
              <w:t>202</w:t>
            </w:r>
            <w:r>
              <w:rPr>
                <w:rFonts w:hint="eastAsia"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年中文纸质图书——人文类及其他图书</w:t>
            </w:r>
          </w:p>
        </w:tc>
        <w:tc>
          <w:tcPr>
            <w:tcW w:w="708" w:type="dxa"/>
            <w:tcBorders>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Cs/>
                <w:color w:val="auto"/>
                <w:szCs w:val="21"/>
                <w:highlight w:val="none"/>
              </w:rPr>
            </w:pPr>
            <w:r>
              <w:rPr>
                <w:rFonts w:hint="eastAsia" w:ascii="宋体" w:hAnsi="宋体" w:eastAsia="宋体" w:cs="宋体"/>
                <w:color w:val="auto"/>
                <w:kern w:val="2"/>
                <w:sz w:val="21"/>
                <w:szCs w:val="21"/>
                <w:highlight w:val="none"/>
                <w:lang w:val="en-US" w:eastAsia="zh-CN" w:bidi="ar"/>
              </w:rPr>
              <w:t>1</w:t>
            </w:r>
          </w:p>
        </w:tc>
        <w:tc>
          <w:tcPr>
            <w:tcW w:w="709" w:type="dxa"/>
            <w:tcBorders>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Cs/>
                <w:color w:val="auto"/>
                <w:szCs w:val="21"/>
                <w:highlight w:val="none"/>
              </w:rPr>
            </w:pPr>
            <w:r>
              <w:rPr>
                <w:rFonts w:hint="eastAsia" w:ascii="宋体" w:hAnsi="宋体" w:eastAsia="宋体" w:cs="宋体"/>
                <w:color w:val="auto"/>
                <w:kern w:val="2"/>
                <w:sz w:val="21"/>
                <w:szCs w:val="21"/>
                <w:highlight w:val="none"/>
                <w:lang w:val="en-US" w:eastAsia="zh-CN" w:bidi="ar"/>
              </w:rPr>
              <w:t>批</w:t>
            </w:r>
          </w:p>
        </w:tc>
        <w:tc>
          <w:tcPr>
            <w:tcW w:w="3119" w:type="dxa"/>
            <w:tcBorders>
              <w:right w:val="single" w:color="auto" w:sz="4" w:space="0"/>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Cs/>
                <w:color w:val="auto"/>
                <w:szCs w:val="21"/>
                <w:highlight w:val="none"/>
              </w:rPr>
            </w:pPr>
            <w:r>
              <w:rPr>
                <w:rFonts w:hint="eastAsia" w:ascii="宋体" w:hAnsi="宋体" w:eastAsia="宋体" w:cs="宋体"/>
                <w:color w:val="auto"/>
                <w:kern w:val="2"/>
                <w:sz w:val="21"/>
                <w:szCs w:val="21"/>
                <w:highlight w:val="none"/>
                <w:lang w:val="en-US" w:eastAsia="zh-CN" w:bidi="ar"/>
              </w:rPr>
              <w:t>详见第二章 采购需求</w:t>
            </w:r>
          </w:p>
        </w:tc>
        <w:tc>
          <w:tcPr>
            <w:tcW w:w="1276" w:type="dxa"/>
            <w:tcBorders>
              <w:right w:val="single" w:color="auto" w:sz="4" w:space="0"/>
              <w:tl2br w:val="nil"/>
              <w:tr2bl w:val="nil"/>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否</w:t>
            </w:r>
          </w:p>
        </w:tc>
      </w:tr>
    </w:tbl>
    <w:p>
      <w:pPr>
        <w:adjustRightInd w:val="0"/>
        <w:snapToGrid w:val="0"/>
        <w:spacing w:line="288" w:lineRule="auto"/>
        <w:rPr>
          <w:rFonts w:ascii="宋体" w:hAnsi="宋体" w:eastAsia="宋体" w:cs="宋体"/>
          <w:b/>
          <w:color w:val="auto"/>
          <w:szCs w:val="21"/>
          <w:highlight w:val="none"/>
        </w:rPr>
      </w:pPr>
      <w:bookmarkStart w:id="5" w:name="_Toc28359080"/>
      <w:bookmarkStart w:id="6" w:name="_Toc28359003"/>
      <w:bookmarkStart w:id="7" w:name="_Toc35393622"/>
      <w:bookmarkStart w:id="8" w:name="_Toc35393791"/>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r>
        <w:rPr>
          <w:rFonts w:hint="eastAsia" w:ascii="宋体" w:hAnsi="宋体" w:eastAsia="宋体" w:cs="Times New Roman"/>
          <w:color w:val="auto"/>
          <w:szCs w:val="21"/>
          <w:highlight w:val="none"/>
          <w:lang w:eastAsia="zh-CN"/>
        </w:rPr>
        <w:t>；</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3.本项目的特定资格要求：具有有效的《出版物经营许可证》</w:t>
      </w:r>
      <w:r>
        <w:rPr>
          <w:rFonts w:hint="eastAsia" w:ascii="宋体" w:hAnsi="宋体" w:eastAsia="宋体" w:cs="Times New Roman"/>
          <w:color w:val="auto"/>
          <w:szCs w:val="21"/>
          <w:highlight w:val="none"/>
          <w:lang w:eastAsia="zh-CN"/>
        </w:rPr>
        <w:t>。</w:t>
      </w:r>
    </w:p>
    <w:p>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2023年</w:t>
      </w:r>
      <w:r>
        <w:rPr>
          <w:rFonts w:hint="eastAsia" w:ascii="宋体" w:hAnsi="宋体" w:eastAsia="宋体" w:cs="Times New Roman"/>
          <w:color w:val="auto"/>
          <w:szCs w:val="21"/>
          <w:highlight w:val="none"/>
          <w:lang w:val="en-US" w:eastAsia="zh-CN"/>
        </w:rPr>
        <w:t>12</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2023年12月22日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2023年12月22日13:30:00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2023年12月22日13:30:00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w:t>
      </w:r>
      <w:bookmarkEnd w:id="18"/>
    </w:p>
    <w:bookmarkEnd w:id="17"/>
    <w:p>
      <w:pPr>
        <w:adjustRightInd w:val="0"/>
        <w:snapToGrid w:val="0"/>
        <w:spacing w:line="288" w:lineRule="auto"/>
        <w:rPr>
          <w:rFonts w:ascii="宋体" w:hAnsi="宋体" w:eastAsia="宋体" w:cs="宋体"/>
          <w:b/>
          <w:color w:val="auto"/>
          <w:szCs w:val="21"/>
          <w:highlight w:val="none"/>
        </w:rPr>
      </w:pPr>
      <w:bookmarkStart w:id="19" w:name="_Toc28359084"/>
      <w:bookmarkStart w:id="20" w:name="_Toc35393794"/>
      <w:bookmarkStart w:id="21" w:name="_Toc35393625"/>
      <w:bookmarkStart w:id="22" w:name="_Toc28359007"/>
      <w:r>
        <w:rPr>
          <w:rFonts w:hint="eastAsia" w:ascii="宋体" w:hAnsi="宋体" w:eastAsia="宋体" w:cs="宋体"/>
          <w:b/>
          <w:color w:val="auto"/>
          <w:szCs w:val="21"/>
          <w:highlight w:val="none"/>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ascii="宋体" w:hAnsi="宋体" w:eastAsia="宋体" w:cs="Times New Roman"/>
          <w:color w:val="auto"/>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ascii="宋体" w:hAnsi="宋体" w:eastAsia="宋体" w:cs="Times New Roman"/>
          <w:b/>
          <w:color w:val="auto"/>
          <w:szCs w:val="21"/>
          <w:highlight w:val="none"/>
        </w:rPr>
      </w:pPr>
      <w:bookmarkStart w:id="29" w:name="_Toc28359008"/>
      <w:bookmarkStart w:id="30" w:name="_Toc28359085"/>
      <w:bookmarkStart w:id="31" w:name="_Toc35393796"/>
      <w:bookmarkStart w:id="32" w:name="_Toc35393627"/>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名称：</w:t>
      </w:r>
      <w:r>
        <w:rPr>
          <w:rFonts w:hint="eastAsia" w:ascii="宋体" w:hAnsi="宋体" w:eastAsia="宋体" w:cs="Times New Roman"/>
          <w:color w:val="auto"/>
          <w:szCs w:val="21"/>
          <w:highlight w:val="none"/>
          <w:lang w:eastAsia="zh-CN"/>
        </w:rPr>
        <w:t>杭州电子科技大学</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项目联系人（询问）：李老师</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项目联系方式（询问）：0571-86878560</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424" w:firstLineChars="202"/>
        <w:rPr>
          <w:rFonts w:ascii="宋体" w:hAnsi="宋体" w:eastAsia="宋体" w:cs="Times New Roman"/>
          <w:color w:val="auto"/>
          <w:szCs w:val="21"/>
          <w:highlight w:val="none"/>
        </w:rPr>
      </w:pP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eastAsia="zh-CN"/>
        </w:rPr>
        <w:t>胡沁梦</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地址：杭州市上城区四季青街道新业路市民之家G03办公室</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联系人：朱女士、王女士</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监督投诉电话：0571-85252453</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pPr>
        <w:adjustRightInd w:val="0"/>
        <w:snapToGrid w:val="0"/>
        <w:spacing w:line="288" w:lineRule="auto"/>
        <w:ind w:firstLine="37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rPr>
              <w:t>采购标的对应的中小企业划分标准所属行业：</w:t>
            </w:r>
            <w:r>
              <w:rPr>
                <w:rFonts w:hint="eastAsia" w:ascii="宋体" w:hAnsi="宋体" w:eastAsia="宋体" w:cs="Times New Roman"/>
                <w:b/>
                <w:bCs/>
                <w:color w:val="auto"/>
                <w:szCs w:val="21"/>
                <w:highlight w:val="none"/>
                <w:lang w:val="en-US" w:eastAsia="zh-CN"/>
              </w:rPr>
              <w:t>工业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1.合同签订后一周内，</w:t>
            </w:r>
            <w:r>
              <w:rPr>
                <w:rFonts w:hint="eastAsia" w:ascii="宋体" w:hAnsi="宋体" w:eastAsia="宋体" w:cs="宋体"/>
                <w:color w:val="auto"/>
                <w:spacing w:val="-6"/>
                <w:kern w:val="0"/>
                <w:szCs w:val="21"/>
                <w:highlight w:val="none"/>
                <w:lang w:eastAsia="zh-CN"/>
              </w:rPr>
              <w:t>中标人</w:t>
            </w:r>
            <w:r>
              <w:rPr>
                <w:rFonts w:hint="eastAsia" w:ascii="宋体" w:hAnsi="宋体" w:eastAsia="宋体" w:cs="宋体"/>
                <w:color w:val="auto"/>
                <w:spacing w:val="-6"/>
                <w:kern w:val="0"/>
                <w:szCs w:val="21"/>
                <w:highlight w:val="none"/>
              </w:rPr>
              <w:t>向采购人提交合同总价1%的履约保证金，履约保证金在合同履约期间无违约情形的，项目验收结束后，于一周内退还（不计息）；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2.提交方式：支票、汇票、本票或金融机构、担保机构出具的保函等非现金形式或银行转账。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供应商为中小企业的，合同生效以及具备实施条件后7个工作日内，且供应商已向采购人提交银行、保险公司等金融机构出具的预付款保函的，采购人向供应商支付合同总价的40%；货物在送达采购人指定地点并经采购人验收合格后，采购人在收到发票后7个工作日内，采购人向供应商支付至当批图书总价的100%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供应商为大型企业的，合同生效以及具备实施条件后7个工作日内，且供应商已向采购人提交银行、保险公司等金融机构出具的预付款保函的，采购人向供应商支付合同总价的30%；货物在送达采购人指定地点并经采购人验收合格后，采购人在收到发票后7个工作日内，采购人向供应商支付至当批图书总价的100%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4.供应商明确表示无需预付款时，付款方式按以下要求执行：图书验收合格后6个月（遇假期顺延）内，凭用户验收单及发票，采购人向供应商支付至当批图书总价的100%。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注：中标人需提供增值税专用发票，开票信息如下：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Arial"/>
                <w:color w:val="auto"/>
                <w:kern w:val="0"/>
                <w:szCs w:val="21"/>
                <w:highlight w:val="none"/>
              </w:rPr>
            </w:pPr>
            <w:r>
              <w:rPr>
                <w:rFonts w:hint="eastAsia" w:ascii="宋体" w:hAnsi="宋体" w:eastAsia="宋体" w:cs="宋体"/>
                <w:color w:val="auto"/>
                <w:spacing w:val="-6"/>
                <w:kern w:val="0"/>
                <w:szCs w:val="21"/>
                <w:highlight w:val="none"/>
              </w:rPr>
              <w:t>银行账号：1202026209008806216</w:t>
            </w:r>
          </w:p>
        </w:tc>
      </w:tr>
      <w:bookmarkEnd w:id="35"/>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合同履行时间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自合同签订之日起至202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年12月31日</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供应商在收到采购人订单后，现货30日内交付，期货90日内交付。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采购人指定地点</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1年，自当批图书验收合格后开始计算。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在质保期内，供应商应对图书出现的质量问题负责处理解决并承担一切费用，质保期内图书质量发生问题免费予以调换。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供应商应按招标文件规定的质量标准向采购人提供未经使用的全新图书。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2.3供应商投标文件中提供的经采购人认可的图书的验收标准（符合中国有关的国家、地方、行业标准）和检测办法及相应检测手段。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3.供应商应派员在所供图书到采购人处时进行到货验收，若发现任何损坏及质量问题，供应商负责妥善处理直至采购人满意，由此产生的费用由供应商承担。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4.1所供图书符合产品标准及合同的要求；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4.3采购人要求的所有图书均已交付；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4.4所供图书已通过采购人组织的验收；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snapToGrid w:val="0"/>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（一）具体技术要求：</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1.供应商为专门从事图书经销的法人单位，有从事图书经销和数据加工业务的专业人员。近两年有供应图书并提供相应机读数据（采访、编目）的经历。</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2.供应商能通过互联网免费提供标准的新书征订书目数据和机读编目数据（数据要求参见《中国机读目录式使用手册》、《CALIS联机合作编制手册》），并且其数据须完全符合</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图书集成管理系统的格式及运行要求，提供的所有数据都能在</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系统无障碍的使用。供应商提供的征订书目内容需符合大专院校读者的要求；编目数据应比同批次送达的图书提前到馆，并达到100%的覆盖率。</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3.供应商应根据本校的订购情况建立“杭州电子科技大学图书馆预订图书数据库”，有对</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预订的图书进行查重的能力。</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可以退回由于采访数据不完整而造成错订的图书。</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4.供应商能按</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的订购书目提供未经使用的正版图书。图书来源渠道较广，经营图书品种丰富</w:t>
      </w:r>
      <w:r>
        <w:rPr>
          <w:rFonts w:hint="eastAsia" w:ascii="宋体" w:hAnsi="宋体" w:eastAsia="宋体" w:cs="宋体"/>
          <w:b/>
          <w:color w:val="auto"/>
          <w:szCs w:val="21"/>
          <w:highlight w:val="none"/>
        </w:rPr>
        <w:t>。</w:t>
      </w:r>
    </w:p>
    <w:p>
      <w:pPr>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szCs w:val="21"/>
          <w:highlight w:val="none"/>
        </w:rPr>
        <w:t>5.供应商能提供符合国家财税法律规定要求的售书发票。</w:t>
      </w:r>
    </w:p>
    <w:p>
      <w:pPr>
        <w:snapToGrid w:val="0"/>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（二）具体服务要求：</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1.供应商在收到图书订单后应及时回复，确认是否收到订单，并按</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提出的书目及包装要求，将加工好的图书及时送交到</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指定地点，为此所发生的费用全部由供应商承担。</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2.供应商必须按</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订购的图书品种、数量及时供货，除取消出版、出版变更或发生影响协议履行的不可抗力事情外，若不能按时供货的图书种数或册数超过订单订购数的20%即可认定该供应商不具备供货条件。一旦</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提出终止供货的要求，该供应商必须接受，终止供货造成的损失由供应商承担。为尽可能消除因供应商不能按协议规定要求供货所造成的影响，</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有权采取相应的补救措施（如直接向出版商邮购图书或向其他供应商补订图书），由此给</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造成的各项损失或增加的各项费用（如折扣损失、邮费、数据费、加工费）等均由违约的供应商承担。</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3.定购价格与实际价格有较大出入的；订单层次与规定不符的；单册价格昂贵（中文图书&gt;人民币200元）的；复本量过大的；特殊版本（活页、64及以下开本、随书配送磁带另外收费的）以及其他特殊情况，须经</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确认后安排采购。</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4.供应商在递交每一批图书时，同时免费提供加盖供应商公章的该批图书的清单一式两份，以及规范的机读编目数据（采用CN MARC或US MARC）及对应的EXCEL格式书目文件各一份。图书分类应采用现行（中图法）的最新版本。</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5.供应商对送交到</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的图书不能有任何质量问题。若验收时发现有污染、图文不清、缺页、倒装、缺附件等不合格的图书，以及与订单不符的图书，一律予以退货，不能以已加工为理由拒绝，由此造成的损失及费用全部由供应商承担。若发现明显不适宜</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收藏的图书，供应商应允许</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无条件退还。</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6.凡交到</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的图书，以图书定价作为计算书款的依据，经验收发现书款与发货单不符的，</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及时通知供应商派员到验收地核算，供应商接到通知之日起10个工作日内不能派员核算的，以</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验收的实际数额计算书款金额。</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7.供应商在送交图书前，应根据</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要求给每册图书加盖馆藏章（以及所附光盘、磁带等其它附件加盖相应章）和加贴16CM新安全可充消磁条。</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8.供应商应在</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提供订单后及时征订图书，并在收到订单后及时反馈预订书目收到信息。</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工作人员将每月统计一次图书到馆率。中文图书：现采图书1个月内到馆率不得低于98%；电子订单预订图书前3个月的平均到馆率不得低于90%；全年平均到馆率不得低于95%。</w:t>
      </w:r>
    </w:p>
    <w:p>
      <w:pPr>
        <w:snapToGrid w:val="0"/>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9.全加工的要求</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（1）全加工指根据</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到馆加工主要包含以下工序：拆包核对；在指定位置贴条形码（条形码由乙方提供）；进行文献分类编目（分类编目须严格遵循《中国图书分类法》第五版及新版中国机读目录格式使用手册（2012年版）有关之规则，具体要求以</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图书馆要求为准）；打印、粘贴图书书标，加透明保护膜（书标和保护膜由</w:t>
      </w: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提供）；图书典藏。</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（2）供应商不得以任何理由拒绝完成</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按工作规范提出的修改任务，</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对此种修改不承担任何费用。</w:t>
      </w:r>
    </w:p>
    <w:p>
      <w:pPr>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（3）因供应商原因，发生图书的漏编、错编、误加工等错误，供应商有义务纠正并按要求补编、改正并承担相应费用。</w:t>
      </w:r>
    </w:p>
    <w:p>
      <w:pPr>
        <w:snapToGrid w:val="0"/>
        <w:spacing w:line="288"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（三）具体商务要求：</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5"/>
        <w:gridCol w:w="1969"/>
        <w:gridCol w:w="61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78" w:hRule="atLeast"/>
        </w:trPr>
        <w:tc>
          <w:tcPr>
            <w:tcW w:w="1465" w:type="dxa"/>
            <w:vMerge w:val="restart"/>
            <w:tcBorders>
              <w:top w:val="single" w:color="auto" w:sz="4" w:space="0"/>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售后服务保障要求</w:t>
            </w: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图书质量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供应商对送交到</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的图书不能有任何质量问题。供应商能按</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的订购书目提供未经使用的正版图书。图书来源渠道较广，与全国大多数出版单位有供货关系，经营图书品种丰富。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采访书目信息的准确、覆盖程度和时效性</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供应商能提供的采访书目完整、准确，能提供与采购人专业契合度高的采访书目；书目信息的覆盖面达90%以上；提供的书目时效性强。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采访数据质量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采访数据的覆盖程度高，标准性强。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57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编目数据的完整程度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供应商能通过互联网免费提供规范的新书征订书目数据和机读编目数据（数据要求参见《中国机读目录式使用手册》、《CALIS联机合作编制手册》），并且其数据须完全符合</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图书集成管理系统的格式及运行要求，提供的所有数据都能在</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系统无障碍的使用。编目数据应比同批次送达的图书提前或同时到馆，并达到100%的覆盖率。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7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到书率</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中文图书：现采图书1个月内到馆率不得低于98%；电子订单预订图书前3个月的平均到馆率不得低于90%；全年平均到馆率不得低于95%。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对图书馆自备书目采购及自定较窄主题采购的响应速度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对图书馆自备书目采购及自定较窄主题采购能在2日内响应，并提供相应采访书目。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对书目订单的收到反馈</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收到书目订单后，能及时反馈预订书目收到信息，对单册价格较高，复本量过大，特殊开本等各种特殊情况能进行二次确认。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对订单调整要求的反应能力</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订单调整要求（退订、减少或增加订数）能在24小时内响应，并根据客户要求及时供货。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8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对未能采购图书订单的处理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中文图书现货30日、期货90日，未能到货的图书应及时反馈给</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有权采取相应的补救措施（如直接向出版商邮购图书或向其他供应商补订图书），由此给</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造成的各项损失或增加的各项费用（如折扣损失、邮费、数据费、加工费）等均由违约的供应商承担。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2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退书的处理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若验收时发现有污染、图文不清、缺页、倒装、缺附件等不合格的图书，以及与订单不符的图书，一律予以退货，不能以已加工为理由拒绝，由此造成的损失及费用全部由供应商承担。若发现明显不适宜</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收藏的图书，供应商应允许</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无条件退还。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图书包装质量、运送及时性和搬运的到位程度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提出的书目订单，将加工好的图书进行满足远距离运输、防湿和防破、装卸要求的包装后，及时送交</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，并按指定位置摆放整齐，为此所发生的费用全部由供应商承担。在到达</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指定地点前发生的不可预见的风险均由供应商负责。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trPr>
        <w:tc>
          <w:tcPr>
            <w:tcW w:w="1465" w:type="dxa"/>
            <w:vMerge w:val="continue"/>
            <w:tcBorders>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宋体" w:hAnsi="宋体" w:eastAsia="宋体" w:cs="宋体"/>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其他服务</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strike/>
                <w:color w:val="auto"/>
                <w:szCs w:val="21"/>
                <w:highlight w:val="none"/>
              </w:rPr>
            </w:pPr>
            <w:r>
              <w:rPr>
                <w:rFonts w:hint="eastAsia" w:ascii="宋体" w:hAnsi="宋体" w:eastAsia="宋体" w:cs="宋体"/>
                <w:color w:val="auto"/>
                <w:szCs w:val="21"/>
                <w:highlight w:val="none"/>
              </w:rPr>
              <w:t>配合图书馆业务提供图书宣传推广服务和引进讲座，具体视图书馆业务开展需要而定。</w:t>
            </w:r>
          </w:p>
        </w:tc>
      </w:tr>
    </w:tbl>
    <w:p>
      <w:pPr>
        <w:adjustRightInd w:val="0"/>
        <w:snapToGrid w:val="0"/>
        <w:spacing w:line="288" w:lineRule="auto"/>
        <w:rPr>
          <w:rFonts w:ascii="宋体" w:hAnsi="宋体" w:eastAsia="宋体" w:cs="Times New Roman"/>
          <w:b/>
          <w:bCs/>
          <w:color w:val="auto"/>
          <w:szCs w:val="21"/>
          <w:highlight w:val="none"/>
        </w:rPr>
      </w:pPr>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（四）报价要求：本项目采用折扣报价，图书实洋=图书码洋*供应商投标折扣，最终结算以图书实洋为准。</w:t>
      </w:r>
    </w:p>
    <w:p>
      <w:pPr>
        <w:widowControl/>
        <w:adjustRightInd w:val="0"/>
        <w:snapToGrid w:val="0"/>
        <w:spacing w:line="288" w:lineRule="auto"/>
        <w:ind w:firstLine="422" w:firstLineChars="200"/>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（五）本项目采用兼投不兼中原则（供应商可投其中任一标项，也可各标项均投），标项一、二、三的</w:t>
      </w:r>
      <w:r>
        <w:rPr>
          <w:rFonts w:hint="eastAsia" w:ascii="宋体" w:hAnsi="宋体" w:eastAsia="宋体" w:cs="Times New Roman"/>
          <w:b/>
          <w:bCs/>
          <w:color w:val="auto"/>
          <w:szCs w:val="21"/>
          <w:highlight w:val="none"/>
          <w:lang w:val="en-US" w:eastAsia="zh-CN"/>
        </w:rPr>
        <w:t>投标人</w:t>
      </w:r>
      <w:r>
        <w:rPr>
          <w:rFonts w:hint="eastAsia" w:ascii="宋体" w:hAnsi="宋体" w:eastAsia="宋体" w:cs="Times New Roman"/>
          <w:b/>
          <w:bCs/>
          <w:color w:val="auto"/>
          <w:szCs w:val="21"/>
          <w:highlight w:val="none"/>
        </w:rPr>
        <w:t>只允许</w:t>
      </w:r>
      <w:r>
        <w:rPr>
          <w:rFonts w:hint="eastAsia" w:ascii="宋体" w:hAnsi="宋体" w:eastAsia="宋体" w:cs="Times New Roman"/>
          <w:b/>
          <w:bCs/>
          <w:color w:val="auto"/>
          <w:szCs w:val="21"/>
          <w:highlight w:val="none"/>
          <w:lang w:val="en-US" w:eastAsia="zh-CN"/>
        </w:rPr>
        <w:t>中标</w:t>
      </w:r>
      <w:r>
        <w:rPr>
          <w:rFonts w:hint="eastAsia" w:ascii="宋体" w:hAnsi="宋体" w:eastAsia="宋体" w:cs="Times New Roman"/>
          <w:b/>
          <w:bCs/>
          <w:color w:val="auto"/>
          <w:szCs w:val="21"/>
          <w:highlight w:val="none"/>
        </w:rPr>
        <w:t>一个标项，标项一的第一中标候选人将不被推荐为标项二的中标候选人；标项二的第一中标候选人将不被推荐为标项三的中标候选人。</w:t>
      </w:r>
    </w:p>
    <w:p>
      <w:pPr>
        <w:widowControl/>
        <w:adjustRightInd w:val="0"/>
        <w:snapToGrid w:val="0"/>
        <w:spacing w:line="288" w:lineRule="auto"/>
        <w:ind w:firstLine="420" w:firstLineChars="20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杭州电子科技大学2024年中文图书采购</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2023年1月</w:t>
            </w:r>
            <w:r>
              <w:rPr>
                <w:rFonts w:hint="default" w:ascii="宋体" w:hAnsi="宋体" w:eastAsia="宋体"/>
                <w:color w:val="auto"/>
                <w:szCs w:val="21"/>
                <w:highlight w:val="none"/>
              </w:rPr>
              <w:t>（含）以后任意一月）</w:t>
            </w:r>
            <w:r>
              <w:rPr>
                <w:rFonts w:hint="eastAsia" w:ascii="宋体" w:hAnsi="宋体" w:eastAsia="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图书运输</w:t>
            </w:r>
            <w:r>
              <w:rPr>
                <w:rFonts w:hint="default" w:ascii="宋体" w:hAnsi="宋体" w:eastAsia="宋体"/>
                <w:color w:val="auto"/>
                <w:szCs w:val="21"/>
                <w:highlight w:val="none"/>
                <w:u w:val="singl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具有有效的《出版物经营许可证》。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eastAsia="zh-CN"/>
              </w:rPr>
              <w:t>以折扣报价</w:t>
            </w:r>
            <w:r>
              <w:rPr>
                <w:rFonts w:hint="eastAsia" w:ascii="宋体" w:hAnsi="宋体" w:eastAsia="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olor w:val="auto"/>
                <w:szCs w:val="21"/>
                <w:highlight w:val="none"/>
              </w:rPr>
            </w:pPr>
            <w:r>
              <w:rPr>
                <w:rFonts w:hint="eastAsia" w:ascii="宋体" w:hAnsi="宋体" w:eastAsia="宋体" w:cs="Times New Roman"/>
                <w:color w:val="auto"/>
                <w:kern w:val="2"/>
                <w:sz w:val="21"/>
                <w:szCs w:val="21"/>
                <w:highlight w:val="none"/>
                <w:lang w:val="en-US" w:eastAsia="zh-CN" w:bidi="ar"/>
              </w:rPr>
              <w:t>（十六）</w:t>
            </w:r>
          </w:p>
        </w:tc>
        <w:tc>
          <w:tcPr>
            <w:tcW w:w="1701" w:type="dxa"/>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olor w:val="auto"/>
                <w:szCs w:val="21"/>
                <w:highlight w:val="none"/>
              </w:rPr>
            </w:pPr>
            <w:r>
              <w:rPr>
                <w:rFonts w:hint="eastAsia" w:ascii="宋体" w:hAnsi="宋体" w:eastAsia="宋体" w:cs="Times New Roman"/>
                <w:color w:val="auto"/>
                <w:kern w:val="2"/>
                <w:sz w:val="21"/>
                <w:szCs w:val="21"/>
                <w:highlight w:val="none"/>
                <w:lang w:val="en-US" w:eastAsia="zh-CN" w:bidi="ar"/>
              </w:rPr>
              <w:t>其他说明</w:t>
            </w:r>
          </w:p>
        </w:tc>
        <w:tc>
          <w:tcPr>
            <w:tcW w:w="6663"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1.本项目涉及标的内容较多，为保证项目的顺利进行，该项目采取分标项采购。</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olor w:val="auto"/>
                <w:szCs w:val="21"/>
                <w:highlight w:val="none"/>
              </w:rPr>
            </w:pPr>
            <w:r>
              <w:rPr>
                <w:rFonts w:hint="eastAsia" w:ascii="宋体" w:hAnsi="宋体" w:eastAsia="宋体" w:cs="Times New Roman"/>
                <w:color w:val="auto"/>
                <w:kern w:val="2"/>
                <w:sz w:val="21"/>
                <w:szCs w:val="21"/>
                <w:highlight w:val="none"/>
                <w:lang w:val="en-US" w:eastAsia="zh-CN" w:bidi="ar"/>
              </w:rPr>
              <w:t>2.为保证项目的履行，保证采购人的工作效率，本项目采用兼投不兼中。</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6"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6"/>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杭州电子科技大学2024年中文图书采购</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7"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37"/>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2023年1月</w:t>
      </w:r>
      <w:r>
        <w:rPr>
          <w:rFonts w:ascii="宋体" w:hAnsi="宋体" w:eastAsia="宋体" w:cs="Times New Roman"/>
          <w:color w:val="auto"/>
          <w:spacing w:val="-6"/>
          <w:szCs w:val="21"/>
          <w:highlight w:val="none"/>
        </w:rPr>
        <w:t>（含）以后任意一月）；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图书运输</w:t>
      </w:r>
      <w:r>
        <w:rPr>
          <w:rFonts w:ascii="宋体" w:hAnsi="宋体" w:eastAsia="宋体"/>
          <w:color w:val="auto"/>
          <w:szCs w:val="21"/>
          <w:highlight w:val="none"/>
          <w:u w:val="single"/>
        </w:rPr>
        <w:t>。</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8"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38"/>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bookmarkStart w:id="39" w:name="_Hlk92273111"/>
      <w:bookmarkStart w:id="40"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3.</w:t>
      </w:r>
      <w:r>
        <w:rPr>
          <w:rFonts w:hint="eastAsia" w:ascii="宋体" w:hAnsi="宋体" w:eastAsia="宋体" w:cs="Times New Roman"/>
          <w:b/>
          <w:bCs/>
          <w:color w:val="auto"/>
          <w:spacing w:val="-6"/>
          <w:szCs w:val="21"/>
          <w:highlight w:val="none"/>
        </w:rPr>
        <w:t>支持科技创新</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4.支持中小企业发展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eastAsia="zh-CN"/>
        </w:rPr>
        <w:t>10%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eastAsia="zh-CN"/>
        </w:rPr>
        <w:t>4%</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39"/>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40"/>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2"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2"/>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3" w:name="_Hlk96329183"/>
      <w:r>
        <w:rPr>
          <w:rFonts w:hint="eastAsia" w:ascii="宋体" w:hAnsi="宋体" w:eastAsia="宋体"/>
          <w:color w:val="auto"/>
          <w:spacing w:val="-6"/>
          <w:szCs w:val="21"/>
          <w:highlight w:val="none"/>
        </w:rPr>
        <w:t>加盖公章</w:t>
      </w:r>
      <w:bookmarkEnd w:id="43"/>
      <w:r>
        <w:rPr>
          <w:rFonts w:hint="eastAsia" w:ascii="宋体" w:hAnsi="宋体" w:eastAsia="宋体"/>
          <w:color w:val="auto"/>
          <w:spacing w:val="-6"/>
          <w:szCs w:val="21"/>
          <w:highlight w:val="none"/>
        </w:rPr>
        <w:t>，投标人应写全称。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bookmarkStart w:id="44"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4"/>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以折扣报价</w:t>
      </w:r>
      <w:r>
        <w:rPr>
          <w:rFonts w:hint="eastAsia" w:ascii="宋体" w:hAnsi="宋体" w:eastAsia="宋体" w:cs="宋体"/>
          <w:color w:val="auto"/>
          <w:szCs w:val="21"/>
          <w:highlight w:val="none"/>
        </w:rPr>
        <w:t>；</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bookmarkStart w:id="45" w:name="_Hlk94018664"/>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5"/>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bookmarkStart w:id="46" w:name="_Hlk94018682"/>
      <w:r>
        <w:rPr>
          <w:rFonts w:hint="eastAsia" w:ascii="宋体" w:hAnsi="宋体" w:eastAsia="宋体" w:cs="宋体"/>
          <w:color w:val="auto"/>
          <w:szCs w:val="21"/>
          <w:highlight w:val="none"/>
        </w:rPr>
        <w:t>未响应招标文件“▲”标记条款要求的，投标无效。</w:t>
      </w:r>
    </w:p>
    <w:bookmarkEnd w:id="46"/>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7"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7"/>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pPr>
        <w:pStyle w:val="99"/>
        <w:snapToGrid w:val="0"/>
        <w:spacing w:before="0" w:line="288" w:lineRule="auto"/>
        <w:ind w:left="0" w:firstLine="424" w:firstLineChars="201"/>
        <w:rPr>
          <w:rFonts w:ascii="宋体" w:hAnsi="宋体"/>
          <w:color w:val="auto"/>
          <w:szCs w:val="21"/>
          <w:highlight w:val="none"/>
        </w:rPr>
      </w:pPr>
      <w:bookmarkStart w:id="48"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采购机构按照招标文件规定的时间通过电子交易平台组织开标，所有投标人均应当准时在线参加。投标人不足3家的，不得开标。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采购人或采购机构依据法律法规和招标文件的规定，对投标人的资格条件进行审查。</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对未通过资格审查的投标人，采购人或采购机构告知其未通过的原因。</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48"/>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pPr>
        <w:adjustRightInd w:val="0"/>
        <w:snapToGrid w:val="0"/>
        <w:spacing w:line="288" w:lineRule="auto"/>
        <w:ind w:firstLine="420" w:firstLineChars="200"/>
        <w:rPr>
          <w:rFonts w:ascii="宋体" w:hAnsi="宋体" w:eastAsia="宋体" w:cs="宋体"/>
          <w:color w:val="auto"/>
          <w:kern w:val="0"/>
          <w:szCs w:val="21"/>
          <w:highlight w:val="none"/>
        </w:rPr>
      </w:pPr>
      <w:bookmarkStart w:id="49"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49"/>
    <w:p>
      <w:pPr>
        <w:adjustRightInd w:val="0"/>
        <w:snapToGrid w:val="0"/>
        <w:spacing w:line="288" w:lineRule="auto"/>
        <w:ind w:firstLine="426" w:firstLineChars="202"/>
        <w:rPr>
          <w:rFonts w:ascii="宋体" w:hAnsi="宋体" w:eastAsia="宋体" w:cs="Arial"/>
          <w:b/>
          <w:color w:val="auto"/>
          <w:kern w:val="0"/>
          <w:szCs w:val="21"/>
          <w:highlight w:val="none"/>
        </w:rPr>
      </w:pPr>
      <w:bookmarkStart w:id="50"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评标办法</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本项目评标办法是综合评分法，具体评标内容及评标标准等详见</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第四章：评标方法和评标标准”。</w:t>
      </w:r>
    </w:p>
    <w:p>
      <w:pPr>
        <w:adjustRightInd w:val="0"/>
        <w:snapToGrid w:val="0"/>
        <w:spacing w:line="288" w:lineRule="auto"/>
        <w:ind w:firstLine="424" w:firstLineChars="202"/>
        <w:rPr>
          <w:rFonts w:ascii="宋体" w:hAnsi="宋体" w:eastAsia="宋体" w:cs="Times New Roman"/>
          <w:bCs/>
          <w:color w:val="auto"/>
          <w:spacing w:val="-6"/>
          <w:szCs w:val="21"/>
          <w:highlight w:val="none"/>
        </w:rPr>
      </w:pPr>
      <w:r>
        <w:rPr>
          <w:rFonts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highlight w:val="none"/>
        </w:rPr>
        <w:t>。本项目推荐</w:t>
      </w:r>
      <w:r>
        <w:rPr>
          <w:rFonts w:hint="eastAsia" w:ascii="宋体" w:hAnsi="宋体" w:eastAsia="宋体" w:cs="Arial"/>
          <w:color w:val="auto"/>
          <w:kern w:val="0"/>
          <w:szCs w:val="21"/>
          <w:highlight w:val="none"/>
          <w:lang w:val="en-US" w:eastAsia="zh-CN"/>
        </w:rPr>
        <w:t>2</w:t>
      </w:r>
      <w:r>
        <w:rPr>
          <w:rFonts w:hint="eastAsia" w:ascii="宋体" w:hAnsi="宋体" w:eastAsia="宋体" w:cs="Arial"/>
          <w:color w:val="auto"/>
          <w:kern w:val="0"/>
          <w:szCs w:val="21"/>
          <w:highlight w:val="none"/>
        </w:rPr>
        <w:t>名中标候选人。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0"/>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r>
        <w:rPr>
          <w:rFonts w:ascii="宋体" w:hAnsi="宋体" w:eastAsia="宋体" w:cs="Times New Roman"/>
          <w:color w:val="auto"/>
          <w:spacing w:val="-6"/>
          <w:szCs w:val="21"/>
          <w:highlight w:val="none"/>
        </w:rPr>
        <w:t>中标候选人并列的，由采购人确定中标人。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r>
              <w:rPr>
                <w:rFonts w:hint="eastAsia" w:ascii="宋体" w:hAnsi="宋体" w:eastAsia="宋体" w:cs="宋体"/>
                <w:b/>
                <w:bCs/>
                <w:color w:val="auto"/>
                <w:sz w:val="21"/>
                <w:szCs w:val="21"/>
                <w:highlight w:val="none"/>
                <w:lang w:val="en-US" w:eastAsia="zh-CN"/>
              </w:rPr>
              <w:t>35</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35</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w:t>
            </w:r>
            <w:r>
              <w:rPr>
                <w:rFonts w:hint="eastAsia" w:ascii="宋体" w:hAnsi="宋体" w:eastAsia="宋体" w:cs="宋体"/>
                <w:color w:val="auto"/>
                <w:sz w:val="21"/>
                <w:szCs w:val="21"/>
                <w:highlight w:val="none"/>
                <w:lang w:val="en-US" w:eastAsia="zh-CN"/>
              </w:rPr>
              <w:t>折扣</w:t>
            </w:r>
            <w:r>
              <w:rPr>
                <w:rFonts w:hint="eastAsia" w:ascii="宋体" w:hAnsi="宋体" w:eastAsia="宋体" w:cs="宋体"/>
                <w:color w:val="auto"/>
                <w:sz w:val="21"/>
                <w:szCs w:val="21"/>
                <w:highlight w:val="none"/>
              </w:rPr>
              <w:t>最低的投标报价为评标基准价，其他投标人的价格分按照下列公式计算：</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商务分（1</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投标人自2020年1月1日以来（以合同签订时间为准）同类合同业绩（以提供的合同复印件为准）：每提供1份合同业绩得0.5分，最高得3分。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进书渠道</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充足数量供书保障的各类出版社，提供供货合同或授权书扫描件。有以下出版社的每个得0.5分：清华大学出版社、机械工业出版社、人民邮电出版社、电子工业出版社、科学出版社、化学工业出版社、中信出版集团股份有限公司、北京大学出版社、社会科学文献出版社、人民文学出版社、中国社会科学出版社、商务印书馆、中国人民大学出版社、广西师范大学出版社、人民出版社、中国水利水电出版社、北京理工大学出版社、浙江大学出版社、国防工业出版社、高等教育出版社。最高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w:t>
            </w:r>
            <w:r>
              <w:rPr>
                <w:rFonts w:hint="eastAsia" w:ascii="宋体" w:hAnsi="宋体" w:eastAsia="宋体" w:cs="宋体"/>
                <w:b/>
                <w:bCs/>
                <w:color w:val="auto"/>
                <w:sz w:val="21"/>
                <w:szCs w:val="21"/>
                <w:highlight w:val="none"/>
                <w:lang w:val="en-US" w:eastAsia="zh-CN"/>
              </w:rPr>
              <w:t>52</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bookmarkStart w:id="58" w:name="_GoBack" w:colFirst="1" w:colLast="1"/>
            <w:r>
              <w:rPr>
                <w:rFonts w:hint="eastAsia" w:ascii="宋体" w:hAnsi="宋体" w:eastAsia="宋体" w:cs="宋体"/>
                <w:b/>
                <w:bCs/>
                <w:color w:val="auto"/>
                <w:sz w:val="21"/>
                <w:szCs w:val="21"/>
                <w:highlight w:val="none"/>
              </w:rPr>
              <w:t>现采能力</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投标人组织过一定规模的现采活动，</w:t>
            </w:r>
            <w:r>
              <w:rPr>
                <w:rFonts w:hint="eastAsia" w:ascii="宋体" w:hAnsi="宋体" w:eastAsia="宋体" w:cs="宋体"/>
                <w:color w:val="auto"/>
                <w:sz w:val="21"/>
                <w:szCs w:val="21"/>
                <w:highlight w:val="none"/>
                <w:lang w:val="en-US" w:eastAsia="zh-CN"/>
              </w:rPr>
              <w:t>具有一定的现采经验，</w:t>
            </w:r>
            <w:r>
              <w:rPr>
                <w:rFonts w:hint="eastAsia" w:ascii="宋体" w:hAnsi="宋体" w:eastAsia="宋体" w:cs="宋体"/>
                <w:color w:val="auto"/>
                <w:sz w:val="21"/>
                <w:szCs w:val="21"/>
                <w:highlight w:val="none"/>
              </w:rPr>
              <w:t>根据投标人以往现采活动组织</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情况</w:t>
            </w:r>
            <w:r>
              <w:rPr>
                <w:rFonts w:hint="eastAsia" w:ascii="宋体" w:hAnsi="宋体" w:eastAsia="宋体" w:cs="宋体"/>
                <w:color w:val="auto"/>
                <w:sz w:val="21"/>
                <w:szCs w:val="21"/>
                <w:highlight w:val="none"/>
                <w:lang w:val="en-US" w:eastAsia="zh-CN"/>
              </w:rPr>
              <w:t>综合评定（</w:t>
            </w:r>
            <w:r>
              <w:rPr>
                <w:rFonts w:hint="eastAsia" w:ascii="宋体" w:hAnsi="宋体" w:eastAsia="宋体" w:cs="宋体"/>
                <w:color w:val="auto"/>
                <w:sz w:val="21"/>
                <w:szCs w:val="21"/>
                <w:highlight w:val="none"/>
              </w:rPr>
              <w:t>提供20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年1月1日以来举办活动的场所房产证或房产租赁合同</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rPr>
              <w:t>，场地照片等材料，</w:t>
            </w:r>
            <w:r>
              <w:rPr>
                <w:rFonts w:hint="eastAsia" w:ascii="宋体" w:hAnsi="宋体" w:eastAsia="宋体" w:cs="宋体"/>
                <w:color w:val="auto"/>
                <w:sz w:val="21"/>
                <w:szCs w:val="21"/>
                <w:highlight w:val="none"/>
                <w:lang w:val="en-US" w:eastAsia="zh-CN"/>
              </w:rPr>
              <w:t>不提供不得分）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投标人后续能组织举办大型书市现采活动，得1分（提供承诺函，不提供不得分）。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67"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207"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投标人后续能在采购人所在场所组织现采活动，得1分（提供承诺函，不提供不得分）。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网站建设</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投标人拥有自建电子商务网站的得1分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提供网址和主页截图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不提供不得分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网站的实用性、便捷性、提供服务多样性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图书质量</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投标人承诺提供全新正版出版物；无破损，附件齐全</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，得2分（提供承诺函，不提供不得分）。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采访书目信息的覆盖度及时效性</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投标人采访书目</w:t>
            </w:r>
            <w:r>
              <w:rPr>
                <w:rFonts w:hint="eastAsia" w:ascii="宋体" w:hAnsi="宋体" w:eastAsia="宋体" w:cs="宋体"/>
                <w:color w:val="auto"/>
                <w:sz w:val="21"/>
                <w:szCs w:val="21"/>
                <w:highlight w:val="none"/>
                <w:lang w:val="en-US" w:eastAsia="zh-CN"/>
              </w:rPr>
              <w:t>是否</w:t>
            </w:r>
            <w:r>
              <w:rPr>
                <w:rFonts w:hint="eastAsia" w:ascii="宋体" w:hAnsi="宋体" w:eastAsia="宋体" w:cs="宋体"/>
                <w:color w:val="auto"/>
                <w:sz w:val="21"/>
                <w:szCs w:val="21"/>
                <w:highlight w:val="none"/>
              </w:rPr>
              <w:t>齐全、信息覆盖面</w:t>
            </w:r>
            <w:r>
              <w:rPr>
                <w:rFonts w:hint="eastAsia" w:ascii="宋体" w:hAnsi="宋体" w:eastAsia="宋体" w:cs="宋体"/>
                <w:color w:val="auto"/>
                <w:sz w:val="21"/>
                <w:szCs w:val="21"/>
                <w:highlight w:val="none"/>
                <w:lang w:val="en-US" w:eastAsia="zh-CN"/>
              </w:rPr>
              <w:t>是否能</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en-US" w:eastAsia="zh-CN"/>
              </w:rPr>
              <w:t>到</w:t>
            </w:r>
            <w:r>
              <w:rPr>
                <w:rFonts w:hint="eastAsia" w:ascii="宋体" w:hAnsi="宋体" w:eastAsia="宋体" w:cs="宋体"/>
                <w:color w:val="auto"/>
                <w:sz w:val="21"/>
                <w:szCs w:val="21"/>
                <w:highlight w:val="none"/>
              </w:rPr>
              <w:t>90%以上（3，2，1，0）。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采访书目时效性</w:t>
            </w:r>
            <w:r>
              <w:rPr>
                <w:rFonts w:hint="eastAsia" w:ascii="宋体" w:hAnsi="宋体" w:eastAsia="宋体" w:cs="宋体"/>
                <w:color w:val="auto"/>
                <w:sz w:val="21"/>
                <w:szCs w:val="21"/>
                <w:highlight w:val="none"/>
                <w:lang w:val="en-US" w:eastAsia="zh-CN"/>
              </w:rPr>
              <w:t>情况</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是否</w:t>
            </w:r>
            <w:r>
              <w:rPr>
                <w:rFonts w:hint="eastAsia" w:ascii="宋体" w:hAnsi="宋体" w:eastAsia="宋体" w:cs="宋体"/>
                <w:color w:val="auto"/>
                <w:sz w:val="21"/>
                <w:szCs w:val="21"/>
                <w:highlight w:val="none"/>
              </w:rPr>
              <w:t>符合</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需求，出版信息</w:t>
            </w:r>
            <w:r>
              <w:rPr>
                <w:rFonts w:hint="eastAsia" w:ascii="宋体" w:hAnsi="宋体" w:eastAsia="宋体" w:cs="宋体"/>
                <w:color w:val="auto"/>
                <w:sz w:val="21"/>
                <w:szCs w:val="21"/>
                <w:highlight w:val="none"/>
                <w:lang w:val="en-US" w:eastAsia="zh-CN"/>
              </w:rPr>
              <w:t>是否能</w:t>
            </w:r>
            <w:r>
              <w:rPr>
                <w:rFonts w:hint="eastAsia" w:ascii="宋体" w:hAnsi="宋体" w:eastAsia="宋体" w:cs="宋体"/>
                <w:color w:val="auto"/>
                <w:sz w:val="21"/>
                <w:szCs w:val="21"/>
                <w:highlight w:val="none"/>
              </w:rPr>
              <w:t>一周内送达采访员（3，2，1，0）。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投标人是否能</w:t>
            </w: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需求提供阅读排行榜、主题书单等服务（2，1，0）。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采访数据质量</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投标人采访数据是否标准、准确，符合</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要求，根据投标人的服务响应情况（3，2，1，0）。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2"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编目数据质量</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投标人承诺的编目数据质量符合要求</w:t>
            </w:r>
            <w:r>
              <w:rPr>
                <w:rFonts w:hint="eastAsia" w:ascii="宋体" w:hAnsi="宋体" w:eastAsia="宋体" w:cs="宋体"/>
                <w:color w:val="auto"/>
                <w:sz w:val="21"/>
                <w:szCs w:val="21"/>
                <w:highlight w:val="none"/>
                <w:lang w:val="en-US" w:eastAsia="zh-CN"/>
              </w:rPr>
              <w:t>情况</w:t>
            </w:r>
            <w:r>
              <w:rPr>
                <w:rFonts w:hint="eastAsia" w:ascii="宋体" w:hAnsi="宋体" w:eastAsia="宋体" w:cs="宋体"/>
                <w:color w:val="auto"/>
                <w:sz w:val="21"/>
                <w:szCs w:val="21"/>
                <w:highlight w:val="none"/>
              </w:rPr>
              <w:t>；与到馆图书的匹配程度</w:t>
            </w:r>
            <w:r>
              <w:rPr>
                <w:rFonts w:hint="eastAsia" w:ascii="宋体" w:hAnsi="宋体" w:eastAsia="宋体" w:cs="宋体"/>
                <w:color w:val="auto"/>
                <w:sz w:val="21"/>
                <w:szCs w:val="21"/>
                <w:highlight w:val="none"/>
                <w:lang w:val="en-US" w:eastAsia="zh-CN"/>
              </w:rPr>
              <w:t>是否能达到</w:t>
            </w:r>
            <w:r>
              <w:rPr>
                <w:rFonts w:hint="eastAsia" w:ascii="宋体" w:hAnsi="宋体" w:eastAsia="宋体" w:cs="宋体"/>
                <w:color w:val="auto"/>
                <w:sz w:val="21"/>
                <w:szCs w:val="21"/>
                <w:highlight w:val="none"/>
              </w:rPr>
              <w:t>100%（不漏发、错发）；与到馆图书先于或同时到达；数据质量标准、准确（</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到书率</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承诺现采、现货图书1个月内到馆率98%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以上；电子订单预订图书前3个月的平均到馆率90%（含）以上；全年平均到馆率95%（含）以上</w:t>
            </w:r>
            <w:r>
              <w:rPr>
                <w:rFonts w:hint="eastAsia" w:ascii="宋体" w:hAnsi="宋体" w:eastAsia="宋体" w:cs="宋体"/>
                <w:color w:val="auto"/>
                <w:sz w:val="21"/>
                <w:szCs w:val="21"/>
                <w:highlight w:val="none"/>
                <w:lang w:val="en-US" w:eastAsia="zh-CN"/>
              </w:rPr>
              <w:t>的，得2分（提供承诺函，不提供不得分）</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提供2020年1月至今同类项目的到货率证明材料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包括</w:t>
            </w:r>
            <w:r>
              <w:rPr>
                <w:rFonts w:hint="eastAsia" w:ascii="宋体" w:hAnsi="宋体" w:eastAsia="宋体" w:cs="宋体"/>
                <w:color w:val="auto"/>
                <w:sz w:val="21"/>
                <w:szCs w:val="21"/>
                <w:highlight w:val="none"/>
              </w:rPr>
              <w:t>采访系统截图</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（如汇文系统的订购逾期未到统计）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证明全年平均到馆率不低于95%，每提供1份证明材料得0.5分，最</w:t>
            </w:r>
            <w:r>
              <w:rPr>
                <w:rFonts w:hint="eastAsia" w:ascii="宋体" w:hAnsi="宋体" w:eastAsia="宋体" w:cs="宋体"/>
                <w:color w:val="auto"/>
                <w:sz w:val="21"/>
                <w:szCs w:val="21"/>
                <w:highlight w:val="none"/>
                <w:lang w:val="en-US" w:eastAsia="zh-CN"/>
              </w:rPr>
              <w:t>高</w:t>
            </w:r>
            <w:r>
              <w:rPr>
                <w:rFonts w:hint="eastAsia" w:ascii="宋体" w:hAnsi="宋体" w:eastAsia="宋体" w:cs="宋体"/>
                <w:color w:val="auto"/>
                <w:sz w:val="21"/>
                <w:szCs w:val="21"/>
                <w:highlight w:val="none"/>
              </w:rPr>
              <w:t>得2分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同一图书馆的证明材料不重复认定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保障图书到货率</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措施方案</w:t>
            </w:r>
            <w:r>
              <w:rPr>
                <w:rFonts w:hint="eastAsia" w:ascii="宋体" w:hAnsi="宋体" w:eastAsia="宋体" w:cs="宋体"/>
                <w:color w:val="auto"/>
                <w:sz w:val="21"/>
                <w:szCs w:val="21"/>
                <w:highlight w:val="none"/>
                <w:lang w:val="en-US" w:eastAsia="zh-CN"/>
              </w:rPr>
              <w:t>的完整性和可行性</w:t>
            </w:r>
            <w:r>
              <w:rPr>
                <w:rFonts w:hint="eastAsia" w:ascii="宋体" w:hAnsi="宋体" w:eastAsia="宋体" w:cs="宋体"/>
                <w:color w:val="auto"/>
                <w:sz w:val="21"/>
                <w:szCs w:val="21"/>
                <w:highlight w:val="none"/>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对图书馆自备书目、自定较窄主题采购的响应速度及补缺服务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投标人是否</w:t>
            </w:r>
            <w:r>
              <w:rPr>
                <w:rFonts w:hint="eastAsia" w:ascii="宋体" w:hAnsi="宋体" w:eastAsia="宋体" w:cs="宋体"/>
                <w:color w:val="auto"/>
                <w:sz w:val="21"/>
                <w:szCs w:val="21"/>
                <w:highlight w:val="none"/>
              </w:rPr>
              <w:t>具备对图书馆自备书目的采购能力，自定较窄主题采购的快速响应能力；并能提供网络购书补缺，快递送达的服务（2，1，0）。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对订单的反馈能力</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投标人是否</w:t>
            </w:r>
            <w:r>
              <w:rPr>
                <w:rFonts w:hint="eastAsia" w:ascii="宋体" w:hAnsi="宋体" w:eastAsia="宋体" w:cs="宋体"/>
                <w:color w:val="auto"/>
                <w:sz w:val="21"/>
                <w:szCs w:val="21"/>
                <w:highlight w:val="none"/>
                <w:lang w:val="en-US" w:eastAsia="zh-CN"/>
              </w:rPr>
              <w:t>能</w:t>
            </w:r>
            <w:r>
              <w:rPr>
                <w:rFonts w:hint="eastAsia" w:ascii="宋体" w:hAnsi="宋体" w:eastAsia="宋体" w:cs="宋体"/>
                <w:color w:val="auto"/>
                <w:sz w:val="21"/>
                <w:szCs w:val="21"/>
                <w:highlight w:val="none"/>
              </w:rPr>
              <w:t>及时反馈预订书目收到信息，对单册价格较高，复本量过大，特殊开本等各种特殊情况进行二次确认；已预订但因到货、出版推迟等不能及时到馆的图书，或取消出版的图书信息反馈能力、服务能力、服务态度（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订单处理的反应能力</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投标人订单处理及时性；急需订单处理能力；对已订书单因情况变化，图书馆要求减少订数或要求取消订购的反应能力、服务态度（2，1，0）。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退书的处理</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投标人对图书质量问题、与馆藏要求不符、与预订不符等原因退书的处理态度及处理速度（2，1，0）。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图书运输及装卸</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到馆图书的包装是否符合运输和方便装卸的要求，图书能否及时运送，能否搬运到指定位置（3，2，1，0）。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加工服务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投标人的图书加工整体质量保障方案的完整性和可行性（3，2，1，0）。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投标人到馆服务响应时间情况；投标人</w:t>
            </w:r>
            <w:r>
              <w:rPr>
                <w:rFonts w:hint="eastAsia" w:ascii="宋体" w:hAnsi="宋体" w:eastAsia="宋体" w:cs="宋体"/>
                <w:color w:val="auto"/>
                <w:sz w:val="21"/>
                <w:szCs w:val="21"/>
                <w:highlight w:val="none"/>
                <w:lang w:val="en-US" w:eastAsia="zh-CN"/>
              </w:rPr>
              <w:t>是否</w:t>
            </w:r>
            <w:r>
              <w:rPr>
                <w:rFonts w:hint="eastAsia" w:ascii="宋体" w:hAnsi="宋体" w:eastAsia="宋体" w:cs="宋体"/>
                <w:color w:val="auto"/>
                <w:sz w:val="21"/>
                <w:szCs w:val="21"/>
                <w:highlight w:val="none"/>
              </w:rPr>
              <w:t>有专业人员进行数据加工，保质保量完成（3，2，1，0）。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服务响应效率</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投标人服务响应效率情况（</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特色服务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投标人针对馆藏建设提供的特色服务方案的是否具有实际意义，可操作性等。为图书馆读书节等相关活动提供特色服务情况（3，2，1，0）。</w:t>
            </w:r>
          </w:p>
        </w:tc>
      </w:tr>
      <w:bookmarkEnd w:id="58"/>
    </w:tbl>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highlight w:val="none"/>
        </w:rPr>
      </w:pPr>
      <w:bookmarkStart w:id="51" w:name="_Hlk81817373"/>
      <w:bookmarkStart w:id="52"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1"/>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2"/>
    <w:p>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政府采购合同</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确认书编号：</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lang w:eastAsia="zh-CN"/>
        </w:rPr>
        <w:t>202</w:t>
      </w:r>
      <w:r>
        <w:rPr>
          <w:rFonts w:hint="eastAsia" w:ascii="宋体" w:hAnsi="宋体" w:eastAsia="宋体" w:cs="Times New Roman"/>
          <w:color w:val="auto"/>
          <w:spacing w:val="-6"/>
          <w:sz w:val="21"/>
          <w:szCs w:val="21"/>
          <w:highlight w:val="none"/>
          <w:lang w:val="en-US" w:eastAsia="zh-CN"/>
        </w:rPr>
        <w:t>3</w:t>
      </w:r>
      <w:r>
        <w:rPr>
          <w:rFonts w:hint="eastAsia" w:ascii="宋体" w:hAnsi="宋体" w:eastAsia="宋体" w:cs="Times New Roman"/>
          <w:color w:val="auto"/>
          <w:spacing w:val="-6"/>
          <w:sz w:val="21"/>
          <w:szCs w:val="21"/>
          <w:highlight w:val="none"/>
          <w:lang w:eastAsia="zh-CN"/>
        </w:rPr>
        <w:t>年</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u w:val="single"/>
          <w:lang w:val="en-US" w:eastAsia="zh-CN"/>
        </w:rPr>
        <w:t xml:space="preserve">2024年中文图书采购 </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w:t>
      </w:r>
      <w:r>
        <w:rPr>
          <w:rFonts w:hint="eastAsia" w:ascii="宋体" w:hAnsi="宋体" w:eastAsia="宋体" w:cs="宋体"/>
          <w:color w:val="auto"/>
          <w:spacing w:val="-6"/>
          <w:sz w:val="21"/>
          <w:szCs w:val="21"/>
          <w:highlight w:val="none"/>
          <w:lang w:val="en-US" w:eastAsia="zh-CN"/>
        </w:rPr>
        <w:t>标项</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lang w:val="en-US" w:eastAsia="zh-CN"/>
        </w:rPr>
        <w:t>公开招标</w:t>
      </w:r>
      <w:r>
        <w:rPr>
          <w:rFonts w:hint="eastAsia" w:ascii="宋体" w:hAnsi="宋体" w:eastAsia="宋体" w:cs="宋体"/>
          <w:color w:val="auto"/>
          <w:spacing w:val="-6"/>
          <w:sz w:val="21"/>
          <w:szCs w:val="21"/>
          <w:highlight w:val="none"/>
        </w:rPr>
        <w:t>的结果，签署本合同。</w:t>
      </w:r>
    </w:p>
    <w:p>
      <w:pPr>
        <w:keepNext w:val="0"/>
        <w:keepLines w:val="0"/>
        <w:pageBreakBefore w:val="0"/>
        <w:widowControl w:val="0"/>
        <w:kinsoku/>
        <w:wordWrap/>
        <w:overflowPunct/>
        <w:topLinePunct w:val="0"/>
        <w:autoSpaceDE/>
        <w:autoSpaceDN/>
        <w:bidi w:val="0"/>
        <w:adjustRightInd/>
        <w:snapToGrid w:val="0"/>
        <w:spacing w:before="0" w:after="0" w:line="288" w:lineRule="auto"/>
        <w:jc w:val="both"/>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第一条：具体服务要求</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在收到图书订单后应及时回复，确认是否收到订单，并按</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提出的书目及包装要求，将加工好的图书及时送交到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指定地点，为此所发生的费用全部由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必须按</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订购的图书品种、数量及时供货，除取消出版、出版变更或发生影响协议履行的不可抗力事情外，若不能按时供货的图书种数或册数超过订单订购数的20%即可认定该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不具备供货条件。一旦</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提出终止供货的要求，该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必须接受，终止供货造成的损失由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承担。为尽可能消除因</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不能按协议规定要求供货所造成的影响，</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有权采取相应的补救措施（如直接向出版商邮购图书或向其他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补订图书），由此给</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造成的各项损失或增加的各项费用（如折扣损失、邮费、数据费、加工费）等均由违约的</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3.定购价格与实际价格有较大出入的；订单层次与规定不符的；单册价格昂贵（中文图书&gt;人民币200元）的；复本量过大的；特殊版本（活页、64及以下开本、随书配送磁带另外收费的）以及其他特殊情况，须经</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确认后安排采购。</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在递交每一批图书时，同时免费提供加盖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公章的该批图书的清单一式两份，以及规范的机读编目数据（采用CN MARC或US MARC）及对应的EXCEL格式书目文件各一份。图书分类应采用现行（中图法）的最新版本。</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对送交到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的图书不能有任何质量问题。若验收时发现有污染、图文不清、缺页、倒装、缺附件等不合格的图书，以及与订单不符的图书，一律予以退货，不能以已加工为理由拒绝，由此造成的损失及费用全部由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承担。若发现明显不适宜</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收藏的图书，</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应允许</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无条件退还。</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6.凡交到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的图书，以图书定价作为计算书款的依据，经验收发现书款与发货单不符的，</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及时通知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派员到验收地核算，</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接到通知之日起10个工作日内不能派员核算的，以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验收的实际数额计算书款金额。</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在送交图书前，应根据</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要求给每册图书加盖馆藏章（以及所附光盘、磁带等其它附件加盖相应章）和加贴16CM新安全可充消磁条。</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提供订单后及时征订图书，并在收到订单后及时反馈预订书目收到信息。</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工作人员将每月统计一次图书到馆率。中文图书：现采图书1个月内到馆率不得低于98%；电子订单预订图书前3个月的平均到馆率不得低于90%；全年平均到馆率不得低于95%。</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rPr>
        <w:t>.全加工的要求</w:t>
      </w:r>
      <w:r>
        <w:rPr>
          <w:rFonts w:hint="eastAsia" w:ascii="宋体" w:hAnsi="宋体" w:eastAsia="宋体" w:cs="宋体"/>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（1）全加工指根据</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到馆加工主要包含以下工序：拆包核对；在指定位置贴条形码（条形码由乙方提供）；进行文献分类编目（分类编目须严格遵循《中国图书分类法》第五版及新版中国机读目录格式使用手册（2012年版）有关之规则，具体要求以甲方图书馆要求为准）；打印、粘贴图书书标，加透明保护膜（书标和保护膜由乙方提供）；图书典藏。</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不得以任何理由拒绝完成</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按工作规范提出的修改任务，</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对此种修改不承担任何费用。</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原因，发生图书的漏编、错编、误加工等错误，</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有义务纠正并按要求补编、改正并承担相应费用。</w:t>
      </w:r>
    </w:p>
    <w:p>
      <w:pPr>
        <w:keepNext w:val="0"/>
        <w:keepLines w:val="0"/>
        <w:pageBreakBefore w:val="0"/>
        <w:widowControl w:val="0"/>
        <w:kinsoku/>
        <w:wordWrap/>
        <w:overflowPunct/>
        <w:topLinePunct w:val="0"/>
        <w:autoSpaceDE/>
        <w:autoSpaceDN/>
        <w:bidi w:val="0"/>
        <w:adjustRightInd/>
        <w:snapToGrid w:val="0"/>
        <w:spacing w:before="0" w:after="0" w:line="288" w:lineRule="auto"/>
        <w:jc w:val="both"/>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第二条：具体商务要求</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5"/>
        <w:gridCol w:w="1969"/>
        <w:gridCol w:w="61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78" w:hRule="atLeast"/>
        </w:trPr>
        <w:tc>
          <w:tcPr>
            <w:tcW w:w="1465" w:type="dxa"/>
            <w:vMerge w:val="restart"/>
            <w:tcBorders>
              <w:top w:val="single" w:color="auto" w:sz="4" w:space="0"/>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售后服务保障要求</w:t>
            </w: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图书质量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对送交到</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的图书不能有任何质量问题。</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能按</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的订购书目提供未经使用的正版图书。图书来源渠道较广，与全国大多数出版单位有供货关系，经营图书品种丰富。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采访书目信息的准确、覆盖程度和时效性</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能提供的采访书目完整、准确，</w:t>
            </w:r>
            <w:r>
              <w:rPr>
                <w:rFonts w:hint="eastAsia" w:ascii="Times New Roman" w:hAnsi="Times New Roman" w:eastAsia="宋体" w:cs="Times New Roman"/>
                <w:color w:val="auto"/>
                <w:szCs w:val="21"/>
                <w:highlight w:val="none"/>
              </w:rPr>
              <w:t>能提供与采购人专业契合度高的采访书目</w:t>
            </w:r>
            <w:r>
              <w:rPr>
                <w:rFonts w:hint="eastAsia" w:ascii="Times New Roman" w:hAnsi="Times New Roman" w:eastAsia="宋体" w:cs="Times New Roman"/>
                <w:color w:val="auto"/>
                <w:szCs w:val="28"/>
                <w:highlight w:val="none"/>
              </w:rPr>
              <w:t>；书目信息的覆盖面达90%以上；提供的书目时效性强。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采访数据质量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采访数据的覆盖程度</w:t>
            </w:r>
            <w:r>
              <w:rPr>
                <w:rFonts w:hint="eastAsia" w:ascii="Times New Roman" w:hAnsi="Times New Roman" w:eastAsia="宋体" w:cs="Times New Roman"/>
                <w:color w:val="auto"/>
                <w:szCs w:val="28"/>
                <w:highlight w:val="none"/>
                <w:lang w:val="en-US" w:eastAsia="zh-CN"/>
              </w:rPr>
              <w:t>高，</w:t>
            </w:r>
            <w:r>
              <w:rPr>
                <w:rFonts w:hint="eastAsia" w:ascii="Times New Roman" w:hAnsi="Times New Roman" w:eastAsia="宋体" w:cs="Times New Roman"/>
                <w:color w:val="auto"/>
                <w:szCs w:val="28"/>
                <w:highlight w:val="none"/>
              </w:rPr>
              <w:t>标准性</w:t>
            </w:r>
            <w:r>
              <w:rPr>
                <w:rFonts w:hint="eastAsia" w:ascii="Times New Roman" w:hAnsi="Times New Roman" w:eastAsia="宋体" w:cs="Times New Roman"/>
                <w:color w:val="auto"/>
                <w:szCs w:val="28"/>
                <w:highlight w:val="none"/>
                <w:lang w:val="en-US" w:eastAsia="zh-CN"/>
              </w:rPr>
              <w:t>强</w:t>
            </w:r>
            <w:r>
              <w:rPr>
                <w:rFonts w:hint="eastAsia" w:ascii="Times New Roman" w:hAnsi="Times New Roman" w:eastAsia="宋体" w:cs="Times New Roman"/>
                <w:color w:val="auto"/>
                <w:szCs w:val="28"/>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57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编目数据的完整程度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能通过互联网免费提供规范的新书征订书目数据和机读编目数据（数据要求参见《中国机读目录式使用手册》、《CALIS联机合作编制手册》），并且其数据须完全符合</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图书集成管理系统的格式及运行要求，提供的所有数据都能在</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系统无障碍的使用。编目数据应比同批次送达的图书提前或同时到馆，并达到100%的覆盖率。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7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到书率</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中文图书：现采图书1个月内到馆率不得低于98%；电子订单预订图书前3个月的平均到馆率不得低于90%；全年平均到馆率不得低于95%。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对图书馆自备书目采购及自定较窄主题采购的响应速度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对图书馆自备书目采购及自定较窄主题采购能在2日内响应，并提供相应采访书目。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1"/>
                <w:highlight w:val="none"/>
              </w:rPr>
              <w:t>对书目订单的收到反馈</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1"/>
                <w:highlight w:val="none"/>
              </w:rPr>
              <w:t>收到书目订单后，能及时反馈预订书目收到信息，对单册价格较高，复本量过大，特殊开本等各种特殊情况能进行二次确认。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对订单调整要求的反应能力</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订单调整要求（退订、减少或增加订数）能在24小时内响应，并根据客户要求及时供货。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8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对未能采购图书订单的处理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中文图书现货30日、期货90日未能到货的图书应及时反馈给甲方</w:t>
            </w:r>
            <w:r>
              <w:rPr>
                <w:rFonts w:hint="eastAsia" w:ascii="Times New Roman" w:hAnsi="Times New Roman" w:eastAsia="宋体" w:cs="Times New Roman"/>
                <w:color w:val="auto"/>
                <w:szCs w:val="28"/>
                <w:highlight w:val="none"/>
              </w:rPr>
              <w:t>，</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有权采取相应的补救措施（如直接向出版商邮购图书或向其他</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补订图书），由此给</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造成的各项损失或增加的各项费用（如折扣损失、邮费、数据费、加工费）等均由违约的</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2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退书的处理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若验收时发现有污染、图文不清、缺页、倒装、缺附件等不合格的图书，以及与订单不符的图书，一律予以退货，不能以已加工为理由拒绝，由此造成的损失及费用全部由</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承担。若发现明显不适宜</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收藏的图书，</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应允许</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无条件退还。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图书包装质量、运送及时性和搬运的到位程度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根据</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提出的书目订单，将加工好的图书进行满足远距离运输、防湿和防破、装卸要求的包装后，及时送交</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，并按指定位置摆放整齐，为此所发生的费用全部由</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承担。在到达</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指定地点前发生的不可预见的风险均由</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负责。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trPr>
        <w:tc>
          <w:tcPr>
            <w:tcW w:w="1465" w:type="dxa"/>
            <w:vMerge w:val="continue"/>
            <w:tcBorders>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其他服务</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strike/>
                <w:color w:val="auto"/>
                <w:szCs w:val="28"/>
                <w:highlight w:val="none"/>
              </w:rPr>
            </w:pPr>
            <w:r>
              <w:rPr>
                <w:rFonts w:hint="eastAsia" w:ascii="Times New Roman" w:hAnsi="Times New Roman" w:eastAsia="宋体" w:cs="Times New Roman"/>
                <w:color w:val="auto"/>
                <w:szCs w:val="28"/>
                <w:highlight w:val="none"/>
              </w:rPr>
              <w:t>配合图书馆业务提供图书宣传推广服务和引进讲座，具体视图书馆业务开展需要而定。</w:t>
            </w:r>
          </w:p>
        </w:tc>
      </w:tr>
    </w:tbl>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both"/>
        <w:rPr>
          <w:rFonts w:hint="eastAsia" w:ascii="宋体" w:hAnsi="宋体" w:eastAsia="宋体" w:cs="宋体"/>
          <w:color w:val="auto"/>
          <w:kern w:val="2"/>
          <w:sz w:val="21"/>
          <w:szCs w:val="21"/>
          <w:highlight w:val="none"/>
        </w:rPr>
      </w:pPr>
    </w:p>
    <w:p>
      <w:pPr>
        <w:keepNext w:val="0"/>
        <w:keepLines w:val="0"/>
        <w:widowControl w:val="0"/>
        <w:suppressLineNumbers w:val="0"/>
        <w:spacing w:before="0" w:beforeAutospacing="0" w:after="0" w:afterAutospacing="0" w:line="288" w:lineRule="auto"/>
        <w:ind w:right="0"/>
        <w:contextualSpacing/>
        <w:jc w:val="both"/>
        <w:rPr>
          <w:rFonts w:hint="default" w:ascii="Times New Roman" w:hAnsi="Times New Roman" w:eastAsia="宋体" w:cs="Times New Roman"/>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第三条：履约保证金及付款方式</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1.合同签订后一周内，乙方向甲方提交合同总价1%的履约保证金，履约保证金在合同履约期间无违约情形的，项目验收结束后，于一周内退还（不计息）；</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2.提交方式：支票、汇票、本票或金融机构、担保机构出具的保函等非现金形式或银行转账。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注：履约保证金如采用银行转账方式提交，具体转账信息如下：</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收款单位（户名）：杭州电子科技大学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开户银行：工行高新支行</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银行账号：1202026209008806216</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付款方式</w:t>
      </w:r>
      <w:r>
        <w:rPr>
          <w:rFonts w:hint="eastAsia" w:ascii="宋体" w:hAnsi="宋体" w:eastAsia="宋体" w:cs="宋体"/>
          <w:color w:val="auto"/>
          <w:kern w:val="2"/>
          <w:sz w:val="21"/>
          <w:szCs w:val="21"/>
          <w:highlight w:val="none"/>
          <w:lang w:eastAsia="zh-CN"/>
        </w:rPr>
        <w:t>：</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rPr>
        <w:t>为中小企业的，合同生效以及具备实施条件后7个工作日内，且乙方已向</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提交银行、保险公司等金融机构出具的预付款保函的，</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向乙方支付合同总价的40%；货物在送达</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指定地点并经</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验收合格后，</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在收到发票后7个工作日内，</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向乙方支付至当批图书总价的100%。</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乙方为大型企业的，合同生效以及具备实施条件后7个工作日内，且</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已向</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提交银行、保险公司等金融机构出具的预付款保函的，</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支付合同总价的30%；货物在送达</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指定地点并经</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验收合格后，</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在收到发票后7个工作日内，</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支付至当批图书总价的100%。</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在签订合同时，</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明确表示无需预付款或者主动要求降低预付款比例的，可降低预付款比例（预付款保函同步调整）。</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明确表示无需预付款时，付款方式按以下要求执行：图书验收合格后6个月（遇假期顺延）内，凭</w:t>
      </w:r>
      <w:r>
        <w:rPr>
          <w:rFonts w:hint="eastAsia" w:ascii="宋体" w:hAnsi="宋体" w:eastAsia="宋体" w:cs="宋体"/>
          <w:color w:val="auto"/>
          <w:kern w:val="2"/>
          <w:sz w:val="21"/>
          <w:szCs w:val="21"/>
          <w:highlight w:val="none"/>
          <w:lang w:val="en-US" w:eastAsia="zh-CN"/>
        </w:rPr>
        <w:t>甲方</w:t>
      </w:r>
      <w:r>
        <w:rPr>
          <w:rFonts w:hint="eastAsia" w:ascii="宋体" w:hAnsi="宋体" w:eastAsia="宋体" w:cs="宋体"/>
          <w:color w:val="auto"/>
          <w:kern w:val="2"/>
          <w:sz w:val="21"/>
          <w:szCs w:val="21"/>
          <w:highlight w:val="none"/>
        </w:rPr>
        <w:t>验收单及发票，</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向</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支付至当批图书总价的100%。</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（5）图书书款以图书码洋的</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%折扣结算。</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rPr>
        <w:t>需提供增值税专用发票，开票信息如下：</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抬头：杭州电子科技大学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税号：12330000470009026T</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地址：杭州市下沙高教园区杭州电子科技大学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电话：0571-86915020</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开户银行：工行高新支行</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四</w:t>
      </w:r>
      <w:r>
        <w:rPr>
          <w:rFonts w:hint="eastAsia" w:ascii="宋体" w:hAnsi="宋体" w:eastAsia="宋体" w:cs="宋体"/>
          <w:b/>
          <w:color w:val="auto"/>
          <w:spacing w:val="-6"/>
          <w:sz w:val="21"/>
          <w:szCs w:val="21"/>
          <w:highlight w:val="none"/>
        </w:rPr>
        <w:t>条：违约责任</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甲方逾期支付货款的，自逾期之日起，向乙方每日偿付未付价款千分之五的滞纳金。</w:t>
      </w:r>
    </w:p>
    <w:p>
      <w:pPr>
        <w:numPr>
          <w:ilvl w:val="0"/>
          <w:numId w:val="0"/>
        </w:numPr>
        <w:tabs>
          <w:tab w:val="left" w:pos="0"/>
        </w:tabs>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如验收不能达到质量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rPr>
        <w:t>20％作为违约赔偿金。</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乙方所交的</w:t>
      </w:r>
      <w:r>
        <w:rPr>
          <w:rFonts w:hint="eastAsia" w:ascii="宋体" w:hAnsi="宋体" w:eastAsia="宋体" w:cs="宋体"/>
          <w:color w:val="auto"/>
          <w:spacing w:val="-6"/>
          <w:sz w:val="21"/>
          <w:szCs w:val="21"/>
          <w:highlight w:val="none"/>
          <w:lang w:val="en-US" w:eastAsia="zh-CN"/>
        </w:rPr>
        <w:t>图书</w:t>
      </w:r>
      <w:r>
        <w:rPr>
          <w:rFonts w:hint="eastAsia" w:ascii="宋体" w:hAnsi="宋体" w:eastAsia="宋体" w:cs="宋体"/>
          <w:color w:val="auto"/>
          <w:spacing w:val="-6"/>
          <w:sz w:val="21"/>
          <w:szCs w:val="21"/>
          <w:highlight w:val="none"/>
        </w:rPr>
        <w:t>品种、规格、质量不符合合同规定及招标文件规定标准的，甲方有权拒收该货物，乙方愿意更换图书但逾期交货的，按乙方逾期交货处理。乙方拒绝更换货物的，甲方可单方面解除合同。</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5</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6"/>
          <w:sz w:val="21"/>
          <w:szCs w:val="21"/>
          <w:highlight w:val="none"/>
          <w:lang w:val="en-US" w:eastAsia="zh-CN"/>
        </w:rPr>
        <w:t>图书</w:t>
      </w:r>
      <w:r>
        <w:rPr>
          <w:rFonts w:hint="eastAsia" w:ascii="宋体" w:hAnsi="宋体" w:eastAsia="宋体" w:cs="宋体"/>
          <w:color w:val="auto"/>
          <w:spacing w:val="-6"/>
          <w:sz w:val="21"/>
          <w:szCs w:val="21"/>
          <w:highlight w:val="none"/>
        </w:rPr>
        <w:t>错发到货地点或收货人的，乙方应负责将货物运交协议规定的到货地点或接货人，费用由乙方负责。</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6</w:t>
      </w:r>
      <w:r>
        <w:rPr>
          <w:rFonts w:hint="eastAsia" w:ascii="宋体" w:hAnsi="宋体" w:eastAsia="宋体" w:cs="宋体"/>
          <w:color w:val="auto"/>
          <w:spacing w:val="-6"/>
          <w:sz w:val="21"/>
          <w:szCs w:val="21"/>
          <w:highlight w:val="none"/>
        </w:rPr>
        <w:t>.乙方出现以下情况之一，将视为乙方违约，甲方有权终止合同(协议)，所产生的一切后果由乙方负责。</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（1）配发高价低折类图书、特价类图书；</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（2）未经甲方同意私自搭配图书；</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（3）配发盗版、盗印图书及其他非法出版物；</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（4）未按甲方要求提供承诺的加工服务，差错率高，经提醒未及时整改；</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（5）在本次招标中的承诺未能履行并经甲方提醒仍未能执行，如到书率不能满足85%以上、未到书长期不予回告等；</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（6）因触犯国家法律法规而受到有关部门调查起诉；</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（7）其他违反本协议及招标文件有关条款之行为。</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7</w:t>
      </w:r>
      <w:r>
        <w:rPr>
          <w:rFonts w:hint="eastAsia" w:ascii="宋体" w:hAnsi="宋体" w:eastAsia="宋体" w:cs="宋体"/>
          <w:color w:val="auto"/>
          <w:spacing w:val="-6"/>
          <w:sz w:val="21"/>
          <w:szCs w:val="21"/>
          <w:highlight w:val="none"/>
        </w:rPr>
        <w:t>.甲方违反协议拒绝收货或验货的，承担由此给乙方造成的损失和运输部门的相关费用。</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8</w:t>
      </w:r>
      <w:r>
        <w:rPr>
          <w:rFonts w:hint="eastAsia" w:ascii="宋体" w:hAnsi="宋体" w:eastAsia="宋体" w:cs="宋体"/>
          <w:color w:val="auto"/>
          <w:spacing w:val="-6"/>
          <w:sz w:val="21"/>
          <w:szCs w:val="21"/>
          <w:highlight w:val="none"/>
        </w:rPr>
        <w:t>.甲方错填到货地点或收货人，承担因此给乙方造成的损失。</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五</w:t>
      </w:r>
      <w:r>
        <w:rPr>
          <w:rFonts w:hint="eastAsia" w:ascii="宋体" w:hAnsi="宋体" w:eastAsia="宋体" w:cs="宋体"/>
          <w:b/>
          <w:color w:val="auto"/>
          <w:spacing w:val="-6"/>
          <w:sz w:val="21"/>
          <w:szCs w:val="21"/>
          <w:highlight w:val="none"/>
        </w:rPr>
        <w:t>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六</w:t>
      </w:r>
      <w:r>
        <w:rPr>
          <w:rFonts w:hint="eastAsia" w:ascii="宋体" w:hAnsi="宋体" w:eastAsia="宋体" w:cs="宋体"/>
          <w:b/>
          <w:color w:val="auto"/>
          <w:spacing w:val="-6"/>
          <w:sz w:val="21"/>
          <w:szCs w:val="21"/>
          <w:highlight w:val="none"/>
        </w:rPr>
        <w:t>条：争议解决</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七</w:t>
      </w:r>
      <w:r>
        <w:rPr>
          <w:rFonts w:hint="eastAsia" w:ascii="宋体" w:hAnsi="宋体" w:eastAsia="宋体" w:cs="宋体"/>
          <w:b/>
          <w:color w:val="auto"/>
          <w:spacing w:val="-6"/>
          <w:sz w:val="21"/>
          <w:szCs w:val="21"/>
          <w:highlight w:val="none"/>
        </w:rPr>
        <w:t>条：合同生效</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合同经三方法定代表人或授权代表签字并加盖单位公章后生效。</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本合同未尽事宜，遵照《民法典》有关条文执行。</w:t>
      </w:r>
    </w:p>
    <w:p>
      <w:pPr>
        <w:keepNext w:val="0"/>
        <w:keepLines w:val="0"/>
        <w:widowControl w:val="0"/>
        <w:suppressLineNumbers w:val="0"/>
        <w:spacing w:before="0" w:beforeAutospacing="0" w:after="0" w:afterAutospacing="0"/>
        <w:ind w:left="0" w:right="0" w:firstLine="396" w:firstLineChars="200"/>
        <w:jc w:val="both"/>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本合同一式五份，乙方、采购代理机构各执壹份，甲方执叁份。</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本项目的特定资格要求证明材料：具有有效的《出版物经营许可证》。</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w:t>
      </w:r>
      <w:r>
        <w:rPr>
          <w:rFonts w:ascii="宋体" w:hAnsi="宋体" w:eastAsia="宋体" w:cs="宋体"/>
          <w:bCs/>
          <w:color w:val="auto"/>
          <w:spacing w:val="-6"/>
          <w:szCs w:val="21"/>
          <w:highlight w:val="none"/>
        </w:rPr>
        <w:t>1）</w:t>
      </w: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w:t>
      </w:r>
      <w:r>
        <w:rPr>
          <w:rFonts w:hint="eastAsia" w:ascii="宋体" w:hAnsi="宋体" w:eastAsia="宋体" w:cs="宋体"/>
          <w:bCs/>
          <w:color w:val="auto"/>
          <w:spacing w:val="-6"/>
          <w:szCs w:val="21"/>
          <w:highlight w:val="none"/>
        </w:rPr>
        <w:t>材料</w:t>
      </w:r>
      <w:r>
        <w:rPr>
          <w:rFonts w:ascii="宋体" w:hAnsi="宋体" w:eastAsia="宋体" w:cs="宋体"/>
          <w:bCs/>
          <w:color w:val="auto"/>
          <w:spacing w:val="-6"/>
          <w:szCs w:val="21"/>
          <w:highlight w:val="none"/>
        </w:rPr>
        <w:t>。</w:t>
      </w:r>
    </w:p>
    <w:p>
      <w:pPr>
        <w:adjustRightInd w:val="0"/>
        <w:snapToGrid w:val="0"/>
        <w:spacing w:line="288" w:lineRule="auto"/>
        <w:jc w:val="left"/>
        <w:rPr>
          <w:rFonts w:ascii="宋体" w:hAnsi="宋体" w:eastAsia="宋体" w:cs="宋体"/>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2023年1月</w:t>
      </w:r>
      <w:r>
        <w:rPr>
          <w:rFonts w:ascii="宋体" w:hAnsi="宋体" w:eastAsia="宋体" w:cs="Times New Roman"/>
          <w:color w:val="auto"/>
          <w:spacing w:val="-6"/>
          <w:szCs w:val="21"/>
          <w:highlight w:val="none"/>
        </w:rPr>
        <w:t>（含）以后任意一月）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hint="default" w:ascii="宋体" w:hAnsi="宋体" w:eastAsia="宋体" w:cs="Times New Roman"/>
          <w:color w:val="auto"/>
          <w:spacing w:val="-6"/>
          <w:szCs w:val="21"/>
          <w:highlight w:val="none"/>
          <w:lang w:val="en-US" w:eastAsia="zh-CN"/>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5</w:t>
      </w: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服务方案</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6</w:t>
      </w:r>
      <w:r>
        <w:rPr>
          <w:rFonts w:ascii="宋体" w:hAnsi="宋体" w:eastAsia="宋体" w:cs="宋体"/>
          <w:color w:val="auto"/>
          <w:spacing w:val="-6"/>
          <w:szCs w:val="21"/>
          <w:highlight w:val="none"/>
        </w:rPr>
        <w:t>）投标人需要说明的其他文件和材料。</w:t>
      </w:r>
    </w:p>
    <w:p>
      <w:pPr>
        <w:adjustRightInd w:val="0"/>
        <w:snapToGrid w:val="0"/>
        <w:spacing w:line="288" w:lineRule="auto"/>
        <w:jc w:val="left"/>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53" w:name="_Hlk81815656"/>
      <w:r>
        <w:rPr>
          <w:rFonts w:hint="eastAsia" w:ascii="宋体" w:hAnsi="宋体" w:eastAsia="宋体" w:cs="Times New Roman"/>
          <w:color w:val="auto"/>
          <w:spacing w:val="-6"/>
          <w:szCs w:val="21"/>
          <w:highlight w:val="none"/>
        </w:rPr>
        <w:t>（若属于中小企业）</w:t>
      </w:r>
      <w:bookmarkEnd w:id="53"/>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54" w:name="_Hlk81815359"/>
      <w:r>
        <w:rPr>
          <w:rFonts w:hint="eastAsia" w:ascii="宋体" w:hAnsi="宋体" w:eastAsia="宋体" w:cs="Times New Roman"/>
          <w:color w:val="auto"/>
          <w:spacing w:val="-6"/>
          <w:szCs w:val="21"/>
          <w:highlight w:val="none"/>
        </w:rPr>
        <w:t>（若属于监狱企业）</w:t>
      </w:r>
      <w:bookmarkEnd w:id="54"/>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55" w:name="OLE_LINK13"/>
      <w:bookmarkStart w:id="56" w:name="OLE_LINK14"/>
      <w:r>
        <w:rPr>
          <w:rFonts w:hint="eastAsia" w:ascii="宋体" w:hAnsi="宋体" w:eastAsia="宋体" w:cs="Times New Roman"/>
          <w:color w:val="auto"/>
          <w:spacing w:val="-6"/>
          <w:szCs w:val="21"/>
          <w:highlight w:val="none"/>
        </w:rPr>
        <w:t>残疾人福利性单位声明函</w:t>
      </w:r>
      <w:bookmarkEnd w:id="55"/>
      <w:bookmarkEnd w:id="56"/>
      <w:bookmarkStart w:id="57" w:name="_Hlk81815372"/>
      <w:r>
        <w:rPr>
          <w:rFonts w:hint="eastAsia" w:ascii="宋体" w:hAnsi="宋体" w:eastAsia="宋体" w:cs="Times New Roman"/>
          <w:color w:val="auto"/>
          <w:spacing w:val="-6"/>
          <w:szCs w:val="21"/>
          <w:highlight w:val="none"/>
        </w:rPr>
        <w:t>（若属于残疾人福利性单位）</w:t>
      </w:r>
      <w:bookmarkEnd w:id="57"/>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pPr>
        <w:adjustRightInd w:val="0"/>
        <w:snapToGrid w:val="0"/>
        <w:spacing w:line="288" w:lineRule="auto"/>
        <w:rPr>
          <w:rFonts w:ascii="宋体" w:hAnsi="宋体" w:eastAsia="宋体" w:cs="Times New Roman"/>
          <w:bCs/>
          <w:color w:val="auto"/>
          <w:spacing w:val="-6"/>
          <w:szCs w:val="21"/>
          <w:highlight w:val="none"/>
        </w:rPr>
      </w:pP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）本项目的特定资格要求证明材料：具有有效的《出版物经营许可证》。</w:t>
      </w:r>
    </w:p>
    <w:p>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杭州电子科技大学2024年中文图书采购</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QSZB-Z(H)-B23515(GK)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杭州电子科技大学2024年中文图书采购</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QSZB-Z(H)-B23515(GK)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2023年1月</w:t>
      </w:r>
      <w:r>
        <w:rPr>
          <w:rFonts w:hint="eastAsia" w:ascii="宋体" w:hAnsi="宋体" w:eastAsia="宋体" w:cs="Times New Roman"/>
          <w:color w:val="auto"/>
          <w:spacing w:val="-6"/>
          <w:szCs w:val="21"/>
          <w:highlight w:val="none"/>
          <w:u w:val="single"/>
        </w:rPr>
        <w:t>（含）以后任意一月）。</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pPr>
        <w:adjustRightInd w:val="0"/>
        <w:snapToGrid w:val="0"/>
        <w:spacing w:line="288" w:lineRule="auto"/>
        <w:rPr>
          <w:rFonts w:ascii="Times New Roman" w:hAnsi="Times New Roman" w:eastAsia="宋体" w:cs="Times New Roman"/>
          <w:color w:val="auto"/>
          <w:szCs w:val="21"/>
          <w:highlight w:val="none"/>
        </w:rPr>
      </w:pPr>
    </w:p>
    <w:p>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2023年1月</w:t>
      </w:r>
      <w:r>
        <w:rPr>
          <w:rFonts w:hint="eastAsia" w:ascii="宋体" w:hAnsi="宋体" w:eastAsia="宋体" w:cs="Times New Roman"/>
          <w:b/>
          <w:bCs/>
          <w:color w:val="auto"/>
          <w:szCs w:val="21"/>
          <w:highlight w:val="none"/>
        </w:rPr>
        <w:t>（含）以后任意一月）</w:t>
      </w:r>
    </w:p>
    <w:p>
      <w:pPr>
        <w:rPr>
          <w:rFonts w:ascii="Times New Roman" w:hAnsi="Times New Roman" w:eastAsia="宋体" w:cs="Times New Roman"/>
          <w:color w:val="auto"/>
          <w:szCs w:val="21"/>
          <w:highlight w:val="none"/>
        </w:rPr>
      </w:pPr>
    </w:p>
    <w:p>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2024年中文图书采购</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QSZB-Z(H)-B23515(GK)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both"/>
        <w:outlineLvl w:val="2"/>
        <w:rPr>
          <w:rFonts w:hint="default" w:ascii="宋体" w:hAnsi="宋体" w:eastAsia="宋体" w:cs="宋体"/>
          <w:b/>
          <w:color w:val="auto"/>
          <w:spacing w:val="-6"/>
          <w:szCs w:val="21"/>
          <w:highlight w:val="none"/>
          <w:lang w:val="en-US" w:eastAsia="zh-CN"/>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服务方案</w:t>
      </w: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）投标人需要说明的其他文件和材料。</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2024年中文图书采购</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QSZB-Z(H)-B23515(GK)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大写：_________________________小写：_________________________</w:t>
            </w:r>
          </w:p>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p>
            <w:pPr>
              <w:keepNext w:val="0"/>
              <w:keepLines w:val="0"/>
              <w:suppressLineNumbers w:val="0"/>
              <w:spacing w:before="0" w:beforeAutospacing="0" w:after="0" w:afterAutospacing="0"/>
              <w:ind w:left="0" w:right="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单位：</w:t>
            </w:r>
            <w:r>
              <w:rPr>
                <w:rFonts w:hint="eastAsia" w:ascii="宋体" w:hAnsi="宋体" w:eastAsia="宋体" w:cs="宋体"/>
                <w:b/>
                <w:bCs/>
                <w:color w:val="auto"/>
                <w:szCs w:val="21"/>
                <w:highlight w:val="none"/>
                <w:lang w:val="en-US" w:eastAsia="zh-CN"/>
              </w:rPr>
              <w:t>%</w:t>
            </w:r>
          </w:p>
          <w:p>
            <w:pPr>
              <w:keepNext w:val="0"/>
              <w:keepLines w:val="0"/>
              <w:suppressLineNumbers w:val="0"/>
              <w:spacing w:before="0" w:beforeAutospacing="0" w:after="0" w:afterAutospacing="0" w:line="200" w:lineRule="atLeast"/>
              <w:ind w:left="0" w:right="0"/>
              <w:rPr>
                <w:rFonts w:hint="default" w:ascii="宋体" w:hAnsi="宋体" w:eastAsia="宋体" w:cs="Times New Roman"/>
                <w:color w:val="auto"/>
                <w:spacing w:val="-4"/>
                <w:szCs w:val="21"/>
                <w:highlight w:val="none"/>
              </w:rPr>
            </w:pPr>
          </w:p>
        </w:tc>
      </w:tr>
    </w:tbl>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b/>
          <w:bCs/>
          <w:color w:val="auto"/>
          <w:spacing w:val="-6"/>
          <w:szCs w:val="21"/>
          <w:highlight w:val="none"/>
        </w:rPr>
        <w:t>说明：</w:t>
      </w:r>
      <w:r>
        <w:rPr>
          <w:rFonts w:ascii="宋体" w:hAnsi="宋体" w:eastAsia="宋体" w:cs="Times New Roman"/>
          <w:b/>
          <w:bCs w:val="0"/>
          <w:color w:val="auto"/>
          <w:spacing w:val="-6"/>
          <w:szCs w:val="21"/>
          <w:highlight w:val="none"/>
        </w:rPr>
        <w:t>有关本项目实施所涉及的一切费用均计入报价。</w:t>
      </w:r>
    </w:p>
    <w:p>
      <w:pPr>
        <w:adjustRightInd w:val="0"/>
        <w:snapToGrid w:val="0"/>
        <w:spacing w:line="288" w:lineRule="auto"/>
        <w:rPr>
          <w:rFonts w:hint="eastAsia"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pPr>
        <w:adjustRightInd w:val="0"/>
        <w:snapToGrid w:val="0"/>
        <w:spacing w:line="288" w:lineRule="auto"/>
        <w:ind w:firstLine="498" w:firstLineChars="236"/>
        <w:rPr>
          <w:rFonts w:ascii="宋体" w:hAnsi="宋体" w:eastAsia="宋体" w:cs="Times New Roman"/>
          <w:b/>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rPr>
        <w:t>2024年中文图书采购</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 （标的名称）</w:t>
      </w:r>
      <w:r>
        <w:rPr>
          <w:rFonts w:ascii="宋体" w:hAnsi="宋体" w:eastAsia="宋体" w:cs="Times New Roman"/>
          <w:i w:val="0"/>
          <w:iCs w:val="0"/>
          <w:color w:val="auto"/>
          <w:szCs w:val="21"/>
          <w:highlight w:val="none"/>
        </w:rPr>
        <w:t xml:space="preserve"> ，属于（</w:t>
      </w:r>
      <w:r>
        <w:rPr>
          <w:rFonts w:ascii="宋体" w:hAnsi="宋体" w:eastAsia="宋体" w:cs="Times New Roman"/>
          <w:i w:val="0"/>
          <w:iCs w:val="0"/>
          <w:color w:val="auto"/>
          <w:szCs w:val="21"/>
          <w:highlight w:val="none"/>
          <w:u w:val="single"/>
        </w:rPr>
        <w:t>采购文件中明确的所属行业）行业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2. （标的名称）</w:t>
      </w:r>
      <w:r>
        <w:rPr>
          <w:rFonts w:ascii="宋体" w:hAnsi="宋体" w:eastAsia="宋体" w:cs="Times New Roman"/>
          <w:i w:val="0"/>
          <w:iCs w:val="0"/>
          <w:color w:val="auto"/>
          <w:szCs w:val="21"/>
          <w:highlight w:val="none"/>
        </w:rPr>
        <w:t xml:space="preserve"> ，属于（</w:t>
      </w:r>
      <w:r>
        <w:rPr>
          <w:rFonts w:ascii="宋体" w:hAnsi="宋体" w:eastAsia="宋体" w:cs="Times New Roman"/>
          <w:i w:val="0"/>
          <w:iCs w:val="0"/>
          <w:color w:val="auto"/>
          <w:szCs w:val="21"/>
          <w:highlight w:val="none"/>
          <w:u w:val="single"/>
        </w:rPr>
        <w:t>采购文件中明确的所属行业）行业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pPr>
        <w:adjustRightInd w:val="0"/>
        <w:snapToGrid w:val="0"/>
        <w:spacing w:line="288" w:lineRule="auto"/>
        <w:ind w:firstLine="495" w:firstLineChars="236"/>
        <w:rPr>
          <w:rFonts w:ascii="宋体" w:hAnsi="宋体" w:eastAsia="宋体" w:cs="Times New Roman"/>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olor w:val="auto"/>
          <w:highlight w:val="none"/>
          <w:u w:val="single"/>
        </w:rPr>
      </w:pPr>
      <w:r>
        <w:rPr>
          <w:rFonts w:ascii="宋体" w:hAnsi="宋体" w:eastAsia="宋体" w:cs="Times New Roman"/>
          <w:color w:val="auto"/>
          <w:szCs w:val="21"/>
          <w:highlight w:val="none"/>
          <w:u w:val="single"/>
        </w:rPr>
        <w:t>5.</w:t>
      </w:r>
      <w:r>
        <w:rPr>
          <w:rFonts w:hint="eastAsia" w:ascii="宋体" w:hAnsi="宋体" w:eastAsia="宋体" w:cs="Times New Roman"/>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olor w:val="auto"/>
          <w:highlight w:val="none"/>
          <w:u w:val="single"/>
        </w:rPr>
        <w:t>不享受中小企业扶持政策。</w:t>
      </w:r>
    </w:p>
    <w:p>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Times New Roman"/>
          <w:color w:val="auto"/>
          <w:szCs w:val="21"/>
          <w:highlight w:val="none"/>
          <w:u w:val="single"/>
        </w:rPr>
        <w:t>6</w:t>
      </w:r>
      <w:r>
        <w:rPr>
          <w:rFonts w:ascii="宋体" w:hAnsi="宋体" w:eastAsia="宋体" w:cs="Times New Roman"/>
          <w:color w:val="auto"/>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Cs w:val="21"/>
          <w:highlight w:val="none"/>
        </w:rPr>
      </w:pPr>
    </w:p>
    <w:p>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highlight w:val="none"/>
        </w:rPr>
      </w:pP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pPr>
        <w:snapToGrid w:val="0"/>
        <w:spacing w:line="288" w:lineRule="auto"/>
        <w:rPr>
          <w:rFonts w:ascii="宋体" w:hAnsi="宋体" w:eastAsia="宋体" w:cs="仿宋_GB2312"/>
          <w:color w:val="auto"/>
          <w:szCs w:val="21"/>
          <w:highlight w:val="none"/>
          <w:u w:val="single"/>
        </w:rPr>
      </w:pPr>
    </w:p>
    <w:p>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pPr>
        <w:snapToGrid w:val="0"/>
        <w:spacing w:line="288" w:lineRule="auto"/>
        <w:rPr>
          <w:rFonts w:ascii="宋体" w:hAnsi="宋体" w:eastAsia="宋体" w:cs="宋体"/>
          <w:b/>
          <w:bCs/>
          <w:color w:val="auto"/>
          <w:szCs w:val="21"/>
          <w:highlight w:val="none"/>
        </w:rPr>
      </w:pPr>
    </w:p>
    <w:p>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w:t>
      </w:r>
      <w:r>
        <w:rPr>
          <w:rFonts w:hint="eastAsia" w:ascii="宋体" w:hAnsi="宋体" w:eastAsia="宋体" w:cs="Arial"/>
          <w:color w:val="auto"/>
          <w:szCs w:val="21"/>
          <w:highlight w:val="none"/>
        </w:rPr>
        <w:t>所有联合体成员各方签署授权书，授权书载明的</w:t>
      </w:r>
      <w:r>
        <w:rPr>
          <w:rFonts w:hint="eastAsia" w:ascii="宋体" w:hAnsi="宋体" w:eastAsia="宋体" w:cs="仿宋_GB2312"/>
          <w:color w:val="auto"/>
          <w:kern w:val="0"/>
          <w:szCs w:val="21"/>
          <w:highlight w:val="none"/>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Times New Roman"/>
          <w:b/>
          <w:bCs/>
          <w:color w:val="auto"/>
          <w:szCs w:val="21"/>
          <w:highlight w:val="none"/>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rPr>
          <w:rFonts w:ascii="宋体" w:hAnsi="宋体" w:eastAsia="宋体" w:cs="仿宋_GB2312"/>
          <w:color w:val="auto"/>
          <w:kern w:val="0"/>
          <w:szCs w:val="21"/>
          <w:highlight w:val="none"/>
          <w:lang w:val="zh-CN"/>
        </w:rPr>
      </w:pPr>
    </w:p>
    <w:p>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pPr>
        <w:snapToGrid w:val="0"/>
        <w:spacing w:line="288" w:lineRule="auto"/>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rPr>
          <w:rFonts w:ascii="等线" w:hAnsi="等线" w:eastAsia="等线" w:cs="Times New Roman"/>
          <w:color w:val="auto"/>
          <w:highlight w:val="none"/>
        </w:rPr>
      </w:pPr>
    </w:p>
    <w:p>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5"/>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B4478D"/>
    <w:rsid w:val="01F81427"/>
    <w:rsid w:val="03F93561"/>
    <w:rsid w:val="05D34727"/>
    <w:rsid w:val="07DB5C37"/>
    <w:rsid w:val="08931933"/>
    <w:rsid w:val="0B4A1776"/>
    <w:rsid w:val="0C786503"/>
    <w:rsid w:val="0D1A04C9"/>
    <w:rsid w:val="10757130"/>
    <w:rsid w:val="112B34AD"/>
    <w:rsid w:val="11FF5827"/>
    <w:rsid w:val="13F23E69"/>
    <w:rsid w:val="18090C43"/>
    <w:rsid w:val="18FB5F15"/>
    <w:rsid w:val="1B321622"/>
    <w:rsid w:val="1F9C38D3"/>
    <w:rsid w:val="20767551"/>
    <w:rsid w:val="212705BE"/>
    <w:rsid w:val="21DB64E2"/>
    <w:rsid w:val="221C4C30"/>
    <w:rsid w:val="22A70B6C"/>
    <w:rsid w:val="23C14303"/>
    <w:rsid w:val="23FF4622"/>
    <w:rsid w:val="27432BC1"/>
    <w:rsid w:val="27F0275A"/>
    <w:rsid w:val="28580092"/>
    <w:rsid w:val="28BC23D4"/>
    <w:rsid w:val="2AA10ED5"/>
    <w:rsid w:val="2ADA0518"/>
    <w:rsid w:val="2C921974"/>
    <w:rsid w:val="2DBE14C9"/>
    <w:rsid w:val="2E19186B"/>
    <w:rsid w:val="2F6A64D8"/>
    <w:rsid w:val="30616EA9"/>
    <w:rsid w:val="31A44D82"/>
    <w:rsid w:val="32BE120D"/>
    <w:rsid w:val="330C0EF9"/>
    <w:rsid w:val="33506DE6"/>
    <w:rsid w:val="34004E73"/>
    <w:rsid w:val="35A54CED"/>
    <w:rsid w:val="37534CA7"/>
    <w:rsid w:val="37D824F1"/>
    <w:rsid w:val="3A8F0D2B"/>
    <w:rsid w:val="3B0C4DFA"/>
    <w:rsid w:val="3C4D26C6"/>
    <w:rsid w:val="3C7C7E93"/>
    <w:rsid w:val="3D044EFC"/>
    <w:rsid w:val="3E6946AD"/>
    <w:rsid w:val="3EB60CB3"/>
    <w:rsid w:val="3EC436F9"/>
    <w:rsid w:val="3F740895"/>
    <w:rsid w:val="3FB93DC6"/>
    <w:rsid w:val="402A691C"/>
    <w:rsid w:val="422E66F3"/>
    <w:rsid w:val="4275164D"/>
    <w:rsid w:val="430A3262"/>
    <w:rsid w:val="46A824B9"/>
    <w:rsid w:val="46BB170B"/>
    <w:rsid w:val="47510906"/>
    <w:rsid w:val="495D70F7"/>
    <w:rsid w:val="4B7D5F80"/>
    <w:rsid w:val="4BC66E70"/>
    <w:rsid w:val="4BF40741"/>
    <w:rsid w:val="4C5E019B"/>
    <w:rsid w:val="4F64249F"/>
    <w:rsid w:val="4F6E1200"/>
    <w:rsid w:val="4FEE189E"/>
    <w:rsid w:val="53F038EA"/>
    <w:rsid w:val="54E01333"/>
    <w:rsid w:val="59BA69E3"/>
    <w:rsid w:val="5A661DF4"/>
    <w:rsid w:val="5ACF0178"/>
    <w:rsid w:val="5C3E17F9"/>
    <w:rsid w:val="5C483ABC"/>
    <w:rsid w:val="5D3A6920"/>
    <w:rsid w:val="5D8135CC"/>
    <w:rsid w:val="600446EC"/>
    <w:rsid w:val="600D2EE6"/>
    <w:rsid w:val="621760F6"/>
    <w:rsid w:val="62246B60"/>
    <w:rsid w:val="644F1ACD"/>
    <w:rsid w:val="67060D39"/>
    <w:rsid w:val="67FF1998"/>
    <w:rsid w:val="680D1D99"/>
    <w:rsid w:val="69431270"/>
    <w:rsid w:val="6A7F4F75"/>
    <w:rsid w:val="6ACA16F9"/>
    <w:rsid w:val="6B16774A"/>
    <w:rsid w:val="6C4349E9"/>
    <w:rsid w:val="6E2D3375"/>
    <w:rsid w:val="6ECE2681"/>
    <w:rsid w:val="72340F9C"/>
    <w:rsid w:val="748A08D4"/>
    <w:rsid w:val="774152C9"/>
    <w:rsid w:val="793070F8"/>
    <w:rsid w:val="79D825C1"/>
    <w:rsid w:val="7B5D131E"/>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09">
    <w:name w:val="纯文本1"/>
    <w:basedOn w:val="1"/>
    <w:qFormat/>
    <w:uiPriority w:val="0"/>
    <w:pPr>
      <w:keepNext w:val="0"/>
      <w:keepLines w:val="0"/>
      <w:widowControl/>
      <w:suppressLineNumbers w:val="0"/>
      <w:spacing w:before="0" w:beforeAutospacing="0" w:after="0" w:afterAutospacing="0"/>
      <w:ind w:left="0" w:right="0"/>
      <w:jc w:val="left"/>
    </w:pPr>
    <w:rPr>
      <w:rFonts w:hint="eastAsia" w:ascii="宋体" w:hAnsi="Courier New" w:eastAsia="宋体" w:cs="Times New Roman"/>
      <w:kern w:val="2"/>
      <w:sz w:val="21"/>
      <w:szCs w:val="21"/>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1</Pages>
  <Words>4648</Words>
  <Characters>26496</Characters>
  <Lines>1</Lines>
  <Paragraphs>1</Paragraphs>
  <TotalTime>16</TotalTime>
  <ScaleCrop>false</ScaleCrop>
  <LinksUpToDate>false</LinksUpToDate>
  <CharactersWithSpaces>31082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2022-10-31T00:58:00Z</cp:lastPrinted>
  <dcterms:modified xsi:type="dcterms:W3CDTF">2023-12-01T03:23:23Z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