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一、工程概</w:t>
            </w:r>
            <w:r>
              <w:rPr>
                <w:rFonts w:hint="eastAsia" w:ascii="宋体" w:hAnsi="宋体" w:cs="宋体"/>
                <w:color w:val="000000"/>
                <w:szCs w:val="21"/>
                <w:highlight w:val="none"/>
              </w:rPr>
              <w:t>况：</w:t>
            </w:r>
            <w:r>
              <w:rPr>
                <w:rFonts w:hint="eastAsia" w:asciiTheme="majorEastAsia" w:hAnsiTheme="majorEastAsia" w:eastAsiaTheme="majorEastAsia"/>
                <w:lang w:val="en-US" w:eastAsia="zh-CN"/>
              </w:rPr>
              <w:t>杭州电子科技大学下沙校区二教西侧电动车加盖停车棚工程（第二次重新招标）</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杭州电子科技大学下沙校区二教西侧电动车加盖停车棚工程（</w:t>
            </w:r>
            <w:r>
              <w:rPr>
                <w:rFonts w:hint="eastAsia" w:asciiTheme="majorEastAsia" w:hAnsiTheme="majorEastAsia" w:eastAsiaTheme="majorEastAsia"/>
                <w:lang w:val="en-US" w:eastAsia="zh-CN"/>
              </w:rPr>
              <w:t>第二次</w:t>
            </w:r>
            <w:r>
              <w:rPr>
                <w:rFonts w:hint="eastAsia" w:hAnsi="宋体" w:cs="宋体"/>
              </w:rPr>
              <w:t>重新招标）</w:t>
            </w:r>
            <w:r>
              <w:rPr>
                <w:rFonts w:hint="eastAsia" w:hAnsi="宋体" w:cs="宋体"/>
                <w:lang w:val="en-US" w:eastAsia="zh-CN"/>
              </w:rPr>
              <w:t>工程量清单内所有内容，二教西侧电动车加盖停车棚、钢结构雨棚、路面和绿化工程改造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改造面积约487平方米。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bookmarkStart w:id="0" w:name="_GoBack"/>
            <w:bookmarkEnd w:id="0"/>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市政</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园林绿化</w:t>
            </w:r>
            <w:r>
              <w:rPr>
                <w:rFonts w:hint="eastAsia" w:ascii="宋体" w:hAnsi="宋体" w:cs="宋体"/>
                <w:color w:val="000000"/>
                <w:szCs w:val="21"/>
                <w:highlight w:val="none"/>
              </w:rPr>
              <w:t>工程工程量计算规范》（GB5085</w:t>
            </w: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—2013）；</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．《关于印发建设工程工程量计算规范（2013）浙江省补充规定的通知》（浙建站计﹝2013﹞63号）；</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8</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9</w:t>
            </w:r>
            <w:r>
              <w:rPr>
                <w:rFonts w:hint="eastAsia" w:ascii="宋体" w:hAnsi="宋体" w:cs="宋体"/>
                <w:color w:val="000000"/>
                <w:szCs w:val="21"/>
                <w:highlight w:val="none"/>
              </w:rPr>
              <w:t>．《浙江省建设工程计价规则》（2018版）；</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10.《关于增值税调整后我省建设工程计价依据增值税税率及有关计价调整的通知》（浙建建发[2019]92号 ）；</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12.《省建设厅关于调整建筑工程安全文明施工费的通知》（浙建建发[2022]37号）；</w:t>
            </w:r>
          </w:p>
          <w:p>
            <w:pPr>
              <w:autoSpaceDE w:val="0"/>
              <w:autoSpaceDN w:val="0"/>
              <w:adjustRightInd w:val="0"/>
              <w:spacing w:line="360" w:lineRule="auto"/>
              <w:ind w:firstLine="420"/>
              <w:rPr>
                <w:rFonts w:hint="default"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13.关于贯彻《省建设厅关于调整建筑工程安全文明施工费的通知》的通知（杭建市发[2022]54号）；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15</w:t>
            </w:r>
            <w:r>
              <w:rPr>
                <w:rFonts w:hint="eastAsia" w:ascii="宋体" w:hAnsi="宋体" w:cs="宋体"/>
                <w:color w:val="000000"/>
                <w:szCs w:val="21"/>
                <w:highlight w:val="none"/>
              </w:rPr>
              <w:t>．其他与工程项目有关的规范、标准和技术资料；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lang w:val="en-US" w:eastAsia="zh-CN"/>
              </w:rPr>
              <w:t>16</w:t>
            </w:r>
            <w:r>
              <w:rPr>
                <w:rFonts w:hint="eastAsia" w:ascii="宋体" w:hAnsi="宋体" w:cs="宋体"/>
                <w:color w:val="000000"/>
                <w:szCs w:val="21"/>
                <w:highlight w:val="none"/>
              </w:rPr>
              <w:t>．施工现场实际情况、工程特点、常规施工方案；</w:t>
            </w:r>
          </w:p>
          <w:p>
            <w:pPr>
              <w:autoSpaceDE w:val="0"/>
              <w:autoSpaceDN w:val="0"/>
              <w:adjustRightInd w:val="0"/>
              <w:spacing w:line="360" w:lineRule="auto"/>
              <w:ind w:firstLine="420"/>
              <w:rPr>
                <w:rFonts w:hint="eastAsia" w:ascii="宋体" w:hAnsi="宋体" w:cs="宋体"/>
                <w:color w:val="000000"/>
                <w:szCs w:val="21"/>
                <w:highlight w:val="none"/>
              </w:rPr>
            </w:pPr>
            <w:r>
              <w:rPr>
                <w:rFonts w:hint="eastAsia" w:ascii="宋体" w:hAnsi="宋体" w:cs="宋体"/>
                <w:color w:val="000000"/>
                <w:szCs w:val="21"/>
                <w:highlight w:val="none"/>
                <w:lang w:val="en-US" w:eastAsia="zh-CN"/>
              </w:rPr>
              <w:t>17</w:t>
            </w:r>
            <w:r>
              <w:rPr>
                <w:rFonts w:hint="eastAsia" w:ascii="宋体" w:hAnsi="宋体" w:cs="宋体"/>
                <w:color w:val="000000"/>
                <w:szCs w:val="21"/>
                <w:highlight w:val="none"/>
              </w:rPr>
              <w:t>．业主提供的设计图纸。</w:t>
            </w:r>
          </w:p>
          <w:p>
            <w:pPr>
              <w:pStyle w:val="7"/>
            </w:pP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cs="宋体"/>
                <w:color w:val="auto"/>
                <w:kern w:val="24"/>
                <w:sz w:val="21"/>
                <w:szCs w:val="21"/>
                <w:lang w:val="en-US" w:eastAsia="zh-CN"/>
              </w:rPr>
              <w:t>钢板、</w:t>
            </w:r>
            <w:r>
              <w:rPr>
                <w:rFonts w:hint="eastAsia" w:ascii="宋体" w:hAnsi="宋体" w:eastAsia="宋体" w:cs="宋体"/>
                <w:color w:val="auto"/>
                <w:kern w:val="24"/>
                <w:sz w:val="21"/>
                <w:szCs w:val="21"/>
                <w:lang w:val="en-US" w:eastAsia="zh-CN"/>
              </w:rPr>
              <w:t>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2</w:t>
            </w:r>
            <w:r>
              <w:rPr>
                <w:rFonts w:hint="eastAsia" w:ascii="宋体" w:hAnsi="宋体" w:eastAsia="宋体" w:cs="宋体"/>
                <w:color w:val="auto"/>
                <w:kern w:val="24"/>
                <w:sz w:val="21"/>
                <w:szCs w:val="21"/>
                <w:lang w:val="en-US" w:eastAsia="zh-CN"/>
              </w:rPr>
              <w:t>、</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3、停车棚车棚专用膜布材料按PVDF膜布计入；</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4、所有钢构件应探伤检测采用抛丸（喷砂）除锈，除锈等级不低于Sa2.5级，所有不作防火要求的金属构件，耐火极限均应满足大于2.5h，经除锈后，刷二道环氧富锌底漆，二道氟碳面漆（颜色甲方定）；</w:t>
            </w:r>
          </w:p>
          <w:p>
            <w:pPr>
              <w:numPr>
                <w:ilvl w:val="0"/>
                <w:numId w:val="0"/>
              </w:numPr>
              <w:spacing w:line="360" w:lineRule="auto"/>
              <w:ind w:firstLine="420" w:firstLineChars="200"/>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5、车棚专用膜材需提供检测报告；</w:t>
            </w:r>
          </w:p>
          <w:p>
            <w:pPr>
              <w:numPr>
                <w:ilvl w:val="0"/>
                <w:numId w:val="0"/>
              </w:numPr>
              <w:spacing w:line="360" w:lineRule="auto"/>
              <w:ind w:firstLine="420" w:firstLineChars="200"/>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6、</w:t>
            </w:r>
            <w:r>
              <w:rPr>
                <w:rFonts w:hint="default" w:ascii="宋体" w:hAnsi="宋体" w:cs="宋体"/>
                <w:color w:val="auto"/>
                <w:kern w:val="24"/>
                <w:sz w:val="21"/>
                <w:szCs w:val="21"/>
                <w:highlight w:val="none"/>
                <w:lang w:val="en-US" w:eastAsia="zh-CN"/>
              </w:rPr>
              <w:t>配电箱AL1/AL2/AL3内预留回路各预留30m/回路</w:t>
            </w:r>
            <w:r>
              <w:rPr>
                <w:rFonts w:hint="eastAsia" w:ascii="宋体" w:hAnsi="宋体" w:cs="宋体"/>
                <w:color w:val="auto"/>
                <w:kern w:val="24"/>
                <w:sz w:val="21"/>
                <w:szCs w:val="21"/>
                <w:highlight w:val="none"/>
                <w:lang w:val="en-US" w:eastAsia="zh-CN"/>
              </w:rPr>
              <w:t>。</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钢结构</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精工钢构、杭萧钢构、中冶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车棚专用膜布</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杜肯、法拉利、泰克斯</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LED灯具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 xml:space="preserve">杭州电子科技大学下沙校区二教西侧电动车加盖停车棚工程（第二次重新招标）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6</w:t>
                          </w:r>
                          <w:r>
                            <w:rPr>
                              <w:rFonts w:hint="eastAsia" w:ascii="宋体" w:hAnsi="宋体" w:eastAsia="宋体" w:cs="宋体"/>
                              <w:sz w:val="18"/>
                              <w:szCs w:val="18"/>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hint="eastAsia" w:ascii="宋体" w:hAnsi="宋体" w:eastAsia="宋体" w:cs="宋体"/>
                        <w:sz w:val="21"/>
                        <w:szCs w:val="21"/>
                      </w:rPr>
                    </w:pPr>
                    <w:r>
                      <w:rPr>
                        <w:rFonts w:hint="eastAsia" w:ascii="宋体" w:hAnsi="宋体" w:eastAsia="宋体" w:cs="宋体"/>
                        <w:sz w:val="18"/>
                        <w:szCs w:val="18"/>
                      </w:rPr>
                      <w:t>工程名称:</w:t>
                    </w:r>
                    <w:r>
                      <w:rPr>
                        <w:rFonts w:hint="eastAsia" w:asciiTheme="majorEastAsia" w:hAnsiTheme="majorEastAsia" w:eastAsiaTheme="majorEastAsia"/>
                        <w:sz w:val="18"/>
                        <w:szCs w:val="21"/>
                        <w:lang w:val="en-US" w:eastAsia="zh-CN"/>
                      </w:rPr>
                      <w:t xml:space="preserve">杭州电子科技大学下沙校区二教西侧电动车加盖停车棚工程（第二次重新招标）  </w:t>
                    </w:r>
                    <w:r>
                      <w:rPr>
                        <w:rFonts w:hint="eastAsia" w:ascii="宋体" w:hAnsi="宋体" w:eastAsia="宋体" w:cs="宋体"/>
                        <w:sz w:val="18"/>
                        <w:szCs w:val="18"/>
                      </w:rPr>
                      <w:t>第</w:t>
                    </w:r>
                    <w:r>
                      <w:rPr>
                        <w:rFonts w:hint="eastAsia" w:ascii="宋体" w:hAnsi="宋体" w:eastAsia="宋体" w:cs="宋体"/>
                        <w:sz w:val="18"/>
                        <w:szCs w:val="18"/>
                      </w:rPr>
                      <w:fldChar w:fldCharType="begin"/>
                    </w:r>
                    <w:r>
                      <w:rPr>
                        <w:rFonts w:hint="eastAsia" w:ascii="宋体" w:hAnsi="宋体" w:eastAsia="宋体" w:cs="宋体"/>
                        <w:sz w:val="18"/>
                        <w:szCs w:val="18"/>
                      </w:rPr>
                      <w:instrText xml:space="preserve">PAGE  \* Arabic  \* MERGEFORMAT</w:instrText>
                    </w:r>
                    <w:r>
                      <w:rPr>
                        <w:rFonts w:hint="eastAsia" w:ascii="宋体" w:hAnsi="宋体" w:eastAsia="宋体" w:cs="宋体"/>
                        <w:sz w:val="18"/>
                        <w:szCs w:val="18"/>
                      </w:rPr>
                      <w:fldChar w:fldCharType="separate"/>
                    </w:r>
                    <w:r>
                      <w:rPr>
                        <w:rFonts w:hint="eastAsia" w:ascii="宋体" w:hAnsi="宋体" w:eastAsia="宋体" w:cs="宋体"/>
                        <w:sz w:val="18"/>
                        <w:szCs w:val="18"/>
                      </w:rPr>
                      <w:t>1</w:t>
                    </w:r>
                    <w:r>
                      <w:rPr>
                        <w:rFonts w:hint="eastAsia" w:ascii="宋体" w:hAnsi="宋体" w:eastAsia="宋体" w:cs="宋体"/>
                        <w:sz w:val="18"/>
                        <w:szCs w:val="18"/>
                      </w:rPr>
                      <w:fldChar w:fldCharType="end"/>
                    </w:r>
                    <w:r>
                      <w:rPr>
                        <w:rFonts w:hint="eastAsia" w:ascii="宋体" w:hAnsi="宋体" w:eastAsia="宋体" w:cs="宋体"/>
                        <w:sz w:val="18"/>
                        <w:szCs w:val="18"/>
                      </w:rPr>
                      <w:t>页，共</w:t>
                    </w:r>
                    <w:r>
                      <w:rPr>
                        <w:rFonts w:hint="eastAsia" w:ascii="宋体" w:hAnsi="宋体" w:cs="宋体"/>
                        <w:sz w:val="18"/>
                        <w:szCs w:val="18"/>
                        <w:lang w:val="en-US" w:eastAsia="zh-CN"/>
                      </w:rPr>
                      <w:t>6</w:t>
                    </w:r>
                    <w:r>
                      <w:rPr>
                        <w:rFonts w:hint="eastAsia" w:ascii="宋体" w:hAnsi="宋体" w:eastAsia="宋体" w:cs="宋体"/>
                        <w:sz w:val="18"/>
                        <w:szCs w:val="18"/>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1D95C1E"/>
    <w:rsid w:val="03366EA6"/>
    <w:rsid w:val="0C023CE8"/>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31177A3"/>
    <w:rsid w:val="246C2EE2"/>
    <w:rsid w:val="24AB704C"/>
    <w:rsid w:val="25537BFE"/>
    <w:rsid w:val="2583364F"/>
    <w:rsid w:val="26181E3F"/>
    <w:rsid w:val="26B13726"/>
    <w:rsid w:val="27160108"/>
    <w:rsid w:val="2801460D"/>
    <w:rsid w:val="28071C69"/>
    <w:rsid w:val="28136AE6"/>
    <w:rsid w:val="28940A5E"/>
    <w:rsid w:val="2A812940"/>
    <w:rsid w:val="2AFC6642"/>
    <w:rsid w:val="2B7D5822"/>
    <w:rsid w:val="2B8D57C9"/>
    <w:rsid w:val="2C183950"/>
    <w:rsid w:val="2E6115DE"/>
    <w:rsid w:val="2EE638B2"/>
    <w:rsid w:val="2F887249"/>
    <w:rsid w:val="315546E1"/>
    <w:rsid w:val="32421F05"/>
    <w:rsid w:val="3251196A"/>
    <w:rsid w:val="32D541E9"/>
    <w:rsid w:val="344572AC"/>
    <w:rsid w:val="352031AD"/>
    <w:rsid w:val="35596F99"/>
    <w:rsid w:val="38631C99"/>
    <w:rsid w:val="38741687"/>
    <w:rsid w:val="3B464036"/>
    <w:rsid w:val="3CD46665"/>
    <w:rsid w:val="3E424B8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674EA4"/>
    <w:rsid w:val="56C63E25"/>
    <w:rsid w:val="57255D0E"/>
    <w:rsid w:val="578564E2"/>
    <w:rsid w:val="585821BA"/>
    <w:rsid w:val="587766E0"/>
    <w:rsid w:val="588C69A8"/>
    <w:rsid w:val="591F3539"/>
    <w:rsid w:val="5B2541F0"/>
    <w:rsid w:val="5C5F065B"/>
    <w:rsid w:val="5CE9261B"/>
    <w:rsid w:val="5F681F1D"/>
    <w:rsid w:val="5FDE3F8D"/>
    <w:rsid w:val="60E418C3"/>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autoRedefine/>
    <w:qFormat/>
    <w:uiPriority w:val="0"/>
    <w:rPr>
      <w:kern w:val="2"/>
      <w:sz w:val="18"/>
      <w:szCs w:val="18"/>
    </w:rPr>
  </w:style>
  <w:style w:type="character" w:customStyle="1" w:styleId="15">
    <w:name w:val="页脚 字符"/>
    <w:basedOn w:val="10"/>
    <w:link w:val="5"/>
    <w:autoRedefine/>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2022-07-05T06:43:00Z</cp:lastPrinted>
  <dcterms:modified xsi:type="dcterms:W3CDTF">2024-04-18T03:13:52Z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CC07AE87BEEE4EF0BA3A4B2C2397955B</vt:lpwstr>
  </property>
</Properties>
</file>