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spacing w:line="360" w:lineRule="auto"/>
        <w:rPr>
          <w:rFonts w:ascii="楷体" w:hAnsi="楷体" w:eastAsia="楷体"/>
          <w:b/>
          <w:spacing w:val="-6"/>
          <w:sz w:val="44"/>
          <w:szCs w:val="44"/>
          <w:highlight w:val="none"/>
        </w:rPr>
      </w:pPr>
    </w:p>
    <w:p>
      <w:pPr>
        <w:pStyle w:val="32"/>
        <w:spacing w:line="360" w:lineRule="auto"/>
        <w:rPr>
          <w:color w:val="auto"/>
          <w:highlight w:val="none"/>
        </w:rPr>
      </w:pPr>
    </w:p>
    <w:p>
      <w:pPr>
        <w:spacing w:line="360" w:lineRule="auto"/>
        <w:jc w:val="center"/>
        <w:rPr>
          <w:rFonts w:ascii="楷体" w:hAnsi="楷体" w:eastAsia="楷体"/>
          <w:b/>
          <w:spacing w:val="-6"/>
          <w:sz w:val="48"/>
          <w:szCs w:val="48"/>
          <w:highlight w:val="none"/>
        </w:rPr>
      </w:pPr>
      <w:r>
        <w:rPr>
          <w:rFonts w:hint="eastAsia" w:ascii="楷体" w:hAnsi="楷体" w:eastAsia="楷体"/>
          <w:b/>
          <w:spacing w:val="-6"/>
          <w:sz w:val="48"/>
          <w:szCs w:val="48"/>
          <w:highlight w:val="none"/>
        </w:rPr>
        <w:t>浙江求是招标代理有限公司关于</w:t>
      </w:r>
    </w:p>
    <w:p>
      <w:pPr>
        <w:spacing w:line="360" w:lineRule="auto"/>
        <w:jc w:val="center"/>
        <w:rPr>
          <w:rFonts w:hint="eastAsia" w:ascii="楷体" w:hAnsi="楷体" w:eastAsia="楷体"/>
          <w:b/>
          <w:spacing w:val="-6"/>
          <w:sz w:val="48"/>
          <w:szCs w:val="48"/>
          <w:highlight w:val="none"/>
          <w:lang w:eastAsia="zh-CN"/>
        </w:rPr>
      </w:pPr>
      <w:r>
        <w:rPr>
          <w:rFonts w:hint="eastAsia" w:ascii="楷体" w:hAnsi="楷体" w:eastAsia="楷体"/>
          <w:b/>
          <w:spacing w:val="-6"/>
          <w:sz w:val="48"/>
          <w:szCs w:val="48"/>
          <w:highlight w:val="none"/>
          <w:lang w:eastAsia="zh-CN"/>
        </w:rPr>
        <w:t>杭州电子科技大学</w:t>
      </w:r>
    </w:p>
    <w:p>
      <w:pPr>
        <w:spacing w:line="360" w:lineRule="auto"/>
        <w:jc w:val="center"/>
        <w:rPr>
          <w:rFonts w:hint="eastAsia" w:ascii="楷体" w:hAnsi="楷体" w:eastAsia="楷体"/>
          <w:b/>
          <w:spacing w:val="-6"/>
          <w:sz w:val="48"/>
          <w:szCs w:val="48"/>
          <w:highlight w:val="none"/>
          <w:lang w:eastAsia="zh-CN"/>
        </w:rPr>
      </w:pPr>
      <w:r>
        <w:rPr>
          <w:rFonts w:hint="eastAsia" w:ascii="楷体" w:hAnsi="楷体" w:eastAsia="楷体"/>
          <w:b/>
          <w:spacing w:val="-6"/>
          <w:sz w:val="48"/>
          <w:szCs w:val="48"/>
          <w:highlight w:val="none"/>
          <w:lang w:eastAsia="zh-CN"/>
        </w:rPr>
        <w:t>2023年第二期公款竞争性存放</w:t>
      </w:r>
    </w:p>
    <w:p>
      <w:pPr>
        <w:spacing w:line="360" w:lineRule="auto"/>
        <w:jc w:val="center"/>
        <w:rPr>
          <w:rFonts w:ascii="楷体" w:hAnsi="楷体" w:eastAsia="楷体"/>
          <w:b/>
          <w:sz w:val="72"/>
          <w:szCs w:val="72"/>
          <w:highlight w:val="none"/>
        </w:rPr>
      </w:pPr>
    </w:p>
    <w:p>
      <w:pPr>
        <w:spacing w:line="360" w:lineRule="auto"/>
        <w:jc w:val="center"/>
        <w:rPr>
          <w:rFonts w:ascii="楷体" w:hAnsi="楷体" w:eastAsia="楷体"/>
          <w:b/>
          <w:spacing w:val="-6"/>
          <w:sz w:val="72"/>
          <w:szCs w:val="72"/>
          <w:highlight w:val="none"/>
        </w:rPr>
      </w:pPr>
      <w:r>
        <w:rPr>
          <w:rFonts w:hint="eastAsia" w:ascii="楷体" w:hAnsi="楷体" w:eastAsia="楷体"/>
          <w:b/>
          <w:spacing w:val="-6"/>
          <w:sz w:val="72"/>
          <w:szCs w:val="72"/>
          <w:highlight w:val="none"/>
        </w:rPr>
        <w:t>招 标 文 件</w:t>
      </w:r>
    </w:p>
    <w:p>
      <w:pPr>
        <w:spacing w:line="360" w:lineRule="auto"/>
        <w:jc w:val="center"/>
        <w:rPr>
          <w:rFonts w:ascii="楷体" w:hAnsi="楷体" w:eastAsia="楷体"/>
          <w:sz w:val="44"/>
          <w:szCs w:val="44"/>
          <w:highlight w:val="none"/>
        </w:rPr>
      </w:pPr>
    </w:p>
    <w:p>
      <w:pPr>
        <w:spacing w:line="360" w:lineRule="auto"/>
        <w:rPr>
          <w:rFonts w:hint="eastAsia" w:ascii="楷体" w:hAnsi="楷体" w:eastAsia="楷体"/>
          <w:b/>
          <w:spacing w:val="-6"/>
          <w:sz w:val="30"/>
          <w:szCs w:val="30"/>
          <w:highlight w:val="none"/>
          <w:lang w:eastAsia="zh-CN"/>
        </w:rPr>
      </w:pPr>
      <w:r>
        <w:rPr>
          <w:rFonts w:hint="eastAsia" w:ascii="楷体" w:hAnsi="楷体" w:eastAsia="楷体"/>
          <w:b/>
          <w:spacing w:val="-6"/>
          <w:sz w:val="30"/>
          <w:szCs w:val="30"/>
          <w:highlight w:val="none"/>
        </w:rPr>
        <w:t>招 标 人：</w:t>
      </w:r>
      <w:r>
        <w:rPr>
          <w:rFonts w:hint="eastAsia" w:ascii="楷体" w:hAnsi="楷体" w:eastAsia="楷体"/>
          <w:b/>
          <w:spacing w:val="-6"/>
          <w:sz w:val="30"/>
          <w:szCs w:val="30"/>
          <w:highlight w:val="none"/>
          <w:lang w:eastAsia="zh-CN"/>
        </w:rPr>
        <w:t>杭州电子科技大学</w:t>
      </w:r>
    </w:p>
    <w:p>
      <w:pPr>
        <w:spacing w:line="360" w:lineRule="auto"/>
        <w:rPr>
          <w:rFonts w:hint="eastAsia" w:ascii="楷体" w:hAnsi="楷体" w:eastAsia="楷体"/>
          <w:b/>
          <w:spacing w:val="-6"/>
          <w:sz w:val="30"/>
          <w:szCs w:val="30"/>
          <w:highlight w:val="none"/>
          <w:lang w:eastAsia="zh-CN"/>
        </w:rPr>
      </w:pPr>
      <w:r>
        <w:rPr>
          <w:rFonts w:hint="eastAsia" w:ascii="楷体" w:hAnsi="楷体" w:eastAsia="楷体"/>
          <w:b/>
          <w:spacing w:val="-6"/>
          <w:sz w:val="30"/>
          <w:szCs w:val="30"/>
          <w:highlight w:val="none"/>
        </w:rPr>
        <w:t>招标项目名称：</w:t>
      </w:r>
      <w:r>
        <w:rPr>
          <w:rFonts w:hint="eastAsia" w:ascii="楷体" w:hAnsi="楷体" w:eastAsia="楷体"/>
          <w:b/>
          <w:spacing w:val="-6"/>
          <w:sz w:val="30"/>
          <w:szCs w:val="30"/>
          <w:highlight w:val="none"/>
          <w:lang w:eastAsia="zh-CN"/>
        </w:rPr>
        <w:t>2023年第二期公款竞争性存放</w:t>
      </w:r>
    </w:p>
    <w:p>
      <w:pPr>
        <w:spacing w:line="360" w:lineRule="auto"/>
        <w:rPr>
          <w:rFonts w:hint="eastAsia" w:ascii="楷体" w:hAnsi="楷体" w:eastAsia="楷体"/>
          <w:b/>
          <w:spacing w:val="-6"/>
          <w:sz w:val="30"/>
          <w:szCs w:val="30"/>
          <w:highlight w:val="none"/>
          <w:lang w:eastAsia="zh-CN"/>
        </w:rPr>
      </w:pPr>
      <w:r>
        <w:rPr>
          <w:rFonts w:hint="eastAsia" w:ascii="楷体" w:hAnsi="楷体" w:eastAsia="楷体"/>
          <w:b/>
          <w:spacing w:val="-6"/>
          <w:sz w:val="30"/>
          <w:szCs w:val="30"/>
          <w:highlight w:val="none"/>
        </w:rPr>
        <w:t>招标项目编号：</w:t>
      </w:r>
      <w:r>
        <w:rPr>
          <w:rFonts w:hint="eastAsia" w:ascii="楷体" w:hAnsi="楷体" w:eastAsia="楷体"/>
          <w:b/>
          <w:spacing w:val="-6"/>
          <w:sz w:val="30"/>
          <w:szCs w:val="30"/>
          <w:highlight w:val="none"/>
          <w:lang w:eastAsia="zh-CN"/>
        </w:rPr>
        <w:t>QSZB-F(F)-B23070(GK)</w:t>
      </w:r>
    </w:p>
    <w:p>
      <w:pPr>
        <w:spacing w:line="360" w:lineRule="auto"/>
        <w:rPr>
          <w:rFonts w:ascii="楷体" w:hAnsi="楷体" w:eastAsia="楷体"/>
          <w:b/>
          <w:spacing w:val="-6"/>
          <w:sz w:val="30"/>
          <w:szCs w:val="30"/>
          <w:highlight w:val="none"/>
        </w:rPr>
      </w:pPr>
      <w:r>
        <w:rPr>
          <w:rFonts w:hint="eastAsia" w:ascii="楷体" w:hAnsi="楷体" w:eastAsia="楷体"/>
          <w:b/>
          <w:spacing w:val="-6"/>
          <w:sz w:val="30"/>
          <w:szCs w:val="30"/>
          <w:highlight w:val="none"/>
        </w:rPr>
        <w:t>招标代理机构：浙江求是招标代理有限公司</w:t>
      </w:r>
    </w:p>
    <w:p>
      <w:pPr>
        <w:spacing w:line="360" w:lineRule="auto"/>
        <w:rPr>
          <w:rFonts w:ascii="楷体" w:hAnsi="楷体" w:eastAsia="楷体"/>
          <w:b/>
          <w:sz w:val="21"/>
          <w:szCs w:val="21"/>
          <w:highlight w:val="none"/>
        </w:rPr>
        <w:sectPr>
          <w:headerReference r:id="rId3" w:type="default"/>
          <w:footerReference r:id="rId4" w:type="default"/>
          <w:pgSz w:w="11906" w:h="16838"/>
          <w:pgMar w:top="1247" w:right="1247" w:bottom="1247" w:left="1247" w:header="0" w:footer="850" w:gutter="0"/>
          <w:pgNumType w:start="1"/>
          <w:cols w:space="720" w:num="1"/>
          <w:docGrid w:linePitch="381" w:charSpace="0"/>
        </w:sectPr>
      </w:pPr>
    </w:p>
    <w:p>
      <w:pPr>
        <w:pStyle w:val="32"/>
        <w:spacing w:line="360" w:lineRule="auto"/>
        <w:rPr>
          <w:color w:val="auto"/>
          <w:highlight w:val="none"/>
        </w:rPr>
      </w:pPr>
    </w:p>
    <w:p>
      <w:pPr>
        <w:pStyle w:val="12"/>
        <w:spacing w:beforeLines="0" w:afterLines="0" w:line="360" w:lineRule="auto"/>
        <w:jc w:val="center"/>
        <w:rPr>
          <w:rFonts w:ascii="楷体" w:hAnsi="楷体" w:eastAsia="楷体"/>
          <w:b/>
          <w:sz w:val="30"/>
          <w:szCs w:val="30"/>
          <w:highlight w:val="none"/>
        </w:rPr>
      </w:pPr>
      <w:r>
        <w:rPr>
          <w:rFonts w:ascii="楷体" w:hAnsi="楷体" w:eastAsia="楷体"/>
          <w:b/>
          <w:sz w:val="30"/>
          <w:szCs w:val="30"/>
          <w:highlight w:val="none"/>
        </w:rPr>
        <w:t>目录</w:t>
      </w:r>
    </w:p>
    <w:p>
      <w:pPr>
        <w:pStyle w:val="12"/>
        <w:spacing w:beforeLines="0" w:afterLines="0" w:line="360" w:lineRule="auto"/>
        <w:jc w:val="center"/>
        <w:rPr>
          <w:rFonts w:ascii="楷体" w:hAnsi="楷体" w:eastAsia="楷体"/>
          <w:b/>
          <w:sz w:val="30"/>
          <w:szCs w:val="30"/>
          <w:highlight w:val="none"/>
        </w:rPr>
      </w:pPr>
    </w:p>
    <w:p>
      <w:pPr>
        <w:numPr>
          <w:ilvl w:val="0"/>
          <w:numId w:val="2"/>
        </w:numPr>
        <w:spacing w:beforeLines="50" w:line="360" w:lineRule="auto"/>
        <w:ind w:left="164" w:firstLine="0"/>
        <w:rPr>
          <w:rFonts w:ascii="楷体" w:hAnsi="楷体" w:eastAsia="楷体"/>
          <w:b/>
          <w:spacing w:val="-6"/>
          <w:sz w:val="30"/>
          <w:szCs w:val="30"/>
          <w:highlight w:val="none"/>
        </w:rPr>
      </w:pPr>
      <w:r>
        <w:rPr>
          <w:rFonts w:hint="eastAsia" w:ascii="楷体" w:hAnsi="楷体" w:eastAsia="楷体"/>
          <w:b/>
          <w:spacing w:val="-6"/>
          <w:sz w:val="30"/>
          <w:szCs w:val="30"/>
          <w:highlight w:val="none"/>
        </w:rPr>
        <w:t>招标公告</w:t>
      </w:r>
    </w:p>
    <w:p>
      <w:pPr>
        <w:numPr>
          <w:ilvl w:val="0"/>
          <w:numId w:val="2"/>
        </w:numPr>
        <w:spacing w:beforeLines="50" w:line="360" w:lineRule="auto"/>
        <w:ind w:left="164" w:firstLine="0"/>
        <w:rPr>
          <w:rFonts w:ascii="楷体" w:hAnsi="楷体" w:eastAsia="楷体"/>
          <w:b/>
          <w:spacing w:val="-6"/>
          <w:sz w:val="30"/>
          <w:szCs w:val="30"/>
          <w:highlight w:val="none"/>
        </w:rPr>
      </w:pPr>
      <w:r>
        <w:rPr>
          <w:rFonts w:hint="eastAsia" w:ascii="楷体" w:hAnsi="楷体" w:eastAsia="楷体"/>
          <w:b/>
          <w:spacing w:val="-6"/>
          <w:sz w:val="30"/>
          <w:szCs w:val="30"/>
          <w:highlight w:val="none"/>
        </w:rPr>
        <w:t>招标需求</w:t>
      </w:r>
    </w:p>
    <w:p>
      <w:pPr>
        <w:numPr>
          <w:ilvl w:val="0"/>
          <w:numId w:val="2"/>
        </w:numPr>
        <w:spacing w:beforeLines="50" w:line="360" w:lineRule="auto"/>
        <w:ind w:left="164" w:firstLine="0"/>
        <w:rPr>
          <w:rFonts w:ascii="楷体" w:hAnsi="楷体" w:eastAsia="楷体"/>
          <w:b/>
          <w:spacing w:val="-6"/>
          <w:sz w:val="30"/>
          <w:szCs w:val="30"/>
          <w:highlight w:val="none"/>
        </w:rPr>
      </w:pPr>
      <w:r>
        <w:rPr>
          <w:rFonts w:hint="eastAsia" w:ascii="楷体" w:hAnsi="楷体" w:eastAsia="楷体"/>
          <w:b/>
          <w:spacing w:val="-6"/>
          <w:sz w:val="30"/>
          <w:szCs w:val="30"/>
          <w:highlight w:val="none"/>
        </w:rPr>
        <w:t>投标人须知</w:t>
      </w:r>
    </w:p>
    <w:p>
      <w:pPr>
        <w:numPr>
          <w:ilvl w:val="0"/>
          <w:numId w:val="2"/>
        </w:numPr>
        <w:spacing w:beforeLines="50" w:line="360" w:lineRule="auto"/>
        <w:ind w:left="164" w:firstLine="0"/>
        <w:rPr>
          <w:rFonts w:ascii="楷体" w:hAnsi="楷体" w:eastAsia="楷体"/>
          <w:b/>
          <w:spacing w:val="-6"/>
          <w:sz w:val="30"/>
          <w:szCs w:val="30"/>
          <w:highlight w:val="none"/>
        </w:rPr>
      </w:pPr>
      <w:r>
        <w:rPr>
          <w:rFonts w:hint="eastAsia" w:ascii="楷体" w:hAnsi="楷体" w:eastAsia="楷体"/>
          <w:b/>
          <w:spacing w:val="-6"/>
          <w:sz w:val="30"/>
          <w:szCs w:val="30"/>
          <w:highlight w:val="none"/>
        </w:rPr>
        <w:t>评标办法及评分标准</w:t>
      </w:r>
    </w:p>
    <w:p>
      <w:pPr>
        <w:numPr>
          <w:ilvl w:val="0"/>
          <w:numId w:val="2"/>
        </w:numPr>
        <w:spacing w:beforeLines="50" w:line="360" w:lineRule="auto"/>
        <w:ind w:left="164" w:firstLine="0"/>
        <w:rPr>
          <w:rFonts w:ascii="楷体" w:hAnsi="楷体" w:eastAsia="楷体"/>
          <w:b/>
          <w:spacing w:val="-6"/>
          <w:sz w:val="30"/>
          <w:szCs w:val="30"/>
          <w:highlight w:val="none"/>
        </w:rPr>
      </w:pPr>
      <w:r>
        <w:rPr>
          <w:rFonts w:hint="eastAsia" w:ascii="楷体" w:hAnsi="楷体" w:eastAsia="楷体"/>
          <w:b/>
          <w:spacing w:val="-6"/>
          <w:sz w:val="30"/>
          <w:szCs w:val="30"/>
          <w:highlight w:val="none"/>
        </w:rPr>
        <w:t>拟签订的协议文本</w:t>
      </w:r>
    </w:p>
    <w:p>
      <w:pPr>
        <w:numPr>
          <w:ilvl w:val="0"/>
          <w:numId w:val="2"/>
        </w:numPr>
        <w:spacing w:beforeLines="50" w:line="360" w:lineRule="auto"/>
        <w:ind w:left="164" w:firstLine="0"/>
        <w:rPr>
          <w:rFonts w:ascii="楷体" w:hAnsi="楷体" w:eastAsia="楷体"/>
          <w:b/>
          <w:spacing w:val="-6"/>
          <w:sz w:val="30"/>
          <w:szCs w:val="30"/>
          <w:highlight w:val="none"/>
        </w:rPr>
      </w:pPr>
      <w:r>
        <w:rPr>
          <w:rFonts w:hint="eastAsia" w:ascii="楷体" w:hAnsi="楷体" w:eastAsia="楷体"/>
          <w:b/>
          <w:spacing w:val="-6"/>
          <w:sz w:val="30"/>
          <w:szCs w:val="30"/>
          <w:highlight w:val="none"/>
        </w:rPr>
        <w:t>投标文件格式</w:t>
      </w:r>
    </w:p>
    <w:p>
      <w:pPr>
        <w:pStyle w:val="12"/>
        <w:spacing w:beforeLines="0" w:afterLines="0" w:line="360" w:lineRule="auto"/>
        <w:jc w:val="center"/>
        <w:outlineLvl w:val="0"/>
        <w:rPr>
          <w:rFonts w:hAnsi="宋体"/>
          <w:b/>
          <w:spacing w:val="-6"/>
          <w:sz w:val="32"/>
          <w:szCs w:val="32"/>
          <w:highlight w:val="none"/>
        </w:rPr>
      </w:pPr>
      <w:r>
        <w:rPr>
          <w:rFonts w:hAnsi="宋体"/>
          <w:sz w:val="21"/>
          <w:szCs w:val="21"/>
          <w:highlight w:val="none"/>
        </w:rPr>
        <w:br w:type="page"/>
      </w:r>
      <w:r>
        <w:rPr>
          <w:rFonts w:hAnsi="宋体"/>
          <w:b/>
          <w:spacing w:val="-6"/>
          <w:sz w:val="32"/>
          <w:szCs w:val="32"/>
          <w:highlight w:val="none"/>
        </w:rPr>
        <w:t>第一章  招标公告</w:t>
      </w:r>
    </w:p>
    <w:p>
      <w:pPr>
        <w:spacing w:line="360" w:lineRule="auto"/>
        <w:ind w:firstLine="396" w:firstLineChars="200"/>
        <w:rPr>
          <w:rFonts w:ascii="宋体" w:hAnsi="宋体"/>
          <w:spacing w:val="-6"/>
          <w:kern w:val="0"/>
          <w:sz w:val="21"/>
          <w:szCs w:val="21"/>
          <w:highlight w:val="none"/>
        </w:rPr>
      </w:pPr>
      <w:r>
        <w:rPr>
          <w:rFonts w:hint="eastAsia" w:ascii="宋体" w:hAnsi="宋体"/>
          <w:spacing w:val="-6"/>
          <w:kern w:val="0"/>
          <w:sz w:val="21"/>
          <w:szCs w:val="21"/>
          <w:highlight w:val="none"/>
        </w:rPr>
        <w:t>根据《关于防止领导干部在公款存放方面发生利益冲突和利益输送的办法》（浙委办发〔2015〕8号)、《浙江省省级行政事业单位公款竞争性存放管理办法》</w:t>
      </w:r>
      <w:r>
        <w:rPr>
          <w:rFonts w:hint="eastAsia" w:asciiTheme="minorEastAsia" w:hAnsiTheme="minorEastAsia" w:eastAsiaTheme="minorEastAsia"/>
          <w:sz w:val="21"/>
          <w:szCs w:val="21"/>
          <w:highlight w:val="none"/>
        </w:rPr>
        <w:t>（浙财预执〔2021〕7号）</w:t>
      </w:r>
      <w:r>
        <w:rPr>
          <w:rFonts w:hint="eastAsia" w:ascii="宋体" w:hAnsi="宋体"/>
          <w:spacing w:val="-6"/>
          <w:kern w:val="0"/>
          <w:sz w:val="21"/>
          <w:szCs w:val="21"/>
          <w:highlight w:val="none"/>
        </w:rPr>
        <w:t>、《浙江省财政厅关于统一提供2022年度省级行政事业单位公款竞争性存放共性指标有关事项的函》（浙财函</w:t>
      </w:r>
      <w:r>
        <w:rPr>
          <w:rFonts w:hint="eastAsia" w:ascii="宋体" w:hAnsi="宋体"/>
          <w:spacing w:val="-6"/>
          <w:kern w:val="0"/>
          <w:sz w:val="21"/>
          <w:szCs w:val="21"/>
          <w:highlight w:val="none"/>
          <w:lang w:val="en-US" w:eastAsia="zh-CN"/>
        </w:rPr>
        <w:t>[</w:t>
      </w:r>
      <w:r>
        <w:rPr>
          <w:rFonts w:hint="eastAsia" w:ascii="宋体" w:hAnsi="宋体"/>
          <w:spacing w:val="-6"/>
          <w:kern w:val="0"/>
          <w:sz w:val="21"/>
          <w:szCs w:val="21"/>
          <w:highlight w:val="none"/>
        </w:rPr>
        <w:t>2022</w:t>
      </w:r>
      <w:r>
        <w:rPr>
          <w:rFonts w:hint="eastAsia" w:ascii="宋体" w:hAnsi="宋体"/>
          <w:spacing w:val="-6"/>
          <w:kern w:val="0"/>
          <w:sz w:val="21"/>
          <w:szCs w:val="21"/>
          <w:highlight w:val="none"/>
          <w:lang w:val="en-US" w:eastAsia="zh-CN"/>
        </w:rPr>
        <w:t>]</w:t>
      </w:r>
      <w:r>
        <w:rPr>
          <w:rFonts w:hint="eastAsia" w:ascii="宋体" w:hAnsi="宋体"/>
          <w:spacing w:val="-6"/>
          <w:kern w:val="0"/>
          <w:sz w:val="21"/>
          <w:szCs w:val="21"/>
          <w:highlight w:val="none"/>
        </w:rPr>
        <w:t>118号）规定，决定就</w:t>
      </w:r>
      <w:r>
        <w:rPr>
          <w:rFonts w:hint="eastAsia" w:ascii="宋体" w:hAnsi="宋体"/>
          <w:spacing w:val="-6"/>
          <w:kern w:val="0"/>
          <w:sz w:val="21"/>
          <w:szCs w:val="21"/>
          <w:highlight w:val="none"/>
          <w:lang w:eastAsia="zh-CN"/>
        </w:rPr>
        <w:t>杭州电子科技大学2023年第二期公款竞争性存放</w:t>
      </w:r>
      <w:r>
        <w:rPr>
          <w:rFonts w:hint="eastAsia" w:ascii="宋体" w:hAnsi="宋体"/>
          <w:spacing w:val="-6"/>
          <w:kern w:val="0"/>
          <w:sz w:val="21"/>
          <w:szCs w:val="21"/>
          <w:highlight w:val="none"/>
        </w:rPr>
        <w:t>开展招标工作，欢迎符合条件的银行机构参加投标。</w:t>
      </w:r>
    </w:p>
    <w:p>
      <w:pPr>
        <w:spacing w:line="360" w:lineRule="auto"/>
        <w:rPr>
          <w:rFonts w:hint="eastAsia" w:ascii="宋体" w:hAnsi="宋体" w:eastAsia="宋体" w:cs="Arial"/>
          <w:b/>
          <w:spacing w:val="-6"/>
          <w:sz w:val="24"/>
          <w:highlight w:val="none"/>
          <w:lang w:eastAsia="zh-CN"/>
        </w:rPr>
      </w:pPr>
      <w:r>
        <w:rPr>
          <w:rFonts w:hint="eastAsia" w:ascii="宋体" w:hAnsi="宋体" w:cs="Arial"/>
          <w:b/>
          <w:spacing w:val="-6"/>
          <w:sz w:val="24"/>
          <w:highlight w:val="none"/>
        </w:rPr>
        <w:t>一、招标项目名称：</w:t>
      </w:r>
      <w:r>
        <w:rPr>
          <w:rFonts w:hint="eastAsia" w:ascii="宋体" w:hAnsi="宋体"/>
          <w:spacing w:val="-6"/>
          <w:kern w:val="0"/>
          <w:sz w:val="21"/>
          <w:szCs w:val="21"/>
          <w:highlight w:val="none"/>
          <w:lang w:eastAsia="zh-CN"/>
        </w:rPr>
        <w:t>杭州电子科技大学</w:t>
      </w:r>
      <w:r>
        <w:rPr>
          <w:rFonts w:hint="eastAsia" w:ascii="宋体" w:hAnsi="宋体" w:cs="Arial"/>
          <w:spacing w:val="-6"/>
          <w:sz w:val="21"/>
          <w:szCs w:val="21"/>
          <w:highlight w:val="none"/>
          <w:lang w:eastAsia="zh-CN"/>
        </w:rPr>
        <w:t>2023年第二期公款竞争性存放</w:t>
      </w:r>
    </w:p>
    <w:p>
      <w:pPr>
        <w:spacing w:line="360" w:lineRule="auto"/>
        <w:rPr>
          <w:rFonts w:ascii="宋体" w:hAnsi="宋体"/>
          <w:spacing w:val="-6"/>
          <w:kern w:val="0"/>
          <w:sz w:val="21"/>
          <w:szCs w:val="21"/>
          <w:highlight w:val="none"/>
        </w:rPr>
      </w:pPr>
      <w:r>
        <w:rPr>
          <w:rFonts w:hint="eastAsia" w:ascii="宋体" w:hAnsi="宋体" w:cs="Arial"/>
          <w:b/>
          <w:spacing w:val="-6"/>
          <w:sz w:val="24"/>
          <w:highlight w:val="none"/>
        </w:rPr>
        <w:t>二</w:t>
      </w:r>
      <w:r>
        <w:rPr>
          <w:rFonts w:ascii="宋体" w:hAnsi="宋体" w:cs="Arial"/>
          <w:b/>
          <w:spacing w:val="-6"/>
          <w:sz w:val="24"/>
          <w:highlight w:val="none"/>
        </w:rPr>
        <w:t>、</w:t>
      </w:r>
      <w:r>
        <w:rPr>
          <w:rFonts w:hint="eastAsia" w:ascii="宋体" w:hAnsi="宋体" w:cs="Arial"/>
          <w:b/>
          <w:bCs/>
          <w:spacing w:val="-6"/>
          <w:sz w:val="24"/>
          <w:highlight w:val="none"/>
        </w:rPr>
        <w:t>招标项目编号：</w:t>
      </w:r>
      <w:r>
        <w:rPr>
          <w:rFonts w:hint="eastAsia" w:ascii="宋体" w:hAnsi="宋体"/>
          <w:spacing w:val="-6"/>
          <w:kern w:val="0"/>
          <w:sz w:val="21"/>
          <w:szCs w:val="21"/>
          <w:highlight w:val="none"/>
          <w:lang w:eastAsia="zh-CN"/>
        </w:rPr>
        <w:t>QSZB-F(F)-B23070(GK)</w:t>
      </w:r>
      <w:r>
        <w:rPr>
          <w:rFonts w:hint="eastAsia" w:ascii="宋体" w:hAnsi="宋体"/>
          <w:spacing w:val="-6"/>
          <w:kern w:val="0"/>
          <w:sz w:val="21"/>
          <w:szCs w:val="21"/>
          <w:highlight w:val="none"/>
        </w:rPr>
        <w:t xml:space="preserve"> </w:t>
      </w:r>
    </w:p>
    <w:p>
      <w:pPr>
        <w:spacing w:line="360" w:lineRule="auto"/>
        <w:rPr>
          <w:rFonts w:ascii="宋体" w:hAnsi="宋体" w:cs="Arial"/>
          <w:b/>
          <w:spacing w:val="-6"/>
          <w:sz w:val="24"/>
          <w:highlight w:val="none"/>
        </w:rPr>
      </w:pPr>
      <w:r>
        <w:rPr>
          <w:rFonts w:hint="eastAsia" w:ascii="宋体" w:hAnsi="宋体" w:cs="Arial"/>
          <w:b/>
          <w:spacing w:val="-6"/>
          <w:sz w:val="24"/>
          <w:highlight w:val="none"/>
        </w:rPr>
        <w:t>三、招标项目内容：</w:t>
      </w:r>
    </w:p>
    <w:p>
      <w:pPr>
        <w:spacing w:line="360" w:lineRule="auto"/>
        <w:ind w:firstLine="396" w:firstLineChars="200"/>
        <w:rPr>
          <w:rFonts w:ascii="宋体" w:hAnsi="宋体"/>
          <w:spacing w:val="-6"/>
          <w:kern w:val="0"/>
          <w:sz w:val="21"/>
          <w:szCs w:val="21"/>
          <w:highlight w:val="none"/>
        </w:rPr>
      </w:pPr>
      <w:r>
        <w:rPr>
          <w:rFonts w:hint="eastAsia" w:ascii="宋体" w:hAnsi="宋体"/>
          <w:spacing w:val="-6"/>
          <w:kern w:val="0"/>
          <w:sz w:val="21"/>
          <w:szCs w:val="21"/>
          <w:highlight w:val="none"/>
        </w:rPr>
        <w:t>（一）公款总额度：</w:t>
      </w:r>
      <w:r>
        <w:rPr>
          <w:rFonts w:hint="eastAsia" w:ascii="宋体" w:hAnsi="宋体"/>
          <w:spacing w:val="-6"/>
          <w:kern w:val="0"/>
          <w:sz w:val="21"/>
          <w:szCs w:val="21"/>
          <w:highlight w:val="none"/>
          <w:lang w:eastAsia="zh-CN"/>
        </w:rPr>
        <w:t>杭州电子科技大学</w:t>
      </w:r>
      <w:r>
        <w:rPr>
          <w:rFonts w:hint="eastAsia" w:ascii="宋体" w:hAnsi="宋体"/>
          <w:spacing w:val="-6"/>
          <w:kern w:val="0"/>
          <w:sz w:val="21"/>
          <w:szCs w:val="21"/>
          <w:highlight w:val="none"/>
        </w:rPr>
        <w:t>定期存款</w:t>
      </w:r>
      <w:r>
        <w:rPr>
          <w:rFonts w:hint="eastAsia" w:ascii="宋体" w:hAnsi="宋体"/>
          <w:spacing w:val="-6"/>
          <w:kern w:val="0"/>
          <w:sz w:val="21"/>
          <w:szCs w:val="21"/>
          <w:highlight w:val="none"/>
          <w:lang w:val="en-US" w:eastAsia="zh-CN"/>
        </w:rPr>
        <w:t>12000</w:t>
      </w:r>
      <w:r>
        <w:rPr>
          <w:rFonts w:hint="eastAsia" w:ascii="宋体" w:hAnsi="宋体"/>
          <w:spacing w:val="-6"/>
          <w:kern w:val="0"/>
          <w:sz w:val="21"/>
          <w:szCs w:val="21"/>
          <w:highlight w:val="none"/>
        </w:rPr>
        <w:t>万元。</w:t>
      </w:r>
    </w:p>
    <w:p>
      <w:pPr>
        <w:spacing w:line="360" w:lineRule="auto"/>
        <w:ind w:firstLine="396" w:firstLineChars="200"/>
        <w:rPr>
          <w:rFonts w:ascii="宋体" w:hAnsi="宋体"/>
          <w:spacing w:val="-6"/>
          <w:kern w:val="0"/>
          <w:sz w:val="21"/>
          <w:szCs w:val="21"/>
          <w:highlight w:val="none"/>
        </w:rPr>
      </w:pPr>
      <w:r>
        <w:rPr>
          <w:rFonts w:hint="eastAsia" w:ascii="宋体" w:hAnsi="宋体"/>
          <w:spacing w:val="-6"/>
          <w:kern w:val="0"/>
          <w:sz w:val="21"/>
          <w:szCs w:val="21"/>
          <w:highlight w:val="none"/>
        </w:rPr>
        <w:t>（二）存款期限为一年定期存款。</w:t>
      </w:r>
    </w:p>
    <w:p>
      <w:pPr>
        <w:spacing w:line="360" w:lineRule="auto"/>
        <w:ind w:firstLine="396" w:firstLineChars="200"/>
        <w:rPr>
          <w:rFonts w:hint="default" w:ascii="宋体" w:hAnsi="宋体" w:eastAsiaTheme="minorEastAsia"/>
          <w:spacing w:val="-6"/>
          <w:kern w:val="0"/>
          <w:sz w:val="21"/>
          <w:szCs w:val="21"/>
          <w:highlight w:val="none"/>
          <w:lang w:val="en-US" w:eastAsia="zh-CN"/>
        </w:rPr>
      </w:pPr>
      <w:r>
        <w:rPr>
          <w:rFonts w:hint="eastAsia" w:ascii="宋体" w:hAnsi="宋体"/>
          <w:spacing w:val="-6"/>
          <w:kern w:val="0"/>
          <w:sz w:val="21"/>
          <w:szCs w:val="21"/>
          <w:highlight w:val="none"/>
        </w:rPr>
        <w:t>（三）</w:t>
      </w:r>
      <w:r>
        <w:rPr>
          <w:rFonts w:hint="eastAsia" w:ascii="宋体" w:hAnsi="宋体"/>
          <w:spacing w:val="-6"/>
          <w:kern w:val="0"/>
          <w:sz w:val="21"/>
          <w:szCs w:val="21"/>
          <w:highlight w:val="none"/>
          <w:lang w:eastAsia="zh-CN"/>
        </w:rPr>
        <w:t>杭州电子科技大学</w:t>
      </w:r>
      <w:r>
        <w:rPr>
          <w:rFonts w:hint="eastAsia" w:ascii="宋体" w:hAnsi="宋体"/>
          <w:spacing w:val="-6"/>
          <w:kern w:val="0"/>
          <w:sz w:val="21"/>
          <w:szCs w:val="21"/>
          <w:highlight w:val="none"/>
        </w:rPr>
        <w:t>选定5家银行机构定期存放公款，按照本次招标结果排名顺序选择五家银行选择资金存放，</w:t>
      </w:r>
      <w:r>
        <w:rPr>
          <w:rFonts w:hint="eastAsia" w:ascii="宋体" w:hAnsi="宋体"/>
          <w:color w:val="auto"/>
          <w:spacing w:val="-6"/>
          <w:kern w:val="0"/>
          <w:sz w:val="21"/>
          <w:szCs w:val="21"/>
          <w:highlight w:val="none"/>
        </w:rPr>
        <w:t>第1名</w:t>
      </w:r>
      <w:r>
        <w:rPr>
          <w:rFonts w:hint="eastAsia" w:ascii="宋体" w:hAnsi="宋体"/>
          <w:color w:val="auto"/>
          <w:spacing w:val="-6"/>
          <w:kern w:val="0"/>
          <w:sz w:val="21"/>
          <w:szCs w:val="21"/>
          <w:highlight w:val="none"/>
          <w:lang w:val="en-US" w:eastAsia="zh-CN"/>
        </w:rPr>
        <w:t>2400</w:t>
      </w:r>
      <w:r>
        <w:rPr>
          <w:rFonts w:hint="eastAsia" w:ascii="宋体" w:hAnsi="宋体"/>
          <w:color w:val="auto"/>
          <w:spacing w:val="-6"/>
          <w:kern w:val="0"/>
          <w:sz w:val="21"/>
          <w:szCs w:val="21"/>
          <w:highlight w:val="none"/>
        </w:rPr>
        <w:t>万元，第2名</w:t>
      </w:r>
      <w:r>
        <w:rPr>
          <w:rFonts w:hint="eastAsia" w:ascii="宋体" w:hAnsi="宋体"/>
          <w:color w:val="auto"/>
          <w:spacing w:val="-6"/>
          <w:kern w:val="0"/>
          <w:sz w:val="21"/>
          <w:szCs w:val="21"/>
          <w:highlight w:val="none"/>
          <w:lang w:val="en-US" w:eastAsia="zh-CN"/>
        </w:rPr>
        <w:t>2400</w:t>
      </w:r>
      <w:r>
        <w:rPr>
          <w:rFonts w:hint="eastAsia" w:ascii="宋体" w:hAnsi="宋体"/>
          <w:color w:val="auto"/>
          <w:spacing w:val="-6"/>
          <w:kern w:val="0"/>
          <w:sz w:val="21"/>
          <w:szCs w:val="21"/>
          <w:highlight w:val="none"/>
        </w:rPr>
        <w:t>万元，第3名</w:t>
      </w:r>
      <w:r>
        <w:rPr>
          <w:rFonts w:hint="eastAsia" w:ascii="宋体" w:hAnsi="宋体"/>
          <w:color w:val="auto"/>
          <w:spacing w:val="-6"/>
          <w:kern w:val="0"/>
          <w:sz w:val="21"/>
          <w:szCs w:val="21"/>
          <w:highlight w:val="none"/>
          <w:lang w:val="en-US" w:eastAsia="zh-CN"/>
        </w:rPr>
        <w:t>2400</w:t>
      </w:r>
      <w:r>
        <w:rPr>
          <w:rFonts w:hint="eastAsia" w:ascii="宋体" w:hAnsi="宋体"/>
          <w:color w:val="auto"/>
          <w:spacing w:val="-6"/>
          <w:kern w:val="0"/>
          <w:sz w:val="21"/>
          <w:szCs w:val="21"/>
          <w:highlight w:val="none"/>
        </w:rPr>
        <w:t>万元，第4名</w:t>
      </w:r>
      <w:r>
        <w:rPr>
          <w:rFonts w:hint="eastAsia" w:ascii="宋体" w:hAnsi="宋体"/>
          <w:color w:val="auto"/>
          <w:spacing w:val="-6"/>
          <w:kern w:val="0"/>
          <w:sz w:val="21"/>
          <w:szCs w:val="21"/>
          <w:highlight w:val="none"/>
          <w:lang w:val="en-US" w:eastAsia="zh-CN"/>
        </w:rPr>
        <w:t>2400</w:t>
      </w:r>
      <w:r>
        <w:rPr>
          <w:rFonts w:hint="eastAsia" w:ascii="宋体" w:hAnsi="宋体"/>
          <w:color w:val="auto"/>
          <w:spacing w:val="-6"/>
          <w:kern w:val="0"/>
          <w:sz w:val="21"/>
          <w:szCs w:val="21"/>
          <w:highlight w:val="none"/>
        </w:rPr>
        <w:t>万元，第5名</w:t>
      </w:r>
      <w:r>
        <w:rPr>
          <w:rFonts w:hint="eastAsia" w:ascii="宋体" w:hAnsi="宋体"/>
          <w:color w:val="auto"/>
          <w:spacing w:val="-6"/>
          <w:kern w:val="0"/>
          <w:sz w:val="21"/>
          <w:szCs w:val="21"/>
          <w:highlight w:val="none"/>
          <w:lang w:val="en-US" w:eastAsia="zh-CN"/>
        </w:rPr>
        <w:t>2400</w:t>
      </w:r>
      <w:r>
        <w:rPr>
          <w:rFonts w:hint="eastAsia" w:ascii="宋体" w:hAnsi="宋体"/>
          <w:color w:val="auto"/>
          <w:spacing w:val="-6"/>
          <w:kern w:val="0"/>
          <w:sz w:val="21"/>
          <w:szCs w:val="21"/>
          <w:highlight w:val="none"/>
        </w:rPr>
        <w:t>万元。</w:t>
      </w:r>
      <w:r>
        <w:rPr>
          <w:rFonts w:hint="eastAsia" w:asciiTheme="minorEastAsia" w:hAnsiTheme="minorEastAsia" w:eastAsiaTheme="minorEastAsia"/>
          <w:sz w:val="21"/>
          <w:szCs w:val="21"/>
          <w:highlight w:val="none"/>
        </w:rPr>
        <w:t>根据学校资金情况，先存放到第1名，第1名存放金额完成后再存放到第2名，以此类推，足额存放五家银行。存入时间由招标人根据资金情况在6个月内逐步到位。</w:t>
      </w:r>
    </w:p>
    <w:p>
      <w:pPr>
        <w:spacing w:line="360" w:lineRule="auto"/>
        <w:ind w:firstLine="396" w:firstLineChars="200"/>
        <w:rPr>
          <w:rFonts w:ascii="宋体" w:hAnsi="宋体"/>
          <w:spacing w:val="-6"/>
          <w:kern w:val="0"/>
          <w:sz w:val="21"/>
          <w:szCs w:val="21"/>
          <w:highlight w:val="none"/>
        </w:rPr>
      </w:pPr>
      <w:r>
        <w:rPr>
          <w:rFonts w:hint="eastAsia" w:ascii="宋体" w:hAnsi="宋体"/>
          <w:spacing w:val="-6"/>
          <w:kern w:val="0"/>
          <w:sz w:val="21"/>
          <w:szCs w:val="21"/>
          <w:highlight w:val="none"/>
        </w:rPr>
        <w:t>（四）根据《浙江省财政厅关于印发浙江省省级行政事业单位公款竞争性存放管理办法的通知》（浙财预执〔2021〕7号）的规定，已经招标人校领导班子集体研究决定，同意在本期招标定期存款到期后续存原中标银行1年，后一年度将不再重新组织招投标。续存原中标银行的定期存款利率符合国家政策要求且不低于省级行政事业单位在“浙江政府采购网”上公布的最近同期限中标利率。</w:t>
      </w:r>
    </w:p>
    <w:p>
      <w:pPr>
        <w:spacing w:line="360" w:lineRule="auto"/>
        <w:ind w:firstLine="396" w:firstLineChars="200"/>
        <w:rPr>
          <w:rFonts w:ascii="宋体" w:hAnsi="宋体"/>
          <w:spacing w:val="-6"/>
          <w:kern w:val="0"/>
          <w:sz w:val="21"/>
          <w:szCs w:val="21"/>
          <w:highlight w:val="none"/>
        </w:rPr>
      </w:pPr>
      <w:r>
        <w:rPr>
          <w:rFonts w:hint="eastAsia" w:ascii="宋体" w:hAnsi="宋体"/>
          <w:spacing w:val="-6"/>
          <w:kern w:val="0"/>
          <w:sz w:val="21"/>
          <w:szCs w:val="21"/>
          <w:highlight w:val="none"/>
        </w:rPr>
        <w:t>（五）本项目招标有效期两年。</w:t>
      </w:r>
    </w:p>
    <w:p>
      <w:pPr>
        <w:spacing w:line="360" w:lineRule="auto"/>
        <w:rPr>
          <w:rFonts w:ascii="宋体" w:hAnsi="宋体" w:cs="Arial"/>
          <w:b/>
          <w:bCs/>
          <w:spacing w:val="-6"/>
          <w:sz w:val="24"/>
          <w:highlight w:val="none"/>
        </w:rPr>
      </w:pPr>
      <w:r>
        <w:rPr>
          <w:rFonts w:hint="eastAsia" w:ascii="宋体" w:hAnsi="宋体" w:cs="Arial"/>
          <w:b/>
          <w:spacing w:val="-6"/>
          <w:sz w:val="24"/>
          <w:highlight w:val="none"/>
        </w:rPr>
        <w:t>四</w:t>
      </w:r>
      <w:r>
        <w:rPr>
          <w:rFonts w:hint="eastAsia" w:ascii="宋体" w:hAnsi="宋体" w:cs="Arial"/>
          <w:spacing w:val="-6"/>
          <w:sz w:val="24"/>
          <w:highlight w:val="none"/>
        </w:rPr>
        <w:t>、</w:t>
      </w:r>
      <w:r>
        <w:rPr>
          <w:rFonts w:hint="eastAsia" w:ascii="宋体" w:hAnsi="宋体" w:cs="Arial"/>
          <w:b/>
          <w:bCs/>
          <w:spacing w:val="-6"/>
          <w:sz w:val="24"/>
          <w:highlight w:val="none"/>
        </w:rPr>
        <w:t>投标人资格要求：</w:t>
      </w:r>
    </w:p>
    <w:p>
      <w:pPr>
        <w:spacing w:line="360" w:lineRule="auto"/>
        <w:ind w:firstLine="396" w:firstLineChars="200"/>
        <w:rPr>
          <w:rFonts w:ascii="宋体" w:hAnsi="宋体" w:cs="Arial"/>
          <w:spacing w:val="-6"/>
          <w:sz w:val="21"/>
          <w:szCs w:val="21"/>
          <w:highlight w:val="none"/>
        </w:rPr>
      </w:pPr>
      <w:r>
        <w:rPr>
          <w:rFonts w:hint="eastAsia" w:ascii="宋体" w:hAnsi="宋体" w:cs="Arial"/>
          <w:spacing w:val="-6"/>
          <w:sz w:val="21"/>
          <w:szCs w:val="21"/>
          <w:highlight w:val="none"/>
        </w:rPr>
        <w:t>参与省级行政事业单位公款竞争性存放的银行是指在中华人民共和国境内依法设立的商业银行、农村信用合作联社等银行业金融机构。银行参与投标应符合以下条件：</w:t>
      </w:r>
    </w:p>
    <w:p>
      <w:pPr>
        <w:spacing w:line="360" w:lineRule="auto"/>
        <w:ind w:firstLine="396" w:firstLineChars="200"/>
        <w:rPr>
          <w:rFonts w:ascii="宋体" w:hAnsi="宋体" w:cs="Arial"/>
          <w:spacing w:val="-6"/>
          <w:sz w:val="21"/>
          <w:szCs w:val="21"/>
          <w:highlight w:val="none"/>
        </w:rPr>
      </w:pPr>
      <w:r>
        <w:rPr>
          <w:rFonts w:hint="eastAsia" w:ascii="宋体" w:hAnsi="宋体" w:cs="Arial"/>
          <w:spacing w:val="-6"/>
          <w:sz w:val="21"/>
          <w:szCs w:val="21"/>
          <w:highlight w:val="none"/>
        </w:rPr>
        <w:t>（一）在杭州市区设有分支机构；</w:t>
      </w:r>
    </w:p>
    <w:p>
      <w:pPr>
        <w:spacing w:line="360" w:lineRule="auto"/>
        <w:ind w:firstLine="396" w:firstLineChars="200"/>
        <w:rPr>
          <w:rFonts w:ascii="宋体" w:hAnsi="宋体" w:cs="Arial"/>
          <w:spacing w:val="-6"/>
          <w:sz w:val="21"/>
          <w:szCs w:val="21"/>
          <w:highlight w:val="none"/>
        </w:rPr>
      </w:pPr>
      <w:r>
        <w:rPr>
          <w:rFonts w:hint="eastAsia" w:ascii="宋体" w:hAnsi="宋体" w:cs="Arial"/>
          <w:spacing w:val="-6"/>
          <w:sz w:val="21"/>
          <w:szCs w:val="21"/>
          <w:highlight w:val="none"/>
        </w:rPr>
        <w:t>（二）依法开展经营活动，近3年内在经营活动中无重大违法违规记录及重大违约事件；</w:t>
      </w:r>
    </w:p>
    <w:p>
      <w:pPr>
        <w:spacing w:line="360" w:lineRule="auto"/>
        <w:ind w:firstLine="396" w:firstLineChars="200"/>
        <w:rPr>
          <w:rFonts w:ascii="宋体" w:hAnsi="宋体" w:cs="Arial"/>
          <w:spacing w:val="-6"/>
          <w:sz w:val="21"/>
          <w:szCs w:val="21"/>
          <w:highlight w:val="none"/>
        </w:rPr>
      </w:pPr>
      <w:r>
        <w:rPr>
          <w:rFonts w:hint="eastAsia" w:ascii="宋体" w:hAnsi="宋体" w:cs="Arial"/>
          <w:spacing w:val="-6"/>
          <w:sz w:val="21"/>
          <w:szCs w:val="21"/>
          <w:highlight w:val="none"/>
        </w:rPr>
        <w:t>（三）纳入人民银行综合评价的银行，人民银行上年度综合评价应达到B级及以上，不纳入人民银行综合评价范围的银行不受此限制。</w:t>
      </w:r>
    </w:p>
    <w:p>
      <w:pPr>
        <w:spacing w:line="360" w:lineRule="auto"/>
        <w:ind w:firstLine="396" w:firstLineChars="200"/>
        <w:rPr>
          <w:rFonts w:ascii="宋体" w:hAnsi="宋体" w:cs="Arial"/>
          <w:spacing w:val="-6"/>
          <w:sz w:val="21"/>
          <w:szCs w:val="21"/>
          <w:highlight w:val="none"/>
        </w:rPr>
      </w:pPr>
      <w:r>
        <w:rPr>
          <w:rFonts w:hint="eastAsia" w:ascii="宋体" w:hAnsi="宋体" w:cs="Arial"/>
          <w:spacing w:val="-6"/>
          <w:sz w:val="21"/>
          <w:szCs w:val="21"/>
          <w:highlight w:val="none"/>
        </w:rPr>
        <w:t>（四）每家银行只能有一个主体参与投标，允许以省分行或者省分行授权支行为投标主体。省内农村商业银行、农村信用合作联社参与省级行政事业单位公款竞争性存放，可统一以浙江农商联合银行为投标主体。</w:t>
      </w:r>
    </w:p>
    <w:p>
      <w:pPr>
        <w:spacing w:line="360" w:lineRule="auto"/>
        <w:rPr>
          <w:rFonts w:ascii="宋体" w:hAnsi="宋体" w:cs="Arial"/>
          <w:b/>
          <w:bCs/>
          <w:spacing w:val="-6"/>
          <w:sz w:val="24"/>
          <w:highlight w:val="none"/>
        </w:rPr>
      </w:pPr>
      <w:r>
        <w:rPr>
          <w:rFonts w:hint="eastAsia" w:ascii="宋体" w:hAnsi="宋体" w:cs="Arial"/>
          <w:b/>
          <w:bCs/>
          <w:spacing w:val="-6"/>
          <w:sz w:val="24"/>
          <w:highlight w:val="none"/>
        </w:rPr>
        <w:t>五、招标文件获取时间、方式及地址：</w:t>
      </w:r>
    </w:p>
    <w:p>
      <w:pPr>
        <w:spacing w:line="360" w:lineRule="auto"/>
        <w:ind w:firstLine="396" w:firstLineChars="200"/>
        <w:rPr>
          <w:rFonts w:ascii="宋体" w:hAnsi="宋体"/>
          <w:spacing w:val="-6"/>
          <w:sz w:val="21"/>
          <w:szCs w:val="21"/>
          <w:highlight w:val="none"/>
        </w:rPr>
      </w:pPr>
      <w:r>
        <w:rPr>
          <w:rFonts w:hint="eastAsia" w:ascii="宋体" w:hAnsi="宋体"/>
          <w:spacing w:val="-6"/>
          <w:sz w:val="21"/>
          <w:szCs w:val="21"/>
          <w:highlight w:val="none"/>
        </w:rPr>
        <w:t>（一）时间：</w:t>
      </w:r>
      <w:r>
        <w:rPr>
          <w:rFonts w:hint="eastAsia" w:ascii="宋体" w:hAnsi="宋体"/>
          <w:spacing w:val="-6"/>
          <w:sz w:val="21"/>
          <w:szCs w:val="21"/>
          <w:highlight w:val="none"/>
          <w:lang w:eastAsia="zh-CN"/>
        </w:rPr>
        <w:t>2023年4月1</w:t>
      </w:r>
      <w:r>
        <w:rPr>
          <w:rFonts w:hint="eastAsia" w:ascii="宋体" w:hAnsi="宋体"/>
          <w:spacing w:val="-6"/>
          <w:sz w:val="21"/>
          <w:szCs w:val="21"/>
          <w:highlight w:val="none"/>
          <w:lang w:val="en-US" w:eastAsia="zh-CN"/>
        </w:rPr>
        <w:t>3</w:t>
      </w:r>
      <w:r>
        <w:rPr>
          <w:rFonts w:hint="eastAsia" w:ascii="宋体" w:hAnsi="宋体"/>
          <w:spacing w:val="-6"/>
          <w:sz w:val="21"/>
          <w:szCs w:val="21"/>
          <w:highlight w:val="none"/>
          <w:lang w:eastAsia="zh-CN"/>
        </w:rPr>
        <w:t>日</w:t>
      </w:r>
      <w:r>
        <w:rPr>
          <w:rFonts w:hint="eastAsia" w:ascii="宋体" w:hAnsi="宋体"/>
          <w:spacing w:val="-6"/>
          <w:sz w:val="21"/>
          <w:szCs w:val="21"/>
          <w:highlight w:val="none"/>
        </w:rPr>
        <w:t>至</w:t>
      </w:r>
      <w:r>
        <w:rPr>
          <w:rFonts w:hint="eastAsia" w:ascii="宋体" w:hAnsi="宋体"/>
          <w:spacing w:val="-6"/>
          <w:sz w:val="21"/>
          <w:szCs w:val="21"/>
          <w:highlight w:val="none"/>
          <w:lang w:eastAsia="zh-CN"/>
        </w:rPr>
        <w:t>2023年4月2</w:t>
      </w:r>
      <w:r>
        <w:rPr>
          <w:rFonts w:hint="eastAsia" w:ascii="宋体" w:hAnsi="宋体"/>
          <w:spacing w:val="-6"/>
          <w:sz w:val="21"/>
          <w:szCs w:val="21"/>
          <w:highlight w:val="none"/>
          <w:lang w:val="en-US" w:eastAsia="zh-CN"/>
        </w:rPr>
        <w:t>4</w:t>
      </w:r>
      <w:r>
        <w:rPr>
          <w:rFonts w:hint="eastAsia" w:ascii="宋体" w:hAnsi="宋体"/>
          <w:spacing w:val="-6"/>
          <w:sz w:val="21"/>
          <w:szCs w:val="21"/>
          <w:highlight w:val="none"/>
          <w:lang w:eastAsia="zh-CN"/>
        </w:rPr>
        <w:t>日</w:t>
      </w:r>
      <w:r>
        <w:rPr>
          <w:rFonts w:hint="eastAsia" w:ascii="宋体" w:hAnsi="宋体"/>
          <w:spacing w:val="-6"/>
          <w:sz w:val="21"/>
          <w:szCs w:val="21"/>
          <w:highlight w:val="none"/>
        </w:rPr>
        <w:t>下午17:00（双休日及法定节假日除外）</w:t>
      </w:r>
    </w:p>
    <w:p>
      <w:pPr>
        <w:spacing w:line="360" w:lineRule="auto"/>
        <w:ind w:firstLine="396" w:firstLineChars="200"/>
        <w:rPr>
          <w:rFonts w:ascii="宋体" w:hAnsi="宋体"/>
          <w:spacing w:val="-6"/>
          <w:sz w:val="21"/>
          <w:szCs w:val="21"/>
          <w:highlight w:val="none"/>
        </w:rPr>
      </w:pPr>
      <w:r>
        <w:rPr>
          <w:rFonts w:hint="eastAsia" w:ascii="宋体" w:hAnsi="宋体"/>
          <w:spacing w:val="-6"/>
          <w:sz w:val="21"/>
          <w:szCs w:val="21"/>
          <w:highlight w:val="none"/>
        </w:rPr>
        <w:t>（三）报名方式：本项目实行网上报名，不接受现场报名。报名银行须登录政府采购云平台（https://www.zcygov.cn），进入“公款竞争性存放”模块，在“竞标项目”选择本项目按规定进行报名。报名成功后在线下载招标文件。（本次采购不提供纸质版采购文件）</w:t>
      </w:r>
    </w:p>
    <w:p>
      <w:pPr>
        <w:spacing w:line="360" w:lineRule="auto"/>
        <w:ind w:firstLine="396" w:firstLineChars="200"/>
        <w:rPr>
          <w:rFonts w:ascii="宋体" w:hAnsi="宋体"/>
          <w:color w:val="auto"/>
          <w:spacing w:val="-6"/>
          <w:sz w:val="21"/>
          <w:szCs w:val="21"/>
          <w:highlight w:val="none"/>
        </w:rPr>
      </w:pPr>
      <w:r>
        <w:rPr>
          <w:rFonts w:hint="eastAsia" w:ascii="宋体" w:hAnsi="宋体"/>
          <w:spacing w:val="-6"/>
          <w:sz w:val="21"/>
          <w:szCs w:val="21"/>
          <w:highlight w:val="none"/>
        </w:rPr>
        <w:t>（三）</w:t>
      </w:r>
      <w:r>
        <w:rPr>
          <w:rFonts w:ascii="宋体" w:hAnsi="宋体"/>
          <w:spacing w:val="-6"/>
          <w:sz w:val="21"/>
          <w:szCs w:val="21"/>
          <w:highlight w:val="none"/>
        </w:rPr>
        <w:t>标书</w:t>
      </w:r>
      <w:r>
        <w:rPr>
          <w:rFonts w:hint="eastAsia" w:ascii="宋体" w:hAnsi="宋体"/>
          <w:spacing w:val="-6"/>
          <w:sz w:val="21"/>
          <w:szCs w:val="21"/>
          <w:highlight w:val="none"/>
        </w:rPr>
        <w:t>售价</w:t>
      </w:r>
      <w:r>
        <w:rPr>
          <w:rFonts w:ascii="宋体" w:hAnsi="宋体"/>
          <w:spacing w:val="-6"/>
          <w:sz w:val="21"/>
          <w:szCs w:val="21"/>
          <w:highlight w:val="none"/>
        </w:rPr>
        <w:t>：</w:t>
      </w:r>
      <w:r>
        <w:rPr>
          <w:rFonts w:hint="eastAsia" w:ascii="宋体" w:hAnsi="宋体"/>
          <w:spacing w:val="-6"/>
          <w:sz w:val="21"/>
          <w:szCs w:val="21"/>
          <w:highlight w:val="none"/>
        </w:rPr>
        <w:t>免费</w:t>
      </w:r>
    </w:p>
    <w:p>
      <w:pPr>
        <w:spacing w:line="360" w:lineRule="auto"/>
        <w:jc w:val="left"/>
        <w:rPr>
          <w:rFonts w:hint="eastAsia" w:ascii="宋体" w:hAnsi="宋体" w:eastAsia="宋体"/>
          <w:color w:val="auto"/>
          <w:spacing w:val="-6"/>
          <w:sz w:val="21"/>
          <w:szCs w:val="21"/>
          <w:highlight w:val="none"/>
          <w:lang w:eastAsia="zh-CN"/>
        </w:rPr>
      </w:pPr>
      <w:r>
        <w:rPr>
          <w:rFonts w:hint="eastAsia" w:ascii="宋体" w:hAnsi="宋体" w:cs="Arial"/>
          <w:b/>
          <w:color w:val="auto"/>
          <w:spacing w:val="-6"/>
          <w:sz w:val="24"/>
          <w:highlight w:val="none"/>
        </w:rPr>
        <w:t>六、</w:t>
      </w:r>
      <w:r>
        <w:rPr>
          <w:rFonts w:hint="eastAsia" w:ascii="宋体" w:hAnsi="宋体" w:cs="Arial"/>
          <w:b/>
          <w:bCs/>
          <w:color w:val="auto"/>
          <w:spacing w:val="-6"/>
          <w:sz w:val="24"/>
          <w:highlight w:val="none"/>
        </w:rPr>
        <w:t>投标截止时间</w:t>
      </w:r>
      <w:r>
        <w:rPr>
          <w:rFonts w:hint="eastAsia" w:ascii="宋体" w:hAnsi="宋体" w:cs="Arial"/>
          <w:color w:val="auto"/>
          <w:spacing w:val="-6"/>
          <w:sz w:val="24"/>
          <w:highlight w:val="none"/>
        </w:rPr>
        <w:t>：</w:t>
      </w:r>
      <w:r>
        <w:rPr>
          <w:rFonts w:hint="eastAsia" w:ascii="宋体" w:hAnsi="宋体"/>
          <w:color w:val="auto"/>
          <w:spacing w:val="-6"/>
          <w:sz w:val="21"/>
          <w:szCs w:val="21"/>
          <w:highlight w:val="none"/>
          <w:lang w:eastAsia="zh-CN"/>
        </w:rPr>
        <w:t>2023年4月26日上午9:00:00</w:t>
      </w:r>
    </w:p>
    <w:p>
      <w:pPr>
        <w:spacing w:line="360" w:lineRule="auto"/>
        <w:jc w:val="left"/>
        <w:rPr>
          <w:rFonts w:ascii="宋体" w:hAnsi="宋体"/>
          <w:bCs/>
          <w:color w:val="auto"/>
          <w:spacing w:val="-6"/>
          <w:sz w:val="21"/>
          <w:szCs w:val="21"/>
          <w:highlight w:val="none"/>
        </w:rPr>
      </w:pPr>
      <w:r>
        <w:rPr>
          <w:rFonts w:hint="eastAsia" w:ascii="宋体" w:hAnsi="宋体" w:cs="Arial"/>
          <w:b/>
          <w:bCs/>
          <w:color w:val="auto"/>
          <w:spacing w:val="-6"/>
          <w:sz w:val="24"/>
          <w:highlight w:val="none"/>
        </w:rPr>
        <w:t>七、投标文件</w:t>
      </w:r>
      <w:r>
        <w:rPr>
          <w:rFonts w:hint="eastAsia" w:ascii="宋体" w:hAnsi="宋体"/>
          <w:b/>
          <w:color w:val="auto"/>
          <w:sz w:val="24"/>
          <w:highlight w:val="none"/>
        </w:rPr>
        <w:t>提交方式、地点：</w:t>
      </w:r>
      <w:r>
        <w:rPr>
          <w:rFonts w:hint="eastAsia" w:ascii="宋体" w:hAnsi="宋体"/>
          <w:color w:val="auto"/>
          <w:spacing w:val="-6"/>
          <w:sz w:val="21"/>
          <w:szCs w:val="21"/>
          <w:highlight w:val="none"/>
        </w:rPr>
        <w:t>通过政府采购云平台（https://login.zcygov.cn）在线电子投标</w:t>
      </w:r>
      <w:r>
        <w:rPr>
          <w:rFonts w:hint="eastAsia" w:ascii="宋体" w:hAnsi="宋体"/>
          <w:bCs/>
          <w:color w:val="auto"/>
          <w:spacing w:val="-6"/>
          <w:sz w:val="21"/>
          <w:szCs w:val="21"/>
          <w:highlight w:val="none"/>
        </w:rPr>
        <w:t>；</w:t>
      </w:r>
    </w:p>
    <w:p>
      <w:pPr>
        <w:spacing w:line="360" w:lineRule="auto"/>
        <w:jc w:val="left"/>
        <w:rPr>
          <w:rFonts w:ascii="宋体" w:hAnsi="宋体"/>
          <w:bCs/>
          <w:color w:val="auto"/>
          <w:spacing w:val="-6"/>
          <w:sz w:val="21"/>
          <w:szCs w:val="21"/>
          <w:highlight w:val="none"/>
        </w:rPr>
      </w:pPr>
      <w:r>
        <w:rPr>
          <w:rFonts w:hint="eastAsia" w:ascii="宋体" w:hAnsi="宋体"/>
          <w:b/>
          <w:color w:val="auto"/>
          <w:spacing w:val="-6"/>
          <w:sz w:val="21"/>
          <w:szCs w:val="21"/>
          <w:highlight w:val="none"/>
        </w:rPr>
        <w:t>备注：</w:t>
      </w:r>
      <w:r>
        <w:rPr>
          <w:rFonts w:hint="eastAsia" w:ascii="宋体" w:hAnsi="宋体"/>
          <w:bCs/>
          <w:color w:val="auto"/>
          <w:spacing w:val="-6"/>
          <w:sz w:val="21"/>
          <w:szCs w:val="21"/>
          <w:highlight w:val="none"/>
        </w:rPr>
        <w:t>本项目实行在线电子招投标，投标人报名后即可在政采云系统中编制响应文件，在投标截止时间前进行投标。</w:t>
      </w:r>
    </w:p>
    <w:p>
      <w:pPr>
        <w:spacing w:line="360" w:lineRule="auto"/>
        <w:rPr>
          <w:rFonts w:ascii="宋体" w:hAnsi="宋体" w:cs="Arial"/>
          <w:color w:val="auto"/>
          <w:spacing w:val="-6"/>
          <w:sz w:val="24"/>
          <w:highlight w:val="none"/>
        </w:rPr>
      </w:pPr>
      <w:r>
        <w:rPr>
          <w:rFonts w:hint="eastAsia" w:ascii="宋体" w:hAnsi="宋体" w:cs="Arial"/>
          <w:b/>
          <w:bCs/>
          <w:color w:val="auto"/>
          <w:spacing w:val="-6"/>
          <w:sz w:val="24"/>
          <w:highlight w:val="none"/>
        </w:rPr>
        <w:t>八、开标时间及地点</w:t>
      </w:r>
      <w:r>
        <w:rPr>
          <w:rFonts w:hint="eastAsia" w:ascii="宋体" w:hAnsi="宋体" w:cs="Arial"/>
          <w:color w:val="auto"/>
          <w:spacing w:val="-6"/>
          <w:sz w:val="24"/>
          <w:highlight w:val="none"/>
        </w:rPr>
        <w:t>：</w:t>
      </w:r>
    </w:p>
    <w:p>
      <w:pPr>
        <w:spacing w:line="360" w:lineRule="auto"/>
        <w:ind w:firstLine="396" w:firstLineChars="200"/>
        <w:jc w:val="left"/>
        <w:rPr>
          <w:rFonts w:hint="eastAsia" w:ascii="宋体" w:hAnsi="宋体" w:eastAsia="宋体"/>
          <w:color w:val="auto"/>
          <w:spacing w:val="-6"/>
          <w:sz w:val="21"/>
          <w:szCs w:val="21"/>
          <w:highlight w:val="none"/>
          <w:lang w:eastAsia="zh-CN"/>
        </w:rPr>
      </w:pPr>
      <w:r>
        <w:rPr>
          <w:rFonts w:hint="eastAsia" w:ascii="宋体" w:hAnsi="宋体"/>
          <w:color w:val="auto"/>
          <w:spacing w:val="-6"/>
          <w:sz w:val="21"/>
          <w:szCs w:val="21"/>
          <w:highlight w:val="none"/>
        </w:rPr>
        <w:t>时间：</w:t>
      </w:r>
      <w:r>
        <w:rPr>
          <w:rFonts w:hint="eastAsia" w:ascii="宋体" w:hAnsi="宋体"/>
          <w:color w:val="auto"/>
          <w:spacing w:val="-6"/>
          <w:sz w:val="21"/>
          <w:szCs w:val="21"/>
          <w:highlight w:val="none"/>
          <w:lang w:eastAsia="zh-CN"/>
        </w:rPr>
        <w:t>2023年4月26日上午9:00:00</w:t>
      </w:r>
    </w:p>
    <w:p>
      <w:pPr>
        <w:spacing w:line="360" w:lineRule="auto"/>
        <w:ind w:firstLine="396" w:firstLineChars="200"/>
        <w:rPr>
          <w:rFonts w:ascii="宋体" w:hAnsi="宋体"/>
          <w:color w:val="auto"/>
          <w:spacing w:val="-6"/>
          <w:sz w:val="21"/>
          <w:szCs w:val="21"/>
          <w:highlight w:val="none"/>
        </w:rPr>
      </w:pPr>
      <w:r>
        <w:rPr>
          <w:rFonts w:hint="eastAsia" w:ascii="宋体" w:hAnsi="宋体"/>
          <w:color w:val="auto"/>
          <w:spacing w:val="-6"/>
          <w:sz w:val="21"/>
          <w:szCs w:val="21"/>
          <w:highlight w:val="none"/>
        </w:rPr>
        <w:t>地点：通过政府采购云平台（https://login.zcygov.cn）在线开标</w:t>
      </w:r>
    </w:p>
    <w:p>
      <w:pPr>
        <w:spacing w:line="360" w:lineRule="auto"/>
        <w:rPr>
          <w:rFonts w:ascii="宋体" w:hAnsi="宋体" w:cs="Arial"/>
          <w:b/>
          <w:spacing w:val="-6"/>
          <w:sz w:val="24"/>
          <w:highlight w:val="none"/>
        </w:rPr>
      </w:pPr>
      <w:r>
        <w:rPr>
          <w:rFonts w:hint="eastAsia" w:ascii="宋体" w:hAnsi="宋体" w:cs="Arial"/>
          <w:b/>
          <w:spacing w:val="-6"/>
          <w:sz w:val="24"/>
          <w:highlight w:val="none"/>
        </w:rPr>
        <w:t>九、其他说明：</w:t>
      </w:r>
    </w:p>
    <w:p>
      <w:pPr>
        <w:spacing w:line="360" w:lineRule="auto"/>
        <w:ind w:firstLine="396" w:firstLineChars="200"/>
        <w:rPr>
          <w:rFonts w:ascii="宋体" w:hAnsi="宋体"/>
          <w:spacing w:val="-6"/>
          <w:sz w:val="21"/>
          <w:szCs w:val="21"/>
          <w:highlight w:val="none"/>
        </w:rPr>
      </w:pPr>
      <w:r>
        <w:rPr>
          <w:rFonts w:hint="eastAsia" w:ascii="宋体" w:hAnsi="宋体"/>
          <w:spacing w:val="-6"/>
          <w:sz w:val="21"/>
          <w:szCs w:val="21"/>
          <w:highlight w:val="none"/>
        </w:rPr>
        <w:t>（一）投标人应在投标报名前提交政府采购云平台（https://www.zcygov.cn/）银行入驻申请并成为公款存放正式供应商，否则无法参与线上公款竞争性存放业务。</w:t>
      </w:r>
    </w:p>
    <w:p>
      <w:pPr>
        <w:spacing w:line="360" w:lineRule="auto"/>
        <w:ind w:firstLine="396" w:firstLineChars="200"/>
        <w:rPr>
          <w:rFonts w:ascii="宋体" w:hAnsi="宋体"/>
          <w:spacing w:val="-6"/>
          <w:sz w:val="21"/>
          <w:szCs w:val="21"/>
          <w:highlight w:val="none"/>
        </w:rPr>
      </w:pPr>
      <w:r>
        <w:rPr>
          <w:rFonts w:hint="eastAsia" w:ascii="宋体" w:hAnsi="宋体"/>
          <w:spacing w:val="-6"/>
          <w:sz w:val="21"/>
          <w:szCs w:val="21"/>
          <w:highlight w:val="none"/>
        </w:rPr>
        <w:t>（二）投标人应在投标前完成CA数字证书办理。网上电子投标具体流程详见操作指南：登录政府采购云平台（https://www.zcygov.cn/），从首页-服务中心-帮助文档-公款竞争性存放-操作流程，查看文档。</w:t>
      </w:r>
    </w:p>
    <w:p>
      <w:pPr>
        <w:spacing w:line="360" w:lineRule="auto"/>
        <w:ind w:firstLine="396" w:firstLineChars="200"/>
        <w:rPr>
          <w:rFonts w:ascii="宋体" w:hAnsi="宋体"/>
          <w:spacing w:val="-6"/>
          <w:sz w:val="21"/>
          <w:szCs w:val="21"/>
          <w:highlight w:val="none"/>
        </w:rPr>
      </w:pPr>
      <w:r>
        <w:rPr>
          <w:rFonts w:hint="eastAsia" w:ascii="宋体" w:hAnsi="宋体"/>
          <w:spacing w:val="-6"/>
          <w:sz w:val="21"/>
          <w:szCs w:val="21"/>
          <w:highlight w:val="none"/>
        </w:rPr>
        <w:t>（三）如有疑问，可致电政府采购云平台技术支持热线咨询，联系方式：400-881-7190。</w:t>
      </w:r>
    </w:p>
    <w:p>
      <w:pPr>
        <w:spacing w:line="360" w:lineRule="auto"/>
        <w:rPr>
          <w:rFonts w:ascii="宋体" w:hAnsi="宋体" w:cs="Arial"/>
          <w:b/>
          <w:spacing w:val="-6"/>
          <w:sz w:val="24"/>
          <w:highlight w:val="none"/>
        </w:rPr>
      </w:pPr>
      <w:r>
        <w:rPr>
          <w:rFonts w:hint="eastAsia" w:ascii="宋体" w:hAnsi="宋体" w:cs="Arial"/>
          <w:b/>
          <w:spacing w:val="-6"/>
          <w:sz w:val="24"/>
          <w:highlight w:val="none"/>
        </w:rPr>
        <w:t>十、业务咨询：</w:t>
      </w:r>
    </w:p>
    <w:p>
      <w:pPr>
        <w:widowControl/>
        <w:spacing w:line="360" w:lineRule="auto"/>
        <w:ind w:right="60" w:firstLine="396" w:firstLineChars="200"/>
        <w:jc w:val="left"/>
        <w:rPr>
          <w:rFonts w:hint="eastAsia" w:ascii="宋体" w:hAnsi="宋体" w:cs="宋体"/>
          <w:spacing w:val="-6"/>
          <w:kern w:val="0"/>
          <w:sz w:val="21"/>
          <w:szCs w:val="21"/>
          <w:highlight w:val="none"/>
        </w:rPr>
      </w:pPr>
      <w:r>
        <w:rPr>
          <w:rFonts w:hint="eastAsia" w:ascii="宋体" w:hAnsi="宋体" w:cs="宋体"/>
          <w:spacing w:val="-6"/>
          <w:kern w:val="0"/>
          <w:sz w:val="21"/>
          <w:szCs w:val="21"/>
          <w:highlight w:val="none"/>
        </w:rPr>
        <w:t>招标人名称：杭州电子科技大学</w:t>
      </w:r>
    </w:p>
    <w:p>
      <w:pPr>
        <w:spacing w:line="360" w:lineRule="auto"/>
        <w:ind w:firstLine="420" w:firstLineChars="200"/>
        <w:rPr>
          <w:rFonts w:ascii="宋体" w:hAnsi="宋体"/>
          <w:sz w:val="21"/>
          <w:szCs w:val="21"/>
          <w:highlight w:val="none"/>
        </w:rPr>
      </w:pPr>
      <w:r>
        <w:rPr>
          <w:rFonts w:hint="eastAsia" w:ascii="宋体" w:hAnsi="宋体"/>
          <w:sz w:val="21"/>
          <w:szCs w:val="21"/>
          <w:highlight w:val="none"/>
        </w:rPr>
        <w:t>地址：浙江省杭州市钱塘新区白杨街道2号大街1158号</w:t>
      </w:r>
    </w:p>
    <w:p>
      <w:pPr>
        <w:spacing w:line="360" w:lineRule="auto"/>
        <w:ind w:firstLine="420" w:firstLineChars="200"/>
        <w:rPr>
          <w:rFonts w:hint="eastAsia" w:ascii="宋体" w:hAnsi="宋体"/>
          <w:sz w:val="21"/>
          <w:szCs w:val="21"/>
          <w:highlight w:val="none"/>
        </w:rPr>
      </w:pPr>
      <w:r>
        <w:rPr>
          <w:rFonts w:hint="eastAsia" w:ascii="宋体" w:hAnsi="宋体"/>
          <w:sz w:val="21"/>
          <w:szCs w:val="21"/>
          <w:highlight w:val="none"/>
        </w:rPr>
        <w:t>采购项目联系人：杨老师</w:t>
      </w:r>
    </w:p>
    <w:p>
      <w:pPr>
        <w:widowControl/>
        <w:spacing w:line="360" w:lineRule="auto"/>
        <w:ind w:right="60" w:firstLine="420" w:firstLineChars="200"/>
        <w:jc w:val="left"/>
        <w:rPr>
          <w:rFonts w:ascii="宋体" w:hAnsi="宋体"/>
          <w:sz w:val="21"/>
          <w:szCs w:val="21"/>
          <w:highlight w:val="none"/>
        </w:rPr>
      </w:pPr>
      <w:r>
        <w:rPr>
          <w:rFonts w:ascii="宋体" w:hAnsi="宋体"/>
          <w:sz w:val="21"/>
          <w:szCs w:val="21"/>
          <w:highlight w:val="none"/>
        </w:rPr>
        <w:t>联系方法：0571-86878571</w:t>
      </w:r>
    </w:p>
    <w:p>
      <w:pPr>
        <w:widowControl/>
        <w:spacing w:line="360" w:lineRule="auto"/>
        <w:ind w:right="60" w:firstLine="420" w:firstLineChars="200"/>
        <w:jc w:val="left"/>
        <w:rPr>
          <w:rFonts w:hint="eastAsia" w:ascii="宋体" w:hAnsi="宋体"/>
          <w:sz w:val="21"/>
          <w:szCs w:val="21"/>
          <w:highlight w:val="none"/>
        </w:rPr>
      </w:pPr>
      <w:r>
        <w:rPr>
          <w:rFonts w:hint="eastAsia" w:ascii="宋体" w:hAnsi="宋体"/>
          <w:sz w:val="21"/>
          <w:szCs w:val="21"/>
          <w:highlight w:val="none"/>
        </w:rPr>
        <w:t>招标人</w:t>
      </w:r>
      <w:r>
        <w:rPr>
          <w:rFonts w:hint="eastAsia" w:ascii="宋体" w:hAnsi="宋体"/>
          <w:sz w:val="21"/>
          <w:szCs w:val="21"/>
          <w:highlight w:val="none"/>
          <w:lang w:val="en-US" w:eastAsia="zh-CN"/>
        </w:rPr>
        <w:t>质疑</w:t>
      </w:r>
      <w:r>
        <w:rPr>
          <w:rFonts w:hint="eastAsia" w:ascii="宋体" w:hAnsi="宋体"/>
          <w:sz w:val="21"/>
          <w:szCs w:val="21"/>
          <w:highlight w:val="none"/>
        </w:rPr>
        <w:t>联系人：</w:t>
      </w:r>
      <w:r>
        <w:rPr>
          <w:rFonts w:hint="eastAsia" w:ascii="宋体" w:hAnsi="宋体"/>
          <w:sz w:val="21"/>
          <w:szCs w:val="21"/>
          <w:highlight w:val="none"/>
          <w:lang w:val="en-US" w:eastAsia="zh-CN"/>
        </w:rPr>
        <w:t>李</w:t>
      </w:r>
      <w:r>
        <w:rPr>
          <w:rFonts w:hint="eastAsia" w:ascii="宋体" w:hAnsi="宋体"/>
          <w:sz w:val="21"/>
          <w:szCs w:val="21"/>
          <w:highlight w:val="none"/>
        </w:rPr>
        <w:t>老师</w:t>
      </w:r>
    </w:p>
    <w:p>
      <w:pPr>
        <w:widowControl/>
        <w:spacing w:line="360" w:lineRule="auto"/>
        <w:ind w:right="60" w:firstLine="420" w:firstLineChars="200"/>
        <w:jc w:val="left"/>
        <w:rPr>
          <w:rFonts w:ascii="宋体" w:hAnsi="宋体" w:cs="宋体"/>
          <w:spacing w:val="-6"/>
          <w:kern w:val="0"/>
          <w:sz w:val="21"/>
          <w:szCs w:val="21"/>
          <w:highlight w:val="none"/>
        </w:rPr>
      </w:pPr>
      <w:r>
        <w:rPr>
          <w:rFonts w:hint="eastAsia" w:ascii="宋体" w:hAnsi="宋体"/>
          <w:sz w:val="21"/>
          <w:szCs w:val="21"/>
          <w:highlight w:val="none"/>
        </w:rPr>
        <w:t>联系方法：0571-86878697</w:t>
      </w:r>
    </w:p>
    <w:p>
      <w:pPr>
        <w:widowControl/>
        <w:spacing w:line="360" w:lineRule="auto"/>
        <w:ind w:right="60" w:firstLine="396" w:firstLineChars="200"/>
        <w:jc w:val="left"/>
        <w:rPr>
          <w:rFonts w:ascii="宋体" w:hAnsi="宋体" w:cs="宋体"/>
          <w:spacing w:val="-6"/>
          <w:kern w:val="0"/>
          <w:sz w:val="21"/>
          <w:szCs w:val="21"/>
          <w:highlight w:val="none"/>
        </w:rPr>
      </w:pPr>
      <w:r>
        <w:rPr>
          <w:rFonts w:hint="eastAsia" w:ascii="宋体" w:hAnsi="宋体" w:cs="宋体"/>
          <w:spacing w:val="-6"/>
          <w:kern w:val="0"/>
          <w:sz w:val="21"/>
          <w:szCs w:val="21"/>
          <w:highlight w:val="none"/>
        </w:rPr>
        <w:t>招标代理机构名称：浙江求是招标代理有限公司</w:t>
      </w:r>
    </w:p>
    <w:p>
      <w:pPr>
        <w:widowControl/>
        <w:spacing w:line="360" w:lineRule="auto"/>
        <w:ind w:right="60" w:firstLine="396" w:firstLineChars="200"/>
        <w:jc w:val="left"/>
        <w:rPr>
          <w:rFonts w:hint="eastAsia" w:ascii="宋体" w:hAnsi="宋体" w:eastAsia="宋体" w:cs="宋体"/>
          <w:spacing w:val="-6"/>
          <w:kern w:val="0"/>
          <w:sz w:val="21"/>
          <w:szCs w:val="21"/>
          <w:highlight w:val="none"/>
          <w:lang w:eastAsia="zh-CN"/>
        </w:rPr>
      </w:pPr>
      <w:r>
        <w:rPr>
          <w:rFonts w:hint="eastAsia" w:ascii="宋体" w:hAnsi="宋体" w:cs="宋体"/>
          <w:spacing w:val="-6"/>
          <w:kern w:val="0"/>
          <w:sz w:val="21"/>
          <w:szCs w:val="21"/>
          <w:highlight w:val="none"/>
        </w:rPr>
        <w:t>地址：杭州市西湖区玉古路173号中田大厦</w:t>
      </w:r>
      <w:r>
        <w:rPr>
          <w:rFonts w:hint="eastAsia" w:ascii="宋体" w:hAnsi="宋体" w:cs="宋体"/>
          <w:spacing w:val="-6"/>
          <w:kern w:val="0"/>
          <w:sz w:val="21"/>
          <w:szCs w:val="21"/>
          <w:highlight w:val="none"/>
          <w:lang w:eastAsia="zh-CN"/>
        </w:rPr>
        <w:t>21楼</w:t>
      </w:r>
    </w:p>
    <w:p>
      <w:pPr>
        <w:widowControl/>
        <w:spacing w:line="360" w:lineRule="auto"/>
        <w:ind w:right="60" w:firstLine="396" w:firstLineChars="200"/>
        <w:jc w:val="left"/>
        <w:rPr>
          <w:rFonts w:ascii="宋体" w:hAnsi="宋体" w:cs="宋体"/>
          <w:spacing w:val="-6"/>
          <w:kern w:val="0"/>
          <w:sz w:val="21"/>
          <w:szCs w:val="21"/>
          <w:highlight w:val="none"/>
        </w:rPr>
      </w:pPr>
      <w:r>
        <w:rPr>
          <w:rFonts w:hint="eastAsia" w:ascii="宋体" w:hAnsi="宋体" w:cs="宋体"/>
          <w:spacing w:val="-6"/>
          <w:kern w:val="0"/>
          <w:sz w:val="21"/>
          <w:szCs w:val="21"/>
          <w:highlight w:val="none"/>
        </w:rPr>
        <w:t>业务联系人：陈应俭、俞炳</w:t>
      </w:r>
    </w:p>
    <w:p>
      <w:pPr>
        <w:widowControl/>
        <w:spacing w:line="360" w:lineRule="auto"/>
        <w:ind w:right="60" w:firstLine="396" w:firstLineChars="200"/>
        <w:jc w:val="left"/>
        <w:rPr>
          <w:rFonts w:ascii="宋体" w:hAnsi="宋体" w:cs="宋体"/>
          <w:spacing w:val="-6"/>
          <w:kern w:val="0"/>
          <w:sz w:val="21"/>
          <w:szCs w:val="21"/>
          <w:highlight w:val="none"/>
        </w:rPr>
      </w:pPr>
      <w:r>
        <w:rPr>
          <w:rFonts w:hint="eastAsia" w:ascii="宋体" w:hAnsi="宋体" w:cs="宋体"/>
          <w:spacing w:val="-6"/>
          <w:kern w:val="0"/>
          <w:sz w:val="21"/>
          <w:szCs w:val="21"/>
          <w:highlight w:val="none"/>
        </w:rPr>
        <w:t>联系方法：0571-87670302</w:t>
      </w:r>
    </w:p>
    <w:p>
      <w:pPr>
        <w:widowControl/>
        <w:spacing w:line="360" w:lineRule="auto"/>
        <w:ind w:right="60" w:firstLine="396" w:firstLineChars="200"/>
        <w:jc w:val="left"/>
        <w:rPr>
          <w:rFonts w:hint="eastAsia" w:ascii="宋体" w:hAnsi="宋体" w:eastAsia="宋体" w:cs="宋体"/>
          <w:spacing w:val="-6"/>
          <w:kern w:val="0"/>
          <w:sz w:val="21"/>
          <w:szCs w:val="21"/>
          <w:highlight w:val="none"/>
          <w:lang w:val="en-US" w:eastAsia="zh-CN"/>
        </w:rPr>
      </w:pPr>
      <w:r>
        <w:rPr>
          <w:rFonts w:hint="eastAsia" w:ascii="宋体" w:hAnsi="宋体" w:cs="宋体"/>
          <w:spacing w:val="-6"/>
          <w:kern w:val="0"/>
          <w:sz w:val="21"/>
          <w:szCs w:val="21"/>
          <w:highlight w:val="none"/>
        </w:rPr>
        <w:t>招标代理机构质疑联系人：</w:t>
      </w:r>
      <w:r>
        <w:rPr>
          <w:rFonts w:hint="eastAsia" w:ascii="宋体" w:hAnsi="宋体" w:cs="宋体"/>
          <w:spacing w:val="-6"/>
          <w:kern w:val="0"/>
          <w:sz w:val="21"/>
          <w:szCs w:val="21"/>
          <w:highlight w:val="none"/>
          <w:lang w:val="en-US" w:eastAsia="zh-CN"/>
        </w:rPr>
        <w:t>沈欣颐</w:t>
      </w:r>
    </w:p>
    <w:p>
      <w:pPr>
        <w:widowControl/>
        <w:spacing w:line="360" w:lineRule="auto"/>
        <w:ind w:right="60" w:firstLine="396" w:firstLineChars="200"/>
        <w:jc w:val="left"/>
        <w:rPr>
          <w:rFonts w:ascii="宋体" w:hAnsi="宋体" w:cs="宋体"/>
          <w:spacing w:val="-6"/>
          <w:kern w:val="0"/>
          <w:sz w:val="21"/>
          <w:szCs w:val="21"/>
          <w:highlight w:val="none"/>
        </w:rPr>
      </w:pPr>
      <w:r>
        <w:rPr>
          <w:rFonts w:hint="eastAsia" w:ascii="宋体" w:hAnsi="宋体" w:cs="宋体"/>
          <w:spacing w:val="-6"/>
          <w:kern w:val="0"/>
          <w:sz w:val="21"/>
          <w:szCs w:val="21"/>
          <w:highlight w:val="none"/>
        </w:rPr>
        <w:t>联系方法：0571-81110356</w:t>
      </w:r>
    </w:p>
    <w:p>
      <w:pPr>
        <w:widowControl/>
        <w:spacing w:line="360" w:lineRule="auto"/>
        <w:ind w:right="60" w:firstLine="396" w:firstLineChars="200"/>
        <w:jc w:val="left"/>
        <w:rPr>
          <w:rFonts w:ascii="宋体" w:hAnsi="宋体" w:cs="宋体"/>
          <w:spacing w:val="-6"/>
          <w:kern w:val="0"/>
          <w:sz w:val="21"/>
          <w:szCs w:val="21"/>
          <w:highlight w:val="none"/>
        </w:rPr>
      </w:pPr>
      <w:r>
        <w:rPr>
          <w:rFonts w:hint="eastAsia" w:ascii="宋体" w:hAnsi="宋体" w:cs="宋体"/>
          <w:spacing w:val="-6"/>
          <w:kern w:val="0"/>
          <w:sz w:val="21"/>
          <w:szCs w:val="21"/>
          <w:highlight w:val="none"/>
        </w:rPr>
        <w:t>质疑邮箱：jdkh@qszb.net</w:t>
      </w:r>
    </w:p>
    <w:p>
      <w:pPr>
        <w:spacing w:line="360" w:lineRule="auto"/>
        <w:ind w:firstLine="420" w:firstLineChars="200"/>
        <w:jc w:val="center"/>
        <w:outlineLvl w:val="0"/>
        <w:rPr>
          <w:rFonts w:asciiTheme="minorEastAsia" w:hAnsiTheme="minorEastAsia" w:eastAsiaTheme="minorEastAsia"/>
          <w:sz w:val="21"/>
          <w:szCs w:val="21"/>
          <w:highlight w:val="none"/>
        </w:rPr>
      </w:pPr>
      <w:r>
        <w:rPr>
          <w:rFonts w:hint="eastAsia" w:ascii="宋体" w:hAnsi="宋体"/>
          <w:sz w:val="21"/>
          <w:szCs w:val="21"/>
          <w:highlight w:val="none"/>
        </w:rPr>
        <w:br w:type="page"/>
      </w:r>
      <w:r>
        <w:rPr>
          <w:rFonts w:hint="eastAsia" w:ascii="宋体" w:hAnsi="宋体"/>
          <w:b/>
          <w:sz w:val="32"/>
          <w:szCs w:val="32"/>
          <w:highlight w:val="none"/>
        </w:rPr>
        <w:t xml:space="preserve">第二章  </w:t>
      </w:r>
      <w:r>
        <w:rPr>
          <w:rFonts w:hint="eastAsia" w:ascii="宋体" w:hAnsi="宋体"/>
          <w:b/>
          <w:bCs/>
          <w:sz w:val="32"/>
          <w:szCs w:val="32"/>
          <w:highlight w:val="none"/>
        </w:rPr>
        <w:t>招标需求</w:t>
      </w:r>
    </w:p>
    <w:p>
      <w:pPr>
        <w:adjustRightInd w:val="0"/>
        <w:snapToGrid w:val="0"/>
        <w:spacing w:line="288" w:lineRule="auto"/>
        <w:ind w:firstLine="420" w:firstLineChars="200"/>
        <w:rPr>
          <w:rFonts w:ascii="宋体" w:hAnsi="宋体" w:cs="宋体"/>
          <w:spacing w:val="-6"/>
          <w:kern w:val="0"/>
          <w:sz w:val="21"/>
          <w:szCs w:val="21"/>
          <w:highlight w:val="none"/>
        </w:rPr>
      </w:pPr>
      <w:r>
        <w:rPr>
          <w:rFonts w:hint="eastAsia" w:asciiTheme="minorEastAsia" w:hAnsiTheme="minorEastAsia" w:eastAsiaTheme="minorEastAsia"/>
          <w:sz w:val="21"/>
          <w:szCs w:val="21"/>
          <w:highlight w:val="none"/>
        </w:rPr>
        <w:t>本次招标采用综合评分法，招标确</w:t>
      </w:r>
      <w:r>
        <w:rPr>
          <w:rFonts w:hint="eastAsia" w:ascii="宋体" w:hAnsi="宋体" w:cs="宋体"/>
          <w:spacing w:val="-6"/>
          <w:kern w:val="0"/>
          <w:sz w:val="21"/>
          <w:szCs w:val="21"/>
          <w:highlight w:val="none"/>
        </w:rPr>
        <w:t>定5家银行机构负责提供</w:t>
      </w:r>
      <w:r>
        <w:rPr>
          <w:rFonts w:hint="eastAsia" w:ascii="宋体" w:hAnsi="宋体" w:cs="宋体"/>
          <w:spacing w:val="-6"/>
          <w:kern w:val="0"/>
          <w:sz w:val="21"/>
          <w:szCs w:val="21"/>
          <w:highlight w:val="none"/>
          <w:lang w:eastAsia="zh-CN"/>
        </w:rPr>
        <w:t>杭州电子科技大学2023年第二期公款竞争性存放</w:t>
      </w:r>
      <w:r>
        <w:rPr>
          <w:rFonts w:hint="eastAsia" w:ascii="宋体" w:hAnsi="宋体" w:cs="宋体"/>
          <w:spacing w:val="-6"/>
          <w:kern w:val="0"/>
          <w:sz w:val="21"/>
          <w:szCs w:val="21"/>
          <w:highlight w:val="none"/>
        </w:rPr>
        <w:t>服务。</w:t>
      </w:r>
    </w:p>
    <w:p>
      <w:pPr>
        <w:adjustRightInd w:val="0"/>
        <w:snapToGrid w:val="0"/>
        <w:spacing w:line="288" w:lineRule="auto"/>
        <w:ind w:firstLine="396" w:firstLineChars="200"/>
        <w:rPr>
          <w:rFonts w:ascii="宋体" w:hAnsi="宋体" w:cs="宋体"/>
          <w:spacing w:val="-6"/>
          <w:kern w:val="0"/>
          <w:sz w:val="21"/>
          <w:szCs w:val="21"/>
          <w:highlight w:val="none"/>
        </w:rPr>
      </w:pPr>
      <w:r>
        <w:rPr>
          <w:rFonts w:hint="eastAsia" w:ascii="宋体" w:hAnsi="宋体" w:cs="宋体"/>
          <w:spacing w:val="-6"/>
          <w:kern w:val="0"/>
          <w:sz w:val="21"/>
          <w:szCs w:val="21"/>
          <w:highlight w:val="none"/>
        </w:rPr>
        <w:t>服务要求：</w:t>
      </w:r>
    </w:p>
    <w:tbl>
      <w:tblPr>
        <w:tblStyle w:val="24"/>
        <w:tblW w:w="949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04"/>
        <w:gridCol w:w="1838"/>
        <w:gridCol w:w="1417"/>
        <w:gridCol w:w="48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Ex>
        <w:trPr>
          <w:trHeight w:val="496" w:hRule="atLeast"/>
        </w:trPr>
        <w:tc>
          <w:tcPr>
            <w:tcW w:w="140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sz w:val="21"/>
                <w:szCs w:val="21"/>
                <w:highlight w:val="none"/>
              </w:rPr>
            </w:pPr>
            <w:r>
              <w:rPr>
                <w:rFonts w:hint="eastAsia" w:ascii="宋体" w:hAnsi="宋体" w:cs="宋体"/>
                <w:sz w:val="21"/>
                <w:szCs w:val="21"/>
                <w:highlight w:val="none"/>
              </w:rPr>
              <w:t>采购内容</w:t>
            </w:r>
          </w:p>
        </w:tc>
        <w:tc>
          <w:tcPr>
            <w:tcW w:w="183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sz w:val="21"/>
                <w:szCs w:val="21"/>
                <w:highlight w:val="none"/>
              </w:rPr>
            </w:pPr>
            <w:r>
              <w:rPr>
                <w:rFonts w:hint="eastAsia" w:ascii="宋体" w:hAnsi="宋体" w:cs="宋体"/>
                <w:sz w:val="21"/>
                <w:szCs w:val="21"/>
                <w:highlight w:val="none"/>
              </w:rPr>
              <w:t>存放总金额</w:t>
            </w:r>
          </w:p>
          <w:p>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sz w:val="21"/>
                <w:szCs w:val="21"/>
                <w:highlight w:val="none"/>
              </w:rPr>
            </w:pPr>
            <w:r>
              <w:rPr>
                <w:rFonts w:hint="eastAsia" w:ascii="宋体" w:hAnsi="宋体" w:cs="宋体"/>
                <w:sz w:val="21"/>
                <w:szCs w:val="21"/>
                <w:highlight w:val="none"/>
              </w:rPr>
              <w:t>（万元）</w:t>
            </w:r>
          </w:p>
        </w:tc>
        <w:tc>
          <w:tcPr>
            <w:tcW w:w="141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sz w:val="21"/>
                <w:szCs w:val="21"/>
                <w:highlight w:val="none"/>
              </w:rPr>
            </w:pPr>
            <w:r>
              <w:rPr>
                <w:rFonts w:hint="eastAsia" w:ascii="宋体" w:hAnsi="宋体" w:cs="宋体"/>
                <w:sz w:val="21"/>
                <w:szCs w:val="21"/>
                <w:highlight w:val="none"/>
              </w:rPr>
              <w:t>选择银行</w:t>
            </w:r>
          </w:p>
          <w:p>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sz w:val="21"/>
                <w:szCs w:val="21"/>
                <w:highlight w:val="none"/>
              </w:rPr>
            </w:pPr>
            <w:r>
              <w:rPr>
                <w:rFonts w:hint="eastAsia" w:ascii="宋体" w:hAnsi="宋体" w:cs="宋体"/>
                <w:sz w:val="21"/>
                <w:szCs w:val="21"/>
                <w:highlight w:val="none"/>
              </w:rPr>
              <w:t>（家）</w:t>
            </w:r>
          </w:p>
        </w:tc>
        <w:tc>
          <w:tcPr>
            <w:tcW w:w="483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sz w:val="21"/>
                <w:szCs w:val="21"/>
                <w:highlight w:val="none"/>
              </w:rPr>
            </w:pPr>
            <w:r>
              <w:rPr>
                <w:rFonts w:hint="eastAsia" w:ascii="宋体" w:hAnsi="宋体" w:cs="宋体"/>
                <w:sz w:val="21"/>
                <w:szCs w:val="21"/>
                <w:highlight w:val="none"/>
              </w:rPr>
              <w:t>资金分配及存放说明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89" w:hRule="atLeast"/>
        </w:trPr>
        <w:tc>
          <w:tcPr>
            <w:tcW w:w="1404"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sz w:val="21"/>
                <w:szCs w:val="21"/>
                <w:highlight w:val="none"/>
              </w:rPr>
            </w:pPr>
            <w:r>
              <w:rPr>
                <w:rFonts w:hint="eastAsia" w:ascii="宋体" w:hAnsi="宋体" w:cs="宋体"/>
                <w:sz w:val="21"/>
                <w:szCs w:val="21"/>
                <w:highlight w:val="none"/>
              </w:rPr>
              <w:t>定期存款</w:t>
            </w:r>
          </w:p>
        </w:tc>
        <w:tc>
          <w:tcPr>
            <w:tcW w:w="183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sz w:val="21"/>
                <w:szCs w:val="21"/>
                <w:highlight w:val="none"/>
              </w:rPr>
            </w:pPr>
            <w:r>
              <w:rPr>
                <w:rFonts w:hint="eastAsia" w:ascii="宋体" w:hAnsi="宋体" w:cs="宋体"/>
                <w:sz w:val="21"/>
                <w:szCs w:val="21"/>
                <w:highlight w:val="none"/>
                <w:lang w:val="en-US" w:eastAsia="zh-CN"/>
              </w:rPr>
              <w:t>12000</w:t>
            </w:r>
          </w:p>
        </w:tc>
        <w:tc>
          <w:tcPr>
            <w:tcW w:w="141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sz w:val="21"/>
                <w:szCs w:val="21"/>
                <w:highlight w:val="none"/>
              </w:rPr>
            </w:pPr>
            <w:r>
              <w:rPr>
                <w:rFonts w:hint="eastAsia" w:ascii="宋体" w:hAnsi="宋体" w:cs="宋体"/>
                <w:sz w:val="21"/>
                <w:szCs w:val="21"/>
                <w:highlight w:val="none"/>
              </w:rPr>
              <w:t>5</w:t>
            </w:r>
          </w:p>
        </w:tc>
        <w:tc>
          <w:tcPr>
            <w:tcW w:w="483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360" w:lineRule="auto"/>
              <w:ind w:left="0" w:right="0"/>
              <w:jc w:val="left"/>
              <w:rPr>
                <w:rFonts w:hint="default" w:ascii="宋体" w:hAnsi="宋体"/>
                <w:sz w:val="21"/>
                <w:szCs w:val="21"/>
                <w:highlight w:val="none"/>
              </w:rPr>
            </w:pPr>
            <w:r>
              <w:rPr>
                <w:rFonts w:hint="eastAsia" w:ascii="宋体" w:hAnsi="宋体" w:cs="宋体"/>
                <w:spacing w:val="-6"/>
                <w:kern w:val="0"/>
                <w:sz w:val="21"/>
                <w:szCs w:val="21"/>
                <w:highlight w:val="none"/>
                <w:lang w:eastAsia="zh-CN"/>
              </w:rPr>
              <w:t>杭州电子科技大学</w:t>
            </w:r>
            <w:r>
              <w:rPr>
                <w:rFonts w:hint="eastAsia" w:ascii="宋体" w:hAnsi="宋体" w:cs="宋体"/>
                <w:spacing w:val="-6"/>
                <w:kern w:val="0"/>
                <w:sz w:val="21"/>
                <w:szCs w:val="21"/>
                <w:highlight w:val="none"/>
              </w:rPr>
              <w:t>选定5家银行机构定期存放公款，按照本次招标结果排名顺序选择五家银行选择资金存放，</w:t>
            </w:r>
            <w:r>
              <w:rPr>
                <w:rFonts w:hint="eastAsia" w:ascii="宋体" w:hAnsi="宋体" w:cs="宋体"/>
                <w:color w:val="auto"/>
                <w:spacing w:val="-6"/>
                <w:kern w:val="0"/>
                <w:sz w:val="21"/>
                <w:szCs w:val="21"/>
                <w:highlight w:val="none"/>
              </w:rPr>
              <w:t>第1名</w:t>
            </w:r>
            <w:r>
              <w:rPr>
                <w:rFonts w:hint="eastAsia" w:ascii="宋体" w:hAnsi="宋体" w:cs="宋体"/>
                <w:color w:val="auto"/>
                <w:spacing w:val="-6"/>
                <w:kern w:val="0"/>
                <w:sz w:val="21"/>
                <w:szCs w:val="21"/>
                <w:highlight w:val="none"/>
                <w:lang w:val="en-US" w:eastAsia="zh-CN"/>
              </w:rPr>
              <w:t>2400</w:t>
            </w:r>
            <w:r>
              <w:rPr>
                <w:rFonts w:hint="eastAsia" w:ascii="宋体" w:hAnsi="宋体" w:cs="宋体"/>
                <w:color w:val="auto"/>
                <w:spacing w:val="-6"/>
                <w:kern w:val="0"/>
                <w:sz w:val="21"/>
                <w:szCs w:val="21"/>
                <w:highlight w:val="none"/>
              </w:rPr>
              <w:t>万元，第2名</w:t>
            </w:r>
            <w:r>
              <w:rPr>
                <w:rFonts w:hint="eastAsia" w:ascii="宋体" w:hAnsi="宋体" w:cs="宋体"/>
                <w:color w:val="auto"/>
                <w:spacing w:val="-6"/>
                <w:kern w:val="0"/>
                <w:sz w:val="21"/>
                <w:szCs w:val="21"/>
                <w:highlight w:val="none"/>
                <w:lang w:val="en-US" w:eastAsia="zh-CN"/>
              </w:rPr>
              <w:t>2400</w:t>
            </w:r>
            <w:r>
              <w:rPr>
                <w:rFonts w:hint="eastAsia" w:ascii="宋体" w:hAnsi="宋体" w:cs="宋体"/>
                <w:color w:val="auto"/>
                <w:spacing w:val="-6"/>
                <w:kern w:val="0"/>
                <w:sz w:val="21"/>
                <w:szCs w:val="21"/>
                <w:highlight w:val="none"/>
              </w:rPr>
              <w:t>万元，第3名</w:t>
            </w:r>
            <w:r>
              <w:rPr>
                <w:rFonts w:hint="eastAsia" w:ascii="宋体" w:hAnsi="宋体" w:cs="宋体"/>
                <w:color w:val="auto"/>
                <w:spacing w:val="-6"/>
                <w:kern w:val="0"/>
                <w:sz w:val="21"/>
                <w:szCs w:val="21"/>
                <w:highlight w:val="none"/>
                <w:lang w:eastAsia="zh-CN"/>
              </w:rPr>
              <w:t>2400</w:t>
            </w:r>
            <w:r>
              <w:rPr>
                <w:rFonts w:hint="eastAsia" w:ascii="宋体" w:hAnsi="宋体" w:cs="宋体"/>
                <w:color w:val="auto"/>
                <w:spacing w:val="-6"/>
                <w:kern w:val="0"/>
                <w:sz w:val="21"/>
                <w:szCs w:val="21"/>
                <w:highlight w:val="none"/>
              </w:rPr>
              <w:t>万元，第4名</w:t>
            </w:r>
            <w:r>
              <w:rPr>
                <w:rFonts w:hint="eastAsia" w:ascii="宋体" w:hAnsi="宋体" w:cs="宋体"/>
                <w:color w:val="auto"/>
                <w:spacing w:val="-6"/>
                <w:kern w:val="0"/>
                <w:sz w:val="21"/>
                <w:szCs w:val="21"/>
                <w:highlight w:val="none"/>
                <w:lang w:eastAsia="zh-CN"/>
              </w:rPr>
              <w:t>2400</w:t>
            </w:r>
            <w:r>
              <w:rPr>
                <w:rFonts w:hint="eastAsia" w:ascii="宋体" w:hAnsi="宋体" w:cs="宋体"/>
                <w:color w:val="auto"/>
                <w:spacing w:val="-6"/>
                <w:kern w:val="0"/>
                <w:sz w:val="21"/>
                <w:szCs w:val="21"/>
                <w:highlight w:val="none"/>
              </w:rPr>
              <w:t>万元，第5名</w:t>
            </w:r>
            <w:r>
              <w:rPr>
                <w:rFonts w:hint="eastAsia" w:ascii="宋体" w:hAnsi="宋体" w:cs="宋体"/>
                <w:color w:val="auto"/>
                <w:spacing w:val="-6"/>
                <w:kern w:val="0"/>
                <w:sz w:val="21"/>
                <w:szCs w:val="21"/>
                <w:highlight w:val="none"/>
                <w:lang w:eastAsia="zh-CN"/>
              </w:rPr>
              <w:t>2400</w:t>
            </w:r>
            <w:r>
              <w:rPr>
                <w:rFonts w:hint="eastAsia" w:ascii="宋体" w:hAnsi="宋体" w:cs="宋体"/>
                <w:color w:val="auto"/>
                <w:spacing w:val="-6"/>
                <w:kern w:val="0"/>
                <w:sz w:val="21"/>
                <w:szCs w:val="21"/>
                <w:highlight w:val="none"/>
              </w:rPr>
              <w:t>万元。</w:t>
            </w:r>
            <w:r>
              <w:rPr>
                <w:rFonts w:hint="eastAsia" w:ascii="宋体" w:hAnsi="宋体" w:cs="宋体"/>
                <w:spacing w:val="-6"/>
                <w:kern w:val="0"/>
                <w:sz w:val="21"/>
                <w:szCs w:val="21"/>
                <w:highlight w:val="none"/>
              </w:rPr>
              <w:t>根据学校资金情况，先存放到第1名，第1名存放金额完成后再存放到第2名，以此类推，足额存放五家银行。</w:t>
            </w:r>
          </w:p>
        </w:tc>
      </w:tr>
    </w:tbl>
    <w:p>
      <w:pPr>
        <w:adjustRightInd w:val="0"/>
        <w:snapToGrid w:val="0"/>
        <w:spacing w:line="360" w:lineRule="auto"/>
        <w:ind w:firstLine="396" w:firstLineChars="200"/>
        <w:rPr>
          <w:rFonts w:ascii="宋体" w:hAnsi="宋体" w:cs="宋体"/>
          <w:spacing w:val="-6"/>
          <w:kern w:val="0"/>
          <w:sz w:val="21"/>
          <w:szCs w:val="21"/>
          <w:highlight w:val="none"/>
        </w:rPr>
      </w:pPr>
      <w:r>
        <w:rPr>
          <w:rFonts w:hint="eastAsia" w:ascii="宋体" w:hAnsi="宋体" w:cs="宋体"/>
          <w:spacing w:val="-6"/>
          <w:kern w:val="0"/>
          <w:sz w:val="21"/>
          <w:szCs w:val="21"/>
          <w:highlight w:val="none"/>
        </w:rPr>
        <w:t>（一）严格按照《关于防止领导干部在公款存放方面发生利益冲突和利益输送的办法》（浙委办发〔2015〕8号)、《浙江省教育厅公款竞争性存放实施细则》（浙教财〔2019〕46号)、《浙江省财政厅关于印发浙江省省级行政事业单位公款竞争性存放管理办法的通知》（浙财预执〔2021〕7号）等公款存放的制度规定，办理各项业务，保证资金的安全性。遇到有被银监局降级等特殊情况，会危及资金安全的需要在情况发生3天内及时通知招标人。</w:t>
      </w:r>
    </w:p>
    <w:p>
      <w:pPr>
        <w:adjustRightInd w:val="0"/>
        <w:snapToGrid w:val="0"/>
        <w:spacing w:line="360" w:lineRule="auto"/>
        <w:ind w:firstLine="396" w:firstLineChars="200"/>
        <w:rPr>
          <w:rFonts w:ascii="宋体" w:hAnsi="宋体" w:cs="宋体"/>
          <w:sz w:val="21"/>
          <w:szCs w:val="21"/>
          <w:highlight w:val="none"/>
        </w:rPr>
      </w:pPr>
      <w:r>
        <w:rPr>
          <w:rFonts w:hint="eastAsia" w:ascii="宋体" w:hAnsi="宋体" w:cs="宋体"/>
          <w:spacing w:val="-6"/>
          <w:kern w:val="0"/>
          <w:sz w:val="21"/>
          <w:szCs w:val="21"/>
          <w:highlight w:val="none"/>
        </w:rPr>
        <w:t>（二）本项目定期存款存期1年。续存按《浙江省财政厅关于印发浙江省省级行政事业单位公款竞争性存放管理办法的通知》（浙财预执〔2021〕7号）</w:t>
      </w:r>
      <w:r>
        <w:rPr>
          <w:rFonts w:hint="eastAsia" w:ascii="宋体" w:hAnsi="宋体" w:cs="宋体"/>
          <w:sz w:val="21"/>
          <w:szCs w:val="21"/>
          <w:highlight w:val="none"/>
        </w:rPr>
        <w:t>规定执行。凡发现并经核实中标人未遵守廉政承诺或者在资金存放中存在其他利益输送行为的，</w:t>
      </w:r>
      <w:r>
        <w:rPr>
          <w:rFonts w:hint="eastAsia" w:ascii="宋体" w:hAnsi="宋体" w:cs="宋体"/>
          <w:spacing w:val="-6"/>
          <w:kern w:val="0"/>
          <w:sz w:val="21"/>
          <w:szCs w:val="21"/>
          <w:highlight w:val="none"/>
        </w:rPr>
        <w:t>招标人</w:t>
      </w:r>
      <w:r>
        <w:rPr>
          <w:rFonts w:hint="eastAsia" w:ascii="宋体" w:hAnsi="宋体" w:cs="宋体"/>
          <w:sz w:val="21"/>
          <w:szCs w:val="21"/>
          <w:highlight w:val="none"/>
        </w:rPr>
        <w:t>有权提前收回资金。</w:t>
      </w:r>
    </w:p>
    <w:p>
      <w:pPr>
        <w:adjustRightInd w:val="0"/>
        <w:snapToGrid w:val="0"/>
        <w:spacing w:line="360" w:lineRule="auto"/>
        <w:ind w:firstLine="420" w:firstLineChars="200"/>
        <w:rPr>
          <w:rFonts w:ascii="宋体" w:hAnsi="宋体" w:cs="宋体"/>
          <w:sz w:val="21"/>
          <w:szCs w:val="21"/>
          <w:highlight w:val="none"/>
        </w:rPr>
      </w:pPr>
      <w:r>
        <w:rPr>
          <w:rFonts w:hint="eastAsia" w:ascii="宋体" w:hAnsi="宋体" w:cs="宋体"/>
          <w:sz w:val="21"/>
          <w:szCs w:val="21"/>
          <w:highlight w:val="none"/>
        </w:rPr>
        <w:t>（三）按中标利率对公款资金进行计息，定期存款到期时应及时将本息打入</w:t>
      </w:r>
      <w:r>
        <w:rPr>
          <w:rFonts w:hint="eastAsia" w:ascii="宋体" w:hAnsi="宋体" w:cs="宋体"/>
          <w:spacing w:val="-6"/>
          <w:kern w:val="0"/>
          <w:sz w:val="21"/>
          <w:szCs w:val="21"/>
          <w:highlight w:val="none"/>
        </w:rPr>
        <w:t>招标人</w:t>
      </w:r>
      <w:r>
        <w:rPr>
          <w:rFonts w:hint="eastAsia" w:ascii="宋体" w:hAnsi="宋体" w:cs="宋体"/>
          <w:sz w:val="21"/>
          <w:szCs w:val="21"/>
          <w:highlight w:val="none"/>
        </w:rPr>
        <w:t>账户。不能以任何理由拒绝办理或部分办理。</w:t>
      </w:r>
    </w:p>
    <w:p>
      <w:pPr>
        <w:adjustRightInd w:val="0"/>
        <w:snapToGrid w:val="0"/>
        <w:spacing w:line="360" w:lineRule="auto"/>
        <w:ind w:firstLine="420" w:firstLineChars="200"/>
        <w:rPr>
          <w:rFonts w:ascii="宋体" w:hAnsi="宋体" w:cs="宋体"/>
          <w:sz w:val="21"/>
          <w:szCs w:val="21"/>
          <w:highlight w:val="none"/>
        </w:rPr>
      </w:pPr>
      <w:r>
        <w:rPr>
          <w:rFonts w:hint="eastAsia" w:ascii="宋体" w:hAnsi="宋体" w:cs="宋体"/>
          <w:sz w:val="21"/>
          <w:szCs w:val="21"/>
          <w:highlight w:val="none"/>
        </w:rPr>
        <w:t>（四）有专人负责办理相关业务，及时上门提供定期账单，重大金额及重要事项当天送达。</w:t>
      </w:r>
    </w:p>
    <w:p>
      <w:pPr>
        <w:adjustRightInd w:val="0"/>
        <w:snapToGrid w:val="0"/>
        <w:spacing w:line="360" w:lineRule="auto"/>
        <w:ind w:firstLine="420" w:firstLineChars="200"/>
        <w:rPr>
          <w:rFonts w:ascii="宋体" w:hAnsi="宋体" w:cs="宋体"/>
          <w:sz w:val="21"/>
          <w:szCs w:val="21"/>
          <w:highlight w:val="none"/>
        </w:rPr>
      </w:pPr>
      <w:r>
        <w:rPr>
          <w:rFonts w:hint="eastAsia" w:ascii="宋体" w:hAnsi="宋体" w:cs="宋体"/>
          <w:sz w:val="21"/>
          <w:szCs w:val="21"/>
          <w:highlight w:val="none"/>
        </w:rPr>
        <w:t>（五）免收银行各项业务手续费。</w:t>
      </w:r>
    </w:p>
    <w:p>
      <w:pPr>
        <w:adjustRightInd w:val="0"/>
        <w:snapToGrid w:val="0"/>
        <w:spacing w:line="360" w:lineRule="auto"/>
        <w:ind w:firstLine="420" w:firstLineChars="200"/>
        <w:rPr>
          <w:rFonts w:hint="eastAsia" w:ascii="宋体" w:hAnsi="宋体" w:cs="宋体"/>
          <w:sz w:val="21"/>
          <w:szCs w:val="21"/>
          <w:highlight w:val="none"/>
        </w:rPr>
      </w:pPr>
      <w:r>
        <w:rPr>
          <w:rFonts w:hint="eastAsia" w:ascii="宋体" w:hAnsi="宋体" w:cs="宋体"/>
          <w:sz w:val="21"/>
          <w:szCs w:val="21"/>
          <w:highlight w:val="none"/>
        </w:rPr>
        <w:t>（六）遇到需要提前支取的情况，应该在核对相应的材料后给予绿色通道快速处理，不得拖延。提前支取规则：</w:t>
      </w:r>
      <w:r>
        <w:rPr>
          <w:rFonts w:hint="eastAsia" w:ascii="宋体" w:hAnsi="宋体" w:cs="宋体"/>
          <w:sz w:val="21"/>
          <w:szCs w:val="21"/>
          <w:highlight w:val="none"/>
        </w:rPr>
        <w:t>存款如需提前支取，则从排名靠后的银行开始。</w:t>
      </w:r>
    </w:p>
    <w:p>
      <w:pPr>
        <w:adjustRightInd w:val="0"/>
        <w:snapToGrid w:val="0"/>
        <w:spacing w:line="360" w:lineRule="auto"/>
        <w:ind w:firstLine="420" w:firstLineChars="200"/>
        <w:rPr>
          <w:rFonts w:ascii="宋体" w:hAnsi="宋体" w:cs="宋体"/>
          <w:sz w:val="21"/>
          <w:szCs w:val="21"/>
          <w:highlight w:val="none"/>
        </w:rPr>
      </w:pPr>
      <w:r>
        <w:rPr>
          <w:rFonts w:hint="eastAsia" w:ascii="宋体" w:hAnsi="宋体" w:cs="宋体"/>
          <w:sz w:val="21"/>
          <w:szCs w:val="21"/>
          <w:highlight w:val="none"/>
          <w:lang w:eastAsia="zh-CN"/>
        </w:rPr>
        <w:t>（</w:t>
      </w:r>
      <w:r>
        <w:rPr>
          <w:rFonts w:hint="eastAsia" w:ascii="宋体" w:hAnsi="宋体" w:cs="宋体"/>
          <w:sz w:val="21"/>
          <w:szCs w:val="21"/>
          <w:highlight w:val="none"/>
          <w:lang w:val="en-US" w:eastAsia="zh-CN"/>
        </w:rPr>
        <w:t>七</w:t>
      </w:r>
      <w:r>
        <w:rPr>
          <w:rFonts w:hint="eastAsia" w:ascii="宋体" w:hAnsi="宋体" w:cs="宋体"/>
          <w:sz w:val="21"/>
          <w:szCs w:val="21"/>
          <w:highlight w:val="none"/>
          <w:lang w:eastAsia="zh-CN"/>
        </w:rPr>
        <w:t>）</w:t>
      </w:r>
      <w:r>
        <w:rPr>
          <w:rFonts w:hint="eastAsia" w:ascii="宋体" w:hAnsi="宋体" w:cs="宋体"/>
          <w:sz w:val="21"/>
          <w:szCs w:val="21"/>
          <w:highlight w:val="none"/>
        </w:rPr>
        <w:t>在存款协议执行期间，如招标人的存放资金总额超过1.2亿元的，则超过招标存款部分按中标银行先后排位以500万为整数单位每家银行不超过1000万元逐位安排。</w:t>
      </w:r>
    </w:p>
    <w:p>
      <w:pPr>
        <w:adjustRightInd w:val="0"/>
        <w:snapToGrid w:val="0"/>
        <w:spacing w:line="360" w:lineRule="auto"/>
        <w:ind w:firstLine="420" w:firstLineChars="200"/>
        <w:rPr>
          <w:rFonts w:ascii="宋体" w:hAnsi="宋体" w:cs="宋体"/>
          <w:sz w:val="21"/>
          <w:szCs w:val="21"/>
          <w:highlight w:val="none"/>
        </w:rPr>
      </w:pPr>
      <w:r>
        <w:rPr>
          <w:rFonts w:hint="eastAsia" w:ascii="宋体" w:hAnsi="宋体" w:cs="宋体"/>
          <w:sz w:val="21"/>
          <w:szCs w:val="21"/>
          <w:highlight w:val="none"/>
        </w:rPr>
        <w:t>（</w:t>
      </w:r>
      <w:r>
        <w:rPr>
          <w:rFonts w:hint="eastAsia" w:ascii="宋体" w:hAnsi="宋体" w:cs="宋体"/>
          <w:sz w:val="21"/>
          <w:szCs w:val="21"/>
          <w:highlight w:val="none"/>
          <w:lang w:val="en-US" w:eastAsia="zh-CN"/>
        </w:rPr>
        <w:t>八</w:t>
      </w:r>
      <w:r>
        <w:rPr>
          <w:rFonts w:hint="eastAsia" w:ascii="宋体" w:hAnsi="宋体" w:cs="宋体"/>
          <w:sz w:val="21"/>
          <w:szCs w:val="21"/>
          <w:highlight w:val="none"/>
        </w:rPr>
        <w:t>）投标人应在投标文件中对服务内容明确承诺，承诺内容必须达到本章及招标文件其他条款的要求。</w:t>
      </w:r>
    </w:p>
    <w:p>
      <w:pPr>
        <w:adjustRightInd w:val="0"/>
        <w:snapToGrid w:val="0"/>
        <w:spacing w:line="360" w:lineRule="auto"/>
        <w:ind w:firstLine="396" w:firstLineChars="200"/>
        <w:rPr>
          <w:rFonts w:ascii="宋体" w:hAnsi="宋体" w:cs="宋体"/>
          <w:sz w:val="21"/>
          <w:szCs w:val="21"/>
          <w:highlight w:val="none"/>
        </w:rPr>
      </w:pPr>
      <w:r>
        <w:rPr>
          <w:rFonts w:hint="eastAsia" w:ascii="宋体" w:hAnsi="宋体"/>
          <w:spacing w:val="-6"/>
          <w:kern w:val="0"/>
          <w:sz w:val="21"/>
          <w:szCs w:val="21"/>
          <w:highlight w:val="none"/>
        </w:rPr>
        <w:t>（</w:t>
      </w:r>
      <w:r>
        <w:rPr>
          <w:rFonts w:hint="eastAsia" w:ascii="宋体" w:hAnsi="宋体"/>
          <w:spacing w:val="-6"/>
          <w:kern w:val="0"/>
          <w:sz w:val="21"/>
          <w:szCs w:val="21"/>
          <w:highlight w:val="none"/>
          <w:lang w:val="en-US" w:eastAsia="zh-CN"/>
        </w:rPr>
        <w:t>九</w:t>
      </w:r>
      <w:r>
        <w:rPr>
          <w:rFonts w:hint="eastAsia" w:ascii="宋体" w:hAnsi="宋体"/>
          <w:spacing w:val="-6"/>
          <w:kern w:val="0"/>
          <w:sz w:val="21"/>
          <w:szCs w:val="21"/>
          <w:highlight w:val="none"/>
        </w:rPr>
        <w:t>）根据《浙江省财政厅关于印发浙江省省级行政事业单位公款竞争性存放管理办法的通知》（浙财预执〔2021〕7号）的规定，已经招标人校领导班子集体研究决定，同意在本期招标定期存款到期后续存原中标银行1年，后一年度将不再重新组织招投标。续存原中标银行的定期存款利率符合国家政策要求且不低于省级行政事业单位在“浙江政府采购网”上公布的最近同期限中标利率。</w:t>
      </w:r>
    </w:p>
    <w:p>
      <w:pPr>
        <w:adjustRightInd w:val="0"/>
        <w:snapToGrid w:val="0"/>
        <w:spacing w:line="360" w:lineRule="auto"/>
        <w:ind w:firstLine="420" w:firstLineChars="200"/>
        <w:rPr>
          <w:rFonts w:ascii="宋体" w:hAnsi="宋体" w:cs="宋体"/>
          <w:sz w:val="21"/>
          <w:szCs w:val="21"/>
          <w:highlight w:val="none"/>
        </w:rPr>
      </w:pPr>
      <w:r>
        <w:rPr>
          <w:rFonts w:hint="eastAsia" w:ascii="宋体" w:hAnsi="宋体" w:cs="宋体"/>
          <w:sz w:val="21"/>
          <w:szCs w:val="21"/>
          <w:highlight w:val="none"/>
        </w:rPr>
        <w:t>（</w:t>
      </w:r>
      <w:r>
        <w:rPr>
          <w:rFonts w:hint="eastAsia" w:ascii="宋体" w:hAnsi="宋体" w:cs="宋体"/>
          <w:sz w:val="21"/>
          <w:szCs w:val="21"/>
          <w:highlight w:val="none"/>
          <w:lang w:val="en-US" w:eastAsia="zh-CN"/>
        </w:rPr>
        <w:t>十</w:t>
      </w:r>
      <w:r>
        <w:rPr>
          <w:rFonts w:hint="eastAsia" w:ascii="宋体" w:hAnsi="宋体" w:cs="宋体"/>
          <w:sz w:val="21"/>
          <w:szCs w:val="21"/>
          <w:highlight w:val="none"/>
        </w:rPr>
        <w:t>）基本要求：</w:t>
      </w:r>
    </w:p>
    <w:p>
      <w:pPr>
        <w:adjustRightInd w:val="0"/>
        <w:snapToGrid w:val="0"/>
        <w:spacing w:line="360" w:lineRule="auto"/>
        <w:ind w:firstLine="420" w:firstLineChars="200"/>
        <w:rPr>
          <w:rFonts w:ascii="宋体" w:hAnsi="宋体" w:cs="宋体"/>
          <w:sz w:val="21"/>
          <w:szCs w:val="21"/>
          <w:highlight w:val="none"/>
        </w:rPr>
      </w:pPr>
      <w:r>
        <w:rPr>
          <w:rFonts w:hint="eastAsia" w:ascii="宋体" w:hAnsi="宋体" w:cs="宋体"/>
          <w:sz w:val="21"/>
          <w:szCs w:val="21"/>
          <w:highlight w:val="none"/>
        </w:rPr>
        <w:t>1.本次投标报价为一年定期存款年利率。以现行中国人民银行定期存款基准年利率为基数，填报加基点，定期存款年利率为定期存款基准年利率+基点。本期年利率设保底价为招标公告发布当日中国人民银行公布的整存整取的定期存款基准利率,定期存款基准年利率以实际公款存入日中国人民银行公布基准年利率为准。增加基点（BP）按现行利率政策规定范围填写。</w:t>
      </w:r>
    </w:p>
    <w:p>
      <w:pPr>
        <w:adjustRightInd w:val="0"/>
        <w:snapToGrid w:val="0"/>
        <w:spacing w:line="360" w:lineRule="auto"/>
        <w:ind w:firstLine="420" w:firstLineChars="200"/>
        <w:rPr>
          <w:rFonts w:ascii="宋体" w:hAnsi="宋体" w:cs="宋体"/>
          <w:sz w:val="21"/>
          <w:szCs w:val="21"/>
          <w:highlight w:val="none"/>
        </w:rPr>
      </w:pPr>
      <w:r>
        <w:rPr>
          <w:rFonts w:hint="eastAsia" w:ascii="宋体" w:hAnsi="宋体" w:cs="宋体"/>
          <w:sz w:val="21"/>
          <w:szCs w:val="21"/>
          <w:highlight w:val="none"/>
        </w:rPr>
        <w:t>2.投标文件中承诺的基点值在整个合同执行期内固定不变，基准利率以中国人民银行公告的利率为准。</w:t>
      </w:r>
    </w:p>
    <w:p>
      <w:pPr>
        <w:adjustRightInd w:val="0"/>
        <w:snapToGrid w:val="0"/>
        <w:spacing w:line="360" w:lineRule="auto"/>
        <w:ind w:firstLine="420" w:firstLineChars="200"/>
        <w:rPr>
          <w:rFonts w:ascii="宋体" w:hAnsi="宋体" w:cs="宋体"/>
          <w:sz w:val="21"/>
          <w:szCs w:val="21"/>
          <w:highlight w:val="none"/>
        </w:rPr>
      </w:pPr>
      <w:r>
        <w:rPr>
          <w:rFonts w:hint="eastAsia" w:ascii="宋体" w:hAnsi="宋体" w:cs="宋体"/>
          <w:sz w:val="21"/>
          <w:szCs w:val="21"/>
          <w:highlight w:val="none"/>
        </w:rPr>
        <w:t>3.利息自存入之日起计算，存入时间由招标人根据实际情况决定。</w:t>
      </w:r>
    </w:p>
    <w:p>
      <w:pPr>
        <w:adjustRightInd w:val="0"/>
        <w:snapToGrid w:val="0"/>
        <w:spacing w:line="360" w:lineRule="auto"/>
        <w:ind w:firstLine="420" w:firstLineChars="200"/>
        <w:rPr>
          <w:rFonts w:ascii="宋体" w:hAnsi="宋体" w:cs="宋体"/>
          <w:sz w:val="21"/>
          <w:szCs w:val="21"/>
          <w:highlight w:val="none"/>
        </w:rPr>
      </w:pPr>
      <w:r>
        <w:rPr>
          <w:rFonts w:hint="eastAsia" w:ascii="宋体" w:hAnsi="宋体" w:cs="宋体"/>
          <w:sz w:val="21"/>
          <w:szCs w:val="21"/>
          <w:highlight w:val="none"/>
        </w:rPr>
        <w:t>4.允许招标人根据实际需要确定存单面值、提前支取部分或全部存款。</w:t>
      </w:r>
    </w:p>
    <w:p>
      <w:pPr>
        <w:adjustRightInd w:val="0"/>
        <w:snapToGrid w:val="0"/>
        <w:spacing w:line="360" w:lineRule="auto"/>
        <w:ind w:firstLine="420" w:firstLineChars="200"/>
        <w:rPr>
          <w:rFonts w:ascii="宋体" w:hAnsi="宋体" w:cs="宋体"/>
          <w:sz w:val="21"/>
          <w:szCs w:val="21"/>
          <w:highlight w:val="none"/>
        </w:rPr>
      </w:pPr>
      <w:r>
        <w:rPr>
          <w:rFonts w:hint="eastAsia" w:ascii="宋体" w:hAnsi="宋体" w:cs="宋体"/>
          <w:sz w:val="21"/>
          <w:szCs w:val="21"/>
          <w:highlight w:val="none"/>
        </w:rPr>
        <w:t>5.投标时确定的针对本项目的服务机构是获得总行或在浙江省的最高级别机构唯一授权的分支机构。投标人与最终公款存放的网点一致（如不一致的，须在投标文件中明确最终公款存放的网点），服务期限内不得随意转移。</w:t>
      </w:r>
    </w:p>
    <w:p>
      <w:pPr>
        <w:adjustRightInd w:val="0"/>
        <w:snapToGrid w:val="0"/>
        <w:spacing w:line="360" w:lineRule="auto"/>
        <w:ind w:firstLine="420" w:firstLineChars="200"/>
        <w:rPr>
          <w:rFonts w:ascii="宋体" w:hAnsi="宋体" w:cs="宋体"/>
          <w:sz w:val="21"/>
          <w:szCs w:val="21"/>
          <w:highlight w:val="none"/>
        </w:rPr>
      </w:pPr>
      <w:r>
        <w:rPr>
          <w:rFonts w:hint="eastAsia" w:ascii="宋体" w:hAnsi="宋体" w:cs="宋体"/>
          <w:sz w:val="21"/>
          <w:szCs w:val="21"/>
          <w:highlight w:val="none"/>
        </w:rPr>
        <w:t>6.当中标人因自身原因放弃中标资格，招标人有权选择排名中标人后顺位一位的银行进行递补，以此类推。</w:t>
      </w:r>
    </w:p>
    <w:p>
      <w:pPr>
        <w:adjustRightInd w:val="0"/>
        <w:snapToGrid w:val="0"/>
        <w:spacing w:line="360" w:lineRule="auto"/>
        <w:ind w:firstLine="420" w:firstLineChars="200"/>
        <w:rPr>
          <w:rFonts w:ascii="宋体" w:hAnsi="宋体" w:cs="宋体"/>
          <w:sz w:val="21"/>
          <w:szCs w:val="21"/>
          <w:highlight w:val="none"/>
        </w:rPr>
      </w:pPr>
      <w:r>
        <w:rPr>
          <w:rFonts w:hint="eastAsia" w:ascii="宋体" w:hAnsi="宋体" w:cs="宋体"/>
          <w:sz w:val="21"/>
          <w:szCs w:val="21"/>
          <w:highlight w:val="none"/>
        </w:rPr>
        <w:t>7.公款存放中标人如未履行当期协议相关义务，本次及今后2年不准参加招标人公款存放的投标。</w:t>
      </w:r>
    </w:p>
    <w:p>
      <w:pPr>
        <w:adjustRightInd w:val="0"/>
        <w:snapToGrid w:val="0"/>
        <w:spacing w:line="360" w:lineRule="auto"/>
        <w:ind w:firstLine="420" w:firstLineChars="200"/>
        <w:rPr>
          <w:rFonts w:ascii="宋体" w:hAnsi="宋体" w:cs="宋体"/>
          <w:sz w:val="21"/>
          <w:szCs w:val="21"/>
          <w:highlight w:val="none"/>
        </w:rPr>
      </w:pPr>
      <w:r>
        <w:rPr>
          <w:rFonts w:hint="eastAsia" w:ascii="宋体" w:hAnsi="宋体" w:cs="宋体"/>
          <w:sz w:val="21"/>
          <w:szCs w:val="21"/>
          <w:highlight w:val="none"/>
        </w:rPr>
        <w:t>▲8.如因人民银行原因无法提供上年度（202</w:t>
      </w:r>
      <w:r>
        <w:rPr>
          <w:rFonts w:hint="eastAsia" w:ascii="宋体" w:hAnsi="宋体" w:cs="宋体"/>
          <w:sz w:val="21"/>
          <w:szCs w:val="21"/>
          <w:highlight w:val="none"/>
          <w:lang w:val="en-US" w:eastAsia="zh-CN"/>
        </w:rPr>
        <w:t>2</w:t>
      </w:r>
      <w:r>
        <w:rPr>
          <w:rFonts w:hint="eastAsia" w:ascii="宋体" w:hAnsi="宋体" w:cs="宋体"/>
          <w:sz w:val="21"/>
          <w:szCs w:val="21"/>
          <w:highlight w:val="none"/>
        </w:rPr>
        <w:t>年度）的综合评价可提供202</w:t>
      </w:r>
      <w:r>
        <w:rPr>
          <w:rFonts w:hint="eastAsia" w:ascii="宋体" w:hAnsi="宋体" w:cs="宋体"/>
          <w:sz w:val="21"/>
          <w:szCs w:val="21"/>
          <w:highlight w:val="none"/>
          <w:lang w:val="en-US" w:eastAsia="zh-CN"/>
        </w:rPr>
        <w:t>1</w:t>
      </w:r>
      <w:r>
        <w:rPr>
          <w:rFonts w:hint="eastAsia" w:ascii="宋体" w:hAnsi="宋体" w:cs="宋体"/>
          <w:sz w:val="21"/>
          <w:szCs w:val="21"/>
          <w:highlight w:val="none"/>
        </w:rPr>
        <w:t>年度的材料文件，并提供由上级机构出具的无法提供202</w:t>
      </w:r>
      <w:r>
        <w:rPr>
          <w:rFonts w:hint="eastAsia" w:ascii="宋体" w:hAnsi="宋体" w:cs="宋体"/>
          <w:sz w:val="21"/>
          <w:szCs w:val="21"/>
          <w:highlight w:val="none"/>
          <w:lang w:val="en-US" w:eastAsia="zh-CN"/>
        </w:rPr>
        <w:t>2</w:t>
      </w:r>
      <w:r>
        <w:rPr>
          <w:rFonts w:hint="eastAsia" w:ascii="宋体" w:hAnsi="宋体" w:cs="宋体"/>
          <w:sz w:val="21"/>
          <w:szCs w:val="21"/>
          <w:highlight w:val="none"/>
        </w:rPr>
        <w:t>年度人民银行的综合评价的相关证明，出具机构对证明的真实性负责，不得虚假提供，虚假提供一经发现则取消中标资格。</w:t>
      </w:r>
      <w:bookmarkStart w:id="2" w:name="_GoBack"/>
      <w:bookmarkEnd w:id="2"/>
    </w:p>
    <w:p>
      <w:pPr>
        <w:adjustRightInd w:val="0"/>
        <w:snapToGrid w:val="0"/>
        <w:spacing w:line="360" w:lineRule="auto"/>
        <w:ind w:firstLine="420" w:firstLineChars="200"/>
        <w:rPr>
          <w:rFonts w:ascii="宋体" w:hAnsi="宋体" w:cs="宋体"/>
          <w:sz w:val="21"/>
          <w:szCs w:val="21"/>
          <w:highlight w:val="none"/>
        </w:rPr>
      </w:pPr>
      <w:r>
        <w:rPr>
          <w:rFonts w:hint="eastAsia" w:ascii="宋体" w:hAnsi="宋体" w:cs="宋体"/>
          <w:sz w:val="21"/>
          <w:szCs w:val="21"/>
          <w:highlight w:val="none"/>
        </w:rPr>
        <w:t>9.日常服务包括但不限于：</w:t>
      </w:r>
    </w:p>
    <w:p>
      <w:pPr>
        <w:adjustRightInd w:val="0"/>
        <w:snapToGrid w:val="0"/>
        <w:spacing w:line="360" w:lineRule="auto"/>
        <w:ind w:firstLine="420" w:firstLineChars="200"/>
        <w:rPr>
          <w:rFonts w:ascii="宋体" w:hAnsi="宋体" w:cs="宋体"/>
          <w:sz w:val="21"/>
          <w:szCs w:val="21"/>
          <w:highlight w:val="none"/>
        </w:rPr>
      </w:pPr>
      <w:r>
        <w:rPr>
          <w:rFonts w:hint="eastAsia" w:ascii="宋体" w:hAnsi="宋体" w:cs="宋体"/>
          <w:sz w:val="21"/>
          <w:szCs w:val="21"/>
          <w:highlight w:val="none"/>
        </w:rPr>
        <w:t>（1）指定专人负责定期存款相关服务；</w:t>
      </w:r>
    </w:p>
    <w:p>
      <w:pPr>
        <w:adjustRightInd w:val="0"/>
        <w:snapToGrid w:val="0"/>
        <w:spacing w:line="360" w:lineRule="auto"/>
        <w:ind w:firstLine="420" w:firstLineChars="200"/>
        <w:rPr>
          <w:rFonts w:ascii="宋体" w:hAnsi="宋体" w:cs="宋体"/>
          <w:sz w:val="21"/>
          <w:szCs w:val="21"/>
          <w:highlight w:val="none"/>
        </w:rPr>
      </w:pPr>
      <w:r>
        <w:rPr>
          <w:rFonts w:hint="eastAsia" w:ascii="宋体" w:hAnsi="宋体" w:cs="宋体"/>
          <w:sz w:val="21"/>
          <w:szCs w:val="21"/>
          <w:highlight w:val="none"/>
        </w:rPr>
        <w:t>（2）及时上门提供定期账单，提供银行对账电子稿；</w:t>
      </w:r>
    </w:p>
    <w:p>
      <w:pPr>
        <w:adjustRightInd w:val="0"/>
        <w:snapToGrid w:val="0"/>
        <w:spacing w:line="360" w:lineRule="auto"/>
        <w:ind w:firstLine="420" w:firstLineChars="200"/>
        <w:rPr>
          <w:rFonts w:ascii="宋体" w:hAnsi="宋体" w:cs="宋体"/>
          <w:sz w:val="21"/>
          <w:szCs w:val="21"/>
          <w:highlight w:val="none"/>
        </w:rPr>
      </w:pPr>
      <w:r>
        <w:rPr>
          <w:rFonts w:hint="eastAsia" w:ascii="宋体" w:hAnsi="宋体" w:cs="宋体"/>
          <w:sz w:val="21"/>
          <w:szCs w:val="21"/>
          <w:highlight w:val="none"/>
        </w:rPr>
        <w:t>（3）协助办理本项目的相关手续等；</w:t>
      </w:r>
    </w:p>
    <w:p>
      <w:pPr>
        <w:adjustRightInd w:val="0"/>
        <w:snapToGrid w:val="0"/>
        <w:spacing w:line="360" w:lineRule="auto"/>
        <w:ind w:firstLine="420" w:firstLineChars="200"/>
        <w:rPr>
          <w:rFonts w:ascii="宋体" w:hAnsi="宋体" w:cs="宋体"/>
          <w:sz w:val="21"/>
          <w:szCs w:val="21"/>
          <w:highlight w:val="none"/>
        </w:rPr>
      </w:pPr>
      <w:r>
        <w:rPr>
          <w:rFonts w:hint="eastAsia" w:ascii="宋体" w:hAnsi="宋体" w:cs="宋体"/>
          <w:sz w:val="21"/>
          <w:szCs w:val="21"/>
          <w:highlight w:val="none"/>
        </w:rPr>
        <w:t>（4）及时按中标利率对公款资金进行计息和偿付，提前支取给予绿色通道快速处理；</w:t>
      </w:r>
    </w:p>
    <w:p>
      <w:pPr>
        <w:adjustRightInd w:val="0"/>
        <w:snapToGrid w:val="0"/>
        <w:spacing w:line="360" w:lineRule="auto"/>
        <w:ind w:firstLine="420" w:firstLineChars="200"/>
        <w:rPr>
          <w:rFonts w:ascii="宋体" w:hAnsi="宋体" w:cs="宋体"/>
          <w:sz w:val="21"/>
          <w:szCs w:val="21"/>
          <w:highlight w:val="none"/>
        </w:rPr>
      </w:pPr>
      <w:r>
        <w:rPr>
          <w:rFonts w:hint="eastAsia" w:ascii="宋体" w:hAnsi="宋体" w:cs="宋体"/>
          <w:sz w:val="21"/>
          <w:szCs w:val="21"/>
          <w:highlight w:val="none"/>
        </w:rPr>
        <w:t>（5）及时告知银行出现的重大安全事项；</w:t>
      </w:r>
    </w:p>
    <w:p>
      <w:pPr>
        <w:adjustRightInd w:val="0"/>
        <w:snapToGrid w:val="0"/>
        <w:spacing w:line="360" w:lineRule="auto"/>
        <w:ind w:firstLine="420" w:firstLineChars="200"/>
        <w:rPr>
          <w:rFonts w:ascii="宋体" w:hAnsi="宋体" w:cs="宋体"/>
          <w:sz w:val="21"/>
          <w:szCs w:val="21"/>
          <w:highlight w:val="none"/>
        </w:rPr>
      </w:pPr>
      <w:r>
        <w:rPr>
          <w:rFonts w:hint="eastAsia" w:ascii="宋体" w:hAnsi="宋体" w:cs="宋体"/>
          <w:sz w:val="21"/>
          <w:szCs w:val="21"/>
          <w:highlight w:val="none"/>
        </w:rPr>
        <w:t>（6）如有开户，对账户的收支业务提供对账单上门服务。</w:t>
      </w:r>
    </w:p>
    <w:p>
      <w:pPr>
        <w:adjustRightInd w:val="0"/>
        <w:snapToGrid w:val="0"/>
        <w:spacing w:line="360" w:lineRule="auto"/>
        <w:ind w:firstLine="420" w:firstLineChars="200"/>
        <w:rPr>
          <w:rFonts w:ascii="宋体" w:hAnsi="宋体" w:cs="宋体"/>
          <w:sz w:val="21"/>
          <w:szCs w:val="21"/>
          <w:highlight w:val="none"/>
        </w:rPr>
      </w:pPr>
      <w:r>
        <w:rPr>
          <w:rFonts w:hint="eastAsia" w:ascii="宋体" w:hAnsi="宋体" w:cs="宋体"/>
          <w:sz w:val="21"/>
          <w:szCs w:val="21"/>
          <w:highlight w:val="none"/>
        </w:rPr>
        <w:t>10.投标人须在中标后按项目需要办理相关手续，并在合同约定的服务期限内按招标人要求提供服务，涉及存放金额和存放期限的，均由招标人自主确定，投标人不得做限制性规定，也不得降低服务质量和标准。</w:t>
      </w:r>
    </w:p>
    <w:p>
      <w:pPr>
        <w:adjustRightInd w:val="0"/>
        <w:snapToGrid w:val="0"/>
        <w:spacing w:line="360" w:lineRule="auto"/>
        <w:ind w:firstLine="420" w:firstLineChars="200"/>
        <w:rPr>
          <w:rFonts w:ascii="宋体" w:hAnsi="宋体" w:cs="宋体"/>
          <w:sz w:val="21"/>
          <w:szCs w:val="21"/>
          <w:highlight w:val="none"/>
        </w:rPr>
      </w:pPr>
    </w:p>
    <w:p>
      <w:pPr>
        <w:adjustRightInd w:val="0"/>
        <w:snapToGrid w:val="0"/>
        <w:spacing w:line="360" w:lineRule="auto"/>
        <w:ind w:firstLine="422" w:firstLineChars="200"/>
        <w:rPr>
          <w:rFonts w:ascii="宋体" w:hAnsi="宋体" w:cs="宋体"/>
          <w:sz w:val="21"/>
          <w:szCs w:val="21"/>
          <w:highlight w:val="none"/>
        </w:rPr>
      </w:pPr>
      <w:r>
        <w:rPr>
          <w:rFonts w:hint="eastAsia" w:ascii="宋体" w:hAnsi="宋体" w:cs="宋体"/>
          <w:b/>
          <w:bCs/>
          <w:sz w:val="21"/>
          <w:szCs w:val="21"/>
          <w:highlight w:val="none"/>
        </w:rPr>
        <w:t>注：</w:t>
      </w:r>
      <w:r>
        <w:rPr>
          <w:rFonts w:hint="eastAsia" w:ascii="宋体" w:hAnsi="宋体" w:cs="宋体"/>
          <w:sz w:val="21"/>
          <w:szCs w:val="21"/>
          <w:highlight w:val="none"/>
        </w:rPr>
        <w:t>带“▲”的有关技术和商务条款为实质性条款，投标人必须做出实质性响应。</w:t>
      </w:r>
    </w:p>
    <w:p>
      <w:pPr>
        <w:adjustRightInd w:val="0"/>
        <w:snapToGrid w:val="0"/>
        <w:spacing w:line="360" w:lineRule="auto"/>
        <w:ind w:firstLine="420" w:firstLineChars="200"/>
        <w:rPr>
          <w:rFonts w:ascii="宋体" w:hAnsi="宋体" w:cs="宋体"/>
          <w:sz w:val="21"/>
          <w:szCs w:val="21"/>
          <w:highlight w:val="none"/>
        </w:rPr>
      </w:pPr>
    </w:p>
    <w:p>
      <w:pPr>
        <w:spacing w:line="360" w:lineRule="auto"/>
        <w:jc w:val="center"/>
        <w:outlineLvl w:val="0"/>
        <w:rPr>
          <w:rFonts w:ascii="宋体" w:hAnsi="宋体"/>
          <w:sz w:val="21"/>
          <w:szCs w:val="21"/>
          <w:highlight w:val="none"/>
        </w:rPr>
      </w:pPr>
      <w:r>
        <w:rPr>
          <w:rFonts w:ascii="宋体" w:hAnsi="宋体"/>
          <w:sz w:val="21"/>
          <w:szCs w:val="21"/>
          <w:highlight w:val="none"/>
        </w:rPr>
        <w:br w:type="page"/>
      </w:r>
      <w:r>
        <w:rPr>
          <w:rFonts w:hint="eastAsia" w:ascii="宋体" w:hAnsi="宋体"/>
          <w:b/>
          <w:sz w:val="32"/>
          <w:szCs w:val="32"/>
          <w:highlight w:val="none"/>
        </w:rPr>
        <w:t>第三章  投标人须知</w:t>
      </w:r>
    </w:p>
    <w:p>
      <w:pPr>
        <w:spacing w:line="360" w:lineRule="auto"/>
        <w:jc w:val="center"/>
        <w:outlineLvl w:val="1"/>
        <w:rPr>
          <w:rFonts w:ascii="宋体" w:hAnsi="宋体"/>
          <w:b/>
          <w:sz w:val="24"/>
          <w:highlight w:val="none"/>
        </w:rPr>
      </w:pPr>
      <w:r>
        <w:rPr>
          <w:rFonts w:hint="eastAsia" w:ascii="宋体" w:hAnsi="宋体"/>
          <w:b/>
          <w:sz w:val="24"/>
          <w:highlight w:val="none"/>
        </w:rPr>
        <w:t>投标人</w:t>
      </w:r>
      <w:r>
        <w:rPr>
          <w:rFonts w:ascii="宋体" w:hAnsi="宋体"/>
          <w:b/>
          <w:sz w:val="24"/>
          <w:highlight w:val="none"/>
        </w:rPr>
        <w:t>须知</w:t>
      </w:r>
      <w:r>
        <w:rPr>
          <w:rFonts w:hint="eastAsia" w:ascii="宋体" w:hAnsi="宋体"/>
          <w:b/>
          <w:sz w:val="24"/>
          <w:highlight w:val="none"/>
        </w:rPr>
        <w:t>前附表</w:t>
      </w:r>
    </w:p>
    <w:tbl>
      <w:tblPr>
        <w:tblStyle w:val="24"/>
        <w:tblW w:w="9640" w:type="dxa"/>
        <w:tblInd w:w="-34"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51"/>
        <w:gridCol w:w="8789"/>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567" w:hRule="atLeast"/>
        </w:trPr>
        <w:tc>
          <w:tcPr>
            <w:tcW w:w="851"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60" w:lineRule="auto"/>
              <w:ind w:left="0" w:right="0"/>
              <w:jc w:val="center"/>
              <w:rPr>
                <w:rFonts w:hint="default" w:ascii="宋体" w:hAnsi="宋体"/>
                <w:sz w:val="21"/>
                <w:szCs w:val="21"/>
                <w:highlight w:val="none"/>
              </w:rPr>
            </w:pPr>
            <w:r>
              <w:rPr>
                <w:rFonts w:hint="eastAsia" w:ascii="宋体" w:hAnsi="宋体"/>
                <w:sz w:val="21"/>
                <w:szCs w:val="21"/>
                <w:highlight w:val="none"/>
              </w:rPr>
              <w:t>序号</w:t>
            </w:r>
          </w:p>
        </w:tc>
        <w:tc>
          <w:tcPr>
            <w:tcW w:w="878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60" w:lineRule="auto"/>
              <w:ind w:left="0" w:right="0"/>
              <w:jc w:val="center"/>
              <w:rPr>
                <w:rFonts w:hint="default" w:ascii="宋体" w:hAnsi="宋体"/>
                <w:sz w:val="21"/>
                <w:szCs w:val="21"/>
                <w:highlight w:val="none"/>
              </w:rPr>
            </w:pPr>
            <w:r>
              <w:rPr>
                <w:rFonts w:hint="eastAsia" w:ascii="宋体" w:hAnsi="宋体"/>
                <w:sz w:val="21"/>
                <w:szCs w:val="21"/>
                <w:highlight w:val="none"/>
              </w:rPr>
              <w:t>内容、要求</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567" w:hRule="atLeast"/>
        </w:trPr>
        <w:tc>
          <w:tcPr>
            <w:tcW w:w="851"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60" w:lineRule="auto"/>
              <w:ind w:left="0" w:right="0"/>
              <w:jc w:val="center"/>
              <w:rPr>
                <w:rFonts w:hint="default" w:ascii="宋体" w:hAnsi="宋体"/>
                <w:sz w:val="21"/>
                <w:szCs w:val="21"/>
                <w:highlight w:val="none"/>
              </w:rPr>
            </w:pPr>
            <w:r>
              <w:rPr>
                <w:rFonts w:hint="eastAsia" w:ascii="宋体" w:hAnsi="宋体"/>
                <w:sz w:val="21"/>
                <w:szCs w:val="21"/>
                <w:highlight w:val="none"/>
              </w:rPr>
              <w:t>1</w:t>
            </w:r>
          </w:p>
        </w:tc>
        <w:tc>
          <w:tcPr>
            <w:tcW w:w="878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60" w:lineRule="auto"/>
              <w:ind w:left="0" w:right="0"/>
              <w:rPr>
                <w:rFonts w:hint="eastAsia" w:ascii="宋体" w:hAnsi="宋体" w:eastAsia="宋体"/>
                <w:sz w:val="21"/>
                <w:szCs w:val="21"/>
                <w:highlight w:val="none"/>
                <w:lang w:eastAsia="zh-CN"/>
              </w:rPr>
            </w:pPr>
            <w:r>
              <w:rPr>
                <w:rFonts w:hint="eastAsia" w:ascii="宋体" w:hAnsi="宋体"/>
                <w:sz w:val="21"/>
                <w:szCs w:val="21"/>
                <w:highlight w:val="none"/>
              </w:rPr>
              <w:t>招标人：</w:t>
            </w:r>
            <w:r>
              <w:rPr>
                <w:rFonts w:hint="eastAsia" w:ascii="宋体" w:hAnsi="宋体"/>
                <w:sz w:val="21"/>
                <w:szCs w:val="21"/>
                <w:highlight w:val="none"/>
                <w:lang w:eastAsia="zh-CN"/>
              </w:rPr>
              <w:t>杭州电子科技大学</w:t>
            </w:r>
          </w:p>
          <w:p>
            <w:pPr>
              <w:keepNext w:val="0"/>
              <w:keepLines w:val="0"/>
              <w:suppressLineNumbers w:val="0"/>
              <w:spacing w:before="0" w:beforeAutospacing="0" w:after="0" w:afterAutospacing="0" w:line="360" w:lineRule="auto"/>
              <w:ind w:left="0" w:right="0"/>
              <w:rPr>
                <w:rFonts w:hint="eastAsia" w:ascii="宋体" w:hAnsi="宋体" w:eastAsia="宋体"/>
                <w:sz w:val="21"/>
                <w:szCs w:val="21"/>
                <w:highlight w:val="none"/>
                <w:lang w:eastAsia="zh-CN"/>
              </w:rPr>
            </w:pPr>
            <w:r>
              <w:rPr>
                <w:rFonts w:hint="eastAsia" w:ascii="宋体" w:hAnsi="宋体"/>
                <w:sz w:val="21"/>
                <w:szCs w:val="21"/>
                <w:highlight w:val="none"/>
              </w:rPr>
              <w:t>招标项目名称：</w:t>
            </w:r>
            <w:r>
              <w:rPr>
                <w:rFonts w:hint="eastAsia" w:ascii="宋体" w:hAnsi="宋体"/>
                <w:sz w:val="21"/>
                <w:szCs w:val="21"/>
                <w:highlight w:val="none"/>
                <w:lang w:eastAsia="zh-CN"/>
              </w:rPr>
              <w:t>2023年第二期公款竞争性存放</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567" w:hRule="atLeast"/>
        </w:trPr>
        <w:tc>
          <w:tcPr>
            <w:tcW w:w="851"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60" w:lineRule="auto"/>
              <w:ind w:left="0" w:right="0"/>
              <w:jc w:val="center"/>
              <w:rPr>
                <w:rFonts w:hint="default" w:ascii="宋体" w:hAnsi="宋体"/>
                <w:sz w:val="21"/>
                <w:szCs w:val="21"/>
                <w:highlight w:val="none"/>
              </w:rPr>
            </w:pPr>
            <w:r>
              <w:rPr>
                <w:rFonts w:hint="eastAsia" w:ascii="宋体" w:hAnsi="宋体"/>
                <w:sz w:val="21"/>
                <w:szCs w:val="21"/>
                <w:highlight w:val="none"/>
              </w:rPr>
              <w:t>2</w:t>
            </w:r>
          </w:p>
        </w:tc>
        <w:tc>
          <w:tcPr>
            <w:tcW w:w="878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60" w:lineRule="auto"/>
              <w:ind w:left="0" w:right="0"/>
              <w:rPr>
                <w:rFonts w:hint="default" w:ascii="宋体" w:hAnsi="宋体"/>
                <w:sz w:val="21"/>
                <w:szCs w:val="21"/>
                <w:highlight w:val="none"/>
              </w:rPr>
            </w:pPr>
            <w:r>
              <w:rPr>
                <w:rFonts w:hint="eastAsia" w:ascii="宋体" w:hAnsi="宋体"/>
                <w:sz w:val="21"/>
                <w:szCs w:val="21"/>
                <w:highlight w:val="none"/>
              </w:rPr>
              <w:t>投标报价：</w:t>
            </w:r>
          </w:p>
          <w:p>
            <w:pPr>
              <w:keepNext w:val="0"/>
              <w:keepLines w:val="0"/>
              <w:suppressLineNumbers w:val="0"/>
              <w:spacing w:before="0" w:beforeAutospacing="0" w:after="0" w:afterAutospacing="0" w:line="360" w:lineRule="auto"/>
              <w:ind w:left="0" w:right="0"/>
              <w:rPr>
                <w:rFonts w:hint="default" w:ascii="宋体" w:hAnsi="宋体"/>
                <w:sz w:val="21"/>
                <w:szCs w:val="21"/>
                <w:highlight w:val="none"/>
              </w:rPr>
            </w:pPr>
            <w:r>
              <w:rPr>
                <w:rFonts w:hint="eastAsia" w:ascii="宋体" w:hAnsi="宋体"/>
                <w:sz w:val="21"/>
                <w:szCs w:val="21"/>
                <w:highlight w:val="none"/>
              </w:rPr>
              <w:t>1.投标报价是指一次性报出不得更改的价格；</w:t>
            </w:r>
          </w:p>
          <w:p>
            <w:pPr>
              <w:keepNext w:val="0"/>
              <w:keepLines w:val="0"/>
              <w:suppressLineNumbers w:val="0"/>
              <w:spacing w:before="0" w:beforeAutospacing="0" w:after="0" w:afterAutospacing="0" w:line="360" w:lineRule="auto"/>
              <w:ind w:left="0" w:right="0"/>
              <w:rPr>
                <w:rFonts w:hint="default" w:ascii="宋体" w:hAnsi="宋体"/>
                <w:sz w:val="21"/>
                <w:szCs w:val="21"/>
                <w:highlight w:val="none"/>
              </w:rPr>
            </w:pPr>
            <w:r>
              <w:rPr>
                <w:rFonts w:hint="eastAsia" w:ascii="宋体" w:hAnsi="宋体"/>
                <w:sz w:val="21"/>
                <w:szCs w:val="21"/>
                <w:highlight w:val="none"/>
              </w:rPr>
              <w:t>2.本次投标</w:t>
            </w:r>
            <w:r>
              <w:rPr>
                <w:rFonts w:hint="eastAsia" w:ascii="宋体" w:hAnsi="宋体" w:cs="宋体"/>
                <w:sz w:val="21"/>
                <w:szCs w:val="21"/>
                <w:highlight w:val="none"/>
              </w:rPr>
              <w:t>采用</w:t>
            </w:r>
            <w:r>
              <w:rPr>
                <w:rFonts w:hint="eastAsia" w:ascii="宋体" w:hAnsi="宋体"/>
                <w:sz w:val="21"/>
                <w:szCs w:val="21"/>
                <w:highlight w:val="none"/>
              </w:rPr>
              <w:t>一年定期存款年利率报价。</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567" w:hRule="atLeast"/>
        </w:trPr>
        <w:tc>
          <w:tcPr>
            <w:tcW w:w="851"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60" w:lineRule="auto"/>
              <w:ind w:left="0" w:right="0"/>
              <w:jc w:val="center"/>
              <w:rPr>
                <w:rFonts w:hint="default" w:ascii="宋体" w:hAnsi="宋体"/>
                <w:sz w:val="21"/>
                <w:szCs w:val="21"/>
                <w:highlight w:val="none"/>
              </w:rPr>
            </w:pPr>
            <w:r>
              <w:rPr>
                <w:rFonts w:hint="eastAsia" w:ascii="宋体" w:hAnsi="宋体"/>
                <w:sz w:val="21"/>
                <w:szCs w:val="21"/>
                <w:highlight w:val="none"/>
              </w:rPr>
              <w:t>3</w:t>
            </w:r>
          </w:p>
        </w:tc>
        <w:tc>
          <w:tcPr>
            <w:tcW w:w="878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60" w:lineRule="auto"/>
              <w:ind w:left="0" w:right="0"/>
              <w:rPr>
                <w:rFonts w:hint="default" w:ascii="宋体" w:hAnsi="宋体"/>
                <w:sz w:val="21"/>
                <w:szCs w:val="21"/>
                <w:highlight w:val="none"/>
              </w:rPr>
            </w:pPr>
            <w:r>
              <w:rPr>
                <w:rFonts w:hint="eastAsia" w:ascii="宋体" w:hAnsi="宋体"/>
                <w:sz w:val="21"/>
                <w:szCs w:val="21"/>
                <w:highlight w:val="none"/>
              </w:rPr>
              <w:t>投标费用：</w:t>
            </w:r>
          </w:p>
          <w:p>
            <w:pPr>
              <w:keepNext w:val="0"/>
              <w:keepLines w:val="0"/>
              <w:suppressLineNumbers w:val="0"/>
              <w:spacing w:before="0" w:beforeAutospacing="0" w:after="0" w:afterAutospacing="0" w:line="360" w:lineRule="auto"/>
              <w:ind w:left="0" w:right="0"/>
              <w:rPr>
                <w:rFonts w:hint="default" w:ascii="宋体" w:hAnsi="宋体"/>
                <w:sz w:val="21"/>
                <w:szCs w:val="21"/>
                <w:highlight w:val="none"/>
              </w:rPr>
            </w:pPr>
            <w:r>
              <w:rPr>
                <w:rFonts w:hint="eastAsia" w:ascii="宋体" w:hAnsi="宋体"/>
                <w:sz w:val="21"/>
                <w:szCs w:val="21"/>
                <w:highlight w:val="none"/>
              </w:rPr>
              <w:t>1.不论投标结果如何，投标人均应自行承担所有与投标有关的全部费用；</w:t>
            </w:r>
          </w:p>
          <w:p>
            <w:pPr>
              <w:keepNext w:val="0"/>
              <w:keepLines w:val="0"/>
              <w:suppressLineNumbers w:val="0"/>
              <w:spacing w:before="0" w:beforeAutospacing="0" w:after="0" w:afterAutospacing="0" w:line="360" w:lineRule="auto"/>
              <w:ind w:left="0" w:right="0"/>
              <w:rPr>
                <w:rFonts w:hint="default" w:ascii="宋体" w:hAnsi="宋体"/>
                <w:sz w:val="21"/>
                <w:szCs w:val="21"/>
                <w:highlight w:val="none"/>
              </w:rPr>
            </w:pPr>
            <w:r>
              <w:rPr>
                <w:rFonts w:hint="eastAsia" w:ascii="宋体" w:hAnsi="宋体"/>
                <w:sz w:val="21"/>
                <w:szCs w:val="21"/>
                <w:highlight w:val="none"/>
              </w:rPr>
              <w:t>2.中标人在中标通知书发出后七个工作日内，向招标代理机构交纳代理服务费。</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567" w:hRule="atLeast"/>
        </w:trPr>
        <w:tc>
          <w:tcPr>
            <w:tcW w:w="851"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60" w:lineRule="auto"/>
              <w:ind w:left="0" w:right="0"/>
              <w:jc w:val="center"/>
              <w:rPr>
                <w:rFonts w:hint="default" w:ascii="宋体" w:hAnsi="宋体"/>
                <w:sz w:val="21"/>
                <w:szCs w:val="21"/>
                <w:highlight w:val="none"/>
              </w:rPr>
            </w:pPr>
            <w:r>
              <w:rPr>
                <w:rFonts w:hint="eastAsia" w:ascii="宋体" w:hAnsi="宋体"/>
                <w:sz w:val="21"/>
                <w:szCs w:val="21"/>
                <w:highlight w:val="none"/>
              </w:rPr>
              <w:t>4</w:t>
            </w:r>
          </w:p>
        </w:tc>
        <w:tc>
          <w:tcPr>
            <w:tcW w:w="878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60" w:lineRule="auto"/>
              <w:ind w:left="0" w:right="0"/>
              <w:rPr>
                <w:rFonts w:hint="default" w:ascii="宋体" w:hAnsi="宋体"/>
                <w:sz w:val="21"/>
                <w:szCs w:val="21"/>
                <w:highlight w:val="none"/>
              </w:rPr>
            </w:pPr>
            <w:r>
              <w:rPr>
                <w:rFonts w:hint="eastAsia" w:ascii="宋体" w:hAnsi="宋体"/>
                <w:sz w:val="21"/>
                <w:szCs w:val="21"/>
                <w:highlight w:val="none"/>
              </w:rPr>
              <w:t>投标文件份数：在线上传递交</w:t>
            </w:r>
            <w:r>
              <w:rPr>
                <w:rFonts w:hint="eastAsia" w:ascii="宋体" w:hAnsi="宋体" w:cs="宋体"/>
                <w:b/>
                <w:bCs/>
                <w:sz w:val="21"/>
                <w:szCs w:val="21"/>
                <w:highlight w:val="none"/>
              </w:rPr>
              <w:t>。</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567" w:hRule="atLeast"/>
        </w:trPr>
        <w:tc>
          <w:tcPr>
            <w:tcW w:w="851"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60" w:lineRule="auto"/>
              <w:ind w:left="0" w:right="0"/>
              <w:jc w:val="center"/>
              <w:rPr>
                <w:rFonts w:hint="default" w:ascii="宋体" w:hAnsi="宋体"/>
                <w:sz w:val="21"/>
                <w:szCs w:val="21"/>
                <w:highlight w:val="none"/>
              </w:rPr>
            </w:pPr>
            <w:r>
              <w:rPr>
                <w:rFonts w:hint="eastAsia" w:ascii="宋体" w:hAnsi="宋体"/>
                <w:sz w:val="21"/>
                <w:szCs w:val="21"/>
                <w:highlight w:val="none"/>
              </w:rPr>
              <w:t>5</w:t>
            </w:r>
          </w:p>
        </w:tc>
        <w:tc>
          <w:tcPr>
            <w:tcW w:w="878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60" w:lineRule="auto"/>
              <w:ind w:left="0" w:right="0"/>
              <w:rPr>
                <w:rFonts w:hint="default" w:ascii="宋体" w:hAnsi="宋体"/>
                <w:sz w:val="21"/>
                <w:szCs w:val="21"/>
                <w:highlight w:val="none"/>
              </w:rPr>
            </w:pPr>
            <w:r>
              <w:rPr>
                <w:rFonts w:hint="eastAsia" w:ascii="宋体" w:hAnsi="宋体"/>
                <w:sz w:val="21"/>
                <w:szCs w:val="21"/>
                <w:highlight w:val="none"/>
              </w:rPr>
              <w:t>投标</w:t>
            </w:r>
            <w:r>
              <w:rPr>
                <w:rFonts w:hint="default" w:ascii="宋体" w:hAnsi="宋体"/>
                <w:sz w:val="21"/>
                <w:szCs w:val="21"/>
                <w:highlight w:val="none"/>
              </w:rPr>
              <w:t>有效期</w:t>
            </w:r>
            <w:r>
              <w:rPr>
                <w:rFonts w:hint="eastAsia" w:ascii="宋体" w:hAnsi="宋体"/>
                <w:sz w:val="21"/>
                <w:szCs w:val="21"/>
                <w:highlight w:val="none"/>
              </w:rPr>
              <w:t>：从提交投标文件的截止之日起90天。</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567" w:hRule="atLeast"/>
        </w:trPr>
        <w:tc>
          <w:tcPr>
            <w:tcW w:w="851"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60" w:lineRule="auto"/>
              <w:ind w:left="0" w:right="0"/>
              <w:jc w:val="center"/>
              <w:rPr>
                <w:rFonts w:hint="default" w:ascii="宋体" w:hAnsi="宋体"/>
                <w:sz w:val="21"/>
                <w:szCs w:val="21"/>
                <w:highlight w:val="none"/>
              </w:rPr>
            </w:pPr>
            <w:r>
              <w:rPr>
                <w:rFonts w:hint="eastAsia" w:ascii="宋体" w:hAnsi="宋体"/>
                <w:sz w:val="21"/>
                <w:szCs w:val="21"/>
                <w:highlight w:val="none"/>
              </w:rPr>
              <w:t>6</w:t>
            </w:r>
          </w:p>
        </w:tc>
        <w:tc>
          <w:tcPr>
            <w:tcW w:w="878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60" w:lineRule="auto"/>
              <w:ind w:left="0" w:right="0"/>
              <w:rPr>
                <w:rFonts w:hint="default" w:ascii="宋体" w:hAnsi="宋体"/>
                <w:sz w:val="21"/>
                <w:szCs w:val="21"/>
                <w:highlight w:val="none"/>
              </w:rPr>
            </w:pPr>
            <w:r>
              <w:rPr>
                <w:rFonts w:hint="eastAsia" w:ascii="宋体" w:hAnsi="宋体"/>
                <w:sz w:val="21"/>
                <w:szCs w:val="21"/>
                <w:highlight w:val="none"/>
              </w:rPr>
              <w:t>评标办法及评分标准：详见第四章《评标办法及评分标准》。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567" w:hRule="atLeast"/>
        </w:trPr>
        <w:tc>
          <w:tcPr>
            <w:tcW w:w="851"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60" w:lineRule="auto"/>
              <w:ind w:left="0" w:right="0"/>
              <w:jc w:val="center"/>
              <w:rPr>
                <w:rFonts w:hint="default" w:ascii="宋体" w:hAnsi="宋体"/>
                <w:sz w:val="21"/>
                <w:szCs w:val="21"/>
                <w:highlight w:val="none"/>
              </w:rPr>
            </w:pPr>
            <w:r>
              <w:rPr>
                <w:rFonts w:hint="eastAsia" w:ascii="宋体" w:hAnsi="宋体"/>
                <w:sz w:val="21"/>
                <w:szCs w:val="21"/>
                <w:highlight w:val="none"/>
              </w:rPr>
              <w:t>7</w:t>
            </w:r>
          </w:p>
        </w:tc>
        <w:tc>
          <w:tcPr>
            <w:tcW w:w="878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60" w:lineRule="auto"/>
              <w:ind w:left="0" w:right="0"/>
              <w:rPr>
                <w:rFonts w:hint="default" w:ascii="宋体" w:hAnsi="宋体"/>
                <w:sz w:val="21"/>
                <w:szCs w:val="21"/>
                <w:highlight w:val="none"/>
              </w:rPr>
            </w:pPr>
            <w:r>
              <w:rPr>
                <w:rFonts w:hint="eastAsia" w:ascii="宋体" w:hAnsi="宋体"/>
                <w:sz w:val="21"/>
                <w:szCs w:val="21"/>
                <w:highlight w:val="none"/>
              </w:rPr>
              <w:t>评标结果公示：评标结果公示于浙江政府采购网（</w:t>
            </w:r>
            <w:r>
              <w:rPr>
                <w:rFonts w:hint="default"/>
                <w:highlight w:val="none"/>
              </w:rPr>
              <w:fldChar w:fldCharType="begin"/>
            </w:r>
            <w:r>
              <w:rPr>
                <w:rFonts w:hint="default"/>
                <w:highlight w:val="none"/>
              </w:rPr>
              <w:instrText xml:space="preserve"> HYPERLINK "http://www.zjzfcg.gov.cn/" </w:instrText>
            </w:r>
            <w:r>
              <w:rPr>
                <w:rFonts w:hint="default"/>
                <w:highlight w:val="none"/>
              </w:rPr>
              <w:fldChar w:fldCharType="separate"/>
            </w:r>
            <w:r>
              <w:rPr>
                <w:rStyle w:val="30"/>
                <w:rFonts w:hint="eastAsia" w:ascii="宋体" w:hAnsi="宋体"/>
                <w:color w:val="auto"/>
                <w:sz w:val="21"/>
                <w:szCs w:val="21"/>
                <w:highlight w:val="none"/>
              </w:rPr>
              <w:t>http://www.z</w:t>
            </w:r>
            <w:bookmarkStart w:id="0" w:name="_Hlt495665240"/>
            <w:bookmarkStart w:id="1" w:name="_Hlt495665241"/>
            <w:r>
              <w:rPr>
                <w:rStyle w:val="30"/>
                <w:rFonts w:hint="eastAsia" w:ascii="宋体" w:hAnsi="宋体"/>
                <w:color w:val="auto"/>
                <w:sz w:val="21"/>
                <w:szCs w:val="21"/>
                <w:highlight w:val="none"/>
              </w:rPr>
              <w:t>j</w:t>
            </w:r>
            <w:bookmarkEnd w:id="0"/>
            <w:bookmarkEnd w:id="1"/>
            <w:r>
              <w:rPr>
                <w:rStyle w:val="30"/>
                <w:rFonts w:hint="eastAsia" w:ascii="宋体" w:hAnsi="宋体"/>
                <w:color w:val="auto"/>
                <w:sz w:val="21"/>
                <w:szCs w:val="21"/>
                <w:highlight w:val="none"/>
              </w:rPr>
              <w:t>zfcg.gov.cn</w:t>
            </w:r>
            <w:r>
              <w:rPr>
                <w:rStyle w:val="30"/>
                <w:rFonts w:hint="eastAsia" w:ascii="宋体" w:hAnsi="宋体"/>
                <w:color w:val="auto"/>
                <w:sz w:val="21"/>
                <w:szCs w:val="21"/>
                <w:highlight w:val="none"/>
              </w:rPr>
              <w:fldChar w:fldCharType="end"/>
            </w:r>
            <w:r>
              <w:rPr>
                <w:rFonts w:hint="eastAsia" w:ascii="宋体" w:hAnsi="宋体"/>
                <w:sz w:val="21"/>
                <w:szCs w:val="21"/>
                <w:highlight w:val="none"/>
              </w:rPr>
              <w:t>）等相关网站或媒体。</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567" w:hRule="atLeast"/>
        </w:trPr>
        <w:tc>
          <w:tcPr>
            <w:tcW w:w="851"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60" w:lineRule="auto"/>
              <w:ind w:left="0" w:right="0"/>
              <w:jc w:val="center"/>
              <w:rPr>
                <w:rFonts w:hint="default" w:ascii="宋体" w:hAnsi="宋体"/>
                <w:sz w:val="21"/>
                <w:szCs w:val="21"/>
                <w:highlight w:val="none"/>
              </w:rPr>
            </w:pPr>
            <w:r>
              <w:rPr>
                <w:rFonts w:hint="eastAsia" w:ascii="宋体" w:hAnsi="宋体"/>
                <w:sz w:val="21"/>
                <w:szCs w:val="21"/>
                <w:highlight w:val="none"/>
              </w:rPr>
              <w:t>8</w:t>
            </w:r>
          </w:p>
        </w:tc>
        <w:tc>
          <w:tcPr>
            <w:tcW w:w="878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60" w:lineRule="auto"/>
              <w:ind w:left="0" w:right="0"/>
              <w:rPr>
                <w:rFonts w:hint="default" w:ascii="宋体" w:hAnsi="宋体"/>
                <w:sz w:val="21"/>
                <w:szCs w:val="21"/>
                <w:highlight w:val="none"/>
              </w:rPr>
            </w:pPr>
            <w:r>
              <w:rPr>
                <w:rFonts w:hint="eastAsia" w:ascii="宋体" w:hAnsi="宋体"/>
                <w:sz w:val="21"/>
                <w:szCs w:val="21"/>
                <w:highlight w:val="none"/>
              </w:rPr>
              <w:t>签订协议：中标通知书发出后30日内。</w:t>
            </w:r>
          </w:p>
          <w:p>
            <w:pPr>
              <w:keepNext w:val="0"/>
              <w:keepLines w:val="0"/>
              <w:suppressLineNumbers w:val="0"/>
              <w:spacing w:before="0" w:beforeAutospacing="0" w:after="0" w:afterAutospacing="0" w:line="360" w:lineRule="auto"/>
              <w:ind w:left="0" w:right="0"/>
              <w:rPr>
                <w:rFonts w:hint="default" w:ascii="宋体" w:hAnsi="宋体"/>
                <w:sz w:val="21"/>
                <w:szCs w:val="21"/>
                <w:highlight w:val="none"/>
              </w:rPr>
            </w:pPr>
            <w:r>
              <w:rPr>
                <w:rFonts w:hint="eastAsia" w:ascii="宋体" w:hAnsi="宋体"/>
                <w:sz w:val="21"/>
                <w:szCs w:val="21"/>
                <w:highlight w:val="none"/>
              </w:rPr>
              <w:t>支付代理服务费：中标通知书发出后七个工作日内。</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567" w:hRule="atLeast"/>
        </w:trPr>
        <w:tc>
          <w:tcPr>
            <w:tcW w:w="851"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60" w:lineRule="auto"/>
              <w:ind w:left="0" w:right="0"/>
              <w:jc w:val="center"/>
              <w:rPr>
                <w:rFonts w:hint="default" w:ascii="宋体" w:hAnsi="宋体"/>
                <w:sz w:val="21"/>
                <w:szCs w:val="21"/>
                <w:highlight w:val="none"/>
              </w:rPr>
            </w:pPr>
            <w:r>
              <w:rPr>
                <w:rFonts w:hint="eastAsia" w:ascii="宋体" w:hAnsi="宋体"/>
                <w:sz w:val="21"/>
                <w:szCs w:val="21"/>
                <w:highlight w:val="none"/>
              </w:rPr>
              <w:t>9</w:t>
            </w:r>
          </w:p>
        </w:tc>
        <w:tc>
          <w:tcPr>
            <w:tcW w:w="878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utoSpaceDE w:val="0"/>
              <w:autoSpaceDN w:val="0"/>
              <w:snapToGrid w:val="0"/>
              <w:spacing w:before="0" w:beforeAutospacing="0" w:after="0" w:afterAutospacing="0" w:line="360" w:lineRule="auto"/>
              <w:ind w:left="0" w:right="0"/>
              <w:textAlignment w:val="bottom"/>
              <w:rPr>
                <w:rFonts w:hint="default" w:ascii="宋体" w:hAnsi="宋体"/>
                <w:sz w:val="21"/>
                <w:szCs w:val="21"/>
                <w:highlight w:val="none"/>
              </w:rPr>
            </w:pPr>
            <w:r>
              <w:rPr>
                <w:rFonts w:hint="eastAsia" w:ascii="宋体" w:hAnsi="宋体"/>
                <w:sz w:val="21"/>
                <w:szCs w:val="21"/>
                <w:highlight w:val="none"/>
              </w:rPr>
              <w:t>定期存款存放银行出现以下情形，招标人及时提前收回定期存款，并有权拒绝其在以后2年内参与本单位公款</w:t>
            </w:r>
            <w:r>
              <w:rPr>
                <w:rFonts w:hint="default" w:ascii="宋体" w:hAnsi="宋体"/>
                <w:sz w:val="21"/>
                <w:szCs w:val="21"/>
                <w:highlight w:val="none"/>
              </w:rPr>
              <w:t>存放</w:t>
            </w:r>
            <w:r>
              <w:rPr>
                <w:rFonts w:hint="eastAsia" w:ascii="宋体" w:hAnsi="宋体"/>
                <w:sz w:val="21"/>
                <w:szCs w:val="21"/>
                <w:highlight w:val="none"/>
              </w:rPr>
              <w:t>。</w:t>
            </w:r>
          </w:p>
          <w:p>
            <w:pPr>
              <w:keepNext w:val="0"/>
              <w:keepLines w:val="0"/>
              <w:suppressLineNumbers w:val="0"/>
              <w:autoSpaceDE w:val="0"/>
              <w:autoSpaceDN w:val="0"/>
              <w:snapToGrid w:val="0"/>
              <w:spacing w:before="0" w:beforeAutospacing="0" w:after="0" w:afterAutospacing="0" w:line="360" w:lineRule="auto"/>
              <w:ind w:left="0" w:right="0"/>
              <w:textAlignment w:val="bottom"/>
              <w:rPr>
                <w:rFonts w:hint="default" w:ascii="宋体" w:hAnsi="宋体"/>
                <w:sz w:val="21"/>
                <w:szCs w:val="21"/>
                <w:highlight w:val="none"/>
              </w:rPr>
            </w:pPr>
            <w:r>
              <w:rPr>
                <w:rFonts w:hint="eastAsia" w:ascii="宋体" w:hAnsi="宋体"/>
                <w:sz w:val="21"/>
                <w:szCs w:val="21"/>
                <w:highlight w:val="none"/>
              </w:rPr>
              <w:t>（一）出现资金安全事故、重大违法违规情况或财务状况恶化的；</w:t>
            </w:r>
          </w:p>
          <w:p>
            <w:pPr>
              <w:keepNext w:val="0"/>
              <w:keepLines w:val="0"/>
              <w:suppressLineNumbers w:val="0"/>
              <w:autoSpaceDE w:val="0"/>
              <w:autoSpaceDN w:val="0"/>
              <w:snapToGrid w:val="0"/>
              <w:spacing w:before="0" w:beforeAutospacing="0" w:after="0" w:afterAutospacing="0" w:line="360" w:lineRule="auto"/>
              <w:ind w:left="0" w:right="0"/>
              <w:textAlignment w:val="bottom"/>
              <w:rPr>
                <w:rFonts w:hint="default" w:ascii="宋体" w:hAnsi="宋体"/>
                <w:sz w:val="21"/>
                <w:szCs w:val="21"/>
                <w:highlight w:val="none"/>
              </w:rPr>
            </w:pPr>
            <w:r>
              <w:rPr>
                <w:rFonts w:hint="eastAsia" w:ascii="宋体" w:hAnsi="宋体"/>
                <w:sz w:val="21"/>
                <w:szCs w:val="21"/>
                <w:highlight w:val="none"/>
              </w:rPr>
              <w:t>（二）监管评级降低后低于人民银行上年度综合评价B级，监管部门认为存在较大运营风险的；</w:t>
            </w:r>
          </w:p>
          <w:p>
            <w:pPr>
              <w:keepNext w:val="0"/>
              <w:keepLines w:val="0"/>
              <w:suppressLineNumbers w:val="0"/>
              <w:autoSpaceDE w:val="0"/>
              <w:autoSpaceDN w:val="0"/>
              <w:snapToGrid w:val="0"/>
              <w:spacing w:before="0" w:beforeAutospacing="0" w:after="0" w:afterAutospacing="0" w:line="360" w:lineRule="auto"/>
              <w:ind w:left="0" w:right="0"/>
              <w:textAlignment w:val="bottom"/>
              <w:rPr>
                <w:rFonts w:hint="default" w:ascii="宋体" w:hAnsi="宋体"/>
                <w:sz w:val="21"/>
                <w:szCs w:val="21"/>
                <w:highlight w:val="none"/>
              </w:rPr>
            </w:pPr>
            <w:r>
              <w:rPr>
                <w:rFonts w:hint="eastAsia" w:ascii="宋体" w:hAnsi="宋体"/>
                <w:sz w:val="21"/>
                <w:szCs w:val="21"/>
                <w:highlight w:val="none"/>
              </w:rPr>
              <w:t>（三）进行不正当投标的；</w:t>
            </w:r>
          </w:p>
          <w:p>
            <w:pPr>
              <w:keepNext w:val="0"/>
              <w:keepLines w:val="0"/>
              <w:suppressLineNumbers w:val="0"/>
              <w:autoSpaceDE w:val="0"/>
              <w:autoSpaceDN w:val="0"/>
              <w:snapToGrid w:val="0"/>
              <w:spacing w:before="0" w:beforeAutospacing="0" w:after="0" w:afterAutospacing="0" w:line="360" w:lineRule="auto"/>
              <w:ind w:left="0" w:right="0"/>
              <w:textAlignment w:val="bottom"/>
              <w:rPr>
                <w:rFonts w:hint="default" w:ascii="宋体" w:hAnsi="宋体"/>
                <w:sz w:val="21"/>
                <w:szCs w:val="21"/>
                <w:highlight w:val="none"/>
              </w:rPr>
            </w:pPr>
            <w:r>
              <w:rPr>
                <w:rFonts w:hint="eastAsia" w:ascii="宋体" w:hAnsi="宋体"/>
                <w:sz w:val="21"/>
                <w:szCs w:val="21"/>
                <w:highlight w:val="none"/>
              </w:rPr>
              <w:t>（四）没有按照中标协议承诺履行相应的责任和义务的；</w:t>
            </w:r>
          </w:p>
          <w:p>
            <w:pPr>
              <w:keepNext w:val="0"/>
              <w:keepLines w:val="0"/>
              <w:suppressLineNumbers w:val="0"/>
              <w:autoSpaceDE w:val="0"/>
              <w:autoSpaceDN w:val="0"/>
              <w:snapToGrid w:val="0"/>
              <w:spacing w:before="0" w:beforeAutospacing="0" w:after="0" w:afterAutospacing="0" w:line="360" w:lineRule="auto"/>
              <w:ind w:left="0" w:right="0"/>
              <w:textAlignment w:val="bottom"/>
              <w:rPr>
                <w:rFonts w:hint="default" w:ascii="宋体" w:hAnsi="宋体"/>
                <w:sz w:val="21"/>
                <w:szCs w:val="21"/>
                <w:highlight w:val="none"/>
              </w:rPr>
            </w:pPr>
            <w:r>
              <w:rPr>
                <w:rFonts w:hint="eastAsia" w:ascii="宋体" w:hAnsi="宋体"/>
                <w:sz w:val="21"/>
                <w:szCs w:val="21"/>
                <w:highlight w:val="none"/>
              </w:rPr>
              <w:t>（五）不能按规定将到期存款本息足额缴入单位账户的；</w:t>
            </w:r>
          </w:p>
          <w:p>
            <w:pPr>
              <w:keepNext w:val="0"/>
              <w:keepLines w:val="0"/>
              <w:suppressLineNumbers w:val="0"/>
              <w:spacing w:before="0" w:beforeAutospacing="0" w:after="0" w:afterAutospacing="0" w:line="360" w:lineRule="auto"/>
              <w:ind w:left="0" w:right="0"/>
              <w:rPr>
                <w:rFonts w:hint="default" w:ascii="宋体" w:hAnsi="宋体"/>
                <w:sz w:val="21"/>
                <w:szCs w:val="21"/>
                <w:highlight w:val="none"/>
              </w:rPr>
            </w:pPr>
            <w:r>
              <w:rPr>
                <w:rFonts w:hint="eastAsia" w:ascii="宋体" w:hAnsi="宋体"/>
                <w:sz w:val="21"/>
                <w:szCs w:val="21"/>
                <w:highlight w:val="none"/>
              </w:rPr>
              <w:t>（六）存在其他妨害资金安全行为的。</w:t>
            </w:r>
          </w:p>
        </w:tc>
      </w:tr>
    </w:tbl>
    <w:p>
      <w:pPr>
        <w:pStyle w:val="12"/>
        <w:spacing w:beforeLines="0" w:afterLines="0" w:line="360" w:lineRule="auto"/>
        <w:jc w:val="center"/>
        <w:outlineLvl w:val="1"/>
        <w:rPr>
          <w:rFonts w:hAnsi="宋体"/>
          <w:b/>
          <w:spacing w:val="-6"/>
          <w:sz w:val="32"/>
          <w:szCs w:val="32"/>
          <w:highlight w:val="none"/>
        </w:rPr>
      </w:pPr>
      <w:r>
        <w:rPr>
          <w:rFonts w:hAnsi="宋体"/>
          <w:b/>
          <w:spacing w:val="-6"/>
          <w:sz w:val="21"/>
          <w:szCs w:val="21"/>
          <w:highlight w:val="none"/>
        </w:rPr>
        <w:br w:type="page"/>
      </w:r>
      <w:r>
        <w:rPr>
          <w:rFonts w:hAnsi="宋体"/>
          <w:b/>
          <w:spacing w:val="-6"/>
          <w:sz w:val="32"/>
          <w:szCs w:val="32"/>
          <w:highlight w:val="none"/>
        </w:rPr>
        <w:t>一</w:t>
      </w:r>
      <w:r>
        <w:rPr>
          <w:rFonts w:hint="eastAsia" w:hAnsi="宋体"/>
          <w:b/>
          <w:spacing w:val="-6"/>
          <w:sz w:val="32"/>
          <w:szCs w:val="32"/>
          <w:highlight w:val="none"/>
        </w:rPr>
        <w:t>、</w:t>
      </w:r>
      <w:r>
        <w:rPr>
          <w:rFonts w:hAnsi="宋体"/>
          <w:b/>
          <w:spacing w:val="-6"/>
          <w:sz w:val="32"/>
          <w:szCs w:val="32"/>
          <w:highlight w:val="none"/>
        </w:rPr>
        <w:t>总则</w:t>
      </w:r>
    </w:p>
    <w:p>
      <w:pPr>
        <w:spacing w:line="360" w:lineRule="auto"/>
        <w:jc w:val="left"/>
        <w:rPr>
          <w:rFonts w:ascii="宋体" w:hAnsi="宋体"/>
          <w:b/>
          <w:spacing w:val="-6"/>
          <w:sz w:val="24"/>
          <w:highlight w:val="none"/>
        </w:rPr>
      </w:pPr>
      <w:r>
        <w:rPr>
          <w:rFonts w:hint="eastAsia" w:ascii="宋体" w:hAnsi="宋体"/>
          <w:b/>
          <w:spacing w:val="-6"/>
          <w:sz w:val="24"/>
          <w:highlight w:val="none"/>
        </w:rPr>
        <w:t>（一</w:t>
      </w:r>
      <w:r>
        <w:rPr>
          <w:rFonts w:ascii="宋体" w:hAnsi="宋体"/>
          <w:b/>
          <w:spacing w:val="-6"/>
          <w:sz w:val="24"/>
          <w:highlight w:val="none"/>
        </w:rPr>
        <w:t>）</w:t>
      </w:r>
      <w:r>
        <w:rPr>
          <w:rFonts w:hint="eastAsia" w:ascii="宋体" w:hAnsi="宋体"/>
          <w:b/>
          <w:spacing w:val="-6"/>
          <w:sz w:val="24"/>
          <w:highlight w:val="none"/>
        </w:rPr>
        <w:t xml:space="preserve"> 适用范围</w:t>
      </w:r>
    </w:p>
    <w:p>
      <w:pPr>
        <w:spacing w:line="360" w:lineRule="auto"/>
        <w:ind w:firstLine="396" w:firstLineChars="200"/>
        <w:jc w:val="left"/>
        <w:rPr>
          <w:rFonts w:ascii="宋体" w:hAnsi="宋体"/>
          <w:spacing w:val="-6"/>
          <w:sz w:val="21"/>
          <w:szCs w:val="21"/>
          <w:highlight w:val="none"/>
        </w:rPr>
      </w:pPr>
      <w:r>
        <w:rPr>
          <w:rFonts w:hint="eastAsia" w:ascii="宋体" w:hAnsi="宋体"/>
          <w:spacing w:val="-6"/>
          <w:sz w:val="21"/>
          <w:szCs w:val="21"/>
          <w:highlight w:val="none"/>
        </w:rPr>
        <w:t>本招标文件适用于</w:t>
      </w:r>
      <w:r>
        <w:rPr>
          <w:rFonts w:hint="eastAsia" w:ascii="宋体" w:hAnsi="宋体"/>
          <w:spacing w:val="-6"/>
          <w:sz w:val="21"/>
          <w:szCs w:val="21"/>
          <w:highlight w:val="none"/>
          <w:lang w:eastAsia="zh-CN"/>
        </w:rPr>
        <w:t>2023年第二期公款竞争性存放</w:t>
      </w:r>
      <w:r>
        <w:rPr>
          <w:rFonts w:hint="eastAsia" w:ascii="宋体" w:hAnsi="宋体"/>
          <w:spacing w:val="-6"/>
          <w:sz w:val="21"/>
          <w:szCs w:val="21"/>
          <w:highlight w:val="none"/>
        </w:rPr>
        <w:t>的招标、评标、定标、验收、合同履约、付款等（法律、法规另有规定的，从其规定）。</w:t>
      </w:r>
    </w:p>
    <w:p>
      <w:pPr>
        <w:spacing w:line="360" w:lineRule="auto"/>
        <w:jc w:val="left"/>
        <w:rPr>
          <w:rFonts w:ascii="宋体" w:hAnsi="宋体"/>
          <w:b/>
          <w:spacing w:val="-6"/>
          <w:sz w:val="24"/>
          <w:highlight w:val="none"/>
        </w:rPr>
      </w:pPr>
      <w:r>
        <w:rPr>
          <w:rFonts w:hint="eastAsia" w:ascii="宋体" w:hAnsi="宋体"/>
          <w:b/>
          <w:spacing w:val="-6"/>
          <w:sz w:val="24"/>
          <w:highlight w:val="none"/>
        </w:rPr>
        <w:t>（二） 定义</w:t>
      </w:r>
    </w:p>
    <w:p>
      <w:pPr>
        <w:spacing w:line="360" w:lineRule="auto"/>
        <w:ind w:firstLine="396" w:firstLineChars="200"/>
        <w:jc w:val="left"/>
        <w:rPr>
          <w:rFonts w:ascii="宋体" w:hAnsi="宋体"/>
          <w:spacing w:val="-6"/>
          <w:sz w:val="21"/>
          <w:szCs w:val="21"/>
          <w:highlight w:val="none"/>
        </w:rPr>
      </w:pPr>
      <w:r>
        <w:rPr>
          <w:rFonts w:hint="eastAsia" w:ascii="宋体" w:hAnsi="宋体"/>
          <w:spacing w:val="-6"/>
          <w:sz w:val="21"/>
          <w:szCs w:val="21"/>
          <w:highlight w:val="none"/>
        </w:rPr>
        <w:t>1.“招标人”系指</w:t>
      </w:r>
      <w:r>
        <w:rPr>
          <w:rFonts w:hint="eastAsia" w:ascii="宋体" w:hAnsi="宋体"/>
          <w:spacing w:val="-6"/>
          <w:sz w:val="21"/>
          <w:szCs w:val="21"/>
          <w:highlight w:val="none"/>
          <w:lang w:eastAsia="zh-CN"/>
        </w:rPr>
        <w:t>杭州电子科技大学</w:t>
      </w:r>
      <w:r>
        <w:rPr>
          <w:rFonts w:hint="eastAsia" w:ascii="宋体" w:hAnsi="宋体"/>
          <w:spacing w:val="-6"/>
          <w:sz w:val="21"/>
          <w:szCs w:val="21"/>
          <w:highlight w:val="none"/>
        </w:rPr>
        <w:t>；</w:t>
      </w:r>
    </w:p>
    <w:p>
      <w:pPr>
        <w:spacing w:line="360" w:lineRule="auto"/>
        <w:ind w:firstLine="396" w:firstLineChars="200"/>
        <w:jc w:val="left"/>
        <w:rPr>
          <w:rFonts w:ascii="宋体" w:hAnsi="宋体"/>
          <w:spacing w:val="-6"/>
          <w:sz w:val="21"/>
          <w:szCs w:val="21"/>
          <w:highlight w:val="none"/>
        </w:rPr>
      </w:pPr>
      <w:r>
        <w:rPr>
          <w:rFonts w:hint="eastAsia" w:ascii="宋体" w:hAnsi="宋体"/>
          <w:spacing w:val="-6"/>
          <w:sz w:val="21"/>
          <w:szCs w:val="21"/>
          <w:highlight w:val="none"/>
        </w:rPr>
        <w:t>2.“招标代理机构”系指组织本次招标的浙江求是招标代理有限公司；</w:t>
      </w:r>
    </w:p>
    <w:p>
      <w:pPr>
        <w:spacing w:line="360" w:lineRule="auto"/>
        <w:ind w:firstLine="396" w:firstLineChars="200"/>
        <w:jc w:val="left"/>
        <w:rPr>
          <w:rFonts w:ascii="宋体" w:hAnsi="宋体"/>
          <w:spacing w:val="-6"/>
          <w:sz w:val="21"/>
          <w:szCs w:val="21"/>
          <w:highlight w:val="none"/>
        </w:rPr>
      </w:pPr>
      <w:r>
        <w:rPr>
          <w:rFonts w:hint="eastAsia" w:ascii="宋体" w:hAnsi="宋体"/>
          <w:spacing w:val="-6"/>
          <w:sz w:val="21"/>
          <w:szCs w:val="21"/>
          <w:highlight w:val="none"/>
        </w:rPr>
        <w:t>3</w:t>
      </w:r>
      <w:r>
        <w:rPr>
          <w:rFonts w:ascii="宋体" w:hAnsi="宋体"/>
          <w:spacing w:val="-6"/>
          <w:sz w:val="21"/>
          <w:szCs w:val="21"/>
          <w:highlight w:val="none"/>
        </w:rPr>
        <w:t>.</w:t>
      </w:r>
      <w:r>
        <w:rPr>
          <w:rFonts w:hint="eastAsia" w:ascii="宋体" w:hAnsi="宋体"/>
          <w:spacing w:val="-6"/>
          <w:sz w:val="21"/>
          <w:szCs w:val="21"/>
          <w:highlight w:val="none"/>
        </w:rPr>
        <w:t>“投标人”系指是指响应招标、参加投标竞争的法人、其他组织；</w:t>
      </w:r>
    </w:p>
    <w:p>
      <w:pPr>
        <w:spacing w:line="360" w:lineRule="auto"/>
        <w:ind w:firstLine="396" w:firstLineChars="200"/>
        <w:jc w:val="left"/>
        <w:rPr>
          <w:rFonts w:ascii="宋体" w:hAnsi="宋体"/>
          <w:spacing w:val="-6"/>
          <w:sz w:val="21"/>
          <w:szCs w:val="21"/>
          <w:highlight w:val="none"/>
        </w:rPr>
      </w:pPr>
      <w:r>
        <w:rPr>
          <w:rFonts w:hint="eastAsia" w:ascii="宋体" w:hAnsi="宋体"/>
          <w:spacing w:val="-6"/>
          <w:sz w:val="21"/>
          <w:szCs w:val="21"/>
          <w:highlight w:val="none"/>
        </w:rPr>
        <w:t>4</w:t>
      </w:r>
      <w:r>
        <w:rPr>
          <w:rFonts w:ascii="宋体" w:hAnsi="宋体"/>
          <w:spacing w:val="-6"/>
          <w:sz w:val="21"/>
          <w:szCs w:val="21"/>
          <w:highlight w:val="none"/>
        </w:rPr>
        <w:t>.</w:t>
      </w:r>
      <w:r>
        <w:rPr>
          <w:rFonts w:hint="eastAsia" w:ascii="宋体" w:hAnsi="宋体"/>
          <w:spacing w:val="-6"/>
          <w:sz w:val="21"/>
          <w:szCs w:val="21"/>
          <w:highlight w:val="none"/>
        </w:rPr>
        <w:t>“书面形式”包括信函、传真、电子邮件等；</w:t>
      </w:r>
    </w:p>
    <w:p>
      <w:pPr>
        <w:spacing w:line="360" w:lineRule="auto"/>
        <w:ind w:firstLine="398" w:firstLineChars="200"/>
        <w:jc w:val="left"/>
        <w:rPr>
          <w:rFonts w:ascii="宋体" w:hAnsi="宋体"/>
          <w:b/>
          <w:bCs/>
          <w:spacing w:val="-6"/>
          <w:sz w:val="21"/>
          <w:szCs w:val="21"/>
          <w:highlight w:val="none"/>
        </w:rPr>
      </w:pPr>
      <w:r>
        <w:rPr>
          <w:rFonts w:hint="eastAsia" w:ascii="宋体" w:hAnsi="宋体"/>
          <w:b/>
          <w:bCs/>
          <w:spacing w:val="-6"/>
          <w:sz w:val="21"/>
          <w:szCs w:val="21"/>
          <w:highlight w:val="none"/>
        </w:rPr>
        <w:t>5.“电子投标文件”系指通过政采云电子交易客户端（政采云投标客户端）完成投标文件编制后的投标文件；</w:t>
      </w:r>
    </w:p>
    <w:p>
      <w:pPr>
        <w:spacing w:line="360" w:lineRule="auto"/>
        <w:ind w:firstLine="398" w:firstLineChars="200"/>
        <w:jc w:val="left"/>
        <w:rPr>
          <w:rFonts w:ascii="宋体" w:hAnsi="宋体"/>
          <w:b/>
          <w:bCs/>
          <w:spacing w:val="-6"/>
          <w:sz w:val="21"/>
          <w:szCs w:val="21"/>
          <w:highlight w:val="none"/>
        </w:rPr>
      </w:pPr>
      <w:r>
        <w:rPr>
          <w:rFonts w:hint="eastAsia" w:ascii="宋体" w:hAnsi="宋体"/>
          <w:b/>
          <w:bCs/>
          <w:spacing w:val="-6"/>
          <w:sz w:val="21"/>
          <w:szCs w:val="21"/>
          <w:highlight w:val="none"/>
        </w:rPr>
        <w:t>6.“公章”除特殊说明外系指政采云电子交易客户端（政采云投标客户端）中投标人的电子签章或投标人公章；</w:t>
      </w:r>
    </w:p>
    <w:p>
      <w:pPr>
        <w:spacing w:line="360" w:lineRule="auto"/>
        <w:ind w:firstLine="396" w:firstLineChars="200"/>
        <w:jc w:val="left"/>
        <w:rPr>
          <w:rFonts w:ascii="宋体" w:hAnsi="宋体"/>
          <w:spacing w:val="-6"/>
          <w:sz w:val="21"/>
          <w:szCs w:val="21"/>
          <w:highlight w:val="none"/>
        </w:rPr>
      </w:pPr>
      <w:r>
        <w:rPr>
          <w:rFonts w:hint="eastAsia" w:ascii="宋体" w:hAnsi="宋体"/>
          <w:spacing w:val="-6"/>
          <w:sz w:val="21"/>
          <w:szCs w:val="21"/>
          <w:highlight w:val="none"/>
        </w:rPr>
        <w:t>7.“▲”系指实质性要求条款，投标人应当做出实质性响应。</w:t>
      </w:r>
    </w:p>
    <w:p>
      <w:pPr>
        <w:spacing w:line="360" w:lineRule="auto"/>
        <w:jc w:val="left"/>
        <w:rPr>
          <w:rFonts w:ascii="宋体" w:hAnsi="宋体"/>
          <w:b/>
          <w:spacing w:val="-6"/>
          <w:sz w:val="24"/>
          <w:highlight w:val="none"/>
        </w:rPr>
      </w:pPr>
      <w:r>
        <w:rPr>
          <w:rFonts w:hint="eastAsia" w:ascii="宋体" w:hAnsi="宋体"/>
          <w:b/>
          <w:spacing w:val="-6"/>
          <w:sz w:val="24"/>
          <w:highlight w:val="none"/>
        </w:rPr>
        <w:t>（三） 招标方式</w:t>
      </w:r>
    </w:p>
    <w:p>
      <w:pPr>
        <w:spacing w:line="360" w:lineRule="auto"/>
        <w:ind w:firstLine="396" w:firstLineChars="200"/>
        <w:jc w:val="left"/>
        <w:rPr>
          <w:rFonts w:ascii="宋体" w:hAnsi="宋体"/>
          <w:spacing w:val="-6"/>
          <w:sz w:val="21"/>
          <w:szCs w:val="21"/>
          <w:highlight w:val="none"/>
        </w:rPr>
      </w:pPr>
      <w:r>
        <w:rPr>
          <w:rFonts w:hint="eastAsia" w:ascii="宋体" w:hAnsi="宋体"/>
          <w:spacing w:val="-6"/>
          <w:sz w:val="21"/>
          <w:szCs w:val="21"/>
          <w:highlight w:val="none"/>
        </w:rPr>
        <w:t>本次招标采用公开招标方式进行。</w:t>
      </w:r>
    </w:p>
    <w:p>
      <w:pPr>
        <w:spacing w:line="360" w:lineRule="auto"/>
        <w:jc w:val="left"/>
        <w:rPr>
          <w:rFonts w:ascii="宋体" w:hAnsi="宋体"/>
          <w:b/>
          <w:spacing w:val="-6"/>
          <w:sz w:val="24"/>
          <w:highlight w:val="none"/>
        </w:rPr>
      </w:pPr>
      <w:r>
        <w:rPr>
          <w:rFonts w:hint="eastAsia" w:ascii="宋体" w:hAnsi="宋体"/>
          <w:b/>
          <w:spacing w:val="-6"/>
          <w:sz w:val="24"/>
          <w:highlight w:val="none"/>
        </w:rPr>
        <w:t>（四） 投标委托</w:t>
      </w:r>
    </w:p>
    <w:p>
      <w:pPr>
        <w:spacing w:line="360" w:lineRule="auto"/>
        <w:ind w:firstLine="396" w:firstLineChars="200"/>
        <w:rPr>
          <w:spacing w:val="-6"/>
          <w:sz w:val="21"/>
          <w:szCs w:val="21"/>
          <w:highlight w:val="none"/>
        </w:rPr>
      </w:pPr>
      <w:r>
        <w:rPr>
          <w:rFonts w:ascii="宋体" w:hAnsi="宋体"/>
          <w:spacing w:val="-6"/>
          <w:sz w:val="21"/>
          <w:szCs w:val="21"/>
          <w:highlight w:val="none"/>
        </w:rPr>
        <w:t>如投标人代表不是企业负责人，须有</w:t>
      </w:r>
      <w:r>
        <w:rPr>
          <w:rFonts w:ascii="宋体" w:hAnsi="宋体"/>
          <w:bCs/>
          <w:spacing w:val="-6"/>
          <w:sz w:val="21"/>
          <w:szCs w:val="21"/>
          <w:highlight w:val="none"/>
        </w:rPr>
        <w:t>附有企业负责人资格证明</w:t>
      </w:r>
      <w:r>
        <w:rPr>
          <w:rFonts w:hint="eastAsia" w:ascii="宋体" w:hAnsi="宋体"/>
          <w:bCs/>
          <w:spacing w:val="-6"/>
          <w:sz w:val="21"/>
          <w:szCs w:val="21"/>
          <w:highlight w:val="none"/>
        </w:rPr>
        <w:t>书</w:t>
      </w:r>
      <w:r>
        <w:rPr>
          <w:rFonts w:ascii="宋体" w:hAnsi="宋体"/>
          <w:bCs/>
          <w:spacing w:val="-6"/>
          <w:sz w:val="21"/>
          <w:szCs w:val="21"/>
          <w:highlight w:val="none"/>
        </w:rPr>
        <w:t>的企业负责人授权</w:t>
      </w:r>
      <w:r>
        <w:rPr>
          <w:rFonts w:hint="eastAsia" w:ascii="宋体" w:hAnsi="宋体"/>
          <w:bCs/>
          <w:spacing w:val="-6"/>
          <w:sz w:val="21"/>
          <w:szCs w:val="21"/>
          <w:highlight w:val="none"/>
        </w:rPr>
        <w:t>委托</w:t>
      </w:r>
      <w:r>
        <w:rPr>
          <w:rFonts w:ascii="宋体" w:hAnsi="宋体"/>
          <w:bCs/>
          <w:spacing w:val="-6"/>
          <w:sz w:val="21"/>
          <w:szCs w:val="21"/>
          <w:highlight w:val="none"/>
        </w:rPr>
        <w:t>书</w:t>
      </w:r>
      <w:r>
        <w:rPr>
          <w:rFonts w:hint="eastAsia" w:ascii="宋体" w:hAnsi="宋体"/>
          <w:spacing w:val="-6"/>
          <w:sz w:val="21"/>
          <w:szCs w:val="21"/>
          <w:highlight w:val="none"/>
        </w:rPr>
        <w:t>（详见投标文件格式）</w:t>
      </w:r>
      <w:r>
        <w:rPr>
          <w:rFonts w:hint="eastAsia"/>
          <w:spacing w:val="-6"/>
          <w:sz w:val="21"/>
          <w:szCs w:val="21"/>
          <w:highlight w:val="none"/>
        </w:rPr>
        <w:t>。</w:t>
      </w:r>
    </w:p>
    <w:p>
      <w:pPr>
        <w:spacing w:line="360" w:lineRule="auto"/>
        <w:jc w:val="left"/>
        <w:rPr>
          <w:rFonts w:ascii="宋体" w:hAnsi="宋体"/>
          <w:b/>
          <w:spacing w:val="-6"/>
          <w:sz w:val="24"/>
          <w:highlight w:val="none"/>
        </w:rPr>
      </w:pPr>
      <w:r>
        <w:rPr>
          <w:rFonts w:hint="eastAsia" w:ascii="宋体" w:hAnsi="宋体"/>
          <w:b/>
          <w:spacing w:val="-6"/>
          <w:sz w:val="24"/>
          <w:highlight w:val="none"/>
        </w:rPr>
        <w:t>（五） 投标费用</w:t>
      </w:r>
    </w:p>
    <w:p>
      <w:pPr>
        <w:spacing w:line="360" w:lineRule="auto"/>
        <w:ind w:firstLine="396" w:firstLineChars="200"/>
        <w:jc w:val="left"/>
        <w:rPr>
          <w:rFonts w:ascii="宋体" w:hAnsi="宋体"/>
          <w:spacing w:val="-6"/>
          <w:sz w:val="21"/>
          <w:szCs w:val="21"/>
          <w:highlight w:val="none"/>
        </w:rPr>
      </w:pPr>
      <w:r>
        <w:rPr>
          <w:rFonts w:ascii="宋体" w:hAnsi="宋体"/>
          <w:spacing w:val="-6"/>
          <w:sz w:val="21"/>
          <w:szCs w:val="21"/>
          <w:highlight w:val="none"/>
        </w:rPr>
        <w:t>1.</w:t>
      </w:r>
      <w:r>
        <w:rPr>
          <w:rFonts w:hint="eastAsia" w:ascii="宋体" w:hAnsi="宋体"/>
          <w:spacing w:val="-6"/>
          <w:sz w:val="21"/>
          <w:szCs w:val="21"/>
          <w:highlight w:val="none"/>
        </w:rPr>
        <w:t>不论投标结果如何，投标人均应自行承担所有与投标有关的全部费用；</w:t>
      </w:r>
    </w:p>
    <w:p>
      <w:pPr>
        <w:spacing w:line="360" w:lineRule="auto"/>
        <w:ind w:firstLine="396" w:firstLineChars="200"/>
        <w:jc w:val="left"/>
        <w:rPr>
          <w:rFonts w:hint="default" w:ascii="宋体" w:hAnsi="宋体" w:eastAsia="宋体"/>
          <w:spacing w:val="-6"/>
          <w:sz w:val="21"/>
          <w:szCs w:val="21"/>
          <w:highlight w:val="none"/>
          <w:lang w:val="en-US" w:eastAsia="zh-CN"/>
        </w:rPr>
      </w:pPr>
      <w:r>
        <w:rPr>
          <w:rFonts w:hint="eastAsia" w:ascii="宋体" w:hAnsi="宋体"/>
          <w:spacing w:val="-6"/>
          <w:sz w:val="21"/>
          <w:szCs w:val="21"/>
          <w:highlight w:val="none"/>
        </w:rPr>
        <w:t>2.中标人在中标通知书发出后七个工作日内，每家入围银行向招标代理机构交纳代理服务费，</w:t>
      </w:r>
      <w:r>
        <w:rPr>
          <w:rFonts w:ascii="宋体" w:hAnsi="宋体"/>
          <w:spacing w:val="-6"/>
          <w:sz w:val="21"/>
          <w:szCs w:val="21"/>
          <w:highlight w:val="none"/>
        </w:rPr>
        <w:t>收费标准：</w:t>
      </w:r>
      <w:r>
        <w:rPr>
          <w:rFonts w:hint="eastAsia" w:ascii="宋体" w:hAnsi="宋体"/>
          <w:spacing w:val="-6"/>
          <w:sz w:val="21"/>
          <w:szCs w:val="21"/>
          <w:highlight w:val="none"/>
          <w:lang w:val="en-US" w:eastAsia="zh-CN"/>
        </w:rPr>
        <w:t>人民币10000元/家。</w:t>
      </w:r>
    </w:p>
    <w:p>
      <w:pPr>
        <w:spacing w:line="360" w:lineRule="auto"/>
        <w:jc w:val="left"/>
        <w:rPr>
          <w:rFonts w:ascii="宋体" w:hAnsi="宋体"/>
          <w:b/>
          <w:spacing w:val="-6"/>
          <w:sz w:val="24"/>
          <w:highlight w:val="none"/>
        </w:rPr>
      </w:pPr>
      <w:r>
        <w:rPr>
          <w:rFonts w:hint="eastAsia" w:ascii="宋体" w:hAnsi="宋体"/>
          <w:b/>
          <w:spacing w:val="-6"/>
          <w:sz w:val="24"/>
          <w:highlight w:val="none"/>
        </w:rPr>
        <w:t>（六） 联合体投标</w:t>
      </w:r>
    </w:p>
    <w:p>
      <w:pPr>
        <w:spacing w:line="360" w:lineRule="auto"/>
        <w:ind w:firstLine="396" w:firstLineChars="200"/>
        <w:jc w:val="left"/>
        <w:rPr>
          <w:rFonts w:ascii="宋体" w:hAnsi="宋体"/>
          <w:spacing w:val="-6"/>
          <w:sz w:val="21"/>
          <w:szCs w:val="21"/>
          <w:highlight w:val="none"/>
        </w:rPr>
      </w:pPr>
      <w:r>
        <w:rPr>
          <w:rFonts w:hint="eastAsia" w:ascii="宋体" w:hAnsi="宋体"/>
          <w:spacing w:val="-6"/>
          <w:sz w:val="21"/>
          <w:szCs w:val="21"/>
          <w:highlight w:val="none"/>
        </w:rPr>
        <w:t>本项目不接受联合体投标。</w:t>
      </w:r>
    </w:p>
    <w:p>
      <w:pPr>
        <w:spacing w:line="360" w:lineRule="auto"/>
        <w:jc w:val="left"/>
        <w:rPr>
          <w:rFonts w:ascii="宋体" w:hAnsi="宋体"/>
          <w:b/>
          <w:spacing w:val="-6"/>
          <w:sz w:val="24"/>
          <w:highlight w:val="none"/>
        </w:rPr>
      </w:pPr>
      <w:r>
        <w:rPr>
          <w:rFonts w:hint="eastAsia" w:ascii="宋体" w:hAnsi="宋体"/>
          <w:b/>
          <w:spacing w:val="-6"/>
          <w:sz w:val="24"/>
          <w:highlight w:val="none"/>
        </w:rPr>
        <w:t>（七） 转包</w:t>
      </w:r>
    </w:p>
    <w:p>
      <w:pPr>
        <w:spacing w:line="360" w:lineRule="auto"/>
        <w:ind w:firstLine="396" w:firstLineChars="200"/>
        <w:jc w:val="left"/>
        <w:rPr>
          <w:rFonts w:ascii="宋体" w:hAnsi="宋体"/>
          <w:spacing w:val="-6"/>
          <w:sz w:val="21"/>
          <w:szCs w:val="21"/>
          <w:highlight w:val="none"/>
        </w:rPr>
      </w:pPr>
      <w:r>
        <w:rPr>
          <w:rFonts w:hint="eastAsia" w:ascii="宋体" w:hAnsi="宋体"/>
          <w:spacing w:val="-6"/>
          <w:sz w:val="21"/>
          <w:szCs w:val="21"/>
          <w:highlight w:val="none"/>
        </w:rPr>
        <w:t>本项目不允许转包。</w:t>
      </w:r>
    </w:p>
    <w:p>
      <w:pPr>
        <w:spacing w:line="360" w:lineRule="auto"/>
        <w:rPr>
          <w:rFonts w:ascii="宋体" w:hAnsi="宋体" w:cs="宋体"/>
          <w:b/>
          <w:spacing w:val="-6"/>
          <w:kern w:val="0"/>
          <w:sz w:val="24"/>
          <w:highlight w:val="none"/>
        </w:rPr>
      </w:pPr>
      <w:r>
        <w:rPr>
          <w:rFonts w:hint="eastAsia" w:ascii="宋体" w:hAnsi="宋体" w:cs="宋体"/>
          <w:b/>
          <w:spacing w:val="-6"/>
          <w:kern w:val="0"/>
          <w:sz w:val="24"/>
          <w:highlight w:val="none"/>
        </w:rPr>
        <w:t>（八） 特别说明</w:t>
      </w:r>
    </w:p>
    <w:p>
      <w:pPr>
        <w:pStyle w:val="2"/>
        <w:spacing w:line="360" w:lineRule="auto"/>
        <w:ind w:firstLine="396" w:firstLineChars="200"/>
        <w:jc w:val="left"/>
        <w:rPr>
          <w:rFonts w:hAnsi="宋体"/>
          <w:spacing w:val="-6"/>
          <w:sz w:val="21"/>
          <w:szCs w:val="21"/>
          <w:highlight w:val="none"/>
        </w:rPr>
      </w:pPr>
      <w:r>
        <w:rPr>
          <w:rFonts w:hAnsi="宋体"/>
          <w:spacing w:val="-6"/>
          <w:sz w:val="21"/>
          <w:szCs w:val="21"/>
          <w:highlight w:val="none"/>
        </w:rPr>
        <w:t>▲</w:t>
      </w:r>
      <w:r>
        <w:rPr>
          <w:rFonts w:hint="eastAsia" w:hAnsi="宋体"/>
          <w:spacing w:val="-6"/>
          <w:sz w:val="21"/>
          <w:szCs w:val="21"/>
          <w:highlight w:val="none"/>
        </w:rPr>
        <w:t>1</w:t>
      </w:r>
      <w:r>
        <w:rPr>
          <w:rFonts w:hAnsi="宋体"/>
          <w:spacing w:val="-6"/>
          <w:sz w:val="21"/>
          <w:szCs w:val="21"/>
          <w:highlight w:val="none"/>
        </w:rPr>
        <w:t>.投标人应仔细阅读招标文件的所有内容，按照招标文件的要求提交投标文件，并对所提供的全部资料的真实性承担法律责任。</w:t>
      </w:r>
    </w:p>
    <w:p>
      <w:pPr>
        <w:pStyle w:val="2"/>
        <w:spacing w:line="360" w:lineRule="auto"/>
        <w:ind w:firstLine="396" w:firstLineChars="200"/>
        <w:jc w:val="left"/>
        <w:rPr>
          <w:rFonts w:hAnsi="宋体"/>
          <w:spacing w:val="-6"/>
          <w:sz w:val="21"/>
          <w:szCs w:val="21"/>
          <w:highlight w:val="none"/>
        </w:rPr>
      </w:pPr>
      <w:r>
        <w:rPr>
          <w:rFonts w:hAnsi="宋体"/>
          <w:spacing w:val="-6"/>
          <w:sz w:val="21"/>
          <w:szCs w:val="21"/>
          <w:highlight w:val="none"/>
        </w:rPr>
        <w:t>▲</w:t>
      </w:r>
      <w:r>
        <w:rPr>
          <w:rFonts w:hint="eastAsia" w:hAnsi="宋体"/>
          <w:spacing w:val="-6"/>
          <w:sz w:val="21"/>
          <w:szCs w:val="21"/>
          <w:highlight w:val="none"/>
        </w:rPr>
        <w:t>2</w:t>
      </w:r>
      <w:r>
        <w:rPr>
          <w:rFonts w:hAnsi="宋体"/>
          <w:spacing w:val="-6"/>
          <w:sz w:val="21"/>
          <w:szCs w:val="21"/>
          <w:highlight w:val="none"/>
        </w:rPr>
        <w:t>.</w:t>
      </w:r>
      <w:r>
        <w:rPr>
          <w:rFonts w:hint="eastAsia" w:hAnsi="宋体"/>
          <w:spacing w:val="-6"/>
          <w:sz w:val="21"/>
          <w:szCs w:val="21"/>
          <w:highlight w:val="none"/>
        </w:rPr>
        <w:t>单位负责人为同一人或者存在直接控股、管理关系的不同供应商，不得参加同一合同项下的采购活动。</w:t>
      </w:r>
    </w:p>
    <w:p>
      <w:pPr>
        <w:pStyle w:val="2"/>
        <w:spacing w:line="360" w:lineRule="auto"/>
        <w:ind w:firstLine="0"/>
        <w:jc w:val="center"/>
        <w:outlineLvl w:val="1"/>
        <w:rPr>
          <w:rFonts w:hAnsi="宋体"/>
          <w:b/>
          <w:spacing w:val="-6"/>
          <w:sz w:val="32"/>
          <w:szCs w:val="32"/>
          <w:highlight w:val="none"/>
        </w:rPr>
      </w:pPr>
      <w:r>
        <w:rPr>
          <w:rFonts w:hAnsi="宋体"/>
          <w:b/>
          <w:spacing w:val="-6"/>
          <w:sz w:val="32"/>
          <w:szCs w:val="32"/>
          <w:highlight w:val="none"/>
        </w:rPr>
        <w:br w:type="page"/>
      </w:r>
      <w:r>
        <w:rPr>
          <w:rFonts w:hAnsi="宋体"/>
          <w:b/>
          <w:spacing w:val="-6"/>
          <w:sz w:val="32"/>
          <w:szCs w:val="32"/>
          <w:highlight w:val="none"/>
        </w:rPr>
        <w:t>二</w:t>
      </w:r>
      <w:r>
        <w:rPr>
          <w:rFonts w:hint="eastAsia" w:hAnsi="宋体"/>
          <w:b/>
          <w:spacing w:val="-6"/>
          <w:sz w:val="32"/>
          <w:szCs w:val="32"/>
          <w:highlight w:val="none"/>
        </w:rPr>
        <w:t>、招标文件</w:t>
      </w:r>
    </w:p>
    <w:p>
      <w:pPr>
        <w:spacing w:line="360" w:lineRule="auto"/>
        <w:jc w:val="left"/>
        <w:rPr>
          <w:rFonts w:ascii="宋体" w:hAnsi="宋体"/>
          <w:b/>
          <w:spacing w:val="-6"/>
          <w:sz w:val="24"/>
          <w:highlight w:val="none"/>
        </w:rPr>
      </w:pPr>
      <w:r>
        <w:rPr>
          <w:rFonts w:hint="eastAsia" w:ascii="宋体" w:hAnsi="宋体"/>
          <w:b/>
          <w:spacing w:val="-6"/>
          <w:sz w:val="24"/>
          <w:highlight w:val="none"/>
        </w:rPr>
        <w:t>（一） 招标文件的构成。本招标文件由以下部分组成：</w:t>
      </w:r>
    </w:p>
    <w:p>
      <w:pPr>
        <w:pStyle w:val="2"/>
        <w:spacing w:line="360" w:lineRule="auto"/>
        <w:ind w:firstLine="396" w:firstLineChars="200"/>
        <w:jc w:val="left"/>
        <w:rPr>
          <w:rFonts w:hAnsi="宋体"/>
          <w:spacing w:val="-6"/>
          <w:sz w:val="21"/>
          <w:szCs w:val="21"/>
          <w:highlight w:val="none"/>
        </w:rPr>
      </w:pPr>
      <w:r>
        <w:rPr>
          <w:rFonts w:hint="eastAsia" w:hAnsi="宋体"/>
          <w:spacing w:val="-6"/>
          <w:sz w:val="21"/>
          <w:szCs w:val="21"/>
          <w:highlight w:val="none"/>
        </w:rPr>
        <w:t>1.招标公告</w:t>
      </w:r>
    </w:p>
    <w:p>
      <w:pPr>
        <w:pStyle w:val="2"/>
        <w:spacing w:line="360" w:lineRule="auto"/>
        <w:ind w:firstLine="396" w:firstLineChars="200"/>
        <w:jc w:val="left"/>
        <w:rPr>
          <w:rFonts w:hAnsi="宋体"/>
          <w:spacing w:val="-6"/>
          <w:sz w:val="21"/>
          <w:szCs w:val="21"/>
          <w:highlight w:val="none"/>
        </w:rPr>
      </w:pPr>
      <w:r>
        <w:rPr>
          <w:rFonts w:hint="eastAsia" w:hAnsi="宋体"/>
          <w:spacing w:val="-6"/>
          <w:sz w:val="21"/>
          <w:szCs w:val="21"/>
          <w:highlight w:val="none"/>
        </w:rPr>
        <w:t>2.招标需求</w:t>
      </w:r>
    </w:p>
    <w:p>
      <w:pPr>
        <w:pStyle w:val="2"/>
        <w:spacing w:line="360" w:lineRule="auto"/>
        <w:ind w:firstLine="396" w:firstLineChars="200"/>
        <w:jc w:val="left"/>
        <w:rPr>
          <w:rFonts w:hAnsi="宋体"/>
          <w:spacing w:val="-6"/>
          <w:sz w:val="21"/>
          <w:szCs w:val="21"/>
          <w:highlight w:val="none"/>
        </w:rPr>
      </w:pPr>
      <w:r>
        <w:rPr>
          <w:rFonts w:hint="eastAsia" w:hAnsi="宋体"/>
          <w:spacing w:val="-6"/>
          <w:sz w:val="21"/>
          <w:szCs w:val="21"/>
          <w:highlight w:val="none"/>
        </w:rPr>
        <w:t>3.投标人须知</w:t>
      </w:r>
    </w:p>
    <w:p>
      <w:pPr>
        <w:pStyle w:val="2"/>
        <w:spacing w:line="360" w:lineRule="auto"/>
        <w:ind w:firstLine="396" w:firstLineChars="200"/>
        <w:jc w:val="left"/>
        <w:rPr>
          <w:rFonts w:hAnsi="宋体"/>
          <w:spacing w:val="-6"/>
          <w:sz w:val="21"/>
          <w:szCs w:val="21"/>
          <w:highlight w:val="none"/>
        </w:rPr>
      </w:pPr>
      <w:r>
        <w:rPr>
          <w:rFonts w:hint="eastAsia" w:hAnsi="宋体"/>
          <w:spacing w:val="-6"/>
          <w:sz w:val="21"/>
          <w:szCs w:val="21"/>
          <w:highlight w:val="none"/>
        </w:rPr>
        <w:t>4.评标办法及评分标准</w:t>
      </w:r>
    </w:p>
    <w:p>
      <w:pPr>
        <w:pStyle w:val="2"/>
        <w:spacing w:line="360" w:lineRule="auto"/>
        <w:ind w:firstLine="396" w:firstLineChars="200"/>
        <w:jc w:val="left"/>
        <w:rPr>
          <w:rFonts w:hAnsi="宋体"/>
          <w:spacing w:val="-6"/>
          <w:sz w:val="21"/>
          <w:szCs w:val="21"/>
          <w:highlight w:val="none"/>
        </w:rPr>
      </w:pPr>
      <w:r>
        <w:rPr>
          <w:rFonts w:hint="eastAsia" w:hAnsi="宋体"/>
          <w:spacing w:val="-6"/>
          <w:sz w:val="21"/>
          <w:szCs w:val="21"/>
          <w:highlight w:val="none"/>
        </w:rPr>
        <w:t>5.拟签订的协议文本</w:t>
      </w:r>
    </w:p>
    <w:p>
      <w:pPr>
        <w:pStyle w:val="2"/>
        <w:spacing w:line="360" w:lineRule="auto"/>
        <w:ind w:firstLine="396" w:firstLineChars="200"/>
        <w:jc w:val="left"/>
        <w:rPr>
          <w:rFonts w:hAnsi="宋体"/>
          <w:spacing w:val="-6"/>
          <w:sz w:val="21"/>
          <w:szCs w:val="21"/>
          <w:highlight w:val="none"/>
        </w:rPr>
      </w:pPr>
      <w:r>
        <w:rPr>
          <w:rFonts w:hint="eastAsia" w:hAnsi="宋体"/>
          <w:spacing w:val="-6"/>
          <w:sz w:val="21"/>
          <w:szCs w:val="21"/>
          <w:highlight w:val="none"/>
        </w:rPr>
        <w:t>6.投标文件格式</w:t>
      </w:r>
    </w:p>
    <w:p>
      <w:pPr>
        <w:pStyle w:val="2"/>
        <w:spacing w:line="360" w:lineRule="auto"/>
        <w:ind w:firstLine="396" w:firstLineChars="200"/>
        <w:jc w:val="left"/>
        <w:rPr>
          <w:rFonts w:hAnsi="宋体"/>
          <w:spacing w:val="-6"/>
          <w:sz w:val="21"/>
          <w:szCs w:val="21"/>
          <w:highlight w:val="none"/>
        </w:rPr>
      </w:pPr>
      <w:r>
        <w:rPr>
          <w:rFonts w:hint="eastAsia" w:hAnsi="宋体"/>
          <w:spacing w:val="-6"/>
          <w:sz w:val="21"/>
          <w:szCs w:val="21"/>
          <w:highlight w:val="none"/>
        </w:rPr>
        <w:t>7.本项目招标文件的澄清、答复、修改、补充的内容</w:t>
      </w:r>
    </w:p>
    <w:p>
      <w:pPr>
        <w:spacing w:line="360" w:lineRule="auto"/>
        <w:jc w:val="left"/>
        <w:rPr>
          <w:rFonts w:ascii="宋体" w:hAnsi="宋体"/>
          <w:spacing w:val="-6"/>
          <w:sz w:val="24"/>
          <w:highlight w:val="none"/>
        </w:rPr>
      </w:pPr>
      <w:r>
        <w:rPr>
          <w:rFonts w:hint="eastAsia" w:ascii="宋体" w:hAnsi="宋体"/>
          <w:b/>
          <w:spacing w:val="-6"/>
          <w:sz w:val="24"/>
          <w:highlight w:val="none"/>
        </w:rPr>
        <w:t>（二） 投标人的风险</w:t>
      </w:r>
    </w:p>
    <w:p>
      <w:pPr>
        <w:pStyle w:val="2"/>
        <w:spacing w:line="360" w:lineRule="auto"/>
        <w:ind w:firstLine="396" w:firstLineChars="200"/>
        <w:jc w:val="left"/>
        <w:rPr>
          <w:rFonts w:hAnsi="宋体"/>
          <w:spacing w:val="-6"/>
          <w:sz w:val="21"/>
          <w:szCs w:val="21"/>
          <w:highlight w:val="none"/>
        </w:rPr>
      </w:pPr>
      <w:r>
        <w:rPr>
          <w:rFonts w:hint="eastAsia" w:hAnsi="宋体"/>
          <w:spacing w:val="-6"/>
          <w:sz w:val="21"/>
          <w:szCs w:val="21"/>
          <w:highlight w:val="none"/>
        </w:rPr>
        <w:t>投标人没有按照招标文件要求提供全部资料，或者投标人没有对招标文件在各方面作出实质性响应是投标人的风险，并可能导致其投标被拒绝。</w:t>
      </w:r>
    </w:p>
    <w:p>
      <w:pPr>
        <w:spacing w:line="360" w:lineRule="auto"/>
        <w:jc w:val="left"/>
        <w:rPr>
          <w:rFonts w:ascii="宋体" w:hAnsi="宋体"/>
          <w:b/>
          <w:spacing w:val="-6"/>
          <w:sz w:val="24"/>
          <w:highlight w:val="none"/>
        </w:rPr>
      </w:pPr>
      <w:r>
        <w:rPr>
          <w:rFonts w:hint="eastAsia" w:ascii="宋体" w:hAnsi="宋体"/>
          <w:b/>
          <w:spacing w:val="-6"/>
          <w:sz w:val="24"/>
          <w:highlight w:val="none"/>
        </w:rPr>
        <w:t>（三） 招标文件的澄清与修改</w:t>
      </w:r>
    </w:p>
    <w:p>
      <w:pPr>
        <w:pStyle w:val="2"/>
        <w:spacing w:line="360" w:lineRule="auto"/>
        <w:ind w:firstLine="396" w:firstLineChars="200"/>
        <w:jc w:val="left"/>
        <w:rPr>
          <w:rFonts w:hAnsi="宋体"/>
          <w:spacing w:val="-6"/>
          <w:sz w:val="21"/>
          <w:szCs w:val="21"/>
          <w:highlight w:val="none"/>
        </w:rPr>
      </w:pPr>
      <w:r>
        <w:rPr>
          <w:rFonts w:hint="eastAsia" w:hAnsi="宋体"/>
          <w:spacing w:val="-6"/>
          <w:sz w:val="21"/>
          <w:szCs w:val="21"/>
          <w:highlight w:val="none"/>
        </w:rPr>
        <w:t>1</w:t>
      </w:r>
      <w:r>
        <w:rPr>
          <w:rFonts w:hAnsi="宋体"/>
          <w:spacing w:val="-6"/>
          <w:sz w:val="21"/>
          <w:szCs w:val="21"/>
          <w:highlight w:val="none"/>
        </w:rPr>
        <w:t>.招标人或者招标代理机构可以对已发出的招标文件进行必要的澄清或者修改</w:t>
      </w:r>
      <w:r>
        <w:rPr>
          <w:rFonts w:hint="eastAsia" w:hAnsi="宋体"/>
          <w:spacing w:val="-6"/>
          <w:sz w:val="21"/>
          <w:szCs w:val="21"/>
          <w:highlight w:val="none"/>
        </w:rPr>
        <w:t>，</w:t>
      </w:r>
      <w:r>
        <w:rPr>
          <w:rFonts w:hAnsi="宋体"/>
          <w:spacing w:val="-6"/>
          <w:sz w:val="21"/>
          <w:szCs w:val="21"/>
          <w:highlight w:val="none"/>
        </w:rPr>
        <w:t>澄清或者修改</w:t>
      </w:r>
      <w:r>
        <w:rPr>
          <w:rFonts w:hint="eastAsia" w:hAnsi="宋体"/>
          <w:spacing w:val="-6"/>
          <w:sz w:val="21"/>
          <w:szCs w:val="21"/>
          <w:highlight w:val="none"/>
        </w:rPr>
        <w:t>会</w:t>
      </w:r>
      <w:r>
        <w:rPr>
          <w:rFonts w:hAnsi="宋体"/>
          <w:spacing w:val="-6"/>
          <w:sz w:val="21"/>
          <w:szCs w:val="21"/>
          <w:highlight w:val="none"/>
        </w:rPr>
        <w:t>在原公告发布媒体上发布澄清公告</w:t>
      </w:r>
      <w:r>
        <w:rPr>
          <w:rFonts w:hint="eastAsia" w:hAnsi="宋体"/>
          <w:spacing w:val="-6"/>
          <w:sz w:val="21"/>
          <w:szCs w:val="21"/>
          <w:highlight w:val="none"/>
        </w:rPr>
        <w:t>，</w:t>
      </w:r>
      <w:r>
        <w:rPr>
          <w:rFonts w:hAnsi="宋体"/>
          <w:spacing w:val="-6"/>
          <w:sz w:val="21"/>
          <w:szCs w:val="21"/>
          <w:highlight w:val="none"/>
        </w:rPr>
        <w:t>澄清或者修改的内容为招标文件的组成部分。</w:t>
      </w:r>
    </w:p>
    <w:p>
      <w:pPr>
        <w:pStyle w:val="2"/>
        <w:spacing w:line="360" w:lineRule="auto"/>
        <w:ind w:firstLine="396" w:firstLineChars="200"/>
        <w:jc w:val="left"/>
        <w:rPr>
          <w:rFonts w:hAnsi="宋体"/>
          <w:spacing w:val="-6"/>
          <w:sz w:val="21"/>
          <w:szCs w:val="21"/>
          <w:highlight w:val="none"/>
        </w:rPr>
      </w:pPr>
      <w:r>
        <w:rPr>
          <w:rFonts w:hint="eastAsia" w:hAnsi="宋体"/>
          <w:spacing w:val="-6"/>
          <w:sz w:val="21"/>
          <w:szCs w:val="21"/>
          <w:highlight w:val="none"/>
        </w:rPr>
        <w:t>澄清或者修改的内容可能影响投标文件编制的，招标人或者招标代理机构会在投标截止时间至少5个</w:t>
      </w:r>
      <w:r>
        <w:rPr>
          <w:rFonts w:hAnsi="宋体"/>
          <w:spacing w:val="-6"/>
          <w:sz w:val="21"/>
          <w:szCs w:val="21"/>
          <w:highlight w:val="none"/>
        </w:rPr>
        <w:t>工作</w:t>
      </w:r>
      <w:r>
        <w:rPr>
          <w:rFonts w:hint="eastAsia" w:hAnsi="宋体"/>
          <w:spacing w:val="-6"/>
          <w:sz w:val="21"/>
          <w:szCs w:val="21"/>
          <w:highlight w:val="none"/>
        </w:rPr>
        <w:t>日前，以书面形式通知所有获取招标文件的潜在投标人；不足5个</w:t>
      </w:r>
      <w:r>
        <w:rPr>
          <w:rFonts w:hAnsi="宋体"/>
          <w:spacing w:val="-6"/>
          <w:sz w:val="21"/>
          <w:szCs w:val="21"/>
          <w:highlight w:val="none"/>
        </w:rPr>
        <w:t>工作</w:t>
      </w:r>
      <w:r>
        <w:rPr>
          <w:rFonts w:hint="eastAsia" w:hAnsi="宋体"/>
          <w:spacing w:val="-6"/>
          <w:sz w:val="21"/>
          <w:szCs w:val="21"/>
          <w:highlight w:val="none"/>
        </w:rPr>
        <w:t>日的，招标人或者招标代理机构会顺延提交投标文件的截止时间。</w:t>
      </w:r>
    </w:p>
    <w:p>
      <w:pPr>
        <w:pStyle w:val="2"/>
        <w:spacing w:line="360" w:lineRule="auto"/>
        <w:ind w:firstLine="396" w:firstLineChars="200"/>
        <w:jc w:val="left"/>
        <w:rPr>
          <w:rFonts w:hAnsi="宋体"/>
          <w:spacing w:val="-6"/>
          <w:sz w:val="21"/>
          <w:szCs w:val="21"/>
          <w:highlight w:val="none"/>
        </w:rPr>
      </w:pPr>
      <w:r>
        <w:rPr>
          <w:rFonts w:hint="eastAsia" w:hAnsi="宋体"/>
          <w:spacing w:val="-6"/>
          <w:sz w:val="21"/>
          <w:szCs w:val="21"/>
          <w:highlight w:val="none"/>
        </w:rPr>
        <w:t>2.招标文件的修改将以书面形式通知所有购买招标文件的投标人，并对其具有约束力。投标人在收到上述通知后，应立即向招标代理机构回函确认。若无书面回函确认，视同投标人已收到招标文件修改的通知，并受其约束。</w:t>
      </w:r>
    </w:p>
    <w:p>
      <w:pPr>
        <w:pStyle w:val="2"/>
        <w:spacing w:line="360" w:lineRule="auto"/>
        <w:ind w:firstLine="0"/>
        <w:jc w:val="center"/>
        <w:outlineLvl w:val="1"/>
        <w:rPr>
          <w:rFonts w:hAnsi="宋体"/>
          <w:spacing w:val="-6"/>
          <w:sz w:val="21"/>
          <w:szCs w:val="21"/>
          <w:highlight w:val="none"/>
        </w:rPr>
      </w:pPr>
      <w:r>
        <w:rPr>
          <w:rFonts w:hAnsi="宋体"/>
          <w:spacing w:val="-6"/>
          <w:sz w:val="21"/>
          <w:szCs w:val="21"/>
          <w:highlight w:val="none"/>
        </w:rPr>
        <w:br w:type="page"/>
      </w:r>
      <w:r>
        <w:rPr>
          <w:rFonts w:hAnsi="宋体"/>
          <w:b/>
          <w:spacing w:val="-6"/>
          <w:sz w:val="32"/>
          <w:szCs w:val="32"/>
          <w:highlight w:val="none"/>
        </w:rPr>
        <w:t>三</w:t>
      </w:r>
      <w:r>
        <w:rPr>
          <w:rFonts w:hint="eastAsia" w:hAnsi="宋体"/>
          <w:b/>
          <w:spacing w:val="-6"/>
          <w:sz w:val="32"/>
          <w:szCs w:val="32"/>
          <w:highlight w:val="none"/>
        </w:rPr>
        <w:t>、</w:t>
      </w:r>
      <w:r>
        <w:rPr>
          <w:rFonts w:hAnsi="宋体"/>
          <w:b/>
          <w:spacing w:val="-6"/>
          <w:sz w:val="32"/>
          <w:szCs w:val="32"/>
          <w:highlight w:val="none"/>
        </w:rPr>
        <w:t>投标文件的编制</w:t>
      </w:r>
    </w:p>
    <w:p>
      <w:pPr>
        <w:spacing w:line="360" w:lineRule="auto"/>
        <w:jc w:val="left"/>
        <w:rPr>
          <w:rFonts w:ascii="宋体" w:hAnsi="宋体"/>
          <w:b/>
          <w:spacing w:val="-6"/>
          <w:sz w:val="24"/>
          <w:highlight w:val="none"/>
        </w:rPr>
      </w:pPr>
      <w:r>
        <w:rPr>
          <w:rFonts w:hint="eastAsia" w:ascii="宋体" w:hAnsi="宋体"/>
          <w:b/>
          <w:spacing w:val="-6"/>
          <w:sz w:val="24"/>
          <w:highlight w:val="none"/>
        </w:rPr>
        <w:t>（一） 投标文件的组成</w:t>
      </w:r>
    </w:p>
    <w:p>
      <w:pPr>
        <w:spacing w:line="360" w:lineRule="auto"/>
        <w:ind w:firstLine="396" w:firstLineChars="200"/>
        <w:rPr>
          <w:rFonts w:ascii="宋体" w:hAnsi="宋体"/>
          <w:spacing w:val="-6"/>
          <w:sz w:val="21"/>
          <w:szCs w:val="21"/>
          <w:highlight w:val="none"/>
        </w:rPr>
      </w:pPr>
      <w:r>
        <w:rPr>
          <w:rFonts w:hint="eastAsia" w:ascii="宋体" w:hAnsi="宋体"/>
          <w:spacing w:val="-6"/>
          <w:sz w:val="21"/>
          <w:szCs w:val="21"/>
          <w:highlight w:val="none"/>
        </w:rPr>
        <w:t>投标文件由：资格文件、报价文件、商务和技术文件组成（格式详见招标文件第六章）。</w:t>
      </w:r>
    </w:p>
    <w:p>
      <w:pPr>
        <w:spacing w:line="360" w:lineRule="auto"/>
        <w:ind w:firstLine="398" w:firstLineChars="200"/>
        <w:rPr>
          <w:rFonts w:ascii="宋体" w:hAnsi="宋体"/>
          <w:b/>
          <w:bCs/>
          <w:spacing w:val="-6"/>
          <w:sz w:val="21"/>
          <w:szCs w:val="21"/>
          <w:highlight w:val="none"/>
        </w:rPr>
      </w:pPr>
      <w:r>
        <w:rPr>
          <w:rFonts w:hint="eastAsia" w:ascii="宋体" w:hAnsi="宋体"/>
          <w:b/>
          <w:bCs/>
          <w:spacing w:val="-6"/>
          <w:sz w:val="21"/>
          <w:szCs w:val="21"/>
          <w:highlight w:val="none"/>
        </w:rPr>
        <w:t>1.资格文件（报名登记部分）：</w:t>
      </w:r>
    </w:p>
    <w:p>
      <w:pPr>
        <w:spacing w:line="360" w:lineRule="auto"/>
        <w:ind w:firstLine="396" w:firstLineChars="200"/>
        <w:rPr>
          <w:rFonts w:ascii="宋体" w:hAnsi="宋体"/>
          <w:spacing w:val="-6"/>
          <w:sz w:val="21"/>
          <w:szCs w:val="21"/>
          <w:highlight w:val="none"/>
        </w:rPr>
      </w:pPr>
      <w:r>
        <w:rPr>
          <w:rFonts w:hint="eastAsia" w:ascii="宋体" w:hAnsi="宋体"/>
          <w:spacing w:val="-6"/>
          <w:sz w:val="21"/>
          <w:szCs w:val="21"/>
          <w:highlight w:val="none"/>
        </w:rPr>
        <w:t>（1）有效的法人或者其他组织的营业执照等证明文件（扫描件加盖公章）、中华人民共和国金融许可证（扫描件加盖公章）</w:t>
      </w:r>
    </w:p>
    <w:p>
      <w:pPr>
        <w:spacing w:line="360" w:lineRule="auto"/>
        <w:ind w:firstLine="396" w:firstLineChars="200"/>
        <w:rPr>
          <w:rFonts w:ascii="宋体" w:hAnsi="宋体"/>
          <w:spacing w:val="-6"/>
          <w:sz w:val="21"/>
          <w:szCs w:val="21"/>
          <w:highlight w:val="none"/>
        </w:rPr>
      </w:pPr>
      <w:r>
        <w:rPr>
          <w:rFonts w:hint="eastAsia" w:ascii="宋体" w:hAnsi="宋体"/>
          <w:spacing w:val="-6"/>
          <w:sz w:val="21"/>
          <w:szCs w:val="21"/>
          <w:highlight w:val="none"/>
        </w:rPr>
        <w:t>（2）中标后对本项目指定的一家杭州市区分支机构作为存款银行的承诺书，承诺在合同期内不得随意转移（包含但不限于杭分支机构的地址，联系人等信息）（格式自拟）</w:t>
      </w:r>
    </w:p>
    <w:p>
      <w:pPr>
        <w:spacing w:line="360" w:lineRule="auto"/>
        <w:ind w:firstLine="396" w:firstLineChars="200"/>
        <w:rPr>
          <w:rFonts w:ascii="宋体" w:hAnsi="宋体"/>
          <w:spacing w:val="-6"/>
          <w:sz w:val="21"/>
          <w:szCs w:val="21"/>
          <w:highlight w:val="none"/>
        </w:rPr>
      </w:pPr>
      <w:r>
        <w:rPr>
          <w:rFonts w:hint="eastAsia" w:ascii="宋体" w:hAnsi="宋体"/>
          <w:spacing w:val="-6"/>
          <w:sz w:val="21"/>
          <w:szCs w:val="21"/>
          <w:highlight w:val="none"/>
        </w:rPr>
        <w:t>（3）参加采购活动前3年内在经营活动中没有重大违法记录的书面声明（格式自拟）</w:t>
      </w:r>
    </w:p>
    <w:p>
      <w:pPr>
        <w:spacing w:line="360" w:lineRule="auto"/>
        <w:ind w:firstLine="396" w:firstLineChars="200"/>
        <w:rPr>
          <w:rFonts w:ascii="宋体" w:hAnsi="宋体"/>
          <w:spacing w:val="-6"/>
          <w:sz w:val="21"/>
          <w:szCs w:val="21"/>
          <w:highlight w:val="none"/>
        </w:rPr>
      </w:pPr>
      <w:r>
        <w:rPr>
          <w:rFonts w:hint="eastAsia" w:ascii="宋体" w:hAnsi="宋体"/>
          <w:spacing w:val="-6"/>
          <w:sz w:val="21"/>
          <w:szCs w:val="21"/>
          <w:highlight w:val="none"/>
        </w:rPr>
        <w:t>（4）上一年度由人民银行杭州中心支行出具综合评价证明材料（</w:t>
      </w:r>
      <w:r>
        <w:rPr>
          <w:rFonts w:hint="eastAsia" w:ascii="宋体" w:hAnsi="宋体" w:cs="宋体"/>
          <w:sz w:val="21"/>
          <w:szCs w:val="21"/>
          <w:highlight w:val="none"/>
        </w:rPr>
        <w:t>如因人民银行原因无法提供上年度（202</w:t>
      </w:r>
      <w:r>
        <w:rPr>
          <w:rFonts w:hint="eastAsia" w:ascii="宋体" w:hAnsi="宋体" w:cs="宋体"/>
          <w:sz w:val="21"/>
          <w:szCs w:val="21"/>
          <w:highlight w:val="none"/>
          <w:lang w:val="en-US" w:eastAsia="zh-CN"/>
        </w:rPr>
        <w:t>2</w:t>
      </w:r>
      <w:r>
        <w:rPr>
          <w:rFonts w:hint="eastAsia" w:ascii="宋体" w:hAnsi="宋体" w:cs="宋体"/>
          <w:sz w:val="21"/>
          <w:szCs w:val="21"/>
          <w:highlight w:val="none"/>
        </w:rPr>
        <w:t>年度）的综合评价可提供202</w:t>
      </w:r>
      <w:r>
        <w:rPr>
          <w:rFonts w:hint="eastAsia" w:ascii="宋体" w:hAnsi="宋体" w:cs="宋体"/>
          <w:sz w:val="21"/>
          <w:szCs w:val="21"/>
          <w:highlight w:val="none"/>
          <w:lang w:val="en-US" w:eastAsia="zh-CN"/>
        </w:rPr>
        <w:t>1</w:t>
      </w:r>
      <w:r>
        <w:rPr>
          <w:rFonts w:hint="eastAsia" w:ascii="宋体" w:hAnsi="宋体" w:cs="宋体"/>
          <w:sz w:val="21"/>
          <w:szCs w:val="21"/>
          <w:highlight w:val="none"/>
        </w:rPr>
        <w:t>年度的材料文件，并说明无法提供202</w:t>
      </w:r>
      <w:r>
        <w:rPr>
          <w:rFonts w:hint="eastAsia" w:ascii="宋体" w:hAnsi="宋体" w:cs="宋体"/>
          <w:sz w:val="21"/>
          <w:szCs w:val="21"/>
          <w:highlight w:val="none"/>
          <w:lang w:val="en-US" w:eastAsia="zh-CN"/>
        </w:rPr>
        <w:t>2</w:t>
      </w:r>
      <w:r>
        <w:rPr>
          <w:rFonts w:hint="eastAsia" w:ascii="宋体" w:hAnsi="宋体" w:cs="宋体"/>
          <w:sz w:val="21"/>
          <w:szCs w:val="21"/>
          <w:highlight w:val="none"/>
        </w:rPr>
        <w:t>年度人民银行的综合评价的相关原因，出具机构对证明的真实性负责，不得虚假提供，虚假提供一经发现则取消中标资格。</w:t>
      </w:r>
      <w:r>
        <w:rPr>
          <w:rFonts w:hint="eastAsia" w:ascii="宋体" w:hAnsi="宋体"/>
          <w:spacing w:val="-6"/>
          <w:sz w:val="21"/>
          <w:szCs w:val="21"/>
          <w:highlight w:val="none"/>
        </w:rPr>
        <w:t>）</w:t>
      </w:r>
    </w:p>
    <w:p>
      <w:pPr>
        <w:spacing w:line="360" w:lineRule="auto"/>
        <w:ind w:firstLine="396" w:firstLineChars="200"/>
        <w:rPr>
          <w:rFonts w:ascii="宋体" w:hAnsi="宋体"/>
          <w:spacing w:val="-6"/>
          <w:sz w:val="21"/>
          <w:szCs w:val="21"/>
          <w:highlight w:val="none"/>
        </w:rPr>
      </w:pPr>
      <w:r>
        <w:rPr>
          <w:rFonts w:hint="eastAsia" w:ascii="宋体" w:hAnsi="宋体"/>
          <w:spacing w:val="-6"/>
          <w:sz w:val="21"/>
          <w:szCs w:val="21"/>
          <w:highlight w:val="none"/>
        </w:rPr>
        <w:t>（5）提供投标人为省级分行的声明书或省级分行针对本项目的授权委托书（投标人为总行无需提供）</w:t>
      </w:r>
    </w:p>
    <w:p>
      <w:pPr>
        <w:spacing w:line="360" w:lineRule="auto"/>
        <w:ind w:firstLine="398" w:firstLineChars="200"/>
        <w:rPr>
          <w:rFonts w:ascii="宋体" w:hAnsi="宋体"/>
          <w:b/>
          <w:bCs/>
          <w:spacing w:val="-6"/>
          <w:sz w:val="21"/>
          <w:szCs w:val="21"/>
          <w:highlight w:val="none"/>
        </w:rPr>
      </w:pPr>
      <w:r>
        <w:rPr>
          <w:rFonts w:hint="eastAsia" w:ascii="宋体" w:hAnsi="宋体"/>
          <w:b/>
          <w:bCs/>
          <w:spacing w:val="-6"/>
          <w:sz w:val="21"/>
          <w:szCs w:val="21"/>
          <w:highlight w:val="none"/>
        </w:rPr>
        <w:t>2.报价文件：</w:t>
      </w:r>
    </w:p>
    <w:p>
      <w:pPr>
        <w:spacing w:line="360" w:lineRule="auto"/>
        <w:ind w:firstLine="396" w:firstLineChars="200"/>
        <w:rPr>
          <w:rFonts w:ascii="宋体" w:hAnsi="宋体"/>
          <w:spacing w:val="-6"/>
          <w:sz w:val="21"/>
          <w:szCs w:val="21"/>
          <w:highlight w:val="none"/>
        </w:rPr>
      </w:pPr>
      <w:r>
        <w:rPr>
          <w:rFonts w:hint="eastAsia" w:ascii="宋体" w:hAnsi="宋体"/>
          <w:spacing w:val="-6"/>
          <w:sz w:val="21"/>
          <w:szCs w:val="21"/>
          <w:highlight w:val="none"/>
        </w:rPr>
        <w:t>（1）开标一览表</w:t>
      </w:r>
    </w:p>
    <w:p>
      <w:pPr>
        <w:snapToGrid w:val="0"/>
        <w:spacing w:line="360" w:lineRule="auto"/>
        <w:ind w:firstLine="398" w:firstLineChars="200"/>
        <w:jc w:val="left"/>
        <w:rPr>
          <w:rFonts w:ascii="宋体" w:hAnsi="宋体"/>
          <w:b/>
          <w:spacing w:val="-6"/>
          <w:sz w:val="21"/>
          <w:szCs w:val="21"/>
          <w:highlight w:val="none"/>
        </w:rPr>
      </w:pPr>
      <w:r>
        <w:rPr>
          <w:rFonts w:hint="eastAsia" w:ascii="宋体" w:hAnsi="宋体"/>
          <w:b/>
          <w:spacing w:val="-6"/>
          <w:sz w:val="21"/>
          <w:szCs w:val="21"/>
          <w:highlight w:val="none"/>
        </w:rPr>
        <w:t>3</w:t>
      </w:r>
      <w:r>
        <w:rPr>
          <w:rFonts w:ascii="宋体" w:hAnsi="宋体"/>
          <w:b/>
          <w:spacing w:val="-6"/>
          <w:sz w:val="21"/>
          <w:szCs w:val="21"/>
          <w:highlight w:val="none"/>
        </w:rPr>
        <w:t>.</w:t>
      </w:r>
      <w:r>
        <w:rPr>
          <w:rFonts w:hint="eastAsia" w:ascii="宋体" w:hAnsi="宋体"/>
          <w:b/>
          <w:spacing w:val="-6"/>
          <w:sz w:val="21"/>
          <w:szCs w:val="21"/>
          <w:highlight w:val="none"/>
        </w:rPr>
        <w:t>商务和技术文件：</w:t>
      </w:r>
    </w:p>
    <w:p>
      <w:pPr>
        <w:spacing w:line="360" w:lineRule="auto"/>
        <w:ind w:firstLine="396" w:firstLineChars="200"/>
        <w:rPr>
          <w:rFonts w:ascii="宋体" w:hAnsi="宋体"/>
          <w:spacing w:val="-6"/>
          <w:sz w:val="21"/>
          <w:szCs w:val="21"/>
          <w:highlight w:val="none"/>
        </w:rPr>
      </w:pPr>
      <w:r>
        <w:rPr>
          <w:rFonts w:hint="eastAsia" w:ascii="宋体" w:hAnsi="宋体"/>
          <w:spacing w:val="-6"/>
          <w:sz w:val="21"/>
          <w:szCs w:val="21"/>
          <w:highlight w:val="none"/>
        </w:rPr>
        <w:t>（</w:t>
      </w:r>
      <w:r>
        <w:rPr>
          <w:rFonts w:hint="eastAsia" w:ascii="宋体" w:hAnsi="宋体"/>
          <w:spacing w:val="-6"/>
          <w:sz w:val="21"/>
          <w:szCs w:val="21"/>
          <w:highlight w:val="none"/>
          <w:lang w:val="en-US" w:eastAsia="zh-CN"/>
        </w:rPr>
        <w:t>1</w:t>
      </w:r>
      <w:r>
        <w:rPr>
          <w:rFonts w:hint="eastAsia" w:ascii="宋体" w:hAnsi="宋体"/>
          <w:spacing w:val="-6"/>
          <w:sz w:val="21"/>
          <w:szCs w:val="21"/>
          <w:highlight w:val="none"/>
        </w:rPr>
        <w:t>）投标函</w:t>
      </w:r>
    </w:p>
    <w:p>
      <w:pPr>
        <w:spacing w:line="360" w:lineRule="auto"/>
        <w:ind w:firstLine="396" w:firstLineChars="200"/>
        <w:rPr>
          <w:rFonts w:ascii="宋体" w:hAnsi="宋体"/>
          <w:b/>
          <w:spacing w:val="-6"/>
          <w:sz w:val="21"/>
          <w:szCs w:val="21"/>
          <w:highlight w:val="none"/>
        </w:rPr>
      </w:pPr>
      <w:r>
        <w:rPr>
          <w:rFonts w:hint="eastAsia" w:ascii="宋体" w:hAnsi="宋体"/>
          <w:spacing w:val="-6"/>
          <w:sz w:val="21"/>
          <w:szCs w:val="21"/>
          <w:highlight w:val="none"/>
        </w:rPr>
        <w:t>（</w:t>
      </w:r>
      <w:r>
        <w:rPr>
          <w:rFonts w:hint="eastAsia" w:ascii="宋体" w:hAnsi="宋体"/>
          <w:spacing w:val="-6"/>
          <w:sz w:val="21"/>
          <w:szCs w:val="21"/>
          <w:highlight w:val="none"/>
          <w:lang w:val="en-US" w:eastAsia="zh-CN"/>
        </w:rPr>
        <w:t>2</w:t>
      </w:r>
      <w:r>
        <w:rPr>
          <w:rFonts w:hint="eastAsia" w:ascii="宋体" w:hAnsi="宋体"/>
          <w:spacing w:val="-6"/>
          <w:sz w:val="21"/>
          <w:szCs w:val="21"/>
          <w:highlight w:val="none"/>
        </w:rPr>
        <w:t>）</w:t>
      </w:r>
      <w:r>
        <w:rPr>
          <w:rFonts w:ascii="宋体" w:hAnsi="宋体"/>
          <w:spacing w:val="-6"/>
          <w:sz w:val="21"/>
          <w:szCs w:val="21"/>
          <w:highlight w:val="none"/>
        </w:rPr>
        <w:t>企业负责人资格证明书</w:t>
      </w:r>
    </w:p>
    <w:p>
      <w:pPr>
        <w:spacing w:line="360" w:lineRule="auto"/>
        <w:ind w:firstLine="396" w:firstLineChars="200"/>
        <w:rPr>
          <w:rFonts w:ascii="宋体" w:hAnsi="宋体"/>
          <w:spacing w:val="-6"/>
          <w:sz w:val="21"/>
          <w:szCs w:val="21"/>
          <w:highlight w:val="none"/>
        </w:rPr>
      </w:pPr>
      <w:r>
        <w:rPr>
          <w:rFonts w:hint="eastAsia" w:ascii="宋体" w:hAnsi="宋体"/>
          <w:spacing w:val="-6"/>
          <w:sz w:val="21"/>
          <w:szCs w:val="21"/>
          <w:highlight w:val="none"/>
        </w:rPr>
        <w:t>（</w:t>
      </w:r>
      <w:r>
        <w:rPr>
          <w:rFonts w:hint="eastAsia" w:ascii="宋体" w:hAnsi="宋体"/>
          <w:spacing w:val="-6"/>
          <w:sz w:val="21"/>
          <w:szCs w:val="21"/>
          <w:highlight w:val="none"/>
          <w:lang w:val="en-US" w:eastAsia="zh-CN"/>
        </w:rPr>
        <w:t>3</w:t>
      </w:r>
      <w:r>
        <w:rPr>
          <w:rFonts w:hint="eastAsia" w:ascii="宋体" w:hAnsi="宋体"/>
          <w:spacing w:val="-6"/>
          <w:sz w:val="21"/>
          <w:szCs w:val="21"/>
          <w:highlight w:val="none"/>
        </w:rPr>
        <w:t>）企业负责人授权委托书</w:t>
      </w:r>
    </w:p>
    <w:p>
      <w:pPr>
        <w:spacing w:line="360" w:lineRule="auto"/>
        <w:ind w:firstLine="396" w:firstLineChars="200"/>
        <w:rPr>
          <w:rFonts w:ascii="宋体" w:hAnsi="宋体"/>
          <w:spacing w:val="-6"/>
          <w:sz w:val="21"/>
          <w:szCs w:val="21"/>
          <w:highlight w:val="none"/>
        </w:rPr>
      </w:pPr>
      <w:r>
        <w:rPr>
          <w:rFonts w:hint="eastAsia" w:ascii="宋体" w:hAnsi="宋体"/>
          <w:spacing w:val="-6"/>
          <w:sz w:val="21"/>
          <w:szCs w:val="21"/>
          <w:highlight w:val="none"/>
        </w:rPr>
        <w:t>（</w:t>
      </w:r>
      <w:r>
        <w:rPr>
          <w:rFonts w:hint="eastAsia" w:ascii="宋体" w:hAnsi="宋体"/>
          <w:spacing w:val="-6"/>
          <w:sz w:val="21"/>
          <w:szCs w:val="21"/>
          <w:highlight w:val="none"/>
          <w:lang w:val="en-US" w:eastAsia="zh-CN"/>
        </w:rPr>
        <w:t>4</w:t>
      </w:r>
      <w:r>
        <w:rPr>
          <w:rFonts w:hint="eastAsia" w:ascii="宋体" w:hAnsi="宋体"/>
          <w:spacing w:val="-6"/>
          <w:sz w:val="21"/>
          <w:szCs w:val="21"/>
          <w:highlight w:val="none"/>
        </w:rPr>
        <w:t>）投标声明书</w:t>
      </w:r>
    </w:p>
    <w:p>
      <w:pPr>
        <w:spacing w:line="360" w:lineRule="auto"/>
        <w:ind w:firstLine="396" w:firstLineChars="200"/>
        <w:rPr>
          <w:rFonts w:ascii="宋体" w:hAnsi="宋体"/>
          <w:spacing w:val="-6"/>
          <w:sz w:val="21"/>
          <w:szCs w:val="21"/>
          <w:highlight w:val="none"/>
        </w:rPr>
      </w:pPr>
      <w:r>
        <w:rPr>
          <w:rFonts w:hint="eastAsia" w:ascii="宋体" w:hAnsi="宋体"/>
          <w:spacing w:val="-6"/>
          <w:sz w:val="21"/>
          <w:szCs w:val="21"/>
          <w:highlight w:val="none"/>
        </w:rPr>
        <w:t>（</w:t>
      </w:r>
      <w:r>
        <w:rPr>
          <w:rFonts w:hint="eastAsia" w:ascii="宋体" w:hAnsi="宋体"/>
          <w:spacing w:val="-6"/>
          <w:sz w:val="21"/>
          <w:szCs w:val="21"/>
          <w:highlight w:val="none"/>
          <w:lang w:val="en-US" w:eastAsia="zh-CN"/>
        </w:rPr>
        <w:t>5</w:t>
      </w:r>
      <w:r>
        <w:rPr>
          <w:rFonts w:hint="eastAsia" w:ascii="宋体" w:hAnsi="宋体"/>
          <w:spacing w:val="-6"/>
          <w:sz w:val="21"/>
          <w:szCs w:val="21"/>
          <w:highlight w:val="none"/>
        </w:rPr>
        <w:t>）廉政承诺书</w:t>
      </w:r>
    </w:p>
    <w:p>
      <w:pPr>
        <w:spacing w:line="360" w:lineRule="auto"/>
        <w:ind w:firstLine="396" w:firstLineChars="200"/>
        <w:rPr>
          <w:rFonts w:ascii="宋体" w:hAnsi="宋体"/>
          <w:spacing w:val="-6"/>
          <w:sz w:val="21"/>
          <w:szCs w:val="21"/>
          <w:highlight w:val="none"/>
        </w:rPr>
      </w:pPr>
      <w:r>
        <w:rPr>
          <w:rFonts w:hint="eastAsia" w:ascii="宋体" w:hAnsi="宋体"/>
          <w:spacing w:val="-6"/>
          <w:sz w:val="21"/>
          <w:szCs w:val="21"/>
          <w:highlight w:val="none"/>
        </w:rPr>
        <w:t>（</w:t>
      </w:r>
      <w:r>
        <w:rPr>
          <w:rFonts w:hint="eastAsia" w:ascii="宋体" w:hAnsi="宋体"/>
          <w:spacing w:val="-6"/>
          <w:sz w:val="21"/>
          <w:szCs w:val="21"/>
          <w:highlight w:val="none"/>
          <w:lang w:val="en-US" w:eastAsia="zh-CN"/>
        </w:rPr>
        <w:t>6</w:t>
      </w:r>
      <w:r>
        <w:rPr>
          <w:rFonts w:hint="eastAsia" w:ascii="宋体" w:hAnsi="宋体"/>
          <w:spacing w:val="-6"/>
          <w:sz w:val="21"/>
          <w:szCs w:val="21"/>
          <w:highlight w:val="none"/>
        </w:rPr>
        <w:t>）服务</w:t>
      </w:r>
      <w:r>
        <w:rPr>
          <w:rFonts w:ascii="宋体" w:hAnsi="宋体"/>
          <w:spacing w:val="-6"/>
          <w:sz w:val="21"/>
          <w:szCs w:val="21"/>
          <w:highlight w:val="none"/>
        </w:rPr>
        <w:t>承诺对照表</w:t>
      </w:r>
    </w:p>
    <w:p>
      <w:pPr>
        <w:spacing w:line="360" w:lineRule="auto"/>
        <w:ind w:firstLine="396" w:firstLineChars="200"/>
        <w:rPr>
          <w:rFonts w:ascii="宋体" w:hAnsi="宋体"/>
          <w:color w:val="FF0000"/>
          <w:spacing w:val="-6"/>
          <w:sz w:val="21"/>
          <w:szCs w:val="21"/>
          <w:highlight w:val="none"/>
        </w:rPr>
      </w:pPr>
      <w:r>
        <w:rPr>
          <w:rFonts w:hint="eastAsia" w:ascii="宋体" w:hAnsi="宋体"/>
          <w:spacing w:val="-6"/>
          <w:sz w:val="21"/>
          <w:szCs w:val="21"/>
          <w:highlight w:val="none"/>
        </w:rPr>
        <w:t>（</w:t>
      </w:r>
      <w:r>
        <w:rPr>
          <w:rFonts w:hint="eastAsia" w:ascii="宋体" w:hAnsi="宋体"/>
          <w:spacing w:val="-6"/>
          <w:sz w:val="21"/>
          <w:szCs w:val="21"/>
          <w:highlight w:val="none"/>
          <w:lang w:val="en-US" w:eastAsia="zh-CN"/>
        </w:rPr>
        <w:t>7</w:t>
      </w:r>
      <w:r>
        <w:rPr>
          <w:rFonts w:hint="eastAsia" w:ascii="宋体" w:hAnsi="宋体"/>
          <w:spacing w:val="-6"/>
          <w:sz w:val="21"/>
          <w:szCs w:val="21"/>
          <w:highlight w:val="none"/>
        </w:rPr>
        <w:t>）以往金融服务支持情况</w:t>
      </w:r>
      <w:r>
        <w:rPr>
          <w:rFonts w:hint="eastAsia" w:ascii="宋体" w:hAnsi="宋体"/>
          <w:color w:val="auto"/>
          <w:spacing w:val="-6"/>
          <w:sz w:val="21"/>
          <w:szCs w:val="21"/>
          <w:highlight w:val="none"/>
        </w:rPr>
        <w:t>（需经</w:t>
      </w:r>
      <w:r>
        <w:rPr>
          <w:rFonts w:hint="eastAsia" w:ascii="宋体" w:hAnsi="宋体"/>
          <w:color w:val="auto"/>
          <w:spacing w:val="-6"/>
          <w:sz w:val="21"/>
          <w:szCs w:val="21"/>
          <w:highlight w:val="none"/>
          <w:lang w:eastAsia="zh-CN"/>
        </w:rPr>
        <w:t>杭州电子科技大学</w:t>
      </w:r>
      <w:r>
        <w:rPr>
          <w:rFonts w:hint="eastAsia" w:ascii="宋体" w:hAnsi="宋体"/>
          <w:color w:val="auto"/>
          <w:spacing w:val="-6"/>
          <w:sz w:val="21"/>
          <w:szCs w:val="21"/>
          <w:highlight w:val="none"/>
        </w:rPr>
        <w:t>认定）</w:t>
      </w:r>
    </w:p>
    <w:p>
      <w:pPr>
        <w:spacing w:line="360" w:lineRule="auto"/>
        <w:ind w:firstLine="396" w:firstLineChars="200"/>
        <w:rPr>
          <w:rFonts w:hint="eastAsia" w:ascii="宋体" w:hAnsi="宋体"/>
          <w:spacing w:val="-6"/>
          <w:sz w:val="21"/>
          <w:szCs w:val="21"/>
          <w:highlight w:val="none"/>
        </w:rPr>
      </w:pPr>
      <w:r>
        <w:rPr>
          <w:rFonts w:hint="eastAsia" w:ascii="宋体" w:hAnsi="宋体"/>
          <w:spacing w:val="-6"/>
          <w:sz w:val="21"/>
          <w:szCs w:val="21"/>
          <w:highlight w:val="none"/>
        </w:rPr>
        <w:t>（</w:t>
      </w:r>
      <w:r>
        <w:rPr>
          <w:rFonts w:hint="eastAsia" w:ascii="宋体" w:hAnsi="宋体"/>
          <w:spacing w:val="-6"/>
          <w:sz w:val="21"/>
          <w:szCs w:val="21"/>
          <w:highlight w:val="none"/>
          <w:lang w:val="en-US" w:eastAsia="zh-CN"/>
        </w:rPr>
        <w:t>8</w:t>
      </w:r>
      <w:r>
        <w:rPr>
          <w:rFonts w:hint="eastAsia" w:ascii="宋体" w:hAnsi="宋体"/>
          <w:spacing w:val="-6"/>
          <w:sz w:val="21"/>
          <w:szCs w:val="21"/>
          <w:highlight w:val="none"/>
        </w:rPr>
        <w:t>）提前用款承诺</w:t>
      </w:r>
    </w:p>
    <w:p>
      <w:pPr>
        <w:spacing w:line="360" w:lineRule="auto"/>
        <w:ind w:firstLine="396" w:firstLineChars="200"/>
        <w:rPr>
          <w:rFonts w:ascii="宋体" w:hAnsi="宋体"/>
          <w:spacing w:val="-6"/>
          <w:sz w:val="21"/>
          <w:szCs w:val="21"/>
          <w:highlight w:val="none"/>
        </w:rPr>
      </w:pPr>
      <w:r>
        <w:rPr>
          <w:rFonts w:hint="eastAsia" w:ascii="宋体" w:hAnsi="宋体"/>
          <w:spacing w:val="-6"/>
          <w:sz w:val="21"/>
          <w:szCs w:val="21"/>
          <w:highlight w:val="none"/>
          <w:lang w:eastAsia="zh-CN"/>
        </w:rPr>
        <w:t>（</w:t>
      </w:r>
      <w:r>
        <w:rPr>
          <w:rFonts w:hint="eastAsia" w:ascii="宋体" w:hAnsi="宋体"/>
          <w:spacing w:val="-6"/>
          <w:sz w:val="21"/>
          <w:szCs w:val="21"/>
          <w:highlight w:val="none"/>
          <w:lang w:val="en-US" w:eastAsia="zh-CN"/>
        </w:rPr>
        <w:t>9</w:t>
      </w:r>
      <w:r>
        <w:rPr>
          <w:rFonts w:hint="eastAsia" w:ascii="宋体" w:hAnsi="宋体"/>
          <w:spacing w:val="-6"/>
          <w:sz w:val="21"/>
          <w:szCs w:val="21"/>
          <w:highlight w:val="none"/>
          <w:lang w:eastAsia="zh-CN"/>
        </w:rPr>
        <w:t>）</w:t>
      </w:r>
      <w:r>
        <w:rPr>
          <w:rFonts w:hint="eastAsia" w:ascii="宋体" w:hAnsi="宋体"/>
          <w:spacing w:val="-6"/>
          <w:sz w:val="21"/>
          <w:szCs w:val="21"/>
          <w:highlight w:val="none"/>
        </w:rPr>
        <w:t>服务方案及支持学校建设承诺</w:t>
      </w:r>
    </w:p>
    <w:p>
      <w:pPr>
        <w:spacing w:line="360" w:lineRule="auto"/>
        <w:jc w:val="left"/>
        <w:rPr>
          <w:rFonts w:ascii="宋体" w:hAnsi="宋体"/>
          <w:b/>
          <w:spacing w:val="-6"/>
          <w:sz w:val="24"/>
          <w:highlight w:val="none"/>
        </w:rPr>
      </w:pPr>
      <w:r>
        <w:rPr>
          <w:rFonts w:hint="eastAsia" w:ascii="宋体" w:hAnsi="宋体"/>
          <w:b/>
          <w:spacing w:val="-6"/>
          <w:sz w:val="24"/>
          <w:highlight w:val="none"/>
        </w:rPr>
        <w:t>（二） 投标文件的签署和份数</w:t>
      </w:r>
    </w:p>
    <w:p>
      <w:pPr>
        <w:spacing w:line="360" w:lineRule="auto"/>
        <w:ind w:firstLine="396" w:firstLineChars="200"/>
        <w:jc w:val="left"/>
        <w:rPr>
          <w:rFonts w:ascii="宋体" w:hAnsi="宋体"/>
          <w:b/>
          <w:bCs/>
          <w:spacing w:val="-6"/>
          <w:sz w:val="21"/>
          <w:szCs w:val="21"/>
          <w:highlight w:val="none"/>
        </w:rPr>
      </w:pPr>
      <w:r>
        <w:rPr>
          <w:rFonts w:hint="eastAsia" w:ascii="宋体" w:hAnsi="宋体"/>
          <w:spacing w:val="-6"/>
          <w:sz w:val="21"/>
          <w:szCs w:val="21"/>
          <w:highlight w:val="none"/>
        </w:rPr>
        <w:t>1.投标人应按照招标文件和政府采购云平台的要求，根据投标文件的组成规定的内容及顺序通过政采云电子交易客户端（政采云投标客户端）编制投标文件，投标文件内容不完整、编排混乱导致投标文件被误读、漏读或者查找不到相关内容的，是投标人的责任。</w:t>
      </w:r>
      <w:r>
        <w:rPr>
          <w:rFonts w:hint="eastAsia" w:ascii="宋体" w:hAnsi="宋体"/>
          <w:b/>
          <w:bCs/>
          <w:spacing w:val="-6"/>
          <w:sz w:val="21"/>
          <w:szCs w:val="21"/>
          <w:highlight w:val="none"/>
        </w:rPr>
        <w:t>其中资格文件、商务技术文件中不得出现投标报价，如因投标人原因提前泄露投标报价，是投标人的责任。</w:t>
      </w:r>
    </w:p>
    <w:p>
      <w:pPr>
        <w:spacing w:line="360" w:lineRule="auto"/>
        <w:ind w:firstLine="396" w:firstLineChars="200"/>
        <w:jc w:val="left"/>
        <w:rPr>
          <w:rFonts w:ascii="宋体" w:hAnsi="宋体"/>
          <w:spacing w:val="-6"/>
          <w:sz w:val="21"/>
          <w:szCs w:val="21"/>
          <w:highlight w:val="none"/>
        </w:rPr>
      </w:pPr>
      <w:r>
        <w:rPr>
          <w:rFonts w:hint="eastAsia" w:ascii="宋体" w:hAnsi="宋体"/>
          <w:spacing w:val="-6"/>
          <w:sz w:val="21"/>
          <w:szCs w:val="21"/>
          <w:highlight w:val="none"/>
        </w:rPr>
        <w:t>2.投标文件须由投标人在规定位置加盖公章并由投标人</w:t>
      </w:r>
      <w:r>
        <w:rPr>
          <w:rFonts w:ascii="宋体" w:hAnsi="宋体"/>
          <w:spacing w:val="-6"/>
          <w:sz w:val="21"/>
          <w:szCs w:val="21"/>
          <w:highlight w:val="none"/>
        </w:rPr>
        <w:t>代表</w:t>
      </w:r>
      <w:r>
        <w:rPr>
          <w:rFonts w:hint="eastAsia" w:ascii="宋体" w:hAnsi="宋体"/>
          <w:spacing w:val="-6"/>
          <w:sz w:val="21"/>
          <w:szCs w:val="21"/>
          <w:highlight w:val="none"/>
        </w:rPr>
        <w:t>签署，投标人应写全称。</w:t>
      </w:r>
    </w:p>
    <w:p>
      <w:pPr>
        <w:spacing w:line="360" w:lineRule="auto"/>
        <w:ind w:firstLine="396" w:firstLineChars="200"/>
        <w:jc w:val="left"/>
        <w:rPr>
          <w:rFonts w:ascii="宋体" w:hAnsi="宋体"/>
          <w:spacing w:val="-6"/>
          <w:sz w:val="21"/>
          <w:szCs w:val="21"/>
          <w:highlight w:val="none"/>
        </w:rPr>
      </w:pPr>
      <w:r>
        <w:rPr>
          <w:rFonts w:hint="eastAsia" w:ascii="宋体" w:hAnsi="宋体"/>
          <w:spacing w:val="-6"/>
          <w:sz w:val="21"/>
          <w:szCs w:val="21"/>
          <w:highlight w:val="none"/>
        </w:rPr>
        <w:t>3.投标文件不得涂改，若有修改错漏处，须由投标人代表签字并加盖公章。投标文件因字迹潦草或表达不清所引起的后果由投标人负责。</w:t>
      </w:r>
    </w:p>
    <w:p>
      <w:pPr>
        <w:spacing w:line="360" w:lineRule="auto"/>
        <w:ind w:firstLine="398" w:firstLineChars="200"/>
        <w:jc w:val="left"/>
        <w:rPr>
          <w:rFonts w:ascii="宋体" w:hAnsi="宋体"/>
          <w:b/>
          <w:bCs/>
          <w:spacing w:val="-6"/>
          <w:sz w:val="21"/>
          <w:szCs w:val="21"/>
          <w:highlight w:val="none"/>
        </w:rPr>
      </w:pPr>
      <w:r>
        <w:rPr>
          <w:rFonts w:hint="eastAsia" w:ascii="宋体" w:hAnsi="宋体"/>
          <w:b/>
          <w:bCs/>
          <w:spacing w:val="-6"/>
          <w:sz w:val="21"/>
          <w:szCs w:val="21"/>
          <w:highlight w:val="none"/>
        </w:rPr>
        <w:t>4.投标文件份数：</w:t>
      </w:r>
    </w:p>
    <w:p>
      <w:pPr>
        <w:spacing w:line="360" w:lineRule="auto"/>
        <w:ind w:firstLine="398" w:firstLineChars="200"/>
        <w:jc w:val="left"/>
        <w:rPr>
          <w:rFonts w:ascii="宋体" w:hAnsi="宋体"/>
          <w:b/>
          <w:bCs/>
          <w:spacing w:val="-6"/>
          <w:sz w:val="21"/>
          <w:szCs w:val="21"/>
          <w:highlight w:val="none"/>
        </w:rPr>
      </w:pPr>
      <w:r>
        <w:rPr>
          <w:rFonts w:hint="eastAsia" w:ascii="宋体" w:hAnsi="宋体"/>
          <w:b/>
          <w:bCs/>
          <w:spacing w:val="-6"/>
          <w:sz w:val="21"/>
          <w:szCs w:val="21"/>
          <w:highlight w:val="none"/>
        </w:rPr>
        <w:t>电子投标文件：政府采购云平台在线上传一份。</w:t>
      </w:r>
    </w:p>
    <w:p>
      <w:pPr>
        <w:spacing w:line="360" w:lineRule="auto"/>
        <w:ind w:firstLine="422" w:firstLineChars="200"/>
        <w:jc w:val="left"/>
        <w:rPr>
          <w:rFonts w:ascii="宋体" w:hAnsi="宋体"/>
          <w:b/>
          <w:bCs/>
          <w:sz w:val="21"/>
          <w:szCs w:val="21"/>
          <w:highlight w:val="none"/>
        </w:rPr>
      </w:pPr>
      <w:r>
        <w:rPr>
          <w:rFonts w:hint="eastAsia" w:ascii="宋体" w:hAnsi="宋体"/>
          <w:b/>
          <w:bCs/>
          <w:sz w:val="21"/>
          <w:szCs w:val="21"/>
          <w:highlight w:val="none"/>
        </w:rPr>
        <w:t>备注：</w:t>
      </w:r>
    </w:p>
    <w:p>
      <w:pPr>
        <w:spacing w:line="360" w:lineRule="auto"/>
        <w:ind w:firstLine="422" w:firstLineChars="200"/>
        <w:jc w:val="left"/>
        <w:rPr>
          <w:rFonts w:ascii="宋体" w:hAnsi="宋体"/>
          <w:b/>
          <w:spacing w:val="-6"/>
          <w:sz w:val="24"/>
          <w:highlight w:val="none"/>
        </w:rPr>
      </w:pPr>
      <w:r>
        <w:rPr>
          <w:rFonts w:hint="eastAsia" w:ascii="宋体" w:hAnsi="宋体"/>
          <w:b/>
          <w:bCs/>
          <w:sz w:val="21"/>
          <w:szCs w:val="21"/>
          <w:highlight w:val="none"/>
        </w:rPr>
        <w:t>投标人可通过浙江省“电子交易/不见面开评标”学习专题提前进行专题学习，熟悉操作，避免影响采购活动（</w:t>
      </w:r>
      <w:r>
        <w:rPr>
          <w:highlight w:val="none"/>
        </w:rPr>
        <w:fldChar w:fldCharType="begin"/>
      </w:r>
      <w:r>
        <w:rPr>
          <w:highlight w:val="none"/>
        </w:rPr>
        <w:instrText xml:space="preserve"> HYPERLINK "https://edu.zcygov.cn/luban/e-biding" </w:instrText>
      </w:r>
      <w:r>
        <w:rPr>
          <w:highlight w:val="none"/>
        </w:rPr>
        <w:fldChar w:fldCharType="separate"/>
      </w:r>
      <w:r>
        <w:rPr>
          <w:rFonts w:hint="eastAsia" w:ascii="宋体" w:hAnsi="宋体"/>
          <w:b/>
          <w:bCs/>
          <w:sz w:val="21"/>
          <w:szCs w:val="21"/>
          <w:highlight w:val="none"/>
        </w:rPr>
        <w:t>https://edu.zcygov.cn/luban/e-biding</w:t>
      </w:r>
      <w:r>
        <w:rPr>
          <w:rFonts w:hint="eastAsia" w:ascii="宋体" w:hAnsi="宋体"/>
          <w:b/>
          <w:bCs/>
          <w:sz w:val="21"/>
          <w:szCs w:val="21"/>
          <w:highlight w:val="none"/>
        </w:rPr>
        <w:fldChar w:fldCharType="end"/>
      </w:r>
      <w:r>
        <w:rPr>
          <w:rFonts w:hint="eastAsia" w:ascii="宋体" w:hAnsi="宋体"/>
          <w:b/>
          <w:bCs/>
          <w:sz w:val="21"/>
          <w:szCs w:val="21"/>
          <w:highlight w:val="none"/>
        </w:rPr>
        <w:t>）。</w:t>
      </w:r>
    </w:p>
    <w:p>
      <w:pPr>
        <w:spacing w:line="360" w:lineRule="auto"/>
        <w:jc w:val="left"/>
        <w:outlineLvl w:val="2"/>
        <w:rPr>
          <w:rFonts w:ascii="宋体" w:hAnsi="宋体"/>
          <w:b/>
          <w:spacing w:val="-6"/>
          <w:sz w:val="24"/>
          <w:highlight w:val="none"/>
        </w:rPr>
      </w:pPr>
      <w:r>
        <w:rPr>
          <w:rFonts w:hint="eastAsia" w:ascii="宋体" w:hAnsi="宋体"/>
          <w:b/>
          <w:spacing w:val="-6"/>
          <w:sz w:val="24"/>
          <w:highlight w:val="none"/>
        </w:rPr>
        <w:t>（三）投标文件的上传、递交、修改和撤回</w:t>
      </w:r>
    </w:p>
    <w:p>
      <w:pPr>
        <w:spacing w:line="360" w:lineRule="auto"/>
        <w:ind w:firstLine="396" w:firstLineChars="200"/>
        <w:jc w:val="left"/>
        <w:rPr>
          <w:rFonts w:ascii="宋体" w:hAnsi="宋体"/>
          <w:spacing w:val="-6"/>
          <w:sz w:val="21"/>
          <w:szCs w:val="21"/>
          <w:highlight w:val="none"/>
        </w:rPr>
      </w:pPr>
      <w:r>
        <w:rPr>
          <w:rFonts w:hint="eastAsia" w:ascii="宋体" w:hAnsi="宋体"/>
          <w:spacing w:val="-6"/>
          <w:sz w:val="21"/>
          <w:szCs w:val="21"/>
          <w:highlight w:val="none"/>
        </w:rPr>
        <w:t>1.投标文件的上传、递交：</w:t>
      </w:r>
    </w:p>
    <w:p>
      <w:pPr>
        <w:spacing w:line="360" w:lineRule="auto"/>
        <w:ind w:firstLine="396" w:firstLineChars="200"/>
        <w:jc w:val="left"/>
        <w:rPr>
          <w:rFonts w:ascii="宋体" w:hAnsi="宋体"/>
          <w:spacing w:val="-6"/>
          <w:sz w:val="21"/>
          <w:szCs w:val="21"/>
          <w:highlight w:val="none"/>
        </w:rPr>
      </w:pPr>
      <w:r>
        <w:rPr>
          <w:rFonts w:hint="eastAsia" w:ascii="宋体" w:hAnsi="宋体"/>
          <w:spacing w:val="-6"/>
          <w:sz w:val="21"/>
          <w:szCs w:val="21"/>
          <w:highlight w:val="none"/>
        </w:rPr>
        <w:t>1）电子投标文件的上传：</w:t>
      </w:r>
    </w:p>
    <w:p>
      <w:pPr>
        <w:spacing w:line="360" w:lineRule="auto"/>
        <w:ind w:firstLine="396" w:firstLineChars="200"/>
        <w:jc w:val="left"/>
        <w:rPr>
          <w:rFonts w:ascii="宋体" w:hAnsi="宋体"/>
          <w:spacing w:val="-6"/>
          <w:sz w:val="21"/>
          <w:szCs w:val="21"/>
          <w:highlight w:val="none"/>
        </w:rPr>
      </w:pPr>
      <w:r>
        <w:rPr>
          <w:rFonts w:hint="eastAsia" w:hAnsi="宋体"/>
          <w:spacing w:val="-6"/>
          <w:sz w:val="21"/>
          <w:szCs w:val="21"/>
          <w:highlight w:val="none"/>
        </w:rPr>
        <w:t>▲</w:t>
      </w:r>
      <w:r>
        <w:rPr>
          <w:rFonts w:hint="eastAsia" w:ascii="宋体" w:hAnsi="宋体"/>
          <w:spacing w:val="-6"/>
          <w:sz w:val="21"/>
          <w:szCs w:val="21"/>
          <w:highlight w:val="none"/>
        </w:rPr>
        <w:t>a.投标人应在投标截止时间前将电子投标文件成功上传至政府采购云平台，否则投标无效；</w:t>
      </w:r>
    </w:p>
    <w:p>
      <w:pPr>
        <w:spacing w:line="360" w:lineRule="auto"/>
        <w:ind w:firstLine="396" w:firstLineChars="200"/>
        <w:jc w:val="left"/>
        <w:rPr>
          <w:rFonts w:ascii="宋体" w:hAnsi="宋体"/>
          <w:spacing w:val="-6"/>
          <w:sz w:val="21"/>
          <w:szCs w:val="21"/>
          <w:highlight w:val="none"/>
        </w:rPr>
      </w:pPr>
      <w:r>
        <w:rPr>
          <w:rFonts w:hint="eastAsia" w:ascii="宋体" w:hAnsi="宋体"/>
          <w:spacing w:val="-6"/>
          <w:sz w:val="21"/>
          <w:szCs w:val="21"/>
          <w:highlight w:val="none"/>
        </w:rPr>
        <w:t>b.电子投标文件成功上传后，投标人可自行打印投标文件接收回执。</w:t>
      </w:r>
    </w:p>
    <w:p>
      <w:pPr>
        <w:spacing w:line="360" w:lineRule="auto"/>
        <w:ind w:firstLine="396" w:firstLineChars="200"/>
        <w:jc w:val="left"/>
        <w:rPr>
          <w:rFonts w:ascii="宋体" w:hAnsi="宋体"/>
          <w:spacing w:val="-6"/>
          <w:sz w:val="21"/>
          <w:szCs w:val="21"/>
          <w:highlight w:val="none"/>
        </w:rPr>
      </w:pPr>
      <w:r>
        <w:rPr>
          <w:rFonts w:hint="eastAsia" w:ascii="宋体" w:hAnsi="宋体"/>
          <w:spacing w:val="-6"/>
          <w:sz w:val="21"/>
          <w:szCs w:val="21"/>
          <w:highlight w:val="none"/>
        </w:rPr>
        <w:t>2.投标人应当在投标截止时间前完成投标文件的上传、递交，并可以补充、修改或者撤回投标文件。补充或者修改投标文件的，应当先行撤回原文件，补充、修改后重新上传、递交。投标截止时间前未完成上传、递交的，视为撤回投标文件。投标截止时间后上传、递交的投标文件，政府采购云平台及采购代理机构将予以拒收。</w:t>
      </w:r>
    </w:p>
    <w:p>
      <w:pPr>
        <w:spacing w:line="360" w:lineRule="auto"/>
        <w:jc w:val="left"/>
        <w:rPr>
          <w:rFonts w:ascii="宋体" w:hAnsi="宋体"/>
          <w:spacing w:val="-6"/>
          <w:sz w:val="24"/>
          <w:highlight w:val="none"/>
        </w:rPr>
      </w:pPr>
      <w:r>
        <w:rPr>
          <w:rFonts w:hint="eastAsia" w:ascii="宋体" w:hAnsi="宋体"/>
          <w:b/>
          <w:spacing w:val="-6"/>
          <w:sz w:val="24"/>
          <w:highlight w:val="none"/>
        </w:rPr>
        <w:t>（四） 投标文件的语言及计量</w:t>
      </w:r>
    </w:p>
    <w:p>
      <w:pPr>
        <w:spacing w:line="360" w:lineRule="auto"/>
        <w:ind w:firstLine="396" w:firstLineChars="200"/>
        <w:jc w:val="left"/>
        <w:rPr>
          <w:rFonts w:ascii="宋体" w:hAnsi="宋体"/>
          <w:spacing w:val="-6"/>
          <w:sz w:val="21"/>
          <w:szCs w:val="21"/>
          <w:highlight w:val="none"/>
        </w:rPr>
      </w:pPr>
      <w:r>
        <w:rPr>
          <w:rFonts w:hint="eastAsia" w:ascii="宋体" w:hAnsi="宋体"/>
          <w:spacing w:val="-6"/>
          <w:sz w:val="21"/>
          <w:szCs w:val="21"/>
          <w:highlight w:val="none"/>
        </w:rPr>
        <w:t>投标文件以及投标人与招标人或</w:t>
      </w:r>
      <w:r>
        <w:rPr>
          <w:rFonts w:ascii="宋体" w:hAnsi="宋体"/>
          <w:spacing w:val="-6"/>
          <w:sz w:val="21"/>
          <w:szCs w:val="21"/>
          <w:highlight w:val="none"/>
        </w:rPr>
        <w:t>招标代理机构</w:t>
      </w:r>
      <w:r>
        <w:rPr>
          <w:rFonts w:hint="eastAsia" w:ascii="宋体" w:hAnsi="宋体"/>
          <w:spacing w:val="-6"/>
          <w:sz w:val="21"/>
          <w:szCs w:val="21"/>
          <w:highlight w:val="none"/>
        </w:rPr>
        <w:t>就有关投标事宜的所有来往函电，均应以中文汉语书写。除签名、盖章、专用名称等特殊情形外，以中文汉语以外的文字表述的投标文件视同未提供（有中文汉语说明的除外）。</w:t>
      </w:r>
    </w:p>
    <w:p>
      <w:pPr>
        <w:spacing w:line="360" w:lineRule="auto"/>
        <w:jc w:val="left"/>
        <w:rPr>
          <w:rFonts w:ascii="宋体" w:hAnsi="宋体"/>
          <w:spacing w:val="-6"/>
          <w:sz w:val="24"/>
          <w:highlight w:val="none"/>
        </w:rPr>
      </w:pPr>
      <w:r>
        <w:rPr>
          <w:rFonts w:hint="eastAsia" w:ascii="宋体" w:hAnsi="宋体"/>
          <w:b/>
          <w:spacing w:val="-6"/>
          <w:sz w:val="24"/>
          <w:highlight w:val="none"/>
        </w:rPr>
        <w:t>（五） 投标报价</w:t>
      </w:r>
    </w:p>
    <w:p>
      <w:pPr>
        <w:spacing w:line="360" w:lineRule="auto"/>
        <w:ind w:firstLine="420" w:firstLineChars="200"/>
        <w:rPr>
          <w:rFonts w:ascii="宋体" w:hAnsi="宋体"/>
          <w:sz w:val="21"/>
          <w:szCs w:val="21"/>
          <w:highlight w:val="none"/>
        </w:rPr>
      </w:pPr>
      <w:r>
        <w:rPr>
          <w:rFonts w:hint="eastAsia" w:ascii="宋体" w:hAnsi="宋体"/>
          <w:sz w:val="21"/>
          <w:szCs w:val="21"/>
          <w:highlight w:val="none"/>
        </w:rPr>
        <w:t>1.本次投标采用一年定期存款年利率报价。</w:t>
      </w:r>
    </w:p>
    <w:p>
      <w:pPr>
        <w:spacing w:line="360" w:lineRule="auto"/>
        <w:ind w:firstLine="420" w:firstLineChars="200"/>
        <w:rPr>
          <w:rFonts w:ascii="宋体" w:hAnsi="宋体"/>
          <w:sz w:val="21"/>
          <w:szCs w:val="21"/>
          <w:highlight w:val="none"/>
        </w:rPr>
      </w:pPr>
      <w:r>
        <w:rPr>
          <w:rFonts w:ascii="宋体" w:hAnsi="宋体"/>
          <w:sz w:val="21"/>
          <w:szCs w:val="21"/>
          <w:highlight w:val="none"/>
        </w:rPr>
        <w:t>2.投标报价是指一次性报出不得更改的价格</w:t>
      </w:r>
      <w:r>
        <w:rPr>
          <w:rFonts w:hint="eastAsia" w:ascii="宋体" w:hAnsi="宋体"/>
          <w:sz w:val="21"/>
          <w:szCs w:val="21"/>
          <w:highlight w:val="none"/>
        </w:rPr>
        <w:t>，</w:t>
      </w:r>
      <w:r>
        <w:rPr>
          <w:rFonts w:ascii="宋体" w:hAnsi="宋体"/>
          <w:sz w:val="21"/>
          <w:szCs w:val="21"/>
          <w:highlight w:val="none"/>
        </w:rPr>
        <w:t>投标报价应按招标文件中相关附表格式填写</w:t>
      </w:r>
      <w:r>
        <w:rPr>
          <w:rFonts w:hint="eastAsia" w:ascii="宋体" w:hAnsi="宋体"/>
          <w:sz w:val="21"/>
          <w:szCs w:val="21"/>
          <w:highlight w:val="none"/>
        </w:rPr>
        <w:t>。</w:t>
      </w:r>
    </w:p>
    <w:p>
      <w:pPr>
        <w:spacing w:line="360" w:lineRule="auto"/>
        <w:ind w:firstLine="420" w:firstLineChars="200"/>
        <w:rPr>
          <w:rFonts w:ascii="宋体" w:hAnsi="宋体"/>
          <w:sz w:val="21"/>
          <w:szCs w:val="21"/>
          <w:highlight w:val="none"/>
        </w:rPr>
      </w:pPr>
      <w:r>
        <w:rPr>
          <w:rFonts w:hint="eastAsia" w:ascii="宋体" w:hAnsi="宋体"/>
          <w:sz w:val="21"/>
          <w:szCs w:val="21"/>
          <w:highlight w:val="none"/>
        </w:rPr>
        <w:t>3</w:t>
      </w:r>
      <w:r>
        <w:rPr>
          <w:rFonts w:ascii="宋体" w:hAnsi="宋体"/>
          <w:sz w:val="21"/>
          <w:szCs w:val="21"/>
          <w:highlight w:val="none"/>
        </w:rPr>
        <w:t>.</w:t>
      </w:r>
      <w:r>
        <w:rPr>
          <w:rFonts w:hint="eastAsia" w:ascii="宋体" w:hAnsi="宋体"/>
          <w:sz w:val="21"/>
          <w:szCs w:val="21"/>
          <w:highlight w:val="none"/>
        </w:rPr>
        <w:t>投标文件只允许有一个报价，有选择的报价将不予接受。</w:t>
      </w:r>
    </w:p>
    <w:p>
      <w:pPr>
        <w:pStyle w:val="5"/>
        <w:widowControl w:val="0"/>
        <w:numPr>
          <w:ilvl w:val="0"/>
          <w:numId w:val="0"/>
        </w:numPr>
        <w:spacing w:afterLines="0" w:line="360" w:lineRule="auto"/>
        <w:ind w:left="327" w:hanging="327" w:hangingChars="143"/>
        <w:rPr>
          <w:rFonts w:ascii="宋体" w:hAnsi="宋体"/>
          <w:b/>
          <w:spacing w:val="-6"/>
          <w:kern w:val="2"/>
          <w:szCs w:val="24"/>
          <w:highlight w:val="none"/>
        </w:rPr>
      </w:pPr>
      <w:r>
        <w:rPr>
          <w:rFonts w:hint="eastAsia" w:ascii="宋体" w:hAnsi="宋体"/>
          <w:b/>
          <w:spacing w:val="-6"/>
          <w:kern w:val="2"/>
          <w:szCs w:val="24"/>
          <w:highlight w:val="none"/>
        </w:rPr>
        <w:t>（六） 投标有效期</w:t>
      </w:r>
    </w:p>
    <w:p>
      <w:pPr>
        <w:spacing w:line="360" w:lineRule="auto"/>
        <w:ind w:firstLine="396" w:firstLineChars="200"/>
        <w:jc w:val="left"/>
        <w:rPr>
          <w:rFonts w:ascii="宋体" w:hAnsi="宋体"/>
          <w:spacing w:val="-6"/>
          <w:sz w:val="21"/>
          <w:szCs w:val="21"/>
          <w:highlight w:val="none"/>
        </w:rPr>
      </w:pPr>
      <w:r>
        <w:rPr>
          <w:rFonts w:hint="eastAsia" w:ascii="宋体" w:hAnsi="宋体"/>
          <w:spacing w:val="-6"/>
          <w:sz w:val="21"/>
          <w:szCs w:val="21"/>
          <w:highlight w:val="none"/>
        </w:rPr>
        <w:t>▲1</w:t>
      </w:r>
      <w:r>
        <w:rPr>
          <w:rFonts w:ascii="宋体" w:hAnsi="宋体"/>
          <w:spacing w:val="-6"/>
          <w:sz w:val="21"/>
          <w:szCs w:val="21"/>
          <w:highlight w:val="none"/>
        </w:rPr>
        <w:t>.</w:t>
      </w:r>
      <w:r>
        <w:rPr>
          <w:rFonts w:hint="eastAsia" w:ascii="宋体" w:hAnsi="宋体"/>
          <w:spacing w:val="-6"/>
          <w:sz w:val="21"/>
          <w:szCs w:val="21"/>
          <w:highlight w:val="none"/>
        </w:rPr>
        <w:t>从提交投标文件的截止之日起90天。</w:t>
      </w:r>
    </w:p>
    <w:p>
      <w:pPr>
        <w:spacing w:line="360" w:lineRule="auto"/>
        <w:ind w:firstLine="396" w:firstLineChars="200"/>
        <w:jc w:val="left"/>
        <w:rPr>
          <w:rFonts w:ascii="宋体" w:hAnsi="宋体"/>
          <w:spacing w:val="-6"/>
          <w:sz w:val="21"/>
          <w:szCs w:val="21"/>
          <w:highlight w:val="none"/>
        </w:rPr>
      </w:pPr>
      <w:r>
        <w:rPr>
          <w:rFonts w:hint="eastAsia" w:ascii="宋体" w:hAnsi="宋体"/>
          <w:spacing w:val="-6"/>
          <w:sz w:val="21"/>
          <w:szCs w:val="21"/>
          <w:highlight w:val="none"/>
        </w:rPr>
        <w:t>2</w:t>
      </w:r>
      <w:r>
        <w:rPr>
          <w:rFonts w:ascii="宋体" w:hAnsi="宋体"/>
          <w:spacing w:val="-6"/>
          <w:sz w:val="21"/>
          <w:szCs w:val="21"/>
          <w:highlight w:val="none"/>
        </w:rPr>
        <w:t>.</w:t>
      </w:r>
      <w:r>
        <w:rPr>
          <w:rFonts w:hint="eastAsia" w:ascii="宋体" w:hAnsi="宋体"/>
          <w:spacing w:val="-6"/>
          <w:sz w:val="21"/>
          <w:szCs w:val="21"/>
          <w:highlight w:val="none"/>
        </w:rPr>
        <w:t>在原投标有效期满之前，如果出现特殊情况，招标人</w:t>
      </w:r>
      <w:r>
        <w:rPr>
          <w:rFonts w:ascii="宋体" w:hAnsi="宋体"/>
          <w:spacing w:val="-6"/>
          <w:sz w:val="21"/>
          <w:szCs w:val="21"/>
          <w:highlight w:val="none"/>
        </w:rPr>
        <w:t>或</w:t>
      </w:r>
      <w:r>
        <w:rPr>
          <w:rFonts w:hint="eastAsia" w:ascii="宋体" w:hAnsi="宋体"/>
          <w:spacing w:val="-6"/>
          <w:sz w:val="21"/>
          <w:szCs w:val="21"/>
          <w:highlight w:val="none"/>
        </w:rPr>
        <w:t>招标代理机构以书面形式通知投标人延长投标有效期。</w:t>
      </w:r>
    </w:p>
    <w:p>
      <w:pPr>
        <w:spacing w:line="360" w:lineRule="auto"/>
        <w:rPr>
          <w:rFonts w:ascii="宋体" w:hAnsi="宋体"/>
          <w:b/>
          <w:spacing w:val="-6"/>
          <w:sz w:val="24"/>
          <w:highlight w:val="none"/>
        </w:rPr>
      </w:pPr>
      <w:r>
        <w:rPr>
          <w:rFonts w:hint="eastAsia" w:ascii="宋体" w:hAnsi="宋体"/>
          <w:b/>
          <w:spacing w:val="-6"/>
          <w:sz w:val="24"/>
          <w:highlight w:val="none"/>
        </w:rPr>
        <w:t>（七） 投标无效的情形</w:t>
      </w:r>
    </w:p>
    <w:p>
      <w:pPr>
        <w:widowControl/>
        <w:spacing w:line="360" w:lineRule="auto"/>
        <w:ind w:firstLine="398" w:firstLineChars="200"/>
        <w:jc w:val="left"/>
        <w:rPr>
          <w:rFonts w:ascii="宋体" w:hAnsi="宋体"/>
          <w:b/>
          <w:spacing w:val="-6"/>
          <w:sz w:val="21"/>
          <w:szCs w:val="21"/>
          <w:highlight w:val="none"/>
        </w:rPr>
      </w:pPr>
      <w:r>
        <w:rPr>
          <w:rFonts w:hint="eastAsia" w:ascii="宋体" w:hAnsi="宋体"/>
          <w:b/>
          <w:spacing w:val="-6"/>
          <w:sz w:val="21"/>
          <w:szCs w:val="21"/>
          <w:highlight w:val="none"/>
        </w:rPr>
        <w:t>1</w:t>
      </w:r>
      <w:r>
        <w:rPr>
          <w:rFonts w:ascii="宋体" w:hAnsi="宋体"/>
          <w:b/>
          <w:spacing w:val="-6"/>
          <w:sz w:val="21"/>
          <w:szCs w:val="21"/>
          <w:highlight w:val="none"/>
        </w:rPr>
        <w:t>.</w:t>
      </w:r>
      <w:r>
        <w:rPr>
          <w:rFonts w:hint="eastAsia" w:ascii="宋体" w:hAnsi="宋体"/>
          <w:b/>
          <w:spacing w:val="-6"/>
          <w:sz w:val="21"/>
          <w:szCs w:val="21"/>
          <w:highlight w:val="none"/>
        </w:rPr>
        <w:t>在资格审查时，如发现下列情形之一的，投标文件将被视为无效：</w:t>
      </w:r>
    </w:p>
    <w:p>
      <w:pPr>
        <w:spacing w:line="360" w:lineRule="auto"/>
        <w:ind w:firstLine="396" w:firstLineChars="200"/>
        <w:rPr>
          <w:rFonts w:ascii="宋体" w:hAnsi="宋体"/>
          <w:spacing w:val="-6"/>
          <w:sz w:val="21"/>
          <w:szCs w:val="21"/>
          <w:highlight w:val="none"/>
        </w:rPr>
      </w:pPr>
      <w:r>
        <w:rPr>
          <w:rFonts w:hint="eastAsia" w:ascii="宋体" w:hAnsi="宋体"/>
          <w:spacing w:val="-6"/>
          <w:sz w:val="21"/>
          <w:szCs w:val="21"/>
          <w:highlight w:val="none"/>
        </w:rPr>
        <w:t>（1</w:t>
      </w:r>
      <w:r>
        <w:rPr>
          <w:rFonts w:ascii="宋体" w:hAnsi="宋体"/>
          <w:spacing w:val="-6"/>
          <w:sz w:val="21"/>
          <w:szCs w:val="21"/>
          <w:highlight w:val="none"/>
        </w:rPr>
        <w:t>）资格证明</w:t>
      </w:r>
      <w:r>
        <w:rPr>
          <w:rFonts w:hint="eastAsia" w:ascii="宋体" w:hAnsi="宋体"/>
          <w:spacing w:val="-6"/>
          <w:sz w:val="21"/>
          <w:szCs w:val="21"/>
          <w:highlight w:val="none"/>
        </w:rPr>
        <w:t>材料</w:t>
      </w:r>
      <w:r>
        <w:rPr>
          <w:rFonts w:ascii="宋体" w:hAnsi="宋体"/>
          <w:spacing w:val="-6"/>
          <w:sz w:val="21"/>
          <w:szCs w:val="21"/>
          <w:highlight w:val="none"/>
        </w:rPr>
        <w:t>不全的，或者不符合</w:t>
      </w:r>
      <w:r>
        <w:rPr>
          <w:rFonts w:hint="eastAsia" w:ascii="宋体" w:hAnsi="宋体"/>
          <w:spacing w:val="-6"/>
          <w:sz w:val="21"/>
          <w:szCs w:val="21"/>
          <w:highlight w:val="none"/>
        </w:rPr>
        <w:t>招标</w:t>
      </w:r>
      <w:r>
        <w:rPr>
          <w:rFonts w:ascii="宋体" w:hAnsi="宋体"/>
          <w:spacing w:val="-6"/>
          <w:sz w:val="21"/>
          <w:szCs w:val="21"/>
          <w:highlight w:val="none"/>
        </w:rPr>
        <w:t>文件要求的</w:t>
      </w:r>
      <w:r>
        <w:rPr>
          <w:rFonts w:hint="eastAsia" w:ascii="宋体" w:hAnsi="宋体"/>
          <w:spacing w:val="-6"/>
          <w:sz w:val="21"/>
          <w:szCs w:val="21"/>
          <w:highlight w:val="none"/>
        </w:rPr>
        <w:t>；</w:t>
      </w:r>
    </w:p>
    <w:p>
      <w:pPr>
        <w:spacing w:line="360" w:lineRule="auto"/>
        <w:ind w:firstLine="396" w:firstLineChars="200"/>
        <w:rPr>
          <w:rFonts w:ascii="宋体" w:hAnsi="宋体"/>
          <w:spacing w:val="-6"/>
          <w:sz w:val="21"/>
          <w:szCs w:val="21"/>
          <w:highlight w:val="none"/>
        </w:rPr>
      </w:pPr>
      <w:r>
        <w:rPr>
          <w:rFonts w:hint="eastAsia" w:ascii="宋体" w:hAnsi="宋体"/>
          <w:spacing w:val="-6"/>
          <w:sz w:val="21"/>
          <w:szCs w:val="21"/>
          <w:highlight w:val="none"/>
        </w:rPr>
        <w:t>（2）投标人不具备招标文件中规定的资格要求的。</w:t>
      </w:r>
    </w:p>
    <w:p>
      <w:pPr>
        <w:spacing w:line="360" w:lineRule="auto"/>
        <w:ind w:firstLine="398" w:firstLineChars="200"/>
        <w:rPr>
          <w:rFonts w:ascii="宋体" w:hAnsi="宋体"/>
          <w:b/>
          <w:spacing w:val="-6"/>
          <w:sz w:val="21"/>
          <w:szCs w:val="21"/>
          <w:highlight w:val="none"/>
        </w:rPr>
      </w:pPr>
      <w:r>
        <w:rPr>
          <w:rFonts w:hint="eastAsia" w:ascii="宋体" w:hAnsi="宋体"/>
          <w:b/>
          <w:spacing w:val="-6"/>
          <w:sz w:val="21"/>
          <w:szCs w:val="21"/>
          <w:highlight w:val="none"/>
        </w:rPr>
        <w:t>2</w:t>
      </w:r>
      <w:r>
        <w:rPr>
          <w:rFonts w:ascii="宋体" w:hAnsi="宋体"/>
          <w:b/>
          <w:spacing w:val="-6"/>
          <w:sz w:val="21"/>
          <w:szCs w:val="21"/>
          <w:highlight w:val="none"/>
        </w:rPr>
        <w:t>.</w:t>
      </w:r>
      <w:r>
        <w:rPr>
          <w:rFonts w:hint="eastAsia" w:ascii="宋体" w:hAnsi="宋体"/>
          <w:b/>
          <w:spacing w:val="-6"/>
          <w:sz w:val="21"/>
          <w:szCs w:val="21"/>
          <w:highlight w:val="none"/>
        </w:rPr>
        <w:t>在符合</w:t>
      </w:r>
      <w:r>
        <w:rPr>
          <w:rFonts w:ascii="宋体" w:hAnsi="宋体"/>
          <w:b/>
          <w:spacing w:val="-6"/>
          <w:sz w:val="21"/>
          <w:szCs w:val="21"/>
          <w:highlight w:val="none"/>
        </w:rPr>
        <w:t>性审查、</w:t>
      </w:r>
      <w:r>
        <w:rPr>
          <w:rFonts w:hint="eastAsia" w:ascii="宋体" w:hAnsi="宋体"/>
          <w:b/>
          <w:spacing w:val="-6"/>
          <w:sz w:val="21"/>
          <w:szCs w:val="21"/>
          <w:highlight w:val="none"/>
        </w:rPr>
        <w:t>商务</w:t>
      </w:r>
      <w:r>
        <w:rPr>
          <w:rFonts w:ascii="宋体" w:hAnsi="宋体"/>
          <w:b/>
          <w:spacing w:val="-6"/>
          <w:sz w:val="21"/>
          <w:szCs w:val="21"/>
          <w:highlight w:val="none"/>
        </w:rPr>
        <w:t>和技术评审</w:t>
      </w:r>
      <w:r>
        <w:rPr>
          <w:rFonts w:hint="eastAsia" w:ascii="宋体" w:hAnsi="宋体"/>
          <w:b/>
          <w:spacing w:val="-6"/>
          <w:sz w:val="21"/>
          <w:szCs w:val="21"/>
          <w:highlight w:val="none"/>
        </w:rPr>
        <w:t>时，如发现下列情形之一的，投标文件将被视为无效：</w:t>
      </w:r>
    </w:p>
    <w:p>
      <w:pPr>
        <w:spacing w:line="360" w:lineRule="auto"/>
        <w:ind w:firstLine="396" w:firstLineChars="200"/>
        <w:rPr>
          <w:rFonts w:ascii="宋体" w:hAnsi="宋体"/>
          <w:spacing w:val="-6"/>
          <w:sz w:val="21"/>
          <w:szCs w:val="21"/>
          <w:highlight w:val="none"/>
        </w:rPr>
      </w:pPr>
      <w:r>
        <w:rPr>
          <w:rFonts w:hint="eastAsia" w:ascii="宋体" w:hAnsi="宋体"/>
          <w:spacing w:val="-6"/>
          <w:sz w:val="21"/>
          <w:szCs w:val="21"/>
          <w:highlight w:val="none"/>
        </w:rPr>
        <w:t>（1</w:t>
      </w:r>
      <w:r>
        <w:rPr>
          <w:rFonts w:ascii="宋体" w:hAnsi="宋体"/>
          <w:spacing w:val="-6"/>
          <w:sz w:val="21"/>
          <w:szCs w:val="21"/>
          <w:highlight w:val="none"/>
        </w:rPr>
        <w:t>）</w:t>
      </w:r>
      <w:r>
        <w:rPr>
          <w:rFonts w:hint="eastAsia" w:ascii="宋体" w:hAnsi="宋体"/>
          <w:spacing w:val="-6"/>
          <w:sz w:val="21"/>
          <w:szCs w:val="21"/>
          <w:highlight w:val="none"/>
        </w:rPr>
        <w:t>投标</w:t>
      </w:r>
      <w:r>
        <w:rPr>
          <w:rFonts w:ascii="宋体" w:hAnsi="宋体"/>
          <w:spacing w:val="-6"/>
          <w:sz w:val="21"/>
          <w:szCs w:val="21"/>
          <w:highlight w:val="none"/>
        </w:rPr>
        <w:t>文件</w:t>
      </w:r>
      <w:r>
        <w:rPr>
          <w:rFonts w:hint="eastAsia" w:ascii="宋体" w:hAnsi="宋体"/>
          <w:spacing w:val="-6"/>
          <w:sz w:val="21"/>
          <w:szCs w:val="21"/>
          <w:highlight w:val="none"/>
        </w:rPr>
        <w:t>未按要求签署、盖章的；</w:t>
      </w:r>
    </w:p>
    <w:p>
      <w:pPr>
        <w:spacing w:line="360" w:lineRule="auto"/>
        <w:ind w:firstLine="396" w:firstLineChars="200"/>
        <w:rPr>
          <w:rFonts w:ascii="宋体" w:hAnsi="宋体"/>
          <w:spacing w:val="-6"/>
          <w:sz w:val="21"/>
          <w:szCs w:val="21"/>
          <w:highlight w:val="none"/>
        </w:rPr>
      </w:pPr>
      <w:r>
        <w:rPr>
          <w:rFonts w:hint="eastAsia" w:ascii="宋体" w:hAnsi="宋体"/>
          <w:spacing w:val="-6"/>
          <w:sz w:val="21"/>
          <w:szCs w:val="21"/>
          <w:highlight w:val="none"/>
        </w:rPr>
        <w:t>（2）未提供或未按要求提供投标函、企业负责人资格证明书、企业负责人授权委托书、投标声明书；</w:t>
      </w:r>
    </w:p>
    <w:p>
      <w:pPr>
        <w:spacing w:line="360" w:lineRule="auto"/>
        <w:ind w:firstLine="396" w:firstLineChars="200"/>
        <w:rPr>
          <w:rFonts w:ascii="宋体" w:hAnsi="宋体"/>
          <w:spacing w:val="-6"/>
          <w:sz w:val="21"/>
          <w:szCs w:val="21"/>
          <w:highlight w:val="none"/>
        </w:rPr>
      </w:pPr>
      <w:r>
        <w:rPr>
          <w:rFonts w:hint="eastAsia" w:ascii="宋体" w:hAnsi="宋体"/>
          <w:spacing w:val="-6"/>
          <w:sz w:val="21"/>
          <w:szCs w:val="21"/>
          <w:highlight w:val="none"/>
        </w:rPr>
        <w:t>（3）</w:t>
      </w:r>
      <w:r>
        <w:rPr>
          <w:rFonts w:ascii="宋体" w:hAnsi="宋体"/>
          <w:spacing w:val="-6"/>
          <w:sz w:val="21"/>
          <w:szCs w:val="21"/>
          <w:highlight w:val="none"/>
        </w:rPr>
        <w:t>明显不符合招标文件</w:t>
      </w:r>
      <w:r>
        <w:rPr>
          <w:rFonts w:hint="eastAsia" w:ascii="宋体" w:hAnsi="宋体"/>
          <w:spacing w:val="-6"/>
          <w:sz w:val="21"/>
          <w:szCs w:val="21"/>
          <w:highlight w:val="none"/>
        </w:rPr>
        <w:t>要求，</w:t>
      </w:r>
      <w:r>
        <w:rPr>
          <w:rFonts w:ascii="宋体" w:hAnsi="宋体"/>
          <w:spacing w:val="-6"/>
          <w:sz w:val="21"/>
          <w:szCs w:val="21"/>
          <w:highlight w:val="none"/>
        </w:rPr>
        <w:t>或者</w:t>
      </w:r>
      <w:r>
        <w:rPr>
          <w:rFonts w:hint="eastAsia" w:ascii="宋体" w:hAnsi="宋体"/>
          <w:spacing w:val="-6"/>
          <w:sz w:val="21"/>
          <w:szCs w:val="21"/>
          <w:highlight w:val="none"/>
        </w:rPr>
        <w:t>与</w:t>
      </w:r>
      <w:r>
        <w:rPr>
          <w:rFonts w:ascii="宋体" w:hAnsi="宋体"/>
          <w:spacing w:val="-6"/>
          <w:sz w:val="21"/>
          <w:szCs w:val="21"/>
          <w:highlight w:val="none"/>
        </w:rPr>
        <w:t>招标文件中标“▲”的项目发生实质性偏离的；</w:t>
      </w:r>
    </w:p>
    <w:p>
      <w:pPr>
        <w:spacing w:line="360" w:lineRule="auto"/>
        <w:ind w:firstLine="396" w:firstLineChars="200"/>
        <w:rPr>
          <w:rFonts w:ascii="宋体" w:hAnsi="宋体" w:cs="宋体"/>
          <w:spacing w:val="-6"/>
          <w:sz w:val="21"/>
          <w:szCs w:val="21"/>
          <w:highlight w:val="none"/>
        </w:rPr>
      </w:pPr>
      <w:r>
        <w:rPr>
          <w:rFonts w:hint="eastAsia" w:ascii="宋体" w:hAnsi="宋体" w:cs="宋体"/>
          <w:spacing w:val="-6"/>
          <w:sz w:val="21"/>
          <w:szCs w:val="21"/>
          <w:highlight w:val="none"/>
        </w:rPr>
        <w:t>（4）投标文件含有招标人不能接受的附加条件的；</w:t>
      </w:r>
    </w:p>
    <w:p>
      <w:pPr>
        <w:widowControl/>
        <w:spacing w:line="360" w:lineRule="auto"/>
        <w:ind w:firstLine="396" w:firstLineChars="200"/>
        <w:jc w:val="left"/>
        <w:rPr>
          <w:rFonts w:ascii="宋体" w:hAnsi="宋体" w:cs="宋体"/>
          <w:spacing w:val="-6"/>
          <w:sz w:val="21"/>
          <w:szCs w:val="21"/>
          <w:highlight w:val="none"/>
        </w:rPr>
      </w:pPr>
      <w:r>
        <w:rPr>
          <w:rFonts w:hint="eastAsia" w:ascii="宋体" w:hAnsi="宋体" w:cs="宋体"/>
          <w:spacing w:val="-6"/>
          <w:sz w:val="21"/>
          <w:szCs w:val="21"/>
          <w:highlight w:val="none"/>
        </w:rPr>
        <w:t>（5）法律、法规和招标文件规定的其他无效情形。</w:t>
      </w:r>
    </w:p>
    <w:p>
      <w:pPr>
        <w:widowControl/>
        <w:spacing w:line="360" w:lineRule="auto"/>
        <w:ind w:firstLine="398" w:firstLineChars="200"/>
        <w:jc w:val="left"/>
        <w:rPr>
          <w:rFonts w:ascii="宋体" w:hAnsi="宋体" w:cs="宋体"/>
          <w:b/>
          <w:spacing w:val="-6"/>
          <w:sz w:val="21"/>
          <w:szCs w:val="21"/>
          <w:highlight w:val="none"/>
        </w:rPr>
      </w:pPr>
      <w:r>
        <w:rPr>
          <w:rFonts w:hint="eastAsia" w:ascii="宋体" w:hAnsi="宋体" w:cs="宋体"/>
          <w:b/>
          <w:spacing w:val="-6"/>
          <w:sz w:val="21"/>
          <w:szCs w:val="21"/>
          <w:highlight w:val="none"/>
        </w:rPr>
        <w:t>3.在报价评审时，如发现下列情形之一的，投标文件将被视为无效：</w:t>
      </w:r>
    </w:p>
    <w:p>
      <w:pPr>
        <w:spacing w:line="360" w:lineRule="auto"/>
        <w:ind w:firstLine="396" w:firstLineChars="200"/>
        <w:rPr>
          <w:rFonts w:ascii="宋体" w:hAnsi="宋体"/>
          <w:spacing w:val="-6"/>
          <w:sz w:val="21"/>
          <w:szCs w:val="21"/>
          <w:highlight w:val="none"/>
        </w:rPr>
      </w:pPr>
      <w:r>
        <w:rPr>
          <w:rFonts w:ascii="宋体" w:hAnsi="宋体"/>
          <w:spacing w:val="-6"/>
          <w:sz w:val="21"/>
          <w:szCs w:val="21"/>
          <w:highlight w:val="none"/>
        </w:rPr>
        <w:t>（1）未按照招标文件</w:t>
      </w:r>
      <w:r>
        <w:rPr>
          <w:rFonts w:hint="eastAsia" w:ascii="宋体" w:hAnsi="宋体"/>
          <w:spacing w:val="-6"/>
          <w:sz w:val="21"/>
          <w:szCs w:val="21"/>
          <w:highlight w:val="none"/>
        </w:rPr>
        <w:t>要求</w:t>
      </w:r>
      <w:r>
        <w:rPr>
          <w:rFonts w:ascii="宋体" w:hAnsi="宋体"/>
          <w:spacing w:val="-6"/>
          <w:sz w:val="21"/>
          <w:szCs w:val="21"/>
          <w:highlight w:val="none"/>
        </w:rPr>
        <w:t>报价的；</w:t>
      </w:r>
    </w:p>
    <w:p>
      <w:pPr>
        <w:spacing w:line="360" w:lineRule="auto"/>
        <w:ind w:firstLine="396" w:firstLineChars="200"/>
        <w:rPr>
          <w:rFonts w:ascii="宋体" w:hAnsi="宋体"/>
          <w:spacing w:val="-6"/>
          <w:sz w:val="21"/>
          <w:szCs w:val="21"/>
          <w:highlight w:val="none"/>
        </w:rPr>
      </w:pPr>
      <w:r>
        <w:rPr>
          <w:rFonts w:hint="eastAsia" w:ascii="宋体" w:hAnsi="宋体"/>
          <w:spacing w:val="-6"/>
          <w:sz w:val="21"/>
          <w:szCs w:val="21"/>
          <w:highlight w:val="none"/>
        </w:rPr>
        <w:t>（2）</w:t>
      </w:r>
      <w:r>
        <w:rPr>
          <w:rFonts w:ascii="宋体" w:hAnsi="宋体"/>
          <w:spacing w:val="-6"/>
          <w:sz w:val="21"/>
          <w:szCs w:val="21"/>
          <w:highlight w:val="none"/>
        </w:rPr>
        <w:t>投标报价具有选择性，或者开标价格与投标文件承诺的优惠（折扣）价格不一致的；</w:t>
      </w:r>
    </w:p>
    <w:p>
      <w:pPr>
        <w:spacing w:line="360" w:lineRule="auto"/>
        <w:ind w:firstLine="396" w:firstLineChars="200"/>
        <w:rPr>
          <w:rFonts w:ascii="宋体" w:hAnsi="宋体"/>
          <w:spacing w:val="-6"/>
          <w:sz w:val="21"/>
          <w:szCs w:val="21"/>
          <w:highlight w:val="none"/>
        </w:rPr>
      </w:pPr>
      <w:r>
        <w:rPr>
          <w:rFonts w:hint="eastAsia" w:ascii="宋体" w:hAnsi="宋体"/>
          <w:spacing w:val="-6"/>
          <w:sz w:val="21"/>
          <w:szCs w:val="21"/>
          <w:highlight w:val="none"/>
        </w:rPr>
        <w:t>（3）定期存款利率低于相同期限基准存款利率和违反国家利率政策规定的。</w:t>
      </w:r>
    </w:p>
    <w:p>
      <w:pPr>
        <w:widowControl/>
        <w:spacing w:line="360" w:lineRule="auto"/>
        <w:ind w:firstLine="398" w:firstLineChars="200"/>
        <w:jc w:val="left"/>
        <w:rPr>
          <w:rFonts w:ascii="宋体" w:hAnsi="宋体"/>
          <w:b/>
          <w:spacing w:val="-6"/>
          <w:sz w:val="21"/>
          <w:szCs w:val="21"/>
          <w:highlight w:val="none"/>
        </w:rPr>
      </w:pPr>
      <w:r>
        <w:rPr>
          <w:rFonts w:hint="eastAsia" w:ascii="宋体" w:hAnsi="宋体"/>
          <w:b/>
          <w:spacing w:val="-6"/>
          <w:sz w:val="21"/>
          <w:szCs w:val="21"/>
          <w:highlight w:val="none"/>
        </w:rPr>
        <w:t>4</w:t>
      </w:r>
      <w:r>
        <w:rPr>
          <w:rFonts w:ascii="宋体" w:hAnsi="宋体"/>
          <w:b/>
          <w:spacing w:val="-6"/>
          <w:sz w:val="21"/>
          <w:szCs w:val="21"/>
          <w:highlight w:val="none"/>
        </w:rPr>
        <w:t>.</w:t>
      </w:r>
      <w:r>
        <w:rPr>
          <w:rFonts w:hint="eastAsia" w:ascii="宋体" w:hAnsi="宋体"/>
          <w:b/>
          <w:spacing w:val="-6"/>
          <w:sz w:val="21"/>
          <w:szCs w:val="21"/>
          <w:highlight w:val="none"/>
        </w:rPr>
        <w:t>有下列情形之一的，视为投标人串通投标，其投标无效，由招标人或招标代理机构上报监督管理部门，视情列入不良行为记录名单，在一至三年内禁止参加采购活动：</w:t>
      </w:r>
    </w:p>
    <w:p>
      <w:pPr>
        <w:widowControl/>
        <w:spacing w:line="360" w:lineRule="auto"/>
        <w:ind w:firstLine="396" w:firstLineChars="200"/>
        <w:jc w:val="left"/>
        <w:rPr>
          <w:rFonts w:ascii="宋体" w:hAnsi="宋体"/>
          <w:spacing w:val="-6"/>
          <w:sz w:val="21"/>
          <w:szCs w:val="21"/>
          <w:highlight w:val="none"/>
        </w:rPr>
      </w:pPr>
      <w:r>
        <w:rPr>
          <w:rFonts w:hint="eastAsia" w:ascii="宋体" w:hAnsi="宋体"/>
          <w:spacing w:val="-6"/>
          <w:sz w:val="21"/>
          <w:szCs w:val="21"/>
          <w:highlight w:val="none"/>
        </w:rPr>
        <w:t>（1）不同投标人的投标文件由同一单位或者个人编制；</w:t>
      </w:r>
    </w:p>
    <w:p>
      <w:pPr>
        <w:widowControl/>
        <w:spacing w:line="360" w:lineRule="auto"/>
        <w:ind w:firstLine="396" w:firstLineChars="200"/>
        <w:jc w:val="left"/>
        <w:rPr>
          <w:rFonts w:ascii="宋体" w:hAnsi="宋体"/>
          <w:spacing w:val="-6"/>
          <w:sz w:val="21"/>
          <w:szCs w:val="21"/>
          <w:highlight w:val="none"/>
        </w:rPr>
      </w:pPr>
      <w:r>
        <w:rPr>
          <w:rFonts w:hint="eastAsia" w:ascii="宋体" w:hAnsi="宋体"/>
          <w:spacing w:val="-6"/>
          <w:sz w:val="21"/>
          <w:szCs w:val="21"/>
          <w:highlight w:val="none"/>
        </w:rPr>
        <w:t>（2）不同投标人委托同一单位或者个人办理投标事宜；</w:t>
      </w:r>
    </w:p>
    <w:p>
      <w:pPr>
        <w:widowControl/>
        <w:spacing w:line="360" w:lineRule="auto"/>
        <w:ind w:firstLine="396" w:firstLineChars="200"/>
        <w:jc w:val="left"/>
        <w:rPr>
          <w:rFonts w:ascii="宋体" w:hAnsi="宋体"/>
          <w:spacing w:val="-6"/>
          <w:sz w:val="21"/>
          <w:szCs w:val="21"/>
          <w:highlight w:val="none"/>
        </w:rPr>
      </w:pPr>
      <w:r>
        <w:rPr>
          <w:rFonts w:hint="eastAsia" w:ascii="宋体" w:hAnsi="宋体"/>
          <w:spacing w:val="-6"/>
          <w:sz w:val="21"/>
          <w:szCs w:val="21"/>
          <w:highlight w:val="none"/>
        </w:rPr>
        <w:t>（3）不同投标人的投标文件载明的项目管理成员或者联系人员为同一人；</w:t>
      </w:r>
    </w:p>
    <w:p>
      <w:pPr>
        <w:widowControl/>
        <w:spacing w:line="360" w:lineRule="auto"/>
        <w:ind w:firstLine="396" w:firstLineChars="200"/>
        <w:jc w:val="left"/>
        <w:rPr>
          <w:rFonts w:ascii="宋体" w:hAnsi="宋体"/>
          <w:spacing w:val="-6"/>
          <w:sz w:val="21"/>
          <w:szCs w:val="21"/>
          <w:highlight w:val="none"/>
        </w:rPr>
      </w:pPr>
      <w:r>
        <w:rPr>
          <w:rFonts w:hint="eastAsia" w:ascii="宋体" w:hAnsi="宋体"/>
          <w:spacing w:val="-6"/>
          <w:sz w:val="21"/>
          <w:szCs w:val="21"/>
          <w:highlight w:val="none"/>
        </w:rPr>
        <w:t>（4）不同投标人的投标文件异常一致或者投标报价呈规律性差异；</w:t>
      </w:r>
    </w:p>
    <w:p>
      <w:pPr>
        <w:widowControl/>
        <w:spacing w:line="360" w:lineRule="auto"/>
        <w:ind w:firstLine="396" w:firstLineChars="200"/>
        <w:jc w:val="left"/>
        <w:rPr>
          <w:rFonts w:ascii="宋体" w:hAnsi="宋体"/>
          <w:spacing w:val="-6"/>
          <w:sz w:val="21"/>
          <w:szCs w:val="21"/>
          <w:highlight w:val="none"/>
        </w:rPr>
      </w:pPr>
      <w:r>
        <w:rPr>
          <w:rFonts w:hint="eastAsia" w:ascii="宋体" w:hAnsi="宋体"/>
          <w:spacing w:val="-6"/>
          <w:sz w:val="21"/>
          <w:szCs w:val="21"/>
          <w:highlight w:val="none"/>
        </w:rPr>
        <w:t>（5）不同投标人的投标文件相互混装；</w:t>
      </w:r>
    </w:p>
    <w:p>
      <w:pPr>
        <w:widowControl/>
        <w:spacing w:line="360" w:lineRule="auto"/>
        <w:ind w:firstLine="398" w:firstLineChars="200"/>
        <w:jc w:val="center"/>
        <w:outlineLvl w:val="1"/>
        <w:rPr>
          <w:rFonts w:hAnsi="宋体"/>
          <w:b/>
          <w:spacing w:val="-6"/>
          <w:sz w:val="32"/>
          <w:szCs w:val="32"/>
          <w:highlight w:val="none"/>
        </w:rPr>
      </w:pPr>
      <w:r>
        <w:rPr>
          <w:rFonts w:hAnsi="宋体"/>
          <w:b/>
          <w:spacing w:val="-6"/>
          <w:sz w:val="21"/>
          <w:szCs w:val="21"/>
          <w:highlight w:val="none"/>
        </w:rPr>
        <w:br w:type="page"/>
      </w:r>
      <w:r>
        <w:rPr>
          <w:rFonts w:hAnsi="宋体"/>
          <w:b/>
          <w:spacing w:val="-6"/>
          <w:sz w:val="32"/>
          <w:szCs w:val="32"/>
          <w:highlight w:val="none"/>
        </w:rPr>
        <w:t>四</w:t>
      </w:r>
      <w:r>
        <w:rPr>
          <w:rFonts w:hint="eastAsia" w:hAnsi="宋体"/>
          <w:b/>
          <w:spacing w:val="-6"/>
          <w:sz w:val="32"/>
          <w:szCs w:val="32"/>
          <w:highlight w:val="none"/>
        </w:rPr>
        <w:t>、开标</w:t>
      </w:r>
    </w:p>
    <w:p>
      <w:pPr>
        <w:pStyle w:val="2"/>
        <w:spacing w:line="360" w:lineRule="auto"/>
        <w:ind w:firstLine="0"/>
        <w:rPr>
          <w:rFonts w:hAnsi="宋体"/>
          <w:b/>
          <w:spacing w:val="-6"/>
          <w:sz w:val="24"/>
          <w:szCs w:val="24"/>
          <w:highlight w:val="none"/>
        </w:rPr>
      </w:pPr>
      <w:r>
        <w:rPr>
          <w:rFonts w:hint="eastAsia" w:hAnsi="宋体"/>
          <w:b/>
          <w:spacing w:val="-6"/>
          <w:sz w:val="24"/>
          <w:szCs w:val="24"/>
          <w:highlight w:val="none"/>
        </w:rPr>
        <w:t>（一） 开标准备</w:t>
      </w:r>
    </w:p>
    <w:p>
      <w:pPr>
        <w:pStyle w:val="2"/>
        <w:spacing w:line="360" w:lineRule="auto"/>
        <w:ind w:firstLine="396" w:firstLineChars="200"/>
        <w:rPr>
          <w:rFonts w:hAnsi="宋体"/>
          <w:spacing w:val="-6"/>
          <w:sz w:val="21"/>
          <w:szCs w:val="21"/>
          <w:highlight w:val="none"/>
        </w:rPr>
      </w:pPr>
      <w:r>
        <w:rPr>
          <w:rFonts w:hint="eastAsia" w:hAnsi="宋体"/>
          <w:spacing w:val="-6"/>
          <w:sz w:val="21"/>
          <w:szCs w:val="21"/>
          <w:highlight w:val="none"/>
        </w:rPr>
        <w:t>采购组织机构将按照招标文件规定的时间通过“政府采购云平台”组织在线开标，所有供应商均应当准时在线参加。</w:t>
      </w:r>
    </w:p>
    <w:p>
      <w:pPr>
        <w:pStyle w:val="2"/>
        <w:spacing w:line="360" w:lineRule="auto"/>
        <w:ind w:firstLine="0"/>
        <w:rPr>
          <w:rFonts w:hAnsi="宋体"/>
          <w:b/>
          <w:spacing w:val="-6"/>
          <w:sz w:val="24"/>
          <w:szCs w:val="24"/>
          <w:highlight w:val="none"/>
        </w:rPr>
      </w:pPr>
      <w:r>
        <w:rPr>
          <w:rFonts w:hint="eastAsia" w:hAnsi="宋体"/>
          <w:b/>
          <w:spacing w:val="-6"/>
          <w:sz w:val="24"/>
          <w:szCs w:val="24"/>
          <w:highlight w:val="none"/>
        </w:rPr>
        <w:t>（二） 开标程序</w:t>
      </w:r>
    </w:p>
    <w:p>
      <w:pPr>
        <w:pStyle w:val="2"/>
        <w:spacing w:line="360" w:lineRule="auto"/>
        <w:ind w:firstLine="396" w:firstLineChars="200"/>
        <w:rPr>
          <w:rFonts w:hAnsi="宋体"/>
          <w:spacing w:val="-6"/>
          <w:sz w:val="21"/>
          <w:szCs w:val="21"/>
          <w:highlight w:val="none"/>
        </w:rPr>
      </w:pPr>
      <w:r>
        <w:rPr>
          <w:rFonts w:hint="eastAsia" w:hAnsi="宋体"/>
          <w:spacing w:val="-6"/>
          <w:sz w:val="21"/>
          <w:szCs w:val="21"/>
          <w:highlight w:val="none"/>
        </w:rPr>
        <w:t>1.到投标截止时间，递交响应文件的投标人少于7家的，招标人将依法重新组织招标。评标期间，如通过</w:t>
      </w:r>
      <w:r>
        <w:rPr>
          <w:rFonts w:hint="eastAsia" w:hAnsi="宋体"/>
          <w:bCs/>
          <w:spacing w:val="-6"/>
          <w:sz w:val="21"/>
          <w:szCs w:val="21"/>
          <w:highlight w:val="none"/>
        </w:rPr>
        <w:t>资格审查、</w:t>
      </w:r>
      <w:r>
        <w:rPr>
          <w:rFonts w:hint="eastAsia" w:hAnsi="宋体"/>
          <w:spacing w:val="-6"/>
          <w:sz w:val="21"/>
          <w:szCs w:val="21"/>
          <w:highlight w:val="none"/>
        </w:rPr>
        <w:t>符合性审查的有效投标人少于7家的，招标人将重新组织招标。</w:t>
      </w:r>
    </w:p>
    <w:p>
      <w:pPr>
        <w:pStyle w:val="2"/>
        <w:spacing w:line="360" w:lineRule="auto"/>
        <w:ind w:firstLine="396" w:firstLineChars="200"/>
        <w:rPr>
          <w:rFonts w:hAnsi="宋体"/>
          <w:spacing w:val="-6"/>
          <w:sz w:val="21"/>
          <w:szCs w:val="21"/>
          <w:highlight w:val="none"/>
        </w:rPr>
      </w:pPr>
      <w:r>
        <w:rPr>
          <w:rFonts w:hint="eastAsia" w:hAnsi="宋体"/>
          <w:spacing w:val="-6"/>
          <w:sz w:val="21"/>
          <w:szCs w:val="21"/>
          <w:highlight w:val="none"/>
        </w:rPr>
        <w:t>2.所有的开标流程按照政采云平台关于公款竞争性存放的操作流程进行开标程序。</w:t>
      </w:r>
    </w:p>
    <w:p>
      <w:pPr>
        <w:pStyle w:val="12"/>
        <w:spacing w:beforeLines="0" w:afterLines="0" w:line="360" w:lineRule="auto"/>
        <w:jc w:val="center"/>
        <w:outlineLvl w:val="1"/>
        <w:rPr>
          <w:rFonts w:hAnsi="宋体"/>
          <w:b/>
          <w:spacing w:val="-6"/>
          <w:sz w:val="32"/>
          <w:szCs w:val="32"/>
          <w:highlight w:val="none"/>
        </w:rPr>
      </w:pPr>
      <w:r>
        <w:rPr>
          <w:rFonts w:hAnsi="宋体"/>
          <w:b/>
          <w:spacing w:val="-6"/>
          <w:sz w:val="32"/>
          <w:szCs w:val="32"/>
          <w:highlight w:val="none"/>
        </w:rPr>
        <w:br w:type="page"/>
      </w:r>
      <w:r>
        <w:rPr>
          <w:rFonts w:hint="eastAsia" w:hAnsi="宋体"/>
          <w:b/>
          <w:spacing w:val="-6"/>
          <w:sz w:val="32"/>
          <w:szCs w:val="32"/>
          <w:highlight w:val="none"/>
        </w:rPr>
        <w:t>五、评  标</w:t>
      </w:r>
    </w:p>
    <w:p>
      <w:pPr>
        <w:spacing w:line="360" w:lineRule="auto"/>
        <w:rPr>
          <w:rFonts w:ascii="宋体" w:hAnsi="宋体"/>
          <w:b/>
          <w:spacing w:val="-6"/>
          <w:sz w:val="24"/>
          <w:highlight w:val="none"/>
        </w:rPr>
      </w:pPr>
      <w:r>
        <w:rPr>
          <w:rFonts w:hint="eastAsia" w:ascii="宋体" w:hAnsi="宋体"/>
          <w:b/>
          <w:spacing w:val="-6"/>
          <w:sz w:val="24"/>
          <w:highlight w:val="none"/>
        </w:rPr>
        <w:t>（一） 组建评标委员会</w:t>
      </w:r>
    </w:p>
    <w:p>
      <w:pPr>
        <w:pStyle w:val="12"/>
        <w:spacing w:beforeLines="0" w:afterLines="0" w:line="360" w:lineRule="auto"/>
        <w:ind w:firstLine="396" w:firstLineChars="200"/>
        <w:rPr>
          <w:rFonts w:hAnsi="宋体"/>
          <w:spacing w:val="-6"/>
          <w:sz w:val="21"/>
          <w:szCs w:val="21"/>
          <w:highlight w:val="none"/>
        </w:rPr>
      </w:pPr>
      <w:r>
        <w:rPr>
          <w:rFonts w:hAnsi="宋体"/>
          <w:spacing w:val="-6"/>
          <w:sz w:val="21"/>
          <w:szCs w:val="21"/>
          <w:highlight w:val="none"/>
        </w:rPr>
        <w:t>本项目评标委员会</w:t>
      </w:r>
      <w:r>
        <w:rPr>
          <w:rFonts w:hint="eastAsia" w:hAnsi="宋体"/>
          <w:spacing w:val="-6"/>
          <w:sz w:val="21"/>
          <w:szCs w:val="21"/>
          <w:highlight w:val="none"/>
        </w:rPr>
        <w:t>依据相关法律法规组建，成员人数为5人</w:t>
      </w:r>
      <w:r>
        <w:rPr>
          <w:rFonts w:hAnsi="宋体"/>
          <w:spacing w:val="-6"/>
          <w:sz w:val="21"/>
          <w:szCs w:val="21"/>
          <w:highlight w:val="none"/>
        </w:rPr>
        <w:t>。</w:t>
      </w:r>
    </w:p>
    <w:p>
      <w:pPr>
        <w:pStyle w:val="2"/>
        <w:spacing w:line="360" w:lineRule="auto"/>
        <w:ind w:firstLine="0"/>
        <w:rPr>
          <w:rFonts w:hAnsi="宋体"/>
          <w:b/>
          <w:spacing w:val="-6"/>
          <w:sz w:val="24"/>
          <w:szCs w:val="24"/>
          <w:highlight w:val="none"/>
        </w:rPr>
      </w:pPr>
      <w:r>
        <w:rPr>
          <w:rFonts w:hAnsi="宋体"/>
          <w:b/>
          <w:spacing w:val="-6"/>
          <w:sz w:val="24"/>
          <w:szCs w:val="24"/>
          <w:highlight w:val="none"/>
        </w:rPr>
        <w:t>（二</w:t>
      </w:r>
      <w:r>
        <w:rPr>
          <w:rFonts w:hint="eastAsia" w:hAnsi="宋体"/>
          <w:b/>
          <w:spacing w:val="-6"/>
          <w:sz w:val="24"/>
          <w:szCs w:val="24"/>
          <w:highlight w:val="none"/>
        </w:rPr>
        <w:t xml:space="preserve">） </w:t>
      </w:r>
      <w:r>
        <w:rPr>
          <w:rFonts w:hAnsi="宋体"/>
          <w:b/>
          <w:spacing w:val="-6"/>
          <w:sz w:val="24"/>
          <w:szCs w:val="24"/>
          <w:highlight w:val="none"/>
        </w:rPr>
        <w:t>评标的方式</w:t>
      </w:r>
    </w:p>
    <w:p>
      <w:pPr>
        <w:pStyle w:val="2"/>
        <w:spacing w:line="360" w:lineRule="auto"/>
        <w:ind w:firstLine="396" w:firstLineChars="200"/>
        <w:rPr>
          <w:rFonts w:hAnsi="宋体"/>
          <w:spacing w:val="-6"/>
          <w:sz w:val="21"/>
          <w:szCs w:val="21"/>
          <w:highlight w:val="none"/>
        </w:rPr>
      </w:pPr>
      <w:r>
        <w:rPr>
          <w:rFonts w:hAnsi="宋体"/>
          <w:spacing w:val="-6"/>
          <w:sz w:val="21"/>
          <w:szCs w:val="21"/>
          <w:highlight w:val="none"/>
        </w:rPr>
        <w:t>本项目采用不公开方式评标，评标的依据为招标文件和投标文件。</w:t>
      </w:r>
    </w:p>
    <w:p>
      <w:pPr>
        <w:pStyle w:val="2"/>
        <w:spacing w:line="360" w:lineRule="auto"/>
        <w:ind w:firstLine="0"/>
        <w:rPr>
          <w:rFonts w:hAnsi="宋体"/>
          <w:b/>
          <w:spacing w:val="-6"/>
          <w:sz w:val="24"/>
          <w:szCs w:val="24"/>
          <w:highlight w:val="none"/>
        </w:rPr>
      </w:pPr>
      <w:r>
        <w:rPr>
          <w:rFonts w:hAnsi="宋体"/>
          <w:b/>
          <w:spacing w:val="-6"/>
          <w:sz w:val="24"/>
          <w:szCs w:val="24"/>
          <w:highlight w:val="none"/>
        </w:rPr>
        <w:t>（三）评标程序</w:t>
      </w:r>
    </w:p>
    <w:p>
      <w:pPr>
        <w:pStyle w:val="12"/>
        <w:snapToGrid w:val="0"/>
        <w:spacing w:beforeLines="0" w:afterLines="0" w:line="360" w:lineRule="auto"/>
        <w:ind w:firstLine="396" w:firstLineChars="200"/>
        <w:rPr>
          <w:rFonts w:hAnsi="宋体"/>
          <w:spacing w:val="-6"/>
          <w:sz w:val="21"/>
          <w:szCs w:val="21"/>
          <w:highlight w:val="none"/>
        </w:rPr>
      </w:pPr>
      <w:r>
        <w:rPr>
          <w:rFonts w:hAnsi="宋体"/>
          <w:spacing w:val="-6"/>
          <w:sz w:val="21"/>
          <w:szCs w:val="21"/>
          <w:highlight w:val="none"/>
        </w:rPr>
        <w:t>1.形式审查</w:t>
      </w:r>
    </w:p>
    <w:p>
      <w:pPr>
        <w:pStyle w:val="12"/>
        <w:snapToGrid w:val="0"/>
        <w:spacing w:beforeLines="0" w:afterLines="0" w:line="360" w:lineRule="auto"/>
        <w:ind w:firstLine="396" w:firstLineChars="200"/>
        <w:rPr>
          <w:rFonts w:hAnsi="宋体"/>
          <w:spacing w:val="-6"/>
          <w:sz w:val="21"/>
          <w:szCs w:val="21"/>
          <w:highlight w:val="none"/>
        </w:rPr>
      </w:pPr>
      <w:r>
        <w:rPr>
          <w:rFonts w:hint="eastAsia" w:hAnsi="宋体"/>
          <w:spacing w:val="-6"/>
          <w:sz w:val="21"/>
          <w:szCs w:val="21"/>
          <w:highlight w:val="none"/>
        </w:rPr>
        <w:t>招标</w:t>
      </w:r>
      <w:r>
        <w:rPr>
          <w:rFonts w:hAnsi="宋体"/>
          <w:spacing w:val="-6"/>
          <w:sz w:val="21"/>
          <w:szCs w:val="21"/>
          <w:highlight w:val="none"/>
        </w:rPr>
        <w:t>代理机构工作人员协助评标委员会对投标人的资格(投标报名时已进行资格审查的除外)和投标文件的完整性、合法性等进行审查。</w:t>
      </w:r>
    </w:p>
    <w:p>
      <w:pPr>
        <w:pStyle w:val="12"/>
        <w:snapToGrid w:val="0"/>
        <w:spacing w:beforeLines="0" w:afterLines="0" w:line="360" w:lineRule="auto"/>
        <w:ind w:firstLine="396" w:firstLineChars="200"/>
        <w:rPr>
          <w:rFonts w:hAnsi="宋体"/>
          <w:spacing w:val="-6"/>
          <w:sz w:val="21"/>
          <w:szCs w:val="21"/>
          <w:highlight w:val="none"/>
        </w:rPr>
      </w:pPr>
      <w:r>
        <w:rPr>
          <w:rFonts w:hAnsi="宋体"/>
          <w:spacing w:val="-6"/>
          <w:sz w:val="21"/>
          <w:szCs w:val="21"/>
          <w:highlight w:val="none"/>
        </w:rPr>
        <w:t>2.实质审查与比较</w:t>
      </w:r>
    </w:p>
    <w:p>
      <w:pPr>
        <w:pStyle w:val="12"/>
        <w:snapToGrid w:val="0"/>
        <w:spacing w:beforeLines="0" w:afterLines="0" w:line="360" w:lineRule="auto"/>
        <w:ind w:firstLine="396" w:firstLineChars="200"/>
        <w:rPr>
          <w:rFonts w:hAnsi="宋体"/>
          <w:spacing w:val="-6"/>
          <w:sz w:val="21"/>
          <w:szCs w:val="21"/>
          <w:highlight w:val="none"/>
        </w:rPr>
      </w:pPr>
      <w:r>
        <w:rPr>
          <w:rFonts w:hAnsi="宋体"/>
          <w:spacing w:val="-6"/>
          <w:sz w:val="21"/>
          <w:szCs w:val="21"/>
          <w:highlight w:val="none"/>
        </w:rPr>
        <w:t>（1）评标委员会审查投标文件的实质性内容是否符合招标文件的实质性要求。</w:t>
      </w:r>
    </w:p>
    <w:p>
      <w:pPr>
        <w:pStyle w:val="12"/>
        <w:snapToGrid w:val="0"/>
        <w:spacing w:beforeLines="0" w:afterLines="0" w:line="360" w:lineRule="auto"/>
        <w:ind w:firstLine="396" w:firstLineChars="200"/>
        <w:rPr>
          <w:rFonts w:hAnsi="宋体"/>
          <w:spacing w:val="-6"/>
          <w:sz w:val="21"/>
          <w:szCs w:val="21"/>
          <w:highlight w:val="none"/>
        </w:rPr>
      </w:pPr>
      <w:r>
        <w:rPr>
          <w:rFonts w:hAnsi="宋体"/>
          <w:spacing w:val="-6"/>
          <w:sz w:val="21"/>
          <w:szCs w:val="21"/>
          <w:highlight w:val="none"/>
        </w:rPr>
        <w:t>（2）评标委员会将根据投标人的投标文件进行审查、核对</w:t>
      </w:r>
      <w:r>
        <w:rPr>
          <w:rFonts w:hint="eastAsia" w:hAnsi="宋体"/>
          <w:spacing w:val="-6"/>
          <w:sz w:val="21"/>
          <w:szCs w:val="21"/>
          <w:highlight w:val="none"/>
        </w:rPr>
        <w:t>，</w:t>
      </w:r>
      <w:r>
        <w:rPr>
          <w:rFonts w:hAnsi="宋体"/>
          <w:spacing w:val="-6"/>
          <w:sz w:val="21"/>
          <w:szCs w:val="21"/>
          <w:highlight w:val="none"/>
        </w:rPr>
        <w:t>如有疑问</w:t>
      </w:r>
      <w:r>
        <w:rPr>
          <w:rFonts w:hint="eastAsia" w:hAnsi="宋体"/>
          <w:spacing w:val="-6"/>
          <w:sz w:val="21"/>
          <w:szCs w:val="21"/>
          <w:highlight w:val="none"/>
        </w:rPr>
        <w:t>，</w:t>
      </w:r>
      <w:r>
        <w:rPr>
          <w:rFonts w:hAnsi="宋体"/>
          <w:spacing w:val="-6"/>
          <w:sz w:val="21"/>
          <w:szCs w:val="21"/>
          <w:highlight w:val="none"/>
        </w:rPr>
        <w:t>将对投标人进行询标</w:t>
      </w:r>
      <w:r>
        <w:rPr>
          <w:rFonts w:hint="eastAsia" w:hAnsi="宋体"/>
          <w:spacing w:val="-6"/>
          <w:sz w:val="21"/>
          <w:szCs w:val="21"/>
          <w:highlight w:val="none"/>
        </w:rPr>
        <w:t>，</w:t>
      </w:r>
      <w:r>
        <w:rPr>
          <w:rFonts w:hAnsi="宋体"/>
          <w:spacing w:val="-6"/>
          <w:sz w:val="21"/>
          <w:szCs w:val="21"/>
          <w:highlight w:val="none"/>
        </w:rPr>
        <w:t>投标人要向评标委员会澄清有关问题</w:t>
      </w:r>
      <w:r>
        <w:rPr>
          <w:rFonts w:hint="eastAsia" w:hAnsi="宋体"/>
          <w:spacing w:val="-6"/>
          <w:sz w:val="21"/>
          <w:szCs w:val="21"/>
          <w:highlight w:val="none"/>
        </w:rPr>
        <w:t>，</w:t>
      </w:r>
      <w:r>
        <w:rPr>
          <w:rFonts w:hAnsi="宋体"/>
          <w:spacing w:val="-6"/>
          <w:sz w:val="21"/>
          <w:szCs w:val="21"/>
          <w:highlight w:val="none"/>
        </w:rPr>
        <w:t>并最终以书面形式进行答复。投标人代表拒绝澄清或者澄清的内容改变了投标文件的实质性内容的，评标委员会有权对该投标文件作出不利于投标人的评判。</w:t>
      </w:r>
    </w:p>
    <w:p>
      <w:pPr>
        <w:pStyle w:val="12"/>
        <w:snapToGrid w:val="0"/>
        <w:spacing w:beforeLines="0" w:afterLines="0" w:line="360" w:lineRule="auto"/>
        <w:ind w:firstLine="396" w:firstLineChars="200"/>
        <w:rPr>
          <w:rFonts w:hAnsi="宋体"/>
          <w:spacing w:val="-6"/>
          <w:sz w:val="21"/>
          <w:szCs w:val="21"/>
          <w:highlight w:val="none"/>
        </w:rPr>
      </w:pPr>
      <w:r>
        <w:rPr>
          <w:rFonts w:hAnsi="宋体"/>
          <w:spacing w:val="-6"/>
          <w:sz w:val="21"/>
          <w:szCs w:val="21"/>
          <w:highlight w:val="none"/>
        </w:rPr>
        <w:t>（3）评标委员会</w:t>
      </w:r>
      <w:r>
        <w:rPr>
          <w:rFonts w:hint="eastAsia" w:hAnsi="宋体"/>
          <w:spacing w:val="-6"/>
          <w:sz w:val="21"/>
          <w:szCs w:val="21"/>
          <w:highlight w:val="none"/>
        </w:rPr>
        <w:t>采用综合评分法评审打分，</w:t>
      </w:r>
      <w:r>
        <w:rPr>
          <w:rFonts w:hAnsi="宋体"/>
          <w:spacing w:val="-6"/>
          <w:sz w:val="21"/>
          <w:szCs w:val="21"/>
          <w:highlight w:val="none"/>
        </w:rPr>
        <w:t>由指定专人进行计算复核。</w:t>
      </w:r>
    </w:p>
    <w:p>
      <w:pPr>
        <w:pStyle w:val="12"/>
        <w:snapToGrid w:val="0"/>
        <w:spacing w:beforeLines="0" w:afterLines="0" w:line="360" w:lineRule="auto"/>
        <w:ind w:firstLine="396" w:firstLineChars="200"/>
        <w:rPr>
          <w:rFonts w:hAnsi="宋体"/>
          <w:spacing w:val="-6"/>
          <w:sz w:val="21"/>
          <w:szCs w:val="21"/>
          <w:highlight w:val="none"/>
        </w:rPr>
      </w:pPr>
      <w:r>
        <w:rPr>
          <w:rFonts w:hAnsi="宋体"/>
          <w:spacing w:val="-6"/>
          <w:sz w:val="21"/>
          <w:szCs w:val="21"/>
          <w:highlight w:val="none"/>
        </w:rPr>
        <w:t>（4）评分汇总，撰写评标报告。</w:t>
      </w:r>
    </w:p>
    <w:p>
      <w:pPr>
        <w:pStyle w:val="2"/>
        <w:spacing w:line="360" w:lineRule="auto"/>
        <w:ind w:firstLine="0"/>
        <w:rPr>
          <w:rFonts w:hAnsi="宋体"/>
          <w:b/>
          <w:spacing w:val="-6"/>
          <w:sz w:val="24"/>
          <w:szCs w:val="24"/>
          <w:highlight w:val="none"/>
        </w:rPr>
      </w:pPr>
      <w:r>
        <w:rPr>
          <w:rFonts w:hAnsi="宋体"/>
          <w:b/>
          <w:spacing w:val="-6"/>
          <w:sz w:val="24"/>
          <w:szCs w:val="24"/>
          <w:highlight w:val="none"/>
        </w:rPr>
        <w:t>（四）澄清问题的形式</w:t>
      </w:r>
    </w:p>
    <w:p>
      <w:pPr>
        <w:spacing w:line="360" w:lineRule="auto"/>
        <w:ind w:firstLine="396" w:firstLineChars="200"/>
        <w:rPr>
          <w:rFonts w:ascii="宋体" w:hAnsi="宋体"/>
          <w:spacing w:val="-6"/>
          <w:sz w:val="21"/>
          <w:szCs w:val="21"/>
          <w:highlight w:val="none"/>
        </w:rPr>
      </w:pPr>
      <w:r>
        <w:rPr>
          <w:rFonts w:hint="eastAsia" w:ascii="宋体" w:hAnsi="宋体"/>
          <w:spacing w:val="-6"/>
          <w:sz w:val="21"/>
          <w:szCs w:val="21"/>
          <w:highlight w:val="none"/>
        </w:rPr>
        <w:t>对于投标文件中含义不明确、同类问题表述不一致或者有明显文字和计算错误的内容，评标委员会应当以书面形式要求投标人作出必要的澄清、说明或者补正。</w:t>
      </w:r>
    </w:p>
    <w:p>
      <w:pPr>
        <w:spacing w:line="360" w:lineRule="auto"/>
        <w:ind w:firstLine="396" w:firstLineChars="200"/>
        <w:rPr>
          <w:rFonts w:ascii="宋体" w:hAnsi="宋体"/>
          <w:spacing w:val="-6"/>
          <w:sz w:val="21"/>
          <w:szCs w:val="21"/>
          <w:highlight w:val="none"/>
        </w:rPr>
      </w:pPr>
      <w:r>
        <w:rPr>
          <w:rFonts w:hint="eastAsia" w:ascii="宋体" w:hAnsi="宋体"/>
          <w:spacing w:val="-6"/>
          <w:sz w:val="21"/>
          <w:szCs w:val="21"/>
          <w:highlight w:val="none"/>
        </w:rPr>
        <w:t>投标人的澄清、说明或者补正应当采用书面形式，并加盖公章，或者由企业负责人或其授权的代表签字。投标人的澄清、说明或者补正不得超出投标文件的范围或者改变投标文件的实质性内容。</w:t>
      </w:r>
    </w:p>
    <w:p>
      <w:pPr>
        <w:pStyle w:val="2"/>
        <w:spacing w:line="360" w:lineRule="auto"/>
        <w:ind w:firstLine="0"/>
        <w:rPr>
          <w:rFonts w:hAnsi="宋体"/>
          <w:b/>
          <w:spacing w:val="-6"/>
          <w:sz w:val="24"/>
          <w:szCs w:val="24"/>
          <w:highlight w:val="none"/>
        </w:rPr>
      </w:pPr>
      <w:r>
        <w:rPr>
          <w:rFonts w:hAnsi="宋体"/>
          <w:b/>
          <w:spacing w:val="-6"/>
          <w:sz w:val="24"/>
          <w:szCs w:val="24"/>
          <w:highlight w:val="none"/>
        </w:rPr>
        <w:t>（五）错误修正</w:t>
      </w:r>
    </w:p>
    <w:p>
      <w:pPr>
        <w:spacing w:line="360" w:lineRule="auto"/>
        <w:ind w:firstLine="396" w:firstLineChars="200"/>
        <w:rPr>
          <w:rFonts w:ascii="宋体" w:hAnsi="宋体"/>
          <w:spacing w:val="-6"/>
          <w:sz w:val="21"/>
          <w:szCs w:val="21"/>
          <w:highlight w:val="none"/>
        </w:rPr>
      </w:pPr>
      <w:r>
        <w:rPr>
          <w:rFonts w:hint="eastAsia" w:ascii="宋体" w:hAnsi="宋体"/>
          <w:spacing w:val="-6"/>
          <w:sz w:val="21"/>
          <w:szCs w:val="21"/>
          <w:highlight w:val="none"/>
        </w:rPr>
        <w:t>投标文件如果出现计算上的错误，修正错误的原则如下：</w:t>
      </w:r>
    </w:p>
    <w:p>
      <w:pPr>
        <w:spacing w:line="360" w:lineRule="auto"/>
        <w:ind w:firstLine="396" w:firstLineChars="200"/>
        <w:rPr>
          <w:rFonts w:ascii="宋体" w:hAnsi="宋体"/>
          <w:spacing w:val="-6"/>
          <w:sz w:val="21"/>
          <w:szCs w:val="21"/>
          <w:highlight w:val="none"/>
        </w:rPr>
      </w:pPr>
      <w:r>
        <w:rPr>
          <w:rFonts w:hint="eastAsia" w:ascii="宋体" w:hAnsi="宋体"/>
          <w:spacing w:val="-6"/>
          <w:sz w:val="21"/>
          <w:szCs w:val="21"/>
          <w:highlight w:val="none"/>
        </w:rPr>
        <w:t>1</w:t>
      </w:r>
      <w:r>
        <w:rPr>
          <w:rFonts w:ascii="宋体" w:hAnsi="宋体"/>
          <w:spacing w:val="-6"/>
          <w:sz w:val="21"/>
          <w:szCs w:val="21"/>
          <w:highlight w:val="none"/>
        </w:rPr>
        <w:t>.</w:t>
      </w:r>
      <w:r>
        <w:rPr>
          <w:rFonts w:hint="eastAsia" w:ascii="宋体" w:hAnsi="宋体"/>
          <w:spacing w:val="-6"/>
          <w:sz w:val="21"/>
          <w:szCs w:val="21"/>
          <w:highlight w:val="none"/>
        </w:rPr>
        <w:t>两份开标一览表投标总价不一致的，以唱标的开标一览表为准；</w:t>
      </w:r>
    </w:p>
    <w:p>
      <w:pPr>
        <w:spacing w:line="360" w:lineRule="auto"/>
        <w:ind w:firstLine="396" w:firstLineChars="200"/>
        <w:rPr>
          <w:rFonts w:ascii="宋体" w:hAnsi="宋体"/>
          <w:spacing w:val="-6"/>
          <w:sz w:val="21"/>
          <w:szCs w:val="21"/>
          <w:highlight w:val="none"/>
        </w:rPr>
      </w:pPr>
      <w:r>
        <w:rPr>
          <w:rFonts w:hint="eastAsia" w:ascii="宋体" w:hAnsi="宋体"/>
          <w:spacing w:val="-6"/>
          <w:sz w:val="21"/>
          <w:szCs w:val="21"/>
          <w:highlight w:val="none"/>
        </w:rPr>
        <w:t>2</w:t>
      </w:r>
      <w:r>
        <w:rPr>
          <w:rFonts w:ascii="宋体" w:hAnsi="宋体"/>
          <w:spacing w:val="-6"/>
          <w:sz w:val="21"/>
          <w:szCs w:val="21"/>
          <w:highlight w:val="none"/>
        </w:rPr>
        <w:t>.</w:t>
      </w:r>
      <w:r>
        <w:rPr>
          <w:rFonts w:hint="eastAsia" w:ascii="宋体" w:hAnsi="宋体"/>
          <w:spacing w:val="-6"/>
          <w:sz w:val="21"/>
          <w:szCs w:val="21"/>
          <w:highlight w:val="none"/>
        </w:rPr>
        <w:t>投标文件的大写金额和小写金额不一致的，以大写金额为准；</w:t>
      </w:r>
    </w:p>
    <w:p>
      <w:pPr>
        <w:spacing w:line="360" w:lineRule="auto"/>
        <w:ind w:firstLine="396" w:firstLineChars="200"/>
        <w:rPr>
          <w:rFonts w:ascii="宋体" w:hAnsi="宋体"/>
          <w:spacing w:val="-6"/>
          <w:sz w:val="21"/>
          <w:szCs w:val="21"/>
          <w:highlight w:val="none"/>
        </w:rPr>
      </w:pPr>
      <w:r>
        <w:rPr>
          <w:rFonts w:hint="eastAsia" w:ascii="宋体" w:hAnsi="宋体"/>
          <w:spacing w:val="-6"/>
          <w:sz w:val="21"/>
          <w:szCs w:val="21"/>
          <w:highlight w:val="none"/>
        </w:rPr>
        <w:t>3</w:t>
      </w:r>
      <w:r>
        <w:rPr>
          <w:rFonts w:ascii="宋体" w:hAnsi="宋体"/>
          <w:spacing w:val="-6"/>
          <w:sz w:val="21"/>
          <w:szCs w:val="21"/>
          <w:highlight w:val="none"/>
        </w:rPr>
        <w:t>.</w:t>
      </w:r>
      <w:r>
        <w:rPr>
          <w:rFonts w:hint="eastAsia" w:ascii="宋体" w:hAnsi="宋体"/>
          <w:spacing w:val="-6"/>
          <w:sz w:val="21"/>
          <w:szCs w:val="21"/>
          <w:highlight w:val="none"/>
        </w:rPr>
        <w:t>单价金额小数点有明显错位的，应以总价为准，并修改单价；</w:t>
      </w:r>
    </w:p>
    <w:p>
      <w:pPr>
        <w:spacing w:line="360" w:lineRule="auto"/>
        <w:ind w:firstLine="396" w:firstLineChars="200"/>
        <w:rPr>
          <w:rFonts w:ascii="宋体" w:hAnsi="宋体"/>
          <w:spacing w:val="-6"/>
          <w:sz w:val="21"/>
          <w:szCs w:val="21"/>
          <w:highlight w:val="none"/>
        </w:rPr>
      </w:pPr>
      <w:r>
        <w:rPr>
          <w:rFonts w:hint="eastAsia" w:ascii="宋体" w:hAnsi="宋体"/>
          <w:spacing w:val="-6"/>
          <w:sz w:val="21"/>
          <w:szCs w:val="21"/>
          <w:highlight w:val="none"/>
        </w:rPr>
        <w:t>4</w:t>
      </w:r>
      <w:r>
        <w:rPr>
          <w:rFonts w:ascii="宋体" w:hAnsi="宋体"/>
          <w:spacing w:val="-6"/>
          <w:sz w:val="21"/>
          <w:szCs w:val="21"/>
          <w:highlight w:val="none"/>
        </w:rPr>
        <w:t>.</w:t>
      </w:r>
      <w:r>
        <w:rPr>
          <w:rFonts w:hint="eastAsia" w:ascii="宋体" w:hAnsi="宋体"/>
          <w:spacing w:val="-6"/>
          <w:sz w:val="21"/>
          <w:szCs w:val="21"/>
          <w:highlight w:val="none"/>
        </w:rPr>
        <w:t>对不同文字文本投标文件的解释发生异议的，以中文文本为准。</w:t>
      </w:r>
    </w:p>
    <w:p>
      <w:pPr>
        <w:spacing w:line="360" w:lineRule="auto"/>
        <w:ind w:firstLine="396" w:firstLineChars="200"/>
        <w:rPr>
          <w:rFonts w:ascii="宋体" w:hAnsi="宋体"/>
          <w:spacing w:val="-6"/>
          <w:sz w:val="21"/>
          <w:szCs w:val="21"/>
          <w:highlight w:val="none"/>
        </w:rPr>
      </w:pPr>
      <w:r>
        <w:rPr>
          <w:rFonts w:hint="eastAsia" w:ascii="宋体" w:hAnsi="宋体"/>
          <w:spacing w:val="-6"/>
          <w:sz w:val="21"/>
          <w:szCs w:val="21"/>
          <w:highlight w:val="none"/>
        </w:rPr>
        <w:t>按上述修正错误的原则及方法调整或修正投标文件的投标报价，投标人同意并签字确认后，调整后的投标报价对投标人具有约束作用。如果投标人不接受修正后的报价，则其投标将被拒绝。</w:t>
      </w:r>
    </w:p>
    <w:p>
      <w:pPr>
        <w:pStyle w:val="2"/>
        <w:spacing w:line="360" w:lineRule="auto"/>
        <w:ind w:firstLine="0"/>
        <w:rPr>
          <w:rFonts w:hAnsi="宋体"/>
          <w:b/>
          <w:spacing w:val="-6"/>
          <w:sz w:val="24"/>
          <w:szCs w:val="24"/>
          <w:highlight w:val="none"/>
        </w:rPr>
      </w:pPr>
      <w:r>
        <w:rPr>
          <w:rFonts w:hAnsi="宋体"/>
          <w:b/>
          <w:spacing w:val="-6"/>
          <w:sz w:val="24"/>
          <w:szCs w:val="24"/>
          <w:highlight w:val="none"/>
        </w:rPr>
        <w:t>（</w:t>
      </w:r>
      <w:r>
        <w:rPr>
          <w:rFonts w:hint="eastAsia" w:hAnsi="宋体"/>
          <w:b/>
          <w:spacing w:val="-6"/>
          <w:sz w:val="24"/>
          <w:szCs w:val="24"/>
          <w:highlight w:val="none"/>
        </w:rPr>
        <w:t>六</w:t>
      </w:r>
      <w:r>
        <w:rPr>
          <w:rFonts w:hAnsi="宋体"/>
          <w:b/>
          <w:spacing w:val="-6"/>
          <w:sz w:val="24"/>
          <w:szCs w:val="24"/>
          <w:highlight w:val="none"/>
        </w:rPr>
        <w:t>）评标原则和评标办法</w:t>
      </w:r>
    </w:p>
    <w:p>
      <w:pPr>
        <w:spacing w:line="360" w:lineRule="auto"/>
        <w:ind w:firstLine="396" w:firstLineChars="200"/>
        <w:rPr>
          <w:rFonts w:ascii="宋体" w:hAnsi="宋体"/>
          <w:spacing w:val="-6"/>
          <w:sz w:val="21"/>
          <w:szCs w:val="21"/>
          <w:highlight w:val="none"/>
        </w:rPr>
      </w:pPr>
      <w:r>
        <w:rPr>
          <w:rFonts w:hint="eastAsia" w:ascii="宋体" w:hAnsi="宋体"/>
          <w:spacing w:val="-6"/>
          <w:sz w:val="21"/>
          <w:szCs w:val="21"/>
          <w:highlight w:val="none"/>
        </w:rPr>
        <w:t>1</w:t>
      </w:r>
      <w:r>
        <w:rPr>
          <w:rFonts w:ascii="宋体" w:hAnsi="宋体"/>
          <w:spacing w:val="-6"/>
          <w:sz w:val="21"/>
          <w:szCs w:val="21"/>
          <w:highlight w:val="none"/>
        </w:rPr>
        <w:t>.</w:t>
      </w:r>
      <w:r>
        <w:rPr>
          <w:rFonts w:hint="eastAsia" w:ascii="宋体" w:hAnsi="宋体"/>
          <w:spacing w:val="-6"/>
          <w:sz w:val="21"/>
          <w:szCs w:val="21"/>
          <w:highlight w:val="none"/>
        </w:rPr>
        <w:t>评标委员会成员应当按照客观、公正、审慎的原则，根据招标文件规定的评标程序、评标方法和评标标准进行独立评审。招标文件内容违反国家有关强制性规定的，评标委员会应当停止评标并向招标人或者招标代理机构说明情况。</w:t>
      </w:r>
    </w:p>
    <w:p>
      <w:pPr>
        <w:spacing w:line="360" w:lineRule="auto"/>
        <w:ind w:firstLine="396" w:firstLineChars="200"/>
        <w:rPr>
          <w:rFonts w:ascii="宋体" w:hAnsi="宋体"/>
          <w:spacing w:val="-6"/>
          <w:sz w:val="21"/>
          <w:szCs w:val="21"/>
          <w:highlight w:val="none"/>
        </w:rPr>
      </w:pPr>
      <w:r>
        <w:rPr>
          <w:rFonts w:hint="eastAsia" w:ascii="宋体" w:hAnsi="宋体"/>
          <w:spacing w:val="-6"/>
          <w:sz w:val="21"/>
          <w:szCs w:val="21"/>
          <w:highlight w:val="none"/>
        </w:rPr>
        <w:t>2</w:t>
      </w:r>
      <w:r>
        <w:rPr>
          <w:rFonts w:ascii="宋体" w:hAnsi="宋体"/>
          <w:spacing w:val="-6"/>
          <w:sz w:val="21"/>
          <w:szCs w:val="21"/>
          <w:highlight w:val="none"/>
        </w:rPr>
        <w:t>.</w:t>
      </w:r>
      <w:r>
        <w:rPr>
          <w:rFonts w:hint="eastAsia" w:ascii="宋体" w:hAnsi="宋体"/>
          <w:spacing w:val="-6"/>
          <w:sz w:val="21"/>
          <w:szCs w:val="21"/>
          <w:highlight w:val="none"/>
        </w:rPr>
        <w:t>评标中因评标委员会成员缺席、回避或者健康等特殊原因导致评标委员会组成不符合规定的，依法补足后继续评标。被更换的评标委员会成员所作出的评标意见无效。</w:t>
      </w:r>
    </w:p>
    <w:p>
      <w:pPr>
        <w:spacing w:line="360" w:lineRule="auto"/>
        <w:ind w:firstLine="396" w:firstLineChars="200"/>
        <w:rPr>
          <w:rFonts w:ascii="宋体" w:hAnsi="宋体"/>
          <w:spacing w:val="-6"/>
          <w:sz w:val="21"/>
          <w:szCs w:val="21"/>
          <w:highlight w:val="none"/>
        </w:rPr>
      </w:pPr>
      <w:r>
        <w:rPr>
          <w:rFonts w:ascii="宋体" w:hAnsi="宋体"/>
          <w:spacing w:val="-6"/>
          <w:sz w:val="21"/>
          <w:szCs w:val="21"/>
          <w:highlight w:val="none"/>
        </w:rPr>
        <w:t>3.</w:t>
      </w:r>
      <w:r>
        <w:rPr>
          <w:rFonts w:hint="eastAsia" w:ascii="宋体" w:hAnsi="宋体"/>
          <w:spacing w:val="-6"/>
          <w:sz w:val="21"/>
          <w:szCs w:val="21"/>
          <w:highlight w:val="none"/>
        </w:rPr>
        <w:t>评标委员会成员对需要共同认定的事项存在争议的，应当按照少数服从多数的原则作出结论。持不同意见的评标委员会成员应当在评标报告上签署不同意见及理由，否则视为同意评标报告。</w:t>
      </w:r>
    </w:p>
    <w:p>
      <w:pPr>
        <w:spacing w:line="360" w:lineRule="auto"/>
        <w:ind w:firstLine="396" w:firstLineChars="200"/>
        <w:rPr>
          <w:rFonts w:ascii="宋体" w:hAnsi="宋体"/>
          <w:spacing w:val="-6"/>
          <w:sz w:val="21"/>
          <w:szCs w:val="21"/>
          <w:highlight w:val="none"/>
        </w:rPr>
      </w:pPr>
      <w:r>
        <w:rPr>
          <w:rFonts w:hint="eastAsia" w:ascii="宋体" w:hAnsi="宋体"/>
          <w:spacing w:val="-6"/>
          <w:sz w:val="21"/>
          <w:szCs w:val="21"/>
          <w:highlight w:val="none"/>
        </w:rPr>
        <w:t>4.评标办法。本项目评标办法是综合评分法，具体评标内容及评分标准等详见《第四章：评标办法及评分标准》。</w:t>
      </w:r>
    </w:p>
    <w:p>
      <w:pPr>
        <w:spacing w:line="360" w:lineRule="auto"/>
        <w:rPr>
          <w:rFonts w:ascii="宋体" w:hAnsi="宋体"/>
          <w:b/>
          <w:spacing w:val="-6"/>
          <w:sz w:val="24"/>
          <w:highlight w:val="none"/>
        </w:rPr>
      </w:pPr>
      <w:r>
        <w:rPr>
          <w:rFonts w:hint="eastAsia" w:ascii="宋体" w:hAnsi="宋体"/>
          <w:b/>
          <w:spacing w:val="-6"/>
          <w:sz w:val="24"/>
          <w:highlight w:val="none"/>
        </w:rPr>
        <w:t>（七） 定 标</w:t>
      </w:r>
    </w:p>
    <w:p>
      <w:pPr>
        <w:spacing w:line="360" w:lineRule="auto"/>
        <w:ind w:firstLine="396" w:firstLineChars="200"/>
        <w:rPr>
          <w:rFonts w:ascii="宋体" w:hAnsi="宋体"/>
          <w:spacing w:val="-6"/>
          <w:sz w:val="21"/>
          <w:szCs w:val="21"/>
          <w:highlight w:val="none"/>
        </w:rPr>
      </w:pPr>
      <w:r>
        <w:rPr>
          <w:rFonts w:hint="eastAsia" w:ascii="宋体" w:hAnsi="宋体"/>
          <w:spacing w:val="-6"/>
          <w:sz w:val="21"/>
          <w:szCs w:val="21"/>
          <w:highlight w:val="none"/>
        </w:rPr>
        <w:t>1.招标代理机构自评审结束之日起2个工作日内将评审报告送交招标人。招标人收到评审报告之日起</w:t>
      </w:r>
      <w:r>
        <w:rPr>
          <w:rFonts w:ascii="宋体" w:hAnsi="宋体"/>
          <w:spacing w:val="-6"/>
          <w:sz w:val="21"/>
          <w:szCs w:val="21"/>
          <w:highlight w:val="none"/>
        </w:rPr>
        <w:t>5</w:t>
      </w:r>
      <w:r>
        <w:rPr>
          <w:rFonts w:hint="eastAsia" w:ascii="宋体" w:hAnsi="宋体"/>
          <w:spacing w:val="-6"/>
          <w:sz w:val="21"/>
          <w:szCs w:val="21"/>
          <w:highlight w:val="none"/>
        </w:rPr>
        <w:t>个工作日内在评审报告推荐的中标候选人中按顺序确定中标人，招标人将根据评选委员会提交的评审报告及推荐的中标候选人，确定第一、二</w:t>
      </w:r>
      <w:r>
        <w:rPr>
          <w:rFonts w:hint="eastAsia" w:ascii="宋体" w:hAnsi="宋体"/>
          <w:spacing w:val="-6"/>
          <w:sz w:val="21"/>
          <w:szCs w:val="21"/>
          <w:highlight w:val="none"/>
          <w:lang w:eastAsia="zh-CN"/>
        </w:rPr>
        <w:t>、</w:t>
      </w:r>
      <w:r>
        <w:rPr>
          <w:rFonts w:hint="eastAsia" w:ascii="宋体" w:hAnsi="宋体"/>
          <w:spacing w:val="-6"/>
          <w:sz w:val="21"/>
          <w:szCs w:val="21"/>
          <w:highlight w:val="none"/>
          <w:lang w:val="en-US" w:eastAsia="zh-CN"/>
        </w:rPr>
        <w:t>三、四、五</w:t>
      </w:r>
      <w:r>
        <w:rPr>
          <w:rFonts w:hint="eastAsia" w:ascii="宋体" w:hAnsi="宋体"/>
          <w:spacing w:val="-6"/>
          <w:sz w:val="21"/>
          <w:szCs w:val="21"/>
          <w:highlight w:val="none"/>
        </w:rPr>
        <w:t>为中标人。</w:t>
      </w:r>
    </w:p>
    <w:p>
      <w:pPr>
        <w:spacing w:line="360" w:lineRule="auto"/>
        <w:ind w:firstLine="396" w:firstLineChars="200"/>
        <w:rPr>
          <w:rFonts w:ascii="宋体" w:hAnsi="宋体"/>
          <w:spacing w:val="-6"/>
          <w:sz w:val="21"/>
          <w:szCs w:val="21"/>
          <w:highlight w:val="none"/>
        </w:rPr>
      </w:pPr>
      <w:r>
        <w:rPr>
          <w:rFonts w:hint="eastAsia" w:ascii="宋体" w:hAnsi="宋体"/>
          <w:spacing w:val="-6"/>
          <w:sz w:val="21"/>
          <w:szCs w:val="21"/>
          <w:highlight w:val="none"/>
        </w:rPr>
        <w:t>2.招标代理机构自中标人确定之日起</w:t>
      </w:r>
      <w:r>
        <w:rPr>
          <w:rFonts w:ascii="宋体" w:hAnsi="宋体"/>
          <w:spacing w:val="-6"/>
          <w:sz w:val="21"/>
          <w:szCs w:val="21"/>
          <w:highlight w:val="none"/>
        </w:rPr>
        <w:t>2</w:t>
      </w:r>
      <w:r>
        <w:rPr>
          <w:rFonts w:hint="eastAsia" w:ascii="宋体" w:hAnsi="宋体"/>
          <w:spacing w:val="-6"/>
          <w:sz w:val="21"/>
          <w:szCs w:val="21"/>
          <w:highlight w:val="none"/>
        </w:rPr>
        <w:t>个工作日内，发出中标通知书，并在浙江政府采购网</w:t>
      </w:r>
      <w:r>
        <w:rPr>
          <w:rFonts w:hint="eastAsia" w:ascii="宋体" w:hAnsi="宋体"/>
          <w:sz w:val="21"/>
          <w:szCs w:val="21"/>
          <w:highlight w:val="none"/>
        </w:rPr>
        <w:t>（</w:t>
      </w:r>
      <w:r>
        <w:rPr>
          <w:highlight w:val="none"/>
        </w:rPr>
        <w:fldChar w:fldCharType="begin"/>
      </w:r>
      <w:r>
        <w:rPr>
          <w:highlight w:val="none"/>
        </w:rPr>
        <w:instrText xml:space="preserve"> HYPERLINK "http://www.zjzfcg.gov.cn/" </w:instrText>
      </w:r>
      <w:r>
        <w:rPr>
          <w:highlight w:val="none"/>
        </w:rPr>
        <w:fldChar w:fldCharType="separate"/>
      </w:r>
      <w:r>
        <w:rPr>
          <w:rFonts w:hint="eastAsia" w:ascii="宋体" w:hAnsi="宋体"/>
          <w:sz w:val="21"/>
          <w:szCs w:val="21"/>
          <w:highlight w:val="none"/>
        </w:rPr>
        <w:t>http://www.zjzfcg.gov.cn</w:t>
      </w:r>
      <w:r>
        <w:rPr>
          <w:rFonts w:hint="eastAsia" w:ascii="宋体" w:hAnsi="宋体"/>
          <w:sz w:val="21"/>
          <w:szCs w:val="21"/>
          <w:highlight w:val="none"/>
        </w:rPr>
        <w:fldChar w:fldCharType="end"/>
      </w:r>
      <w:r>
        <w:rPr>
          <w:rFonts w:hint="eastAsia" w:ascii="宋体" w:hAnsi="宋体"/>
          <w:sz w:val="21"/>
          <w:szCs w:val="21"/>
          <w:highlight w:val="none"/>
        </w:rPr>
        <w:t>）等相关网站或媒体</w:t>
      </w:r>
      <w:r>
        <w:rPr>
          <w:rFonts w:hint="eastAsia" w:ascii="宋体" w:hAnsi="宋体"/>
          <w:spacing w:val="-6"/>
          <w:sz w:val="21"/>
          <w:szCs w:val="21"/>
          <w:highlight w:val="none"/>
        </w:rPr>
        <w:t>上公告中标结果。</w:t>
      </w:r>
    </w:p>
    <w:p>
      <w:pPr>
        <w:spacing w:line="360" w:lineRule="auto"/>
        <w:rPr>
          <w:rFonts w:ascii="宋体" w:hAnsi="宋体"/>
          <w:spacing w:val="-6"/>
          <w:sz w:val="24"/>
          <w:highlight w:val="none"/>
        </w:rPr>
      </w:pPr>
      <w:r>
        <w:rPr>
          <w:rFonts w:hint="eastAsia" w:ascii="宋体" w:hAnsi="宋体"/>
          <w:b/>
          <w:bCs/>
          <w:spacing w:val="-6"/>
          <w:sz w:val="24"/>
          <w:highlight w:val="none"/>
        </w:rPr>
        <w:t>（八） 合同授予</w:t>
      </w:r>
    </w:p>
    <w:p>
      <w:pPr>
        <w:spacing w:line="360" w:lineRule="auto"/>
        <w:ind w:firstLine="396" w:firstLineChars="200"/>
        <w:rPr>
          <w:rFonts w:ascii="宋体" w:hAnsi="宋体"/>
          <w:spacing w:val="-6"/>
          <w:sz w:val="21"/>
          <w:szCs w:val="21"/>
          <w:highlight w:val="none"/>
        </w:rPr>
      </w:pPr>
      <w:r>
        <w:rPr>
          <w:rFonts w:hint="eastAsia" w:ascii="宋体" w:hAnsi="宋体"/>
          <w:spacing w:val="-6"/>
          <w:sz w:val="21"/>
          <w:szCs w:val="21"/>
          <w:highlight w:val="none"/>
        </w:rPr>
        <w:t>1</w:t>
      </w:r>
      <w:r>
        <w:rPr>
          <w:rFonts w:ascii="宋体" w:hAnsi="宋体"/>
          <w:spacing w:val="-6"/>
          <w:sz w:val="21"/>
          <w:szCs w:val="21"/>
          <w:highlight w:val="none"/>
        </w:rPr>
        <w:t>.</w:t>
      </w:r>
      <w:r>
        <w:rPr>
          <w:rFonts w:hint="eastAsia" w:ascii="宋体" w:hAnsi="宋体"/>
          <w:spacing w:val="-6"/>
          <w:sz w:val="21"/>
          <w:szCs w:val="21"/>
          <w:highlight w:val="none"/>
        </w:rPr>
        <w:t>招标人应当自中标通知书发出之日起30日内，按照招标文件和中标人投标文件的规定，与中标人签订书面合同。所签订的合同不得对招标文件确定的事项和中标人投标文件作实质性修改。招标人不得向中标人提出任何不合理的要求作为签订合同的条件。</w:t>
      </w:r>
    </w:p>
    <w:p>
      <w:pPr>
        <w:spacing w:line="360" w:lineRule="auto"/>
        <w:ind w:firstLine="398" w:firstLineChars="200"/>
        <w:jc w:val="center"/>
        <w:outlineLvl w:val="1"/>
        <w:rPr>
          <w:rFonts w:ascii="宋体" w:hAnsi="宋体"/>
          <w:sz w:val="24"/>
          <w:highlight w:val="none"/>
        </w:rPr>
      </w:pPr>
      <w:r>
        <w:rPr>
          <w:rFonts w:ascii="宋体" w:hAnsi="宋体"/>
          <w:b/>
          <w:bCs/>
          <w:spacing w:val="-6"/>
          <w:sz w:val="21"/>
          <w:szCs w:val="21"/>
          <w:highlight w:val="none"/>
        </w:rPr>
        <w:br w:type="page"/>
      </w:r>
      <w:r>
        <w:rPr>
          <w:rFonts w:hint="eastAsia" w:ascii="宋体" w:hAnsi="宋体"/>
          <w:b/>
          <w:spacing w:val="-6"/>
          <w:sz w:val="32"/>
          <w:szCs w:val="32"/>
          <w:highlight w:val="none"/>
        </w:rPr>
        <w:t>六、可中止电子交易活动的情形</w:t>
      </w:r>
    </w:p>
    <w:p>
      <w:pPr>
        <w:spacing w:line="360" w:lineRule="auto"/>
        <w:ind w:firstLine="396" w:firstLineChars="200"/>
        <w:rPr>
          <w:rFonts w:ascii="宋体" w:hAnsi="宋体"/>
          <w:spacing w:val="-6"/>
          <w:sz w:val="21"/>
          <w:szCs w:val="21"/>
          <w:highlight w:val="none"/>
        </w:rPr>
      </w:pPr>
      <w:r>
        <w:rPr>
          <w:rFonts w:hint="eastAsia" w:ascii="宋体" w:hAnsi="宋体"/>
          <w:spacing w:val="-6"/>
          <w:sz w:val="21"/>
          <w:szCs w:val="21"/>
          <w:highlight w:val="none"/>
        </w:rPr>
        <w:t>采购过程中出现以下情形，导致电子交易平台无法正常运行，或者无法保证电子交易的公平、公正和安全时，采购代理机构可中止电子交易活动：</w:t>
      </w:r>
    </w:p>
    <w:p>
      <w:pPr>
        <w:spacing w:line="360" w:lineRule="auto"/>
        <w:ind w:firstLine="396" w:firstLineChars="200"/>
        <w:rPr>
          <w:rFonts w:ascii="宋体" w:hAnsi="宋体"/>
          <w:spacing w:val="-6"/>
          <w:sz w:val="21"/>
          <w:szCs w:val="21"/>
          <w:highlight w:val="none"/>
        </w:rPr>
      </w:pPr>
      <w:r>
        <w:rPr>
          <w:rFonts w:hint="eastAsia" w:ascii="宋体" w:hAnsi="宋体"/>
          <w:spacing w:val="-6"/>
          <w:sz w:val="21"/>
          <w:szCs w:val="21"/>
          <w:highlight w:val="none"/>
        </w:rPr>
        <w:t>1.电子交易平台发生故障而无法登录访问的；</w:t>
      </w:r>
    </w:p>
    <w:p>
      <w:pPr>
        <w:spacing w:line="360" w:lineRule="auto"/>
        <w:ind w:firstLine="396" w:firstLineChars="200"/>
        <w:rPr>
          <w:rFonts w:ascii="宋体" w:hAnsi="宋体"/>
          <w:spacing w:val="-6"/>
          <w:sz w:val="21"/>
          <w:szCs w:val="21"/>
          <w:highlight w:val="none"/>
        </w:rPr>
      </w:pPr>
      <w:r>
        <w:rPr>
          <w:rFonts w:hint="eastAsia" w:ascii="宋体" w:hAnsi="宋体"/>
          <w:spacing w:val="-6"/>
          <w:sz w:val="21"/>
          <w:szCs w:val="21"/>
          <w:highlight w:val="none"/>
        </w:rPr>
        <w:t>2.电子交易平台应用或数据库出现错误，不能进行正常操作的；</w:t>
      </w:r>
    </w:p>
    <w:p>
      <w:pPr>
        <w:spacing w:line="360" w:lineRule="auto"/>
        <w:ind w:firstLine="396" w:firstLineChars="200"/>
        <w:rPr>
          <w:rFonts w:ascii="宋体" w:hAnsi="宋体"/>
          <w:spacing w:val="-6"/>
          <w:sz w:val="21"/>
          <w:szCs w:val="21"/>
          <w:highlight w:val="none"/>
        </w:rPr>
      </w:pPr>
      <w:r>
        <w:rPr>
          <w:rFonts w:hint="eastAsia" w:ascii="宋体" w:hAnsi="宋体"/>
          <w:spacing w:val="-6"/>
          <w:sz w:val="21"/>
          <w:szCs w:val="21"/>
          <w:highlight w:val="none"/>
        </w:rPr>
        <w:t>3.电子交易平台发现严重安全漏洞，有潜在泄密危险的；</w:t>
      </w:r>
    </w:p>
    <w:p>
      <w:pPr>
        <w:spacing w:line="360" w:lineRule="auto"/>
        <w:ind w:firstLine="396" w:firstLineChars="200"/>
        <w:rPr>
          <w:rFonts w:ascii="宋体" w:hAnsi="宋体"/>
          <w:spacing w:val="-6"/>
          <w:sz w:val="21"/>
          <w:szCs w:val="21"/>
          <w:highlight w:val="none"/>
        </w:rPr>
      </w:pPr>
      <w:r>
        <w:rPr>
          <w:rFonts w:hint="eastAsia" w:ascii="宋体" w:hAnsi="宋体"/>
          <w:spacing w:val="-6"/>
          <w:sz w:val="21"/>
          <w:szCs w:val="21"/>
          <w:highlight w:val="none"/>
        </w:rPr>
        <w:t>4.病毒发作导致不能进行正常操作的；</w:t>
      </w:r>
    </w:p>
    <w:p>
      <w:pPr>
        <w:spacing w:line="360" w:lineRule="auto"/>
        <w:ind w:firstLine="396" w:firstLineChars="200"/>
        <w:rPr>
          <w:rFonts w:ascii="宋体" w:hAnsi="宋体"/>
          <w:spacing w:val="-6"/>
          <w:sz w:val="21"/>
          <w:szCs w:val="21"/>
          <w:highlight w:val="none"/>
        </w:rPr>
      </w:pPr>
      <w:r>
        <w:rPr>
          <w:rFonts w:hint="eastAsia" w:ascii="宋体" w:hAnsi="宋体"/>
          <w:spacing w:val="-6"/>
          <w:sz w:val="21"/>
          <w:szCs w:val="21"/>
          <w:highlight w:val="none"/>
        </w:rPr>
        <w:t>5.其他无法保证电子交易的公平、公正和安全的情况。</w:t>
      </w:r>
    </w:p>
    <w:p>
      <w:pPr>
        <w:spacing w:line="360" w:lineRule="auto"/>
        <w:ind w:firstLine="396" w:firstLineChars="200"/>
        <w:rPr>
          <w:rFonts w:ascii="宋体" w:hAnsi="宋体"/>
          <w:spacing w:val="-6"/>
          <w:sz w:val="21"/>
          <w:szCs w:val="21"/>
          <w:highlight w:val="none"/>
        </w:rPr>
      </w:pPr>
      <w:r>
        <w:rPr>
          <w:rFonts w:hint="eastAsia" w:ascii="宋体" w:hAnsi="宋体"/>
          <w:spacing w:val="-6"/>
          <w:sz w:val="21"/>
          <w:szCs w:val="21"/>
          <w:highlight w:val="none"/>
        </w:rPr>
        <w:t>出现前款规定情形，不影响采购公平、公正性的，采购代理机构可以待上述情形消除后继续组织电子交易活动；影响或可能影响采购公平、公正性的，应当重新采购。</w:t>
      </w:r>
    </w:p>
    <w:p>
      <w:pPr>
        <w:spacing w:line="360" w:lineRule="auto"/>
        <w:rPr>
          <w:rFonts w:ascii="宋体" w:hAnsi="宋体"/>
          <w:spacing w:val="-6"/>
          <w:sz w:val="21"/>
          <w:szCs w:val="21"/>
          <w:highlight w:val="none"/>
        </w:rPr>
      </w:pPr>
      <w:r>
        <w:rPr>
          <w:rFonts w:hint="eastAsia" w:ascii="宋体" w:hAnsi="宋体"/>
          <w:spacing w:val="-6"/>
          <w:sz w:val="21"/>
          <w:szCs w:val="21"/>
          <w:highlight w:val="none"/>
        </w:rPr>
        <w:br w:type="page"/>
      </w:r>
    </w:p>
    <w:p>
      <w:pPr>
        <w:spacing w:line="360" w:lineRule="auto"/>
        <w:jc w:val="center"/>
        <w:outlineLvl w:val="0"/>
        <w:rPr>
          <w:rFonts w:ascii="宋体" w:hAnsi="宋体"/>
          <w:b/>
          <w:spacing w:val="-6"/>
          <w:sz w:val="21"/>
          <w:szCs w:val="21"/>
          <w:highlight w:val="none"/>
        </w:rPr>
      </w:pPr>
      <w:r>
        <w:rPr>
          <w:rFonts w:hint="eastAsia" w:ascii="宋体" w:hAnsi="宋体"/>
          <w:b/>
          <w:sz w:val="32"/>
          <w:szCs w:val="32"/>
          <w:highlight w:val="none"/>
        </w:rPr>
        <w:t>第四章  评标办法及评分标准</w:t>
      </w:r>
    </w:p>
    <w:p>
      <w:pPr>
        <w:numPr>
          <w:ilvl w:val="0"/>
          <w:numId w:val="3"/>
        </w:numPr>
        <w:spacing w:line="360" w:lineRule="auto"/>
        <w:rPr>
          <w:rFonts w:ascii="宋体" w:hAnsi="宋体"/>
          <w:b/>
          <w:spacing w:val="-6"/>
          <w:sz w:val="21"/>
          <w:szCs w:val="21"/>
          <w:highlight w:val="none"/>
        </w:rPr>
      </w:pPr>
      <w:r>
        <w:rPr>
          <w:rFonts w:hint="eastAsia" w:ascii="宋体" w:hAnsi="宋体"/>
          <w:b/>
          <w:spacing w:val="-6"/>
          <w:sz w:val="21"/>
          <w:szCs w:val="21"/>
          <w:highlight w:val="none"/>
        </w:rPr>
        <w:t>总则</w:t>
      </w:r>
    </w:p>
    <w:p>
      <w:pPr>
        <w:spacing w:line="360" w:lineRule="auto"/>
        <w:ind w:firstLine="396" w:firstLineChars="200"/>
        <w:rPr>
          <w:rFonts w:ascii="宋体" w:hAnsi="宋体"/>
          <w:bCs/>
          <w:spacing w:val="-6"/>
          <w:sz w:val="21"/>
          <w:szCs w:val="21"/>
          <w:highlight w:val="none"/>
        </w:rPr>
      </w:pPr>
      <w:r>
        <w:rPr>
          <w:rFonts w:hint="eastAsia" w:ascii="宋体" w:hAnsi="宋体"/>
          <w:spacing w:val="-6"/>
          <w:sz w:val="21"/>
          <w:szCs w:val="21"/>
          <w:highlight w:val="none"/>
        </w:rPr>
        <w:t>1</w:t>
      </w:r>
      <w:r>
        <w:rPr>
          <w:rFonts w:ascii="宋体" w:hAnsi="宋体"/>
          <w:spacing w:val="-6"/>
          <w:sz w:val="21"/>
          <w:szCs w:val="21"/>
          <w:highlight w:val="none"/>
        </w:rPr>
        <w:t>.</w:t>
      </w:r>
      <w:r>
        <w:rPr>
          <w:rFonts w:hint="eastAsia" w:ascii="宋体" w:hAnsi="宋体"/>
          <w:spacing w:val="-6"/>
          <w:sz w:val="21"/>
          <w:szCs w:val="21"/>
          <w:highlight w:val="none"/>
        </w:rPr>
        <w:t>投标人定期存</w:t>
      </w:r>
      <w:r>
        <w:rPr>
          <w:rFonts w:hint="eastAsia" w:ascii="宋体" w:hAnsi="宋体"/>
          <w:bCs/>
          <w:spacing w:val="-6"/>
          <w:sz w:val="21"/>
          <w:szCs w:val="21"/>
          <w:highlight w:val="none"/>
        </w:rPr>
        <w:t>款投标利率应符合国家利率政策相关规定和浙江省市场利率定价自律机制约定范围。</w:t>
      </w:r>
    </w:p>
    <w:p>
      <w:pPr>
        <w:spacing w:line="360" w:lineRule="auto"/>
        <w:ind w:firstLine="396" w:firstLineChars="200"/>
        <w:rPr>
          <w:rFonts w:ascii="宋体" w:hAnsi="宋体"/>
          <w:bCs/>
          <w:spacing w:val="-6"/>
          <w:sz w:val="21"/>
          <w:szCs w:val="21"/>
          <w:highlight w:val="none"/>
        </w:rPr>
      </w:pPr>
      <w:r>
        <w:rPr>
          <w:rFonts w:hint="eastAsia" w:ascii="宋体" w:hAnsi="宋体"/>
          <w:bCs/>
          <w:spacing w:val="-6"/>
          <w:sz w:val="21"/>
          <w:szCs w:val="21"/>
          <w:highlight w:val="none"/>
        </w:rPr>
        <w:t>2</w:t>
      </w:r>
      <w:r>
        <w:rPr>
          <w:rFonts w:ascii="宋体" w:hAnsi="宋体"/>
          <w:bCs/>
          <w:spacing w:val="-6"/>
          <w:sz w:val="21"/>
          <w:szCs w:val="21"/>
          <w:highlight w:val="none"/>
        </w:rPr>
        <w:t>.采</w:t>
      </w:r>
      <w:r>
        <w:rPr>
          <w:rFonts w:hint="eastAsia" w:ascii="宋体" w:hAnsi="宋体"/>
          <w:bCs/>
          <w:spacing w:val="-6"/>
          <w:sz w:val="21"/>
          <w:szCs w:val="21"/>
          <w:highlight w:val="none"/>
        </w:rPr>
        <w:t>用综合评分法，总分为100分。合格投标人的评标得分为各项目汇总得分，中标资格按照评标总得分由高到低顺序排列，得分相同的，依次按定期存款利率、服务水平、经营状况、经济贡献度指标分值由高到低排序，全部相同采用抽签决定，依次推荐</w:t>
      </w:r>
      <w:r>
        <w:rPr>
          <w:rFonts w:hint="eastAsia" w:ascii="宋体" w:hAnsi="宋体"/>
          <w:bCs/>
          <w:spacing w:val="-6"/>
          <w:sz w:val="21"/>
          <w:szCs w:val="21"/>
          <w:highlight w:val="none"/>
          <w:lang w:val="en-US" w:eastAsia="zh-CN"/>
        </w:rPr>
        <w:t>五</w:t>
      </w:r>
      <w:r>
        <w:rPr>
          <w:rFonts w:hint="eastAsia" w:ascii="宋体" w:hAnsi="宋体"/>
          <w:bCs/>
          <w:spacing w:val="-6"/>
          <w:sz w:val="21"/>
          <w:szCs w:val="21"/>
          <w:highlight w:val="none"/>
        </w:rPr>
        <w:t>名中标候选人，并编写评选报告。评分过程中采用四舍五入法，并保留小数2位。</w:t>
      </w:r>
    </w:p>
    <w:p>
      <w:pPr>
        <w:spacing w:line="360" w:lineRule="auto"/>
        <w:ind w:firstLine="396" w:firstLineChars="200"/>
        <w:rPr>
          <w:rFonts w:ascii="宋体" w:hAnsi="宋体"/>
          <w:bCs/>
          <w:spacing w:val="-6"/>
          <w:sz w:val="21"/>
          <w:szCs w:val="21"/>
          <w:highlight w:val="none"/>
        </w:rPr>
      </w:pPr>
      <w:r>
        <w:rPr>
          <w:rFonts w:hint="eastAsia" w:ascii="宋体" w:hAnsi="宋体"/>
          <w:bCs/>
          <w:spacing w:val="-6"/>
          <w:sz w:val="21"/>
          <w:szCs w:val="21"/>
          <w:highlight w:val="none"/>
        </w:rPr>
        <w:t>投标人评标综合得分=定期存款利率水平指标分值+服务水平指标分值+经营状况指标分值+经济贡献度指标分值，服务水平、经营状况、经济贡献度指标分值按照评标委员会成员的独立评分结果汇总数的算术平均分计算，计算公式为：服务水平、经营状况、经济贡献度指标分值=评标委员会所有成员评分合计数÷评标委员会人数。</w:t>
      </w:r>
    </w:p>
    <w:p>
      <w:pPr>
        <w:spacing w:line="360" w:lineRule="auto"/>
        <w:rPr>
          <w:rFonts w:ascii="宋体" w:hAnsi="宋体"/>
          <w:b/>
          <w:spacing w:val="-6"/>
          <w:sz w:val="21"/>
          <w:szCs w:val="21"/>
          <w:highlight w:val="none"/>
        </w:rPr>
      </w:pPr>
      <w:r>
        <w:rPr>
          <w:rFonts w:hint="eastAsia" w:ascii="宋体" w:hAnsi="宋体"/>
          <w:b/>
          <w:spacing w:val="-6"/>
          <w:sz w:val="21"/>
          <w:szCs w:val="21"/>
          <w:highlight w:val="none"/>
        </w:rPr>
        <w:t>二、评标内容及标准</w:t>
      </w:r>
    </w:p>
    <w:tbl>
      <w:tblPr>
        <w:tblStyle w:val="24"/>
        <w:tblW w:w="10102"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83"/>
        <w:gridCol w:w="1199"/>
        <w:gridCol w:w="786"/>
        <w:gridCol w:w="70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Ex>
        <w:trPr>
          <w:trHeight w:val="404" w:hRule="atLeast"/>
          <w:jc w:val="center"/>
        </w:trPr>
        <w:tc>
          <w:tcPr>
            <w:tcW w:w="2282" w:type="dxa"/>
            <w:gridSpan w:val="2"/>
            <w:vAlign w:val="center"/>
          </w:tcPr>
          <w:p>
            <w:pPr>
              <w:keepNext w:val="0"/>
              <w:keepLines w:val="0"/>
              <w:suppressLineNumbers w:val="0"/>
              <w:snapToGrid w:val="0"/>
              <w:spacing w:before="0" w:beforeAutospacing="0" w:after="0" w:afterAutospacing="0" w:line="288" w:lineRule="auto"/>
              <w:ind w:left="0" w:right="0"/>
              <w:jc w:val="center"/>
              <w:rPr>
                <w:rFonts w:hint="default" w:ascii="宋体" w:hAnsi="宋体" w:cs="宋体"/>
                <w:b/>
                <w:bCs/>
                <w:sz w:val="21"/>
                <w:szCs w:val="21"/>
                <w:highlight w:val="none"/>
              </w:rPr>
            </w:pPr>
            <w:r>
              <w:rPr>
                <w:rFonts w:hint="eastAsia" w:ascii="宋体" w:hAnsi="宋体" w:cs="宋体"/>
                <w:b/>
                <w:bCs/>
                <w:sz w:val="21"/>
                <w:szCs w:val="21"/>
                <w:highlight w:val="none"/>
              </w:rPr>
              <w:t>评分项目</w:t>
            </w:r>
          </w:p>
        </w:tc>
        <w:tc>
          <w:tcPr>
            <w:tcW w:w="786" w:type="dxa"/>
            <w:vAlign w:val="center"/>
          </w:tcPr>
          <w:p>
            <w:pPr>
              <w:keepNext w:val="0"/>
              <w:keepLines w:val="0"/>
              <w:suppressLineNumbers w:val="0"/>
              <w:snapToGrid w:val="0"/>
              <w:spacing w:before="0" w:beforeAutospacing="0" w:after="0" w:afterAutospacing="0" w:line="288" w:lineRule="auto"/>
              <w:ind w:left="0" w:right="0"/>
              <w:jc w:val="center"/>
              <w:rPr>
                <w:rFonts w:hint="default" w:ascii="宋体" w:hAnsi="宋体" w:cs="宋体"/>
                <w:b/>
                <w:bCs/>
                <w:sz w:val="21"/>
                <w:szCs w:val="21"/>
                <w:highlight w:val="none"/>
              </w:rPr>
            </w:pPr>
            <w:r>
              <w:rPr>
                <w:rFonts w:hint="eastAsia" w:ascii="宋体" w:hAnsi="宋体" w:cs="宋体"/>
                <w:b/>
                <w:bCs/>
                <w:sz w:val="21"/>
                <w:szCs w:val="21"/>
                <w:highlight w:val="none"/>
              </w:rPr>
              <w:t>分值</w:t>
            </w:r>
          </w:p>
        </w:tc>
        <w:tc>
          <w:tcPr>
            <w:tcW w:w="7034" w:type="dxa"/>
            <w:vAlign w:val="center"/>
          </w:tcPr>
          <w:p>
            <w:pPr>
              <w:keepNext w:val="0"/>
              <w:keepLines w:val="0"/>
              <w:suppressLineNumbers w:val="0"/>
              <w:snapToGrid w:val="0"/>
              <w:spacing w:before="0" w:beforeAutospacing="0" w:after="0" w:afterAutospacing="0" w:line="288" w:lineRule="auto"/>
              <w:ind w:left="0" w:right="0"/>
              <w:jc w:val="center"/>
              <w:rPr>
                <w:rFonts w:hint="default" w:ascii="宋体" w:hAnsi="宋体" w:cs="宋体"/>
                <w:b/>
                <w:bCs/>
                <w:sz w:val="21"/>
                <w:szCs w:val="21"/>
                <w:highlight w:val="none"/>
              </w:rPr>
            </w:pPr>
            <w:r>
              <w:rPr>
                <w:rFonts w:hint="eastAsia" w:ascii="宋体" w:hAnsi="宋体" w:cs="宋体"/>
                <w:b/>
                <w:bCs/>
                <w:sz w:val="21"/>
                <w:szCs w:val="21"/>
                <w:highlight w:val="none"/>
              </w:rPr>
              <w:t>评标要点及说明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81" w:hRule="atLeast"/>
          <w:jc w:val="center"/>
        </w:trPr>
        <w:tc>
          <w:tcPr>
            <w:tcW w:w="1083" w:type="dxa"/>
            <w:vAlign w:val="center"/>
          </w:tcPr>
          <w:p>
            <w:pPr>
              <w:keepNext w:val="0"/>
              <w:keepLines w:val="0"/>
              <w:suppressLineNumbers w:val="0"/>
              <w:autoSpaceDE w:val="0"/>
              <w:autoSpaceDN w:val="0"/>
              <w:spacing w:before="0" w:beforeAutospacing="0" w:after="0" w:afterAutospacing="0" w:line="288" w:lineRule="auto"/>
              <w:ind w:left="0" w:right="0"/>
              <w:jc w:val="center"/>
              <w:rPr>
                <w:rFonts w:hint="eastAsia" w:ascii="宋体" w:hAnsi="宋体" w:cs="宋体"/>
                <w:b/>
                <w:bCs/>
                <w:sz w:val="21"/>
                <w:szCs w:val="21"/>
                <w:highlight w:val="none"/>
              </w:rPr>
            </w:pPr>
            <w:r>
              <w:rPr>
                <w:rFonts w:hint="eastAsia" w:ascii="宋体" w:hAnsi="宋体" w:cs="宋体"/>
                <w:b/>
                <w:bCs/>
                <w:sz w:val="21"/>
                <w:szCs w:val="21"/>
                <w:highlight w:val="none"/>
              </w:rPr>
              <w:t>利率水平指标</w:t>
            </w:r>
          </w:p>
          <w:p>
            <w:pPr>
              <w:keepNext w:val="0"/>
              <w:keepLines w:val="0"/>
              <w:suppressLineNumbers w:val="0"/>
              <w:autoSpaceDE w:val="0"/>
              <w:autoSpaceDN w:val="0"/>
              <w:spacing w:before="0" w:beforeAutospacing="0" w:after="0" w:afterAutospacing="0" w:line="288" w:lineRule="auto"/>
              <w:ind w:left="0" w:right="0"/>
              <w:jc w:val="center"/>
              <w:rPr>
                <w:rFonts w:hint="default" w:ascii="宋体" w:hAnsi="宋体" w:cs="宋体"/>
                <w:b/>
                <w:bCs/>
                <w:sz w:val="21"/>
                <w:szCs w:val="21"/>
                <w:highlight w:val="none"/>
              </w:rPr>
            </w:pPr>
            <w:r>
              <w:rPr>
                <w:rFonts w:hint="eastAsia" w:ascii="宋体" w:hAnsi="宋体" w:cs="宋体"/>
                <w:b/>
                <w:bCs/>
                <w:sz w:val="21"/>
                <w:szCs w:val="21"/>
                <w:highlight w:val="none"/>
              </w:rPr>
              <w:t>(1</w:t>
            </w:r>
            <w:r>
              <w:rPr>
                <w:rFonts w:hint="eastAsia" w:ascii="宋体" w:hAnsi="宋体" w:cs="宋体"/>
                <w:b/>
                <w:bCs/>
                <w:sz w:val="21"/>
                <w:szCs w:val="21"/>
                <w:highlight w:val="none"/>
                <w:lang w:val="en-US" w:eastAsia="zh-CN"/>
              </w:rPr>
              <w:t>0</w:t>
            </w:r>
            <w:r>
              <w:rPr>
                <w:rFonts w:hint="eastAsia" w:ascii="宋体" w:hAnsi="宋体" w:cs="宋体"/>
                <w:b/>
                <w:bCs/>
                <w:sz w:val="21"/>
                <w:szCs w:val="21"/>
                <w:highlight w:val="none"/>
              </w:rPr>
              <w:t>分)</w:t>
            </w:r>
          </w:p>
        </w:tc>
        <w:tc>
          <w:tcPr>
            <w:tcW w:w="1199" w:type="dxa"/>
            <w:vAlign w:val="center"/>
          </w:tcPr>
          <w:p>
            <w:pPr>
              <w:keepNext w:val="0"/>
              <w:keepLines w:val="0"/>
              <w:suppressLineNumbers w:val="0"/>
              <w:snapToGrid w:val="0"/>
              <w:spacing w:before="0" w:beforeAutospacing="0" w:after="0" w:afterAutospacing="0" w:line="360" w:lineRule="auto"/>
              <w:ind w:left="0" w:right="0"/>
              <w:jc w:val="center"/>
              <w:rPr>
                <w:rFonts w:hint="default" w:ascii="宋体" w:hAnsi="宋体" w:cs="宋体"/>
                <w:sz w:val="21"/>
                <w:szCs w:val="21"/>
                <w:highlight w:val="none"/>
              </w:rPr>
            </w:pPr>
            <w:r>
              <w:rPr>
                <w:rFonts w:hint="eastAsia" w:ascii="宋体" w:hAnsi="宋体" w:cs="宋体"/>
                <w:sz w:val="21"/>
                <w:szCs w:val="21"/>
                <w:highlight w:val="none"/>
              </w:rPr>
              <w:t>利率报价</w:t>
            </w:r>
          </w:p>
        </w:tc>
        <w:tc>
          <w:tcPr>
            <w:tcW w:w="786" w:type="dxa"/>
            <w:vAlign w:val="center"/>
          </w:tcPr>
          <w:p>
            <w:pPr>
              <w:keepNext w:val="0"/>
              <w:keepLines w:val="0"/>
              <w:suppressLineNumbers w:val="0"/>
              <w:snapToGrid w:val="0"/>
              <w:spacing w:before="0" w:beforeAutospacing="0" w:after="0" w:afterAutospacing="0" w:line="288" w:lineRule="auto"/>
              <w:ind w:left="0" w:right="0"/>
              <w:jc w:val="center"/>
              <w:rPr>
                <w:rFonts w:hint="default" w:ascii="宋体" w:hAnsi="宋体" w:cs="宋体"/>
                <w:sz w:val="21"/>
                <w:szCs w:val="21"/>
                <w:highlight w:val="none"/>
              </w:rPr>
            </w:pPr>
            <w:r>
              <w:rPr>
                <w:rFonts w:hint="eastAsia" w:ascii="宋体" w:hAnsi="宋体" w:cs="宋体"/>
                <w:sz w:val="21"/>
                <w:szCs w:val="21"/>
                <w:highlight w:val="none"/>
              </w:rPr>
              <w:t>10</w:t>
            </w:r>
          </w:p>
        </w:tc>
        <w:tc>
          <w:tcPr>
            <w:tcW w:w="7034" w:type="dxa"/>
            <w:vAlign w:val="center"/>
          </w:tcPr>
          <w:p>
            <w:pPr>
              <w:keepNext w:val="0"/>
              <w:keepLines w:val="0"/>
              <w:suppressLineNumbers w:val="0"/>
              <w:spacing w:before="0" w:beforeAutospacing="0" w:after="0" w:afterAutospacing="0"/>
              <w:ind w:left="0" w:right="0"/>
              <w:rPr>
                <w:rFonts w:hint="default" w:ascii="宋体" w:hAnsi="宋体" w:cs="宋体"/>
                <w:spacing w:val="-6"/>
                <w:sz w:val="21"/>
                <w:szCs w:val="21"/>
                <w:highlight w:val="none"/>
              </w:rPr>
            </w:pPr>
            <w:r>
              <w:rPr>
                <w:rFonts w:hint="eastAsia" w:ascii="宋体" w:hAnsi="宋体" w:cs="宋体"/>
                <w:spacing w:val="-6"/>
                <w:sz w:val="21"/>
                <w:szCs w:val="21"/>
                <w:highlight w:val="none"/>
              </w:rPr>
              <w:t>满足招标文件要求且一年定期存款年利率报价最高的为评标基准价，其他投标银行的报价得分按照下列公式计算：利率报价得分=（一年定期存款年利率/评标基准价）×1</w:t>
            </w:r>
            <w:r>
              <w:rPr>
                <w:rFonts w:hint="eastAsia" w:ascii="宋体" w:hAnsi="宋体" w:cs="宋体"/>
                <w:spacing w:val="-6"/>
                <w:sz w:val="21"/>
                <w:szCs w:val="21"/>
                <w:highlight w:val="none"/>
                <w:lang w:val="en-US" w:eastAsia="zh-CN"/>
              </w:rPr>
              <w:t>0</w:t>
            </w:r>
            <w:r>
              <w:rPr>
                <w:rFonts w:hint="eastAsia" w:ascii="宋体" w:hAnsi="宋体" w:cs="宋体"/>
                <w:spacing w:val="-6"/>
                <w:sz w:val="21"/>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09" w:hRule="atLeast"/>
          <w:jc w:val="center"/>
        </w:trPr>
        <w:tc>
          <w:tcPr>
            <w:tcW w:w="1083" w:type="dxa"/>
            <w:vMerge w:val="restart"/>
            <w:vAlign w:val="center"/>
          </w:tcPr>
          <w:p>
            <w:pPr>
              <w:keepNext w:val="0"/>
              <w:keepLines w:val="0"/>
              <w:suppressLineNumbers w:val="0"/>
              <w:autoSpaceDE w:val="0"/>
              <w:autoSpaceDN w:val="0"/>
              <w:spacing w:before="0" w:beforeAutospacing="0" w:after="0" w:afterAutospacing="0" w:line="288" w:lineRule="auto"/>
              <w:ind w:left="0" w:right="0"/>
              <w:jc w:val="center"/>
              <w:rPr>
                <w:rFonts w:hint="default" w:ascii="宋体" w:hAnsi="宋体" w:cs="宋体"/>
                <w:b/>
                <w:bCs/>
                <w:sz w:val="21"/>
                <w:szCs w:val="21"/>
                <w:highlight w:val="none"/>
              </w:rPr>
            </w:pPr>
            <w:r>
              <w:rPr>
                <w:rFonts w:hint="eastAsia" w:ascii="宋体" w:hAnsi="宋体" w:cs="宋体"/>
                <w:b/>
                <w:bCs/>
                <w:sz w:val="21"/>
                <w:szCs w:val="21"/>
                <w:highlight w:val="none"/>
              </w:rPr>
              <w:t>服务水平指标</w:t>
            </w:r>
          </w:p>
          <w:p>
            <w:pPr>
              <w:keepNext w:val="0"/>
              <w:keepLines w:val="0"/>
              <w:suppressLineNumbers w:val="0"/>
              <w:autoSpaceDE w:val="0"/>
              <w:autoSpaceDN w:val="0"/>
              <w:spacing w:before="0" w:beforeAutospacing="0" w:after="0" w:afterAutospacing="0" w:line="288" w:lineRule="auto"/>
              <w:ind w:left="0" w:right="0"/>
              <w:jc w:val="center"/>
              <w:rPr>
                <w:rFonts w:hint="default" w:ascii="宋体" w:hAnsi="宋体" w:cs="宋体"/>
                <w:b/>
                <w:bCs/>
                <w:sz w:val="21"/>
                <w:szCs w:val="21"/>
                <w:highlight w:val="none"/>
              </w:rPr>
            </w:pPr>
            <w:r>
              <w:rPr>
                <w:rFonts w:hint="eastAsia" w:ascii="宋体" w:hAnsi="宋体" w:cs="宋体"/>
                <w:b/>
                <w:bCs/>
                <w:sz w:val="21"/>
                <w:szCs w:val="21"/>
                <w:highlight w:val="none"/>
              </w:rPr>
              <w:t>(</w:t>
            </w:r>
            <w:r>
              <w:rPr>
                <w:rFonts w:hint="eastAsia" w:ascii="宋体" w:hAnsi="宋体" w:cs="宋体"/>
                <w:b/>
                <w:bCs/>
                <w:sz w:val="21"/>
                <w:szCs w:val="21"/>
                <w:highlight w:val="none"/>
                <w:lang w:val="en-US" w:eastAsia="zh-CN"/>
              </w:rPr>
              <w:t>30</w:t>
            </w:r>
            <w:r>
              <w:rPr>
                <w:rFonts w:hint="eastAsia" w:ascii="宋体" w:hAnsi="宋体" w:cs="宋体"/>
                <w:b/>
                <w:bCs/>
                <w:sz w:val="21"/>
                <w:szCs w:val="21"/>
                <w:highlight w:val="none"/>
              </w:rPr>
              <w:t>分)</w:t>
            </w:r>
          </w:p>
        </w:tc>
        <w:tc>
          <w:tcPr>
            <w:tcW w:w="1199" w:type="dxa"/>
            <w:vMerge w:val="restart"/>
            <w:vAlign w:val="center"/>
          </w:tcPr>
          <w:p>
            <w:pPr>
              <w:keepNext w:val="0"/>
              <w:keepLines w:val="0"/>
              <w:widowControl/>
              <w:suppressLineNumbers w:val="0"/>
              <w:adjustRightInd w:val="0"/>
              <w:snapToGrid w:val="0"/>
              <w:spacing w:before="0" w:beforeAutospacing="0" w:after="0" w:afterAutospacing="0"/>
              <w:ind w:left="0" w:right="0"/>
              <w:jc w:val="center"/>
              <w:rPr>
                <w:rFonts w:hint="default" w:ascii="宋体" w:hAnsi="宋体" w:cs="宋体"/>
                <w:sz w:val="21"/>
                <w:szCs w:val="21"/>
                <w:highlight w:val="none"/>
              </w:rPr>
            </w:pPr>
            <w:r>
              <w:rPr>
                <w:rFonts w:hint="eastAsia" w:ascii="宋体" w:hAnsi="宋体" w:cs="宋体"/>
                <w:kern w:val="0"/>
                <w:sz w:val="21"/>
                <w:szCs w:val="21"/>
                <w:highlight w:val="none"/>
              </w:rPr>
              <w:t>1.以往金融服务支持情况</w:t>
            </w:r>
          </w:p>
        </w:tc>
        <w:tc>
          <w:tcPr>
            <w:tcW w:w="786" w:type="dxa"/>
            <w:vAlign w:val="center"/>
          </w:tcPr>
          <w:p>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sz w:val="21"/>
                <w:szCs w:val="21"/>
                <w:highlight w:val="none"/>
                <w:lang w:eastAsia="zh-CN"/>
              </w:rPr>
            </w:pPr>
            <w:r>
              <w:rPr>
                <w:rFonts w:hint="eastAsia" w:ascii="宋体" w:hAnsi="宋体" w:cs="宋体"/>
                <w:kern w:val="0"/>
                <w:sz w:val="21"/>
                <w:szCs w:val="21"/>
                <w:highlight w:val="none"/>
                <w:lang w:val="en-US" w:eastAsia="zh-CN"/>
              </w:rPr>
              <w:t>5</w:t>
            </w:r>
          </w:p>
        </w:tc>
        <w:tc>
          <w:tcPr>
            <w:tcW w:w="7034" w:type="dxa"/>
            <w:vAlign w:val="center"/>
          </w:tcPr>
          <w:p>
            <w:pPr>
              <w:keepNext w:val="0"/>
              <w:keepLines w:val="0"/>
              <w:widowControl w:val="0"/>
              <w:suppressLineNumbers w:val="0"/>
              <w:autoSpaceDE w:val="0"/>
              <w:autoSpaceDN w:val="0"/>
              <w:adjustRightInd w:val="0"/>
              <w:spacing w:before="0" w:beforeAutospacing="0" w:after="0" w:afterAutospacing="0"/>
              <w:ind w:left="0" w:leftChars="0" w:right="0" w:rightChars="0"/>
              <w:jc w:val="left"/>
              <w:rPr>
                <w:rFonts w:hint="default" w:ascii="宋体" w:hAnsi="宋体" w:cs="宋体"/>
                <w:sz w:val="21"/>
                <w:szCs w:val="21"/>
                <w:highlight w:val="none"/>
              </w:rPr>
            </w:pPr>
            <w:r>
              <w:rPr>
                <w:rFonts w:hint="eastAsia" w:ascii="宋体" w:hAnsi="宋体" w:eastAsia="宋体" w:cs="宋体"/>
                <w:kern w:val="0"/>
                <w:sz w:val="21"/>
                <w:szCs w:val="21"/>
                <w:highlight w:val="none"/>
                <w:lang w:val="en-US" w:eastAsia="zh-CN" w:bidi="ar"/>
              </w:rPr>
              <w:t>投标银行自2020年以来有为杭州电子科技大学提供过学科、教学、科研、信息化建设等事业发展支持，支持力度最多的得满分，其他依次酌情打分，没有的不得分。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22" w:hRule="atLeast"/>
          <w:jc w:val="center"/>
        </w:trPr>
        <w:tc>
          <w:tcPr>
            <w:tcW w:w="1083" w:type="dxa"/>
            <w:vMerge w:val="continue"/>
            <w:vAlign w:val="center"/>
          </w:tcPr>
          <w:p>
            <w:pPr>
              <w:keepNext w:val="0"/>
              <w:keepLines w:val="0"/>
              <w:suppressLineNumbers w:val="0"/>
              <w:adjustRightInd w:val="0"/>
              <w:snapToGrid w:val="0"/>
              <w:spacing w:before="0" w:beforeAutospacing="0" w:after="0" w:afterAutospacing="0"/>
              <w:ind w:left="0" w:right="0"/>
              <w:rPr>
                <w:rFonts w:hint="eastAsia" w:ascii="宋体" w:hAnsi="宋体" w:cs="宋体"/>
                <w:kern w:val="0"/>
                <w:sz w:val="21"/>
                <w:szCs w:val="21"/>
                <w:highlight w:val="none"/>
              </w:rPr>
            </w:pPr>
          </w:p>
        </w:tc>
        <w:tc>
          <w:tcPr>
            <w:tcW w:w="1199" w:type="dxa"/>
            <w:vMerge w:val="continue"/>
            <w:vAlign w:val="center"/>
          </w:tcPr>
          <w:p>
            <w:pPr>
              <w:keepNext w:val="0"/>
              <w:keepLines w:val="0"/>
              <w:suppressLineNumbers w:val="0"/>
              <w:adjustRightInd w:val="0"/>
              <w:snapToGrid w:val="0"/>
              <w:spacing w:before="0" w:beforeAutospacing="0" w:after="0" w:afterAutospacing="0"/>
              <w:ind w:left="0" w:right="0"/>
              <w:rPr>
                <w:rFonts w:hint="eastAsia" w:ascii="宋体" w:hAnsi="宋体" w:cs="宋体"/>
                <w:kern w:val="0"/>
                <w:sz w:val="21"/>
                <w:szCs w:val="21"/>
                <w:highlight w:val="none"/>
              </w:rPr>
            </w:pPr>
          </w:p>
        </w:tc>
        <w:tc>
          <w:tcPr>
            <w:tcW w:w="786" w:type="dxa"/>
            <w:vAlign w:val="center"/>
          </w:tcPr>
          <w:p>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kern w:val="0"/>
                <w:sz w:val="21"/>
                <w:szCs w:val="21"/>
                <w:highlight w:val="none"/>
                <w:lang w:val="en-US" w:eastAsia="zh-CN"/>
              </w:rPr>
            </w:pPr>
            <w:r>
              <w:rPr>
                <w:rFonts w:hint="eastAsia" w:ascii="宋体" w:hAnsi="宋体" w:cs="宋体"/>
                <w:kern w:val="0"/>
                <w:sz w:val="21"/>
                <w:szCs w:val="21"/>
                <w:highlight w:val="none"/>
                <w:lang w:val="en-US" w:eastAsia="zh-CN"/>
              </w:rPr>
              <w:t>3</w:t>
            </w:r>
          </w:p>
        </w:tc>
        <w:tc>
          <w:tcPr>
            <w:tcW w:w="7034" w:type="dxa"/>
            <w:vAlign w:val="center"/>
          </w:tcPr>
          <w:p>
            <w:pPr>
              <w:keepNext w:val="0"/>
              <w:keepLines w:val="0"/>
              <w:widowControl w:val="0"/>
              <w:suppressLineNumbers w:val="0"/>
              <w:autoSpaceDE w:val="0"/>
              <w:autoSpaceDN w:val="0"/>
              <w:adjustRightInd w:val="0"/>
              <w:spacing w:before="0" w:beforeAutospacing="0" w:after="0" w:afterAutospacing="0"/>
              <w:ind w:left="0" w:leftChars="0" w:right="0" w:rightChars="0"/>
              <w:jc w:val="left"/>
              <w:rPr>
                <w:rFonts w:hint="eastAsia" w:ascii="宋体" w:hAnsi="宋体" w:cs="宋体"/>
                <w:kern w:val="0"/>
                <w:sz w:val="21"/>
                <w:szCs w:val="21"/>
                <w:highlight w:val="none"/>
              </w:rPr>
            </w:pPr>
            <w:r>
              <w:rPr>
                <w:rFonts w:hint="eastAsia" w:ascii="宋体" w:hAnsi="宋体" w:eastAsia="宋体" w:cs="宋体"/>
                <w:kern w:val="0"/>
                <w:sz w:val="21"/>
                <w:szCs w:val="21"/>
                <w:highlight w:val="none"/>
                <w:lang w:val="en-US" w:eastAsia="zh-CN" w:bidi="ar"/>
              </w:rPr>
              <w:t>投标银行自2020年以来有为杭州电子科技大学提供过相关金融服务，包括但不限于授信服务、上门服务等方面。金融服务项最多的得满分，其他依次酌情打分，没有的不得分。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97" w:hRule="atLeast"/>
          <w:jc w:val="center"/>
        </w:trPr>
        <w:tc>
          <w:tcPr>
            <w:tcW w:w="1083" w:type="dxa"/>
            <w:vMerge w:val="continue"/>
            <w:vAlign w:val="center"/>
          </w:tcPr>
          <w:p>
            <w:pPr>
              <w:keepNext w:val="0"/>
              <w:keepLines w:val="0"/>
              <w:suppressLineNumbers w:val="0"/>
              <w:autoSpaceDE w:val="0"/>
              <w:autoSpaceDN w:val="0"/>
              <w:spacing w:before="0" w:beforeAutospacing="0" w:after="0" w:afterAutospacing="0" w:line="288" w:lineRule="auto"/>
              <w:ind w:left="0" w:right="0"/>
              <w:jc w:val="center"/>
              <w:rPr>
                <w:rFonts w:hint="default" w:ascii="宋体" w:hAnsi="宋体" w:cs="宋体"/>
                <w:b/>
                <w:bCs/>
                <w:sz w:val="21"/>
                <w:szCs w:val="21"/>
                <w:highlight w:val="none"/>
              </w:rPr>
            </w:pPr>
          </w:p>
        </w:tc>
        <w:tc>
          <w:tcPr>
            <w:tcW w:w="1199" w:type="dxa"/>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宋体" w:hAnsi="宋体" w:cs="宋体"/>
                <w:sz w:val="21"/>
                <w:szCs w:val="21"/>
                <w:highlight w:val="none"/>
              </w:rPr>
            </w:pPr>
            <w:r>
              <w:rPr>
                <w:rFonts w:hint="eastAsia" w:cs="宋体"/>
                <w:kern w:val="2"/>
                <w:sz w:val="21"/>
                <w:szCs w:val="21"/>
                <w:highlight w:val="none"/>
                <w:lang w:val="en-US" w:eastAsia="zh-CN" w:bidi="ar"/>
              </w:rPr>
              <w:t>2.</w:t>
            </w:r>
            <w:r>
              <w:rPr>
                <w:rFonts w:hint="eastAsia" w:ascii="Times New Roman" w:hAnsi="Times New Roman" w:eastAsia="宋体" w:cs="宋体"/>
                <w:kern w:val="2"/>
                <w:sz w:val="21"/>
                <w:szCs w:val="21"/>
                <w:highlight w:val="none"/>
                <w:lang w:val="en-US" w:eastAsia="zh-CN" w:bidi="ar"/>
              </w:rPr>
              <w:t>提前用款承诺</w:t>
            </w:r>
          </w:p>
        </w:tc>
        <w:tc>
          <w:tcPr>
            <w:tcW w:w="786" w:type="dxa"/>
            <w:vAlign w:val="center"/>
          </w:tcPr>
          <w:p>
            <w:pPr>
              <w:keepNext w:val="0"/>
              <w:keepLines w:val="0"/>
              <w:widowControl/>
              <w:suppressLineNumbers w:val="0"/>
              <w:adjustRightInd w:val="0"/>
              <w:snapToGrid w:val="0"/>
              <w:spacing w:before="0" w:beforeAutospacing="0" w:after="0" w:afterAutospacing="0"/>
              <w:ind w:left="0" w:leftChars="0" w:right="0" w:rightChars="0"/>
              <w:jc w:val="center"/>
              <w:rPr>
                <w:rFonts w:hint="default" w:ascii="宋体" w:hAnsi="宋体" w:cs="宋体"/>
                <w:sz w:val="21"/>
                <w:szCs w:val="21"/>
                <w:highlight w:val="none"/>
              </w:rPr>
            </w:pPr>
            <w:r>
              <w:rPr>
                <w:rFonts w:hint="eastAsia" w:ascii="宋体" w:hAnsi="宋体" w:cs="宋体"/>
                <w:kern w:val="0"/>
                <w:sz w:val="21"/>
                <w:szCs w:val="21"/>
                <w:highlight w:val="none"/>
                <w:lang w:val="en-US" w:eastAsia="zh-CN" w:bidi="ar"/>
              </w:rPr>
              <w:t>2</w:t>
            </w:r>
          </w:p>
        </w:tc>
        <w:tc>
          <w:tcPr>
            <w:tcW w:w="7034" w:type="dxa"/>
            <w:vAlign w:val="center"/>
          </w:tcPr>
          <w:p>
            <w:pPr>
              <w:keepNext w:val="0"/>
              <w:keepLines w:val="0"/>
              <w:widowControl w:val="0"/>
              <w:suppressLineNumbers w:val="0"/>
              <w:autoSpaceDE w:val="0"/>
              <w:autoSpaceDN w:val="0"/>
              <w:adjustRightInd w:val="0"/>
              <w:spacing w:before="0" w:beforeAutospacing="0" w:after="0" w:afterAutospacing="0"/>
              <w:ind w:left="0" w:leftChars="0" w:right="0" w:rightChars="0"/>
              <w:jc w:val="left"/>
              <w:rPr>
                <w:rFonts w:hint="default" w:ascii="宋体" w:hAnsi="宋体" w:cs="宋体"/>
                <w:sz w:val="21"/>
                <w:szCs w:val="21"/>
                <w:highlight w:val="none"/>
              </w:rPr>
            </w:pPr>
            <w:r>
              <w:rPr>
                <w:rFonts w:hint="eastAsia" w:ascii="宋体" w:hAnsi="宋体" w:eastAsia="宋体" w:cs="宋体"/>
                <w:kern w:val="0"/>
                <w:sz w:val="21"/>
                <w:szCs w:val="21"/>
                <w:highlight w:val="none"/>
                <w:lang w:val="en-US" w:eastAsia="zh-CN" w:bidi="ar"/>
              </w:rPr>
              <w:t>提前支取定期存款的计息给予利息优惠，投标银行需提供提前支取计息方案。利息最优惠的得满分，其他依次酌情打分，没有的不得分。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73" w:hRule="atLeast"/>
          <w:jc w:val="center"/>
        </w:trPr>
        <w:tc>
          <w:tcPr>
            <w:tcW w:w="1083" w:type="dxa"/>
            <w:vMerge w:val="continue"/>
            <w:vAlign w:val="center"/>
          </w:tcPr>
          <w:p>
            <w:pPr>
              <w:keepNext w:val="0"/>
              <w:keepLines w:val="0"/>
              <w:suppressLineNumbers w:val="0"/>
              <w:autoSpaceDE w:val="0"/>
              <w:autoSpaceDN w:val="0"/>
              <w:spacing w:before="0" w:beforeAutospacing="0" w:after="0" w:afterAutospacing="0" w:line="288" w:lineRule="auto"/>
              <w:ind w:left="0" w:right="0"/>
              <w:jc w:val="center"/>
              <w:rPr>
                <w:rFonts w:hint="default" w:ascii="宋体" w:hAnsi="宋体" w:cs="宋体"/>
                <w:b/>
                <w:bCs/>
                <w:sz w:val="21"/>
                <w:szCs w:val="21"/>
                <w:highlight w:val="none"/>
              </w:rPr>
            </w:pPr>
          </w:p>
        </w:tc>
        <w:tc>
          <w:tcPr>
            <w:tcW w:w="1199" w:type="dxa"/>
            <w:vMerge w:val="restart"/>
            <w:vAlign w:val="center"/>
          </w:tcPr>
          <w:p>
            <w:pPr>
              <w:keepNext w:val="0"/>
              <w:keepLines w:val="0"/>
              <w:widowControl/>
              <w:suppressLineNumbers w:val="0"/>
              <w:adjustRightInd w:val="0"/>
              <w:snapToGrid w:val="0"/>
              <w:spacing w:before="0" w:beforeAutospacing="0" w:after="0" w:afterAutospacing="0"/>
              <w:ind w:left="0" w:right="0"/>
              <w:jc w:val="center"/>
              <w:rPr>
                <w:rFonts w:hint="default"/>
                <w:sz w:val="21"/>
                <w:szCs w:val="21"/>
                <w:highlight w:val="none"/>
              </w:rPr>
            </w:pPr>
            <w:r>
              <w:rPr>
                <w:rFonts w:hint="eastAsia" w:ascii="宋体" w:hAnsi="宋体" w:cs="宋体"/>
                <w:sz w:val="21"/>
                <w:szCs w:val="21"/>
                <w:highlight w:val="none"/>
              </w:rPr>
              <w:t>3.服务方案及支持学校建设承诺</w:t>
            </w:r>
          </w:p>
        </w:tc>
        <w:tc>
          <w:tcPr>
            <w:tcW w:w="786" w:type="dxa"/>
            <w:vAlign w:val="center"/>
          </w:tcPr>
          <w:p>
            <w:pPr>
              <w:keepNext w:val="0"/>
              <w:keepLines w:val="0"/>
              <w:widowControl/>
              <w:suppressLineNumbers w:val="0"/>
              <w:adjustRightInd w:val="0"/>
              <w:snapToGrid w:val="0"/>
              <w:spacing w:before="0" w:beforeAutospacing="0" w:after="0" w:afterAutospacing="0"/>
              <w:ind w:left="0" w:leftChars="0" w:right="0" w:rightChars="0"/>
              <w:jc w:val="center"/>
              <w:rPr>
                <w:rFonts w:hint="default" w:ascii="宋体" w:hAnsi="宋体" w:cs="宋体"/>
                <w:sz w:val="21"/>
                <w:szCs w:val="21"/>
                <w:highlight w:val="none"/>
                <w:lang w:val="en-US"/>
              </w:rPr>
            </w:pPr>
            <w:r>
              <w:rPr>
                <w:rFonts w:hint="eastAsia" w:ascii="宋体" w:hAnsi="宋体" w:cs="宋体"/>
                <w:kern w:val="0"/>
                <w:sz w:val="21"/>
                <w:szCs w:val="21"/>
                <w:highlight w:val="none"/>
                <w:lang w:val="en-US" w:eastAsia="zh-CN" w:bidi="ar"/>
              </w:rPr>
              <w:t>15</w:t>
            </w:r>
          </w:p>
        </w:tc>
        <w:tc>
          <w:tcPr>
            <w:tcW w:w="7034" w:type="dxa"/>
            <w:vAlign w:val="center"/>
          </w:tcPr>
          <w:p>
            <w:pPr>
              <w:keepNext w:val="0"/>
              <w:keepLines w:val="0"/>
              <w:widowControl w:val="0"/>
              <w:suppressLineNumbers w:val="0"/>
              <w:autoSpaceDE w:val="0"/>
              <w:autoSpaceDN w:val="0"/>
              <w:adjustRightInd w:val="0"/>
              <w:spacing w:before="0" w:beforeAutospacing="0" w:after="0" w:afterAutospacing="0"/>
              <w:ind w:left="0" w:leftChars="0" w:right="0" w:rightChars="0"/>
              <w:jc w:val="left"/>
              <w:rPr>
                <w:rFonts w:hint="default" w:ascii="宋体" w:hAnsi="宋体" w:cs="宋体"/>
                <w:kern w:val="0"/>
                <w:sz w:val="21"/>
                <w:szCs w:val="21"/>
                <w:highlight w:val="none"/>
              </w:rPr>
            </w:pPr>
            <w:r>
              <w:rPr>
                <w:rFonts w:hint="eastAsia" w:ascii="宋体" w:hAnsi="宋体" w:eastAsia="宋体" w:cs="宋体"/>
                <w:kern w:val="0"/>
                <w:sz w:val="21"/>
                <w:szCs w:val="21"/>
                <w:highlight w:val="none"/>
                <w:lang w:val="en-US" w:eastAsia="zh-CN" w:bidi="ar"/>
              </w:rPr>
              <w:t>投标银行按照国家政策有关规定，对学校但不限于学科、教学、科研、信息化建设等事业提供良好的服务：未来对学校学科、教学、科研、信息化建设等事业支持的承诺等。优的得</w:t>
            </w:r>
            <w:r>
              <w:rPr>
                <w:rFonts w:hint="eastAsia" w:ascii="宋体" w:hAnsi="宋体" w:cs="宋体"/>
                <w:kern w:val="0"/>
                <w:sz w:val="21"/>
                <w:szCs w:val="21"/>
                <w:highlight w:val="none"/>
                <w:lang w:val="en-US" w:eastAsia="zh-CN" w:bidi="ar"/>
              </w:rPr>
              <w:t>15</w:t>
            </w:r>
            <w:r>
              <w:rPr>
                <w:rFonts w:hint="eastAsia" w:ascii="宋体" w:hAnsi="宋体" w:eastAsia="宋体" w:cs="宋体"/>
                <w:kern w:val="0"/>
                <w:sz w:val="21"/>
                <w:szCs w:val="21"/>
                <w:highlight w:val="none"/>
                <w:lang w:val="en-US" w:eastAsia="zh-CN" w:bidi="ar"/>
              </w:rPr>
              <w:t>-1</w:t>
            </w:r>
            <w:r>
              <w:rPr>
                <w:rFonts w:hint="eastAsia" w:ascii="宋体" w:hAnsi="宋体" w:cs="宋体"/>
                <w:kern w:val="0"/>
                <w:sz w:val="21"/>
                <w:szCs w:val="21"/>
                <w:highlight w:val="none"/>
                <w:lang w:val="en-US" w:eastAsia="zh-CN" w:bidi="ar"/>
              </w:rPr>
              <w:t>1</w:t>
            </w:r>
            <w:r>
              <w:rPr>
                <w:rFonts w:hint="eastAsia" w:ascii="宋体" w:hAnsi="宋体" w:eastAsia="宋体" w:cs="宋体"/>
                <w:kern w:val="0"/>
                <w:sz w:val="21"/>
                <w:szCs w:val="21"/>
                <w:highlight w:val="none"/>
                <w:lang w:val="en-US" w:eastAsia="zh-CN" w:bidi="ar"/>
              </w:rPr>
              <w:t>分，良的得</w:t>
            </w:r>
            <w:r>
              <w:rPr>
                <w:rFonts w:hint="eastAsia" w:ascii="宋体" w:hAnsi="宋体" w:cs="宋体"/>
                <w:kern w:val="0"/>
                <w:sz w:val="21"/>
                <w:szCs w:val="21"/>
                <w:highlight w:val="none"/>
                <w:lang w:val="en-US" w:eastAsia="zh-CN" w:bidi="ar"/>
              </w:rPr>
              <w:t>10</w:t>
            </w:r>
            <w:r>
              <w:rPr>
                <w:rFonts w:hint="eastAsia" w:ascii="宋体" w:hAnsi="宋体" w:eastAsia="宋体" w:cs="宋体"/>
                <w:kern w:val="0"/>
                <w:sz w:val="21"/>
                <w:szCs w:val="21"/>
                <w:highlight w:val="none"/>
                <w:lang w:val="en-US" w:eastAsia="zh-CN" w:bidi="ar"/>
              </w:rPr>
              <w:t>-</w:t>
            </w:r>
            <w:r>
              <w:rPr>
                <w:rFonts w:hint="eastAsia" w:ascii="宋体" w:hAnsi="宋体" w:cs="宋体"/>
                <w:kern w:val="0"/>
                <w:sz w:val="21"/>
                <w:szCs w:val="21"/>
                <w:highlight w:val="none"/>
                <w:lang w:val="en-US" w:eastAsia="zh-CN" w:bidi="ar"/>
              </w:rPr>
              <w:t>6</w:t>
            </w:r>
            <w:r>
              <w:rPr>
                <w:rFonts w:hint="eastAsia" w:ascii="宋体" w:hAnsi="宋体" w:eastAsia="宋体" w:cs="宋体"/>
                <w:kern w:val="0"/>
                <w:sz w:val="21"/>
                <w:szCs w:val="21"/>
                <w:highlight w:val="none"/>
                <w:lang w:val="en-US" w:eastAsia="zh-CN" w:bidi="ar"/>
              </w:rPr>
              <w:t>分，一般的得</w:t>
            </w:r>
            <w:r>
              <w:rPr>
                <w:rFonts w:hint="eastAsia" w:ascii="宋体" w:hAnsi="宋体" w:cs="宋体"/>
                <w:kern w:val="0"/>
                <w:sz w:val="21"/>
                <w:szCs w:val="21"/>
                <w:highlight w:val="none"/>
                <w:lang w:val="en-US" w:eastAsia="zh-CN" w:bidi="ar"/>
              </w:rPr>
              <w:t>5</w:t>
            </w:r>
            <w:r>
              <w:rPr>
                <w:rFonts w:hint="eastAsia" w:ascii="宋体" w:hAnsi="宋体" w:eastAsia="宋体" w:cs="宋体"/>
                <w:kern w:val="0"/>
                <w:sz w:val="21"/>
                <w:szCs w:val="21"/>
                <w:highlight w:val="none"/>
                <w:lang w:val="en-US" w:eastAsia="zh-CN" w:bidi="ar"/>
              </w:rPr>
              <w:t>-0分。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168" w:hRule="atLeast"/>
          <w:jc w:val="center"/>
        </w:trPr>
        <w:tc>
          <w:tcPr>
            <w:tcW w:w="1083" w:type="dxa"/>
            <w:vMerge w:val="continue"/>
            <w:vAlign w:val="center"/>
          </w:tcPr>
          <w:p>
            <w:pPr>
              <w:keepNext w:val="0"/>
              <w:keepLines w:val="0"/>
              <w:suppressLineNumbers w:val="0"/>
              <w:autoSpaceDE w:val="0"/>
              <w:autoSpaceDN w:val="0"/>
              <w:spacing w:before="0" w:beforeAutospacing="0" w:after="0" w:afterAutospacing="0" w:line="288" w:lineRule="auto"/>
              <w:ind w:left="0" w:right="0"/>
              <w:jc w:val="center"/>
              <w:rPr>
                <w:rFonts w:hint="default" w:ascii="宋体" w:hAnsi="宋体" w:cs="宋体"/>
                <w:b/>
                <w:bCs/>
                <w:sz w:val="21"/>
                <w:szCs w:val="21"/>
                <w:highlight w:val="none"/>
              </w:rPr>
            </w:pPr>
          </w:p>
        </w:tc>
        <w:tc>
          <w:tcPr>
            <w:tcW w:w="1199" w:type="dxa"/>
            <w:vMerge w:val="continue"/>
            <w:vAlign w:val="center"/>
          </w:tcPr>
          <w:p>
            <w:pPr>
              <w:keepNext w:val="0"/>
              <w:keepLines w:val="0"/>
              <w:widowControl/>
              <w:suppressLineNumbers w:val="0"/>
              <w:adjustRightInd w:val="0"/>
              <w:snapToGrid w:val="0"/>
              <w:spacing w:before="0" w:beforeAutospacing="0" w:after="0" w:afterAutospacing="0"/>
              <w:ind w:left="0" w:right="0"/>
              <w:jc w:val="center"/>
              <w:rPr>
                <w:rFonts w:hint="default" w:ascii="宋体" w:hAnsi="宋体" w:cs="宋体"/>
                <w:sz w:val="21"/>
                <w:szCs w:val="21"/>
                <w:highlight w:val="none"/>
              </w:rPr>
            </w:pPr>
          </w:p>
        </w:tc>
        <w:tc>
          <w:tcPr>
            <w:tcW w:w="786" w:type="dxa"/>
            <w:vAlign w:val="center"/>
          </w:tcPr>
          <w:p>
            <w:pPr>
              <w:keepNext w:val="0"/>
              <w:keepLines w:val="0"/>
              <w:widowControl/>
              <w:suppressLineNumbers w:val="0"/>
              <w:adjustRightInd w:val="0"/>
              <w:snapToGrid w:val="0"/>
              <w:spacing w:before="0" w:beforeAutospacing="0" w:after="0" w:afterAutospacing="0"/>
              <w:ind w:left="0" w:leftChars="0" w:right="0" w:rightChars="0"/>
              <w:jc w:val="center"/>
              <w:rPr>
                <w:rFonts w:hint="default" w:ascii="宋体" w:hAnsi="宋体" w:cs="宋体"/>
                <w:sz w:val="21"/>
                <w:szCs w:val="21"/>
                <w:highlight w:val="none"/>
              </w:rPr>
            </w:pPr>
            <w:r>
              <w:rPr>
                <w:rFonts w:hint="eastAsia" w:ascii="宋体" w:hAnsi="宋体" w:cs="宋体"/>
                <w:kern w:val="0"/>
                <w:sz w:val="21"/>
                <w:szCs w:val="21"/>
                <w:highlight w:val="none"/>
                <w:lang w:val="en-US" w:eastAsia="zh-CN" w:bidi="ar"/>
              </w:rPr>
              <w:t>5</w:t>
            </w:r>
          </w:p>
        </w:tc>
        <w:tc>
          <w:tcPr>
            <w:tcW w:w="7034" w:type="dxa"/>
            <w:vAlign w:val="center"/>
          </w:tcPr>
          <w:p>
            <w:pPr>
              <w:keepNext w:val="0"/>
              <w:keepLines w:val="0"/>
              <w:widowControl w:val="0"/>
              <w:suppressLineNumbers w:val="0"/>
              <w:autoSpaceDE w:val="0"/>
              <w:autoSpaceDN w:val="0"/>
              <w:adjustRightInd w:val="0"/>
              <w:spacing w:before="0" w:beforeAutospacing="0" w:after="0" w:afterAutospacing="0"/>
              <w:ind w:left="0" w:leftChars="0" w:right="0" w:rightChars="0"/>
              <w:jc w:val="left"/>
              <w:rPr>
                <w:rFonts w:hint="default" w:ascii="宋体" w:hAnsi="宋体" w:cs="宋体"/>
                <w:sz w:val="21"/>
                <w:szCs w:val="21"/>
                <w:highlight w:val="none"/>
              </w:rPr>
            </w:pPr>
            <w:r>
              <w:rPr>
                <w:rFonts w:hint="eastAsia" w:ascii="宋体" w:hAnsi="宋体" w:eastAsia="宋体" w:cs="宋体"/>
                <w:kern w:val="0"/>
                <w:sz w:val="21"/>
                <w:szCs w:val="21"/>
                <w:highlight w:val="none"/>
                <w:lang w:val="en-US" w:eastAsia="zh-CN" w:bidi="ar"/>
              </w:rPr>
              <w:t>投标银行提供相关银行服务，包括但不限于指定专人负责招标银行定期存款相关事项，对账户的收支业务的对账单等提供上门服务、承诺对公收费减免、公务卡服务、其它承诺等，优的得</w:t>
            </w:r>
            <w:r>
              <w:rPr>
                <w:rFonts w:hint="eastAsia" w:ascii="宋体" w:hAnsi="宋体" w:cs="宋体"/>
                <w:kern w:val="0"/>
                <w:sz w:val="21"/>
                <w:szCs w:val="21"/>
                <w:highlight w:val="none"/>
                <w:lang w:val="en-US" w:eastAsia="zh-CN" w:bidi="ar"/>
              </w:rPr>
              <w:t>5-4</w:t>
            </w:r>
            <w:r>
              <w:rPr>
                <w:rFonts w:hint="eastAsia" w:ascii="宋体" w:hAnsi="宋体" w:eastAsia="宋体" w:cs="宋体"/>
                <w:kern w:val="0"/>
                <w:sz w:val="21"/>
                <w:szCs w:val="21"/>
                <w:highlight w:val="none"/>
                <w:lang w:val="en-US" w:eastAsia="zh-CN" w:bidi="ar"/>
              </w:rPr>
              <w:t>分，良的得</w:t>
            </w:r>
            <w:r>
              <w:rPr>
                <w:rFonts w:hint="eastAsia" w:ascii="宋体" w:hAnsi="宋体" w:cs="宋体"/>
                <w:kern w:val="0"/>
                <w:sz w:val="21"/>
                <w:szCs w:val="21"/>
                <w:highlight w:val="none"/>
                <w:lang w:val="en-US" w:eastAsia="zh-CN" w:bidi="ar"/>
              </w:rPr>
              <w:t>3</w:t>
            </w:r>
            <w:r>
              <w:rPr>
                <w:rFonts w:hint="eastAsia" w:ascii="宋体" w:hAnsi="宋体" w:eastAsia="宋体" w:cs="宋体"/>
                <w:kern w:val="0"/>
                <w:sz w:val="21"/>
                <w:szCs w:val="21"/>
                <w:highlight w:val="none"/>
                <w:lang w:val="en-US" w:eastAsia="zh-CN" w:bidi="ar"/>
              </w:rPr>
              <w:t>-</w:t>
            </w:r>
            <w:r>
              <w:rPr>
                <w:rFonts w:hint="eastAsia" w:ascii="宋体" w:hAnsi="宋体" w:cs="宋体"/>
                <w:kern w:val="0"/>
                <w:sz w:val="21"/>
                <w:szCs w:val="21"/>
                <w:highlight w:val="none"/>
                <w:lang w:val="en-US" w:eastAsia="zh-CN" w:bidi="ar"/>
              </w:rPr>
              <w:t>2</w:t>
            </w:r>
            <w:r>
              <w:rPr>
                <w:rFonts w:hint="eastAsia" w:ascii="宋体" w:hAnsi="宋体" w:eastAsia="宋体" w:cs="宋体"/>
                <w:kern w:val="0"/>
                <w:sz w:val="21"/>
                <w:szCs w:val="21"/>
                <w:highlight w:val="none"/>
                <w:lang w:val="en-US" w:eastAsia="zh-CN" w:bidi="ar"/>
              </w:rPr>
              <w:t>分，一般的得</w:t>
            </w:r>
            <w:r>
              <w:rPr>
                <w:rFonts w:hint="eastAsia" w:ascii="宋体" w:hAnsi="宋体" w:cs="宋体"/>
                <w:kern w:val="0"/>
                <w:sz w:val="21"/>
                <w:szCs w:val="21"/>
                <w:highlight w:val="none"/>
                <w:lang w:val="en-US" w:eastAsia="zh-CN" w:bidi="ar"/>
              </w:rPr>
              <w:t>1</w:t>
            </w:r>
            <w:r>
              <w:rPr>
                <w:rFonts w:hint="eastAsia" w:ascii="宋体" w:hAnsi="宋体" w:eastAsia="宋体" w:cs="宋体"/>
                <w:kern w:val="0"/>
                <w:sz w:val="21"/>
                <w:szCs w:val="21"/>
                <w:highlight w:val="none"/>
                <w:lang w:val="en-US" w:eastAsia="zh-CN" w:bidi="ar"/>
              </w:rPr>
              <w:t>-0分。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94" w:hRule="atLeast"/>
          <w:jc w:val="center"/>
        </w:trPr>
        <w:tc>
          <w:tcPr>
            <w:tcW w:w="1083" w:type="dxa"/>
            <w:vMerge w:val="restart"/>
            <w:vAlign w:val="center"/>
          </w:tcPr>
          <w:p>
            <w:pPr>
              <w:keepNext w:val="0"/>
              <w:keepLines w:val="0"/>
              <w:suppressLineNumbers w:val="0"/>
              <w:autoSpaceDE w:val="0"/>
              <w:autoSpaceDN w:val="0"/>
              <w:spacing w:before="0" w:beforeAutospacing="0" w:after="0" w:afterAutospacing="0" w:line="288" w:lineRule="auto"/>
              <w:ind w:left="0" w:right="0"/>
              <w:jc w:val="center"/>
              <w:rPr>
                <w:rFonts w:hint="default" w:ascii="宋体" w:hAnsi="宋体" w:cs="宋体"/>
                <w:b/>
                <w:bCs/>
                <w:sz w:val="21"/>
                <w:szCs w:val="21"/>
                <w:highlight w:val="none"/>
              </w:rPr>
            </w:pPr>
            <w:r>
              <w:rPr>
                <w:rFonts w:hint="eastAsia" w:ascii="宋体" w:hAnsi="宋体" w:cs="宋体"/>
                <w:b/>
                <w:bCs/>
                <w:sz w:val="21"/>
                <w:szCs w:val="21"/>
                <w:highlight w:val="none"/>
              </w:rPr>
              <w:t>经营状况指标</w:t>
            </w:r>
          </w:p>
          <w:p>
            <w:pPr>
              <w:keepNext w:val="0"/>
              <w:keepLines w:val="0"/>
              <w:suppressLineNumbers w:val="0"/>
              <w:autoSpaceDE w:val="0"/>
              <w:autoSpaceDN w:val="0"/>
              <w:spacing w:before="0" w:beforeAutospacing="0" w:after="0" w:afterAutospacing="0" w:line="288" w:lineRule="auto"/>
              <w:ind w:left="0" w:right="0"/>
              <w:jc w:val="center"/>
              <w:rPr>
                <w:rFonts w:hint="default" w:ascii="宋体" w:hAnsi="宋体" w:cs="宋体"/>
                <w:b/>
                <w:bCs/>
                <w:sz w:val="21"/>
                <w:szCs w:val="21"/>
                <w:highlight w:val="none"/>
              </w:rPr>
            </w:pPr>
            <w:r>
              <w:rPr>
                <w:rFonts w:hint="eastAsia" w:ascii="宋体" w:hAnsi="宋体" w:cs="宋体"/>
                <w:b/>
                <w:bCs/>
                <w:sz w:val="21"/>
                <w:szCs w:val="21"/>
                <w:highlight w:val="none"/>
              </w:rPr>
              <w:t>(30分)</w:t>
            </w:r>
          </w:p>
        </w:tc>
        <w:tc>
          <w:tcPr>
            <w:tcW w:w="1199" w:type="dxa"/>
            <w:vAlign w:val="center"/>
          </w:tcPr>
          <w:p>
            <w:pPr>
              <w:keepNext w:val="0"/>
              <w:keepLines w:val="0"/>
              <w:suppressLineNumbers w:val="0"/>
              <w:snapToGrid w:val="0"/>
              <w:spacing w:before="0" w:beforeAutospacing="0" w:after="0" w:afterAutospacing="0" w:line="288" w:lineRule="auto"/>
              <w:ind w:left="0" w:right="0"/>
              <w:jc w:val="center"/>
              <w:rPr>
                <w:rFonts w:hint="default" w:ascii="宋体" w:hAnsi="宋体" w:cs="宋体"/>
                <w:sz w:val="21"/>
                <w:szCs w:val="21"/>
                <w:highlight w:val="none"/>
              </w:rPr>
            </w:pPr>
            <w:r>
              <w:rPr>
                <w:rFonts w:hint="eastAsia" w:ascii="宋体" w:hAnsi="宋体" w:cs="宋体"/>
                <w:sz w:val="21"/>
                <w:szCs w:val="21"/>
                <w:highlight w:val="none"/>
              </w:rPr>
              <w:t>1.资产质量</w:t>
            </w:r>
          </w:p>
        </w:tc>
        <w:tc>
          <w:tcPr>
            <w:tcW w:w="786" w:type="dxa"/>
            <w:vAlign w:val="center"/>
          </w:tcPr>
          <w:p>
            <w:pPr>
              <w:keepNext w:val="0"/>
              <w:keepLines w:val="0"/>
              <w:suppressLineNumbers w:val="0"/>
              <w:snapToGrid w:val="0"/>
              <w:spacing w:before="0" w:beforeAutospacing="0" w:after="0" w:afterAutospacing="0" w:line="288" w:lineRule="auto"/>
              <w:ind w:left="0" w:right="0"/>
              <w:jc w:val="center"/>
              <w:rPr>
                <w:rFonts w:hint="eastAsia" w:ascii="宋体" w:hAnsi="宋体" w:eastAsia="宋体" w:cs="宋体"/>
                <w:sz w:val="21"/>
                <w:szCs w:val="21"/>
                <w:highlight w:val="none"/>
                <w:lang w:eastAsia="zh-CN"/>
              </w:rPr>
            </w:pPr>
            <w:r>
              <w:rPr>
                <w:rFonts w:hint="eastAsia" w:ascii="宋体" w:hAnsi="宋体" w:cs="宋体"/>
                <w:sz w:val="21"/>
                <w:szCs w:val="21"/>
                <w:highlight w:val="none"/>
                <w:lang w:val="en-US" w:eastAsia="zh-CN"/>
              </w:rPr>
              <w:t>6</w:t>
            </w:r>
          </w:p>
        </w:tc>
        <w:tc>
          <w:tcPr>
            <w:tcW w:w="7034" w:type="dxa"/>
            <w:vAlign w:val="center"/>
          </w:tcPr>
          <w:p>
            <w:pPr>
              <w:keepNext w:val="0"/>
              <w:keepLines w:val="0"/>
              <w:suppressLineNumbers w:val="0"/>
              <w:spacing w:before="0" w:beforeAutospacing="0" w:after="0" w:afterAutospacing="0"/>
              <w:ind w:left="0" w:right="0"/>
              <w:rPr>
                <w:rFonts w:hint="default" w:ascii="宋体" w:hAnsi="宋体" w:cs="宋体"/>
                <w:sz w:val="21"/>
                <w:szCs w:val="21"/>
                <w:highlight w:val="none"/>
              </w:rPr>
            </w:pPr>
            <w:r>
              <w:rPr>
                <w:rFonts w:hint="eastAsia" w:ascii="宋体" w:hAnsi="宋体" w:cs="宋体"/>
                <w:kern w:val="0"/>
                <w:sz w:val="21"/>
                <w:szCs w:val="21"/>
                <w:highlight w:val="none"/>
              </w:rPr>
              <w:t>根据投标银行不良贷款率排名评分。</w:t>
            </w:r>
            <w:r>
              <w:rPr>
                <w:rFonts w:hint="eastAsia" w:ascii="宋体" w:hAnsi="宋体" w:cs="宋体"/>
                <w:sz w:val="21"/>
                <w:szCs w:val="21"/>
                <w:highlight w:val="none"/>
              </w:rPr>
              <w:t>排名第一得</w:t>
            </w:r>
            <w:r>
              <w:rPr>
                <w:rFonts w:hint="eastAsia" w:ascii="宋体" w:hAnsi="宋体" w:cs="宋体"/>
                <w:sz w:val="21"/>
                <w:szCs w:val="21"/>
                <w:highlight w:val="none"/>
                <w:lang w:val="en-US" w:eastAsia="zh-CN"/>
              </w:rPr>
              <w:t>6</w:t>
            </w:r>
            <w:r>
              <w:rPr>
                <w:rFonts w:hint="eastAsia" w:ascii="宋体" w:hAnsi="宋体" w:cs="宋体"/>
                <w:sz w:val="21"/>
                <w:szCs w:val="21"/>
                <w:highlight w:val="none"/>
              </w:rPr>
              <w:t>分</w:t>
            </w:r>
            <w:r>
              <w:rPr>
                <w:rFonts w:hint="eastAsia" w:ascii="宋体" w:hAnsi="宋体" w:cs="宋体"/>
                <w:kern w:val="0"/>
                <w:sz w:val="21"/>
                <w:szCs w:val="21"/>
                <w:highlight w:val="none"/>
              </w:rPr>
              <w:t>，其余投标银行排名每降低一名相应递减0.</w:t>
            </w:r>
            <w:r>
              <w:rPr>
                <w:rFonts w:hint="eastAsia" w:ascii="宋体" w:hAnsi="宋体" w:cs="宋体"/>
                <w:kern w:val="0"/>
                <w:sz w:val="21"/>
                <w:szCs w:val="21"/>
                <w:highlight w:val="none"/>
                <w:lang w:val="en-US" w:eastAsia="zh-CN"/>
              </w:rPr>
              <w:t>05</w:t>
            </w:r>
            <w:r>
              <w:rPr>
                <w:rFonts w:hint="eastAsia" w:ascii="宋体" w:hAnsi="宋体" w:cs="宋体"/>
                <w:kern w:val="0"/>
                <w:sz w:val="21"/>
                <w:szCs w:val="21"/>
                <w:highlight w:val="none"/>
              </w:rPr>
              <w:t>分，减完为止。（由浙江省财政厅提供数据）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49" w:hRule="atLeast"/>
          <w:jc w:val="center"/>
        </w:trPr>
        <w:tc>
          <w:tcPr>
            <w:tcW w:w="1083" w:type="dxa"/>
            <w:vMerge w:val="continue"/>
            <w:vAlign w:val="center"/>
          </w:tcPr>
          <w:p>
            <w:pPr>
              <w:keepNext w:val="0"/>
              <w:keepLines w:val="0"/>
              <w:suppressLineNumbers w:val="0"/>
              <w:autoSpaceDE w:val="0"/>
              <w:autoSpaceDN w:val="0"/>
              <w:spacing w:before="0" w:beforeAutospacing="0" w:after="0" w:afterAutospacing="0" w:line="288" w:lineRule="auto"/>
              <w:ind w:left="0" w:right="0"/>
              <w:jc w:val="center"/>
              <w:rPr>
                <w:rFonts w:hint="default" w:ascii="宋体" w:hAnsi="宋体" w:cs="宋体"/>
                <w:sz w:val="21"/>
                <w:szCs w:val="21"/>
                <w:highlight w:val="none"/>
              </w:rPr>
            </w:pPr>
          </w:p>
        </w:tc>
        <w:tc>
          <w:tcPr>
            <w:tcW w:w="1199" w:type="dxa"/>
            <w:vMerge w:val="restart"/>
            <w:vAlign w:val="center"/>
          </w:tcPr>
          <w:p>
            <w:pPr>
              <w:keepNext w:val="0"/>
              <w:keepLines w:val="0"/>
              <w:suppressLineNumbers w:val="0"/>
              <w:snapToGrid w:val="0"/>
              <w:spacing w:before="0" w:beforeAutospacing="0" w:after="0" w:afterAutospacing="0" w:line="288" w:lineRule="auto"/>
              <w:ind w:left="0" w:right="0"/>
              <w:jc w:val="center"/>
              <w:rPr>
                <w:rFonts w:hint="default" w:ascii="宋体" w:hAnsi="宋体" w:cs="宋体"/>
                <w:sz w:val="21"/>
                <w:szCs w:val="21"/>
                <w:highlight w:val="none"/>
              </w:rPr>
            </w:pPr>
            <w:r>
              <w:rPr>
                <w:rFonts w:hint="eastAsia" w:ascii="宋体" w:hAnsi="宋体" w:cs="宋体"/>
                <w:sz w:val="21"/>
                <w:szCs w:val="21"/>
                <w:highlight w:val="none"/>
              </w:rPr>
              <w:t>2.运营状况</w:t>
            </w:r>
          </w:p>
        </w:tc>
        <w:tc>
          <w:tcPr>
            <w:tcW w:w="786" w:type="dxa"/>
            <w:vAlign w:val="center"/>
          </w:tcPr>
          <w:p>
            <w:pPr>
              <w:keepNext w:val="0"/>
              <w:keepLines w:val="0"/>
              <w:suppressLineNumbers w:val="0"/>
              <w:snapToGrid w:val="0"/>
              <w:spacing w:before="0" w:beforeAutospacing="0" w:after="0" w:afterAutospacing="0" w:line="288" w:lineRule="auto"/>
              <w:ind w:left="0" w:right="0"/>
              <w:jc w:val="center"/>
              <w:rPr>
                <w:rFonts w:hint="eastAsia" w:ascii="宋体" w:hAnsi="宋体" w:eastAsia="宋体" w:cs="宋体"/>
                <w:sz w:val="21"/>
                <w:szCs w:val="21"/>
                <w:highlight w:val="none"/>
                <w:lang w:eastAsia="zh-CN"/>
              </w:rPr>
            </w:pPr>
            <w:r>
              <w:rPr>
                <w:rFonts w:hint="eastAsia" w:ascii="宋体" w:hAnsi="宋体" w:cs="宋体"/>
                <w:sz w:val="21"/>
                <w:szCs w:val="21"/>
                <w:highlight w:val="none"/>
                <w:lang w:val="en-US" w:eastAsia="zh-CN"/>
              </w:rPr>
              <w:t>6</w:t>
            </w:r>
          </w:p>
        </w:tc>
        <w:tc>
          <w:tcPr>
            <w:tcW w:w="7034" w:type="dxa"/>
            <w:vAlign w:val="center"/>
          </w:tcPr>
          <w:p>
            <w:pPr>
              <w:keepNext w:val="0"/>
              <w:keepLines w:val="0"/>
              <w:suppressLineNumbers w:val="0"/>
              <w:spacing w:before="0" w:beforeAutospacing="0" w:after="0" w:afterAutospacing="0"/>
              <w:ind w:left="0" w:right="0"/>
              <w:rPr>
                <w:rFonts w:hint="default" w:ascii="宋体" w:hAnsi="宋体" w:cs="宋体"/>
                <w:sz w:val="21"/>
                <w:szCs w:val="21"/>
                <w:highlight w:val="none"/>
              </w:rPr>
            </w:pPr>
            <w:r>
              <w:rPr>
                <w:rFonts w:hint="eastAsia" w:ascii="宋体" w:hAnsi="宋体" w:cs="宋体"/>
                <w:kern w:val="0"/>
                <w:sz w:val="21"/>
                <w:szCs w:val="21"/>
                <w:highlight w:val="none"/>
              </w:rPr>
              <w:t>根据投标银行利润总额排名评分。排名第一得</w:t>
            </w:r>
            <w:r>
              <w:rPr>
                <w:rFonts w:hint="eastAsia" w:ascii="宋体" w:hAnsi="宋体" w:cs="宋体"/>
                <w:kern w:val="0"/>
                <w:sz w:val="21"/>
                <w:szCs w:val="21"/>
                <w:highlight w:val="none"/>
                <w:lang w:val="en-US" w:eastAsia="zh-CN"/>
              </w:rPr>
              <w:t>6</w:t>
            </w:r>
            <w:r>
              <w:rPr>
                <w:rFonts w:hint="eastAsia" w:ascii="宋体" w:hAnsi="宋体" w:cs="宋体"/>
                <w:kern w:val="0"/>
                <w:sz w:val="21"/>
                <w:szCs w:val="21"/>
                <w:highlight w:val="none"/>
              </w:rPr>
              <w:t>分，其余投标银行排名每降低一名相应递减0.</w:t>
            </w:r>
            <w:r>
              <w:rPr>
                <w:rFonts w:hint="eastAsia" w:ascii="宋体" w:hAnsi="宋体" w:cs="宋体"/>
                <w:kern w:val="0"/>
                <w:sz w:val="21"/>
                <w:szCs w:val="21"/>
                <w:highlight w:val="none"/>
                <w:lang w:val="en-US" w:eastAsia="zh-CN"/>
              </w:rPr>
              <w:t>05</w:t>
            </w:r>
            <w:r>
              <w:rPr>
                <w:rFonts w:hint="eastAsia" w:ascii="宋体" w:hAnsi="宋体" w:cs="宋体"/>
                <w:kern w:val="0"/>
                <w:sz w:val="21"/>
                <w:szCs w:val="21"/>
                <w:highlight w:val="none"/>
              </w:rPr>
              <w:t>分，减完为止。（由浙江省财政厅提供数据）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54" w:hRule="atLeast"/>
          <w:jc w:val="center"/>
        </w:trPr>
        <w:tc>
          <w:tcPr>
            <w:tcW w:w="1083" w:type="dxa"/>
            <w:vMerge w:val="continue"/>
          </w:tcPr>
          <w:p>
            <w:pPr>
              <w:keepNext w:val="0"/>
              <w:keepLines w:val="0"/>
              <w:suppressLineNumbers w:val="0"/>
              <w:autoSpaceDE w:val="0"/>
              <w:autoSpaceDN w:val="0"/>
              <w:spacing w:before="0" w:beforeAutospacing="0" w:after="0" w:afterAutospacing="0" w:line="288" w:lineRule="auto"/>
              <w:ind w:left="0" w:right="0"/>
              <w:jc w:val="center"/>
              <w:rPr>
                <w:rFonts w:hint="default" w:ascii="宋体" w:hAnsi="宋体" w:cs="宋体"/>
                <w:b/>
                <w:bCs/>
                <w:sz w:val="21"/>
                <w:szCs w:val="21"/>
                <w:highlight w:val="none"/>
              </w:rPr>
            </w:pPr>
          </w:p>
        </w:tc>
        <w:tc>
          <w:tcPr>
            <w:tcW w:w="1199" w:type="dxa"/>
            <w:vMerge w:val="continue"/>
            <w:vAlign w:val="center"/>
          </w:tcPr>
          <w:p>
            <w:pPr>
              <w:keepNext w:val="0"/>
              <w:keepLines w:val="0"/>
              <w:suppressLineNumbers w:val="0"/>
              <w:snapToGrid w:val="0"/>
              <w:spacing w:before="0" w:beforeAutospacing="0" w:after="0" w:afterAutospacing="0" w:line="288" w:lineRule="auto"/>
              <w:ind w:left="0" w:right="0"/>
              <w:jc w:val="center"/>
              <w:rPr>
                <w:rFonts w:hint="default" w:ascii="宋体" w:hAnsi="宋体" w:cs="宋体"/>
                <w:sz w:val="21"/>
                <w:szCs w:val="21"/>
                <w:highlight w:val="none"/>
              </w:rPr>
            </w:pPr>
          </w:p>
        </w:tc>
        <w:tc>
          <w:tcPr>
            <w:tcW w:w="786" w:type="dxa"/>
            <w:vAlign w:val="center"/>
          </w:tcPr>
          <w:p>
            <w:pPr>
              <w:keepNext w:val="0"/>
              <w:keepLines w:val="0"/>
              <w:suppressLineNumbers w:val="0"/>
              <w:snapToGrid w:val="0"/>
              <w:spacing w:before="0" w:beforeAutospacing="0" w:after="0" w:afterAutospacing="0" w:line="288" w:lineRule="auto"/>
              <w:ind w:left="0" w:right="0"/>
              <w:jc w:val="center"/>
              <w:rPr>
                <w:rFonts w:hint="eastAsia" w:ascii="宋体" w:hAnsi="宋体" w:eastAsia="宋体" w:cs="宋体"/>
                <w:sz w:val="21"/>
                <w:szCs w:val="21"/>
                <w:highlight w:val="none"/>
                <w:lang w:eastAsia="zh-CN"/>
              </w:rPr>
            </w:pPr>
            <w:r>
              <w:rPr>
                <w:rFonts w:hint="eastAsia" w:ascii="宋体" w:hAnsi="宋体" w:cs="宋体"/>
                <w:sz w:val="21"/>
                <w:szCs w:val="21"/>
                <w:highlight w:val="none"/>
                <w:lang w:val="en-US" w:eastAsia="zh-CN"/>
              </w:rPr>
              <w:t>6</w:t>
            </w:r>
          </w:p>
        </w:tc>
        <w:tc>
          <w:tcPr>
            <w:tcW w:w="7034" w:type="dxa"/>
            <w:vAlign w:val="center"/>
          </w:tcPr>
          <w:p>
            <w:pPr>
              <w:keepNext w:val="0"/>
              <w:keepLines w:val="0"/>
              <w:suppressLineNumbers w:val="0"/>
              <w:spacing w:before="0" w:beforeAutospacing="0" w:after="0" w:afterAutospacing="0"/>
              <w:ind w:left="0" w:right="0"/>
              <w:rPr>
                <w:rFonts w:hint="default" w:ascii="宋体" w:hAnsi="宋体" w:cs="宋体"/>
                <w:kern w:val="0"/>
                <w:sz w:val="21"/>
                <w:szCs w:val="21"/>
                <w:highlight w:val="none"/>
              </w:rPr>
            </w:pPr>
            <w:r>
              <w:rPr>
                <w:rFonts w:hint="eastAsia" w:ascii="宋体" w:hAnsi="宋体" w:cs="宋体"/>
                <w:kern w:val="0"/>
                <w:sz w:val="21"/>
                <w:szCs w:val="21"/>
                <w:highlight w:val="none"/>
              </w:rPr>
              <w:t>根据投标银行利润增长率排名评分。排名第一得</w:t>
            </w:r>
            <w:r>
              <w:rPr>
                <w:rFonts w:hint="eastAsia" w:ascii="宋体" w:hAnsi="宋体" w:cs="宋体"/>
                <w:kern w:val="0"/>
                <w:sz w:val="21"/>
                <w:szCs w:val="21"/>
                <w:highlight w:val="none"/>
                <w:lang w:val="en-US" w:eastAsia="zh-CN"/>
              </w:rPr>
              <w:t>6</w:t>
            </w:r>
            <w:r>
              <w:rPr>
                <w:rFonts w:hint="eastAsia" w:ascii="宋体" w:hAnsi="宋体" w:cs="宋体"/>
                <w:kern w:val="0"/>
                <w:sz w:val="21"/>
                <w:szCs w:val="21"/>
                <w:highlight w:val="none"/>
              </w:rPr>
              <w:t>分，其余投标银行排名每降低一名相应递减0.</w:t>
            </w:r>
            <w:r>
              <w:rPr>
                <w:rFonts w:hint="eastAsia" w:ascii="宋体" w:hAnsi="宋体" w:cs="宋体"/>
                <w:kern w:val="0"/>
                <w:sz w:val="21"/>
                <w:szCs w:val="21"/>
                <w:highlight w:val="none"/>
                <w:lang w:val="en-US" w:eastAsia="zh-CN"/>
              </w:rPr>
              <w:t>05</w:t>
            </w:r>
            <w:r>
              <w:rPr>
                <w:rFonts w:hint="eastAsia" w:ascii="宋体" w:hAnsi="宋体" w:cs="宋体"/>
                <w:kern w:val="0"/>
                <w:sz w:val="21"/>
                <w:szCs w:val="21"/>
                <w:highlight w:val="none"/>
              </w:rPr>
              <w:t>分，减完为止。（由浙江省财政厅提供数据）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33" w:hRule="atLeast"/>
          <w:jc w:val="center"/>
        </w:trPr>
        <w:tc>
          <w:tcPr>
            <w:tcW w:w="1083" w:type="dxa"/>
            <w:vMerge w:val="continue"/>
          </w:tcPr>
          <w:p>
            <w:pPr>
              <w:keepNext w:val="0"/>
              <w:keepLines w:val="0"/>
              <w:suppressLineNumbers w:val="0"/>
              <w:autoSpaceDE w:val="0"/>
              <w:autoSpaceDN w:val="0"/>
              <w:spacing w:before="0" w:beforeAutospacing="0" w:after="0" w:afterAutospacing="0" w:line="288" w:lineRule="auto"/>
              <w:ind w:left="0" w:right="0"/>
              <w:jc w:val="center"/>
              <w:rPr>
                <w:rFonts w:hint="default" w:ascii="宋体" w:hAnsi="宋体" w:cs="宋体"/>
                <w:b/>
                <w:bCs/>
                <w:sz w:val="21"/>
                <w:szCs w:val="21"/>
                <w:highlight w:val="none"/>
              </w:rPr>
            </w:pPr>
          </w:p>
        </w:tc>
        <w:tc>
          <w:tcPr>
            <w:tcW w:w="1199" w:type="dxa"/>
            <w:vAlign w:val="center"/>
          </w:tcPr>
          <w:p>
            <w:pPr>
              <w:keepNext w:val="0"/>
              <w:keepLines w:val="0"/>
              <w:suppressLineNumbers w:val="0"/>
              <w:snapToGrid w:val="0"/>
              <w:spacing w:before="0" w:beforeAutospacing="0" w:after="0" w:afterAutospacing="0" w:line="288" w:lineRule="auto"/>
              <w:ind w:left="0" w:right="0"/>
              <w:jc w:val="center"/>
              <w:rPr>
                <w:rFonts w:hint="default" w:ascii="宋体" w:hAnsi="宋体" w:cs="宋体"/>
                <w:sz w:val="21"/>
                <w:szCs w:val="21"/>
                <w:highlight w:val="none"/>
              </w:rPr>
            </w:pPr>
            <w:r>
              <w:rPr>
                <w:rFonts w:hint="eastAsia" w:ascii="宋体" w:hAnsi="宋体" w:cs="宋体"/>
                <w:sz w:val="21"/>
                <w:szCs w:val="21"/>
                <w:highlight w:val="none"/>
              </w:rPr>
              <w:t>3.偿付能力</w:t>
            </w:r>
          </w:p>
        </w:tc>
        <w:tc>
          <w:tcPr>
            <w:tcW w:w="786" w:type="dxa"/>
            <w:vAlign w:val="center"/>
          </w:tcPr>
          <w:p>
            <w:pPr>
              <w:keepNext w:val="0"/>
              <w:keepLines w:val="0"/>
              <w:suppressLineNumbers w:val="0"/>
              <w:snapToGrid w:val="0"/>
              <w:spacing w:before="0" w:beforeAutospacing="0" w:after="0" w:afterAutospacing="0" w:line="288" w:lineRule="auto"/>
              <w:ind w:left="0" w:right="0"/>
              <w:jc w:val="center"/>
              <w:rPr>
                <w:rFonts w:hint="eastAsia" w:ascii="宋体" w:hAnsi="宋体" w:eastAsia="宋体" w:cs="宋体"/>
                <w:sz w:val="21"/>
                <w:szCs w:val="21"/>
                <w:highlight w:val="none"/>
                <w:lang w:eastAsia="zh-CN"/>
              </w:rPr>
            </w:pPr>
            <w:r>
              <w:rPr>
                <w:rFonts w:hint="eastAsia" w:ascii="宋体" w:hAnsi="宋体" w:cs="宋体"/>
                <w:sz w:val="21"/>
                <w:szCs w:val="21"/>
                <w:highlight w:val="none"/>
                <w:lang w:val="en-US" w:eastAsia="zh-CN"/>
              </w:rPr>
              <w:t>6</w:t>
            </w:r>
          </w:p>
        </w:tc>
        <w:tc>
          <w:tcPr>
            <w:tcW w:w="7034" w:type="dxa"/>
            <w:vAlign w:val="center"/>
          </w:tcPr>
          <w:p>
            <w:pPr>
              <w:keepNext w:val="0"/>
              <w:keepLines w:val="0"/>
              <w:suppressLineNumbers w:val="0"/>
              <w:spacing w:before="0" w:beforeAutospacing="0" w:after="0" w:afterAutospacing="0"/>
              <w:ind w:left="0" w:right="0"/>
              <w:rPr>
                <w:rFonts w:hint="default" w:ascii="宋体" w:hAnsi="宋体" w:cs="宋体"/>
                <w:sz w:val="21"/>
                <w:szCs w:val="21"/>
                <w:highlight w:val="none"/>
              </w:rPr>
            </w:pPr>
            <w:r>
              <w:rPr>
                <w:rFonts w:hint="eastAsia" w:ascii="宋体" w:hAnsi="宋体" w:cs="宋体"/>
                <w:kern w:val="0"/>
                <w:sz w:val="21"/>
                <w:szCs w:val="21"/>
                <w:highlight w:val="none"/>
              </w:rPr>
              <w:t>根据投标银行拨备覆盖率排名评分。排名第一得</w:t>
            </w:r>
            <w:r>
              <w:rPr>
                <w:rFonts w:hint="eastAsia" w:ascii="宋体" w:hAnsi="宋体" w:cs="宋体"/>
                <w:kern w:val="0"/>
                <w:sz w:val="21"/>
                <w:szCs w:val="21"/>
                <w:highlight w:val="none"/>
                <w:lang w:val="en-US" w:eastAsia="zh-CN"/>
              </w:rPr>
              <w:t>6</w:t>
            </w:r>
            <w:r>
              <w:rPr>
                <w:rFonts w:hint="eastAsia" w:ascii="宋体" w:hAnsi="宋体" w:cs="宋体"/>
                <w:kern w:val="0"/>
                <w:sz w:val="21"/>
                <w:szCs w:val="21"/>
                <w:highlight w:val="none"/>
              </w:rPr>
              <w:t>分，其余投标银行排名每降低一名相应递减0.</w:t>
            </w:r>
            <w:r>
              <w:rPr>
                <w:rFonts w:hint="eastAsia" w:ascii="宋体" w:hAnsi="宋体" w:cs="宋体"/>
                <w:kern w:val="0"/>
                <w:sz w:val="21"/>
                <w:szCs w:val="21"/>
                <w:highlight w:val="none"/>
                <w:lang w:val="en-US" w:eastAsia="zh-CN"/>
              </w:rPr>
              <w:t>05</w:t>
            </w:r>
            <w:r>
              <w:rPr>
                <w:rFonts w:hint="eastAsia" w:ascii="宋体" w:hAnsi="宋体" w:cs="宋体"/>
                <w:kern w:val="0"/>
                <w:sz w:val="21"/>
                <w:szCs w:val="21"/>
                <w:highlight w:val="none"/>
              </w:rPr>
              <w:t>分，减完为止。（由浙江省财政厅提供数据）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13" w:hRule="atLeast"/>
          <w:jc w:val="center"/>
        </w:trPr>
        <w:tc>
          <w:tcPr>
            <w:tcW w:w="1083" w:type="dxa"/>
            <w:vMerge w:val="continue"/>
          </w:tcPr>
          <w:p>
            <w:pPr>
              <w:keepNext w:val="0"/>
              <w:keepLines w:val="0"/>
              <w:suppressLineNumbers w:val="0"/>
              <w:autoSpaceDE w:val="0"/>
              <w:autoSpaceDN w:val="0"/>
              <w:spacing w:before="0" w:beforeAutospacing="0" w:after="0" w:afterAutospacing="0" w:line="288" w:lineRule="auto"/>
              <w:ind w:left="0" w:right="0"/>
              <w:jc w:val="center"/>
              <w:rPr>
                <w:rFonts w:hint="default" w:ascii="宋体" w:hAnsi="宋体" w:cs="宋体"/>
                <w:b/>
                <w:bCs/>
                <w:sz w:val="21"/>
                <w:szCs w:val="21"/>
                <w:highlight w:val="none"/>
              </w:rPr>
            </w:pPr>
          </w:p>
        </w:tc>
        <w:tc>
          <w:tcPr>
            <w:tcW w:w="1199" w:type="dxa"/>
            <w:vAlign w:val="center"/>
          </w:tcPr>
          <w:p>
            <w:pPr>
              <w:keepNext w:val="0"/>
              <w:keepLines w:val="0"/>
              <w:suppressLineNumbers w:val="0"/>
              <w:snapToGrid w:val="0"/>
              <w:spacing w:before="0" w:beforeAutospacing="0" w:after="0" w:afterAutospacing="0" w:line="288" w:lineRule="auto"/>
              <w:ind w:left="0" w:right="0"/>
              <w:jc w:val="center"/>
              <w:rPr>
                <w:rFonts w:hint="default" w:ascii="宋体" w:hAnsi="宋体" w:cs="宋体"/>
                <w:sz w:val="21"/>
                <w:szCs w:val="21"/>
                <w:highlight w:val="none"/>
              </w:rPr>
            </w:pPr>
            <w:r>
              <w:rPr>
                <w:rFonts w:hint="eastAsia" w:ascii="宋体" w:hAnsi="宋体" w:cs="宋体"/>
                <w:sz w:val="21"/>
                <w:szCs w:val="21"/>
                <w:highlight w:val="none"/>
              </w:rPr>
              <w:t>4.内控水平</w:t>
            </w:r>
          </w:p>
        </w:tc>
        <w:tc>
          <w:tcPr>
            <w:tcW w:w="786" w:type="dxa"/>
            <w:vAlign w:val="center"/>
          </w:tcPr>
          <w:p>
            <w:pPr>
              <w:keepNext w:val="0"/>
              <w:keepLines w:val="0"/>
              <w:suppressLineNumbers w:val="0"/>
              <w:snapToGrid w:val="0"/>
              <w:spacing w:before="0" w:beforeAutospacing="0" w:after="0" w:afterAutospacing="0" w:line="288" w:lineRule="auto"/>
              <w:ind w:left="0" w:right="0"/>
              <w:jc w:val="center"/>
              <w:rPr>
                <w:rFonts w:hint="eastAsia" w:ascii="宋体" w:hAnsi="宋体" w:eastAsia="宋体" w:cs="宋体"/>
                <w:sz w:val="21"/>
                <w:szCs w:val="21"/>
                <w:highlight w:val="none"/>
                <w:lang w:eastAsia="zh-CN"/>
              </w:rPr>
            </w:pPr>
            <w:r>
              <w:rPr>
                <w:rFonts w:hint="eastAsia" w:ascii="宋体" w:hAnsi="宋体" w:cs="宋体"/>
                <w:sz w:val="21"/>
                <w:szCs w:val="21"/>
                <w:highlight w:val="none"/>
                <w:lang w:val="en-US" w:eastAsia="zh-CN"/>
              </w:rPr>
              <w:t>6</w:t>
            </w:r>
          </w:p>
        </w:tc>
        <w:tc>
          <w:tcPr>
            <w:tcW w:w="7034" w:type="dxa"/>
            <w:vAlign w:val="center"/>
          </w:tcPr>
          <w:p>
            <w:pPr>
              <w:keepNext w:val="0"/>
              <w:keepLines w:val="0"/>
              <w:suppressLineNumbers w:val="0"/>
              <w:spacing w:before="0" w:beforeAutospacing="0" w:after="0" w:afterAutospacing="0"/>
              <w:ind w:left="0" w:right="0"/>
              <w:rPr>
                <w:rFonts w:hint="default" w:ascii="宋体" w:hAnsi="宋体" w:cs="宋体"/>
                <w:sz w:val="21"/>
                <w:szCs w:val="21"/>
                <w:highlight w:val="none"/>
              </w:rPr>
            </w:pPr>
            <w:r>
              <w:rPr>
                <w:rFonts w:hint="eastAsia" w:ascii="宋体" w:hAnsi="宋体" w:cs="宋体"/>
                <w:kern w:val="0"/>
                <w:sz w:val="21"/>
                <w:szCs w:val="21"/>
                <w:highlight w:val="none"/>
              </w:rPr>
              <w:t>根据投标银行央行金融机构评级排名评分。排名第一得</w:t>
            </w:r>
            <w:r>
              <w:rPr>
                <w:rFonts w:hint="eastAsia" w:ascii="宋体" w:hAnsi="宋体" w:cs="宋体"/>
                <w:kern w:val="0"/>
                <w:sz w:val="21"/>
                <w:szCs w:val="21"/>
                <w:highlight w:val="none"/>
                <w:lang w:val="en-US" w:eastAsia="zh-CN"/>
              </w:rPr>
              <w:t>6</w:t>
            </w:r>
            <w:r>
              <w:rPr>
                <w:rFonts w:hint="eastAsia" w:ascii="宋体" w:hAnsi="宋体" w:cs="宋体"/>
                <w:kern w:val="0"/>
                <w:sz w:val="21"/>
                <w:szCs w:val="21"/>
                <w:highlight w:val="none"/>
              </w:rPr>
              <w:t>分，</w:t>
            </w:r>
            <w:r>
              <w:rPr>
                <w:rFonts w:hint="eastAsia" w:ascii="宋体" w:hAnsi="宋体" w:cs="宋体"/>
                <w:kern w:val="0"/>
                <w:sz w:val="21"/>
                <w:szCs w:val="21"/>
                <w:highlight w:val="none"/>
                <w:lang w:val="en-US" w:eastAsia="zh-CN"/>
              </w:rPr>
              <w:t>排名第二得5.95分，排名第三得5.9分，排名第四得5.85分，排名第五得5.8分，排名第六得5.75分，排名第七得5.7分</w:t>
            </w:r>
            <w:r>
              <w:rPr>
                <w:rFonts w:hint="eastAsia" w:ascii="宋体" w:hAnsi="宋体" w:cs="宋体"/>
                <w:kern w:val="0"/>
                <w:sz w:val="21"/>
                <w:szCs w:val="21"/>
                <w:highlight w:val="none"/>
              </w:rPr>
              <w:t>。（由浙江省财政厅提供数据）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jc w:val="center"/>
        </w:trPr>
        <w:tc>
          <w:tcPr>
            <w:tcW w:w="1083" w:type="dxa"/>
            <w:vMerge w:val="restart"/>
            <w:vAlign w:val="center"/>
          </w:tcPr>
          <w:p>
            <w:pPr>
              <w:keepNext w:val="0"/>
              <w:keepLines w:val="0"/>
              <w:suppressLineNumbers w:val="0"/>
              <w:spacing w:before="0" w:beforeAutospacing="0" w:after="0" w:afterAutospacing="0"/>
              <w:ind w:left="0" w:right="0"/>
              <w:jc w:val="center"/>
              <w:rPr>
                <w:rFonts w:hint="default" w:ascii="宋体" w:hAnsi="宋体" w:cs="宋体"/>
                <w:b/>
                <w:bCs/>
                <w:sz w:val="21"/>
                <w:szCs w:val="21"/>
                <w:highlight w:val="none"/>
              </w:rPr>
            </w:pPr>
            <w:r>
              <w:rPr>
                <w:rFonts w:hint="eastAsia" w:ascii="宋体" w:hAnsi="宋体" w:cs="宋体"/>
                <w:b/>
                <w:sz w:val="21"/>
                <w:szCs w:val="21"/>
                <w:highlight w:val="none"/>
              </w:rPr>
              <w:t>经济贡献度指标（30分）</w:t>
            </w:r>
          </w:p>
        </w:tc>
        <w:tc>
          <w:tcPr>
            <w:tcW w:w="1199" w:type="dxa"/>
            <w:vAlign w:val="center"/>
          </w:tcPr>
          <w:p>
            <w:pPr>
              <w:keepNext w:val="0"/>
              <w:keepLines w:val="0"/>
              <w:suppressLineNumbers w:val="0"/>
              <w:spacing w:before="0" w:beforeAutospacing="0" w:after="0" w:afterAutospacing="0"/>
              <w:ind w:left="0" w:right="0"/>
              <w:jc w:val="center"/>
              <w:textAlignment w:val="center"/>
              <w:rPr>
                <w:rFonts w:hint="default" w:ascii="宋体" w:hAnsi="宋体" w:cs="宋体"/>
                <w:kern w:val="0"/>
                <w:sz w:val="21"/>
                <w:szCs w:val="21"/>
                <w:highlight w:val="none"/>
              </w:rPr>
            </w:pPr>
            <w:r>
              <w:rPr>
                <w:rFonts w:hint="eastAsia" w:ascii="宋体" w:hAnsi="宋体" w:cs="宋体"/>
                <w:kern w:val="0"/>
                <w:sz w:val="21"/>
                <w:szCs w:val="21"/>
                <w:highlight w:val="none"/>
              </w:rPr>
              <w:t>1.支持地方经济社会发展情况</w:t>
            </w:r>
          </w:p>
        </w:tc>
        <w:tc>
          <w:tcPr>
            <w:tcW w:w="786" w:type="dxa"/>
            <w:vAlign w:val="center"/>
          </w:tcPr>
          <w:p>
            <w:pPr>
              <w:keepNext w:val="0"/>
              <w:keepLines w:val="0"/>
              <w:suppressLineNumbers w:val="0"/>
              <w:spacing w:before="0" w:beforeAutospacing="0" w:after="0" w:afterAutospacing="0"/>
              <w:ind w:left="0" w:right="0"/>
              <w:jc w:val="center"/>
              <w:textAlignment w:val="center"/>
              <w:rPr>
                <w:rFonts w:hint="eastAsia" w:ascii="宋体" w:hAnsi="宋体" w:eastAsia="宋体" w:cs="宋体"/>
                <w:kern w:val="0"/>
                <w:sz w:val="21"/>
                <w:szCs w:val="21"/>
                <w:highlight w:val="none"/>
                <w:lang w:eastAsia="zh-CN"/>
              </w:rPr>
            </w:pPr>
            <w:r>
              <w:rPr>
                <w:rFonts w:hint="eastAsia" w:ascii="宋体" w:hAnsi="宋体" w:cs="宋体"/>
                <w:kern w:val="0"/>
                <w:sz w:val="21"/>
                <w:szCs w:val="21"/>
                <w:highlight w:val="none"/>
                <w:lang w:val="en-US" w:eastAsia="zh-CN"/>
              </w:rPr>
              <w:t>4</w:t>
            </w:r>
          </w:p>
        </w:tc>
        <w:tc>
          <w:tcPr>
            <w:tcW w:w="7034" w:type="dxa"/>
            <w:vAlign w:val="center"/>
          </w:tcPr>
          <w:p>
            <w:pPr>
              <w:keepNext w:val="0"/>
              <w:keepLines w:val="0"/>
              <w:suppressLineNumbers w:val="0"/>
              <w:spacing w:before="0" w:beforeAutospacing="0" w:after="0" w:afterAutospacing="0"/>
              <w:ind w:left="0" w:right="0"/>
              <w:textAlignment w:val="center"/>
              <w:rPr>
                <w:rFonts w:hint="default" w:ascii="宋体" w:hAnsi="宋体" w:cs="宋体"/>
                <w:kern w:val="0"/>
                <w:sz w:val="21"/>
                <w:szCs w:val="21"/>
                <w:highlight w:val="none"/>
              </w:rPr>
            </w:pPr>
            <w:r>
              <w:rPr>
                <w:rFonts w:hint="eastAsia" w:ascii="宋体" w:hAnsi="宋体" w:cs="宋体"/>
                <w:kern w:val="0"/>
                <w:sz w:val="21"/>
                <w:szCs w:val="21"/>
                <w:highlight w:val="none"/>
              </w:rPr>
              <w:t>根据投标银行浙江省政府金融机构支持地方经济社会发展评价结果进行评分（一等奖、二等奖、三等奖、未得奖）。一等奖得</w:t>
            </w:r>
            <w:r>
              <w:rPr>
                <w:rFonts w:hint="eastAsia" w:ascii="宋体" w:hAnsi="宋体" w:cs="宋体"/>
                <w:kern w:val="0"/>
                <w:sz w:val="21"/>
                <w:szCs w:val="21"/>
                <w:highlight w:val="none"/>
                <w:lang w:val="en-US" w:eastAsia="zh-CN"/>
              </w:rPr>
              <w:t>4</w:t>
            </w:r>
            <w:r>
              <w:rPr>
                <w:rFonts w:hint="eastAsia" w:ascii="宋体" w:hAnsi="宋体" w:cs="宋体"/>
                <w:kern w:val="0"/>
                <w:sz w:val="21"/>
                <w:szCs w:val="21"/>
                <w:highlight w:val="none"/>
              </w:rPr>
              <w:t>分，二等奖</w:t>
            </w:r>
            <w:r>
              <w:rPr>
                <w:rFonts w:hint="eastAsia" w:ascii="宋体" w:hAnsi="宋体" w:cs="宋体"/>
                <w:kern w:val="0"/>
                <w:sz w:val="21"/>
                <w:szCs w:val="21"/>
                <w:highlight w:val="none"/>
                <w:lang w:val="en-US" w:eastAsia="zh-CN"/>
              </w:rPr>
              <w:t>2</w:t>
            </w:r>
            <w:r>
              <w:rPr>
                <w:rFonts w:hint="eastAsia" w:ascii="宋体" w:hAnsi="宋体" w:cs="宋体"/>
                <w:kern w:val="0"/>
                <w:sz w:val="21"/>
                <w:szCs w:val="21"/>
                <w:highlight w:val="none"/>
              </w:rPr>
              <w:t>分，三等奖1分，未得奖0分。（由浙江省财政厅提供数据）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jc w:val="center"/>
        </w:trPr>
        <w:tc>
          <w:tcPr>
            <w:tcW w:w="1083" w:type="dxa"/>
            <w:vMerge w:val="continue"/>
          </w:tcPr>
          <w:p>
            <w:pPr>
              <w:keepNext w:val="0"/>
              <w:keepLines w:val="0"/>
              <w:suppressLineNumbers w:val="0"/>
              <w:autoSpaceDE w:val="0"/>
              <w:autoSpaceDN w:val="0"/>
              <w:spacing w:before="0" w:beforeAutospacing="0" w:after="0" w:afterAutospacing="0" w:line="288" w:lineRule="auto"/>
              <w:ind w:left="0" w:right="0"/>
              <w:jc w:val="center"/>
              <w:rPr>
                <w:rFonts w:hint="default" w:ascii="宋体" w:hAnsi="宋体" w:cs="宋体"/>
                <w:b/>
                <w:bCs/>
                <w:sz w:val="21"/>
                <w:szCs w:val="21"/>
                <w:highlight w:val="none"/>
              </w:rPr>
            </w:pPr>
          </w:p>
        </w:tc>
        <w:tc>
          <w:tcPr>
            <w:tcW w:w="1199" w:type="dxa"/>
            <w:vMerge w:val="restart"/>
            <w:vAlign w:val="center"/>
          </w:tcPr>
          <w:p>
            <w:pPr>
              <w:keepNext w:val="0"/>
              <w:keepLines w:val="0"/>
              <w:suppressLineNumbers w:val="0"/>
              <w:spacing w:before="0" w:beforeAutospacing="0" w:after="0" w:afterAutospacing="0"/>
              <w:ind w:left="0" w:right="0"/>
              <w:jc w:val="center"/>
              <w:textAlignment w:val="center"/>
              <w:rPr>
                <w:rFonts w:hint="default" w:ascii="宋体" w:hAnsi="宋体" w:cs="宋体"/>
                <w:kern w:val="0"/>
                <w:sz w:val="21"/>
                <w:szCs w:val="21"/>
                <w:highlight w:val="none"/>
              </w:rPr>
            </w:pPr>
            <w:r>
              <w:rPr>
                <w:rFonts w:hint="eastAsia" w:ascii="宋体" w:hAnsi="宋体" w:cs="宋体"/>
                <w:kern w:val="0"/>
                <w:sz w:val="21"/>
                <w:szCs w:val="21"/>
                <w:highlight w:val="none"/>
              </w:rPr>
              <w:t>2.支持制造业情况</w:t>
            </w:r>
          </w:p>
        </w:tc>
        <w:tc>
          <w:tcPr>
            <w:tcW w:w="786" w:type="dxa"/>
            <w:vAlign w:val="center"/>
          </w:tcPr>
          <w:p>
            <w:pPr>
              <w:keepNext w:val="0"/>
              <w:keepLines w:val="0"/>
              <w:suppressLineNumbers w:val="0"/>
              <w:spacing w:before="0" w:beforeAutospacing="0" w:after="0" w:afterAutospacing="0"/>
              <w:ind w:left="0" w:right="0"/>
              <w:jc w:val="center"/>
              <w:textAlignment w:val="center"/>
              <w:rPr>
                <w:rFonts w:hint="default" w:ascii="宋体" w:hAnsi="宋体" w:cs="宋体"/>
                <w:kern w:val="0"/>
                <w:sz w:val="21"/>
                <w:szCs w:val="21"/>
                <w:highlight w:val="none"/>
              </w:rPr>
            </w:pPr>
            <w:r>
              <w:rPr>
                <w:rFonts w:hint="eastAsia" w:ascii="宋体" w:hAnsi="宋体" w:cs="宋体"/>
                <w:kern w:val="0"/>
                <w:sz w:val="21"/>
                <w:szCs w:val="21"/>
                <w:highlight w:val="none"/>
              </w:rPr>
              <w:t>2</w:t>
            </w:r>
          </w:p>
        </w:tc>
        <w:tc>
          <w:tcPr>
            <w:tcW w:w="7034" w:type="dxa"/>
            <w:vAlign w:val="center"/>
          </w:tcPr>
          <w:p>
            <w:pPr>
              <w:keepNext w:val="0"/>
              <w:keepLines w:val="0"/>
              <w:suppressLineNumbers w:val="0"/>
              <w:spacing w:before="0" w:beforeAutospacing="0" w:after="0" w:afterAutospacing="0"/>
              <w:ind w:left="0" w:right="0"/>
              <w:textAlignment w:val="center"/>
              <w:rPr>
                <w:rFonts w:hint="default" w:ascii="宋体" w:hAnsi="宋体" w:cs="宋体"/>
                <w:kern w:val="0"/>
                <w:sz w:val="21"/>
                <w:szCs w:val="21"/>
                <w:highlight w:val="none"/>
              </w:rPr>
            </w:pPr>
            <w:r>
              <w:rPr>
                <w:rFonts w:hint="eastAsia" w:ascii="宋体" w:hAnsi="宋体" w:cs="宋体"/>
                <w:kern w:val="0"/>
                <w:sz w:val="21"/>
                <w:szCs w:val="21"/>
                <w:highlight w:val="none"/>
              </w:rPr>
              <w:t>根据投标银行制造业贷款余额排名进行评分。排名第一得2分，其余投标银行排名每降低一名相应递减0.0</w:t>
            </w:r>
            <w:r>
              <w:rPr>
                <w:rFonts w:hint="eastAsia" w:ascii="宋体" w:hAnsi="宋体" w:cs="宋体"/>
                <w:kern w:val="0"/>
                <w:sz w:val="21"/>
                <w:szCs w:val="21"/>
                <w:highlight w:val="none"/>
                <w:lang w:val="en-US" w:eastAsia="zh-CN"/>
              </w:rPr>
              <w:t>5</w:t>
            </w:r>
            <w:r>
              <w:rPr>
                <w:rFonts w:hint="eastAsia" w:ascii="宋体" w:hAnsi="宋体" w:cs="宋体"/>
                <w:kern w:val="0"/>
                <w:sz w:val="21"/>
                <w:szCs w:val="21"/>
                <w:highlight w:val="none"/>
              </w:rPr>
              <w:t>分，减完为止。（由浙江省财政厅提供数据）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046" w:hRule="atLeast"/>
          <w:jc w:val="center"/>
        </w:trPr>
        <w:tc>
          <w:tcPr>
            <w:tcW w:w="1083" w:type="dxa"/>
            <w:vMerge w:val="continue"/>
          </w:tcPr>
          <w:p>
            <w:pPr>
              <w:keepNext w:val="0"/>
              <w:keepLines w:val="0"/>
              <w:suppressLineNumbers w:val="0"/>
              <w:autoSpaceDE w:val="0"/>
              <w:autoSpaceDN w:val="0"/>
              <w:spacing w:before="0" w:beforeAutospacing="0" w:after="0" w:afterAutospacing="0" w:line="288" w:lineRule="auto"/>
              <w:ind w:left="0" w:right="0"/>
              <w:jc w:val="center"/>
              <w:rPr>
                <w:rFonts w:hint="default" w:ascii="宋体" w:hAnsi="宋体" w:cs="宋体"/>
                <w:b/>
                <w:bCs/>
                <w:sz w:val="21"/>
                <w:szCs w:val="21"/>
                <w:highlight w:val="none"/>
              </w:rPr>
            </w:pPr>
          </w:p>
        </w:tc>
        <w:tc>
          <w:tcPr>
            <w:tcW w:w="1199" w:type="dxa"/>
            <w:vMerge w:val="continue"/>
          </w:tcPr>
          <w:p>
            <w:pPr>
              <w:keepNext w:val="0"/>
              <w:keepLines w:val="0"/>
              <w:suppressLineNumbers w:val="0"/>
              <w:snapToGrid w:val="0"/>
              <w:spacing w:before="0" w:beforeAutospacing="0" w:after="0" w:afterAutospacing="0" w:line="288" w:lineRule="auto"/>
              <w:ind w:left="0" w:right="0"/>
              <w:jc w:val="center"/>
              <w:rPr>
                <w:rFonts w:hint="default" w:ascii="宋体" w:hAnsi="宋体" w:cs="宋体"/>
                <w:sz w:val="21"/>
                <w:szCs w:val="21"/>
                <w:highlight w:val="none"/>
              </w:rPr>
            </w:pPr>
          </w:p>
        </w:tc>
        <w:tc>
          <w:tcPr>
            <w:tcW w:w="786" w:type="dxa"/>
            <w:vAlign w:val="center"/>
          </w:tcPr>
          <w:p>
            <w:pPr>
              <w:keepNext w:val="0"/>
              <w:keepLines w:val="0"/>
              <w:suppressLineNumbers w:val="0"/>
              <w:spacing w:before="0" w:beforeAutospacing="0" w:after="0" w:afterAutospacing="0"/>
              <w:ind w:left="0" w:right="0"/>
              <w:jc w:val="center"/>
              <w:textAlignment w:val="center"/>
              <w:rPr>
                <w:rFonts w:hint="default" w:ascii="宋体" w:hAnsi="宋体" w:cs="宋体"/>
                <w:kern w:val="0"/>
                <w:sz w:val="21"/>
                <w:szCs w:val="21"/>
                <w:highlight w:val="none"/>
              </w:rPr>
            </w:pPr>
            <w:r>
              <w:rPr>
                <w:rFonts w:hint="eastAsia" w:ascii="宋体" w:hAnsi="宋体" w:cs="宋体"/>
                <w:kern w:val="0"/>
                <w:sz w:val="21"/>
                <w:szCs w:val="21"/>
                <w:highlight w:val="none"/>
              </w:rPr>
              <w:t>2</w:t>
            </w:r>
          </w:p>
        </w:tc>
        <w:tc>
          <w:tcPr>
            <w:tcW w:w="7034" w:type="dxa"/>
            <w:vAlign w:val="center"/>
          </w:tcPr>
          <w:p>
            <w:pPr>
              <w:keepNext w:val="0"/>
              <w:keepLines w:val="0"/>
              <w:suppressLineNumbers w:val="0"/>
              <w:spacing w:before="0" w:beforeAutospacing="0" w:after="0" w:afterAutospacing="0"/>
              <w:ind w:left="0" w:right="0"/>
              <w:textAlignment w:val="center"/>
              <w:rPr>
                <w:rFonts w:hint="default" w:ascii="宋体" w:hAnsi="宋体" w:cs="宋体"/>
                <w:kern w:val="0"/>
                <w:sz w:val="21"/>
                <w:szCs w:val="21"/>
                <w:highlight w:val="none"/>
              </w:rPr>
            </w:pPr>
            <w:r>
              <w:rPr>
                <w:rFonts w:hint="eastAsia" w:ascii="宋体" w:hAnsi="宋体" w:cs="宋体"/>
                <w:kern w:val="0"/>
                <w:sz w:val="21"/>
                <w:szCs w:val="21"/>
                <w:highlight w:val="none"/>
              </w:rPr>
              <w:t>根据投标银行制造业贷款余额占各项贷款余额比例增长情况排名进行评分。排名第一得2分，其余投标银行排名每降低一名相应递减0.0</w:t>
            </w:r>
            <w:r>
              <w:rPr>
                <w:rFonts w:hint="eastAsia" w:ascii="宋体" w:hAnsi="宋体" w:cs="宋体"/>
                <w:kern w:val="0"/>
                <w:sz w:val="21"/>
                <w:szCs w:val="21"/>
                <w:highlight w:val="none"/>
                <w:lang w:val="en-US" w:eastAsia="zh-CN"/>
              </w:rPr>
              <w:t>5</w:t>
            </w:r>
            <w:r>
              <w:rPr>
                <w:rFonts w:hint="eastAsia" w:ascii="宋体" w:hAnsi="宋体" w:cs="宋体"/>
                <w:kern w:val="0"/>
                <w:sz w:val="21"/>
                <w:szCs w:val="21"/>
                <w:highlight w:val="none"/>
              </w:rPr>
              <w:t>分，减完为止。（由浙江省财政厅提供数据）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186" w:hRule="atLeast"/>
          <w:jc w:val="center"/>
        </w:trPr>
        <w:tc>
          <w:tcPr>
            <w:tcW w:w="1083" w:type="dxa"/>
            <w:vMerge w:val="continue"/>
          </w:tcPr>
          <w:p>
            <w:pPr>
              <w:keepNext w:val="0"/>
              <w:keepLines w:val="0"/>
              <w:suppressLineNumbers w:val="0"/>
              <w:autoSpaceDE w:val="0"/>
              <w:autoSpaceDN w:val="0"/>
              <w:spacing w:before="0" w:beforeAutospacing="0" w:after="0" w:afterAutospacing="0" w:line="288" w:lineRule="auto"/>
              <w:ind w:left="0" w:right="0"/>
              <w:jc w:val="center"/>
              <w:rPr>
                <w:rFonts w:hint="default" w:ascii="宋体" w:hAnsi="宋体" w:cs="宋体"/>
                <w:b/>
                <w:bCs/>
                <w:sz w:val="21"/>
                <w:szCs w:val="21"/>
                <w:highlight w:val="none"/>
              </w:rPr>
            </w:pPr>
          </w:p>
        </w:tc>
        <w:tc>
          <w:tcPr>
            <w:tcW w:w="1199" w:type="dxa"/>
            <w:vMerge w:val="restart"/>
            <w:vAlign w:val="center"/>
          </w:tcPr>
          <w:p>
            <w:pPr>
              <w:keepNext w:val="0"/>
              <w:keepLines w:val="0"/>
              <w:suppressLineNumbers w:val="0"/>
              <w:spacing w:before="0" w:beforeAutospacing="0" w:after="0" w:afterAutospacing="0"/>
              <w:ind w:left="0" w:right="0"/>
              <w:jc w:val="center"/>
              <w:textAlignment w:val="center"/>
              <w:rPr>
                <w:rFonts w:hint="default" w:ascii="宋体" w:hAnsi="宋体" w:cs="宋体"/>
                <w:kern w:val="0"/>
                <w:sz w:val="21"/>
                <w:szCs w:val="21"/>
                <w:highlight w:val="none"/>
              </w:rPr>
            </w:pPr>
            <w:r>
              <w:rPr>
                <w:rFonts w:hint="eastAsia" w:ascii="宋体" w:hAnsi="宋体" w:cs="宋体"/>
                <w:kern w:val="0"/>
                <w:sz w:val="21"/>
                <w:szCs w:val="21"/>
                <w:highlight w:val="none"/>
              </w:rPr>
              <w:t>3.助力“共同富裕”建设情况</w:t>
            </w:r>
          </w:p>
        </w:tc>
        <w:tc>
          <w:tcPr>
            <w:tcW w:w="786" w:type="dxa"/>
            <w:vAlign w:val="center"/>
          </w:tcPr>
          <w:p>
            <w:pPr>
              <w:keepNext w:val="0"/>
              <w:keepLines w:val="0"/>
              <w:suppressLineNumbers w:val="0"/>
              <w:spacing w:before="0" w:beforeAutospacing="0" w:after="0" w:afterAutospacing="0"/>
              <w:ind w:left="0" w:right="0"/>
              <w:jc w:val="center"/>
              <w:textAlignment w:val="center"/>
              <w:rPr>
                <w:rFonts w:hint="default" w:ascii="宋体" w:hAnsi="宋体" w:cs="宋体"/>
                <w:kern w:val="0"/>
                <w:sz w:val="21"/>
                <w:szCs w:val="21"/>
                <w:highlight w:val="none"/>
              </w:rPr>
            </w:pPr>
            <w:r>
              <w:rPr>
                <w:rFonts w:hint="eastAsia" w:ascii="宋体" w:hAnsi="宋体" w:cs="宋体"/>
                <w:kern w:val="0"/>
                <w:sz w:val="21"/>
                <w:szCs w:val="21"/>
                <w:highlight w:val="none"/>
              </w:rPr>
              <w:t>2</w:t>
            </w:r>
          </w:p>
        </w:tc>
        <w:tc>
          <w:tcPr>
            <w:tcW w:w="7034" w:type="dxa"/>
            <w:vAlign w:val="center"/>
          </w:tcPr>
          <w:p>
            <w:pPr>
              <w:keepNext w:val="0"/>
              <w:keepLines w:val="0"/>
              <w:suppressLineNumbers w:val="0"/>
              <w:spacing w:before="0" w:beforeAutospacing="0" w:after="0" w:afterAutospacing="0"/>
              <w:ind w:left="0" w:right="0"/>
              <w:textAlignment w:val="center"/>
              <w:rPr>
                <w:rFonts w:hint="default" w:ascii="宋体" w:hAnsi="宋体" w:cs="宋体"/>
                <w:kern w:val="0"/>
                <w:sz w:val="21"/>
                <w:szCs w:val="21"/>
                <w:highlight w:val="none"/>
              </w:rPr>
            </w:pPr>
            <w:r>
              <w:rPr>
                <w:rFonts w:hint="eastAsia" w:ascii="宋体" w:hAnsi="宋体" w:cs="宋体"/>
                <w:kern w:val="0"/>
                <w:sz w:val="21"/>
                <w:szCs w:val="21"/>
                <w:highlight w:val="none"/>
              </w:rPr>
              <w:t>根据投标银行普惠小微企业贷款余额排名进行评分。排名第一得2分，其余投标银行排名每降低一名相应递减0.0</w:t>
            </w:r>
            <w:r>
              <w:rPr>
                <w:rFonts w:hint="eastAsia" w:ascii="宋体" w:hAnsi="宋体" w:cs="宋体"/>
                <w:kern w:val="0"/>
                <w:sz w:val="21"/>
                <w:szCs w:val="21"/>
                <w:highlight w:val="none"/>
                <w:lang w:val="en-US" w:eastAsia="zh-CN"/>
              </w:rPr>
              <w:t>5</w:t>
            </w:r>
            <w:r>
              <w:rPr>
                <w:rFonts w:hint="eastAsia" w:ascii="宋体" w:hAnsi="宋体" w:cs="宋体"/>
                <w:kern w:val="0"/>
                <w:sz w:val="21"/>
                <w:szCs w:val="21"/>
                <w:highlight w:val="none"/>
              </w:rPr>
              <w:t>分，减完为止。（由浙江省财政厅提供数据）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46" w:hRule="atLeast"/>
          <w:jc w:val="center"/>
        </w:trPr>
        <w:tc>
          <w:tcPr>
            <w:tcW w:w="1083" w:type="dxa"/>
            <w:vMerge w:val="continue"/>
          </w:tcPr>
          <w:p>
            <w:pPr>
              <w:keepNext w:val="0"/>
              <w:keepLines w:val="0"/>
              <w:suppressLineNumbers w:val="0"/>
              <w:autoSpaceDE w:val="0"/>
              <w:autoSpaceDN w:val="0"/>
              <w:spacing w:before="0" w:beforeAutospacing="0" w:after="0" w:afterAutospacing="0" w:line="288" w:lineRule="auto"/>
              <w:ind w:left="0" w:right="0"/>
              <w:jc w:val="center"/>
              <w:rPr>
                <w:rFonts w:hint="default" w:ascii="宋体" w:hAnsi="宋体" w:cs="宋体"/>
                <w:b/>
                <w:bCs/>
                <w:sz w:val="21"/>
                <w:szCs w:val="21"/>
                <w:highlight w:val="none"/>
              </w:rPr>
            </w:pPr>
          </w:p>
        </w:tc>
        <w:tc>
          <w:tcPr>
            <w:tcW w:w="1199" w:type="dxa"/>
            <w:vMerge w:val="continue"/>
          </w:tcPr>
          <w:p>
            <w:pPr>
              <w:keepNext w:val="0"/>
              <w:keepLines w:val="0"/>
              <w:suppressLineNumbers w:val="0"/>
              <w:spacing w:before="0" w:beforeAutospacing="0" w:after="0" w:afterAutospacing="0"/>
              <w:ind w:left="0" w:right="0"/>
              <w:jc w:val="center"/>
              <w:textAlignment w:val="center"/>
              <w:rPr>
                <w:rFonts w:hint="default" w:ascii="宋体" w:hAnsi="宋体" w:cs="宋体"/>
                <w:sz w:val="21"/>
                <w:szCs w:val="21"/>
                <w:highlight w:val="none"/>
              </w:rPr>
            </w:pPr>
          </w:p>
        </w:tc>
        <w:tc>
          <w:tcPr>
            <w:tcW w:w="786" w:type="dxa"/>
            <w:vAlign w:val="center"/>
          </w:tcPr>
          <w:p>
            <w:pPr>
              <w:keepNext w:val="0"/>
              <w:keepLines w:val="0"/>
              <w:suppressLineNumbers w:val="0"/>
              <w:spacing w:before="0" w:beforeAutospacing="0" w:after="0" w:afterAutospacing="0"/>
              <w:ind w:left="0" w:right="0"/>
              <w:jc w:val="center"/>
              <w:textAlignment w:val="center"/>
              <w:rPr>
                <w:rFonts w:hint="default" w:ascii="宋体" w:hAnsi="宋体" w:cs="宋体"/>
                <w:kern w:val="0"/>
                <w:sz w:val="21"/>
                <w:szCs w:val="21"/>
                <w:highlight w:val="none"/>
              </w:rPr>
            </w:pPr>
            <w:r>
              <w:rPr>
                <w:rFonts w:hint="eastAsia" w:ascii="宋体" w:hAnsi="宋体" w:cs="宋体"/>
                <w:kern w:val="0"/>
                <w:sz w:val="21"/>
                <w:szCs w:val="21"/>
                <w:highlight w:val="none"/>
              </w:rPr>
              <w:t>2</w:t>
            </w:r>
          </w:p>
        </w:tc>
        <w:tc>
          <w:tcPr>
            <w:tcW w:w="7034" w:type="dxa"/>
            <w:vAlign w:val="center"/>
          </w:tcPr>
          <w:p>
            <w:pPr>
              <w:keepNext w:val="0"/>
              <w:keepLines w:val="0"/>
              <w:suppressLineNumbers w:val="0"/>
              <w:spacing w:before="0" w:beforeAutospacing="0" w:after="0" w:afterAutospacing="0"/>
              <w:ind w:left="0" w:right="0"/>
              <w:textAlignment w:val="center"/>
              <w:rPr>
                <w:rFonts w:hint="default" w:ascii="宋体" w:hAnsi="宋体" w:cs="宋体"/>
                <w:kern w:val="0"/>
                <w:sz w:val="21"/>
                <w:szCs w:val="21"/>
                <w:highlight w:val="none"/>
              </w:rPr>
            </w:pPr>
            <w:r>
              <w:rPr>
                <w:rFonts w:hint="eastAsia" w:ascii="宋体" w:hAnsi="宋体" w:cs="宋体"/>
                <w:kern w:val="0"/>
                <w:sz w:val="21"/>
                <w:szCs w:val="21"/>
                <w:highlight w:val="none"/>
              </w:rPr>
              <w:t>根据投标银行普惠小微企业贷款余额占各项贷款余额比例增长情况排名进行评分。排名第一得2分，其余投标银行排名每降低一名相应递减0.0</w:t>
            </w:r>
            <w:r>
              <w:rPr>
                <w:rFonts w:hint="eastAsia" w:ascii="宋体" w:hAnsi="宋体" w:cs="宋体"/>
                <w:kern w:val="0"/>
                <w:sz w:val="21"/>
                <w:szCs w:val="21"/>
                <w:highlight w:val="none"/>
                <w:lang w:val="en-US" w:eastAsia="zh-CN"/>
              </w:rPr>
              <w:t>5</w:t>
            </w:r>
            <w:r>
              <w:rPr>
                <w:rFonts w:hint="eastAsia" w:ascii="宋体" w:hAnsi="宋体" w:cs="宋体"/>
                <w:kern w:val="0"/>
                <w:sz w:val="21"/>
                <w:szCs w:val="21"/>
                <w:highlight w:val="none"/>
              </w:rPr>
              <w:t>分，减完为止。（由浙江省财政厅提供数据）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196" w:hRule="atLeast"/>
          <w:jc w:val="center"/>
        </w:trPr>
        <w:tc>
          <w:tcPr>
            <w:tcW w:w="1083" w:type="dxa"/>
            <w:vMerge w:val="continue"/>
          </w:tcPr>
          <w:p>
            <w:pPr>
              <w:keepNext w:val="0"/>
              <w:keepLines w:val="0"/>
              <w:suppressLineNumbers w:val="0"/>
              <w:autoSpaceDE w:val="0"/>
              <w:autoSpaceDN w:val="0"/>
              <w:spacing w:before="0" w:beforeAutospacing="0" w:after="0" w:afterAutospacing="0" w:line="288" w:lineRule="auto"/>
              <w:ind w:left="0" w:right="0"/>
              <w:jc w:val="center"/>
              <w:rPr>
                <w:rFonts w:hint="default" w:ascii="宋体" w:hAnsi="宋体" w:cs="宋体"/>
                <w:b/>
                <w:bCs/>
                <w:sz w:val="21"/>
                <w:szCs w:val="21"/>
                <w:highlight w:val="none"/>
              </w:rPr>
            </w:pPr>
          </w:p>
        </w:tc>
        <w:tc>
          <w:tcPr>
            <w:tcW w:w="1199" w:type="dxa"/>
            <w:vMerge w:val="continue"/>
            <w:vAlign w:val="center"/>
          </w:tcPr>
          <w:p>
            <w:pPr>
              <w:keepNext w:val="0"/>
              <w:keepLines w:val="0"/>
              <w:suppressLineNumbers w:val="0"/>
              <w:spacing w:before="0" w:beforeAutospacing="0" w:after="0" w:afterAutospacing="0"/>
              <w:ind w:left="0" w:right="0"/>
              <w:jc w:val="center"/>
              <w:textAlignment w:val="center"/>
              <w:rPr>
                <w:rFonts w:hint="default" w:ascii="宋体" w:hAnsi="宋体" w:cs="宋体"/>
                <w:kern w:val="0"/>
                <w:sz w:val="21"/>
                <w:szCs w:val="21"/>
                <w:highlight w:val="none"/>
              </w:rPr>
            </w:pPr>
          </w:p>
        </w:tc>
        <w:tc>
          <w:tcPr>
            <w:tcW w:w="786" w:type="dxa"/>
            <w:vAlign w:val="center"/>
          </w:tcPr>
          <w:p>
            <w:pPr>
              <w:keepNext w:val="0"/>
              <w:keepLines w:val="0"/>
              <w:suppressLineNumbers w:val="0"/>
              <w:spacing w:before="0" w:beforeAutospacing="0" w:after="0" w:afterAutospacing="0"/>
              <w:ind w:left="0" w:right="0"/>
              <w:jc w:val="center"/>
              <w:textAlignment w:val="center"/>
              <w:rPr>
                <w:rFonts w:hint="default" w:ascii="宋体" w:hAnsi="宋体" w:cs="宋体"/>
                <w:kern w:val="0"/>
                <w:sz w:val="21"/>
                <w:szCs w:val="21"/>
                <w:highlight w:val="none"/>
              </w:rPr>
            </w:pPr>
            <w:r>
              <w:rPr>
                <w:rFonts w:hint="eastAsia" w:ascii="宋体" w:hAnsi="宋体" w:cs="宋体"/>
                <w:kern w:val="0"/>
                <w:sz w:val="21"/>
                <w:szCs w:val="21"/>
                <w:highlight w:val="none"/>
              </w:rPr>
              <w:t>2</w:t>
            </w:r>
          </w:p>
        </w:tc>
        <w:tc>
          <w:tcPr>
            <w:tcW w:w="7034" w:type="dxa"/>
            <w:vAlign w:val="center"/>
          </w:tcPr>
          <w:p>
            <w:pPr>
              <w:keepNext w:val="0"/>
              <w:keepLines w:val="0"/>
              <w:suppressLineNumbers w:val="0"/>
              <w:spacing w:before="0" w:beforeAutospacing="0" w:after="0" w:afterAutospacing="0"/>
              <w:ind w:left="0" w:right="0"/>
              <w:textAlignment w:val="center"/>
              <w:rPr>
                <w:rFonts w:hint="default" w:ascii="宋体" w:hAnsi="宋体" w:cs="宋体"/>
                <w:kern w:val="0"/>
                <w:sz w:val="21"/>
                <w:szCs w:val="21"/>
                <w:highlight w:val="none"/>
              </w:rPr>
            </w:pPr>
            <w:r>
              <w:rPr>
                <w:rFonts w:hint="eastAsia" w:ascii="宋体" w:hAnsi="宋体" w:cs="宋体"/>
                <w:kern w:val="0"/>
                <w:sz w:val="21"/>
                <w:szCs w:val="21"/>
                <w:highlight w:val="none"/>
              </w:rPr>
              <w:t>根据投标银行涉农贷款余额排名进行评分。排名第一得2分，其余投标银行排名每降低一名相应递减0.0</w:t>
            </w:r>
            <w:r>
              <w:rPr>
                <w:rFonts w:hint="eastAsia" w:ascii="宋体" w:hAnsi="宋体" w:cs="宋体"/>
                <w:kern w:val="0"/>
                <w:sz w:val="21"/>
                <w:szCs w:val="21"/>
                <w:highlight w:val="none"/>
                <w:lang w:val="en-US" w:eastAsia="zh-CN"/>
              </w:rPr>
              <w:t>5</w:t>
            </w:r>
            <w:r>
              <w:rPr>
                <w:rFonts w:hint="eastAsia" w:ascii="宋体" w:hAnsi="宋体" w:cs="宋体"/>
                <w:kern w:val="0"/>
                <w:sz w:val="21"/>
                <w:szCs w:val="21"/>
                <w:highlight w:val="none"/>
              </w:rPr>
              <w:t>分，减完为止。（由浙江省财政厅提供数据）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133" w:hRule="atLeast"/>
          <w:jc w:val="center"/>
        </w:trPr>
        <w:tc>
          <w:tcPr>
            <w:tcW w:w="1083" w:type="dxa"/>
            <w:vMerge w:val="continue"/>
          </w:tcPr>
          <w:p>
            <w:pPr>
              <w:keepNext w:val="0"/>
              <w:keepLines w:val="0"/>
              <w:suppressLineNumbers w:val="0"/>
              <w:autoSpaceDE w:val="0"/>
              <w:autoSpaceDN w:val="0"/>
              <w:spacing w:before="0" w:beforeAutospacing="0" w:after="0" w:afterAutospacing="0" w:line="288" w:lineRule="auto"/>
              <w:ind w:left="0" w:right="0"/>
              <w:jc w:val="center"/>
              <w:rPr>
                <w:rFonts w:hint="default" w:ascii="宋体" w:hAnsi="宋体" w:cs="宋体"/>
                <w:b/>
                <w:bCs/>
                <w:sz w:val="21"/>
                <w:szCs w:val="21"/>
                <w:highlight w:val="none"/>
              </w:rPr>
            </w:pPr>
          </w:p>
        </w:tc>
        <w:tc>
          <w:tcPr>
            <w:tcW w:w="1199" w:type="dxa"/>
            <w:vMerge w:val="continue"/>
          </w:tcPr>
          <w:p>
            <w:pPr>
              <w:keepNext w:val="0"/>
              <w:keepLines w:val="0"/>
              <w:suppressLineNumbers w:val="0"/>
              <w:snapToGrid w:val="0"/>
              <w:spacing w:before="0" w:beforeAutospacing="0" w:after="0" w:afterAutospacing="0" w:line="288" w:lineRule="auto"/>
              <w:ind w:left="0" w:right="0"/>
              <w:jc w:val="center"/>
              <w:rPr>
                <w:rFonts w:hint="default" w:ascii="宋体" w:hAnsi="宋体" w:cs="宋体"/>
                <w:sz w:val="21"/>
                <w:szCs w:val="21"/>
                <w:highlight w:val="none"/>
              </w:rPr>
            </w:pPr>
          </w:p>
        </w:tc>
        <w:tc>
          <w:tcPr>
            <w:tcW w:w="786" w:type="dxa"/>
            <w:vAlign w:val="center"/>
          </w:tcPr>
          <w:p>
            <w:pPr>
              <w:keepNext w:val="0"/>
              <w:keepLines w:val="0"/>
              <w:suppressLineNumbers w:val="0"/>
              <w:spacing w:before="0" w:beforeAutospacing="0" w:after="0" w:afterAutospacing="0"/>
              <w:ind w:left="0" w:right="0"/>
              <w:jc w:val="center"/>
              <w:textAlignment w:val="center"/>
              <w:rPr>
                <w:rFonts w:hint="default" w:ascii="宋体" w:hAnsi="宋体" w:cs="宋体"/>
                <w:kern w:val="0"/>
                <w:sz w:val="21"/>
                <w:szCs w:val="21"/>
                <w:highlight w:val="none"/>
              </w:rPr>
            </w:pPr>
            <w:r>
              <w:rPr>
                <w:rFonts w:hint="eastAsia" w:ascii="宋体" w:hAnsi="宋体" w:cs="宋体"/>
                <w:kern w:val="0"/>
                <w:sz w:val="21"/>
                <w:szCs w:val="21"/>
                <w:highlight w:val="none"/>
              </w:rPr>
              <w:t>2</w:t>
            </w:r>
          </w:p>
        </w:tc>
        <w:tc>
          <w:tcPr>
            <w:tcW w:w="7034" w:type="dxa"/>
            <w:vAlign w:val="center"/>
          </w:tcPr>
          <w:p>
            <w:pPr>
              <w:keepNext w:val="0"/>
              <w:keepLines w:val="0"/>
              <w:suppressLineNumbers w:val="0"/>
              <w:spacing w:before="0" w:beforeAutospacing="0" w:after="0" w:afterAutospacing="0"/>
              <w:ind w:left="0" w:right="0"/>
              <w:textAlignment w:val="center"/>
              <w:rPr>
                <w:rFonts w:hint="default" w:ascii="宋体" w:hAnsi="宋体" w:cs="宋体"/>
                <w:kern w:val="0"/>
                <w:sz w:val="21"/>
                <w:szCs w:val="21"/>
                <w:highlight w:val="none"/>
              </w:rPr>
            </w:pPr>
            <w:r>
              <w:rPr>
                <w:rFonts w:hint="eastAsia" w:ascii="宋体" w:hAnsi="宋体" w:cs="宋体"/>
                <w:kern w:val="0"/>
                <w:sz w:val="21"/>
                <w:szCs w:val="21"/>
                <w:highlight w:val="none"/>
              </w:rPr>
              <w:t>根据投标银行涉农贷款余额占各项贷款余额比例增长情况排名进行评分。排名第一得2分，其余投标银行排名每降低一名相应递减0.0</w:t>
            </w:r>
            <w:r>
              <w:rPr>
                <w:rFonts w:hint="eastAsia" w:ascii="宋体" w:hAnsi="宋体" w:cs="宋体"/>
                <w:kern w:val="0"/>
                <w:sz w:val="21"/>
                <w:szCs w:val="21"/>
                <w:highlight w:val="none"/>
                <w:lang w:val="en-US" w:eastAsia="zh-CN"/>
              </w:rPr>
              <w:t>5</w:t>
            </w:r>
            <w:r>
              <w:rPr>
                <w:rFonts w:hint="eastAsia" w:ascii="宋体" w:hAnsi="宋体" w:cs="宋体"/>
                <w:kern w:val="0"/>
                <w:sz w:val="21"/>
                <w:szCs w:val="21"/>
                <w:highlight w:val="none"/>
              </w:rPr>
              <w:t>分，减完为止。（由浙江省财政厅提供数据）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21" w:hRule="atLeast"/>
          <w:jc w:val="center"/>
        </w:trPr>
        <w:tc>
          <w:tcPr>
            <w:tcW w:w="1083" w:type="dxa"/>
            <w:vMerge w:val="continue"/>
          </w:tcPr>
          <w:p>
            <w:pPr>
              <w:keepNext w:val="0"/>
              <w:keepLines w:val="0"/>
              <w:suppressLineNumbers w:val="0"/>
              <w:autoSpaceDE w:val="0"/>
              <w:autoSpaceDN w:val="0"/>
              <w:spacing w:before="0" w:beforeAutospacing="0" w:after="0" w:afterAutospacing="0" w:line="288" w:lineRule="auto"/>
              <w:ind w:left="0" w:right="0"/>
              <w:jc w:val="center"/>
              <w:rPr>
                <w:rFonts w:hint="default" w:ascii="宋体" w:hAnsi="宋体" w:cs="宋体"/>
                <w:b/>
                <w:bCs/>
                <w:sz w:val="21"/>
                <w:szCs w:val="21"/>
                <w:highlight w:val="none"/>
              </w:rPr>
            </w:pPr>
          </w:p>
        </w:tc>
        <w:tc>
          <w:tcPr>
            <w:tcW w:w="1199" w:type="dxa"/>
            <w:vMerge w:val="continue"/>
            <w:vAlign w:val="center"/>
          </w:tcPr>
          <w:p>
            <w:pPr>
              <w:keepNext w:val="0"/>
              <w:keepLines w:val="0"/>
              <w:suppressLineNumbers w:val="0"/>
              <w:spacing w:before="0" w:beforeAutospacing="0" w:after="0" w:afterAutospacing="0"/>
              <w:ind w:left="0" w:right="0"/>
              <w:textAlignment w:val="center"/>
              <w:rPr>
                <w:rFonts w:hint="default" w:ascii="宋体" w:hAnsi="宋体" w:cs="宋体"/>
                <w:kern w:val="0"/>
                <w:sz w:val="21"/>
                <w:szCs w:val="21"/>
                <w:highlight w:val="none"/>
              </w:rPr>
            </w:pPr>
          </w:p>
        </w:tc>
        <w:tc>
          <w:tcPr>
            <w:tcW w:w="786" w:type="dxa"/>
            <w:vAlign w:val="center"/>
          </w:tcPr>
          <w:p>
            <w:pPr>
              <w:keepNext w:val="0"/>
              <w:keepLines w:val="0"/>
              <w:suppressLineNumbers w:val="0"/>
              <w:spacing w:before="0" w:beforeAutospacing="0" w:after="0" w:afterAutospacing="0"/>
              <w:ind w:left="0" w:right="0"/>
              <w:jc w:val="center"/>
              <w:textAlignment w:val="center"/>
              <w:rPr>
                <w:rFonts w:hint="default" w:ascii="宋体" w:hAnsi="宋体" w:cs="宋体"/>
                <w:kern w:val="0"/>
                <w:sz w:val="21"/>
                <w:szCs w:val="21"/>
                <w:highlight w:val="none"/>
              </w:rPr>
            </w:pPr>
            <w:r>
              <w:rPr>
                <w:rFonts w:hint="eastAsia" w:ascii="宋体" w:hAnsi="宋体" w:cs="宋体"/>
                <w:kern w:val="0"/>
                <w:sz w:val="21"/>
                <w:szCs w:val="21"/>
                <w:highlight w:val="none"/>
              </w:rPr>
              <w:t>2</w:t>
            </w:r>
          </w:p>
        </w:tc>
        <w:tc>
          <w:tcPr>
            <w:tcW w:w="7034" w:type="dxa"/>
            <w:vAlign w:val="center"/>
          </w:tcPr>
          <w:p>
            <w:pPr>
              <w:keepNext w:val="0"/>
              <w:keepLines w:val="0"/>
              <w:suppressLineNumbers w:val="0"/>
              <w:spacing w:before="0" w:beforeAutospacing="0" w:after="0" w:afterAutospacing="0"/>
              <w:ind w:left="0" w:right="0"/>
              <w:textAlignment w:val="center"/>
              <w:rPr>
                <w:rFonts w:hint="default" w:ascii="宋体" w:hAnsi="宋体" w:cs="宋体"/>
                <w:kern w:val="0"/>
                <w:sz w:val="21"/>
                <w:szCs w:val="21"/>
                <w:highlight w:val="none"/>
              </w:rPr>
            </w:pPr>
            <w:r>
              <w:rPr>
                <w:rFonts w:hint="eastAsia" w:ascii="宋体" w:hAnsi="宋体" w:cs="宋体"/>
                <w:kern w:val="0"/>
                <w:sz w:val="21"/>
                <w:szCs w:val="21"/>
                <w:highlight w:val="none"/>
              </w:rPr>
              <w:t>根据投标银行民营企业贷款余额排名进行评分。排名第一得2分，其余投标银行排名每降低一名相应递减0.0</w:t>
            </w:r>
            <w:r>
              <w:rPr>
                <w:rFonts w:hint="eastAsia" w:ascii="宋体" w:hAnsi="宋体" w:cs="宋体"/>
                <w:kern w:val="0"/>
                <w:sz w:val="21"/>
                <w:szCs w:val="21"/>
                <w:highlight w:val="none"/>
                <w:lang w:val="en-US" w:eastAsia="zh-CN"/>
              </w:rPr>
              <w:t>5</w:t>
            </w:r>
            <w:r>
              <w:rPr>
                <w:rFonts w:hint="eastAsia" w:ascii="宋体" w:hAnsi="宋体" w:cs="宋体"/>
                <w:kern w:val="0"/>
                <w:sz w:val="21"/>
                <w:szCs w:val="21"/>
                <w:highlight w:val="none"/>
              </w:rPr>
              <w:t>分，减完为止。（由浙江省财政厅提供数据）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jc w:val="center"/>
        </w:trPr>
        <w:tc>
          <w:tcPr>
            <w:tcW w:w="1083" w:type="dxa"/>
            <w:vMerge w:val="continue"/>
          </w:tcPr>
          <w:p>
            <w:pPr>
              <w:keepNext w:val="0"/>
              <w:keepLines w:val="0"/>
              <w:suppressLineNumbers w:val="0"/>
              <w:autoSpaceDE w:val="0"/>
              <w:autoSpaceDN w:val="0"/>
              <w:spacing w:before="0" w:beforeAutospacing="0" w:after="0" w:afterAutospacing="0" w:line="288" w:lineRule="auto"/>
              <w:ind w:left="0" w:right="0"/>
              <w:jc w:val="center"/>
              <w:rPr>
                <w:rFonts w:hint="default" w:ascii="宋体" w:hAnsi="宋体" w:cs="宋体"/>
                <w:b/>
                <w:bCs/>
                <w:sz w:val="21"/>
                <w:szCs w:val="21"/>
                <w:highlight w:val="none"/>
              </w:rPr>
            </w:pPr>
          </w:p>
        </w:tc>
        <w:tc>
          <w:tcPr>
            <w:tcW w:w="1199" w:type="dxa"/>
            <w:vMerge w:val="continue"/>
          </w:tcPr>
          <w:p>
            <w:pPr>
              <w:keepNext w:val="0"/>
              <w:keepLines w:val="0"/>
              <w:suppressLineNumbers w:val="0"/>
              <w:snapToGrid w:val="0"/>
              <w:spacing w:before="0" w:beforeAutospacing="0" w:after="0" w:afterAutospacing="0" w:line="288" w:lineRule="auto"/>
              <w:ind w:left="0" w:right="0"/>
              <w:jc w:val="center"/>
              <w:rPr>
                <w:rFonts w:hint="default" w:ascii="宋体" w:hAnsi="宋体" w:cs="宋体"/>
                <w:sz w:val="21"/>
                <w:szCs w:val="21"/>
                <w:highlight w:val="none"/>
              </w:rPr>
            </w:pPr>
          </w:p>
        </w:tc>
        <w:tc>
          <w:tcPr>
            <w:tcW w:w="786" w:type="dxa"/>
            <w:vAlign w:val="center"/>
          </w:tcPr>
          <w:p>
            <w:pPr>
              <w:keepNext w:val="0"/>
              <w:keepLines w:val="0"/>
              <w:suppressLineNumbers w:val="0"/>
              <w:spacing w:before="0" w:beforeAutospacing="0" w:after="0" w:afterAutospacing="0"/>
              <w:ind w:left="0" w:right="0"/>
              <w:jc w:val="center"/>
              <w:textAlignment w:val="center"/>
              <w:rPr>
                <w:rFonts w:hint="default" w:ascii="宋体" w:hAnsi="宋体" w:cs="宋体"/>
                <w:kern w:val="0"/>
                <w:sz w:val="21"/>
                <w:szCs w:val="21"/>
                <w:highlight w:val="none"/>
              </w:rPr>
            </w:pPr>
            <w:r>
              <w:rPr>
                <w:rFonts w:hint="eastAsia" w:ascii="宋体" w:hAnsi="宋体" w:cs="宋体"/>
                <w:kern w:val="0"/>
                <w:sz w:val="21"/>
                <w:szCs w:val="21"/>
                <w:highlight w:val="none"/>
              </w:rPr>
              <w:t>2</w:t>
            </w:r>
          </w:p>
        </w:tc>
        <w:tc>
          <w:tcPr>
            <w:tcW w:w="7034" w:type="dxa"/>
            <w:vAlign w:val="center"/>
          </w:tcPr>
          <w:p>
            <w:pPr>
              <w:keepNext w:val="0"/>
              <w:keepLines w:val="0"/>
              <w:suppressLineNumbers w:val="0"/>
              <w:spacing w:before="0" w:beforeAutospacing="0" w:after="0" w:afterAutospacing="0"/>
              <w:ind w:left="0" w:right="0"/>
              <w:textAlignment w:val="center"/>
              <w:rPr>
                <w:rFonts w:hint="default" w:ascii="宋体" w:hAnsi="宋体" w:cs="宋体"/>
                <w:kern w:val="0"/>
                <w:sz w:val="21"/>
                <w:szCs w:val="21"/>
                <w:highlight w:val="none"/>
              </w:rPr>
            </w:pPr>
            <w:r>
              <w:rPr>
                <w:rFonts w:hint="eastAsia" w:ascii="宋体" w:hAnsi="宋体" w:cs="宋体"/>
                <w:kern w:val="0"/>
                <w:sz w:val="21"/>
                <w:szCs w:val="21"/>
                <w:highlight w:val="none"/>
              </w:rPr>
              <w:t>根据投标银行民营企业贷款余额占各项贷款余额比例增长情况排名进行评分。排名第一得2分，其余投标银行排名每降低一名相应递减0.0</w:t>
            </w:r>
            <w:r>
              <w:rPr>
                <w:rFonts w:hint="eastAsia" w:ascii="宋体" w:hAnsi="宋体" w:cs="宋体"/>
                <w:kern w:val="0"/>
                <w:sz w:val="21"/>
                <w:szCs w:val="21"/>
                <w:highlight w:val="none"/>
                <w:lang w:val="en-US" w:eastAsia="zh-CN"/>
              </w:rPr>
              <w:t>5</w:t>
            </w:r>
            <w:r>
              <w:rPr>
                <w:rFonts w:hint="eastAsia" w:ascii="宋体" w:hAnsi="宋体" w:cs="宋体"/>
                <w:kern w:val="0"/>
                <w:sz w:val="21"/>
                <w:szCs w:val="21"/>
                <w:highlight w:val="none"/>
              </w:rPr>
              <w:t>分，减完为止。（由浙江省财政厅提供数据）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27" w:hRule="atLeast"/>
          <w:jc w:val="center"/>
        </w:trPr>
        <w:tc>
          <w:tcPr>
            <w:tcW w:w="1083" w:type="dxa"/>
            <w:vMerge w:val="continue"/>
          </w:tcPr>
          <w:p>
            <w:pPr>
              <w:keepNext w:val="0"/>
              <w:keepLines w:val="0"/>
              <w:suppressLineNumbers w:val="0"/>
              <w:autoSpaceDE w:val="0"/>
              <w:autoSpaceDN w:val="0"/>
              <w:spacing w:before="0" w:beforeAutospacing="0" w:after="0" w:afterAutospacing="0" w:line="288" w:lineRule="auto"/>
              <w:ind w:left="0" w:right="0"/>
              <w:jc w:val="center"/>
              <w:rPr>
                <w:rFonts w:hint="default" w:ascii="宋体" w:hAnsi="宋体" w:cs="宋体"/>
                <w:b/>
                <w:bCs/>
                <w:sz w:val="21"/>
                <w:szCs w:val="21"/>
                <w:highlight w:val="none"/>
              </w:rPr>
            </w:pPr>
          </w:p>
        </w:tc>
        <w:tc>
          <w:tcPr>
            <w:tcW w:w="1199" w:type="dxa"/>
            <w:vMerge w:val="restart"/>
            <w:vAlign w:val="center"/>
          </w:tcPr>
          <w:p>
            <w:pPr>
              <w:keepNext w:val="0"/>
              <w:keepLines w:val="0"/>
              <w:suppressLineNumbers w:val="0"/>
              <w:spacing w:before="0" w:beforeAutospacing="0" w:after="0" w:afterAutospacing="0"/>
              <w:ind w:left="0" w:right="0"/>
              <w:jc w:val="center"/>
              <w:textAlignment w:val="center"/>
              <w:rPr>
                <w:rFonts w:hint="default" w:ascii="宋体" w:hAnsi="宋体" w:cs="宋体"/>
                <w:kern w:val="0"/>
                <w:sz w:val="21"/>
                <w:szCs w:val="21"/>
                <w:highlight w:val="none"/>
              </w:rPr>
            </w:pPr>
            <w:r>
              <w:rPr>
                <w:rFonts w:hint="eastAsia" w:ascii="宋体" w:hAnsi="宋体" w:cs="宋体"/>
                <w:kern w:val="0"/>
                <w:sz w:val="21"/>
                <w:szCs w:val="21"/>
                <w:highlight w:val="none"/>
              </w:rPr>
              <w:t>4.纳税情况</w:t>
            </w:r>
          </w:p>
        </w:tc>
        <w:tc>
          <w:tcPr>
            <w:tcW w:w="786" w:type="dxa"/>
            <w:vAlign w:val="center"/>
          </w:tcPr>
          <w:p>
            <w:pPr>
              <w:keepNext w:val="0"/>
              <w:keepLines w:val="0"/>
              <w:suppressLineNumbers w:val="0"/>
              <w:spacing w:before="0" w:beforeAutospacing="0" w:after="0" w:afterAutospacing="0"/>
              <w:ind w:left="0" w:right="0"/>
              <w:jc w:val="center"/>
              <w:textAlignment w:val="center"/>
              <w:rPr>
                <w:rFonts w:hint="default" w:ascii="宋体" w:hAnsi="宋体" w:cs="宋体"/>
                <w:kern w:val="0"/>
                <w:sz w:val="21"/>
                <w:szCs w:val="21"/>
                <w:highlight w:val="none"/>
              </w:rPr>
            </w:pPr>
            <w:r>
              <w:rPr>
                <w:rFonts w:hint="eastAsia" w:ascii="宋体" w:hAnsi="宋体" w:cs="宋体"/>
                <w:kern w:val="0"/>
                <w:sz w:val="21"/>
                <w:szCs w:val="21"/>
                <w:highlight w:val="none"/>
              </w:rPr>
              <w:t>3</w:t>
            </w:r>
          </w:p>
        </w:tc>
        <w:tc>
          <w:tcPr>
            <w:tcW w:w="7034" w:type="dxa"/>
            <w:vAlign w:val="center"/>
          </w:tcPr>
          <w:p>
            <w:pPr>
              <w:keepNext w:val="0"/>
              <w:keepLines w:val="0"/>
              <w:suppressLineNumbers w:val="0"/>
              <w:spacing w:before="0" w:beforeAutospacing="0" w:after="0" w:afterAutospacing="0"/>
              <w:ind w:left="0" w:right="0"/>
              <w:textAlignment w:val="center"/>
              <w:rPr>
                <w:rFonts w:hint="default" w:ascii="宋体" w:hAnsi="宋体" w:cs="宋体"/>
                <w:kern w:val="0"/>
                <w:sz w:val="21"/>
                <w:szCs w:val="21"/>
                <w:highlight w:val="none"/>
              </w:rPr>
            </w:pPr>
            <w:r>
              <w:rPr>
                <w:rFonts w:hint="eastAsia" w:ascii="宋体" w:hAnsi="宋体" w:cs="宋体"/>
                <w:kern w:val="0"/>
                <w:sz w:val="21"/>
                <w:szCs w:val="21"/>
                <w:highlight w:val="none"/>
              </w:rPr>
              <w:t>根据投标银行纳税总额排名进行评分。排名第一得3分，其余投标银行排名每降低一名相应递减0.0</w:t>
            </w:r>
            <w:r>
              <w:rPr>
                <w:rFonts w:hint="eastAsia" w:ascii="宋体" w:hAnsi="宋体" w:cs="宋体"/>
                <w:kern w:val="0"/>
                <w:sz w:val="21"/>
                <w:szCs w:val="21"/>
                <w:highlight w:val="none"/>
                <w:lang w:val="en-US" w:eastAsia="zh-CN"/>
              </w:rPr>
              <w:t>5</w:t>
            </w:r>
            <w:r>
              <w:rPr>
                <w:rFonts w:hint="eastAsia" w:ascii="宋体" w:hAnsi="宋体" w:cs="宋体"/>
                <w:kern w:val="0"/>
                <w:sz w:val="21"/>
                <w:szCs w:val="21"/>
                <w:highlight w:val="none"/>
              </w:rPr>
              <w:t>分，减完为止。（由浙江省财政厅提供数据）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9" w:hRule="atLeast"/>
          <w:jc w:val="center"/>
        </w:trPr>
        <w:tc>
          <w:tcPr>
            <w:tcW w:w="1083" w:type="dxa"/>
            <w:vMerge w:val="continue"/>
          </w:tcPr>
          <w:p>
            <w:pPr>
              <w:keepNext w:val="0"/>
              <w:keepLines w:val="0"/>
              <w:suppressLineNumbers w:val="0"/>
              <w:autoSpaceDE w:val="0"/>
              <w:autoSpaceDN w:val="0"/>
              <w:spacing w:before="0" w:beforeAutospacing="0" w:after="0" w:afterAutospacing="0" w:line="288" w:lineRule="auto"/>
              <w:ind w:left="0" w:right="0"/>
              <w:jc w:val="center"/>
              <w:rPr>
                <w:rFonts w:hint="default" w:ascii="宋体" w:hAnsi="宋体" w:cs="宋体"/>
                <w:b/>
                <w:bCs/>
                <w:sz w:val="21"/>
                <w:szCs w:val="21"/>
                <w:highlight w:val="none"/>
              </w:rPr>
            </w:pPr>
          </w:p>
        </w:tc>
        <w:tc>
          <w:tcPr>
            <w:tcW w:w="1199" w:type="dxa"/>
            <w:vMerge w:val="continue"/>
          </w:tcPr>
          <w:p>
            <w:pPr>
              <w:keepNext w:val="0"/>
              <w:keepLines w:val="0"/>
              <w:suppressLineNumbers w:val="0"/>
              <w:snapToGrid w:val="0"/>
              <w:spacing w:before="0" w:beforeAutospacing="0" w:after="0" w:afterAutospacing="0" w:line="288" w:lineRule="auto"/>
              <w:ind w:left="0" w:right="0"/>
              <w:jc w:val="center"/>
              <w:rPr>
                <w:rFonts w:hint="default" w:ascii="宋体" w:hAnsi="宋体" w:cs="宋体"/>
                <w:sz w:val="21"/>
                <w:szCs w:val="21"/>
                <w:highlight w:val="none"/>
              </w:rPr>
            </w:pPr>
          </w:p>
        </w:tc>
        <w:tc>
          <w:tcPr>
            <w:tcW w:w="786" w:type="dxa"/>
            <w:vAlign w:val="center"/>
          </w:tcPr>
          <w:p>
            <w:pPr>
              <w:keepNext w:val="0"/>
              <w:keepLines w:val="0"/>
              <w:suppressLineNumbers w:val="0"/>
              <w:spacing w:before="0" w:beforeAutospacing="0" w:after="0" w:afterAutospacing="0"/>
              <w:ind w:left="0" w:right="0"/>
              <w:jc w:val="center"/>
              <w:textAlignment w:val="center"/>
              <w:rPr>
                <w:rFonts w:hint="default" w:ascii="宋体" w:hAnsi="宋体" w:cs="宋体"/>
                <w:kern w:val="0"/>
                <w:sz w:val="21"/>
                <w:szCs w:val="21"/>
                <w:highlight w:val="none"/>
              </w:rPr>
            </w:pPr>
            <w:r>
              <w:rPr>
                <w:rFonts w:hint="eastAsia" w:ascii="宋体" w:hAnsi="宋体" w:cs="宋体"/>
                <w:kern w:val="0"/>
                <w:sz w:val="21"/>
                <w:szCs w:val="21"/>
                <w:highlight w:val="none"/>
              </w:rPr>
              <w:t>3</w:t>
            </w:r>
          </w:p>
        </w:tc>
        <w:tc>
          <w:tcPr>
            <w:tcW w:w="7034" w:type="dxa"/>
            <w:vAlign w:val="center"/>
          </w:tcPr>
          <w:p>
            <w:pPr>
              <w:keepNext w:val="0"/>
              <w:keepLines w:val="0"/>
              <w:suppressLineNumbers w:val="0"/>
              <w:spacing w:before="0" w:beforeAutospacing="0" w:after="0" w:afterAutospacing="0"/>
              <w:ind w:left="0" w:right="0"/>
              <w:textAlignment w:val="center"/>
              <w:rPr>
                <w:rFonts w:hint="default" w:ascii="宋体" w:hAnsi="宋体" w:cs="宋体"/>
                <w:kern w:val="0"/>
                <w:sz w:val="21"/>
                <w:szCs w:val="21"/>
                <w:highlight w:val="none"/>
              </w:rPr>
            </w:pPr>
            <w:r>
              <w:rPr>
                <w:rFonts w:hint="eastAsia" w:ascii="宋体" w:hAnsi="宋体" w:cs="宋体"/>
                <w:kern w:val="0"/>
                <w:sz w:val="21"/>
                <w:szCs w:val="21"/>
                <w:highlight w:val="none"/>
              </w:rPr>
              <w:t>根据投标银行税收增长率排名进行评分。排名第一得3分，其余投标银行排名每降低一名相应递减0.0</w:t>
            </w:r>
            <w:r>
              <w:rPr>
                <w:rFonts w:hint="eastAsia" w:ascii="宋体" w:hAnsi="宋体" w:cs="宋体"/>
                <w:kern w:val="0"/>
                <w:sz w:val="21"/>
                <w:szCs w:val="21"/>
                <w:highlight w:val="none"/>
                <w:lang w:val="en-US" w:eastAsia="zh-CN"/>
              </w:rPr>
              <w:t>5</w:t>
            </w:r>
            <w:r>
              <w:rPr>
                <w:rFonts w:hint="eastAsia" w:ascii="宋体" w:hAnsi="宋体" w:cs="宋体"/>
                <w:kern w:val="0"/>
                <w:sz w:val="21"/>
                <w:szCs w:val="21"/>
                <w:highlight w:val="none"/>
              </w:rPr>
              <w:t>分，减完为止。（由浙江省财政厅提供数据）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jc w:val="center"/>
        </w:trPr>
        <w:tc>
          <w:tcPr>
            <w:tcW w:w="1083" w:type="dxa"/>
            <w:vMerge w:val="continue"/>
          </w:tcPr>
          <w:p>
            <w:pPr>
              <w:keepNext w:val="0"/>
              <w:keepLines w:val="0"/>
              <w:suppressLineNumbers w:val="0"/>
              <w:autoSpaceDE w:val="0"/>
              <w:autoSpaceDN w:val="0"/>
              <w:spacing w:before="0" w:beforeAutospacing="0" w:after="0" w:afterAutospacing="0" w:line="288" w:lineRule="auto"/>
              <w:ind w:left="0" w:right="0"/>
              <w:jc w:val="center"/>
              <w:rPr>
                <w:rFonts w:hint="default" w:ascii="宋体" w:hAnsi="宋体" w:cs="宋体"/>
                <w:b/>
                <w:bCs/>
                <w:sz w:val="21"/>
                <w:szCs w:val="21"/>
                <w:highlight w:val="none"/>
              </w:rPr>
            </w:pPr>
          </w:p>
        </w:tc>
        <w:tc>
          <w:tcPr>
            <w:tcW w:w="1199" w:type="dxa"/>
            <w:vAlign w:val="center"/>
          </w:tcPr>
          <w:p>
            <w:pPr>
              <w:keepNext w:val="0"/>
              <w:keepLines w:val="0"/>
              <w:suppressLineNumbers w:val="0"/>
              <w:spacing w:before="0" w:beforeAutospacing="0" w:after="0" w:afterAutospacing="0"/>
              <w:ind w:left="0" w:right="0"/>
              <w:jc w:val="center"/>
              <w:textAlignment w:val="center"/>
              <w:rPr>
                <w:rFonts w:hint="default" w:ascii="宋体" w:hAnsi="宋体" w:cs="宋体"/>
                <w:kern w:val="0"/>
                <w:sz w:val="21"/>
                <w:szCs w:val="21"/>
                <w:highlight w:val="none"/>
              </w:rPr>
            </w:pPr>
            <w:r>
              <w:rPr>
                <w:rFonts w:hint="eastAsia" w:ascii="宋体" w:hAnsi="宋体" w:cs="宋体"/>
                <w:kern w:val="0"/>
                <w:sz w:val="21"/>
                <w:szCs w:val="21"/>
                <w:highlight w:val="none"/>
              </w:rPr>
              <w:t>5.支持浙江省公益性事业发展情况</w:t>
            </w:r>
          </w:p>
        </w:tc>
        <w:tc>
          <w:tcPr>
            <w:tcW w:w="786" w:type="dxa"/>
            <w:vAlign w:val="center"/>
          </w:tcPr>
          <w:p>
            <w:pPr>
              <w:keepNext w:val="0"/>
              <w:keepLines w:val="0"/>
              <w:suppressLineNumbers w:val="0"/>
              <w:spacing w:before="0" w:beforeAutospacing="0" w:after="0" w:afterAutospacing="0"/>
              <w:ind w:left="0" w:right="0"/>
              <w:jc w:val="center"/>
              <w:textAlignment w:val="center"/>
              <w:rPr>
                <w:rFonts w:hint="eastAsia" w:ascii="宋体" w:hAnsi="宋体" w:eastAsia="宋体" w:cs="宋体"/>
                <w:kern w:val="0"/>
                <w:sz w:val="21"/>
                <w:szCs w:val="21"/>
                <w:highlight w:val="none"/>
                <w:lang w:eastAsia="zh-CN"/>
              </w:rPr>
            </w:pPr>
            <w:r>
              <w:rPr>
                <w:rFonts w:hint="eastAsia" w:ascii="宋体" w:hAnsi="宋体" w:cs="宋体"/>
                <w:kern w:val="0"/>
                <w:sz w:val="21"/>
                <w:szCs w:val="21"/>
                <w:highlight w:val="none"/>
                <w:lang w:val="en-US" w:eastAsia="zh-CN"/>
              </w:rPr>
              <w:t>4</w:t>
            </w:r>
          </w:p>
        </w:tc>
        <w:tc>
          <w:tcPr>
            <w:tcW w:w="7034" w:type="dxa"/>
            <w:vAlign w:val="center"/>
          </w:tcPr>
          <w:p>
            <w:pPr>
              <w:keepNext w:val="0"/>
              <w:keepLines w:val="0"/>
              <w:suppressLineNumbers w:val="0"/>
              <w:spacing w:before="0" w:beforeAutospacing="0" w:after="0" w:afterAutospacing="0"/>
              <w:ind w:left="0" w:right="0"/>
              <w:textAlignment w:val="center"/>
              <w:rPr>
                <w:rFonts w:hint="default" w:ascii="宋体" w:hAnsi="宋体" w:cs="宋体"/>
                <w:kern w:val="0"/>
                <w:sz w:val="21"/>
                <w:szCs w:val="21"/>
                <w:highlight w:val="none"/>
              </w:rPr>
            </w:pPr>
            <w:r>
              <w:rPr>
                <w:rFonts w:hint="eastAsia" w:ascii="宋体" w:hAnsi="宋体" w:cs="宋体"/>
                <w:kern w:val="0"/>
                <w:sz w:val="21"/>
                <w:szCs w:val="21"/>
                <w:highlight w:val="none"/>
              </w:rPr>
              <w:t>根据投标银行支持浙江省公益性事业发展债务融资承销额（含承办柜台发行量）排名进行评分。排名第一得</w:t>
            </w:r>
            <w:r>
              <w:rPr>
                <w:rFonts w:hint="eastAsia" w:ascii="宋体" w:hAnsi="宋体" w:cs="宋体"/>
                <w:kern w:val="0"/>
                <w:sz w:val="21"/>
                <w:szCs w:val="21"/>
                <w:highlight w:val="none"/>
                <w:lang w:val="en-US" w:eastAsia="zh-CN"/>
              </w:rPr>
              <w:t>4</w:t>
            </w:r>
            <w:r>
              <w:rPr>
                <w:rFonts w:hint="eastAsia" w:ascii="宋体" w:hAnsi="宋体" w:cs="宋体"/>
                <w:kern w:val="0"/>
                <w:sz w:val="21"/>
                <w:szCs w:val="21"/>
                <w:highlight w:val="none"/>
              </w:rPr>
              <w:t>分，其余投标银行排名每降低一名相应递减0.0</w:t>
            </w:r>
            <w:r>
              <w:rPr>
                <w:rFonts w:hint="eastAsia" w:ascii="宋体" w:hAnsi="宋体" w:cs="宋体"/>
                <w:kern w:val="0"/>
                <w:sz w:val="21"/>
                <w:szCs w:val="21"/>
                <w:highlight w:val="none"/>
                <w:lang w:val="en-US" w:eastAsia="zh-CN"/>
              </w:rPr>
              <w:t>5</w:t>
            </w:r>
            <w:r>
              <w:rPr>
                <w:rFonts w:hint="eastAsia" w:ascii="宋体" w:hAnsi="宋体" w:cs="宋体"/>
                <w:kern w:val="0"/>
                <w:sz w:val="21"/>
                <w:szCs w:val="21"/>
                <w:highlight w:val="none"/>
              </w:rPr>
              <w:t>分，减完为止。（由浙江省财政厅提供数据）</w:t>
            </w:r>
          </w:p>
        </w:tc>
      </w:tr>
    </w:tbl>
    <w:p>
      <w:pPr>
        <w:spacing w:line="360" w:lineRule="auto"/>
        <w:jc w:val="center"/>
        <w:outlineLvl w:val="0"/>
        <w:rPr>
          <w:rFonts w:ascii="宋体" w:hAnsi="宋体"/>
          <w:b/>
          <w:sz w:val="21"/>
          <w:szCs w:val="21"/>
          <w:highlight w:val="none"/>
        </w:rPr>
      </w:pPr>
      <w:r>
        <w:rPr>
          <w:rFonts w:ascii="宋体" w:hAnsi="宋体"/>
          <w:b/>
          <w:bCs/>
          <w:spacing w:val="-6"/>
          <w:sz w:val="32"/>
          <w:szCs w:val="32"/>
          <w:highlight w:val="none"/>
        </w:rPr>
        <w:br w:type="page"/>
      </w:r>
      <w:r>
        <w:rPr>
          <w:rFonts w:hint="eastAsia" w:ascii="宋体" w:hAnsi="宋体"/>
          <w:b/>
          <w:bCs/>
          <w:spacing w:val="-6"/>
          <w:sz w:val="32"/>
          <w:szCs w:val="32"/>
          <w:highlight w:val="none"/>
        </w:rPr>
        <w:t>第五章  拟签订的协议文本</w:t>
      </w:r>
    </w:p>
    <w:p>
      <w:pPr>
        <w:spacing w:line="360" w:lineRule="auto"/>
        <w:jc w:val="center"/>
        <w:rPr>
          <w:rFonts w:ascii="宋体" w:hAnsi="宋体"/>
          <w:b/>
          <w:sz w:val="24"/>
          <w:highlight w:val="none"/>
        </w:rPr>
      </w:pPr>
      <w:r>
        <w:rPr>
          <w:rFonts w:hint="eastAsia" w:ascii="宋体" w:hAnsi="宋体"/>
          <w:b/>
          <w:sz w:val="24"/>
          <w:highlight w:val="none"/>
          <w:lang w:eastAsia="zh-CN"/>
        </w:rPr>
        <w:t>杭州电子科技大学2023年第二期公款竞争性存放</w:t>
      </w:r>
      <w:r>
        <w:rPr>
          <w:rFonts w:hint="eastAsia" w:ascii="宋体" w:hAnsi="宋体"/>
          <w:b/>
          <w:sz w:val="24"/>
          <w:highlight w:val="none"/>
        </w:rPr>
        <w:t>协议书</w:t>
      </w:r>
    </w:p>
    <w:p>
      <w:pPr>
        <w:spacing w:line="360" w:lineRule="auto"/>
        <w:ind w:firstLine="495"/>
        <w:rPr>
          <w:rFonts w:hint="eastAsia" w:ascii="宋体" w:hAnsi="宋体" w:eastAsia="宋体"/>
          <w:spacing w:val="-6"/>
          <w:sz w:val="21"/>
          <w:szCs w:val="21"/>
          <w:highlight w:val="none"/>
          <w:lang w:eastAsia="zh-CN"/>
        </w:rPr>
      </w:pPr>
      <w:r>
        <w:rPr>
          <w:rFonts w:hint="eastAsia" w:ascii="宋体" w:hAnsi="宋体"/>
          <w:spacing w:val="-6"/>
          <w:sz w:val="21"/>
          <w:szCs w:val="21"/>
          <w:highlight w:val="none"/>
        </w:rPr>
        <w:t>甲方：</w:t>
      </w:r>
      <w:r>
        <w:rPr>
          <w:rFonts w:hint="eastAsia" w:ascii="宋体" w:hAnsi="宋体"/>
          <w:spacing w:val="-6"/>
          <w:sz w:val="21"/>
          <w:szCs w:val="21"/>
          <w:highlight w:val="none"/>
          <w:lang w:eastAsia="zh-CN"/>
        </w:rPr>
        <w:t>杭州电子科技大学</w:t>
      </w:r>
    </w:p>
    <w:p>
      <w:pPr>
        <w:spacing w:line="360" w:lineRule="auto"/>
        <w:ind w:firstLine="495"/>
        <w:rPr>
          <w:rFonts w:ascii="宋体" w:hAnsi="宋体"/>
          <w:spacing w:val="-6"/>
          <w:sz w:val="21"/>
          <w:szCs w:val="21"/>
          <w:highlight w:val="none"/>
        </w:rPr>
      </w:pPr>
      <w:r>
        <w:rPr>
          <w:rFonts w:hint="eastAsia" w:ascii="宋体" w:hAnsi="宋体"/>
          <w:spacing w:val="-6"/>
          <w:sz w:val="21"/>
          <w:szCs w:val="21"/>
          <w:highlight w:val="none"/>
        </w:rPr>
        <w:t>乙方：</w:t>
      </w:r>
    </w:p>
    <w:p>
      <w:pPr>
        <w:spacing w:line="360" w:lineRule="auto"/>
        <w:ind w:firstLine="495"/>
        <w:rPr>
          <w:rFonts w:ascii="宋体" w:hAnsi="宋体"/>
          <w:spacing w:val="-6"/>
          <w:sz w:val="21"/>
          <w:szCs w:val="21"/>
          <w:highlight w:val="none"/>
        </w:rPr>
      </w:pPr>
      <w:r>
        <w:rPr>
          <w:rFonts w:hint="eastAsia" w:ascii="宋体" w:hAnsi="宋体"/>
          <w:spacing w:val="-6"/>
          <w:sz w:val="21"/>
          <w:szCs w:val="21"/>
          <w:highlight w:val="none"/>
        </w:rPr>
        <w:t>经招标代理机构“浙江求是招标代理有限公司”通过公款竞争性存放方式（招标项目编号：</w:t>
      </w:r>
      <w:r>
        <w:rPr>
          <w:rFonts w:hint="eastAsia" w:ascii="宋体" w:hAnsi="宋体"/>
          <w:spacing w:val="-6"/>
          <w:sz w:val="21"/>
          <w:szCs w:val="21"/>
          <w:highlight w:val="none"/>
          <w:lang w:eastAsia="zh-CN"/>
        </w:rPr>
        <w:t>QSZB-F(F)-B23070(GK)</w:t>
      </w:r>
      <w:r>
        <w:rPr>
          <w:rFonts w:hint="eastAsia" w:ascii="宋体" w:hAnsi="宋体"/>
          <w:spacing w:val="-6"/>
          <w:sz w:val="21"/>
          <w:szCs w:val="21"/>
          <w:highlight w:val="none"/>
        </w:rPr>
        <w:t>），确定</w:t>
      </w:r>
      <w:r>
        <w:rPr>
          <w:rFonts w:hint="eastAsia" w:ascii="宋体" w:hAnsi="宋体"/>
          <w:spacing w:val="-6"/>
          <w:sz w:val="21"/>
          <w:szCs w:val="21"/>
          <w:highlight w:val="none"/>
          <w:u w:val="single"/>
        </w:rPr>
        <w:t xml:space="preserve">                 为</w:t>
      </w:r>
      <w:r>
        <w:rPr>
          <w:rFonts w:hint="eastAsia" w:ascii="宋体" w:hAnsi="宋体"/>
          <w:spacing w:val="-6"/>
          <w:sz w:val="21"/>
          <w:szCs w:val="21"/>
          <w:highlight w:val="none"/>
        </w:rPr>
        <w:t>中标银行，甲、乙双方友好协商，达成以下条款：</w:t>
      </w:r>
    </w:p>
    <w:p>
      <w:pPr>
        <w:spacing w:line="360" w:lineRule="auto"/>
        <w:ind w:firstLine="495"/>
        <w:rPr>
          <w:rFonts w:ascii="宋体" w:hAnsi="宋体"/>
          <w:b/>
          <w:spacing w:val="-6"/>
          <w:sz w:val="21"/>
          <w:szCs w:val="21"/>
          <w:highlight w:val="none"/>
        </w:rPr>
      </w:pPr>
      <w:r>
        <w:rPr>
          <w:rFonts w:hint="eastAsia" w:ascii="宋体" w:hAnsi="宋体"/>
          <w:b/>
          <w:spacing w:val="-6"/>
          <w:sz w:val="21"/>
          <w:szCs w:val="21"/>
          <w:highlight w:val="none"/>
        </w:rPr>
        <w:t>一、总则</w:t>
      </w:r>
    </w:p>
    <w:p>
      <w:pPr>
        <w:spacing w:line="360" w:lineRule="auto"/>
        <w:ind w:firstLine="495"/>
        <w:rPr>
          <w:rFonts w:ascii="宋体" w:hAnsi="宋体"/>
          <w:spacing w:val="-6"/>
          <w:sz w:val="21"/>
          <w:szCs w:val="21"/>
          <w:highlight w:val="none"/>
        </w:rPr>
      </w:pPr>
      <w:r>
        <w:rPr>
          <w:rFonts w:hint="eastAsia" w:ascii="宋体" w:hAnsi="宋体"/>
          <w:spacing w:val="-6"/>
          <w:sz w:val="21"/>
          <w:szCs w:val="21"/>
          <w:highlight w:val="none"/>
        </w:rPr>
        <w:t>第一条 根据相关法律法规和</w:t>
      </w:r>
      <w:r>
        <w:rPr>
          <w:rFonts w:hint="eastAsia" w:ascii="宋体" w:hAnsi="宋体"/>
          <w:spacing w:val="-6"/>
          <w:sz w:val="21"/>
          <w:szCs w:val="21"/>
          <w:highlight w:val="none"/>
          <w:lang w:eastAsia="zh-CN"/>
        </w:rPr>
        <w:t>杭州电子科技大学</w:t>
      </w:r>
      <w:r>
        <w:rPr>
          <w:rFonts w:hint="eastAsia" w:ascii="宋体" w:hAnsi="宋体"/>
          <w:spacing w:val="-6"/>
          <w:sz w:val="21"/>
          <w:szCs w:val="21"/>
          <w:highlight w:val="none"/>
        </w:rPr>
        <w:t>关于公款存放等相关规定，经甲、乙双方平等协商，签订本协议。</w:t>
      </w:r>
    </w:p>
    <w:p>
      <w:pPr>
        <w:spacing w:line="360" w:lineRule="auto"/>
        <w:ind w:firstLine="495"/>
        <w:rPr>
          <w:rFonts w:ascii="宋体" w:hAnsi="宋体"/>
          <w:spacing w:val="-6"/>
          <w:sz w:val="21"/>
          <w:szCs w:val="21"/>
          <w:highlight w:val="none"/>
        </w:rPr>
      </w:pPr>
      <w:r>
        <w:rPr>
          <w:rFonts w:hint="eastAsia" w:ascii="宋体" w:hAnsi="宋体"/>
          <w:spacing w:val="-6"/>
          <w:sz w:val="21"/>
          <w:szCs w:val="21"/>
          <w:highlight w:val="none"/>
        </w:rPr>
        <w:t xml:space="preserve">第二条 </w:t>
      </w:r>
      <w:r>
        <w:rPr>
          <w:rFonts w:hint="eastAsia" w:ascii="宋体" w:hAnsi="宋体"/>
          <w:spacing w:val="-6"/>
          <w:sz w:val="21"/>
          <w:szCs w:val="21"/>
          <w:highlight w:val="none"/>
          <w:lang w:eastAsia="zh-CN"/>
        </w:rPr>
        <w:t>杭州电子科技大学</w:t>
      </w:r>
      <w:r>
        <w:rPr>
          <w:rFonts w:hint="eastAsia" w:ascii="宋体" w:hAnsi="宋体"/>
          <w:spacing w:val="-6"/>
          <w:sz w:val="21"/>
          <w:szCs w:val="21"/>
          <w:highlight w:val="none"/>
        </w:rPr>
        <w:t>通过公开</w:t>
      </w:r>
      <w:r>
        <w:rPr>
          <w:rFonts w:ascii="宋体" w:hAnsi="宋体"/>
          <w:spacing w:val="-6"/>
          <w:sz w:val="21"/>
          <w:szCs w:val="21"/>
          <w:highlight w:val="none"/>
        </w:rPr>
        <w:t>招标</w:t>
      </w:r>
      <w:r>
        <w:rPr>
          <w:rFonts w:hint="eastAsia" w:ascii="宋体" w:hAnsi="宋体"/>
          <w:spacing w:val="-6"/>
          <w:sz w:val="21"/>
          <w:szCs w:val="21"/>
          <w:highlight w:val="none"/>
        </w:rPr>
        <w:t>方式择优确定</w:t>
      </w:r>
      <w:r>
        <w:rPr>
          <w:rFonts w:hint="eastAsia" w:ascii="宋体" w:hAnsi="宋体"/>
          <w:spacing w:val="-6"/>
          <w:sz w:val="21"/>
          <w:szCs w:val="21"/>
          <w:highlight w:val="none"/>
          <w:lang w:eastAsia="zh-CN"/>
        </w:rPr>
        <w:t>杭州电子科技大学</w:t>
      </w:r>
      <w:r>
        <w:rPr>
          <w:rFonts w:hint="eastAsia" w:ascii="宋体" w:hAnsi="宋体"/>
          <w:spacing w:val="-6"/>
          <w:sz w:val="21"/>
          <w:szCs w:val="21"/>
          <w:highlight w:val="none"/>
        </w:rPr>
        <w:t>公款存放的定期存款银行，其定期存款有关的资金管理、本息收回等活动适用本协议。</w:t>
      </w:r>
    </w:p>
    <w:p>
      <w:pPr>
        <w:spacing w:line="360" w:lineRule="auto"/>
        <w:ind w:firstLine="495"/>
        <w:rPr>
          <w:rFonts w:ascii="宋体" w:hAnsi="宋体"/>
          <w:spacing w:val="-6"/>
          <w:sz w:val="21"/>
          <w:szCs w:val="21"/>
          <w:highlight w:val="none"/>
        </w:rPr>
      </w:pPr>
      <w:r>
        <w:rPr>
          <w:rFonts w:hint="eastAsia" w:ascii="宋体" w:hAnsi="宋体"/>
          <w:spacing w:val="-6"/>
          <w:sz w:val="21"/>
          <w:szCs w:val="21"/>
          <w:highlight w:val="none"/>
        </w:rPr>
        <w:t>第三条 经招投标确定，甲方在乙方开立定期存款账户，存入</w:t>
      </w:r>
      <w:r>
        <w:rPr>
          <w:rFonts w:hint="eastAsia" w:ascii="宋体" w:hAnsi="宋体"/>
          <w:spacing w:val="-6"/>
          <w:sz w:val="21"/>
          <w:szCs w:val="21"/>
          <w:highlight w:val="none"/>
          <w:lang w:eastAsia="zh-CN"/>
        </w:rPr>
        <w:t>2023年</w:t>
      </w:r>
      <w:r>
        <w:rPr>
          <w:rFonts w:hint="eastAsia" w:ascii="宋体" w:hAnsi="宋体"/>
          <w:spacing w:val="-6"/>
          <w:sz w:val="21"/>
          <w:szCs w:val="21"/>
          <w:highlight w:val="none"/>
        </w:rPr>
        <w:t>第</w:t>
      </w:r>
      <w:r>
        <w:rPr>
          <w:rFonts w:hint="eastAsia" w:ascii="宋体" w:hAnsi="宋体"/>
          <w:spacing w:val="-6"/>
          <w:sz w:val="21"/>
          <w:szCs w:val="21"/>
          <w:highlight w:val="none"/>
          <w:lang w:val="en-US" w:eastAsia="zh-CN"/>
        </w:rPr>
        <w:t>二</w:t>
      </w:r>
      <w:r>
        <w:rPr>
          <w:rFonts w:hint="eastAsia" w:ascii="宋体" w:hAnsi="宋体"/>
          <w:spacing w:val="-6"/>
          <w:sz w:val="21"/>
          <w:szCs w:val="21"/>
          <w:highlight w:val="none"/>
        </w:rPr>
        <w:t>期存款</w:t>
      </w:r>
      <w:r>
        <w:rPr>
          <w:rFonts w:hint="eastAsia" w:ascii="宋体" w:hAnsi="宋体"/>
          <w:spacing w:val="-6"/>
          <w:sz w:val="21"/>
          <w:szCs w:val="21"/>
          <w:highlight w:val="none"/>
          <w:u w:val="single"/>
        </w:rPr>
        <w:t xml:space="preserve">       万</w:t>
      </w:r>
      <w:r>
        <w:rPr>
          <w:rFonts w:hint="eastAsia" w:ascii="宋体" w:hAnsi="宋体"/>
          <w:spacing w:val="-6"/>
          <w:sz w:val="21"/>
          <w:szCs w:val="21"/>
          <w:highlight w:val="none"/>
        </w:rPr>
        <w:t>元，定期存款年利率</w:t>
      </w:r>
      <w:r>
        <w:rPr>
          <w:rFonts w:hint="eastAsia" w:ascii="宋体" w:hAnsi="宋体"/>
          <w:spacing w:val="-6"/>
          <w:sz w:val="21"/>
          <w:szCs w:val="21"/>
          <w:highlight w:val="none"/>
          <w:u w:val="single"/>
        </w:rPr>
        <w:t xml:space="preserve">               </w:t>
      </w:r>
      <w:r>
        <w:rPr>
          <w:rFonts w:hint="eastAsia" w:ascii="宋体" w:hAnsi="宋体"/>
          <w:spacing w:val="-6"/>
          <w:sz w:val="21"/>
          <w:szCs w:val="21"/>
          <w:highlight w:val="none"/>
        </w:rPr>
        <w:t>%。甲、乙双方协商指定办理定期存款的分支机构为：</w:t>
      </w:r>
      <w:r>
        <w:rPr>
          <w:rFonts w:hint="eastAsia" w:ascii="宋体" w:hAnsi="宋体"/>
          <w:spacing w:val="-6"/>
          <w:sz w:val="21"/>
          <w:szCs w:val="21"/>
          <w:highlight w:val="none"/>
          <w:u w:val="single"/>
        </w:rPr>
        <w:t xml:space="preserve">                        </w:t>
      </w:r>
      <w:r>
        <w:rPr>
          <w:rFonts w:hint="eastAsia" w:ascii="宋体" w:hAnsi="宋体"/>
          <w:spacing w:val="-6"/>
          <w:sz w:val="21"/>
          <w:szCs w:val="21"/>
          <w:highlight w:val="none"/>
        </w:rPr>
        <w:t>。</w:t>
      </w:r>
    </w:p>
    <w:p>
      <w:pPr>
        <w:spacing w:line="360" w:lineRule="auto"/>
        <w:ind w:firstLine="495"/>
        <w:rPr>
          <w:rFonts w:ascii="宋体" w:hAnsi="宋体"/>
          <w:spacing w:val="-6"/>
          <w:sz w:val="21"/>
          <w:szCs w:val="21"/>
          <w:highlight w:val="none"/>
        </w:rPr>
      </w:pPr>
      <w:r>
        <w:rPr>
          <w:rFonts w:hint="eastAsia" w:ascii="宋体" w:hAnsi="宋体"/>
          <w:spacing w:val="-6"/>
          <w:sz w:val="21"/>
          <w:szCs w:val="21"/>
          <w:highlight w:val="none"/>
        </w:rPr>
        <w:t>第四条 定期存入时间由甲方按中标银行排序依次通知，甲方于存入日前至少提前2个工作日通知乙方办理定期存款相关事项。</w:t>
      </w:r>
    </w:p>
    <w:p>
      <w:pPr>
        <w:spacing w:line="360" w:lineRule="auto"/>
        <w:ind w:firstLine="495"/>
        <w:rPr>
          <w:rFonts w:ascii="宋体" w:hAnsi="宋体"/>
          <w:b/>
          <w:spacing w:val="-6"/>
          <w:sz w:val="21"/>
          <w:szCs w:val="21"/>
          <w:highlight w:val="none"/>
        </w:rPr>
      </w:pPr>
      <w:r>
        <w:rPr>
          <w:rFonts w:hint="eastAsia" w:ascii="宋体" w:hAnsi="宋体"/>
          <w:b/>
          <w:spacing w:val="-6"/>
          <w:sz w:val="21"/>
          <w:szCs w:val="21"/>
          <w:highlight w:val="none"/>
        </w:rPr>
        <w:t>二、甲方权利与义务</w:t>
      </w:r>
    </w:p>
    <w:p>
      <w:pPr>
        <w:spacing w:line="360" w:lineRule="auto"/>
        <w:ind w:firstLine="495"/>
        <w:rPr>
          <w:rFonts w:ascii="宋体" w:hAnsi="宋体"/>
          <w:spacing w:val="-6"/>
          <w:sz w:val="21"/>
          <w:szCs w:val="21"/>
          <w:highlight w:val="none"/>
        </w:rPr>
      </w:pPr>
      <w:r>
        <w:rPr>
          <w:rFonts w:hint="eastAsia" w:ascii="宋体" w:hAnsi="宋体"/>
          <w:spacing w:val="-6"/>
          <w:sz w:val="21"/>
          <w:szCs w:val="21"/>
          <w:highlight w:val="none"/>
        </w:rPr>
        <w:t>（一）甲方权利主要包括：</w:t>
      </w:r>
    </w:p>
    <w:p>
      <w:pPr>
        <w:spacing w:line="360" w:lineRule="auto"/>
        <w:ind w:firstLine="495"/>
        <w:rPr>
          <w:rFonts w:ascii="宋体" w:hAnsi="宋体"/>
          <w:spacing w:val="-6"/>
          <w:sz w:val="21"/>
          <w:szCs w:val="21"/>
          <w:highlight w:val="none"/>
        </w:rPr>
      </w:pPr>
      <w:r>
        <w:rPr>
          <w:rFonts w:hint="eastAsia" w:ascii="宋体" w:hAnsi="宋体"/>
          <w:spacing w:val="-6"/>
          <w:sz w:val="21"/>
          <w:szCs w:val="21"/>
          <w:highlight w:val="none"/>
        </w:rPr>
        <w:t>1.组织开展</w:t>
      </w:r>
      <w:r>
        <w:rPr>
          <w:rFonts w:hint="eastAsia" w:ascii="宋体" w:hAnsi="宋体"/>
          <w:spacing w:val="-6"/>
          <w:sz w:val="21"/>
          <w:szCs w:val="21"/>
          <w:highlight w:val="none"/>
          <w:lang w:eastAsia="zh-CN"/>
        </w:rPr>
        <w:t>杭州电子科技大学</w:t>
      </w:r>
      <w:r>
        <w:rPr>
          <w:rFonts w:hint="eastAsia" w:ascii="宋体" w:hAnsi="宋体"/>
          <w:spacing w:val="-6"/>
          <w:sz w:val="21"/>
          <w:szCs w:val="21"/>
          <w:highlight w:val="none"/>
        </w:rPr>
        <w:t>公款存放工作；</w:t>
      </w:r>
    </w:p>
    <w:p>
      <w:pPr>
        <w:spacing w:line="360" w:lineRule="auto"/>
        <w:ind w:firstLine="495"/>
        <w:rPr>
          <w:rFonts w:ascii="宋体" w:hAnsi="宋体"/>
          <w:spacing w:val="-6"/>
          <w:sz w:val="21"/>
          <w:szCs w:val="21"/>
          <w:highlight w:val="none"/>
        </w:rPr>
      </w:pPr>
      <w:r>
        <w:rPr>
          <w:rFonts w:hint="eastAsia" w:ascii="宋体" w:hAnsi="宋体"/>
          <w:spacing w:val="-6"/>
          <w:sz w:val="21"/>
          <w:szCs w:val="21"/>
          <w:highlight w:val="none"/>
        </w:rPr>
        <w:t>2.要求乙方提供存款证明；</w:t>
      </w:r>
    </w:p>
    <w:p>
      <w:pPr>
        <w:spacing w:line="360" w:lineRule="auto"/>
        <w:ind w:firstLine="495"/>
        <w:rPr>
          <w:rFonts w:ascii="宋体" w:hAnsi="宋体"/>
          <w:spacing w:val="-6"/>
          <w:sz w:val="21"/>
          <w:szCs w:val="21"/>
          <w:highlight w:val="none"/>
        </w:rPr>
      </w:pPr>
      <w:r>
        <w:rPr>
          <w:rFonts w:hint="eastAsia" w:ascii="宋体" w:hAnsi="宋体"/>
          <w:spacing w:val="-6"/>
          <w:sz w:val="21"/>
          <w:szCs w:val="21"/>
          <w:highlight w:val="none"/>
        </w:rPr>
        <w:t>3.对乙方</w:t>
      </w:r>
      <w:r>
        <w:rPr>
          <w:rFonts w:hint="eastAsia" w:ascii="宋体" w:hAnsi="宋体"/>
          <w:spacing w:val="-6"/>
          <w:sz w:val="21"/>
          <w:szCs w:val="21"/>
          <w:highlight w:val="none"/>
          <w:lang w:eastAsia="zh-CN"/>
        </w:rPr>
        <w:t>杭州电子科技大学</w:t>
      </w:r>
      <w:r>
        <w:rPr>
          <w:rFonts w:hint="eastAsia" w:ascii="宋体" w:hAnsi="宋体"/>
          <w:spacing w:val="-6"/>
          <w:sz w:val="21"/>
          <w:szCs w:val="21"/>
          <w:highlight w:val="none"/>
        </w:rPr>
        <w:t>定期存款业务实施监督管理。</w:t>
      </w:r>
    </w:p>
    <w:p>
      <w:pPr>
        <w:spacing w:line="360" w:lineRule="auto"/>
        <w:ind w:firstLine="495"/>
        <w:rPr>
          <w:rFonts w:ascii="宋体" w:hAnsi="宋体"/>
          <w:spacing w:val="-6"/>
          <w:sz w:val="21"/>
          <w:szCs w:val="21"/>
          <w:highlight w:val="none"/>
        </w:rPr>
      </w:pPr>
      <w:r>
        <w:rPr>
          <w:rFonts w:hint="eastAsia" w:ascii="宋体" w:hAnsi="宋体"/>
          <w:spacing w:val="-6"/>
          <w:sz w:val="21"/>
          <w:szCs w:val="21"/>
          <w:highlight w:val="none"/>
        </w:rPr>
        <w:t>（二）甲方义务主要包括：</w:t>
      </w:r>
    </w:p>
    <w:p>
      <w:pPr>
        <w:spacing w:line="360" w:lineRule="auto"/>
        <w:ind w:firstLine="495"/>
        <w:rPr>
          <w:rFonts w:ascii="宋体" w:hAnsi="宋体"/>
          <w:spacing w:val="-6"/>
          <w:sz w:val="21"/>
          <w:szCs w:val="21"/>
          <w:highlight w:val="none"/>
        </w:rPr>
      </w:pPr>
      <w:r>
        <w:rPr>
          <w:rFonts w:hint="eastAsia" w:ascii="宋体" w:hAnsi="宋体"/>
          <w:spacing w:val="-6"/>
          <w:sz w:val="21"/>
          <w:szCs w:val="21"/>
          <w:highlight w:val="none"/>
        </w:rPr>
        <w:t>按规定签发划拨定期存款资金的指令。</w:t>
      </w:r>
    </w:p>
    <w:p>
      <w:pPr>
        <w:spacing w:line="360" w:lineRule="auto"/>
        <w:ind w:firstLine="495"/>
        <w:rPr>
          <w:rFonts w:ascii="宋体" w:hAnsi="宋体"/>
          <w:b/>
          <w:spacing w:val="-6"/>
          <w:sz w:val="21"/>
          <w:szCs w:val="21"/>
          <w:highlight w:val="none"/>
        </w:rPr>
      </w:pPr>
      <w:r>
        <w:rPr>
          <w:rFonts w:hint="eastAsia" w:ascii="宋体" w:hAnsi="宋体"/>
          <w:b/>
          <w:spacing w:val="-6"/>
          <w:sz w:val="21"/>
          <w:szCs w:val="21"/>
          <w:highlight w:val="none"/>
        </w:rPr>
        <w:t>三、乙方权利与义务</w:t>
      </w:r>
    </w:p>
    <w:p>
      <w:pPr>
        <w:spacing w:line="360" w:lineRule="auto"/>
        <w:ind w:firstLine="495"/>
        <w:rPr>
          <w:rFonts w:ascii="宋体" w:hAnsi="宋体"/>
          <w:spacing w:val="-6"/>
          <w:sz w:val="21"/>
          <w:szCs w:val="21"/>
          <w:highlight w:val="none"/>
        </w:rPr>
      </w:pPr>
      <w:r>
        <w:rPr>
          <w:rFonts w:hint="eastAsia" w:ascii="宋体" w:hAnsi="宋体"/>
          <w:spacing w:val="-6"/>
          <w:sz w:val="21"/>
          <w:szCs w:val="21"/>
          <w:highlight w:val="none"/>
        </w:rPr>
        <w:t>（一）乙方权利主要包括：</w:t>
      </w:r>
    </w:p>
    <w:p>
      <w:pPr>
        <w:spacing w:line="360" w:lineRule="auto"/>
        <w:ind w:firstLine="495"/>
        <w:rPr>
          <w:rFonts w:ascii="宋体" w:hAnsi="宋体"/>
          <w:spacing w:val="-6"/>
          <w:sz w:val="21"/>
          <w:szCs w:val="21"/>
          <w:highlight w:val="none"/>
        </w:rPr>
      </w:pPr>
      <w:r>
        <w:rPr>
          <w:rFonts w:hint="eastAsia" w:ascii="宋体" w:hAnsi="宋体"/>
          <w:spacing w:val="-6"/>
          <w:sz w:val="21"/>
          <w:szCs w:val="21"/>
          <w:highlight w:val="none"/>
        </w:rPr>
        <w:t>1.参与甲方组织的</w:t>
      </w:r>
      <w:r>
        <w:rPr>
          <w:rFonts w:hint="eastAsia" w:ascii="宋体" w:hAnsi="宋体"/>
          <w:spacing w:val="-6"/>
          <w:sz w:val="21"/>
          <w:szCs w:val="21"/>
          <w:highlight w:val="none"/>
          <w:lang w:eastAsia="zh-CN"/>
        </w:rPr>
        <w:t>杭州电子科技大学</w:t>
      </w:r>
      <w:r>
        <w:rPr>
          <w:rFonts w:hint="eastAsia" w:ascii="宋体" w:hAnsi="宋体"/>
          <w:spacing w:val="-6"/>
          <w:sz w:val="21"/>
          <w:szCs w:val="21"/>
          <w:highlight w:val="none"/>
        </w:rPr>
        <w:t>公款存放工作；</w:t>
      </w:r>
    </w:p>
    <w:p>
      <w:pPr>
        <w:spacing w:line="360" w:lineRule="auto"/>
        <w:ind w:firstLine="495"/>
        <w:rPr>
          <w:rFonts w:ascii="宋体" w:hAnsi="宋体"/>
          <w:spacing w:val="-6"/>
          <w:sz w:val="21"/>
          <w:szCs w:val="21"/>
          <w:highlight w:val="none"/>
        </w:rPr>
      </w:pPr>
      <w:r>
        <w:rPr>
          <w:rFonts w:hint="eastAsia" w:ascii="宋体" w:hAnsi="宋体"/>
          <w:spacing w:val="-6"/>
          <w:sz w:val="21"/>
          <w:szCs w:val="21"/>
          <w:highlight w:val="none"/>
        </w:rPr>
        <w:t>2.按规定金额存放甲方定期存款。</w:t>
      </w:r>
    </w:p>
    <w:p>
      <w:pPr>
        <w:spacing w:line="360" w:lineRule="auto"/>
        <w:ind w:firstLine="495"/>
        <w:rPr>
          <w:rFonts w:ascii="宋体" w:hAnsi="宋体"/>
          <w:spacing w:val="-6"/>
          <w:sz w:val="21"/>
          <w:szCs w:val="21"/>
          <w:highlight w:val="none"/>
        </w:rPr>
      </w:pPr>
      <w:r>
        <w:rPr>
          <w:rFonts w:hint="eastAsia" w:ascii="宋体" w:hAnsi="宋体"/>
          <w:spacing w:val="-6"/>
          <w:sz w:val="21"/>
          <w:szCs w:val="21"/>
          <w:highlight w:val="none"/>
        </w:rPr>
        <w:t>（二）乙方义务主要包括：</w:t>
      </w:r>
    </w:p>
    <w:p>
      <w:pPr>
        <w:spacing w:line="360" w:lineRule="auto"/>
        <w:ind w:firstLine="495"/>
        <w:rPr>
          <w:rFonts w:ascii="宋体" w:hAnsi="宋体"/>
          <w:spacing w:val="-6"/>
          <w:sz w:val="21"/>
          <w:szCs w:val="21"/>
          <w:highlight w:val="none"/>
        </w:rPr>
      </w:pPr>
      <w:r>
        <w:rPr>
          <w:rFonts w:hint="eastAsia" w:ascii="宋体" w:hAnsi="宋体"/>
          <w:spacing w:val="-6"/>
          <w:sz w:val="21"/>
          <w:szCs w:val="21"/>
          <w:highlight w:val="none"/>
        </w:rPr>
        <w:t>1.按规定办理甲方定期存款存放手续；</w:t>
      </w:r>
    </w:p>
    <w:p>
      <w:pPr>
        <w:spacing w:line="360" w:lineRule="auto"/>
        <w:ind w:firstLine="495"/>
        <w:rPr>
          <w:rFonts w:ascii="宋体" w:hAnsi="宋体"/>
          <w:spacing w:val="-6"/>
          <w:sz w:val="21"/>
          <w:szCs w:val="21"/>
          <w:highlight w:val="none"/>
        </w:rPr>
      </w:pPr>
      <w:r>
        <w:rPr>
          <w:rFonts w:hint="eastAsia" w:ascii="宋体" w:hAnsi="宋体"/>
          <w:spacing w:val="-6"/>
          <w:sz w:val="21"/>
          <w:szCs w:val="21"/>
          <w:highlight w:val="none"/>
        </w:rPr>
        <w:t>2.向甲方提供存款证明；</w:t>
      </w:r>
    </w:p>
    <w:p>
      <w:pPr>
        <w:spacing w:line="360" w:lineRule="auto"/>
        <w:ind w:firstLine="495"/>
        <w:rPr>
          <w:rFonts w:ascii="宋体" w:hAnsi="宋体"/>
          <w:spacing w:val="-6"/>
          <w:sz w:val="21"/>
          <w:szCs w:val="21"/>
          <w:highlight w:val="none"/>
        </w:rPr>
      </w:pPr>
      <w:r>
        <w:rPr>
          <w:rFonts w:hint="eastAsia" w:ascii="宋体" w:hAnsi="宋体"/>
          <w:spacing w:val="-6"/>
          <w:sz w:val="21"/>
          <w:szCs w:val="21"/>
          <w:highlight w:val="none"/>
        </w:rPr>
        <w:t>3.存款到期及时足额缴清甲方存款本息；</w:t>
      </w:r>
    </w:p>
    <w:p>
      <w:pPr>
        <w:spacing w:line="360" w:lineRule="auto"/>
        <w:ind w:firstLine="495"/>
        <w:rPr>
          <w:rFonts w:ascii="宋体" w:hAnsi="宋体"/>
          <w:spacing w:val="-6"/>
          <w:sz w:val="21"/>
          <w:szCs w:val="21"/>
          <w:highlight w:val="none"/>
        </w:rPr>
      </w:pPr>
      <w:r>
        <w:rPr>
          <w:rFonts w:hint="eastAsia" w:ascii="宋体" w:hAnsi="宋体"/>
          <w:spacing w:val="-6"/>
          <w:sz w:val="21"/>
          <w:szCs w:val="21"/>
          <w:highlight w:val="none"/>
        </w:rPr>
        <w:t>4.确保甲方定期存款存续期间的资金安全；</w:t>
      </w:r>
    </w:p>
    <w:p>
      <w:pPr>
        <w:spacing w:line="360" w:lineRule="auto"/>
        <w:ind w:firstLine="495"/>
        <w:rPr>
          <w:rFonts w:ascii="宋体" w:hAnsi="宋体"/>
          <w:spacing w:val="-6"/>
          <w:sz w:val="21"/>
          <w:szCs w:val="21"/>
          <w:highlight w:val="none"/>
        </w:rPr>
      </w:pPr>
      <w:r>
        <w:rPr>
          <w:rFonts w:hint="eastAsia" w:ascii="宋体" w:hAnsi="宋体"/>
          <w:spacing w:val="-6"/>
          <w:sz w:val="21"/>
          <w:szCs w:val="21"/>
          <w:highlight w:val="none"/>
        </w:rPr>
        <w:t>5.接受甲方对定期存款业务的监督管理；</w:t>
      </w:r>
    </w:p>
    <w:p>
      <w:pPr>
        <w:spacing w:line="360" w:lineRule="auto"/>
        <w:ind w:firstLine="495"/>
        <w:rPr>
          <w:rFonts w:ascii="宋体" w:hAnsi="宋体"/>
          <w:spacing w:val="-6"/>
          <w:sz w:val="21"/>
          <w:szCs w:val="21"/>
          <w:highlight w:val="none"/>
        </w:rPr>
      </w:pPr>
      <w:r>
        <w:rPr>
          <w:rFonts w:hint="eastAsia" w:ascii="宋体" w:hAnsi="宋体"/>
          <w:spacing w:val="-6"/>
          <w:sz w:val="21"/>
          <w:szCs w:val="21"/>
          <w:highlight w:val="none"/>
        </w:rPr>
        <w:t>6.乙方应确定固定部门及经办人员负责甲方公款存放业务，并向</w:t>
      </w:r>
      <w:r>
        <w:rPr>
          <w:rFonts w:hint="eastAsia" w:ascii="宋体" w:hAnsi="宋体"/>
          <w:spacing w:val="-6"/>
          <w:sz w:val="21"/>
          <w:szCs w:val="21"/>
          <w:highlight w:val="none"/>
          <w:lang w:eastAsia="zh-CN"/>
        </w:rPr>
        <w:t>杭州电子科技大学</w:t>
      </w:r>
      <w:r>
        <w:rPr>
          <w:rFonts w:hint="eastAsia" w:ascii="宋体" w:hAnsi="宋体"/>
          <w:spacing w:val="-6"/>
          <w:sz w:val="21"/>
          <w:szCs w:val="21"/>
          <w:highlight w:val="none"/>
        </w:rPr>
        <w:t>财务</w:t>
      </w:r>
      <w:r>
        <w:rPr>
          <w:rFonts w:ascii="宋体" w:hAnsi="宋体"/>
          <w:spacing w:val="-6"/>
          <w:sz w:val="21"/>
          <w:szCs w:val="21"/>
          <w:highlight w:val="none"/>
        </w:rPr>
        <w:t>部门</w:t>
      </w:r>
      <w:r>
        <w:rPr>
          <w:rFonts w:hint="eastAsia" w:ascii="宋体" w:hAnsi="宋体"/>
          <w:spacing w:val="-6"/>
          <w:sz w:val="21"/>
          <w:szCs w:val="21"/>
          <w:highlight w:val="none"/>
        </w:rPr>
        <w:t>报备业务部门、部门负责人、具体业务人员及联系方式。如有变更，应于变更后2个工作日内书面告知</w:t>
      </w:r>
      <w:r>
        <w:rPr>
          <w:rFonts w:hint="eastAsia" w:ascii="宋体" w:hAnsi="宋体"/>
          <w:spacing w:val="-6"/>
          <w:sz w:val="21"/>
          <w:szCs w:val="21"/>
          <w:highlight w:val="none"/>
          <w:lang w:eastAsia="zh-CN"/>
        </w:rPr>
        <w:t>杭州电子科技大学</w:t>
      </w:r>
      <w:r>
        <w:rPr>
          <w:rFonts w:hint="eastAsia" w:ascii="宋体" w:hAnsi="宋体"/>
          <w:spacing w:val="-6"/>
          <w:sz w:val="21"/>
          <w:szCs w:val="21"/>
          <w:highlight w:val="none"/>
        </w:rPr>
        <w:t>财务</w:t>
      </w:r>
      <w:r>
        <w:rPr>
          <w:rFonts w:ascii="宋体" w:hAnsi="宋体"/>
          <w:spacing w:val="-6"/>
          <w:sz w:val="21"/>
          <w:szCs w:val="21"/>
          <w:highlight w:val="none"/>
        </w:rPr>
        <w:t>部门</w:t>
      </w:r>
      <w:r>
        <w:rPr>
          <w:rFonts w:hint="eastAsia" w:ascii="宋体" w:hAnsi="宋体"/>
          <w:spacing w:val="-6"/>
          <w:sz w:val="21"/>
          <w:szCs w:val="21"/>
          <w:highlight w:val="none"/>
        </w:rPr>
        <w:t>。</w:t>
      </w:r>
    </w:p>
    <w:p>
      <w:pPr>
        <w:spacing w:line="360" w:lineRule="auto"/>
        <w:ind w:firstLine="495"/>
        <w:rPr>
          <w:rFonts w:ascii="宋体" w:hAnsi="宋体"/>
          <w:b/>
          <w:spacing w:val="-6"/>
          <w:sz w:val="21"/>
          <w:szCs w:val="21"/>
          <w:highlight w:val="none"/>
        </w:rPr>
      </w:pPr>
      <w:r>
        <w:rPr>
          <w:rFonts w:hint="eastAsia" w:ascii="宋体" w:hAnsi="宋体"/>
          <w:b/>
          <w:spacing w:val="-6"/>
          <w:sz w:val="21"/>
          <w:szCs w:val="21"/>
          <w:highlight w:val="none"/>
        </w:rPr>
        <w:t>四、违约责任</w:t>
      </w:r>
    </w:p>
    <w:p>
      <w:pPr>
        <w:spacing w:line="360" w:lineRule="auto"/>
        <w:ind w:firstLine="495"/>
        <w:rPr>
          <w:rFonts w:ascii="宋体" w:hAnsi="宋体"/>
          <w:spacing w:val="-6"/>
          <w:sz w:val="21"/>
          <w:szCs w:val="21"/>
          <w:highlight w:val="none"/>
        </w:rPr>
      </w:pPr>
      <w:r>
        <w:rPr>
          <w:rFonts w:hint="eastAsia" w:ascii="宋体" w:hAnsi="宋体"/>
          <w:spacing w:val="-6"/>
          <w:sz w:val="21"/>
          <w:szCs w:val="21"/>
          <w:highlight w:val="none"/>
        </w:rPr>
        <w:t>除发生不可抗力外，违约责任按以下条款执行：</w:t>
      </w:r>
    </w:p>
    <w:p>
      <w:pPr>
        <w:spacing w:line="360" w:lineRule="auto"/>
        <w:ind w:firstLine="495"/>
        <w:rPr>
          <w:rFonts w:ascii="宋体" w:hAnsi="宋体"/>
          <w:spacing w:val="-6"/>
          <w:sz w:val="21"/>
          <w:szCs w:val="21"/>
          <w:highlight w:val="none"/>
        </w:rPr>
      </w:pPr>
      <w:r>
        <w:rPr>
          <w:rFonts w:hint="eastAsia" w:ascii="宋体" w:hAnsi="宋体"/>
          <w:spacing w:val="-6"/>
          <w:sz w:val="21"/>
          <w:szCs w:val="21"/>
          <w:highlight w:val="none"/>
        </w:rPr>
        <w:t>1.甲方未及时签发划款指令，造成乙方滞划存款资金，甲方应按未划拨资金额，以当期存款协议中定期存款利率的两倍折成日利率，按日向乙方支付违约金；</w:t>
      </w:r>
    </w:p>
    <w:p>
      <w:pPr>
        <w:spacing w:line="360" w:lineRule="auto"/>
        <w:ind w:firstLine="495"/>
        <w:rPr>
          <w:rFonts w:ascii="宋体" w:hAnsi="宋体"/>
          <w:spacing w:val="-6"/>
          <w:sz w:val="21"/>
          <w:szCs w:val="21"/>
          <w:highlight w:val="none"/>
        </w:rPr>
      </w:pPr>
      <w:r>
        <w:rPr>
          <w:rFonts w:hint="eastAsia" w:ascii="宋体" w:hAnsi="宋体"/>
          <w:spacing w:val="-6"/>
          <w:sz w:val="21"/>
          <w:szCs w:val="21"/>
          <w:highlight w:val="none"/>
        </w:rPr>
        <w:t>2.乙方未及时向甲方缴清到期存款本息的，应以当期存款协议中定期存款利率的两倍折成日利率，按日向甲方支付违约金；</w:t>
      </w:r>
    </w:p>
    <w:p>
      <w:pPr>
        <w:spacing w:line="360" w:lineRule="auto"/>
        <w:ind w:firstLine="495"/>
        <w:rPr>
          <w:rFonts w:ascii="宋体" w:hAnsi="宋体"/>
          <w:spacing w:val="-6"/>
          <w:sz w:val="21"/>
          <w:szCs w:val="21"/>
          <w:highlight w:val="none"/>
        </w:rPr>
      </w:pPr>
      <w:r>
        <w:rPr>
          <w:rFonts w:hint="eastAsia" w:ascii="宋体" w:hAnsi="宋体"/>
          <w:spacing w:val="-6"/>
          <w:sz w:val="21"/>
          <w:szCs w:val="21"/>
          <w:highlight w:val="none"/>
        </w:rPr>
        <w:t>3.乙方有下列情形之一的，甲方有权提前收回定期存款，并取消乙方在以后各期的公款</w:t>
      </w:r>
      <w:r>
        <w:rPr>
          <w:rFonts w:ascii="宋体" w:hAnsi="宋体"/>
          <w:spacing w:val="-6"/>
          <w:sz w:val="21"/>
          <w:szCs w:val="21"/>
          <w:highlight w:val="none"/>
        </w:rPr>
        <w:t>存放</w:t>
      </w:r>
      <w:r>
        <w:rPr>
          <w:rFonts w:hint="eastAsia" w:ascii="宋体" w:hAnsi="宋体"/>
          <w:spacing w:val="-6"/>
          <w:sz w:val="21"/>
          <w:szCs w:val="21"/>
          <w:highlight w:val="none"/>
        </w:rPr>
        <w:t>投标资格：</w:t>
      </w:r>
    </w:p>
    <w:p>
      <w:pPr>
        <w:spacing w:line="360" w:lineRule="auto"/>
        <w:ind w:firstLine="495"/>
        <w:rPr>
          <w:rFonts w:ascii="宋体" w:hAnsi="宋体"/>
          <w:spacing w:val="-6"/>
          <w:sz w:val="21"/>
          <w:szCs w:val="21"/>
          <w:highlight w:val="none"/>
        </w:rPr>
      </w:pPr>
      <w:r>
        <w:rPr>
          <w:rFonts w:hint="eastAsia" w:ascii="宋体" w:hAnsi="宋体"/>
          <w:spacing w:val="-6"/>
          <w:sz w:val="21"/>
          <w:szCs w:val="21"/>
          <w:highlight w:val="none"/>
        </w:rPr>
        <w:t>（一）出现资金安全事故、重大违法违规情况或财务状况恶化的；</w:t>
      </w:r>
    </w:p>
    <w:p>
      <w:pPr>
        <w:spacing w:line="360" w:lineRule="auto"/>
        <w:ind w:firstLine="495"/>
        <w:rPr>
          <w:rFonts w:ascii="宋体" w:hAnsi="宋体"/>
          <w:spacing w:val="-6"/>
          <w:sz w:val="21"/>
          <w:szCs w:val="21"/>
          <w:highlight w:val="none"/>
        </w:rPr>
      </w:pPr>
      <w:r>
        <w:rPr>
          <w:rFonts w:hint="eastAsia" w:ascii="宋体" w:hAnsi="宋体"/>
          <w:spacing w:val="-6"/>
          <w:sz w:val="21"/>
          <w:szCs w:val="21"/>
          <w:highlight w:val="none"/>
        </w:rPr>
        <w:t>（二）监管评级降低后低于人民银行上年度综合评价B级，监管部门认为存在较大运营风险的；</w:t>
      </w:r>
    </w:p>
    <w:p>
      <w:pPr>
        <w:spacing w:line="360" w:lineRule="auto"/>
        <w:ind w:firstLine="495"/>
        <w:rPr>
          <w:rFonts w:ascii="宋体" w:hAnsi="宋体"/>
          <w:spacing w:val="-6"/>
          <w:sz w:val="21"/>
          <w:szCs w:val="21"/>
          <w:highlight w:val="none"/>
        </w:rPr>
      </w:pPr>
      <w:r>
        <w:rPr>
          <w:rFonts w:hint="eastAsia" w:ascii="宋体" w:hAnsi="宋体"/>
          <w:spacing w:val="-6"/>
          <w:sz w:val="21"/>
          <w:szCs w:val="21"/>
          <w:highlight w:val="none"/>
        </w:rPr>
        <w:t>（三）进行不正当投标的；</w:t>
      </w:r>
    </w:p>
    <w:p>
      <w:pPr>
        <w:spacing w:line="360" w:lineRule="auto"/>
        <w:ind w:firstLine="495"/>
        <w:rPr>
          <w:rFonts w:ascii="宋体" w:hAnsi="宋体"/>
          <w:spacing w:val="-6"/>
          <w:sz w:val="21"/>
          <w:szCs w:val="21"/>
          <w:highlight w:val="none"/>
        </w:rPr>
      </w:pPr>
      <w:r>
        <w:rPr>
          <w:rFonts w:hint="eastAsia" w:ascii="宋体" w:hAnsi="宋体"/>
          <w:spacing w:val="-6"/>
          <w:sz w:val="21"/>
          <w:szCs w:val="21"/>
          <w:highlight w:val="none"/>
        </w:rPr>
        <w:t>（四）没有按照中标协议承诺履行相应的责任和义务的；</w:t>
      </w:r>
    </w:p>
    <w:p>
      <w:pPr>
        <w:spacing w:line="360" w:lineRule="auto"/>
        <w:ind w:firstLine="495"/>
        <w:rPr>
          <w:rFonts w:ascii="宋体" w:hAnsi="宋体"/>
          <w:spacing w:val="-6"/>
          <w:sz w:val="21"/>
          <w:szCs w:val="21"/>
          <w:highlight w:val="none"/>
        </w:rPr>
      </w:pPr>
      <w:r>
        <w:rPr>
          <w:rFonts w:hint="eastAsia" w:ascii="宋体" w:hAnsi="宋体"/>
          <w:spacing w:val="-6"/>
          <w:sz w:val="21"/>
          <w:szCs w:val="21"/>
          <w:highlight w:val="none"/>
        </w:rPr>
        <w:t>（五）不能按规定将到期存款本息足额缴入单位账户的；</w:t>
      </w:r>
    </w:p>
    <w:p>
      <w:pPr>
        <w:spacing w:line="360" w:lineRule="auto"/>
        <w:ind w:firstLine="495"/>
        <w:rPr>
          <w:rFonts w:ascii="宋体" w:hAnsi="宋体"/>
          <w:spacing w:val="-6"/>
          <w:sz w:val="21"/>
          <w:szCs w:val="21"/>
          <w:highlight w:val="none"/>
        </w:rPr>
      </w:pPr>
      <w:r>
        <w:rPr>
          <w:rFonts w:hint="eastAsia" w:ascii="宋体" w:hAnsi="宋体"/>
          <w:spacing w:val="-6"/>
          <w:sz w:val="21"/>
          <w:szCs w:val="21"/>
          <w:highlight w:val="none"/>
        </w:rPr>
        <w:t>（六）存在其他妨害资金安全行为的。</w:t>
      </w:r>
    </w:p>
    <w:p>
      <w:pPr>
        <w:spacing w:line="360" w:lineRule="auto"/>
        <w:ind w:firstLine="495"/>
        <w:rPr>
          <w:rFonts w:ascii="宋体" w:hAnsi="宋体"/>
          <w:b/>
          <w:spacing w:val="-6"/>
          <w:sz w:val="21"/>
          <w:szCs w:val="21"/>
          <w:highlight w:val="none"/>
        </w:rPr>
      </w:pPr>
      <w:r>
        <w:rPr>
          <w:rFonts w:hint="eastAsia" w:ascii="宋体" w:hAnsi="宋体"/>
          <w:b/>
          <w:spacing w:val="-6"/>
          <w:sz w:val="21"/>
          <w:szCs w:val="21"/>
          <w:highlight w:val="none"/>
        </w:rPr>
        <w:t>五、提前支取</w:t>
      </w:r>
    </w:p>
    <w:p>
      <w:pPr>
        <w:spacing w:line="360" w:lineRule="auto"/>
        <w:ind w:firstLine="495"/>
        <w:rPr>
          <w:rFonts w:ascii="宋体" w:hAnsi="宋体"/>
          <w:spacing w:val="-6"/>
          <w:sz w:val="21"/>
          <w:szCs w:val="21"/>
          <w:highlight w:val="none"/>
        </w:rPr>
      </w:pPr>
      <w:r>
        <w:rPr>
          <w:rFonts w:hint="eastAsia" w:ascii="宋体" w:hAnsi="宋体"/>
          <w:spacing w:val="-6"/>
          <w:sz w:val="21"/>
          <w:szCs w:val="21"/>
          <w:highlight w:val="none"/>
        </w:rPr>
        <w:t>经与乙方协商，甲方有权在到期日前提前支取定期存款，甲方至少</w:t>
      </w:r>
      <w:r>
        <w:rPr>
          <w:rFonts w:ascii="宋体" w:hAnsi="宋体"/>
          <w:spacing w:val="-6"/>
          <w:sz w:val="21"/>
          <w:szCs w:val="21"/>
          <w:highlight w:val="none"/>
        </w:rPr>
        <w:t>应在</w:t>
      </w:r>
      <w:r>
        <w:rPr>
          <w:rFonts w:hint="eastAsia" w:ascii="宋体" w:hAnsi="宋体"/>
          <w:spacing w:val="-6"/>
          <w:sz w:val="21"/>
          <w:szCs w:val="21"/>
          <w:highlight w:val="none"/>
        </w:rPr>
        <w:t>2个</w:t>
      </w:r>
      <w:r>
        <w:rPr>
          <w:rFonts w:ascii="宋体" w:hAnsi="宋体"/>
          <w:spacing w:val="-6"/>
          <w:sz w:val="21"/>
          <w:szCs w:val="21"/>
          <w:highlight w:val="none"/>
        </w:rPr>
        <w:t>工作日前通知乙方，</w:t>
      </w:r>
      <w:r>
        <w:rPr>
          <w:rFonts w:hint="eastAsia" w:ascii="宋体" w:hAnsi="宋体"/>
          <w:spacing w:val="-6"/>
          <w:sz w:val="21"/>
          <w:szCs w:val="21"/>
          <w:highlight w:val="none"/>
        </w:rPr>
        <w:t>提前支取定期存款计息方案：按</w:t>
      </w:r>
      <w:r>
        <w:rPr>
          <w:rFonts w:ascii="宋体" w:hAnsi="宋体"/>
          <w:spacing w:val="-6"/>
          <w:sz w:val="21"/>
          <w:szCs w:val="21"/>
          <w:highlight w:val="none"/>
        </w:rPr>
        <w:t>投标文件执行</w:t>
      </w:r>
      <w:r>
        <w:rPr>
          <w:rFonts w:hint="eastAsia" w:ascii="宋体" w:hAnsi="宋体"/>
          <w:spacing w:val="-6"/>
          <w:sz w:val="21"/>
          <w:szCs w:val="21"/>
          <w:highlight w:val="none"/>
        </w:rPr>
        <w:t>。</w:t>
      </w:r>
    </w:p>
    <w:p>
      <w:pPr>
        <w:spacing w:line="360" w:lineRule="auto"/>
        <w:ind w:firstLine="495"/>
        <w:rPr>
          <w:rFonts w:ascii="宋体" w:hAnsi="宋体"/>
          <w:b/>
          <w:spacing w:val="-6"/>
          <w:sz w:val="21"/>
          <w:szCs w:val="21"/>
          <w:highlight w:val="none"/>
        </w:rPr>
      </w:pPr>
      <w:r>
        <w:rPr>
          <w:rFonts w:hint="eastAsia" w:ascii="宋体" w:hAnsi="宋体"/>
          <w:b/>
          <w:spacing w:val="-6"/>
          <w:sz w:val="21"/>
          <w:szCs w:val="21"/>
          <w:highlight w:val="none"/>
        </w:rPr>
        <w:t>六、协议期限</w:t>
      </w:r>
    </w:p>
    <w:p>
      <w:pPr>
        <w:spacing w:line="360" w:lineRule="auto"/>
        <w:ind w:firstLine="495"/>
        <w:rPr>
          <w:rFonts w:ascii="宋体" w:hAnsi="宋体"/>
          <w:spacing w:val="-6"/>
          <w:sz w:val="21"/>
          <w:szCs w:val="21"/>
          <w:highlight w:val="none"/>
        </w:rPr>
      </w:pPr>
      <w:r>
        <w:rPr>
          <w:rFonts w:hint="eastAsia" w:ascii="宋体" w:hAnsi="宋体"/>
          <w:spacing w:val="-6"/>
          <w:sz w:val="21"/>
          <w:szCs w:val="21"/>
          <w:highlight w:val="none"/>
        </w:rPr>
        <w:t>本协议期限自</w:t>
      </w:r>
      <w:r>
        <w:rPr>
          <w:rFonts w:hint="eastAsia" w:ascii="宋体" w:hAnsi="宋体"/>
          <w:spacing w:val="-6"/>
          <w:sz w:val="21"/>
          <w:szCs w:val="21"/>
          <w:highlight w:val="none"/>
          <w:u w:val="single"/>
        </w:rPr>
        <w:t>存入之日起1年</w:t>
      </w:r>
      <w:r>
        <w:rPr>
          <w:rFonts w:hint="eastAsia" w:ascii="宋体" w:hAnsi="宋体"/>
          <w:spacing w:val="-6"/>
          <w:sz w:val="21"/>
          <w:szCs w:val="21"/>
          <w:highlight w:val="none"/>
        </w:rPr>
        <w:t>。</w:t>
      </w:r>
    </w:p>
    <w:p>
      <w:pPr>
        <w:spacing w:line="360" w:lineRule="auto"/>
        <w:ind w:firstLine="495"/>
        <w:rPr>
          <w:rFonts w:ascii="宋体" w:hAnsi="宋体"/>
          <w:spacing w:val="-6"/>
          <w:sz w:val="21"/>
          <w:szCs w:val="21"/>
          <w:highlight w:val="none"/>
        </w:rPr>
      </w:pPr>
      <w:r>
        <w:rPr>
          <w:rFonts w:hint="eastAsia" w:ascii="宋体" w:hAnsi="宋体"/>
          <w:b/>
          <w:spacing w:val="-6"/>
          <w:sz w:val="21"/>
          <w:szCs w:val="21"/>
          <w:highlight w:val="none"/>
        </w:rPr>
        <w:t>七</w:t>
      </w:r>
      <w:r>
        <w:rPr>
          <w:rFonts w:ascii="宋体" w:hAnsi="宋体"/>
          <w:b/>
          <w:spacing w:val="-6"/>
          <w:sz w:val="21"/>
          <w:szCs w:val="21"/>
          <w:highlight w:val="none"/>
        </w:rPr>
        <w:t>、</w:t>
      </w:r>
      <w:r>
        <w:rPr>
          <w:rFonts w:hint="eastAsia" w:ascii="宋体" w:hAnsi="宋体"/>
          <w:spacing w:val="-6"/>
          <w:sz w:val="21"/>
          <w:szCs w:val="21"/>
          <w:highlight w:val="none"/>
        </w:rPr>
        <w:t>本协议一式伍份，甲方执叁份、乙方与鉴证方各执壹份，具有同等法律效力。执行中如对本协议产生争议，通过协商解决。</w:t>
      </w:r>
    </w:p>
    <w:p>
      <w:pPr>
        <w:spacing w:line="360" w:lineRule="auto"/>
        <w:ind w:firstLine="495"/>
        <w:rPr>
          <w:rFonts w:ascii="宋体" w:hAnsi="宋体"/>
          <w:spacing w:val="-6"/>
          <w:sz w:val="21"/>
          <w:szCs w:val="21"/>
          <w:highlight w:val="none"/>
        </w:rPr>
      </w:pPr>
      <w:r>
        <w:rPr>
          <w:rFonts w:hint="eastAsia" w:ascii="宋体" w:hAnsi="宋体"/>
          <w:b/>
          <w:spacing w:val="-6"/>
          <w:sz w:val="21"/>
          <w:szCs w:val="21"/>
          <w:highlight w:val="none"/>
        </w:rPr>
        <w:t>八、</w:t>
      </w:r>
      <w:r>
        <w:rPr>
          <w:rFonts w:hint="eastAsia" w:ascii="宋体" w:hAnsi="宋体"/>
          <w:spacing w:val="-6"/>
          <w:sz w:val="21"/>
          <w:szCs w:val="21"/>
          <w:highlight w:val="none"/>
        </w:rPr>
        <w:t>相关</w:t>
      </w:r>
      <w:r>
        <w:rPr>
          <w:rFonts w:ascii="宋体" w:hAnsi="宋体"/>
          <w:spacing w:val="-6"/>
          <w:sz w:val="21"/>
          <w:szCs w:val="21"/>
          <w:highlight w:val="none"/>
        </w:rPr>
        <w:t>招标文件、投标文件等与本合同具有同等法律效力。</w:t>
      </w:r>
    </w:p>
    <w:p>
      <w:pPr>
        <w:spacing w:line="360" w:lineRule="auto"/>
        <w:rPr>
          <w:rFonts w:ascii="宋体" w:hAnsi="宋体"/>
          <w:spacing w:val="-6"/>
          <w:sz w:val="21"/>
          <w:szCs w:val="21"/>
          <w:highlight w:val="none"/>
        </w:rPr>
      </w:pPr>
      <w:r>
        <w:rPr>
          <w:rFonts w:hint="eastAsia" w:ascii="宋体" w:hAnsi="宋体"/>
          <w:b/>
          <w:bCs/>
          <w:sz w:val="21"/>
          <w:szCs w:val="21"/>
          <w:highlight w:val="none"/>
        </w:rPr>
        <w:t>甲方（盖章）：</w:t>
      </w:r>
      <w:r>
        <w:rPr>
          <w:rFonts w:hint="eastAsia" w:ascii="宋体" w:hAnsi="宋体"/>
          <w:b/>
          <w:bCs/>
          <w:sz w:val="21"/>
          <w:szCs w:val="21"/>
          <w:highlight w:val="none"/>
          <w:lang w:eastAsia="zh-CN"/>
        </w:rPr>
        <w:t>杭州电子科技大学</w:t>
      </w:r>
      <w:r>
        <w:rPr>
          <w:rFonts w:hint="eastAsia" w:ascii="宋体" w:hAnsi="宋体"/>
          <w:b/>
          <w:bCs/>
          <w:sz w:val="21"/>
          <w:szCs w:val="21"/>
          <w:highlight w:val="none"/>
        </w:rPr>
        <w:t xml:space="preserve">        乙方（盖章）：</w:t>
      </w:r>
    </w:p>
    <w:p>
      <w:pPr>
        <w:pStyle w:val="12"/>
        <w:snapToGrid w:val="0"/>
        <w:spacing w:beforeLines="0" w:afterLines="0" w:line="360" w:lineRule="auto"/>
        <w:ind w:left="5103" w:hanging="5103" w:hangingChars="2430"/>
        <w:jc w:val="left"/>
        <w:rPr>
          <w:rFonts w:hAnsi="宋体"/>
          <w:sz w:val="21"/>
          <w:szCs w:val="21"/>
          <w:highlight w:val="none"/>
        </w:rPr>
      </w:pPr>
      <w:r>
        <w:rPr>
          <w:rFonts w:hint="eastAsia" w:hAnsi="宋体"/>
          <w:sz w:val="21"/>
          <w:szCs w:val="21"/>
          <w:highlight w:val="none"/>
        </w:rPr>
        <w:t>法定代表人或授权委托人                   法定代表人或授权委托人</w:t>
      </w:r>
    </w:p>
    <w:p>
      <w:pPr>
        <w:pStyle w:val="12"/>
        <w:snapToGrid w:val="0"/>
        <w:spacing w:beforeLines="0" w:afterLines="0" w:line="360" w:lineRule="auto"/>
        <w:ind w:left="5103" w:hanging="5103" w:hangingChars="2430"/>
        <w:jc w:val="left"/>
        <w:rPr>
          <w:rFonts w:hAnsi="宋体"/>
          <w:sz w:val="21"/>
          <w:szCs w:val="21"/>
          <w:highlight w:val="none"/>
        </w:rPr>
      </w:pPr>
      <w:r>
        <w:rPr>
          <w:rFonts w:hint="eastAsia" w:hAnsi="宋体"/>
          <w:sz w:val="21"/>
          <w:szCs w:val="21"/>
          <w:highlight w:val="none"/>
        </w:rPr>
        <w:t>（签字）                                （签字）</w:t>
      </w:r>
    </w:p>
    <w:p>
      <w:pPr>
        <w:pStyle w:val="12"/>
        <w:snapToGrid w:val="0"/>
        <w:spacing w:beforeLines="0" w:afterLines="0" w:line="360" w:lineRule="auto"/>
        <w:ind w:left="5103" w:hanging="5103" w:hangingChars="2430"/>
        <w:jc w:val="left"/>
        <w:rPr>
          <w:rFonts w:hAnsi="宋体"/>
          <w:sz w:val="21"/>
          <w:szCs w:val="21"/>
          <w:highlight w:val="none"/>
        </w:rPr>
      </w:pPr>
      <w:r>
        <w:rPr>
          <w:rFonts w:hint="eastAsia" w:hAnsi="宋体"/>
          <w:sz w:val="21"/>
          <w:szCs w:val="21"/>
          <w:highlight w:val="none"/>
        </w:rPr>
        <w:t>地址：                                   地址：</w:t>
      </w:r>
    </w:p>
    <w:p>
      <w:pPr>
        <w:pStyle w:val="12"/>
        <w:snapToGrid w:val="0"/>
        <w:spacing w:beforeLines="0" w:afterLines="0" w:line="360" w:lineRule="auto"/>
        <w:ind w:left="5103" w:hanging="5103" w:hangingChars="2430"/>
        <w:jc w:val="left"/>
        <w:rPr>
          <w:rFonts w:hAnsi="宋体"/>
          <w:sz w:val="21"/>
          <w:szCs w:val="21"/>
          <w:highlight w:val="none"/>
        </w:rPr>
      </w:pPr>
      <w:r>
        <w:rPr>
          <w:rFonts w:hint="eastAsia" w:hAnsi="宋体"/>
          <w:sz w:val="21"/>
          <w:szCs w:val="21"/>
          <w:highlight w:val="none"/>
        </w:rPr>
        <w:t>邮编：                                   邮编：</w:t>
      </w:r>
    </w:p>
    <w:p>
      <w:pPr>
        <w:pStyle w:val="12"/>
        <w:snapToGrid w:val="0"/>
        <w:spacing w:beforeLines="0" w:afterLines="0" w:line="360" w:lineRule="auto"/>
        <w:ind w:left="5103" w:hanging="5103" w:hangingChars="2430"/>
        <w:jc w:val="left"/>
        <w:rPr>
          <w:rFonts w:hAnsi="宋体"/>
          <w:sz w:val="21"/>
          <w:szCs w:val="21"/>
          <w:highlight w:val="none"/>
        </w:rPr>
      </w:pPr>
      <w:r>
        <w:rPr>
          <w:rFonts w:hint="eastAsia" w:hAnsi="宋体"/>
          <w:sz w:val="21"/>
          <w:szCs w:val="21"/>
          <w:highlight w:val="none"/>
        </w:rPr>
        <w:t>电话：                                   电话：</w:t>
      </w:r>
    </w:p>
    <w:p>
      <w:pPr>
        <w:pStyle w:val="12"/>
        <w:snapToGrid w:val="0"/>
        <w:spacing w:beforeLines="0" w:afterLines="0" w:line="360" w:lineRule="auto"/>
        <w:ind w:left="5103" w:hanging="5103" w:hangingChars="2430"/>
        <w:jc w:val="left"/>
        <w:rPr>
          <w:rFonts w:hAnsi="宋体"/>
          <w:sz w:val="21"/>
          <w:szCs w:val="21"/>
          <w:highlight w:val="none"/>
        </w:rPr>
      </w:pPr>
      <w:r>
        <w:rPr>
          <w:rFonts w:hint="eastAsia" w:hAnsi="宋体"/>
          <w:sz w:val="21"/>
          <w:szCs w:val="21"/>
          <w:highlight w:val="none"/>
        </w:rPr>
        <w:t>传真：                                   传真：</w:t>
      </w:r>
    </w:p>
    <w:p>
      <w:pPr>
        <w:pStyle w:val="12"/>
        <w:snapToGrid w:val="0"/>
        <w:spacing w:beforeLines="0" w:afterLines="0" w:line="360" w:lineRule="auto"/>
        <w:ind w:left="5103" w:hanging="5103" w:hangingChars="2430"/>
        <w:jc w:val="left"/>
        <w:rPr>
          <w:rFonts w:hAnsi="宋体"/>
          <w:sz w:val="21"/>
          <w:szCs w:val="21"/>
          <w:highlight w:val="none"/>
        </w:rPr>
      </w:pPr>
      <w:r>
        <w:rPr>
          <w:rFonts w:hint="eastAsia" w:hAnsi="宋体"/>
          <w:sz w:val="21"/>
          <w:szCs w:val="21"/>
          <w:highlight w:val="none"/>
        </w:rPr>
        <w:t>开户银行：                               开户银行：</w:t>
      </w:r>
    </w:p>
    <w:p>
      <w:pPr>
        <w:pStyle w:val="12"/>
        <w:snapToGrid w:val="0"/>
        <w:spacing w:beforeLines="0" w:afterLines="0" w:line="360" w:lineRule="auto"/>
        <w:ind w:left="5103" w:hanging="5103" w:hangingChars="2430"/>
        <w:jc w:val="left"/>
        <w:rPr>
          <w:rFonts w:hAnsi="宋体"/>
          <w:sz w:val="21"/>
          <w:szCs w:val="21"/>
          <w:highlight w:val="none"/>
        </w:rPr>
      </w:pPr>
      <w:r>
        <w:rPr>
          <w:rFonts w:hint="eastAsia" w:hAnsi="宋体"/>
          <w:sz w:val="21"/>
          <w:szCs w:val="21"/>
          <w:highlight w:val="none"/>
        </w:rPr>
        <w:t>帐号：                                   帐号：</w:t>
      </w:r>
    </w:p>
    <w:p>
      <w:pPr>
        <w:pStyle w:val="12"/>
        <w:snapToGrid w:val="0"/>
        <w:spacing w:beforeLines="0" w:afterLines="0" w:line="360" w:lineRule="auto"/>
        <w:jc w:val="left"/>
        <w:rPr>
          <w:rFonts w:hAnsi="宋体"/>
          <w:sz w:val="21"/>
          <w:szCs w:val="21"/>
          <w:highlight w:val="none"/>
        </w:rPr>
      </w:pPr>
    </w:p>
    <w:p>
      <w:pPr>
        <w:pStyle w:val="12"/>
        <w:snapToGrid w:val="0"/>
        <w:spacing w:beforeLines="0" w:afterLines="0" w:line="360" w:lineRule="auto"/>
        <w:jc w:val="left"/>
        <w:rPr>
          <w:rFonts w:hAnsi="宋体"/>
          <w:sz w:val="21"/>
          <w:szCs w:val="21"/>
          <w:highlight w:val="none"/>
        </w:rPr>
      </w:pPr>
      <w:r>
        <w:rPr>
          <w:rFonts w:hint="eastAsia" w:hAnsi="宋体"/>
          <w:sz w:val="21"/>
          <w:szCs w:val="21"/>
          <w:highlight w:val="none"/>
        </w:rPr>
        <w:t>签约时间：   年   月   日</w:t>
      </w:r>
    </w:p>
    <w:p>
      <w:pPr>
        <w:spacing w:line="360" w:lineRule="auto"/>
        <w:jc w:val="left"/>
        <w:rPr>
          <w:rFonts w:ascii="宋体" w:hAnsi="宋体"/>
          <w:sz w:val="21"/>
          <w:szCs w:val="21"/>
          <w:highlight w:val="none"/>
        </w:rPr>
      </w:pPr>
      <w:r>
        <w:rPr>
          <w:rFonts w:hint="eastAsia" w:ascii="宋体" w:hAnsi="宋体"/>
          <w:sz w:val="21"/>
          <w:szCs w:val="21"/>
          <w:highlight w:val="none"/>
        </w:rPr>
        <w:t>签约地点：</w:t>
      </w:r>
    </w:p>
    <w:p>
      <w:pPr>
        <w:pStyle w:val="12"/>
        <w:snapToGrid w:val="0"/>
        <w:spacing w:beforeLines="0" w:afterLines="0" w:line="360" w:lineRule="auto"/>
        <w:jc w:val="left"/>
        <w:rPr>
          <w:rFonts w:hAnsi="宋体"/>
          <w:sz w:val="21"/>
          <w:szCs w:val="21"/>
          <w:highlight w:val="none"/>
        </w:rPr>
      </w:pPr>
    </w:p>
    <w:p>
      <w:pPr>
        <w:pStyle w:val="12"/>
        <w:snapToGrid w:val="0"/>
        <w:spacing w:beforeLines="0" w:afterLines="0" w:line="360" w:lineRule="auto"/>
        <w:jc w:val="left"/>
        <w:rPr>
          <w:rFonts w:hAnsi="宋体"/>
          <w:sz w:val="21"/>
          <w:szCs w:val="21"/>
          <w:highlight w:val="none"/>
        </w:rPr>
      </w:pPr>
      <w:r>
        <w:rPr>
          <w:rFonts w:hint="eastAsia" w:hAnsi="宋体"/>
          <w:sz w:val="21"/>
          <w:szCs w:val="21"/>
          <w:highlight w:val="none"/>
        </w:rPr>
        <w:t>合同鉴证方：浙江求是招标代理有限公司（公章）</w:t>
      </w:r>
    </w:p>
    <w:p>
      <w:pPr>
        <w:pStyle w:val="12"/>
        <w:snapToGrid w:val="0"/>
        <w:spacing w:beforeLines="0" w:afterLines="0" w:line="360" w:lineRule="auto"/>
        <w:ind w:left="5103" w:hanging="5103" w:hangingChars="2430"/>
        <w:jc w:val="left"/>
        <w:rPr>
          <w:rFonts w:hAnsi="宋体"/>
          <w:sz w:val="21"/>
          <w:szCs w:val="21"/>
          <w:highlight w:val="none"/>
        </w:rPr>
      </w:pPr>
      <w:r>
        <w:rPr>
          <w:rFonts w:hint="eastAsia" w:hAnsi="宋体"/>
          <w:sz w:val="21"/>
          <w:szCs w:val="21"/>
          <w:highlight w:val="none"/>
        </w:rPr>
        <w:t>法定代表人或主要负责人：</w:t>
      </w:r>
    </w:p>
    <w:p>
      <w:pPr>
        <w:pStyle w:val="12"/>
        <w:snapToGrid w:val="0"/>
        <w:spacing w:beforeLines="0" w:afterLines="0" w:line="360" w:lineRule="auto"/>
        <w:ind w:left="5103" w:hanging="5103" w:hangingChars="2430"/>
        <w:jc w:val="left"/>
        <w:rPr>
          <w:rFonts w:hAnsi="宋体"/>
          <w:sz w:val="21"/>
          <w:szCs w:val="21"/>
          <w:highlight w:val="none"/>
        </w:rPr>
      </w:pPr>
      <w:r>
        <w:rPr>
          <w:rFonts w:hint="eastAsia" w:hAnsi="宋体"/>
          <w:sz w:val="21"/>
          <w:szCs w:val="21"/>
          <w:highlight w:val="none"/>
        </w:rPr>
        <w:t>（签字）</w:t>
      </w:r>
    </w:p>
    <w:p>
      <w:pPr>
        <w:pStyle w:val="12"/>
        <w:adjustRightInd w:val="0"/>
        <w:snapToGrid w:val="0"/>
        <w:spacing w:beforeLines="0" w:afterLines="0" w:line="360" w:lineRule="auto"/>
        <w:ind w:left="5103" w:hanging="5103" w:hangingChars="2430"/>
        <w:jc w:val="left"/>
        <w:rPr>
          <w:rFonts w:hAnsi="宋体"/>
          <w:sz w:val="21"/>
          <w:szCs w:val="21"/>
          <w:highlight w:val="none"/>
        </w:rPr>
      </w:pPr>
      <w:r>
        <w:rPr>
          <w:rFonts w:hint="eastAsia" w:hAnsi="宋体"/>
          <w:sz w:val="21"/>
          <w:szCs w:val="21"/>
          <w:highlight w:val="none"/>
        </w:rPr>
        <w:t>鉴证日期：</w:t>
      </w:r>
    </w:p>
    <w:p>
      <w:pPr>
        <w:spacing w:line="360" w:lineRule="auto"/>
        <w:ind w:right="28" w:rightChars="10"/>
        <w:jc w:val="center"/>
        <w:outlineLvl w:val="0"/>
        <w:rPr>
          <w:rFonts w:ascii="宋体" w:hAnsi="宋体"/>
          <w:spacing w:val="-6"/>
          <w:sz w:val="21"/>
          <w:highlight w:val="none"/>
        </w:rPr>
      </w:pPr>
      <w:r>
        <w:rPr>
          <w:rFonts w:hAnsi="宋体"/>
          <w:b/>
          <w:spacing w:val="-6"/>
          <w:sz w:val="32"/>
          <w:szCs w:val="32"/>
          <w:highlight w:val="none"/>
        </w:rPr>
        <w:br w:type="page"/>
      </w:r>
      <w:r>
        <w:rPr>
          <w:rFonts w:hAnsi="宋体"/>
          <w:b/>
          <w:spacing w:val="-6"/>
          <w:sz w:val="32"/>
          <w:szCs w:val="32"/>
          <w:highlight w:val="none"/>
        </w:rPr>
        <w:t>第六章投标文件格式</w:t>
      </w:r>
    </w:p>
    <w:p>
      <w:pPr>
        <w:spacing w:line="360" w:lineRule="auto"/>
        <w:rPr>
          <w:rFonts w:ascii="宋体" w:hAnsi="宋体"/>
          <w:b/>
          <w:bCs/>
          <w:spacing w:val="-6"/>
          <w:sz w:val="24"/>
          <w:highlight w:val="none"/>
        </w:rPr>
      </w:pPr>
    </w:p>
    <w:p>
      <w:pPr>
        <w:pStyle w:val="12"/>
        <w:spacing w:beforeLines="0" w:afterLines="0" w:line="360" w:lineRule="auto"/>
        <w:ind w:firstLine="398" w:firstLineChars="200"/>
        <w:rPr>
          <w:rFonts w:hAnsi="宋体"/>
          <w:b/>
          <w:bCs/>
          <w:spacing w:val="-6"/>
          <w:sz w:val="21"/>
          <w:szCs w:val="21"/>
          <w:highlight w:val="none"/>
        </w:rPr>
      </w:pPr>
      <w:r>
        <w:rPr>
          <w:rFonts w:hint="eastAsia" w:hAnsi="宋体"/>
          <w:b/>
          <w:bCs/>
          <w:spacing w:val="-6"/>
          <w:sz w:val="21"/>
          <w:szCs w:val="21"/>
          <w:highlight w:val="none"/>
        </w:rPr>
        <w:t>投标文件的编制应按照本项目：“第三章  投标人须知”</w:t>
      </w:r>
      <w:r>
        <w:rPr>
          <w:rFonts w:hAnsi="宋体"/>
          <w:b/>
          <w:spacing w:val="-6"/>
          <w:sz w:val="21"/>
          <w:szCs w:val="21"/>
          <w:highlight w:val="none"/>
        </w:rPr>
        <w:t>三</w:t>
      </w:r>
      <w:r>
        <w:rPr>
          <w:rFonts w:hint="eastAsia" w:hAnsi="宋体"/>
          <w:b/>
          <w:spacing w:val="-6"/>
          <w:sz w:val="21"/>
          <w:szCs w:val="21"/>
          <w:highlight w:val="none"/>
        </w:rPr>
        <w:t>、</w:t>
      </w:r>
      <w:r>
        <w:rPr>
          <w:rFonts w:hAnsi="宋体"/>
          <w:b/>
          <w:spacing w:val="-6"/>
          <w:sz w:val="21"/>
          <w:szCs w:val="21"/>
          <w:highlight w:val="none"/>
        </w:rPr>
        <w:t>投标文件的编制</w:t>
      </w:r>
      <w:r>
        <w:rPr>
          <w:rFonts w:hint="eastAsia" w:hAnsi="宋体"/>
          <w:b/>
          <w:spacing w:val="-6"/>
          <w:sz w:val="21"/>
          <w:szCs w:val="21"/>
          <w:highlight w:val="none"/>
        </w:rPr>
        <w:t>的要求编制。</w:t>
      </w:r>
    </w:p>
    <w:p>
      <w:pPr>
        <w:spacing w:line="360" w:lineRule="auto"/>
        <w:rPr>
          <w:rFonts w:ascii="宋体" w:hAnsi="宋体"/>
          <w:b/>
          <w:bCs/>
          <w:spacing w:val="-6"/>
          <w:sz w:val="24"/>
          <w:highlight w:val="none"/>
        </w:rPr>
      </w:pPr>
    </w:p>
    <w:p>
      <w:pPr>
        <w:spacing w:line="360" w:lineRule="auto"/>
        <w:rPr>
          <w:rFonts w:ascii="宋体" w:hAnsi="宋体"/>
          <w:b/>
          <w:bCs/>
          <w:spacing w:val="-6"/>
          <w:sz w:val="24"/>
          <w:highlight w:val="none"/>
        </w:rPr>
      </w:pPr>
    </w:p>
    <w:p>
      <w:pPr>
        <w:spacing w:line="360" w:lineRule="auto"/>
        <w:rPr>
          <w:rFonts w:ascii="宋体" w:hAnsi="宋体"/>
          <w:b/>
          <w:bCs/>
          <w:spacing w:val="-6"/>
          <w:sz w:val="24"/>
          <w:highlight w:val="none"/>
        </w:rPr>
      </w:pPr>
    </w:p>
    <w:p>
      <w:pPr>
        <w:spacing w:line="360" w:lineRule="auto"/>
        <w:jc w:val="center"/>
        <w:rPr>
          <w:rFonts w:ascii="宋体" w:hAnsi="宋体"/>
          <w:b/>
          <w:bCs/>
          <w:spacing w:val="-6"/>
          <w:sz w:val="24"/>
          <w:highlight w:val="none"/>
        </w:rPr>
      </w:pPr>
      <w:r>
        <w:rPr>
          <w:rFonts w:hint="eastAsia" w:ascii="宋体" w:hAnsi="宋体"/>
          <w:b/>
          <w:bCs/>
          <w:spacing w:val="-6"/>
          <w:sz w:val="24"/>
          <w:highlight w:val="none"/>
        </w:rPr>
        <w:t>外层包装（封签）</w:t>
      </w:r>
    </w:p>
    <w:p>
      <w:pPr>
        <w:spacing w:line="360" w:lineRule="auto"/>
        <w:rPr>
          <w:rFonts w:ascii="宋体" w:hAnsi="宋体"/>
          <w:spacing w:val="-6"/>
          <w:sz w:val="24"/>
          <w:highlight w:val="none"/>
        </w:rPr>
      </w:pPr>
    </w:p>
    <w:p>
      <w:pPr>
        <w:spacing w:line="360" w:lineRule="auto"/>
        <w:jc w:val="center"/>
        <w:rPr>
          <w:rFonts w:ascii="宋体" w:hAnsi="宋体"/>
          <w:bCs/>
          <w:spacing w:val="-6"/>
          <w:sz w:val="24"/>
          <w:highlight w:val="none"/>
        </w:rPr>
      </w:pPr>
      <w:r>
        <w:rPr>
          <w:rFonts w:hint="eastAsia" w:ascii="宋体" w:hAnsi="宋体"/>
          <w:bCs/>
          <w:spacing w:val="-6"/>
          <w:sz w:val="24"/>
          <w:highlight w:val="none"/>
          <w:u w:val="single"/>
        </w:rPr>
        <w:t xml:space="preserve">                            </w:t>
      </w:r>
      <w:r>
        <w:rPr>
          <w:rFonts w:hint="eastAsia" w:ascii="宋体" w:hAnsi="宋体"/>
          <w:bCs/>
          <w:spacing w:val="-6"/>
          <w:sz w:val="24"/>
          <w:highlight w:val="none"/>
        </w:rPr>
        <w:t>（投标人名称）</w:t>
      </w:r>
    </w:p>
    <w:p>
      <w:pPr>
        <w:spacing w:line="360" w:lineRule="auto"/>
        <w:jc w:val="center"/>
        <w:rPr>
          <w:rFonts w:ascii="宋体" w:hAnsi="宋体"/>
          <w:b/>
          <w:bCs/>
          <w:spacing w:val="-6"/>
          <w:sz w:val="24"/>
          <w:highlight w:val="none"/>
        </w:rPr>
      </w:pPr>
      <w:r>
        <w:rPr>
          <w:rFonts w:hint="eastAsia" w:ascii="宋体" w:hAnsi="宋体"/>
          <w:b/>
          <w:bCs/>
          <w:spacing w:val="-6"/>
          <w:sz w:val="24"/>
          <w:highlight w:val="none"/>
        </w:rPr>
        <w:t>投 标 文 件</w:t>
      </w:r>
    </w:p>
    <w:p>
      <w:pPr>
        <w:spacing w:line="360" w:lineRule="auto"/>
        <w:rPr>
          <w:rFonts w:ascii="宋体" w:hAnsi="宋体"/>
          <w:bCs/>
          <w:spacing w:val="-6"/>
          <w:sz w:val="24"/>
          <w:highlight w:val="none"/>
        </w:rPr>
      </w:pPr>
    </w:p>
    <w:p>
      <w:pPr>
        <w:spacing w:line="360" w:lineRule="auto"/>
        <w:rPr>
          <w:rFonts w:hint="eastAsia" w:ascii="宋体" w:hAnsi="宋体" w:eastAsia="宋体"/>
          <w:bCs/>
          <w:spacing w:val="-6"/>
          <w:sz w:val="24"/>
          <w:highlight w:val="none"/>
          <w:lang w:eastAsia="zh-CN"/>
        </w:rPr>
      </w:pPr>
      <w:r>
        <w:rPr>
          <w:rFonts w:hint="eastAsia" w:ascii="宋体" w:hAnsi="宋体"/>
          <w:bCs/>
          <w:spacing w:val="-6"/>
          <w:sz w:val="24"/>
          <w:highlight w:val="none"/>
        </w:rPr>
        <w:t>招 标 人：</w:t>
      </w:r>
      <w:r>
        <w:rPr>
          <w:rFonts w:hint="eastAsia" w:ascii="宋体" w:hAnsi="宋体"/>
          <w:bCs/>
          <w:spacing w:val="-6"/>
          <w:sz w:val="24"/>
          <w:highlight w:val="none"/>
          <w:lang w:eastAsia="zh-CN"/>
        </w:rPr>
        <w:t>杭州电子科技大学</w:t>
      </w:r>
    </w:p>
    <w:p>
      <w:pPr>
        <w:spacing w:line="360" w:lineRule="auto"/>
        <w:rPr>
          <w:rFonts w:hint="eastAsia" w:ascii="宋体" w:hAnsi="宋体" w:eastAsia="宋体"/>
          <w:bCs/>
          <w:spacing w:val="-6"/>
          <w:sz w:val="24"/>
          <w:highlight w:val="none"/>
          <w:lang w:eastAsia="zh-CN"/>
        </w:rPr>
      </w:pPr>
      <w:r>
        <w:rPr>
          <w:rFonts w:hint="eastAsia" w:ascii="宋体" w:hAnsi="宋体"/>
          <w:bCs/>
          <w:spacing w:val="-6"/>
          <w:sz w:val="24"/>
          <w:highlight w:val="none"/>
        </w:rPr>
        <w:t>招标项目名称：</w:t>
      </w:r>
      <w:r>
        <w:rPr>
          <w:rFonts w:hint="eastAsia" w:ascii="宋体" w:hAnsi="宋体"/>
          <w:bCs/>
          <w:spacing w:val="-6"/>
          <w:sz w:val="24"/>
          <w:highlight w:val="none"/>
          <w:lang w:eastAsia="zh-CN"/>
        </w:rPr>
        <w:t>2023年第二期公款竞争性存放</w:t>
      </w:r>
    </w:p>
    <w:p>
      <w:pPr>
        <w:spacing w:line="360" w:lineRule="auto"/>
        <w:rPr>
          <w:rFonts w:ascii="宋体" w:hAnsi="宋体"/>
          <w:bCs/>
          <w:spacing w:val="-6"/>
          <w:sz w:val="24"/>
          <w:highlight w:val="none"/>
        </w:rPr>
      </w:pPr>
      <w:r>
        <w:rPr>
          <w:rFonts w:hint="eastAsia" w:ascii="宋体" w:hAnsi="宋体"/>
          <w:bCs/>
          <w:spacing w:val="-6"/>
          <w:sz w:val="24"/>
          <w:highlight w:val="none"/>
        </w:rPr>
        <w:t>招标项目编号：</w:t>
      </w:r>
      <w:r>
        <w:rPr>
          <w:rFonts w:hint="eastAsia" w:ascii="宋体" w:hAnsi="宋体"/>
          <w:bCs/>
          <w:spacing w:val="-6"/>
          <w:sz w:val="24"/>
          <w:highlight w:val="none"/>
          <w:lang w:eastAsia="zh-CN"/>
        </w:rPr>
        <w:t>QSZB-F(F)-B23070(GK)</w:t>
      </w:r>
      <w:r>
        <w:rPr>
          <w:rFonts w:hint="eastAsia" w:ascii="宋体" w:hAnsi="宋体"/>
          <w:bCs/>
          <w:spacing w:val="-6"/>
          <w:sz w:val="24"/>
          <w:highlight w:val="none"/>
        </w:rPr>
        <w:t xml:space="preserve"> </w:t>
      </w:r>
    </w:p>
    <w:p>
      <w:pPr>
        <w:spacing w:line="360" w:lineRule="auto"/>
        <w:rPr>
          <w:rFonts w:ascii="宋体" w:hAnsi="宋体"/>
          <w:bCs/>
          <w:spacing w:val="-6"/>
          <w:sz w:val="24"/>
          <w:highlight w:val="none"/>
        </w:rPr>
      </w:pPr>
      <w:r>
        <w:rPr>
          <w:rFonts w:hint="eastAsia" w:ascii="宋体" w:hAnsi="宋体"/>
          <w:bCs/>
          <w:spacing w:val="-6"/>
          <w:sz w:val="24"/>
          <w:highlight w:val="none"/>
        </w:rPr>
        <w:t>投标人名称（盖章）：</w:t>
      </w:r>
    </w:p>
    <w:p>
      <w:pPr>
        <w:spacing w:line="360" w:lineRule="auto"/>
        <w:rPr>
          <w:rFonts w:ascii="宋体" w:hAnsi="宋体"/>
          <w:bCs/>
          <w:spacing w:val="-6"/>
          <w:sz w:val="24"/>
          <w:highlight w:val="none"/>
        </w:rPr>
      </w:pPr>
      <w:r>
        <w:rPr>
          <w:rFonts w:hint="eastAsia" w:ascii="宋体" w:hAnsi="宋体"/>
          <w:bCs/>
          <w:spacing w:val="-6"/>
          <w:sz w:val="24"/>
          <w:highlight w:val="none"/>
        </w:rPr>
        <w:t>投标人地址：</w:t>
      </w:r>
    </w:p>
    <w:p>
      <w:pPr>
        <w:spacing w:line="360" w:lineRule="auto"/>
        <w:rPr>
          <w:rFonts w:ascii="宋体" w:hAnsi="宋体"/>
          <w:bCs/>
          <w:spacing w:val="-6"/>
          <w:sz w:val="24"/>
          <w:highlight w:val="none"/>
        </w:rPr>
      </w:pPr>
      <w:r>
        <w:rPr>
          <w:rFonts w:hint="eastAsia" w:ascii="宋体" w:hAnsi="宋体"/>
          <w:bCs/>
          <w:spacing w:val="-6"/>
          <w:sz w:val="24"/>
          <w:highlight w:val="none"/>
        </w:rPr>
        <w:t>在  年  月  日  时  分之前不得启封</w:t>
      </w:r>
    </w:p>
    <w:p>
      <w:pPr>
        <w:spacing w:line="360" w:lineRule="auto"/>
        <w:rPr>
          <w:rFonts w:ascii="宋体" w:hAnsi="宋体"/>
          <w:bCs/>
          <w:spacing w:val="-6"/>
          <w:sz w:val="24"/>
          <w:highlight w:val="none"/>
        </w:rPr>
      </w:pPr>
    </w:p>
    <w:p>
      <w:pPr>
        <w:spacing w:line="360" w:lineRule="auto"/>
        <w:rPr>
          <w:rFonts w:ascii="宋体" w:hAnsi="宋体"/>
          <w:bCs/>
          <w:spacing w:val="-6"/>
          <w:sz w:val="24"/>
          <w:highlight w:val="none"/>
        </w:rPr>
      </w:pPr>
      <w:r>
        <w:rPr>
          <w:rFonts w:hint="eastAsia" w:ascii="宋体" w:hAnsi="宋体"/>
          <w:spacing w:val="-6"/>
          <w:sz w:val="24"/>
          <w:highlight w:val="none"/>
        </w:rPr>
        <w:t>投标人代表签字</w:t>
      </w:r>
      <w:r>
        <w:rPr>
          <w:rFonts w:hint="eastAsia" w:ascii="宋体" w:hAnsi="宋体"/>
          <w:bCs/>
          <w:spacing w:val="-6"/>
          <w:sz w:val="24"/>
          <w:highlight w:val="none"/>
        </w:rPr>
        <w:t>：</w:t>
      </w:r>
    </w:p>
    <w:p>
      <w:pPr>
        <w:spacing w:line="360" w:lineRule="auto"/>
        <w:rPr>
          <w:rFonts w:ascii="宋体" w:hAnsi="宋体"/>
          <w:bCs/>
          <w:spacing w:val="-6"/>
          <w:sz w:val="24"/>
          <w:highlight w:val="none"/>
        </w:rPr>
      </w:pPr>
      <w:r>
        <w:rPr>
          <w:rFonts w:hint="eastAsia" w:ascii="宋体" w:hAnsi="宋体"/>
          <w:bCs/>
          <w:spacing w:val="-6"/>
          <w:sz w:val="24"/>
          <w:highlight w:val="none"/>
        </w:rPr>
        <w:t>日期：  年  月  日</w:t>
      </w:r>
    </w:p>
    <w:p>
      <w:pPr>
        <w:spacing w:line="360" w:lineRule="auto"/>
        <w:rPr>
          <w:rFonts w:ascii="宋体" w:hAnsi="宋体"/>
          <w:spacing w:val="-6"/>
          <w:sz w:val="24"/>
          <w:highlight w:val="none"/>
        </w:rPr>
      </w:pPr>
      <w:r>
        <w:rPr>
          <w:rFonts w:ascii="宋体" w:hAnsi="宋体"/>
          <w:bCs/>
          <w:spacing w:val="-6"/>
          <w:sz w:val="24"/>
          <w:highlight w:val="none"/>
        </w:rPr>
        <w:br w:type="page"/>
      </w:r>
      <w:r>
        <w:rPr>
          <w:rFonts w:hint="eastAsia" w:ascii="宋体" w:hAnsi="宋体"/>
          <w:bCs/>
          <w:spacing w:val="-6"/>
          <w:sz w:val="24"/>
          <w:highlight w:val="none"/>
        </w:rPr>
        <w:t>文件</w:t>
      </w:r>
      <w:r>
        <w:rPr>
          <w:rFonts w:hint="eastAsia" w:ascii="宋体" w:hAnsi="宋体"/>
          <w:spacing w:val="-6"/>
          <w:sz w:val="24"/>
          <w:highlight w:val="none"/>
        </w:rPr>
        <w:t>封面</w:t>
      </w:r>
    </w:p>
    <w:p>
      <w:pPr>
        <w:spacing w:line="360" w:lineRule="auto"/>
        <w:jc w:val="right"/>
        <w:rPr>
          <w:rFonts w:ascii="宋体" w:hAnsi="宋体"/>
          <w:spacing w:val="-6"/>
          <w:sz w:val="24"/>
          <w:highlight w:val="none"/>
        </w:rPr>
      </w:pPr>
      <w:r>
        <w:rPr>
          <w:rFonts w:hint="eastAsia" w:ascii="宋体" w:hAnsi="宋体"/>
          <w:b/>
          <w:bCs/>
          <w:spacing w:val="-6"/>
          <w:sz w:val="24"/>
          <w:highlight w:val="none"/>
        </w:rPr>
        <w:t>正本或副本</w:t>
      </w:r>
    </w:p>
    <w:p>
      <w:pPr>
        <w:spacing w:line="360" w:lineRule="auto"/>
        <w:rPr>
          <w:rFonts w:ascii="宋体" w:hAnsi="宋体"/>
          <w:spacing w:val="-6"/>
          <w:sz w:val="24"/>
          <w:highlight w:val="none"/>
        </w:rPr>
      </w:pPr>
    </w:p>
    <w:p>
      <w:pPr>
        <w:spacing w:line="360" w:lineRule="auto"/>
        <w:jc w:val="center"/>
        <w:rPr>
          <w:rFonts w:ascii="宋体" w:hAnsi="宋体"/>
          <w:bCs/>
          <w:spacing w:val="-6"/>
          <w:sz w:val="24"/>
          <w:highlight w:val="none"/>
        </w:rPr>
      </w:pPr>
      <w:r>
        <w:rPr>
          <w:rFonts w:hint="eastAsia" w:ascii="宋体" w:hAnsi="宋体"/>
          <w:bCs/>
          <w:spacing w:val="-6"/>
          <w:sz w:val="24"/>
          <w:highlight w:val="none"/>
          <w:u w:val="single"/>
        </w:rPr>
        <w:t xml:space="preserve">                          </w:t>
      </w:r>
      <w:r>
        <w:rPr>
          <w:rFonts w:hint="eastAsia" w:ascii="宋体" w:hAnsi="宋体"/>
          <w:bCs/>
          <w:spacing w:val="-6"/>
          <w:sz w:val="24"/>
          <w:highlight w:val="none"/>
        </w:rPr>
        <w:t>（投标人名称）</w:t>
      </w:r>
    </w:p>
    <w:p>
      <w:pPr>
        <w:spacing w:line="360" w:lineRule="auto"/>
        <w:jc w:val="center"/>
        <w:rPr>
          <w:rFonts w:ascii="宋体" w:hAnsi="宋体"/>
          <w:b/>
          <w:bCs/>
          <w:spacing w:val="-6"/>
          <w:sz w:val="24"/>
          <w:highlight w:val="none"/>
        </w:rPr>
      </w:pPr>
      <w:r>
        <w:rPr>
          <w:rFonts w:hint="eastAsia" w:ascii="宋体" w:hAnsi="宋体"/>
          <w:b/>
          <w:bCs/>
          <w:spacing w:val="-6"/>
          <w:sz w:val="24"/>
          <w:highlight w:val="none"/>
        </w:rPr>
        <w:t>投标文件</w:t>
      </w:r>
    </w:p>
    <w:p>
      <w:pPr>
        <w:spacing w:line="360" w:lineRule="auto"/>
        <w:rPr>
          <w:rFonts w:ascii="宋体" w:hAnsi="宋体"/>
          <w:bCs/>
          <w:spacing w:val="-6"/>
          <w:sz w:val="24"/>
          <w:highlight w:val="none"/>
        </w:rPr>
      </w:pPr>
    </w:p>
    <w:p>
      <w:pPr>
        <w:spacing w:line="360" w:lineRule="auto"/>
        <w:rPr>
          <w:rFonts w:hint="eastAsia" w:ascii="宋体" w:hAnsi="宋体" w:eastAsia="宋体"/>
          <w:bCs/>
          <w:spacing w:val="-6"/>
          <w:sz w:val="24"/>
          <w:highlight w:val="none"/>
          <w:lang w:eastAsia="zh-CN"/>
        </w:rPr>
      </w:pPr>
      <w:r>
        <w:rPr>
          <w:rFonts w:hint="eastAsia" w:ascii="宋体" w:hAnsi="宋体"/>
          <w:bCs/>
          <w:spacing w:val="-6"/>
          <w:sz w:val="24"/>
          <w:highlight w:val="none"/>
        </w:rPr>
        <w:t>招 标 人：</w:t>
      </w:r>
      <w:r>
        <w:rPr>
          <w:rFonts w:hint="eastAsia" w:ascii="宋体" w:hAnsi="宋体"/>
          <w:bCs/>
          <w:spacing w:val="-6"/>
          <w:sz w:val="24"/>
          <w:highlight w:val="none"/>
          <w:lang w:eastAsia="zh-CN"/>
        </w:rPr>
        <w:t>杭州电子科技大学</w:t>
      </w:r>
    </w:p>
    <w:p>
      <w:pPr>
        <w:spacing w:line="360" w:lineRule="auto"/>
        <w:rPr>
          <w:rFonts w:hint="eastAsia" w:ascii="宋体" w:hAnsi="宋体" w:eastAsia="宋体"/>
          <w:bCs/>
          <w:spacing w:val="-6"/>
          <w:sz w:val="24"/>
          <w:highlight w:val="none"/>
          <w:lang w:eastAsia="zh-CN"/>
        </w:rPr>
      </w:pPr>
      <w:r>
        <w:rPr>
          <w:rFonts w:hint="eastAsia" w:ascii="宋体" w:hAnsi="宋体"/>
          <w:bCs/>
          <w:spacing w:val="-6"/>
          <w:sz w:val="24"/>
          <w:highlight w:val="none"/>
        </w:rPr>
        <w:t>招标项目名称：</w:t>
      </w:r>
      <w:r>
        <w:rPr>
          <w:rFonts w:hint="eastAsia" w:ascii="宋体" w:hAnsi="宋体"/>
          <w:bCs/>
          <w:spacing w:val="-6"/>
          <w:sz w:val="24"/>
          <w:highlight w:val="none"/>
          <w:lang w:eastAsia="zh-CN"/>
        </w:rPr>
        <w:t>2023年第二期公款竞争性存放</w:t>
      </w:r>
    </w:p>
    <w:p>
      <w:pPr>
        <w:spacing w:line="360" w:lineRule="auto"/>
        <w:rPr>
          <w:rFonts w:ascii="宋体" w:hAnsi="宋体"/>
          <w:bCs/>
          <w:spacing w:val="-6"/>
          <w:sz w:val="24"/>
          <w:highlight w:val="none"/>
        </w:rPr>
      </w:pPr>
      <w:r>
        <w:rPr>
          <w:rFonts w:hint="eastAsia" w:ascii="宋体" w:hAnsi="宋体"/>
          <w:bCs/>
          <w:spacing w:val="-6"/>
          <w:sz w:val="24"/>
          <w:highlight w:val="none"/>
        </w:rPr>
        <w:t>招标项目编号：</w:t>
      </w:r>
      <w:r>
        <w:rPr>
          <w:rFonts w:hint="eastAsia" w:ascii="宋体" w:hAnsi="宋体"/>
          <w:bCs/>
          <w:spacing w:val="-6"/>
          <w:sz w:val="24"/>
          <w:highlight w:val="none"/>
          <w:lang w:eastAsia="zh-CN"/>
        </w:rPr>
        <w:t>QSZB-F(F)-B23070(GK)</w:t>
      </w:r>
      <w:r>
        <w:rPr>
          <w:rFonts w:hint="eastAsia" w:ascii="宋体" w:hAnsi="宋体"/>
          <w:bCs/>
          <w:spacing w:val="-6"/>
          <w:sz w:val="24"/>
          <w:highlight w:val="none"/>
        </w:rPr>
        <w:t xml:space="preserve"> </w:t>
      </w:r>
    </w:p>
    <w:p>
      <w:pPr>
        <w:spacing w:line="360" w:lineRule="auto"/>
        <w:rPr>
          <w:rFonts w:ascii="宋体" w:hAnsi="宋体"/>
          <w:bCs/>
          <w:spacing w:val="-6"/>
          <w:sz w:val="24"/>
          <w:highlight w:val="none"/>
        </w:rPr>
      </w:pPr>
      <w:r>
        <w:rPr>
          <w:rFonts w:hint="eastAsia" w:ascii="宋体" w:hAnsi="宋体"/>
          <w:bCs/>
          <w:spacing w:val="-6"/>
          <w:sz w:val="24"/>
          <w:highlight w:val="none"/>
        </w:rPr>
        <w:t>投标人名称（盖章）：</w:t>
      </w:r>
    </w:p>
    <w:p>
      <w:pPr>
        <w:spacing w:line="360" w:lineRule="auto"/>
        <w:rPr>
          <w:rFonts w:ascii="宋体" w:hAnsi="宋体"/>
          <w:bCs/>
          <w:spacing w:val="-6"/>
          <w:sz w:val="24"/>
          <w:highlight w:val="none"/>
        </w:rPr>
      </w:pPr>
      <w:r>
        <w:rPr>
          <w:rFonts w:hint="eastAsia" w:ascii="宋体" w:hAnsi="宋体"/>
          <w:bCs/>
          <w:spacing w:val="-6"/>
          <w:sz w:val="24"/>
          <w:highlight w:val="none"/>
        </w:rPr>
        <w:t>投标人地址：</w:t>
      </w:r>
    </w:p>
    <w:p>
      <w:pPr>
        <w:spacing w:line="360" w:lineRule="auto"/>
        <w:rPr>
          <w:rFonts w:ascii="宋体" w:hAnsi="宋体"/>
          <w:bCs/>
          <w:spacing w:val="-6"/>
          <w:sz w:val="24"/>
          <w:highlight w:val="none"/>
        </w:rPr>
      </w:pPr>
    </w:p>
    <w:p>
      <w:pPr>
        <w:spacing w:line="360" w:lineRule="auto"/>
        <w:rPr>
          <w:rFonts w:ascii="宋体" w:hAnsi="宋体"/>
          <w:bCs/>
          <w:spacing w:val="-6"/>
          <w:sz w:val="24"/>
          <w:highlight w:val="none"/>
        </w:rPr>
      </w:pPr>
      <w:r>
        <w:rPr>
          <w:rFonts w:hint="eastAsia" w:ascii="宋体" w:hAnsi="宋体"/>
          <w:bCs/>
          <w:spacing w:val="-6"/>
          <w:sz w:val="24"/>
          <w:highlight w:val="none"/>
        </w:rPr>
        <w:t>投标人代表签字：</w:t>
      </w:r>
    </w:p>
    <w:p>
      <w:pPr>
        <w:spacing w:line="360" w:lineRule="auto"/>
        <w:rPr>
          <w:rFonts w:ascii="宋体" w:hAnsi="宋体"/>
          <w:bCs/>
          <w:spacing w:val="-6"/>
          <w:sz w:val="24"/>
          <w:highlight w:val="none"/>
        </w:rPr>
      </w:pPr>
      <w:r>
        <w:rPr>
          <w:rFonts w:hint="eastAsia" w:ascii="宋体" w:hAnsi="宋体"/>
          <w:bCs/>
          <w:spacing w:val="-6"/>
          <w:sz w:val="24"/>
          <w:highlight w:val="none"/>
        </w:rPr>
        <w:t>日期：  年  月  日</w:t>
      </w:r>
    </w:p>
    <w:p>
      <w:pPr>
        <w:spacing w:line="360" w:lineRule="auto"/>
        <w:jc w:val="center"/>
        <w:outlineLvl w:val="1"/>
        <w:rPr>
          <w:rFonts w:ascii="宋体" w:hAnsi="宋体"/>
          <w:b/>
          <w:spacing w:val="-6"/>
          <w:sz w:val="52"/>
          <w:szCs w:val="52"/>
          <w:highlight w:val="none"/>
        </w:rPr>
      </w:pPr>
      <w:r>
        <w:rPr>
          <w:rFonts w:ascii="宋体" w:hAnsi="宋体"/>
          <w:spacing w:val="-6"/>
          <w:sz w:val="24"/>
          <w:highlight w:val="none"/>
        </w:rPr>
        <w:br w:type="page"/>
      </w:r>
      <w:r>
        <w:rPr>
          <w:rFonts w:hint="eastAsia" w:ascii="宋体" w:hAnsi="宋体"/>
          <w:b/>
          <w:spacing w:val="-6"/>
          <w:sz w:val="52"/>
          <w:szCs w:val="52"/>
          <w:highlight w:val="none"/>
        </w:rPr>
        <w:t>报价文件</w:t>
      </w:r>
    </w:p>
    <w:p>
      <w:pPr>
        <w:snapToGrid w:val="0"/>
        <w:spacing w:line="360" w:lineRule="auto"/>
        <w:jc w:val="center"/>
        <w:outlineLvl w:val="2"/>
        <w:rPr>
          <w:rFonts w:ascii="宋体" w:hAnsi="宋体"/>
          <w:b/>
          <w:spacing w:val="-6"/>
          <w:sz w:val="24"/>
          <w:highlight w:val="none"/>
        </w:rPr>
      </w:pPr>
      <w:r>
        <w:rPr>
          <w:rFonts w:hint="eastAsia" w:ascii="宋体" w:hAnsi="宋体"/>
          <w:b/>
          <w:spacing w:val="-6"/>
          <w:sz w:val="24"/>
          <w:highlight w:val="none"/>
        </w:rPr>
        <w:t>开标一览表</w:t>
      </w:r>
    </w:p>
    <w:p>
      <w:pPr>
        <w:spacing w:line="360" w:lineRule="auto"/>
        <w:rPr>
          <w:rFonts w:hint="eastAsia" w:ascii="宋体" w:hAnsi="宋体" w:eastAsia="宋体"/>
          <w:bCs/>
          <w:spacing w:val="-6"/>
          <w:sz w:val="24"/>
          <w:highlight w:val="none"/>
          <w:lang w:eastAsia="zh-CN"/>
        </w:rPr>
      </w:pPr>
      <w:r>
        <w:rPr>
          <w:rFonts w:hint="eastAsia" w:ascii="宋体" w:hAnsi="宋体"/>
          <w:bCs/>
          <w:spacing w:val="-6"/>
          <w:sz w:val="24"/>
          <w:highlight w:val="none"/>
        </w:rPr>
        <w:t>招 标 人：</w:t>
      </w:r>
      <w:r>
        <w:rPr>
          <w:rFonts w:hint="eastAsia" w:ascii="宋体" w:hAnsi="宋体"/>
          <w:bCs/>
          <w:spacing w:val="-6"/>
          <w:sz w:val="24"/>
          <w:highlight w:val="none"/>
          <w:lang w:eastAsia="zh-CN"/>
        </w:rPr>
        <w:t>杭州电子科技大学</w:t>
      </w:r>
    </w:p>
    <w:p>
      <w:pPr>
        <w:spacing w:line="360" w:lineRule="auto"/>
        <w:rPr>
          <w:rFonts w:hint="eastAsia" w:ascii="宋体" w:hAnsi="宋体" w:eastAsia="宋体"/>
          <w:bCs/>
          <w:spacing w:val="-6"/>
          <w:sz w:val="24"/>
          <w:highlight w:val="none"/>
          <w:lang w:eastAsia="zh-CN"/>
        </w:rPr>
      </w:pPr>
      <w:r>
        <w:rPr>
          <w:rFonts w:hint="eastAsia" w:ascii="宋体" w:hAnsi="宋体"/>
          <w:bCs/>
          <w:spacing w:val="-6"/>
          <w:sz w:val="24"/>
          <w:highlight w:val="none"/>
        </w:rPr>
        <w:t>招标项目名称：</w:t>
      </w:r>
      <w:r>
        <w:rPr>
          <w:rFonts w:hint="eastAsia" w:ascii="宋体" w:hAnsi="宋体"/>
          <w:bCs/>
          <w:spacing w:val="-6"/>
          <w:sz w:val="24"/>
          <w:highlight w:val="none"/>
          <w:lang w:eastAsia="zh-CN"/>
        </w:rPr>
        <w:t>2023年第二期公款竞争性存放</w:t>
      </w:r>
    </w:p>
    <w:p>
      <w:pPr>
        <w:snapToGrid w:val="0"/>
        <w:spacing w:line="360" w:lineRule="auto"/>
        <w:rPr>
          <w:rFonts w:hint="eastAsia" w:ascii="宋体" w:hAnsi="宋体" w:eastAsia="宋体"/>
          <w:b/>
          <w:spacing w:val="-6"/>
          <w:sz w:val="24"/>
          <w:highlight w:val="none"/>
          <w:lang w:eastAsia="zh-CN"/>
        </w:rPr>
      </w:pPr>
      <w:r>
        <w:rPr>
          <w:rFonts w:hint="eastAsia" w:ascii="宋体" w:hAnsi="宋体"/>
          <w:bCs/>
          <w:spacing w:val="-6"/>
          <w:sz w:val="24"/>
          <w:highlight w:val="none"/>
        </w:rPr>
        <w:t>招标项目编号：</w:t>
      </w:r>
      <w:r>
        <w:rPr>
          <w:rFonts w:hint="eastAsia" w:ascii="宋体" w:hAnsi="宋体"/>
          <w:bCs/>
          <w:spacing w:val="-6"/>
          <w:sz w:val="24"/>
          <w:highlight w:val="none"/>
          <w:lang w:eastAsia="zh-CN"/>
        </w:rPr>
        <w:t>QSZB-F(F)-B23070(GK)</w:t>
      </w:r>
    </w:p>
    <w:p>
      <w:pPr>
        <w:spacing w:line="360" w:lineRule="auto"/>
        <w:jc w:val="center"/>
        <w:rPr>
          <w:rFonts w:ascii="宋体" w:hAnsi="宋体"/>
          <w:bCs/>
          <w:spacing w:val="-6"/>
          <w:sz w:val="24"/>
          <w:highlight w:val="none"/>
        </w:rPr>
      </w:pPr>
    </w:p>
    <w:p>
      <w:pPr>
        <w:spacing w:line="360" w:lineRule="auto"/>
        <w:jc w:val="center"/>
        <w:rPr>
          <w:rFonts w:ascii="宋体" w:hAnsi="宋体"/>
          <w:bCs/>
          <w:spacing w:val="-6"/>
          <w:sz w:val="24"/>
          <w:highlight w:val="none"/>
        </w:rPr>
      </w:pPr>
    </w:p>
    <w:tbl>
      <w:tblPr>
        <w:tblStyle w:val="25"/>
        <w:tblW w:w="96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48"/>
        <w:gridCol w:w="2160"/>
        <w:gridCol w:w="2280"/>
        <w:gridCol w:w="31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90" w:hRule="atLeast"/>
        </w:trPr>
        <w:tc>
          <w:tcPr>
            <w:tcW w:w="2048" w:type="dxa"/>
            <w:vAlign w:val="center"/>
          </w:tcPr>
          <w:p>
            <w:pPr>
              <w:keepNext w:val="0"/>
              <w:keepLines w:val="0"/>
              <w:suppressLineNumbers w:val="0"/>
              <w:spacing w:before="0" w:beforeAutospacing="0" w:after="0" w:afterAutospacing="0" w:line="360" w:lineRule="auto"/>
              <w:ind w:left="0" w:right="0"/>
              <w:jc w:val="center"/>
              <w:rPr>
                <w:rFonts w:hint="default" w:ascii="宋体" w:hAnsi="宋体" w:cs="宋体"/>
                <w:sz w:val="21"/>
                <w:szCs w:val="21"/>
                <w:highlight w:val="none"/>
              </w:rPr>
            </w:pPr>
            <w:r>
              <w:rPr>
                <w:rFonts w:hint="eastAsia" w:ascii="宋体" w:hAnsi="宋体" w:cs="宋体"/>
                <w:sz w:val="21"/>
                <w:szCs w:val="21"/>
                <w:highlight w:val="none"/>
              </w:rPr>
              <w:t>名称</w:t>
            </w:r>
          </w:p>
        </w:tc>
        <w:tc>
          <w:tcPr>
            <w:tcW w:w="2160" w:type="dxa"/>
            <w:vAlign w:val="center"/>
          </w:tcPr>
          <w:p>
            <w:pPr>
              <w:keepNext w:val="0"/>
              <w:keepLines w:val="0"/>
              <w:suppressLineNumbers w:val="0"/>
              <w:spacing w:before="0" w:beforeAutospacing="0" w:after="0" w:afterAutospacing="0" w:line="360" w:lineRule="auto"/>
              <w:ind w:left="0" w:right="0"/>
              <w:jc w:val="center"/>
              <w:rPr>
                <w:rFonts w:hint="default" w:ascii="宋体" w:hAnsi="宋体" w:cs="宋体"/>
                <w:sz w:val="21"/>
                <w:szCs w:val="21"/>
                <w:highlight w:val="none"/>
              </w:rPr>
            </w:pPr>
            <w:r>
              <w:rPr>
                <w:rFonts w:hint="eastAsia" w:ascii="宋体" w:hAnsi="宋体" w:cs="宋体"/>
                <w:sz w:val="21"/>
                <w:szCs w:val="21"/>
                <w:highlight w:val="none"/>
              </w:rPr>
              <w:t>国家基准利率（%）</w:t>
            </w:r>
          </w:p>
        </w:tc>
        <w:tc>
          <w:tcPr>
            <w:tcW w:w="2280" w:type="dxa"/>
            <w:vAlign w:val="center"/>
          </w:tcPr>
          <w:p>
            <w:pPr>
              <w:keepNext w:val="0"/>
              <w:keepLines w:val="0"/>
              <w:suppressLineNumbers w:val="0"/>
              <w:spacing w:before="0" w:beforeAutospacing="0" w:after="0" w:afterAutospacing="0" w:line="360" w:lineRule="auto"/>
              <w:ind w:left="0" w:right="0"/>
              <w:jc w:val="center"/>
              <w:rPr>
                <w:rFonts w:hint="default" w:ascii="宋体" w:hAnsi="宋体" w:cs="宋体"/>
                <w:sz w:val="21"/>
                <w:szCs w:val="21"/>
                <w:highlight w:val="none"/>
              </w:rPr>
            </w:pPr>
            <w:r>
              <w:rPr>
                <w:rFonts w:hint="eastAsia" w:ascii="宋体" w:hAnsi="宋体" w:cs="宋体"/>
                <w:sz w:val="21"/>
                <w:szCs w:val="21"/>
                <w:highlight w:val="none"/>
              </w:rPr>
              <w:t>基点（bp）</w:t>
            </w:r>
          </w:p>
        </w:tc>
        <w:tc>
          <w:tcPr>
            <w:tcW w:w="3140" w:type="dxa"/>
            <w:vAlign w:val="center"/>
          </w:tcPr>
          <w:p>
            <w:pPr>
              <w:keepNext w:val="0"/>
              <w:keepLines w:val="0"/>
              <w:suppressLineNumbers w:val="0"/>
              <w:spacing w:before="0" w:beforeAutospacing="0" w:after="0" w:afterAutospacing="0" w:line="360" w:lineRule="auto"/>
              <w:ind w:left="0" w:right="0"/>
              <w:jc w:val="center"/>
              <w:rPr>
                <w:rFonts w:hint="default" w:ascii="宋体" w:hAnsi="宋体" w:cs="宋体"/>
                <w:sz w:val="21"/>
                <w:szCs w:val="21"/>
                <w:highlight w:val="none"/>
              </w:rPr>
            </w:pPr>
            <w:r>
              <w:rPr>
                <w:rFonts w:hint="eastAsia" w:ascii="宋体" w:hAnsi="宋体" w:cs="宋体"/>
                <w:sz w:val="21"/>
                <w:szCs w:val="21"/>
                <w:highlight w:val="none"/>
              </w:rPr>
              <w:t>本项目利率(%)</w:t>
            </w:r>
          </w:p>
          <w:p>
            <w:pPr>
              <w:keepNext w:val="0"/>
              <w:keepLines w:val="0"/>
              <w:suppressLineNumbers w:val="0"/>
              <w:spacing w:before="0" w:beforeAutospacing="0" w:after="0" w:afterAutospacing="0" w:line="360" w:lineRule="auto"/>
              <w:ind w:left="0" w:right="0"/>
              <w:jc w:val="center"/>
              <w:rPr>
                <w:rFonts w:hint="default" w:ascii="宋体" w:hAnsi="宋体" w:cs="宋体"/>
                <w:sz w:val="21"/>
                <w:szCs w:val="21"/>
                <w:highlight w:val="none"/>
              </w:rPr>
            </w:pPr>
            <w:r>
              <w:rPr>
                <w:rFonts w:hint="eastAsia" w:ascii="宋体" w:hAnsi="宋体" w:cs="宋体"/>
                <w:sz w:val="21"/>
                <w:szCs w:val="21"/>
                <w:highlight w:val="none"/>
              </w:rPr>
              <w:t>=国家基准利率（%）+基点（bp）</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4" w:hRule="atLeast"/>
        </w:trPr>
        <w:tc>
          <w:tcPr>
            <w:tcW w:w="2048" w:type="dxa"/>
            <w:vAlign w:val="center"/>
          </w:tcPr>
          <w:p>
            <w:pPr>
              <w:keepNext w:val="0"/>
              <w:keepLines w:val="0"/>
              <w:suppressLineNumbers w:val="0"/>
              <w:spacing w:before="0" w:beforeAutospacing="0" w:after="0" w:afterAutospacing="0" w:line="360" w:lineRule="auto"/>
              <w:ind w:left="0" w:right="0"/>
              <w:jc w:val="center"/>
              <w:rPr>
                <w:rFonts w:hint="default" w:ascii="宋体" w:hAnsi="宋体" w:cs="宋体"/>
                <w:sz w:val="21"/>
                <w:szCs w:val="21"/>
                <w:highlight w:val="none"/>
              </w:rPr>
            </w:pPr>
            <w:r>
              <w:rPr>
                <w:rFonts w:hint="eastAsia" w:ascii="宋体" w:hAnsi="宋体" w:cs="宋体"/>
                <w:sz w:val="21"/>
                <w:szCs w:val="21"/>
                <w:highlight w:val="none"/>
              </w:rPr>
              <w:t>一年定期存款</w:t>
            </w:r>
          </w:p>
        </w:tc>
        <w:tc>
          <w:tcPr>
            <w:tcW w:w="2160" w:type="dxa"/>
            <w:vAlign w:val="center"/>
          </w:tcPr>
          <w:p>
            <w:pPr>
              <w:keepNext w:val="0"/>
              <w:keepLines w:val="0"/>
              <w:suppressLineNumbers w:val="0"/>
              <w:spacing w:before="0" w:beforeAutospacing="0" w:after="0" w:afterAutospacing="0" w:line="360" w:lineRule="auto"/>
              <w:ind w:left="0" w:right="0"/>
              <w:jc w:val="center"/>
              <w:rPr>
                <w:rFonts w:hint="default" w:ascii="宋体" w:hAnsi="宋体" w:cs="宋体"/>
                <w:sz w:val="21"/>
                <w:szCs w:val="21"/>
                <w:highlight w:val="none"/>
              </w:rPr>
            </w:pPr>
          </w:p>
        </w:tc>
        <w:tc>
          <w:tcPr>
            <w:tcW w:w="2280" w:type="dxa"/>
            <w:vAlign w:val="center"/>
          </w:tcPr>
          <w:p>
            <w:pPr>
              <w:keepNext w:val="0"/>
              <w:keepLines w:val="0"/>
              <w:suppressLineNumbers w:val="0"/>
              <w:spacing w:before="0" w:beforeAutospacing="0" w:after="0" w:afterAutospacing="0" w:line="360" w:lineRule="auto"/>
              <w:ind w:left="0" w:right="0"/>
              <w:jc w:val="center"/>
              <w:rPr>
                <w:rFonts w:hint="default" w:ascii="宋体" w:hAnsi="宋体" w:cs="宋体"/>
                <w:sz w:val="21"/>
                <w:szCs w:val="21"/>
                <w:highlight w:val="none"/>
              </w:rPr>
            </w:pPr>
          </w:p>
        </w:tc>
        <w:tc>
          <w:tcPr>
            <w:tcW w:w="3140" w:type="dxa"/>
            <w:vAlign w:val="center"/>
          </w:tcPr>
          <w:p>
            <w:pPr>
              <w:keepNext w:val="0"/>
              <w:keepLines w:val="0"/>
              <w:suppressLineNumbers w:val="0"/>
              <w:spacing w:before="0" w:beforeAutospacing="0" w:after="0" w:afterAutospacing="0" w:line="360" w:lineRule="auto"/>
              <w:ind w:left="0" w:right="0"/>
              <w:jc w:val="center"/>
              <w:rPr>
                <w:rFonts w:hint="default" w:ascii="宋体" w:hAnsi="宋体" w:cs="宋体"/>
                <w:sz w:val="21"/>
                <w:szCs w:val="21"/>
                <w:highlight w:val="none"/>
              </w:rPr>
            </w:pPr>
            <w:r>
              <w:rPr>
                <w:rFonts w:hint="eastAsia" w:ascii="宋体" w:hAnsi="宋体" w:cs="宋体"/>
                <w:sz w:val="21"/>
                <w:szCs w:val="21"/>
                <w:highlight w:val="none"/>
              </w:rPr>
              <w:t>（A1）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0" w:hRule="atLeast"/>
        </w:trPr>
        <w:tc>
          <w:tcPr>
            <w:tcW w:w="6488" w:type="dxa"/>
            <w:gridSpan w:val="3"/>
            <w:vAlign w:val="center"/>
          </w:tcPr>
          <w:p>
            <w:pPr>
              <w:keepNext w:val="0"/>
              <w:keepLines w:val="0"/>
              <w:suppressLineNumbers w:val="0"/>
              <w:spacing w:before="0" w:beforeAutospacing="0" w:after="0" w:afterAutospacing="0" w:line="360" w:lineRule="auto"/>
              <w:ind w:left="0" w:right="0"/>
              <w:jc w:val="center"/>
              <w:rPr>
                <w:rFonts w:hint="default" w:ascii="宋体" w:hAnsi="宋体" w:cs="宋体"/>
                <w:sz w:val="21"/>
                <w:szCs w:val="21"/>
                <w:highlight w:val="none"/>
              </w:rPr>
            </w:pPr>
            <w:r>
              <w:rPr>
                <w:rFonts w:hint="eastAsia" w:ascii="宋体" w:hAnsi="宋体" w:cs="宋体"/>
                <w:sz w:val="21"/>
                <w:szCs w:val="21"/>
                <w:highlight w:val="none"/>
              </w:rPr>
              <w:t>利率（A1）</w:t>
            </w:r>
          </w:p>
        </w:tc>
        <w:tc>
          <w:tcPr>
            <w:tcW w:w="3140" w:type="dxa"/>
            <w:vAlign w:val="center"/>
          </w:tcPr>
          <w:p>
            <w:pPr>
              <w:keepNext w:val="0"/>
              <w:keepLines w:val="0"/>
              <w:suppressLineNumbers w:val="0"/>
              <w:spacing w:before="0" w:beforeAutospacing="0" w:after="0" w:afterAutospacing="0" w:line="360" w:lineRule="auto"/>
              <w:ind w:left="0" w:right="0"/>
              <w:jc w:val="center"/>
              <w:rPr>
                <w:rFonts w:hint="default" w:ascii="宋体" w:hAnsi="宋体" w:cs="宋体"/>
                <w:sz w:val="21"/>
                <w:szCs w:val="21"/>
                <w:highlight w:val="none"/>
              </w:rPr>
            </w:pPr>
          </w:p>
        </w:tc>
      </w:tr>
    </w:tbl>
    <w:p>
      <w:pPr>
        <w:spacing w:line="360" w:lineRule="auto"/>
        <w:jc w:val="center"/>
        <w:rPr>
          <w:rFonts w:ascii="宋体" w:hAnsi="宋体"/>
          <w:bCs/>
          <w:spacing w:val="-6"/>
          <w:sz w:val="24"/>
          <w:highlight w:val="none"/>
        </w:rPr>
      </w:pPr>
    </w:p>
    <w:p>
      <w:pPr>
        <w:pStyle w:val="32"/>
        <w:spacing w:line="360" w:lineRule="auto"/>
        <w:rPr>
          <w:b/>
          <w:bCs/>
          <w:color w:val="auto"/>
          <w:highlight w:val="none"/>
        </w:rPr>
      </w:pPr>
      <w:r>
        <w:rPr>
          <w:rFonts w:hint="eastAsia"/>
          <w:b/>
          <w:bCs/>
          <w:color w:val="auto"/>
          <w:highlight w:val="none"/>
        </w:rPr>
        <w:t>备注：基点（bp）：1 个基点等于0.01%</w:t>
      </w:r>
    </w:p>
    <w:p>
      <w:pPr>
        <w:pStyle w:val="32"/>
        <w:spacing w:line="360" w:lineRule="auto"/>
        <w:rPr>
          <w:b/>
          <w:bCs/>
          <w:color w:val="auto"/>
          <w:highlight w:val="none"/>
        </w:rPr>
      </w:pPr>
    </w:p>
    <w:p>
      <w:pPr>
        <w:spacing w:line="360" w:lineRule="auto"/>
        <w:jc w:val="center"/>
        <w:rPr>
          <w:rFonts w:ascii="宋体" w:hAnsi="宋体"/>
          <w:bCs/>
          <w:spacing w:val="-6"/>
          <w:sz w:val="24"/>
          <w:highlight w:val="none"/>
        </w:rPr>
      </w:pPr>
    </w:p>
    <w:p>
      <w:pPr>
        <w:spacing w:line="360" w:lineRule="auto"/>
        <w:rPr>
          <w:rFonts w:ascii="宋体" w:hAnsi="宋体"/>
          <w:spacing w:val="-6"/>
          <w:sz w:val="24"/>
          <w:highlight w:val="none"/>
        </w:rPr>
      </w:pPr>
      <w:r>
        <w:rPr>
          <w:rFonts w:hint="eastAsia" w:ascii="宋体" w:hAnsi="宋体"/>
          <w:spacing w:val="-6"/>
          <w:sz w:val="24"/>
          <w:highlight w:val="none"/>
        </w:rPr>
        <w:t>投标人名称（盖章）：</w:t>
      </w:r>
    </w:p>
    <w:p>
      <w:pPr>
        <w:spacing w:line="360" w:lineRule="auto"/>
        <w:rPr>
          <w:rFonts w:ascii="宋体" w:hAnsi="宋体"/>
          <w:spacing w:val="-6"/>
          <w:sz w:val="24"/>
          <w:highlight w:val="none"/>
        </w:rPr>
      </w:pPr>
      <w:r>
        <w:rPr>
          <w:rFonts w:hint="eastAsia" w:ascii="宋体" w:hAnsi="宋体"/>
          <w:spacing w:val="-6"/>
          <w:sz w:val="24"/>
          <w:highlight w:val="none"/>
        </w:rPr>
        <w:t>投标人代表签字</w:t>
      </w:r>
      <w:r>
        <w:rPr>
          <w:rFonts w:hint="eastAsia" w:ascii="宋体" w:hAnsi="宋体"/>
          <w:bCs/>
          <w:spacing w:val="-6"/>
          <w:sz w:val="24"/>
          <w:highlight w:val="none"/>
        </w:rPr>
        <w:t>：</w:t>
      </w:r>
    </w:p>
    <w:p>
      <w:pPr>
        <w:spacing w:line="360" w:lineRule="auto"/>
        <w:rPr>
          <w:rFonts w:ascii="宋体" w:hAnsi="宋体"/>
          <w:spacing w:val="-6"/>
          <w:sz w:val="24"/>
          <w:highlight w:val="none"/>
        </w:rPr>
      </w:pPr>
      <w:r>
        <w:rPr>
          <w:rFonts w:hint="eastAsia" w:ascii="宋体" w:hAnsi="宋体"/>
          <w:bCs/>
          <w:spacing w:val="-6"/>
          <w:sz w:val="24"/>
          <w:highlight w:val="none"/>
        </w:rPr>
        <w:t>日期：  年  月  日</w:t>
      </w:r>
    </w:p>
    <w:p>
      <w:pPr>
        <w:spacing w:line="360" w:lineRule="auto"/>
        <w:rPr>
          <w:rFonts w:ascii="宋体" w:hAnsi="宋体"/>
          <w:spacing w:val="-6"/>
          <w:sz w:val="24"/>
          <w:highlight w:val="none"/>
        </w:rPr>
      </w:pPr>
    </w:p>
    <w:p>
      <w:pPr>
        <w:snapToGrid w:val="0"/>
        <w:spacing w:line="360" w:lineRule="auto"/>
        <w:jc w:val="center"/>
        <w:outlineLvl w:val="1"/>
        <w:rPr>
          <w:rFonts w:ascii="宋体" w:hAnsi="宋体"/>
          <w:b/>
          <w:spacing w:val="-6"/>
          <w:sz w:val="24"/>
          <w:highlight w:val="none"/>
        </w:rPr>
      </w:pPr>
      <w:r>
        <w:rPr>
          <w:rFonts w:ascii="宋体" w:hAnsi="宋体"/>
          <w:b/>
          <w:spacing w:val="-6"/>
          <w:sz w:val="24"/>
          <w:highlight w:val="none"/>
        </w:rPr>
        <w:br w:type="page"/>
      </w:r>
      <w:r>
        <w:rPr>
          <w:rFonts w:hint="eastAsia" w:ascii="宋体" w:hAnsi="宋体"/>
          <w:b/>
          <w:spacing w:val="-6"/>
          <w:sz w:val="52"/>
          <w:szCs w:val="52"/>
          <w:highlight w:val="none"/>
        </w:rPr>
        <w:t>资格文件</w:t>
      </w:r>
    </w:p>
    <w:p>
      <w:pPr>
        <w:snapToGrid w:val="0"/>
        <w:spacing w:line="360" w:lineRule="auto"/>
        <w:rPr>
          <w:rFonts w:ascii="宋体" w:hAnsi="宋体"/>
          <w:b/>
          <w:spacing w:val="-6"/>
          <w:sz w:val="24"/>
          <w:highlight w:val="none"/>
        </w:rPr>
      </w:pPr>
    </w:p>
    <w:p>
      <w:pPr>
        <w:spacing w:line="360" w:lineRule="auto"/>
        <w:rPr>
          <w:rFonts w:ascii="宋体" w:hAnsi="宋体"/>
          <w:bCs/>
          <w:spacing w:val="-6"/>
          <w:sz w:val="24"/>
          <w:highlight w:val="none"/>
        </w:rPr>
      </w:pPr>
      <w:r>
        <w:rPr>
          <w:rFonts w:hint="eastAsia" w:ascii="宋体" w:hAnsi="宋体"/>
          <w:bCs/>
          <w:spacing w:val="-6"/>
          <w:sz w:val="24"/>
          <w:highlight w:val="none"/>
        </w:rPr>
        <w:t>（1）有效的法人或者其他组织的营业执照等证明文件（扫描件加盖公章）、中华人民共和国金融许可证（扫描件加盖公章）</w:t>
      </w:r>
    </w:p>
    <w:p>
      <w:pPr>
        <w:spacing w:line="360" w:lineRule="auto"/>
        <w:rPr>
          <w:rFonts w:ascii="宋体" w:hAnsi="宋体"/>
          <w:bCs/>
          <w:spacing w:val="-6"/>
          <w:sz w:val="24"/>
          <w:highlight w:val="none"/>
        </w:rPr>
      </w:pPr>
      <w:r>
        <w:rPr>
          <w:rFonts w:hint="eastAsia" w:ascii="宋体" w:hAnsi="宋体"/>
          <w:bCs/>
          <w:spacing w:val="-6"/>
          <w:sz w:val="24"/>
          <w:highlight w:val="none"/>
        </w:rPr>
        <w:t>（2）中标后对本项目指定的一家杭州市区分支机构作为存款银行的承诺书，承诺在合同期内不得随意转移（包含但不限于在杭分支机构的地址，联系人等信息）（格式自拟）</w:t>
      </w:r>
    </w:p>
    <w:p>
      <w:pPr>
        <w:spacing w:line="360" w:lineRule="auto"/>
        <w:rPr>
          <w:rFonts w:ascii="宋体" w:hAnsi="宋体"/>
          <w:bCs/>
          <w:spacing w:val="-6"/>
          <w:sz w:val="24"/>
          <w:highlight w:val="none"/>
        </w:rPr>
      </w:pPr>
      <w:r>
        <w:rPr>
          <w:rFonts w:hint="eastAsia" w:ascii="宋体" w:hAnsi="宋体"/>
          <w:bCs/>
          <w:spacing w:val="-6"/>
          <w:sz w:val="24"/>
          <w:highlight w:val="none"/>
        </w:rPr>
        <w:t>（3）参加采购活动前3年内在经营活动中没有重大违法记录的书面声明（格式自拟）</w:t>
      </w:r>
    </w:p>
    <w:p>
      <w:pPr>
        <w:spacing w:line="360" w:lineRule="auto"/>
        <w:rPr>
          <w:rFonts w:ascii="宋体" w:hAnsi="宋体"/>
          <w:bCs/>
          <w:spacing w:val="-6"/>
          <w:sz w:val="24"/>
          <w:highlight w:val="none"/>
        </w:rPr>
      </w:pPr>
      <w:r>
        <w:rPr>
          <w:rFonts w:hint="eastAsia" w:ascii="宋体" w:hAnsi="宋体"/>
          <w:bCs/>
          <w:spacing w:val="-6"/>
          <w:sz w:val="24"/>
          <w:highlight w:val="none"/>
        </w:rPr>
        <w:t>（4）上一年度由人民银行杭州中心支行出具综合评价证明材料（如因人民银行原因无法提供上年度（202</w:t>
      </w:r>
      <w:r>
        <w:rPr>
          <w:rFonts w:hint="eastAsia" w:ascii="宋体" w:hAnsi="宋体"/>
          <w:bCs/>
          <w:spacing w:val="-6"/>
          <w:sz w:val="24"/>
          <w:highlight w:val="none"/>
          <w:lang w:val="en-US" w:eastAsia="zh-CN"/>
        </w:rPr>
        <w:t>2</w:t>
      </w:r>
      <w:r>
        <w:rPr>
          <w:rFonts w:hint="eastAsia" w:ascii="宋体" w:hAnsi="宋体"/>
          <w:bCs/>
          <w:spacing w:val="-6"/>
          <w:sz w:val="24"/>
          <w:highlight w:val="none"/>
        </w:rPr>
        <w:t>年度）的综合评价可提供202</w:t>
      </w:r>
      <w:r>
        <w:rPr>
          <w:rFonts w:hint="eastAsia" w:ascii="宋体" w:hAnsi="宋体"/>
          <w:bCs/>
          <w:spacing w:val="-6"/>
          <w:sz w:val="24"/>
          <w:highlight w:val="none"/>
          <w:lang w:val="en-US" w:eastAsia="zh-CN"/>
        </w:rPr>
        <w:t>1</w:t>
      </w:r>
      <w:r>
        <w:rPr>
          <w:rFonts w:hint="eastAsia" w:ascii="宋体" w:hAnsi="宋体"/>
          <w:bCs/>
          <w:spacing w:val="-6"/>
          <w:sz w:val="24"/>
          <w:highlight w:val="none"/>
        </w:rPr>
        <w:t>年度的材料文件，并说明无法提供202</w:t>
      </w:r>
      <w:r>
        <w:rPr>
          <w:rFonts w:hint="eastAsia" w:ascii="宋体" w:hAnsi="宋体"/>
          <w:bCs/>
          <w:spacing w:val="-6"/>
          <w:sz w:val="24"/>
          <w:highlight w:val="none"/>
          <w:lang w:val="en-US" w:eastAsia="zh-CN"/>
        </w:rPr>
        <w:t>2</w:t>
      </w:r>
      <w:r>
        <w:rPr>
          <w:rFonts w:hint="eastAsia" w:ascii="宋体" w:hAnsi="宋体"/>
          <w:bCs/>
          <w:spacing w:val="-6"/>
          <w:sz w:val="24"/>
          <w:highlight w:val="none"/>
        </w:rPr>
        <w:t>年度人民银行的综合评价的相关原因，出具机构对证明的真实性负责，不得虚假提供，虚假提供一经发现则取消中标资格。）</w:t>
      </w:r>
    </w:p>
    <w:p>
      <w:pPr>
        <w:spacing w:line="360" w:lineRule="auto"/>
        <w:rPr>
          <w:rFonts w:ascii="宋体" w:hAnsi="宋体"/>
          <w:b/>
          <w:spacing w:val="-6"/>
          <w:sz w:val="24"/>
          <w:highlight w:val="none"/>
        </w:rPr>
      </w:pPr>
      <w:r>
        <w:rPr>
          <w:rFonts w:hint="eastAsia" w:ascii="宋体" w:hAnsi="宋体"/>
          <w:bCs/>
          <w:spacing w:val="-6"/>
          <w:sz w:val="24"/>
          <w:highlight w:val="none"/>
        </w:rPr>
        <w:t>（5）提供投标人为省级分行的声明书或省级分行针对本项目的授权委托书（投标人为总行无需提供）</w:t>
      </w:r>
      <w:r>
        <w:rPr>
          <w:rFonts w:hint="eastAsia" w:ascii="宋体" w:hAnsi="宋体"/>
          <w:b/>
          <w:spacing w:val="-6"/>
          <w:sz w:val="24"/>
          <w:highlight w:val="none"/>
        </w:rPr>
        <w:br w:type="page"/>
      </w:r>
    </w:p>
    <w:p>
      <w:pPr>
        <w:snapToGrid w:val="0"/>
        <w:spacing w:line="360" w:lineRule="auto"/>
        <w:jc w:val="center"/>
        <w:outlineLvl w:val="2"/>
        <w:rPr>
          <w:rFonts w:ascii="宋体" w:hAnsi="宋体"/>
          <w:b/>
          <w:spacing w:val="-6"/>
          <w:sz w:val="52"/>
          <w:szCs w:val="52"/>
          <w:highlight w:val="none"/>
        </w:rPr>
      </w:pPr>
      <w:r>
        <w:rPr>
          <w:rFonts w:hint="eastAsia" w:ascii="宋体" w:hAnsi="宋体"/>
          <w:b/>
          <w:spacing w:val="-6"/>
          <w:sz w:val="52"/>
          <w:szCs w:val="52"/>
          <w:highlight w:val="none"/>
        </w:rPr>
        <w:t>商务及技术文件</w:t>
      </w:r>
    </w:p>
    <w:p>
      <w:pPr>
        <w:snapToGrid w:val="0"/>
        <w:spacing w:line="360" w:lineRule="auto"/>
        <w:jc w:val="center"/>
        <w:outlineLvl w:val="2"/>
        <w:rPr>
          <w:rFonts w:ascii="宋体" w:hAnsi="宋体"/>
          <w:b/>
          <w:spacing w:val="-6"/>
          <w:sz w:val="24"/>
          <w:highlight w:val="none"/>
        </w:rPr>
      </w:pPr>
      <w:r>
        <w:rPr>
          <w:rFonts w:hint="eastAsia" w:ascii="宋体" w:hAnsi="宋体"/>
          <w:b/>
          <w:spacing w:val="-6"/>
          <w:sz w:val="24"/>
          <w:highlight w:val="none"/>
        </w:rPr>
        <w:t>投 标 函</w:t>
      </w:r>
    </w:p>
    <w:p>
      <w:pPr>
        <w:spacing w:line="360" w:lineRule="auto"/>
        <w:rPr>
          <w:rFonts w:ascii="宋体" w:hAnsi="宋体"/>
          <w:spacing w:val="-6"/>
          <w:sz w:val="24"/>
          <w:highlight w:val="none"/>
        </w:rPr>
      </w:pPr>
      <w:r>
        <w:rPr>
          <w:rFonts w:hint="eastAsia" w:ascii="宋体" w:hAnsi="宋体"/>
          <w:spacing w:val="-6"/>
          <w:sz w:val="24"/>
          <w:highlight w:val="none"/>
        </w:rPr>
        <w:t>致：浙江求是招标代理有限公司：</w:t>
      </w:r>
    </w:p>
    <w:p>
      <w:pPr>
        <w:spacing w:line="360" w:lineRule="auto"/>
        <w:ind w:firstLine="456" w:firstLineChars="200"/>
        <w:rPr>
          <w:rFonts w:ascii="宋体" w:hAnsi="宋体"/>
          <w:spacing w:val="-6"/>
          <w:sz w:val="24"/>
          <w:highlight w:val="none"/>
        </w:rPr>
      </w:pPr>
      <w:r>
        <w:rPr>
          <w:rFonts w:hint="eastAsia" w:ascii="宋体" w:hAnsi="宋体"/>
          <w:spacing w:val="-6"/>
          <w:sz w:val="24"/>
          <w:highlight w:val="none"/>
        </w:rPr>
        <w:t>根据贵方为</w:t>
      </w:r>
      <w:r>
        <w:rPr>
          <w:rFonts w:hint="eastAsia" w:ascii="宋体" w:hAnsi="宋体"/>
          <w:bCs/>
          <w:spacing w:val="-6"/>
          <w:sz w:val="24"/>
          <w:highlight w:val="none"/>
          <w:lang w:eastAsia="zh-CN"/>
        </w:rPr>
        <w:t>2023年第二期公款竞争性存放</w:t>
      </w:r>
      <w:r>
        <w:rPr>
          <w:rFonts w:hint="eastAsia" w:ascii="宋体" w:hAnsi="宋体"/>
          <w:spacing w:val="-6"/>
          <w:sz w:val="24"/>
          <w:highlight w:val="none"/>
        </w:rPr>
        <w:t>的招标公告（招标项目编号</w:t>
      </w:r>
      <w:r>
        <w:rPr>
          <w:rFonts w:hint="eastAsia" w:ascii="宋体" w:hAnsi="宋体"/>
          <w:bCs/>
          <w:spacing w:val="-6"/>
          <w:sz w:val="24"/>
          <w:highlight w:val="none"/>
        </w:rPr>
        <w:t>：</w:t>
      </w:r>
      <w:r>
        <w:rPr>
          <w:rFonts w:hint="eastAsia" w:ascii="宋体" w:hAnsi="宋体"/>
          <w:bCs/>
          <w:spacing w:val="-6"/>
          <w:sz w:val="24"/>
          <w:highlight w:val="none"/>
          <w:lang w:eastAsia="zh-CN"/>
        </w:rPr>
        <w:t>QSZB-F(F)-B23070(GK)</w:t>
      </w:r>
      <w:r>
        <w:rPr>
          <w:rFonts w:hint="eastAsia" w:ascii="宋体" w:hAnsi="宋体"/>
          <w:bCs/>
          <w:spacing w:val="-6"/>
          <w:sz w:val="24"/>
          <w:highlight w:val="none"/>
        </w:rPr>
        <w:t xml:space="preserve"> ）</w:t>
      </w:r>
      <w:r>
        <w:rPr>
          <w:rFonts w:hint="eastAsia" w:ascii="宋体" w:hAnsi="宋体"/>
          <w:spacing w:val="-6"/>
          <w:sz w:val="24"/>
          <w:highlight w:val="none"/>
        </w:rPr>
        <w:t>，授权代表</w:t>
      </w:r>
      <w:r>
        <w:rPr>
          <w:rFonts w:hint="eastAsia" w:ascii="宋体" w:hAnsi="宋体"/>
          <w:bCs/>
          <w:spacing w:val="-6"/>
          <w:sz w:val="24"/>
          <w:highlight w:val="none"/>
        </w:rPr>
        <w:t>____________</w:t>
      </w:r>
      <w:r>
        <w:rPr>
          <w:rFonts w:hint="eastAsia" w:ascii="宋体" w:hAnsi="宋体"/>
          <w:spacing w:val="-6"/>
          <w:sz w:val="24"/>
          <w:highlight w:val="none"/>
        </w:rPr>
        <w:t>（全名）经正式授权并代表投标人</w:t>
      </w:r>
      <w:r>
        <w:rPr>
          <w:rFonts w:hint="eastAsia" w:ascii="宋体" w:hAnsi="宋体"/>
          <w:bCs/>
          <w:spacing w:val="-6"/>
          <w:sz w:val="24"/>
          <w:highlight w:val="none"/>
        </w:rPr>
        <w:t>_______________________________</w:t>
      </w:r>
      <w:r>
        <w:rPr>
          <w:rFonts w:hint="eastAsia" w:ascii="宋体" w:hAnsi="宋体"/>
          <w:spacing w:val="-6"/>
          <w:sz w:val="24"/>
          <w:highlight w:val="none"/>
        </w:rPr>
        <w:t>（投标人名称）</w:t>
      </w:r>
    </w:p>
    <w:p>
      <w:pPr>
        <w:spacing w:line="360" w:lineRule="auto"/>
        <w:ind w:firstLine="456" w:firstLineChars="200"/>
        <w:rPr>
          <w:rFonts w:ascii="宋体" w:hAnsi="宋体"/>
          <w:spacing w:val="-6"/>
          <w:sz w:val="24"/>
          <w:highlight w:val="none"/>
        </w:rPr>
      </w:pPr>
      <w:r>
        <w:rPr>
          <w:rFonts w:hint="eastAsia" w:ascii="宋体" w:hAnsi="宋体"/>
          <w:spacing w:val="-6"/>
          <w:sz w:val="24"/>
          <w:highlight w:val="none"/>
        </w:rPr>
        <w:t>据此函，授权代表宣布同意如下：</w:t>
      </w:r>
    </w:p>
    <w:p>
      <w:pPr>
        <w:spacing w:line="360" w:lineRule="auto"/>
        <w:ind w:firstLine="456" w:firstLineChars="200"/>
        <w:rPr>
          <w:rFonts w:ascii="宋体" w:hAnsi="宋体"/>
          <w:spacing w:val="-6"/>
          <w:sz w:val="24"/>
          <w:highlight w:val="none"/>
        </w:rPr>
      </w:pPr>
      <w:r>
        <w:rPr>
          <w:rFonts w:hint="eastAsia" w:ascii="宋体" w:hAnsi="宋体"/>
          <w:spacing w:val="-6"/>
          <w:sz w:val="24"/>
          <w:highlight w:val="none"/>
        </w:rPr>
        <w:t>1</w:t>
      </w:r>
      <w:r>
        <w:rPr>
          <w:rFonts w:ascii="宋体" w:hAnsi="宋体"/>
          <w:spacing w:val="-6"/>
          <w:sz w:val="24"/>
          <w:highlight w:val="none"/>
        </w:rPr>
        <w:t>.</w:t>
      </w:r>
      <w:r>
        <w:rPr>
          <w:rFonts w:hint="eastAsia" w:ascii="宋体" w:hAnsi="宋体"/>
          <w:spacing w:val="-6"/>
          <w:sz w:val="24"/>
          <w:highlight w:val="none"/>
        </w:rPr>
        <w:t>投标人已详细审查全部“招标文件”，包括修改文件（如有）以及全部参考资料和有关附件，已经了解我方对于招标文件、招标过程、中标结果有依法进行询问、质疑投诉及相关渠道和要求。</w:t>
      </w:r>
    </w:p>
    <w:p>
      <w:pPr>
        <w:spacing w:line="360" w:lineRule="auto"/>
        <w:ind w:firstLine="456" w:firstLineChars="200"/>
        <w:rPr>
          <w:rFonts w:ascii="宋体" w:hAnsi="宋体"/>
          <w:spacing w:val="-6"/>
          <w:sz w:val="24"/>
          <w:highlight w:val="none"/>
        </w:rPr>
      </w:pPr>
      <w:r>
        <w:rPr>
          <w:rFonts w:hint="eastAsia" w:ascii="宋体" w:hAnsi="宋体"/>
          <w:spacing w:val="-6"/>
          <w:sz w:val="24"/>
          <w:highlight w:val="none"/>
        </w:rPr>
        <w:t>2</w:t>
      </w:r>
      <w:r>
        <w:rPr>
          <w:rFonts w:ascii="宋体" w:hAnsi="宋体"/>
          <w:spacing w:val="-6"/>
          <w:sz w:val="24"/>
          <w:highlight w:val="none"/>
        </w:rPr>
        <w:t>.</w:t>
      </w:r>
      <w:r>
        <w:rPr>
          <w:rFonts w:hint="eastAsia" w:ascii="宋体" w:hAnsi="宋体"/>
          <w:spacing w:val="-6"/>
          <w:sz w:val="24"/>
          <w:highlight w:val="none"/>
        </w:rPr>
        <w:t>投标人在投标之前已经与贵方进行了充分的沟通，完全理解并接受招标文件的各项规定和要求，对招标文件的合理性、合法性不再有异议。</w:t>
      </w:r>
    </w:p>
    <w:p>
      <w:pPr>
        <w:spacing w:line="360" w:lineRule="auto"/>
        <w:ind w:firstLine="456" w:firstLineChars="200"/>
        <w:rPr>
          <w:rFonts w:ascii="宋体" w:hAnsi="宋体"/>
          <w:spacing w:val="-6"/>
          <w:sz w:val="24"/>
          <w:highlight w:val="none"/>
        </w:rPr>
      </w:pPr>
      <w:r>
        <w:rPr>
          <w:rFonts w:hint="eastAsia" w:ascii="宋体" w:hAnsi="宋体"/>
          <w:spacing w:val="-6"/>
          <w:sz w:val="24"/>
          <w:highlight w:val="none"/>
        </w:rPr>
        <w:t>3</w:t>
      </w:r>
      <w:r>
        <w:rPr>
          <w:rFonts w:ascii="宋体" w:hAnsi="宋体"/>
          <w:spacing w:val="-6"/>
          <w:sz w:val="24"/>
          <w:highlight w:val="none"/>
        </w:rPr>
        <w:t>.</w:t>
      </w:r>
      <w:r>
        <w:rPr>
          <w:rFonts w:hint="eastAsia" w:ascii="宋体" w:hAnsi="宋体"/>
          <w:spacing w:val="-6"/>
          <w:sz w:val="24"/>
          <w:highlight w:val="none"/>
        </w:rPr>
        <w:t>投标有效期自提交投标文件的截止之日起</w:t>
      </w:r>
      <w:r>
        <w:rPr>
          <w:rFonts w:hint="eastAsia" w:ascii="宋体" w:hAnsi="宋体"/>
          <w:bCs/>
          <w:spacing w:val="-6"/>
          <w:sz w:val="24"/>
          <w:highlight w:val="none"/>
          <w:u w:val="single"/>
        </w:rPr>
        <w:t xml:space="preserve"> 90</w:t>
      </w:r>
      <w:r>
        <w:rPr>
          <w:rFonts w:hint="eastAsia" w:ascii="宋体" w:hAnsi="宋体"/>
          <w:spacing w:val="-6"/>
          <w:sz w:val="24"/>
          <w:highlight w:val="none"/>
        </w:rPr>
        <w:t>天。</w:t>
      </w:r>
    </w:p>
    <w:p>
      <w:pPr>
        <w:spacing w:line="360" w:lineRule="auto"/>
        <w:ind w:firstLine="456" w:firstLineChars="200"/>
        <w:rPr>
          <w:rFonts w:ascii="宋体" w:hAnsi="宋体"/>
          <w:spacing w:val="-6"/>
          <w:sz w:val="24"/>
          <w:highlight w:val="none"/>
        </w:rPr>
      </w:pPr>
      <w:r>
        <w:rPr>
          <w:rFonts w:hint="eastAsia" w:ascii="宋体" w:hAnsi="宋体"/>
          <w:spacing w:val="-6"/>
          <w:sz w:val="24"/>
          <w:highlight w:val="none"/>
        </w:rPr>
        <w:t>4</w:t>
      </w:r>
      <w:r>
        <w:rPr>
          <w:rFonts w:ascii="宋体" w:hAnsi="宋体"/>
          <w:spacing w:val="-6"/>
          <w:sz w:val="24"/>
          <w:highlight w:val="none"/>
        </w:rPr>
        <w:t>.</w:t>
      </w:r>
      <w:r>
        <w:rPr>
          <w:rFonts w:hint="eastAsia" w:ascii="宋体" w:hAnsi="宋体"/>
          <w:spacing w:val="-6"/>
          <w:sz w:val="24"/>
          <w:highlight w:val="none"/>
        </w:rPr>
        <w:t>如中标，本投标文件至本项目合同履行完毕止均保持有效，本投标人将按“招标文件”及相关法律、法规的规定履行合同责任和义务。</w:t>
      </w:r>
    </w:p>
    <w:p>
      <w:pPr>
        <w:spacing w:line="360" w:lineRule="auto"/>
        <w:ind w:firstLine="456" w:firstLineChars="200"/>
        <w:rPr>
          <w:rFonts w:ascii="宋体" w:hAnsi="宋体"/>
          <w:spacing w:val="-6"/>
          <w:sz w:val="24"/>
          <w:highlight w:val="none"/>
        </w:rPr>
      </w:pPr>
      <w:r>
        <w:rPr>
          <w:rFonts w:hint="eastAsia" w:ascii="宋体" w:hAnsi="宋体"/>
          <w:spacing w:val="-6"/>
          <w:sz w:val="24"/>
          <w:highlight w:val="none"/>
        </w:rPr>
        <w:t>5</w:t>
      </w:r>
      <w:r>
        <w:rPr>
          <w:rFonts w:ascii="宋体" w:hAnsi="宋体"/>
          <w:spacing w:val="-6"/>
          <w:sz w:val="24"/>
          <w:highlight w:val="none"/>
        </w:rPr>
        <w:t>.</w:t>
      </w:r>
      <w:r>
        <w:rPr>
          <w:rFonts w:hint="eastAsia" w:ascii="宋体" w:hAnsi="宋体"/>
          <w:spacing w:val="-6"/>
          <w:sz w:val="24"/>
          <w:highlight w:val="none"/>
        </w:rPr>
        <w:t>投标人同意按照贵方要求提供与投标有关的一切数据或资料。</w:t>
      </w:r>
    </w:p>
    <w:p>
      <w:pPr>
        <w:spacing w:line="360" w:lineRule="auto"/>
        <w:ind w:firstLine="456" w:firstLineChars="200"/>
        <w:rPr>
          <w:rFonts w:ascii="宋体" w:hAnsi="宋体"/>
          <w:spacing w:val="-6"/>
          <w:sz w:val="24"/>
          <w:highlight w:val="none"/>
        </w:rPr>
      </w:pPr>
      <w:r>
        <w:rPr>
          <w:rFonts w:hint="eastAsia" w:ascii="宋体" w:hAnsi="宋体"/>
          <w:spacing w:val="-6"/>
          <w:sz w:val="24"/>
          <w:highlight w:val="none"/>
        </w:rPr>
        <w:t>6</w:t>
      </w:r>
      <w:r>
        <w:rPr>
          <w:rFonts w:ascii="宋体" w:hAnsi="宋体"/>
          <w:spacing w:val="-6"/>
          <w:sz w:val="24"/>
          <w:highlight w:val="none"/>
        </w:rPr>
        <w:t>.</w:t>
      </w:r>
      <w:r>
        <w:rPr>
          <w:rFonts w:hint="eastAsia" w:ascii="宋体" w:hAnsi="宋体"/>
          <w:spacing w:val="-6"/>
          <w:sz w:val="24"/>
          <w:highlight w:val="none"/>
        </w:rPr>
        <w:t>与本投标有关的一切正式往来信函请寄：</w:t>
      </w:r>
    </w:p>
    <w:p>
      <w:pPr>
        <w:spacing w:line="360" w:lineRule="auto"/>
        <w:rPr>
          <w:rFonts w:ascii="宋体" w:hAnsi="宋体"/>
          <w:spacing w:val="-6"/>
          <w:sz w:val="24"/>
          <w:highlight w:val="none"/>
        </w:rPr>
      </w:pPr>
      <w:r>
        <w:rPr>
          <w:rFonts w:hint="eastAsia" w:ascii="宋体" w:hAnsi="宋体"/>
          <w:spacing w:val="-6"/>
          <w:sz w:val="24"/>
          <w:highlight w:val="none"/>
        </w:rPr>
        <w:t>地址：                                       邮编：</w:t>
      </w:r>
    </w:p>
    <w:p>
      <w:pPr>
        <w:spacing w:line="360" w:lineRule="auto"/>
        <w:rPr>
          <w:rFonts w:ascii="宋体" w:hAnsi="宋体"/>
          <w:spacing w:val="-6"/>
          <w:sz w:val="24"/>
          <w:highlight w:val="none"/>
          <w:u w:val="single"/>
        </w:rPr>
      </w:pPr>
      <w:r>
        <w:rPr>
          <w:rFonts w:hint="eastAsia" w:ascii="宋体" w:hAnsi="宋体"/>
          <w:spacing w:val="-6"/>
          <w:sz w:val="24"/>
          <w:highlight w:val="none"/>
        </w:rPr>
        <w:t xml:space="preserve">电话：                                       传真：                         </w:t>
      </w:r>
    </w:p>
    <w:p>
      <w:pPr>
        <w:spacing w:line="360" w:lineRule="auto"/>
        <w:rPr>
          <w:rFonts w:ascii="宋体" w:hAnsi="宋体"/>
          <w:spacing w:val="-6"/>
          <w:sz w:val="24"/>
          <w:highlight w:val="none"/>
        </w:rPr>
      </w:pPr>
      <w:r>
        <w:rPr>
          <w:rFonts w:hint="eastAsia" w:ascii="宋体" w:hAnsi="宋体"/>
          <w:spacing w:val="-6"/>
          <w:sz w:val="24"/>
          <w:highlight w:val="none"/>
        </w:rPr>
        <w:t xml:space="preserve">投标人代表姓名：                             职务：                        </w:t>
      </w:r>
    </w:p>
    <w:p>
      <w:pPr>
        <w:spacing w:line="360" w:lineRule="auto"/>
        <w:rPr>
          <w:rFonts w:ascii="宋体" w:hAnsi="宋体"/>
          <w:spacing w:val="-6"/>
          <w:sz w:val="24"/>
          <w:highlight w:val="none"/>
        </w:rPr>
      </w:pPr>
      <w:r>
        <w:rPr>
          <w:rFonts w:hint="eastAsia" w:ascii="宋体" w:hAnsi="宋体"/>
          <w:spacing w:val="-6"/>
          <w:sz w:val="24"/>
          <w:highlight w:val="none"/>
        </w:rPr>
        <w:t>开户银行：</w:t>
      </w:r>
    </w:p>
    <w:p>
      <w:pPr>
        <w:spacing w:line="360" w:lineRule="auto"/>
        <w:rPr>
          <w:rFonts w:ascii="宋体" w:hAnsi="宋体"/>
          <w:spacing w:val="-6"/>
          <w:sz w:val="24"/>
          <w:highlight w:val="none"/>
        </w:rPr>
      </w:pPr>
      <w:r>
        <w:rPr>
          <w:rFonts w:hint="eastAsia" w:ascii="宋体" w:hAnsi="宋体"/>
          <w:spacing w:val="-6"/>
          <w:sz w:val="24"/>
          <w:highlight w:val="none"/>
        </w:rPr>
        <w:t>银行帐号：</w:t>
      </w:r>
    </w:p>
    <w:p>
      <w:pPr>
        <w:spacing w:line="360" w:lineRule="auto"/>
        <w:rPr>
          <w:rFonts w:ascii="宋体" w:hAnsi="宋体"/>
          <w:spacing w:val="-6"/>
          <w:sz w:val="24"/>
          <w:highlight w:val="none"/>
        </w:rPr>
      </w:pPr>
    </w:p>
    <w:p>
      <w:pPr>
        <w:spacing w:line="360" w:lineRule="auto"/>
        <w:rPr>
          <w:rFonts w:ascii="宋体" w:hAnsi="宋体"/>
          <w:spacing w:val="-6"/>
          <w:sz w:val="24"/>
          <w:highlight w:val="none"/>
        </w:rPr>
      </w:pPr>
      <w:r>
        <w:rPr>
          <w:rFonts w:hint="eastAsia" w:ascii="宋体" w:hAnsi="宋体"/>
          <w:spacing w:val="-6"/>
          <w:sz w:val="24"/>
          <w:highlight w:val="none"/>
        </w:rPr>
        <w:t>投标人名称（盖章）：</w:t>
      </w:r>
    </w:p>
    <w:p>
      <w:pPr>
        <w:spacing w:line="360" w:lineRule="auto"/>
        <w:rPr>
          <w:rFonts w:ascii="宋体" w:hAnsi="宋体"/>
          <w:spacing w:val="-6"/>
          <w:sz w:val="24"/>
          <w:highlight w:val="none"/>
        </w:rPr>
      </w:pPr>
      <w:r>
        <w:rPr>
          <w:rFonts w:hint="eastAsia" w:ascii="宋体" w:hAnsi="宋体"/>
          <w:spacing w:val="-6"/>
          <w:sz w:val="24"/>
          <w:highlight w:val="none"/>
        </w:rPr>
        <w:t>投标人代表签字</w:t>
      </w:r>
      <w:r>
        <w:rPr>
          <w:rFonts w:hint="eastAsia" w:ascii="宋体" w:hAnsi="宋体"/>
          <w:bCs/>
          <w:spacing w:val="-6"/>
          <w:sz w:val="24"/>
          <w:highlight w:val="none"/>
        </w:rPr>
        <w:t>：</w:t>
      </w:r>
    </w:p>
    <w:p>
      <w:pPr>
        <w:spacing w:line="360" w:lineRule="auto"/>
        <w:rPr>
          <w:rFonts w:ascii="宋体" w:hAnsi="宋体"/>
          <w:spacing w:val="-6"/>
          <w:sz w:val="24"/>
          <w:highlight w:val="none"/>
        </w:rPr>
      </w:pPr>
      <w:r>
        <w:rPr>
          <w:rFonts w:hint="eastAsia" w:ascii="宋体" w:hAnsi="宋体"/>
          <w:bCs/>
          <w:spacing w:val="-6"/>
          <w:sz w:val="24"/>
          <w:highlight w:val="none"/>
        </w:rPr>
        <w:t>日期：  年  月  日</w:t>
      </w:r>
    </w:p>
    <w:p>
      <w:pPr>
        <w:snapToGrid w:val="0"/>
        <w:spacing w:line="360" w:lineRule="auto"/>
        <w:jc w:val="center"/>
        <w:outlineLvl w:val="2"/>
        <w:rPr>
          <w:rFonts w:ascii="宋体" w:hAnsi="宋体"/>
          <w:b/>
          <w:spacing w:val="-6"/>
          <w:sz w:val="24"/>
          <w:highlight w:val="none"/>
        </w:rPr>
      </w:pPr>
      <w:r>
        <w:rPr>
          <w:rFonts w:ascii="宋体" w:hAnsi="宋体"/>
          <w:b/>
          <w:spacing w:val="-6"/>
          <w:sz w:val="24"/>
          <w:highlight w:val="none"/>
        </w:rPr>
        <w:br w:type="page"/>
      </w:r>
      <w:r>
        <w:rPr>
          <w:rFonts w:ascii="宋体" w:hAnsi="宋体"/>
          <w:b/>
          <w:spacing w:val="-6"/>
          <w:sz w:val="24"/>
          <w:highlight w:val="none"/>
        </w:rPr>
        <w:t>企业负责人资格证明书</w:t>
      </w:r>
    </w:p>
    <w:p>
      <w:pPr>
        <w:spacing w:line="360" w:lineRule="auto"/>
        <w:rPr>
          <w:rFonts w:ascii="宋体" w:hAnsi="宋体"/>
          <w:bCs/>
          <w:spacing w:val="-6"/>
          <w:sz w:val="24"/>
          <w:highlight w:val="none"/>
        </w:rPr>
      </w:pPr>
      <w:r>
        <w:rPr>
          <w:rFonts w:hint="eastAsia" w:ascii="宋体" w:hAnsi="宋体"/>
          <w:bCs/>
          <w:spacing w:val="-6"/>
          <w:sz w:val="24"/>
          <w:highlight w:val="none"/>
        </w:rPr>
        <w:t>致：</w:t>
      </w:r>
      <w:r>
        <w:rPr>
          <w:rFonts w:hint="eastAsia" w:ascii="宋体" w:hAnsi="宋体"/>
          <w:bCs/>
          <w:spacing w:val="-6"/>
          <w:sz w:val="24"/>
          <w:highlight w:val="none"/>
          <w:lang w:eastAsia="zh-CN"/>
        </w:rPr>
        <w:t>杭州电子科技大学</w:t>
      </w:r>
      <w:r>
        <w:rPr>
          <w:rFonts w:hint="eastAsia" w:ascii="宋体" w:hAnsi="宋体"/>
          <w:bCs/>
          <w:spacing w:val="-6"/>
          <w:sz w:val="24"/>
          <w:highlight w:val="none"/>
        </w:rPr>
        <w:t>、浙江求是招标代理有限公司：</w:t>
      </w:r>
    </w:p>
    <w:p>
      <w:pPr>
        <w:spacing w:line="360" w:lineRule="auto"/>
        <w:ind w:firstLine="456" w:firstLineChars="200"/>
        <w:rPr>
          <w:rFonts w:ascii="宋体" w:hAnsi="宋体"/>
          <w:bCs/>
          <w:spacing w:val="-6"/>
          <w:sz w:val="24"/>
          <w:highlight w:val="none"/>
        </w:rPr>
      </w:pPr>
      <w:r>
        <w:rPr>
          <w:rFonts w:hint="eastAsia" w:ascii="宋体" w:hAnsi="宋体"/>
          <w:bCs/>
          <w:spacing w:val="-6"/>
          <w:sz w:val="24"/>
          <w:highlight w:val="none"/>
        </w:rPr>
        <w:t>我</w:t>
      </w:r>
      <w:r>
        <w:rPr>
          <w:rFonts w:hint="eastAsia" w:ascii="宋体" w:hAnsi="宋体"/>
          <w:bCs/>
          <w:spacing w:val="-6"/>
          <w:sz w:val="24"/>
          <w:highlight w:val="none"/>
          <w:u w:val="single"/>
        </w:rPr>
        <w:t xml:space="preserve">                </w:t>
      </w:r>
      <w:r>
        <w:rPr>
          <w:rFonts w:ascii="宋体" w:hAnsi="宋体"/>
          <w:bCs/>
          <w:spacing w:val="-6"/>
          <w:sz w:val="24"/>
          <w:highlight w:val="none"/>
          <w:u w:val="single"/>
        </w:rPr>
        <w:t>（姓名）</w:t>
      </w:r>
      <w:r>
        <w:rPr>
          <w:rFonts w:ascii="宋体" w:hAnsi="宋体"/>
          <w:bCs/>
          <w:spacing w:val="-6"/>
          <w:sz w:val="24"/>
          <w:highlight w:val="none"/>
        </w:rPr>
        <w:t>系</w:t>
      </w:r>
      <w:r>
        <w:rPr>
          <w:rFonts w:hint="eastAsia" w:ascii="宋体" w:hAnsi="宋体"/>
          <w:bCs/>
          <w:spacing w:val="-6"/>
          <w:sz w:val="24"/>
          <w:highlight w:val="none"/>
          <w:u w:val="single"/>
        </w:rPr>
        <w:t xml:space="preserve">                   （投标人名称）</w:t>
      </w:r>
      <w:r>
        <w:rPr>
          <w:rFonts w:ascii="宋体" w:hAnsi="宋体"/>
          <w:bCs/>
          <w:spacing w:val="-6"/>
          <w:sz w:val="24"/>
          <w:highlight w:val="none"/>
        </w:rPr>
        <w:t>的企业负责人，身份证</w:t>
      </w:r>
      <w:r>
        <w:rPr>
          <w:rFonts w:hint="eastAsia" w:ascii="宋体" w:hAnsi="宋体"/>
          <w:bCs/>
          <w:spacing w:val="-6"/>
          <w:sz w:val="24"/>
          <w:highlight w:val="none"/>
        </w:rPr>
        <w:t>号码：</w:t>
      </w:r>
      <w:r>
        <w:rPr>
          <w:rFonts w:hint="eastAsia" w:ascii="宋体" w:hAnsi="宋体"/>
          <w:bCs/>
          <w:spacing w:val="-6"/>
          <w:sz w:val="24"/>
          <w:highlight w:val="none"/>
          <w:u w:val="single"/>
        </w:rPr>
        <w:t xml:space="preserve">                                           </w:t>
      </w:r>
      <w:r>
        <w:rPr>
          <w:rFonts w:ascii="宋体" w:hAnsi="宋体"/>
          <w:bCs/>
          <w:spacing w:val="-6"/>
          <w:sz w:val="24"/>
          <w:highlight w:val="none"/>
        </w:rPr>
        <w:t>。</w:t>
      </w:r>
    </w:p>
    <w:p>
      <w:pPr>
        <w:spacing w:line="360" w:lineRule="auto"/>
        <w:ind w:firstLine="456" w:firstLineChars="200"/>
        <w:rPr>
          <w:rFonts w:ascii="宋体" w:hAnsi="宋体"/>
          <w:bCs/>
          <w:spacing w:val="-6"/>
          <w:sz w:val="24"/>
          <w:highlight w:val="none"/>
        </w:rPr>
      </w:pPr>
      <w:r>
        <w:rPr>
          <w:rFonts w:ascii="宋体" w:hAnsi="宋体"/>
          <w:bCs/>
          <w:spacing w:val="-6"/>
          <w:sz w:val="24"/>
          <w:highlight w:val="none"/>
        </w:rPr>
        <w:t>特此证明。</w:t>
      </w:r>
    </w:p>
    <w:p>
      <w:pPr>
        <w:spacing w:line="360" w:lineRule="auto"/>
        <w:rPr>
          <w:rFonts w:ascii="宋体" w:hAnsi="宋体"/>
          <w:bCs/>
          <w:spacing w:val="-6"/>
          <w:sz w:val="24"/>
          <w:highlight w:val="none"/>
        </w:rPr>
      </w:pPr>
    </w:p>
    <w:tbl>
      <w:tblPr>
        <w:tblStyle w:val="24"/>
        <w:tblW w:w="949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9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660" w:hRule="atLeast"/>
        </w:trPr>
        <w:tc>
          <w:tcPr>
            <w:tcW w:w="9498" w:type="dxa"/>
          </w:tcPr>
          <w:p>
            <w:pPr>
              <w:keepNext w:val="0"/>
              <w:keepLines w:val="0"/>
              <w:suppressLineNumbers w:val="0"/>
              <w:spacing w:before="0" w:beforeAutospacing="0" w:after="0" w:afterAutospacing="0" w:line="360" w:lineRule="auto"/>
              <w:ind w:left="0" w:right="0"/>
              <w:rPr>
                <w:rFonts w:hint="default" w:ascii="宋体" w:hAnsi="宋体"/>
                <w:sz w:val="24"/>
                <w:highlight w:val="none"/>
              </w:rPr>
            </w:pPr>
            <w:r>
              <w:rPr>
                <w:rFonts w:hint="eastAsia" w:ascii="新宋体" w:hAnsi="新宋体" w:eastAsia="新宋体"/>
                <w:sz w:val="24"/>
                <w:highlight w:val="none"/>
              </w:rPr>
              <w:t>企业负责人</w:t>
            </w:r>
            <w:r>
              <w:rPr>
                <w:rFonts w:hint="eastAsia" w:ascii="宋体" w:hAnsi="宋体"/>
                <w:sz w:val="24"/>
                <w:highlight w:val="none"/>
              </w:rPr>
              <w:t>身份证：</w:t>
            </w:r>
          </w:p>
          <w:p>
            <w:pPr>
              <w:keepNext w:val="0"/>
              <w:keepLines w:val="0"/>
              <w:suppressLineNumbers w:val="0"/>
              <w:spacing w:before="0" w:beforeAutospacing="0" w:after="0" w:afterAutospacing="0" w:line="360" w:lineRule="auto"/>
              <w:ind w:left="0" w:right="0"/>
              <w:rPr>
                <w:rFonts w:hint="default" w:ascii="宋体" w:hAnsi="宋体"/>
                <w:sz w:val="24"/>
                <w:highlight w:val="none"/>
              </w:rPr>
            </w:pPr>
          </w:p>
          <w:p>
            <w:pPr>
              <w:keepNext w:val="0"/>
              <w:keepLines w:val="0"/>
              <w:suppressLineNumbers w:val="0"/>
              <w:spacing w:before="0" w:beforeAutospacing="0" w:after="0" w:afterAutospacing="0" w:line="360" w:lineRule="auto"/>
              <w:ind w:left="0" w:right="0"/>
              <w:rPr>
                <w:rFonts w:hint="default" w:ascii="宋体" w:hAnsi="宋体"/>
                <w:sz w:val="24"/>
                <w:highlight w:val="none"/>
              </w:rPr>
            </w:pPr>
          </w:p>
          <w:p>
            <w:pPr>
              <w:keepNext w:val="0"/>
              <w:keepLines w:val="0"/>
              <w:suppressLineNumbers w:val="0"/>
              <w:spacing w:before="0" w:beforeAutospacing="0" w:after="0" w:afterAutospacing="0" w:line="360" w:lineRule="auto"/>
              <w:ind w:left="0" w:right="0"/>
              <w:rPr>
                <w:rFonts w:hint="default" w:ascii="宋体" w:hAnsi="宋体"/>
                <w:sz w:val="24"/>
                <w:highlight w:val="none"/>
              </w:rPr>
            </w:pPr>
          </w:p>
          <w:p>
            <w:pPr>
              <w:keepNext w:val="0"/>
              <w:keepLines w:val="0"/>
              <w:suppressLineNumbers w:val="0"/>
              <w:spacing w:before="0" w:beforeAutospacing="0" w:after="0" w:afterAutospacing="0" w:line="360" w:lineRule="auto"/>
              <w:ind w:left="0" w:right="0"/>
              <w:rPr>
                <w:rFonts w:hint="default" w:ascii="宋体" w:hAnsi="宋体"/>
                <w:sz w:val="24"/>
                <w:highlight w:val="none"/>
              </w:rPr>
            </w:pPr>
          </w:p>
          <w:p>
            <w:pPr>
              <w:keepNext w:val="0"/>
              <w:keepLines w:val="0"/>
              <w:suppressLineNumbers w:val="0"/>
              <w:spacing w:before="0" w:beforeAutospacing="0" w:after="0" w:afterAutospacing="0" w:line="360" w:lineRule="auto"/>
              <w:ind w:left="0" w:right="0"/>
              <w:rPr>
                <w:rFonts w:hint="default" w:ascii="宋体" w:hAnsi="宋体"/>
                <w:sz w:val="24"/>
                <w:highlight w:val="none"/>
              </w:rPr>
            </w:pPr>
            <w:r>
              <w:rPr>
                <w:rFonts w:hint="eastAsia" w:ascii="宋体" w:hAnsi="宋体"/>
                <w:sz w:val="24"/>
                <w:highlight w:val="none"/>
              </w:rPr>
              <w:t>扫描件粘贴处</w:t>
            </w:r>
          </w:p>
          <w:p>
            <w:pPr>
              <w:keepNext w:val="0"/>
              <w:keepLines w:val="0"/>
              <w:suppressLineNumbers w:val="0"/>
              <w:spacing w:before="0" w:beforeAutospacing="0" w:after="0" w:afterAutospacing="0" w:line="360" w:lineRule="auto"/>
              <w:ind w:left="0" w:right="0"/>
              <w:rPr>
                <w:rFonts w:hint="default" w:ascii="宋体" w:hAnsi="宋体"/>
                <w:bCs/>
                <w:spacing w:val="-6"/>
                <w:sz w:val="24"/>
                <w:highlight w:val="none"/>
              </w:rPr>
            </w:pPr>
          </w:p>
        </w:tc>
      </w:tr>
    </w:tbl>
    <w:p>
      <w:pPr>
        <w:spacing w:line="360" w:lineRule="auto"/>
        <w:rPr>
          <w:rFonts w:ascii="宋体" w:hAnsi="宋体"/>
          <w:bCs/>
          <w:spacing w:val="-6"/>
          <w:sz w:val="24"/>
          <w:highlight w:val="none"/>
        </w:rPr>
      </w:pPr>
    </w:p>
    <w:p>
      <w:pPr>
        <w:spacing w:line="360" w:lineRule="auto"/>
        <w:rPr>
          <w:rFonts w:ascii="宋体" w:hAnsi="宋体"/>
          <w:b/>
          <w:bCs/>
          <w:spacing w:val="-6"/>
          <w:sz w:val="24"/>
          <w:highlight w:val="none"/>
        </w:rPr>
      </w:pPr>
    </w:p>
    <w:p>
      <w:pPr>
        <w:spacing w:line="360" w:lineRule="auto"/>
        <w:rPr>
          <w:rFonts w:ascii="宋体" w:hAnsi="宋体"/>
          <w:b/>
          <w:bCs/>
          <w:spacing w:val="-6"/>
          <w:sz w:val="24"/>
          <w:highlight w:val="none"/>
        </w:rPr>
      </w:pPr>
    </w:p>
    <w:p>
      <w:pPr>
        <w:spacing w:line="360" w:lineRule="auto"/>
        <w:rPr>
          <w:rFonts w:ascii="宋体" w:hAnsi="宋体"/>
          <w:b/>
          <w:bCs/>
          <w:spacing w:val="-6"/>
          <w:sz w:val="24"/>
          <w:highlight w:val="none"/>
        </w:rPr>
      </w:pPr>
    </w:p>
    <w:p>
      <w:pPr>
        <w:spacing w:line="360" w:lineRule="auto"/>
        <w:rPr>
          <w:rFonts w:ascii="宋体" w:hAnsi="宋体"/>
          <w:b/>
          <w:bCs/>
          <w:spacing w:val="-6"/>
          <w:sz w:val="24"/>
          <w:highlight w:val="none"/>
        </w:rPr>
      </w:pPr>
    </w:p>
    <w:p>
      <w:pPr>
        <w:spacing w:line="360" w:lineRule="auto"/>
        <w:rPr>
          <w:rFonts w:ascii="宋体" w:hAnsi="宋体"/>
          <w:spacing w:val="-6"/>
          <w:sz w:val="24"/>
          <w:highlight w:val="none"/>
        </w:rPr>
      </w:pPr>
      <w:r>
        <w:rPr>
          <w:rFonts w:hint="eastAsia" w:ascii="宋体" w:hAnsi="宋体"/>
          <w:spacing w:val="-6"/>
          <w:sz w:val="24"/>
          <w:highlight w:val="none"/>
        </w:rPr>
        <w:t>投标人名称（盖章）：</w:t>
      </w:r>
    </w:p>
    <w:p>
      <w:pPr>
        <w:spacing w:line="360" w:lineRule="auto"/>
        <w:rPr>
          <w:rFonts w:ascii="宋体" w:hAnsi="宋体"/>
          <w:spacing w:val="-6"/>
          <w:sz w:val="24"/>
          <w:highlight w:val="none"/>
        </w:rPr>
      </w:pPr>
      <w:r>
        <w:rPr>
          <w:rFonts w:hint="eastAsia" w:ascii="宋体" w:hAnsi="宋体"/>
          <w:bCs/>
          <w:spacing w:val="-6"/>
          <w:sz w:val="24"/>
          <w:highlight w:val="none"/>
        </w:rPr>
        <w:t>日期：  年  月  日</w:t>
      </w:r>
    </w:p>
    <w:p>
      <w:pPr>
        <w:snapToGrid w:val="0"/>
        <w:spacing w:line="360" w:lineRule="auto"/>
        <w:jc w:val="center"/>
        <w:outlineLvl w:val="2"/>
        <w:rPr>
          <w:rFonts w:ascii="宋体" w:hAnsi="宋体"/>
          <w:b/>
          <w:spacing w:val="-6"/>
          <w:sz w:val="24"/>
          <w:highlight w:val="none"/>
        </w:rPr>
      </w:pPr>
      <w:r>
        <w:rPr>
          <w:rFonts w:ascii="宋体" w:hAnsi="宋体"/>
          <w:b/>
          <w:spacing w:val="-6"/>
          <w:sz w:val="24"/>
          <w:highlight w:val="none"/>
        </w:rPr>
        <w:br w:type="page"/>
      </w:r>
      <w:r>
        <w:rPr>
          <w:rFonts w:hint="eastAsia" w:ascii="宋体" w:hAnsi="宋体"/>
          <w:b/>
          <w:spacing w:val="-6"/>
          <w:sz w:val="24"/>
          <w:highlight w:val="none"/>
        </w:rPr>
        <w:t>企业负责人授权委托书</w:t>
      </w:r>
    </w:p>
    <w:p>
      <w:pPr>
        <w:spacing w:line="360" w:lineRule="auto"/>
        <w:rPr>
          <w:rFonts w:ascii="宋体" w:hAnsi="宋体"/>
          <w:b/>
          <w:bCs/>
          <w:spacing w:val="-6"/>
          <w:sz w:val="24"/>
          <w:highlight w:val="none"/>
        </w:rPr>
      </w:pPr>
      <w:r>
        <w:rPr>
          <w:rFonts w:hint="eastAsia" w:ascii="宋体" w:hAnsi="宋体"/>
          <w:bCs/>
          <w:spacing w:val="-6"/>
          <w:sz w:val="24"/>
          <w:highlight w:val="none"/>
        </w:rPr>
        <w:t>致：</w:t>
      </w:r>
      <w:r>
        <w:rPr>
          <w:rFonts w:hint="eastAsia" w:ascii="宋体" w:hAnsi="宋体"/>
          <w:bCs/>
          <w:spacing w:val="-6"/>
          <w:sz w:val="24"/>
          <w:highlight w:val="none"/>
          <w:lang w:eastAsia="zh-CN"/>
        </w:rPr>
        <w:t>杭州电子科技大学</w:t>
      </w:r>
      <w:r>
        <w:rPr>
          <w:rFonts w:hint="eastAsia" w:ascii="宋体" w:hAnsi="宋体"/>
          <w:bCs/>
          <w:spacing w:val="-6"/>
          <w:sz w:val="24"/>
          <w:highlight w:val="none"/>
        </w:rPr>
        <w:t>、浙江求是招标代理有限公司</w:t>
      </w:r>
      <w:r>
        <w:rPr>
          <w:rFonts w:hint="eastAsia" w:ascii="宋体" w:hAnsi="宋体"/>
          <w:spacing w:val="-6"/>
          <w:sz w:val="24"/>
          <w:highlight w:val="none"/>
        </w:rPr>
        <w:t>：</w:t>
      </w:r>
    </w:p>
    <w:p>
      <w:pPr>
        <w:spacing w:line="360" w:lineRule="auto"/>
        <w:ind w:firstLine="456" w:firstLineChars="200"/>
        <w:rPr>
          <w:rFonts w:ascii="宋体" w:hAnsi="宋体"/>
          <w:spacing w:val="-6"/>
          <w:sz w:val="24"/>
          <w:highlight w:val="none"/>
        </w:rPr>
      </w:pPr>
      <w:r>
        <w:rPr>
          <w:rFonts w:hint="eastAsia" w:ascii="宋体" w:hAnsi="宋体"/>
          <w:spacing w:val="-6"/>
          <w:sz w:val="24"/>
          <w:highlight w:val="none"/>
        </w:rPr>
        <w:t>我</w:t>
      </w:r>
      <w:r>
        <w:rPr>
          <w:rFonts w:hint="eastAsia" w:ascii="宋体" w:hAnsi="宋体"/>
          <w:spacing w:val="-6"/>
          <w:sz w:val="24"/>
          <w:highlight w:val="none"/>
          <w:u w:val="single"/>
        </w:rPr>
        <w:t xml:space="preserve">         </w:t>
      </w:r>
      <w:r>
        <w:rPr>
          <w:rFonts w:hint="eastAsia" w:ascii="宋体" w:hAnsi="宋体"/>
          <w:spacing w:val="-6"/>
          <w:sz w:val="24"/>
          <w:highlight w:val="none"/>
        </w:rPr>
        <w:t>（姓名）系</w:t>
      </w:r>
      <w:r>
        <w:rPr>
          <w:rFonts w:hint="eastAsia" w:ascii="宋体" w:hAnsi="宋体"/>
          <w:spacing w:val="-6"/>
          <w:sz w:val="24"/>
          <w:highlight w:val="none"/>
          <w:u w:val="single"/>
        </w:rPr>
        <w:t xml:space="preserve">                        </w:t>
      </w:r>
      <w:r>
        <w:rPr>
          <w:rFonts w:hint="eastAsia" w:ascii="宋体" w:hAnsi="宋体"/>
          <w:spacing w:val="-6"/>
          <w:sz w:val="24"/>
          <w:highlight w:val="none"/>
        </w:rPr>
        <w:t xml:space="preserve"> （投标人名称）的企业负责人，现授权委托本单位在职职工：</w:t>
      </w:r>
      <w:r>
        <w:rPr>
          <w:rFonts w:hint="eastAsia" w:ascii="宋体" w:hAnsi="宋体"/>
          <w:spacing w:val="-6"/>
          <w:sz w:val="24"/>
          <w:highlight w:val="none"/>
          <w:u w:val="single"/>
        </w:rPr>
        <w:t xml:space="preserve">        </w:t>
      </w:r>
      <w:r>
        <w:rPr>
          <w:rFonts w:hint="eastAsia" w:ascii="宋体" w:hAnsi="宋体"/>
          <w:spacing w:val="-6"/>
          <w:sz w:val="24"/>
          <w:highlight w:val="none"/>
        </w:rPr>
        <w:t>（姓名），身份证号码：</w:t>
      </w:r>
      <w:r>
        <w:rPr>
          <w:rFonts w:hint="eastAsia" w:ascii="宋体" w:hAnsi="宋体"/>
          <w:spacing w:val="-6"/>
          <w:sz w:val="24"/>
          <w:highlight w:val="none"/>
          <w:u w:val="single"/>
        </w:rPr>
        <w:t xml:space="preserve">                          </w:t>
      </w:r>
      <w:r>
        <w:rPr>
          <w:rFonts w:hint="eastAsia" w:ascii="宋体" w:hAnsi="宋体"/>
          <w:spacing w:val="-6"/>
          <w:sz w:val="24"/>
          <w:highlight w:val="none"/>
        </w:rPr>
        <w:t>以我方的名义参加</w:t>
      </w:r>
      <w:r>
        <w:rPr>
          <w:rFonts w:hint="eastAsia" w:ascii="宋体" w:hAnsi="宋体"/>
          <w:bCs/>
          <w:spacing w:val="-6"/>
          <w:sz w:val="24"/>
          <w:highlight w:val="none"/>
          <w:u w:val="single"/>
          <w:lang w:eastAsia="zh-CN"/>
        </w:rPr>
        <w:t>2023年第二期公款竞争性存放</w:t>
      </w:r>
      <w:r>
        <w:rPr>
          <w:rFonts w:hint="eastAsia" w:ascii="宋体" w:hAnsi="宋体"/>
          <w:bCs/>
          <w:spacing w:val="-6"/>
          <w:sz w:val="24"/>
          <w:highlight w:val="none"/>
        </w:rPr>
        <w:t>项目</w:t>
      </w:r>
      <w:r>
        <w:rPr>
          <w:rFonts w:hint="eastAsia" w:ascii="宋体" w:hAnsi="宋体"/>
          <w:spacing w:val="-6"/>
          <w:sz w:val="24"/>
          <w:highlight w:val="none"/>
        </w:rPr>
        <w:t>的投标活动，并代表我方全权办理针对上述项目的投标、开标、评标、签约等具体事务和签署相关文件。</w:t>
      </w:r>
    </w:p>
    <w:p>
      <w:pPr>
        <w:spacing w:line="360" w:lineRule="auto"/>
        <w:ind w:firstLine="456" w:firstLineChars="200"/>
        <w:rPr>
          <w:rFonts w:ascii="宋体" w:hAnsi="宋体"/>
          <w:spacing w:val="-6"/>
          <w:sz w:val="24"/>
          <w:highlight w:val="none"/>
        </w:rPr>
      </w:pPr>
      <w:r>
        <w:rPr>
          <w:rFonts w:hint="eastAsia" w:ascii="宋体" w:hAnsi="宋体"/>
          <w:spacing w:val="-6"/>
          <w:sz w:val="24"/>
          <w:highlight w:val="none"/>
        </w:rPr>
        <w:t>我方对被授权人的签名负全部责任。</w:t>
      </w:r>
    </w:p>
    <w:p>
      <w:pPr>
        <w:spacing w:line="360" w:lineRule="auto"/>
        <w:ind w:firstLine="456" w:firstLineChars="200"/>
        <w:rPr>
          <w:rFonts w:ascii="宋体" w:hAnsi="宋体"/>
          <w:spacing w:val="-6"/>
          <w:sz w:val="24"/>
          <w:highlight w:val="none"/>
        </w:rPr>
      </w:pPr>
      <w:r>
        <w:rPr>
          <w:rFonts w:hint="eastAsia" w:ascii="宋体" w:hAnsi="宋体"/>
          <w:spacing w:val="-6"/>
          <w:sz w:val="24"/>
          <w:highlight w:val="none"/>
        </w:rPr>
        <w:t>在撤销授权的书面通知以前，本授权书一直有效。被授权人在授权书有效期内签署的所有文件不因授权的撤销而失效。</w:t>
      </w:r>
    </w:p>
    <w:p>
      <w:pPr>
        <w:spacing w:line="360" w:lineRule="auto"/>
        <w:ind w:firstLine="456" w:firstLineChars="200"/>
        <w:rPr>
          <w:rFonts w:ascii="宋体" w:hAnsi="宋体"/>
          <w:spacing w:val="-6"/>
          <w:sz w:val="24"/>
          <w:highlight w:val="none"/>
        </w:rPr>
      </w:pPr>
      <w:r>
        <w:rPr>
          <w:rFonts w:hint="eastAsia" w:ascii="宋体" w:hAnsi="宋体"/>
          <w:spacing w:val="-6"/>
          <w:sz w:val="24"/>
          <w:highlight w:val="none"/>
        </w:rPr>
        <w:t>被授权人无转委托权，特此委托。</w:t>
      </w:r>
    </w:p>
    <w:p>
      <w:pPr>
        <w:spacing w:line="360" w:lineRule="auto"/>
        <w:ind w:firstLine="424" w:firstLineChars="186"/>
        <w:rPr>
          <w:rFonts w:ascii="宋体" w:hAnsi="宋体"/>
          <w:spacing w:val="-6"/>
          <w:sz w:val="24"/>
          <w:highlight w:val="none"/>
        </w:rPr>
      </w:pPr>
    </w:p>
    <w:p>
      <w:pPr>
        <w:spacing w:line="360" w:lineRule="auto"/>
        <w:ind w:firstLine="424" w:firstLineChars="186"/>
        <w:rPr>
          <w:rFonts w:ascii="宋体" w:hAnsi="宋体"/>
          <w:spacing w:val="-6"/>
          <w:sz w:val="24"/>
          <w:highlight w:val="none"/>
          <w:u w:val="single"/>
        </w:rPr>
      </w:pPr>
      <w:r>
        <w:rPr>
          <w:rFonts w:hint="eastAsia" w:ascii="宋体" w:hAnsi="宋体"/>
          <w:spacing w:val="-6"/>
          <w:sz w:val="24"/>
          <w:highlight w:val="none"/>
        </w:rPr>
        <w:t>企业负责人（签字或盖章）：_________________________</w:t>
      </w:r>
    </w:p>
    <w:p>
      <w:pPr>
        <w:spacing w:line="360" w:lineRule="auto"/>
        <w:ind w:firstLine="424" w:firstLineChars="186"/>
        <w:rPr>
          <w:rFonts w:ascii="宋体" w:hAnsi="宋体"/>
          <w:spacing w:val="-6"/>
          <w:sz w:val="24"/>
          <w:highlight w:val="none"/>
        </w:rPr>
      </w:pPr>
    </w:p>
    <w:p>
      <w:pPr>
        <w:spacing w:line="360" w:lineRule="auto"/>
        <w:rPr>
          <w:rFonts w:ascii="宋体" w:hAnsi="宋体"/>
          <w:spacing w:val="-6"/>
          <w:sz w:val="24"/>
          <w:highlight w:val="none"/>
        </w:rPr>
      </w:pPr>
      <w:r>
        <w:rPr>
          <w:rFonts w:hint="eastAsia" w:ascii="宋体" w:hAnsi="宋体"/>
          <w:spacing w:val="-6"/>
          <w:sz w:val="24"/>
          <w:highlight w:val="none"/>
        </w:rPr>
        <w:t>投标人名称（盖章）：</w:t>
      </w:r>
    </w:p>
    <w:p>
      <w:pPr>
        <w:spacing w:line="360" w:lineRule="auto"/>
        <w:rPr>
          <w:rFonts w:ascii="宋体" w:hAnsi="宋体"/>
          <w:bCs/>
          <w:spacing w:val="-6"/>
          <w:sz w:val="24"/>
          <w:highlight w:val="none"/>
        </w:rPr>
      </w:pPr>
      <w:r>
        <w:rPr>
          <w:rFonts w:hint="eastAsia" w:ascii="宋体" w:hAnsi="宋体"/>
          <w:bCs/>
          <w:spacing w:val="-6"/>
          <w:sz w:val="24"/>
          <w:highlight w:val="none"/>
        </w:rPr>
        <w:t>日期：  年  月  日</w:t>
      </w:r>
    </w:p>
    <w:p>
      <w:pPr>
        <w:spacing w:line="360" w:lineRule="auto"/>
        <w:rPr>
          <w:rFonts w:ascii="宋体" w:hAnsi="宋体"/>
          <w:spacing w:val="-6"/>
          <w:sz w:val="24"/>
          <w:highlight w:val="none"/>
        </w:rPr>
      </w:pPr>
    </w:p>
    <w:tbl>
      <w:tblPr>
        <w:tblStyle w:val="24"/>
        <w:tblW w:w="963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426" w:hRule="atLeast"/>
        </w:trPr>
        <w:tc>
          <w:tcPr>
            <w:tcW w:w="9639" w:type="dxa"/>
          </w:tcPr>
          <w:p>
            <w:pPr>
              <w:keepNext w:val="0"/>
              <w:keepLines w:val="0"/>
              <w:suppressLineNumbers w:val="0"/>
              <w:spacing w:before="0" w:beforeAutospacing="0" w:after="0" w:afterAutospacing="0" w:line="360" w:lineRule="auto"/>
              <w:ind w:left="0" w:right="0"/>
              <w:rPr>
                <w:rFonts w:hint="default" w:ascii="宋体" w:hAnsi="宋体"/>
                <w:sz w:val="24"/>
                <w:highlight w:val="none"/>
              </w:rPr>
            </w:pPr>
            <w:r>
              <w:rPr>
                <w:rFonts w:hint="eastAsia" w:ascii="新宋体" w:hAnsi="新宋体" w:eastAsia="新宋体"/>
                <w:sz w:val="24"/>
                <w:highlight w:val="none"/>
              </w:rPr>
              <w:t>授权代表</w:t>
            </w:r>
            <w:r>
              <w:rPr>
                <w:rFonts w:hint="eastAsia" w:ascii="宋体" w:hAnsi="宋体"/>
                <w:sz w:val="24"/>
                <w:highlight w:val="none"/>
              </w:rPr>
              <w:t>身份证：</w:t>
            </w:r>
          </w:p>
          <w:p>
            <w:pPr>
              <w:keepNext w:val="0"/>
              <w:keepLines w:val="0"/>
              <w:suppressLineNumbers w:val="0"/>
              <w:spacing w:before="0" w:beforeAutospacing="0" w:after="0" w:afterAutospacing="0" w:line="360" w:lineRule="auto"/>
              <w:ind w:left="0" w:right="0"/>
              <w:rPr>
                <w:rFonts w:hint="default" w:ascii="宋体" w:hAnsi="宋体"/>
                <w:sz w:val="24"/>
                <w:highlight w:val="none"/>
              </w:rPr>
            </w:pPr>
          </w:p>
          <w:p>
            <w:pPr>
              <w:keepNext w:val="0"/>
              <w:keepLines w:val="0"/>
              <w:suppressLineNumbers w:val="0"/>
              <w:spacing w:before="0" w:beforeAutospacing="0" w:after="0" w:afterAutospacing="0" w:line="360" w:lineRule="auto"/>
              <w:ind w:left="0" w:right="0"/>
              <w:rPr>
                <w:rFonts w:hint="default" w:ascii="宋体" w:hAnsi="宋体"/>
                <w:sz w:val="24"/>
                <w:highlight w:val="none"/>
              </w:rPr>
            </w:pPr>
          </w:p>
          <w:p>
            <w:pPr>
              <w:keepNext w:val="0"/>
              <w:keepLines w:val="0"/>
              <w:suppressLineNumbers w:val="0"/>
              <w:spacing w:before="0" w:beforeAutospacing="0" w:after="0" w:afterAutospacing="0" w:line="360" w:lineRule="auto"/>
              <w:ind w:left="0" w:right="0"/>
              <w:rPr>
                <w:rFonts w:hint="default" w:ascii="宋体" w:hAnsi="宋体"/>
                <w:sz w:val="24"/>
                <w:highlight w:val="none"/>
              </w:rPr>
            </w:pPr>
          </w:p>
          <w:p>
            <w:pPr>
              <w:keepNext w:val="0"/>
              <w:keepLines w:val="0"/>
              <w:suppressLineNumbers w:val="0"/>
              <w:spacing w:before="0" w:beforeAutospacing="0" w:after="0" w:afterAutospacing="0" w:line="360" w:lineRule="auto"/>
              <w:ind w:left="0" w:right="0"/>
              <w:rPr>
                <w:rFonts w:hint="default" w:ascii="宋体" w:hAnsi="宋体"/>
                <w:sz w:val="24"/>
                <w:highlight w:val="none"/>
              </w:rPr>
            </w:pPr>
            <w:r>
              <w:rPr>
                <w:rFonts w:hint="eastAsia" w:ascii="宋体" w:hAnsi="宋体"/>
                <w:sz w:val="24"/>
                <w:highlight w:val="none"/>
              </w:rPr>
              <w:t>扫描件粘贴处</w:t>
            </w:r>
          </w:p>
          <w:p>
            <w:pPr>
              <w:keepNext w:val="0"/>
              <w:keepLines w:val="0"/>
              <w:suppressLineNumbers w:val="0"/>
              <w:spacing w:before="0" w:beforeAutospacing="0" w:after="0" w:afterAutospacing="0" w:line="360" w:lineRule="auto"/>
              <w:ind w:left="0" w:right="0"/>
              <w:rPr>
                <w:rFonts w:hint="default" w:ascii="宋体" w:hAnsi="宋体"/>
                <w:spacing w:val="-6"/>
                <w:sz w:val="24"/>
                <w:highlight w:val="none"/>
              </w:rPr>
            </w:pPr>
          </w:p>
        </w:tc>
      </w:tr>
    </w:tbl>
    <w:p>
      <w:pPr>
        <w:pStyle w:val="12"/>
        <w:spacing w:beforeLines="0" w:afterLines="0" w:line="360" w:lineRule="auto"/>
        <w:rPr>
          <w:rFonts w:hAnsi="宋体"/>
          <w:b/>
          <w:spacing w:val="-6"/>
          <w:highlight w:val="none"/>
        </w:rPr>
      </w:pPr>
    </w:p>
    <w:p>
      <w:pPr>
        <w:pStyle w:val="12"/>
        <w:spacing w:beforeLines="0" w:afterLines="0" w:line="360" w:lineRule="auto"/>
        <w:rPr>
          <w:rFonts w:hAnsi="宋体"/>
          <w:b/>
          <w:spacing w:val="-6"/>
          <w:highlight w:val="none"/>
        </w:rPr>
      </w:pPr>
      <w:r>
        <w:rPr>
          <w:rFonts w:hint="eastAsia" w:hAnsi="宋体"/>
          <w:b/>
          <w:spacing w:val="-6"/>
          <w:highlight w:val="none"/>
        </w:rPr>
        <w:t>说明：</w:t>
      </w:r>
    </w:p>
    <w:p>
      <w:pPr>
        <w:pStyle w:val="12"/>
        <w:spacing w:beforeLines="0" w:afterLines="0" w:line="360" w:lineRule="auto"/>
        <w:rPr>
          <w:rFonts w:hAnsi="宋体"/>
          <w:b/>
          <w:spacing w:val="-6"/>
          <w:highlight w:val="none"/>
        </w:rPr>
      </w:pPr>
      <w:r>
        <w:rPr>
          <w:rFonts w:hint="eastAsia" w:hAnsi="宋体"/>
          <w:b/>
          <w:spacing w:val="-6"/>
          <w:highlight w:val="none"/>
        </w:rPr>
        <w:t>1</w:t>
      </w:r>
      <w:r>
        <w:rPr>
          <w:rFonts w:hAnsi="宋体"/>
          <w:b/>
          <w:spacing w:val="-6"/>
          <w:highlight w:val="none"/>
        </w:rPr>
        <w:t>.</w:t>
      </w:r>
      <w:r>
        <w:rPr>
          <w:rFonts w:hint="eastAsia" w:hAnsi="宋体"/>
          <w:b/>
          <w:spacing w:val="-6"/>
          <w:highlight w:val="none"/>
        </w:rPr>
        <w:t>投标人的企业负责人参加投标，须在投标文件中提供：企业负责人资格证明书；</w:t>
      </w:r>
    </w:p>
    <w:p>
      <w:pPr>
        <w:pStyle w:val="12"/>
        <w:spacing w:beforeLines="0" w:afterLines="0" w:line="360" w:lineRule="auto"/>
        <w:rPr>
          <w:rFonts w:hAnsi="宋体"/>
          <w:b/>
          <w:spacing w:val="-6"/>
          <w:highlight w:val="none"/>
        </w:rPr>
      </w:pPr>
      <w:r>
        <w:rPr>
          <w:rFonts w:hint="eastAsia" w:hAnsi="宋体"/>
          <w:b/>
          <w:spacing w:val="-6"/>
          <w:highlight w:val="none"/>
        </w:rPr>
        <w:t>2</w:t>
      </w:r>
      <w:r>
        <w:rPr>
          <w:rFonts w:hAnsi="宋体"/>
          <w:b/>
          <w:spacing w:val="-6"/>
          <w:highlight w:val="none"/>
        </w:rPr>
        <w:t>.</w:t>
      </w:r>
      <w:r>
        <w:rPr>
          <w:rFonts w:hint="eastAsia" w:hAnsi="宋体"/>
          <w:b/>
          <w:spacing w:val="-6"/>
          <w:highlight w:val="none"/>
        </w:rPr>
        <w:t>投标人的企业负责人委托授权代表参加投标，须在投标文件中提供：企业负责人资格证明书和企业负责人授权委托书。</w:t>
      </w:r>
    </w:p>
    <w:p>
      <w:pPr>
        <w:snapToGrid w:val="0"/>
        <w:spacing w:line="360" w:lineRule="auto"/>
        <w:jc w:val="center"/>
        <w:outlineLvl w:val="2"/>
        <w:rPr>
          <w:rFonts w:ascii="宋体" w:hAnsi="宋体"/>
          <w:b/>
          <w:spacing w:val="-6"/>
          <w:sz w:val="24"/>
          <w:highlight w:val="none"/>
        </w:rPr>
      </w:pPr>
      <w:r>
        <w:rPr>
          <w:rFonts w:ascii="宋体" w:hAnsi="宋体"/>
          <w:b/>
          <w:spacing w:val="-6"/>
          <w:sz w:val="24"/>
          <w:highlight w:val="none"/>
        </w:rPr>
        <w:br w:type="page"/>
      </w:r>
      <w:r>
        <w:rPr>
          <w:rFonts w:hint="eastAsia" w:ascii="宋体" w:hAnsi="宋体"/>
          <w:b/>
          <w:spacing w:val="-6"/>
          <w:sz w:val="24"/>
          <w:highlight w:val="none"/>
        </w:rPr>
        <w:t>投标声明书</w:t>
      </w:r>
    </w:p>
    <w:p>
      <w:pPr>
        <w:spacing w:line="360" w:lineRule="auto"/>
        <w:rPr>
          <w:rFonts w:ascii="宋体" w:hAnsi="宋体"/>
          <w:spacing w:val="-6"/>
          <w:sz w:val="24"/>
          <w:highlight w:val="none"/>
        </w:rPr>
      </w:pPr>
      <w:r>
        <w:rPr>
          <w:rFonts w:hint="eastAsia" w:ascii="宋体" w:hAnsi="宋体"/>
          <w:spacing w:val="-6"/>
          <w:sz w:val="24"/>
          <w:highlight w:val="none"/>
        </w:rPr>
        <w:t>致：浙江求是招标代理有限公司：</w:t>
      </w:r>
    </w:p>
    <w:p>
      <w:pPr>
        <w:spacing w:line="360" w:lineRule="auto"/>
        <w:ind w:firstLine="456" w:firstLineChars="200"/>
        <w:rPr>
          <w:rFonts w:ascii="宋体" w:hAnsi="宋体"/>
          <w:spacing w:val="-6"/>
          <w:sz w:val="24"/>
          <w:highlight w:val="none"/>
        </w:rPr>
      </w:pPr>
      <w:r>
        <w:rPr>
          <w:rFonts w:hint="eastAsia" w:ascii="宋体" w:hAnsi="宋体"/>
          <w:spacing w:val="-6"/>
          <w:sz w:val="24"/>
          <w:highlight w:val="none"/>
        </w:rPr>
        <w:t>（投标人名称）</w:t>
      </w:r>
      <w:r>
        <w:rPr>
          <w:rFonts w:hint="eastAsia" w:ascii="宋体" w:hAnsi="宋体"/>
          <w:spacing w:val="-6"/>
          <w:sz w:val="24"/>
          <w:highlight w:val="none"/>
          <w:u w:val="single"/>
        </w:rPr>
        <w:t xml:space="preserve">                       </w:t>
      </w:r>
      <w:r>
        <w:rPr>
          <w:rFonts w:hint="eastAsia" w:ascii="宋体" w:hAnsi="宋体"/>
          <w:spacing w:val="-6"/>
          <w:sz w:val="24"/>
          <w:highlight w:val="none"/>
        </w:rPr>
        <w:t>系中华人民共和国合法企业，经营地址</w:t>
      </w:r>
      <w:r>
        <w:rPr>
          <w:rFonts w:hint="eastAsia" w:ascii="宋体" w:hAnsi="宋体"/>
          <w:spacing w:val="-6"/>
          <w:sz w:val="24"/>
          <w:highlight w:val="none"/>
          <w:u w:val="single"/>
        </w:rPr>
        <w:t xml:space="preserve">                    </w:t>
      </w:r>
      <w:r>
        <w:rPr>
          <w:rFonts w:hint="eastAsia" w:ascii="宋体" w:hAnsi="宋体"/>
          <w:spacing w:val="-6"/>
          <w:sz w:val="24"/>
          <w:highlight w:val="none"/>
        </w:rPr>
        <w:t>。</w:t>
      </w:r>
    </w:p>
    <w:p>
      <w:pPr>
        <w:spacing w:line="360" w:lineRule="auto"/>
        <w:ind w:firstLine="456" w:firstLineChars="200"/>
        <w:rPr>
          <w:rFonts w:ascii="宋体" w:hAnsi="宋体"/>
          <w:spacing w:val="-6"/>
          <w:sz w:val="24"/>
          <w:highlight w:val="none"/>
        </w:rPr>
      </w:pPr>
      <w:r>
        <w:rPr>
          <w:rFonts w:hint="eastAsia" w:ascii="宋体" w:hAnsi="宋体"/>
          <w:spacing w:val="-6"/>
          <w:sz w:val="24"/>
          <w:highlight w:val="none"/>
        </w:rPr>
        <w:t>我方愿意参加贵方组织的</w:t>
      </w:r>
      <w:r>
        <w:rPr>
          <w:rFonts w:hint="eastAsia" w:ascii="宋体" w:hAnsi="宋体"/>
          <w:spacing w:val="-6"/>
          <w:sz w:val="24"/>
          <w:highlight w:val="none"/>
          <w:lang w:eastAsia="zh-CN"/>
        </w:rPr>
        <w:t>2023年第二期公款竞争性存放</w:t>
      </w:r>
      <w:r>
        <w:rPr>
          <w:rFonts w:hint="eastAsia" w:ascii="宋体" w:hAnsi="宋体"/>
          <w:bCs/>
          <w:spacing w:val="-6"/>
          <w:sz w:val="24"/>
          <w:highlight w:val="none"/>
        </w:rPr>
        <w:t>项目</w:t>
      </w:r>
      <w:r>
        <w:rPr>
          <w:rFonts w:hint="eastAsia" w:ascii="宋体" w:hAnsi="宋体"/>
          <w:spacing w:val="-6"/>
          <w:sz w:val="24"/>
          <w:highlight w:val="none"/>
        </w:rPr>
        <w:t>的投标，为便于贵方公正、择优地确定中标人及其服务，我方就本次投标有关事项郑重声明如下：</w:t>
      </w:r>
    </w:p>
    <w:p>
      <w:pPr>
        <w:spacing w:line="360" w:lineRule="auto"/>
        <w:ind w:firstLine="456" w:firstLineChars="200"/>
        <w:rPr>
          <w:rFonts w:ascii="宋体" w:hAnsi="宋体"/>
          <w:spacing w:val="-6"/>
          <w:sz w:val="24"/>
          <w:highlight w:val="none"/>
        </w:rPr>
      </w:pPr>
      <w:r>
        <w:rPr>
          <w:rFonts w:hint="eastAsia" w:ascii="宋体" w:hAnsi="宋体"/>
          <w:spacing w:val="-6"/>
          <w:sz w:val="24"/>
          <w:highlight w:val="none"/>
        </w:rPr>
        <w:t>1</w:t>
      </w:r>
      <w:r>
        <w:rPr>
          <w:rFonts w:ascii="宋体" w:hAnsi="宋体"/>
          <w:spacing w:val="-6"/>
          <w:sz w:val="24"/>
          <w:highlight w:val="none"/>
        </w:rPr>
        <w:t>.</w:t>
      </w:r>
      <w:r>
        <w:rPr>
          <w:rFonts w:hint="eastAsia" w:ascii="宋体" w:hAnsi="宋体"/>
          <w:spacing w:val="-6"/>
          <w:sz w:val="24"/>
          <w:highlight w:val="none"/>
        </w:rPr>
        <w:t>我方向贵方提交的所有投标文件、资料都是准确的和真实的；</w:t>
      </w:r>
    </w:p>
    <w:p>
      <w:pPr>
        <w:spacing w:line="360" w:lineRule="auto"/>
        <w:ind w:firstLine="456" w:firstLineChars="200"/>
        <w:rPr>
          <w:rFonts w:ascii="宋体" w:hAnsi="宋体"/>
          <w:spacing w:val="-6"/>
          <w:sz w:val="24"/>
          <w:highlight w:val="none"/>
        </w:rPr>
      </w:pPr>
      <w:r>
        <w:rPr>
          <w:rFonts w:hint="eastAsia" w:ascii="宋体" w:hAnsi="宋体"/>
          <w:spacing w:val="-6"/>
          <w:sz w:val="24"/>
          <w:highlight w:val="none"/>
        </w:rPr>
        <w:t>2</w:t>
      </w:r>
      <w:r>
        <w:rPr>
          <w:rFonts w:ascii="宋体" w:hAnsi="宋体"/>
          <w:spacing w:val="-6"/>
          <w:sz w:val="24"/>
          <w:highlight w:val="none"/>
        </w:rPr>
        <w:t>.</w:t>
      </w:r>
      <w:r>
        <w:rPr>
          <w:rFonts w:hint="eastAsia" w:ascii="宋体" w:hAnsi="宋体"/>
          <w:spacing w:val="-6"/>
          <w:sz w:val="24"/>
          <w:highlight w:val="none"/>
        </w:rPr>
        <w:t>我方不是招标人的附属机构；在获知本项目采购信息后，与招标人聘请的为此项目提供咨询服务的公司及其附属机构没有任何联系。</w:t>
      </w:r>
    </w:p>
    <w:p>
      <w:pPr>
        <w:pStyle w:val="2"/>
        <w:spacing w:line="360" w:lineRule="auto"/>
        <w:ind w:firstLine="456" w:firstLineChars="200"/>
        <w:rPr>
          <w:rFonts w:hAnsi="宋体"/>
          <w:spacing w:val="-6"/>
          <w:sz w:val="24"/>
          <w:szCs w:val="24"/>
          <w:highlight w:val="none"/>
        </w:rPr>
      </w:pPr>
      <w:r>
        <w:rPr>
          <w:rFonts w:hAnsi="宋体"/>
          <w:spacing w:val="-6"/>
          <w:sz w:val="24"/>
          <w:szCs w:val="24"/>
          <w:highlight w:val="none"/>
        </w:rPr>
        <w:t>3.以上事项如有虚假或隐瞒，我方愿意承担一切后果和责任。</w:t>
      </w:r>
    </w:p>
    <w:p>
      <w:pPr>
        <w:pStyle w:val="74"/>
        <w:spacing w:line="360" w:lineRule="auto"/>
        <w:rPr>
          <w:rFonts w:ascii="宋体" w:hAnsi="宋体"/>
          <w:spacing w:val="-6"/>
          <w:szCs w:val="24"/>
          <w:highlight w:val="none"/>
        </w:rPr>
      </w:pPr>
    </w:p>
    <w:p>
      <w:pPr>
        <w:pStyle w:val="74"/>
        <w:spacing w:line="360" w:lineRule="auto"/>
        <w:rPr>
          <w:rFonts w:ascii="宋体" w:hAnsi="宋体"/>
          <w:spacing w:val="-6"/>
          <w:szCs w:val="24"/>
          <w:highlight w:val="none"/>
        </w:rPr>
      </w:pPr>
    </w:p>
    <w:p>
      <w:pPr>
        <w:pStyle w:val="74"/>
        <w:spacing w:line="360" w:lineRule="auto"/>
        <w:rPr>
          <w:rFonts w:ascii="宋体" w:hAnsi="宋体"/>
          <w:spacing w:val="-6"/>
          <w:szCs w:val="24"/>
          <w:highlight w:val="none"/>
        </w:rPr>
      </w:pPr>
    </w:p>
    <w:p>
      <w:pPr>
        <w:pStyle w:val="74"/>
        <w:spacing w:line="360" w:lineRule="auto"/>
        <w:rPr>
          <w:rFonts w:ascii="宋体" w:hAnsi="宋体"/>
          <w:spacing w:val="-6"/>
          <w:szCs w:val="24"/>
          <w:highlight w:val="none"/>
        </w:rPr>
      </w:pPr>
    </w:p>
    <w:p>
      <w:pPr>
        <w:pStyle w:val="74"/>
        <w:spacing w:line="360" w:lineRule="auto"/>
        <w:rPr>
          <w:rFonts w:ascii="宋体" w:hAnsi="宋体"/>
          <w:spacing w:val="-6"/>
          <w:szCs w:val="24"/>
          <w:highlight w:val="none"/>
        </w:rPr>
      </w:pPr>
    </w:p>
    <w:p>
      <w:pPr>
        <w:spacing w:line="360" w:lineRule="auto"/>
        <w:rPr>
          <w:rFonts w:ascii="宋体" w:hAnsi="宋体"/>
          <w:spacing w:val="-6"/>
          <w:sz w:val="24"/>
          <w:highlight w:val="none"/>
        </w:rPr>
      </w:pPr>
      <w:r>
        <w:rPr>
          <w:rFonts w:hint="eastAsia" w:ascii="宋体" w:hAnsi="宋体"/>
          <w:spacing w:val="-6"/>
          <w:sz w:val="24"/>
          <w:highlight w:val="none"/>
        </w:rPr>
        <w:t>投标人名称（盖章）：</w:t>
      </w:r>
    </w:p>
    <w:p>
      <w:pPr>
        <w:spacing w:line="360" w:lineRule="auto"/>
        <w:rPr>
          <w:rFonts w:ascii="宋体" w:hAnsi="宋体"/>
          <w:spacing w:val="-6"/>
          <w:sz w:val="24"/>
          <w:highlight w:val="none"/>
        </w:rPr>
      </w:pPr>
      <w:r>
        <w:rPr>
          <w:rFonts w:hint="eastAsia" w:ascii="宋体" w:hAnsi="宋体"/>
          <w:spacing w:val="-6"/>
          <w:sz w:val="24"/>
          <w:highlight w:val="none"/>
        </w:rPr>
        <w:t>投标人代表签字：</w:t>
      </w:r>
    </w:p>
    <w:p>
      <w:pPr>
        <w:spacing w:line="360" w:lineRule="auto"/>
        <w:rPr>
          <w:rFonts w:ascii="宋体" w:hAnsi="宋体"/>
          <w:bCs/>
          <w:spacing w:val="-6"/>
          <w:sz w:val="24"/>
          <w:highlight w:val="none"/>
        </w:rPr>
      </w:pPr>
      <w:r>
        <w:rPr>
          <w:rFonts w:hint="eastAsia" w:ascii="宋体" w:hAnsi="宋体"/>
          <w:bCs/>
          <w:spacing w:val="-6"/>
          <w:sz w:val="24"/>
          <w:highlight w:val="none"/>
        </w:rPr>
        <w:t>日期：  年  月  日</w:t>
      </w:r>
    </w:p>
    <w:p>
      <w:pPr>
        <w:snapToGrid w:val="0"/>
        <w:spacing w:line="360" w:lineRule="auto"/>
        <w:jc w:val="center"/>
        <w:outlineLvl w:val="2"/>
        <w:rPr>
          <w:rFonts w:ascii="宋体" w:hAnsi="宋体"/>
          <w:b/>
          <w:spacing w:val="-6"/>
          <w:sz w:val="24"/>
          <w:highlight w:val="none"/>
        </w:rPr>
      </w:pPr>
      <w:r>
        <w:rPr>
          <w:rFonts w:ascii="宋体" w:hAnsi="宋体"/>
          <w:b/>
          <w:spacing w:val="-6"/>
          <w:sz w:val="24"/>
          <w:highlight w:val="none"/>
        </w:rPr>
        <w:br w:type="page"/>
      </w:r>
      <w:r>
        <w:rPr>
          <w:rFonts w:hint="eastAsia" w:ascii="宋体" w:hAnsi="宋体"/>
          <w:b/>
          <w:spacing w:val="-6"/>
          <w:sz w:val="24"/>
          <w:highlight w:val="none"/>
        </w:rPr>
        <w:t>廉政承诺书</w:t>
      </w:r>
    </w:p>
    <w:p>
      <w:pPr>
        <w:spacing w:line="360" w:lineRule="auto"/>
        <w:rPr>
          <w:rFonts w:ascii="宋体" w:hAnsi="宋体" w:cs="宋体"/>
          <w:sz w:val="24"/>
          <w:highlight w:val="none"/>
        </w:rPr>
      </w:pPr>
      <w:r>
        <w:rPr>
          <w:rFonts w:hint="eastAsia" w:ascii="宋体" w:hAnsi="宋体" w:cs="宋体"/>
          <w:sz w:val="24"/>
          <w:highlight w:val="none"/>
          <w:lang w:eastAsia="zh-CN"/>
        </w:rPr>
        <w:t>杭州电子科技大学</w:t>
      </w:r>
      <w:r>
        <w:rPr>
          <w:rFonts w:hint="eastAsia" w:ascii="宋体" w:hAnsi="宋体" w:cs="宋体"/>
          <w:sz w:val="24"/>
          <w:highlight w:val="none"/>
        </w:rPr>
        <w:t>：</w:t>
      </w:r>
    </w:p>
    <w:p>
      <w:pPr>
        <w:spacing w:line="360" w:lineRule="auto"/>
        <w:ind w:firstLine="420"/>
        <w:rPr>
          <w:rFonts w:ascii="宋体" w:hAnsi="宋体" w:cs="宋体"/>
          <w:sz w:val="24"/>
          <w:highlight w:val="none"/>
        </w:rPr>
      </w:pPr>
      <w:r>
        <w:rPr>
          <w:rFonts w:hint="eastAsia" w:ascii="宋体" w:hAnsi="宋体" w:cs="宋体"/>
          <w:sz w:val="24"/>
          <w:highlight w:val="none"/>
        </w:rPr>
        <w:t>根据《财政部关于进一步加强财政部门和预算单位资金存放管理的指导意见》（财库〔2017〕76号）、《浙江省省级行政事业单位公款竞争性存放管理办法》（浙财预执〔2021〕7号）相关规定，现就本行参加贵单位</w:t>
      </w:r>
      <w:r>
        <w:rPr>
          <w:rFonts w:hint="eastAsia" w:ascii="宋体" w:hAnsi="宋体" w:cs="宋体"/>
          <w:sz w:val="24"/>
          <w:highlight w:val="none"/>
          <w:lang w:eastAsia="zh-CN"/>
        </w:rPr>
        <w:t>2023年第二期公款竞争性存放</w:t>
      </w:r>
      <w:r>
        <w:rPr>
          <w:rFonts w:hint="eastAsia" w:ascii="宋体" w:hAnsi="宋体" w:cs="宋体"/>
          <w:sz w:val="24"/>
          <w:highlight w:val="none"/>
        </w:rPr>
        <w:t>作出如下承诺：</w:t>
      </w:r>
    </w:p>
    <w:p>
      <w:pPr>
        <w:spacing w:line="360" w:lineRule="auto"/>
        <w:ind w:firstLine="420"/>
        <w:rPr>
          <w:rFonts w:ascii="宋体" w:hAnsi="宋体" w:cs="宋体"/>
          <w:sz w:val="24"/>
          <w:highlight w:val="none"/>
        </w:rPr>
      </w:pPr>
      <w:r>
        <w:rPr>
          <w:rFonts w:hint="eastAsia" w:ascii="宋体" w:hAnsi="宋体" w:cs="宋体"/>
          <w:sz w:val="24"/>
          <w:highlight w:val="none"/>
        </w:rPr>
        <w:t>1.不向贵单位负责公款存放管理的领导及相关人员进行利益输送；</w:t>
      </w:r>
    </w:p>
    <w:p>
      <w:pPr>
        <w:spacing w:line="360" w:lineRule="auto"/>
        <w:ind w:firstLine="420"/>
        <w:rPr>
          <w:rFonts w:ascii="宋体" w:hAnsi="宋体" w:cs="宋体"/>
          <w:sz w:val="24"/>
          <w:highlight w:val="none"/>
        </w:rPr>
      </w:pPr>
      <w:r>
        <w:rPr>
          <w:rFonts w:hint="eastAsia" w:ascii="宋体" w:hAnsi="宋体" w:cs="宋体"/>
          <w:sz w:val="24"/>
          <w:highlight w:val="none"/>
        </w:rPr>
        <w:t>2.不将公款存放与贵单位负责公款存放管理的领导及相关人员在本行的配偶、子女及其配偶和其他直接利益相关人员的业绩、收入、晋升等利益挂钩；</w:t>
      </w:r>
    </w:p>
    <w:p>
      <w:pPr>
        <w:spacing w:line="360" w:lineRule="auto"/>
        <w:ind w:firstLine="420"/>
        <w:rPr>
          <w:rFonts w:ascii="宋体" w:hAnsi="宋体" w:cs="宋体"/>
          <w:sz w:val="24"/>
          <w:highlight w:val="none"/>
        </w:rPr>
      </w:pPr>
      <w:r>
        <w:rPr>
          <w:rFonts w:hint="eastAsia" w:ascii="宋体" w:hAnsi="宋体" w:cs="宋体"/>
          <w:sz w:val="24"/>
          <w:highlight w:val="none"/>
        </w:rPr>
        <w:t>3.严格执行利益回避制度，贵单位负责公款竞争性存放相关人员的配偶、子女及其配偶和其他直接利益相关人员为本行工作人员的，不参与公款竞争性存放工作；</w:t>
      </w:r>
    </w:p>
    <w:p>
      <w:pPr>
        <w:spacing w:line="360" w:lineRule="auto"/>
        <w:ind w:firstLine="420"/>
        <w:rPr>
          <w:rFonts w:ascii="宋体" w:hAnsi="宋体" w:cs="宋体"/>
          <w:sz w:val="24"/>
          <w:highlight w:val="none"/>
        </w:rPr>
      </w:pPr>
      <w:r>
        <w:rPr>
          <w:rFonts w:hint="eastAsia" w:ascii="宋体" w:hAnsi="宋体" w:cs="宋体"/>
          <w:sz w:val="24"/>
          <w:highlight w:val="none"/>
        </w:rPr>
        <w:t>4.不发生除上述行为之外的其他任何利益输送行为。</w:t>
      </w:r>
    </w:p>
    <w:p>
      <w:pPr>
        <w:spacing w:line="360" w:lineRule="auto"/>
        <w:ind w:firstLine="420"/>
        <w:rPr>
          <w:rFonts w:ascii="宋体" w:hAnsi="宋体" w:cs="宋体"/>
          <w:sz w:val="24"/>
          <w:highlight w:val="none"/>
        </w:rPr>
      </w:pPr>
      <w:r>
        <w:rPr>
          <w:rFonts w:hint="eastAsia" w:ascii="宋体" w:hAnsi="宋体" w:cs="宋体"/>
          <w:sz w:val="24"/>
          <w:highlight w:val="none"/>
        </w:rPr>
        <w:t>未遵守以上承诺的，本行自愿接受财政部门通报和处理，承担相应的一切后果。</w:t>
      </w:r>
    </w:p>
    <w:p>
      <w:pPr>
        <w:spacing w:line="360" w:lineRule="auto"/>
        <w:ind w:firstLine="420"/>
        <w:rPr>
          <w:rFonts w:ascii="宋体" w:hAnsi="宋体" w:cs="宋体"/>
          <w:sz w:val="24"/>
          <w:highlight w:val="none"/>
        </w:rPr>
      </w:pPr>
    </w:p>
    <w:p>
      <w:pPr>
        <w:spacing w:line="360" w:lineRule="auto"/>
        <w:ind w:firstLine="420"/>
        <w:rPr>
          <w:rFonts w:ascii="宋体" w:hAnsi="宋体" w:cs="宋体"/>
          <w:sz w:val="24"/>
          <w:highlight w:val="none"/>
        </w:rPr>
      </w:pPr>
    </w:p>
    <w:p>
      <w:pPr>
        <w:spacing w:line="360" w:lineRule="auto"/>
        <w:jc w:val="right"/>
        <w:rPr>
          <w:rFonts w:ascii="宋体" w:hAnsi="宋体" w:cs="宋体"/>
          <w:sz w:val="24"/>
          <w:highlight w:val="none"/>
        </w:rPr>
      </w:pPr>
      <w:r>
        <w:rPr>
          <w:rFonts w:hint="eastAsia" w:ascii="宋体" w:hAnsi="宋体" w:cs="宋体"/>
          <w:sz w:val="24"/>
          <w:highlight w:val="none"/>
        </w:rPr>
        <w:t>银行（公章）</w:t>
      </w:r>
    </w:p>
    <w:p>
      <w:pPr>
        <w:spacing w:line="360" w:lineRule="auto"/>
        <w:jc w:val="right"/>
        <w:rPr>
          <w:rFonts w:ascii="宋体" w:hAnsi="宋体"/>
          <w:b/>
          <w:spacing w:val="-6"/>
          <w:sz w:val="24"/>
          <w:highlight w:val="none"/>
        </w:rPr>
      </w:pPr>
      <w:r>
        <w:rPr>
          <w:rFonts w:hint="eastAsia" w:ascii="宋体" w:hAnsi="宋体" w:cs="宋体"/>
          <w:sz w:val="24"/>
          <w:highlight w:val="none"/>
        </w:rPr>
        <w:t xml:space="preserve">   年   月   日</w:t>
      </w:r>
    </w:p>
    <w:p>
      <w:pPr>
        <w:spacing w:line="360" w:lineRule="auto"/>
        <w:jc w:val="center"/>
        <w:outlineLvl w:val="1"/>
        <w:rPr>
          <w:rFonts w:ascii="宋体" w:hAnsi="宋体"/>
          <w:b/>
          <w:spacing w:val="-6"/>
          <w:sz w:val="52"/>
          <w:szCs w:val="52"/>
          <w:highlight w:val="none"/>
        </w:rPr>
      </w:pPr>
      <w:r>
        <w:rPr>
          <w:rFonts w:ascii="宋体" w:hAnsi="宋体"/>
          <w:b/>
          <w:spacing w:val="-6"/>
          <w:sz w:val="24"/>
          <w:highlight w:val="none"/>
        </w:rPr>
        <w:br w:type="page"/>
      </w:r>
    </w:p>
    <w:p>
      <w:pPr>
        <w:snapToGrid w:val="0"/>
        <w:spacing w:line="360" w:lineRule="auto"/>
        <w:jc w:val="center"/>
        <w:outlineLvl w:val="2"/>
        <w:rPr>
          <w:rFonts w:ascii="宋体" w:hAnsi="宋体"/>
          <w:b/>
          <w:spacing w:val="-6"/>
          <w:sz w:val="24"/>
          <w:highlight w:val="none"/>
        </w:rPr>
      </w:pPr>
      <w:r>
        <w:rPr>
          <w:rFonts w:hint="eastAsia" w:ascii="宋体" w:hAnsi="宋体"/>
          <w:b/>
          <w:spacing w:val="-6"/>
          <w:sz w:val="24"/>
          <w:highlight w:val="none"/>
        </w:rPr>
        <w:t>服务</w:t>
      </w:r>
      <w:r>
        <w:rPr>
          <w:rFonts w:ascii="宋体" w:hAnsi="宋体"/>
          <w:b/>
          <w:spacing w:val="-6"/>
          <w:sz w:val="24"/>
          <w:highlight w:val="none"/>
        </w:rPr>
        <w:t>承诺对照表</w:t>
      </w:r>
    </w:p>
    <w:p>
      <w:pPr>
        <w:spacing w:line="360" w:lineRule="auto"/>
        <w:rPr>
          <w:rFonts w:ascii="宋体" w:hAnsi="宋体"/>
          <w:spacing w:val="-6"/>
          <w:sz w:val="24"/>
          <w:highlight w:val="none"/>
        </w:rPr>
      </w:pPr>
    </w:p>
    <w:p>
      <w:pPr>
        <w:spacing w:line="360" w:lineRule="auto"/>
        <w:rPr>
          <w:rFonts w:hint="eastAsia" w:ascii="宋体" w:hAnsi="宋体" w:eastAsia="宋体"/>
          <w:spacing w:val="-6"/>
          <w:sz w:val="24"/>
          <w:highlight w:val="none"/>
          <w:lang w:eastAsia="zh-CN"/>
        </w:rPr>
      </w:pPr>
      <w:r>
        <w:rPr>
          <w:rFonts w:hint="eastAsia" w:ascii="宋体" w:hAnsi="宋体"/>
          <w:spacing w:val="-6"/>
          <w:sz w:val="24"/>
          <w:highlight w:val="none"/>
        </w:rPr>
        <w:t>招 标 人：</w:t>
      </w:r>
      <w:r>
        <w:rPr>
          <w:rFonts w:hint="eastAsia" w:ascii="宋体" w:hAnsi="宋体"/>
          <w:spacing w:val="-6"/>
          <w:sz w:val="24"/>
          <w:highlight w:val="none"/>
          <w:lang w:eastAsia="zh-CN"/>
        </w:rPr>
        <w:t>杭州电子科技大学</w:t>
      </w:r>
    </w:p>
    <w:p>
      <w:pPr>
        <w:spacing w:line="360" w:lineRule="auto"/>
        <w:rPr>
          <w:rFonts w:ascii="宋体" w:hAnsi="宋体"/>
          <w:spacing w:val="-6"/>
          <w:sz w:val="24"/>
          <w:highlight w:val="none"/>
        </w:rPr>
      </w:pPr>
      <w:r>
        <w:rPr>
          <w:rFonts w:hint="eastAsia" w:ascii="宋体" w:hAnsi="宋体"/>
          <w:spacing w:val="-6"/>
          <w:sz w:val="24"/>
          <w:highlight w:val="none"/>
        </w:rPr>
        <w:t>招标项目编号：</w:t>
      </w:r>
      <w:r>
        <w:rPr>
          <w:rFonts w:hint="eastAsia" w:ascii="宋体" w:hAnsi="宋体"/>
          <w:spacing w:val="-6"/>
          <w:sz w:val="24"/>
          <w:highlight w:val="none"/>
          <w:lang w:eastAsia="zh-CN"/>
        </w:rPr>
        <w:t>QSZB-F(F)-B23070(GK)</w:t>
      </w:r>
      <w:r>
        <w:rPr>
          <w:rFonts w:hint="eastAsia" w:ascii="宋体" w:hAnsi="宋体"/>
          <w:spacing w:val="-6"/>
          <w:sz w:val="24"/>
          <w:highlight w:val="none"/>
        </w:rPr>
        <w:t xml:space="preserve"> </w:t>
      </w:r>
    </w:p>
    <w:tbl>
      <w:tblPr>
        <w:tblStyle w:val="24"/>
        <w:tblW w:w="96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01"/>
        <w:gridCol w:w="2551"/>
        <w:gridCol w:w="2552"/>
        <w:gridCol w:w="342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1101" w:type="dxa"/>
            <w:vAlign w:val="center"/>
          </w:tcPr>
          <w:p>
            <w:pPr>
              <w:keepNext w:val="0"/>
              <w:keepLines w:val="0"/>
              <w:suppressLineNumbers w:val="0"/>
              <w:snapToGrid w:val="0"/>
              <w:spacing w:before="0" w:beforeAutospacing="0" w:after="0" w:afterAutospacing="0" w:line="360" w:lineRule="auto"/>
              <w:ind w:left="0" w:right="0"/>
              <w:jc w:val="center"/>
              <w:rPr>
                <w:rFonts w:hint="default" w:ascii="宋体" w:hAnsi="宋体"/>
                <w:b/>
                <w:spacing w:val="-6"/>
                <w:sz w:val="24"/>
                <w:highlight w:val="none"/>
              </w:rPr>
            </w:pPr>
            <w:r>
              <w:rPr>
                <w:rFonts w:hint="eastAsia" w:ascii="宋体" w:hAnsi="宋体"/>
                <w:b/>
                <w:spacing w:val="-6"/>
                <w:sz w:val="24"/>
                <w:highlight w:val="none"/>
              </w:rPr>
              <w:t>项目</w:t>
            </w:r>
          </w:p>
        </w:tc>
        <w:tc>
          <w:tcPr>
            <w:tcW w:w="2551" w:type="dxa"/>
            <w:vAlign w:val="center"/>
          </w:tcPr>
          <w:p>
            <w:pPr>
              <w:keepNext w:val="0"/>
              <w:keepLines w:val="0"/>
              <w:suppressLineNumbers w:val="0"/>
              <w:snapToGrid w:val="0"/>
              <w:spacing w:before="0" w:beforeAutospacing="0" w:after="0" w:afterAutospacing="0" w:line="360" w:lineRule="auto"/>
              <w:ind w:left="0" w:right="0"/>
              <w:jc w:val="center"/>
              <w:rPr>
                <w:rFonts w:hint="default" w:ascii="宋体" w:hAnsi="宋体"/>
                <w:b/>
                <w:spacing w:val="-6"/>
                <w:sz w:val="24"/>
                <w:highlight w:val="none"/>
              </w:rPr>
            </w:pPr>
            <w:r>
              <w:rPr>
                <w:rFonts w:hint="eastAsia" w:ascii="宋体" w:hAnsi="宋体"/>
                <w:b/>
                <w:spacing w:val="-6"/>
                <w:sz w:val="24"/>
                <w:highlight w:val="none"/>
              </w:rPr>
              <w:t>招标</w:t>
            </w:r>
            <w:r>
              <w:rPr>
                <w:rFonts w:hint="default" w:ascii="宋体" w:hAnsi="宋体"/>
                <w:b/>
                <w:spacing w:val="-6"/>
                <w:sz w:val="24"/>
                <w:highlight w:val="none"/>
              </w:rPr>
              <w:t>文件要求</w:t>
            </w:r>
          </w:p>
        </w:tc>
        <w:tc>
          <w:tcPr>
            <w:tcW w:w="2552" w:type="dxa"/>
            <w:vAlign w:val="center"/>
          </w:tcPr>
          <w:p>
            <w:pPr>
              <w:keepNext w:val="0"/>
              <w:keepLines w:val="0"/>
              <w:suppressLineNumbers w:val="0"/>
              <w:snapToGrid w:val="0"/>
              <w:spacing w:before="0" w:beforeAutospacing="0" w:after="0" w:afterAutospacing="0" w:line="360" w:lineRule="auto"/>
              <w:ind w:left="0" w:right="0"/>
              <w:jc w:val="center"/>
              <w:rPr>
                <w:rFonts w:hint="default" w:ascii="宋体" w:hAnsi="宋体"/>
                <w:b/>
                <w:spacing w:val="-6"/>
                <w:sz w:val="24"/>
                <w:highlight w:val="none"/>
              </w:rPr>
            </w:pPr>
            <w:r>
              <w:rPr>
                <w:rFonts w:hint="eastAsia" w:ascii="宋体" w:hAnsi="宋体"/>
                <w:b/>
                <w:spacing w:val="-6"/>
                <w:sz w:val="24"/>
                <w:highlight w:val="none"/>
              </w:rPr>
              <w:t>是否</w:t>
            </w:r>
            <w:r>
              <w:rPr>
                <w:rFonts w:hint="default" w:ascii="宋体" w:hAnsi="宋体"/>
                <w:b/>
                <w:spacing w:val="-6"/>
                <w:sz w:val="24"/>
                <w:highlight w:val="none"/>
              </w:rPr>
              <w:t>响应</w:t>
            </w:r>
          </w:p>
        </w:tc>
        <w:tc>
          <w:tcPr>
            <w:tcW w:w="3424" w:type="dxa"/>
            <w:vAlign w:val="center"/>
          </w:tcPr>
          <w:p>
            <w:pPr>
              <w:keepNext w:val="0"/>
              <w:keepLines w:val="0"/>
              <w:suppressLineNumbers w:val="0"/>
              <w:snapToGrid w:val="0"/>
              <w:spacing w:before="0" w:beforeAutospacing="0" w:after="0" w:afterAutospacing="0" w:line="360" w:lineRule="auto"/>
              <w:ind w:left="0" w:right="0"/>
              <w:jc w:val="center"/>
              <w:rPr>
                <w:rFonts w:hint="default" w:ascii="宋体" w:hAnsi="宋体"/>
                <w:b/>
                <w:spacing w:val="-6"/>
                <w:sz w:val="24"/>
                <w:highlight w:val="none"/>
              </w:rPr>
            </w:pPr>
            <w:r>
              <w:rPr>
                <w:rFonts w:hint="eastAsia" w:ascii="宋体" w:hAnsi="宋体"/>
                <w:b/>
                <w:spacing w:val="-6"/>
                <w:sz w:val="24"/>
                <w:highlight w:val="none"/>
              </w:rPr>
              <w:t>投标人</w:t>
            </w:r>
            <w:r>
              <w:rPr>
                <w:rFonts w:hint="default" w:ascii="宋体" w:hAnsi="宋体"/>
                <w:b/>
                <w:spacing w:val="-6"/>
                <w:sz w:val="24"/>
                <w:highlight w:val="none"/>
              </w:rPr>
              <w:t>的承诺或说明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9628" w:type="dxa"/>
            <w:gridSpan w:val="4"/>
            <w:vAlign w:val="center"/>
          </w:tcPr>
          <w:p>
            <w:pPr>
              <w:keepNext w:val="0"/>
              <w:keepLines w:val="0"/>
              <w:suppressLineNumbers w:val="0"/>
              <w:snapToGrid w:val="0"/>
              <w:spacing w:before="0" w:beforeAutospacing="0" w:after="0" w:afterAutospacing="0" w:line="360" w:lineRule="auto"/>
              <w:ind w:left="0" w:right="0"/>
              <w:rPr>
                <w:rFonts w:hint="default" w:ascii="宋体" w:hAnsi="宋体"/>
                <w:b/>
                <w:spacing w:val="-6"/>
                <w:sz w:val="24"/>
                <w:highlight w:val="none"/>
              </w:rPr>
            </w:pPr>
            <w:r>
              <w:rPr>
                <w:rFonts w:hint="eastAsia" w:ascii="宋体" w:hAnsi="宋体"/>
                <w:b/>
                <w:spacing w:val="-6"/>
                <w:sz w:val="24"/>
                <w:highlight w:val="none"/>
              </w:rPr>
              <w:t>服务</w:t>
            </w:r>
            <w:r>
              <w:rPr>
                <w:rFonts w:hint="default" w:ascii="宋体" w:hAnsi="宋体"/>
                <w:b/>
                <w:spacing w:val="-6"/>
                <w:sz w:val="24"/>
                <w:highlight w:val="none"/>
              </w:rPr>
              <w:t>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1101" w:type="dxa"/>
            <w:vAlign w:val="center"/>
          </w:tcPr>
          <w:p>
            <w:pPr>
              <w:keepNext w:val="0"/>
              <w:keepLines w:val="0"/>
              <w:suppressLineNumbers w:val="0"/>
              <w:spacing w:before="0" w:beforeAutospacing="0" w:after="0" w:afterAutospacing="0" w:line="360" w:lineRule="auto"/>
              <w:ind w:left="0" w:right="0"/>
              <w:jc w:val="center"/>
              <w:rPr>
                <w:rFonts w:hint="default" w:ascii="宋体" w:hAnsi="宋体"/>
                <w:spacing w:val="-6"/>
                <w:sz w:val="24"/>
                <w:highlight w:val="none"/>
              </w:rPr>
            </w:pPr>
            <w:r>
              <w:rPr>
                <w:rFonts w:hint="eastAsia" w:ascii="宋体" w:hAnsi="宋体"/>
                <w:spacing w:val="-6"/>
                <w:sz w:val="24"/>
                <w:highlight w:val="none"/>
              </w:rPr>
              <w:t>（</w:t>
            </w:r>
            <w:r>
              <w:rPr>
                <w:rFonts w:hint="default" w:ascii="宋体" w:hAnsi="宋体"/>
                <w:spacing w:val="-6"/>
                <w:sz w:val="24"/>
                <w:highlight w:val="none"/>
              </w:rPr>
              <w:t>一）</w:t>
            </w:r>
          </w:p>
        </w:tc>
        <w:tc>
          <w:tcPr>
            <w:tcW w:w="2551" w:type="dxa"/>
            <w:vAlign w:val="center"/>
          </w:tcPr>
          <w:p>
            <w:pPr>
              <w:keepNext w:val="0"/>
              <w:keepLines w:val="0"/>
              <w:suppressLineNumbers w:val="0"/>
              <w:snapToGrid w:val="0"/>
              <w:spacing w:before="0" w:beforeAutospacing="0" w:after="0" w:afterAutospacing="0" w:line="360" w:lineRule="auto"/>
              <w:ind w:left="0" w:right="0"/>
              <w:rPr>
                <w:rFonts w:hint="default" w:ascii="宋体" w:hAnsi="宋体"/>
                <w:spacing w:val="-6"/>
                <w:sz w:val="24"/>
                <w:highlight w:val="none"/>
              </w:rPr>
            </w:pPr>
          </w:p>
        </w:tc>
        <w:tc>
          <w:tcPr>
            <w:tcW w:w="2552" w:type="dxa"/>
            <w:vAlign w:val="center"/>
          </w:tcPr>
          <w:p>
            <w:pPr>
              <w:keepNext w:val="0"/>
              <w:keepLines w:val="0"/>
              <w:suppressLineNumbers w:val="0"/>
              <w:snapToGrid w:val="0"/>
              <w:spacing w:before="0" w:beforeAutospacing="0" w:after="0" w:afterAutospacing="0" w:line="360" w:lineRule="auto"/>
              <w:ind w:left="0" w:right="0"/>
              <w:rPr>
                <w:rFonts w:hint="default" w:ascii="宋体" w:hAnsi="宋体"/>
                <w:spacing w:val="-6"/>
                <w:sz w:val="24"/>
                <w:highlight w:val="none"/>
              </w:rPr>
            </w:pPr>
          </w:p>
        </w:tc>
        <w:tc>
          <w:tcPr>
            <w:tcW w:w="3424" w:type="dxa"/>
            <w:vAlign w:val="center"/>
          </w:tcPr>
          <w:p>
            <w:pPr>
              <w:keepNext w:val="0"/>
              <w:keepLines w:val="0"/>
              <w:suppressLineNumbers w:val="0"/>
              <w:snapToGrid w:val="0"/>
              <w:spacing w:before="0" w:beforeAutospacing="0" w:after="0" w:afterAutospacing="0" w:line="360" w:lineRule="auto"/>
              <w:ind w:left="0" w:right="0"/>
              <w:rPr>
                <w:rFonts w:hint="default" w:ascii="宋体" w:hAnsi="宋体"/>
                <w:spacing w:val="-6"/>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1101" w:type="dxa"/>
            <w:vAlign w:val="center"/>
          </w:tcPr>
          <w:p>
            <w:pPr>
              <w:keepNext w:val="0"/>
              <w:keepLines w:val="0"/>
              <w:suppressLineNumbers w:val="0"/>
              <w:spacing w:before="0" w:beforeAutospacing="0" w:after="0" w:afterAutospacing="0" w:line="360" w:lineRule="auto"/>
              <w:ind w:left="0" w:right="0"/>
              <w:jc w:val="center"/>
              <w:rPr>
                <w:rFonts w:hint="default" w:ascii="宋体" w:hAnsi="宋体"/>
                <w:spacing w:val="-6"/>
                <w:sz w:val="24"/>
                <w:highlight w:val="none"/>
              </w:rPr>
            </w:pPr>
            <w:r>
              <w:rPr>
                <w:rFonts w:hint="eastAsia" w:ascii="宋体" w:hAnsi="宋体"/>
                <w:spacing w:val="-6"/>
                <w:sz w:val="24"/>
                <w:highlight w:val="none"/>
              </w:rPr>
              <w:t>（二）</w:t>
            </w:r>
          </w:p>
        </w:tc>
        <w:tc>
          <w:tcPr>
            <w:tcW w:w="2551" w:type="dxa"/>
            <w:vAlign w:val="center"/>
          </w:tcPr>
          <w:p>
            <w:pPr>
              <w:keepNext w:val="0"/>
              <w:keepLines w:val="0"/>
              <w:suppressLineNumbers w:val="0"/>
              <w:snapToGrid w:val="0"/>
              <w:spacing w:before="0" w:beforeAutospacing="0" w:after="0" w:afterAutospacing="0" w:line="360" w:lineRule="auto"/>
              <w:ind w:left="0" w:right="0"/>
              <w:rPr>
                <w:rFonts w:hint="default" w:ascii="宋体" w:hAnsi="宋体"/>
                <w:spacing w:val="-6"/>
                <w:sz w:val="24"/>
                <w:highlight w:val="none"/>
              </w:rPr>
            </w:pPr>
          </w:p>
        </w:tc>
        <w:tc>
          <w:tcPr>
            <w:tcW w:w="2552" w:type="dxa"/>
            <w:vAlign w:val="center"/>
          </w:tcPr>
          <w:p>
            <w:pPr>
              <w:keepNext w:val="0"/>
              <w:keepLines w:val="0"/>
              <w:suppressLineNumbers w:val="0"/>
              <w:snapToGrid w:val="0"/>
              <w:spacing w:before="0" w:beforeAutospacing="0" w:after="0" w:afterAutospacing="0" w:line="360" w:lineRule="auto"/>
              <w:ind w:left="0" w:right="0"/>
              <w:rPr>
                <w:rFonts w:hint="default" w:ascii="宋体" w:hAnsi="宋体"/>
                <w:spacing w:val="-6"/>
                <w:sz w:val="24"/>
                <w:highlight w:val="none"/>
              </w:rPr>
            </w:pPr>
          </w:p>
        </w:tc>
        <w:tc>
          <w:tcPr>
            <w:tcW w:w="3424" w:type="dxa"/>
            <w:vAlign w:val="center"/>
          </w:tcPr>
          <w:p>
            <w:pPr>
              <w:keepNext w:val="0"/>
              <w:keepLines w:val="0"/>
              <w:suppressLineNumbers w:val="0"/>
              <w:snapToGrid w:val="0"/>
              <w:spacing w:before="0" w:beforeAutospacing="0" w:after="0" w:afterAutospacing="0" w:line="360" w:lineRule="auto"/>
              <w:ind w:left="0" w:right="0"/>
              <w:rPr>
                <w:rFonts w:hint="default" w:ascii="宋体" w:hAnsi="宋体"/>
                <w:spacing w:val="-6"/>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1101" w:type="dxa"/>
            <w:vAlign w:val="center"/>
          </w:tcPr>
          <w:p>
            <w:pPr>
              <w:keepNext w:val="0"/>
              <w:keepLines w:val="0"/>
              <w:suppressLineNumbers w:val="0"/>
              <w:spacing w:before="0" w:beforeAutospacing="0" w:after="0" w:afterAutospacing="0" w:line="360" w:lineRule="auto"/>
              <w:ind w:left="0" w:right="0"/>
              <w:jc w:val="center"/>
              <w:rPr>
                <w:rFonts w:hint="default" w:ascii="宋体" w:hAnsi="宋体"/>
                <w:spacing w:val="-6"/>
                <w:sz w:val="24"/>
                <w:highlight w:val="none"/>
              </w:rPr>
            </w:pPr>
            <w:r>
              <w:rPr>
                <w:rFonts w:hint="eastAsia" w:ascii="宋体" w:hAnsi="宋体"/>
                <w:spacing w:val="-6"/>
                <w:sz w:val="24"/>
                <w:highlight w:val="none"/>
              </w:rPr>
              <w:t>（</w:t>
            </w:r>
            <w:r>
              <w:rPr>
                <w:rFonts w:hint="default" w:ascii="宋体" w:hAnsi="宋体"/>
                <w:spacing w:val="-6"/>
                <w:sz w:val="24"/>
                <w:highlight w:val="none"/>
              </w:rPr>
              <w:t>三）</w:t>
            </w:r>
          </w:p>
        </w:tc>
        <w:tc>
          <w:tcPr>
            <w:tcW w:w="2551" w:type="dxa"/>
            <w:vAlign w:val="center"/>
          </w:tcPr>
          <w:p>
            <w:pPr>
              <w:keepNext w:val="0"/>
              <w:keepLines w:val="0"/>
              <w:suppressLineNumbers w:val="0"/>
              <w:snapToGrid w:val="0"/>
              <w:spacing w:before="0" w:beforeAutospacing="0" w:after="0" w:afterAutospacing="0" w:line="360" w:lineRule="auto"/>
              <w:ind w:left="0" w:right="0"/>
              <w:rPr>
                <w:rFonts w:hint="default" w:ascii="宋体" w:hAnsi="宋体"/>
                <w:spacing w:val="-6"/>
                <w:sz w:val="24"/>
                <w:highlight w:val="none"/>
              </w:rPr>
            </w:pPr>
          </w:p>
        </w:tc>
        <w:tc>
          <w:tcPr>
            <w:tcW w:w="2552" w:type="dxa"/>
            <w:vAlign w:val="center"/>
          </w:tcPr>
          <w:p>
            <w:pPr>
              <w:keepNext w:val="0"/>
              <w:keepLines w:val="0"/>
              <w:suppressLineNumbers w:val="0"/>
              <w:snapToGrid w:val="0"/>
              <w:spacing w:before="0" w:beforeAutospacing="0" w:after="0" w:afterAutospacing="0" w:line="360" w:lineRule="auto"/>
              <w:ind w:left="0" w:right="0"/>
              <w:rPr>
                <w:rFonts w:hint="default" w:ascii="宋体" w:hAnsi="宋体"/>
                <w:spacing w:val="-6"/>
                <w:sz w:val="24"/>
                <w:highlight w:val="none"/>
              </w:rPr>
            </w:pPr>
          </w:p>
        </w:tc>
        <w:tc>
          <w:tcPr>
            <w:tcW w:w="3424" w:type="dxa"/>
            <w:vAlign w:val="center"/>
          </w:tcPr>
          <w:p>
            <w:pPr>
              <w:keepNext w:val="0"/>
              <w:keepLines w:val="0"/>
              <w:suppressLineNumbers w:val="0"/>
              <w:snapToGrid w:val="0"/>
              <w:spacing w:before="0" w:beforeAutospacing="0" w:after="0" w:afterAutospacing="0" w:line="360" w:lineRule="auto"/>
              <w:ind w:left="0" w:right="0"/>
              <w:rPr>
                <w:rFonts w:hint="default" w:ascii="宋体" w:hAnsi="宋体"/>
                <w:spacing w:val="-6"/>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1101" w:type="dxa"/>
            <w:vAlign w:val="center"/>
          </w:tcPr>
          <w:p>
            <w:pPr>
              <w:keepNext w:val="0"/>
              <w:keepLines w:val="0"/>
              <w:suppressLineNumbers w:val="0"/>
              <w:spacing w:before="0" w:beforeAutospacing="0" w:after="0" w:afterAutospacing="0" w:line="360" w:lineRule="auto"/>
              <w:ind w:left="0" w:right="0"/>
              <w:jc w:val="center"/>
              <w:rPr>
                <w:rFonts w:hint="default" w:ascii="宋体" w:hAnsi="宋体"/>
                <w:spacing w:val="-6"/>
                <w:sz w:val="24"/>
                <w:highlight w:val="none"/>
              </w:rPr>
            </w:pPr>
            <w:r>
              <w:rPr>
                <w:rFonts w:hint="eastAsia" w:ascii="宋体" w:hAnsi="宋体"/>
                <w:spacing w:val="-6"/>
                <w:sz w:val="24"/>
                <w:highlight w:val="none"/>
              </w:rPr>
              <w:t>（四</w:t>
            </w:r>
            <w:r>
              <w:rPr>
                <w:rFonts w:hint="default" w:ascii="宋体" w:hAnsi="宋体"/>
                <w:spacing w:val="-6"/>
                <w:sz w:val="24"/>
                <w:highlight w:val="none"/>
              </w:rPr>
              <w:t>）</w:t>
            </w:r>
          </w:p>
        </w:tc>
        <w:tc>
          <w:tcPr>
            <w:tcW w:w="2551" w:type="dxa"/>
            <w:vAlign w:val="center"/>
          </w:tcPr>
          <w:p>
            <w:pPr>
              <w:keepNext w:val="0"/>
              <w:keepLines w:val="0"/>
              <w:suppressLineNumbers w:val="0"/>
              <w:snapToGrid w:val="0"/>
              <w:spacing w:before="0" w:beforeAutospacing="0" w:after="0" w:afterAutospacing="0" w:line="360" w:lineRule="auto"/>
              <w:ind w:left="0" w:right="0"/>
              <w:rPr>
                <w:rFonts w:hint="default" w:ascii="宋体" w:hAnsi="宋体"/>
                <w:spacing w:val="-6"/>
                <w:sz w:val="24"/>
                <w:highlight w:val="none"/>
              </w:rPr>
            </w:pPr>
          </w:p>
        </w:tc>
        <w:tc>
          <w:tcPr>
            <w:tcW w:w="2552" w:type="dxa"/>
            <w:vAlign w:val="center"/>
          </w:tcPr>
          <w:p>
            <w:pPr>
              <w:keepNext w:val="0"/>
              <w:keepLines w:val="0"/>
              <w:suppressLineNumbers w:val="0"/>
              <w:snapToGrid w:val="0"/>
              <w:spacing w:before="0" w:beforeAutospacing="0" w:after="0" w:afterAutospacing="0" w:line="360" w:lineRule="auto"/>
              <w:ind w:left="0" w:right="0"/>
              <w:rPr>
                <w:rFonts w:hint="default" w:ascii="宋体" w:hAnsi="宋体"/>
                <w:spacing w:val="-6"/>
                <w:sz w:val="24"/>
                <w:highlight w:val="none"/>
              </w:rPr>
            </w:pPr>
          </w:p>
        </w:tc>
        <w:tc>
          <w:tcPr>
            <w:tcW w:w="3424" w:type="dxa"/>
            <w:vAlign w:val="center"/>
          </w:tcPr>
          <w:p>
            <w:pPr>
              <w:keepNext w:val="0"/>
              <w:keepLines w:val="0"/>
              <w:suppressLineNumbers w:val="0"/>
              <w:snapToGrid w:val="0"/>
              <w:spacing w:before="0" w:beforeAutospacing="0" w:after="0" w:afterAutospacing="0" w:line="360" w:lineRule="auto"/>
              <w:ind w:left="0" w:right="0"/>
              <w:rPr>
                <w:rFonts w:hint="default" w:ascii="宋体" w:hAnsi="宋体"/>
                <w:spacing w:val="-6"/>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1101" w:type="dxa"/>
            <w:vAlign w:val="center"/>
          </w:tcPr>
          <w:p>
            <w:pPr>
              <w:keepNext w:val="0"/>
              <w:keepLines w:val="0"/>
              <w:suppressLineNumbers w:val="0"/>
              <w:spacing w:before="0" w:beforeAutospacing="0" w:after="0" w:afterAutospacing="0" w:line="360" w:lineRule="auto"/>
              <w:ind w:left="0" w:right="0"/>
              <w:jc w:val="center"/>
              <w:rPr>
                <w:rFonts w:hint="default" w:ascii="宋体" w:hAnsi="宋体"/>
                <w:spacing w:val="-6"/>
                <w:sz w:val="24"/>
                <w:highlight w:val="none"/>
              </w:rPr>
            </w:pPr>
            <w:r>
              <w:rPr>
                <w:rFonts w:hint="eastAsia" w:ascii="宋体" w:hAnsi="宋体"/>
                <w:spacing w:val="-6"/>
                <w:sz w:val="24"/>
                <w:highlight w:val="none"/>
              </w:rPr>
              <w:t>（五</w:t>
            </w:r>
            <w:r>
              <w:rPr>
                <w:rFonts w:hint="default" w:ascii="宋体" w:hAnsi="宋体"/>
                <w:spacing w:val="-6"/>
                <w:sz w:val="24"/>
                <w:highlight w:val="none"/>
              </w:rPr>
              <w:t>）</w:t>
            </w:r>
          </w:p>
        </w:tc>
        <w:tc>
          <w:tcPr>
            <w:tcW w:w="2551" w:type="dxa"/>
            <w:vAlign w:val="center"/>
          </w:tcPr>
          <w:p>
            <w:pPr>
              <w:keepNext w:val="0"/>
              <w:keepLines w:val="0"/>
              <w:suppressLineNumbers w:val="0"/>
              <w:snapToGrid w:val="0"/>
              <w:spacing w:before="0" w:beforeAutospacing="0" w:after="0" w:afterAutospacing="0" w:line="360" w:lineRule="auto"/>
              <w:ind w:left="0" w:right="0"/>
              <w:rPr>
                <w:rFonts w:hint="default" w:ascii="宋体" w:hAnsi="宋体"/>
                <w:spacing w:val="-6"/>
                <w:sz w:val="24"/>
                <w:highlight w:val="none"/>
              </w:rPr>
            </w:pPr>
          </w:p>
        </w:tc>
        <w:tc>
          <w:tcPr>
            <w:tcW w:w="2552" w:type="dxa"/>
            <w:vAlign w:val="center"/>
          </w:tcPr>
          <w:p>
            <w:pPr>
              <w:keepNext w:val="0"/>
              <w:keepLines w:val="0"/>
              <w:suppressLineNumbers w:val="0"/>
              <w:snapToGrid w:val="0"/>
              <w:spacing w:before="0" w:beforeAutospacing="0" w:after="0" w:afterAutospacing="0" w:line="360" w:lineRule="auto"/>
              <w:ind w:left="0" w:right="0"/>
              <w:rPr>
                <w:rFonts w:hint="default" w:ascii="宋体" w:hAnsi="宋体"/>
                <w:spacing w:val="-6"/>
                <w:sz w:val="24"/>
                <w:highlight w:val="none"/>
              </w:rPr>
            </w:pPr>
          </w:p>
        </w:tc>
        <w:tc>
          <w:tcPr>
            <w:tcW w:w="3424" w:type="dxa"/>
            <w:vAlign w:val="center"/>
          </w:tcPr>
          <w:p>
            <w:pPr>
              <w:keepNext w:val="0"/>
              <w:keepLines w:val="0"/>
              <w:suppressLineNumbers w:val="0"/>
              <w:snapToGrid w:val="0"/>
              <w:spacing w:before="0" w:beforeAutospacing="0" w:after="0" w:afterAutospacing="0" w:line="360" w:lineRule="auto"/>
              <w:ind w:left="0" w:right="0"/>
              <w:rPr>
                <w:rFonts w:hint="default" w:ascii="宋体" w:hAnsi="宋体"/>
                <w:spacing w:val="-6"/>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1101" w:type="dxa"/>
            <w:vAlign w:val="center"/>
          </w:tcPr>
          <w:p>
            <w:pPr>
              <w:keepNext w:val="0"/>
              <w:keepLines w:val="0"/>
              <w:suppressLineNumbers w:val="0"/>
              <w:spacing w:before="0" w:beforeAutospacing="0" w:after="0" w:afterAutospacing="0" w:line="360" w:lineRule="auto"/>
              <w:ind w:left="0" w:right="0"/>
              <w:jc w:val="center"/>
              <w:rPr>
                <w:rFonts w:hint="default" w:ascii="宋体" w:hAnsi="宋体"/>
                <w:spacing w:val="-6"/>
                <w:sz w:val="24"/>
                <w:highlight w:val="none"/>
              </w:rPr>
            </w:pPr>
            <w:r>
              <w:rPr>
                <w:rFonts w:hint="eastAsia" w:ascii="宋体" w:hAnsi="宋体"/>
                <w:spacing w:val="-6"/>
                <w:sz w:val="24"/>
                <w:highlight w:val="none"/>
              </w:rPr>
              <w:t>（六</w:t>
            </w:r>
            <w:r>
              <w:rPr>
                <w:rFonts w:hint="default" w:ascii="宋体" w:hAnsi="宋体"/>
                <w:spacing w:val="-6"/>
                <w:sz w:val="24"/>
                <w:highlight w:val="none"/>
              </w:rPr>
              <w:t>）</w:t>
            </w:r>
          </w:p>
        </w:tc>
        <w:tc>
          <w:tcPr>
            <w:tcW w:w="2551" w:type="dxa"/>
            <w:vAlign w:val="center"/>
          </w:tcPr>
          <w:p>
            <w:pPr>
              <w:keepNext w:val="0"/>
              <w:keepLines w:val="0"/>
              <w:suppressLineNumbers w:val="0"/>
              <w:snapToGrid w:val="0"/>
              <w:spacing w:before="0" w:beforeAutospacing="0" w:after="0" w:afterAutospacing="0" w:line="360" w:lineRule="auto"/>
              <w:ind w:left="0" w:right="0"/>
              <w:rPr>
                <w:rFonts w:hint="default" w:ascii="宋体" w:hAnsi="宋体"/>
                <w:spacing w:val="-6"/>
                <w:sz w:val="24"/>
                <w:highlight w:val="none"/>
              </w:rPr>
            </w:pPr>
          </w:p>
        </w:tc>
        <w:tc>
          <w:tcPr>
            <w:tcW w:w="2552" w:type="dxa"/>
            <w:vAlign w:val="center"/>
          </w:tcPr>
          <w:p>
            <w:pPr>
              <w:keepNext w:val="0"/>
              <w:keepLines w:val="0"/>
              <w:suppressLineNumbers w:val="0"/>
              <w:snapToGrid w:val="0"/>
              <w:spacing w:before="0" w:beforeAutospacing="0" w:after="0" w:afterAutospacing="0" w:line="360" w:lineRule="auto"/>
              <w:ind w:left="0" w:right="0"/>
              <w:rPr>
                <w:rFonts w:hint="default" w:ascii="宋体" w:hAnsi="宋体"/>
                <w:spacing w:val="-6"/>
                <w:sz w:val="24"/>
                <w:highlight w:val="none"/>
              </w:rPr>
            </w:pPr>
          </w:p>
        </w:tc>
        <w:tc>
          <w:tcPr>
            <w:tcW w:w="3424" w:type="dxa"/>
            <w:vAlign w:val="center"/>
          </w:tcPr>
          <w:p>
            <w:pPr>
              <w:keepNext w:val="0"/>
              <w:keepLines w:val="0"/>
              <w:suppressLineNumbers w:val="0"/>
              <w:snapToGrid w:val="0"/>
              <w:spacing w:before="0" w:beforeAutospacing="0" w:after="0" w:afterAutospacing="0" w:line="360" w:lineRule="auto"/>
              <w:ind w:left="0" w:right="0"/>
              <w:rPr>
                <w:rFonts w:hint="default" w:ascii="宋体" w:hAnsi="宋体"/>
                <w:spacing w:val="-6"/>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1101" w:type="dxa"/>
            <w:vAlign w:val="center"/>
          </w:tcPr>
          <w:p>
            <w:pPr>
              <w:keepNext w:val="0"/>
              <w:keepLines w:val="0"/>
              <w:suppressLineNumbers w:val="0"/>
              <w:spacing w:before="0" w:beforeAutospacing="0" w:after="0" w:afterAutospacing="0" w:line="360" w:lineRule="auto"/>
              <w:ind w:left="0" w:right="0"/>
              <w:jc w:val="center"/>
              <w:rPr>
                <w:rFonts w:hint="default" w:ascii="宋体" w:hAnsi="宋体"/>
                <w:spacing w:val="-6"/>
                <w:sz w:val="24"/>
                <w:highlight w:val="none"/>
              </w:rPr>
            </w:pPr>
            <w:r>
              <w:rPr>
                <w:rFonts w:hint="eastAsia" w:ascii="宋体" w:hAnsi="宋体"/>
                <w:spacing w:val="-6"/>
                <w:sz w:val="24"/>
                <w:highlight w:val="none"/>
              </w:rPr>
              <w:t>（七</w:t>
            </w:r>
            <w:r>
              <w:rPr>
                <w:rFonts w:hint="default" w:ascii="宋体" w:hAnsi="宋体"/>
                <w:spacing w:val="-6"/>
                <w:sz w:val="24"/>
                <w:highlight w:val="none"/>
              </w:rPr>
              <w:t>）</w:t>
            </w:r>
          </w:p>
        </w:tc>
        <w:tc>
          <w:tcPr>
            <w:tcW w:w="2551" w:type="dxa"/>
            <w:vAlign w:val="center"/>
          </w:tcPr>
          <w:p>
            <w:pPr>
              <w:keepNext w:val="0"/>
              <w:keepLines w:val="0"/>
              <w:suppressLineNumbers w:val="0"/>
              <w:snapToGrid w:val="0"/>
              <w:spacing w:before="0" w:beforeAutospacing="0" w:after="0" w:afterAutospacing="0" w:line="360" w:lineRule="auto"/>
              <w:ind w:left="0" w:right="0"/>
              <w:rPr>
                <w:rFonts w:hint="default" w:ascii="宋体" w:hAnsi="宋体"/>
                <w:spacing w:val="-6"/>
                <w:sz w:val="24"/>
                <w:highlight w:val="none"/>
              </w:rPr>
            </w:pPr>
          </w:p>
        </w:tc>
        <w:tc>
          <w:tcPr>
            <w:tcW w:w="2552" w:type="dxa"/>
            <w:vAlign w:val="center"/>
          </w:tcPr>
          <w:p>
            <w:pPr>
              <w:keepNext w:val="0"/>
              <w:keepLines w:val="0"/>
              <w:suppressLineNumbers w:val="0"/>
              <w:snapToGrid w:val="0"/>
              <w:spacing w:before="0" w:beforeAutospacing="0" w:after="0" w:afterAutospacing="0" w:line="360" w:lineRule="auto"/>
              <w:ind w:left="0" w:right="0"/>
              <w:rPr>
                <w:rFonts w:hint="default" w:ascii="宋体" w:hAnsi="宋体"/>
                <w:spacing w:val="-6"/>
                <w:sz w:val="24"/>
                <w:highlight w:val="none"/>
              </w:rPr>
            </w:pPr>
          </w:p>
        </w:tc>
        <w:tc>
          <w:tcPr>
            <w:tcW w:w="3424" w:type="dxa"/>
            <w:vAlign w:val="center"/>
          </w:tcPr>
          <w:p>
            <w:pPr>
              <w:keepNext w:val="0"/>
              <w:keepLines w:val="0"/>
              <w:suppressLineNumbers w:val="0"/>
              <w:snapToGrid w:val="0"/>
              <w:spacing w:before="0" w:beforeAutospacing="0" w:after="0" w:afterAutospacing="0" w:line="360" w:lineRule="auto"/>
              <w:ind w:left="0" w:right="0"/>
              <w:rPr>
                <w:rFonts w:hint="default" w:ascii="宋体" w:hAnsi="宋体"/>
                <w:spacing w:val="-6"/>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1101" w:type="dxa"/>
            <w:vAlign w:val="center"/>
          </w:tcPr>
          <w:p>
            <w:pPr>
              <w:keepNext w:val="0"/>
              <w:keepLines w:val="0"/>
              <w:suppressLineNumbers w:val="0"/>
              <w:spacing w:before="0" w:beforeAutospacing="0" w:after="0" w:afterAutospacing="0" w:line="360" w:lineRule="auto"/>
              <w:ind w:left="0" w:right="0"/>
              <w:jc w:val="center"/>
              <w:rPr>
                <w:rFonts w:hint="default" w:ascii="宋体" w:hAnsi="宋体"/>
                <w:spacing w:val="-6"/>
                <w:sz w:val="24"/>
                <w:highlight w:val="none"/>
              </w:rPr>
            </w:pPr>
            <w:r>
              <w:rPr>
                <w:rFonts w:hint="eastAsia" w:ascii="宋体" w:hAnsi="宋体"/>
                <w:spacing w:val="-6"/>
                <w:sz w:val="24"/>
                <w:highlight w:val="none"/>
              </w:rPr>
              <w:t>（八</w:t>
            </w:r>
            <w:r>
              <w:rPr>
                <w:rFonts w:hint="default" w:ascii="宋体" w:hAnsi="宋体"/>
                <w:spacing w:val="-6"/>
                <w:sz w:val="24"/>
                <w:highlight w:val="none"/>
              </w:rPr>
              <w:t>）</w:t>
            </w:r>
          </w:p>
        </w:tc>
        <w:tc>
          <w:tcPr>
            <w:tcW w:w="2551" w:type="dxa"/>
            <w:vAlign w:val="center"/>
          </w:tcPr>
          <w:p>
            <w:pPr>
              <w:keepNext w:val="0"/>
              <w:keepLines w:val="0"/>
              <w:suppressLineNumbers w:val="0"/>
              <w:snapToGrid w:val="0"/>
              <w:spacing w:before="0" w:beforeAutospacing="0" w:after="0" w:afterAutospacing="0" w:line="360" w:lineRule="auto"/>
              <w:ind w:left="0" w:right="0"/>
              <w:rPr>
                <w:rFonts w:hint="default" w:ascii="宋体" w:hAnsi="宋体"/>
                <w:spacing w:val="-6"/>
                <w:sz w:val="24"/>
                <w:highlight w:val="none"/>
              </w:rPr>
            </w:pPr>
          </w:p>
        </w:tc>
        <w:tc>
          <w:tcPr>
            <w:tcW w:w="2552" w:type="dxa"/>
            <w:vAlign w:val="center"/>
          </w:tcPr>
          <w:p>
            <w:pPr>
              <w:keepNext w:val="0"/>
              <w:keepLines w:val="0"/>
              <w:suppressLineNumbers w:val="0"/>
              <w:snapToGrid w:val="0"/>
              <w:spacing w:before="0" w:beforeAutospacing="0" w:after="0" w:afterAutospacing="0" w:line="360" w:lineRule="auto"/>
              <w:ind w:left="0" w:right="0"/>
              <w:rPr>
                <w:rFonts w:hint="default" w:ascii="宋体" w:hAnsi="宋体"/>
                <w:spacing w:val="-6"/>
                <w:sz w:val="24"/>
                <w:highlight w:val="none"/>
              </w:rPr>
            </w:pPr>
          </w:p>
        </w:tc>
        <w:tc>
          <w:tcPr>
            <w:tcW w:w="3424" w:type="dxa"/>
            <w:vAlign w:val="center"/>
          </w:tcPr>
          <w:p>
            <w:pPr>
              <w:keepNext w:val="0"/>
              <w:keepLines w:val="0"/>
              <w:suppressLineNumbers w:val="0"/>
              <w:snapToGrid w:val="0"/>
              <w:spacing w:before="0" w:beforeAutospacing="0" w:after="0" w:afterAutospacing="0" w:line="360" w:lineRule="auto"/>
              <w:ind w:left="0" w:right="0"/>
              <w:rPr>
                <w:rFonts w:hint="default" w:ascii="宋体" w:hAnsi="宋体"/>
                <w:spacing w:val="-6"/>
                <w:sz w:val="24"/>
                <w:highlight w:val="none"/>
              </w:rPr>
            </w:pPr>
          </w:p>
        </w:tc>
      </w:tr>
    </w:tbl>
    <w:p>
      <w:pPr>
        <w:snapToGrid w:val="0"/>
        <w:spacing w:line="360" w:lineRule="auto"/>
        <w:jc w:val="center"/>
        <w:rPr>
          <w:rFonts w:ascii="宋体" w:hAnsi="宋体"/>
          <w:b/>
          <w:spacing w:val="-6"/>
          <w:sz w:val="24"/>
          <w:highlight w:val="none"/>
        </w:rPr>
      </w:pPr>
    </w:p>
    <w:p>
      <w:pPr>
        <w:spacing w:line="360" w:lineRule="auto"/>
        <w:rPr>
          <w:rFonts w:ascii="宋体" w:hAnsi="宋体"/>
          <w:spacing w:val="-6"/>
          <w:sz w:val="24"/>
          <w:highlight w:val="none"/>
        </w:rPr>
      </w:pPr>
    </w:p>
    <w:p>
      <w:pPr>
        <w:spacing w:line="360" w:lineRule="auto"/>
        <w:rPr>
          <w:rFonts w:ascii="宋体" w:hAnsi="宋体"/>
          <w:spacing w:val="-6"/>
          <w:sz w:val="24"/>
          <w:highlight w:val="none"/>
        </w:rPr>
      </w:pPr>
    </w:p>
    <w:p>
      <w:pPr>
        <w:spacing w:line="360" w:lineRule="auto"/>
        <w:rPr>
          <w:rFonts w:ascii="宋体" w:hAnsi="宋体"/>
          <w:spacing w:val="-6"/>
          <w:sz w:val="24"/>
          <w:highlight w:val="none"/>
        </w:rPr>
      </w:pPr>
      <w:r>
        <w:rPr>
          <w:rFonts w:hint="eastAsia" w:ascii="宋体" w:hAnsi="宋体"/>
          <w:spacing w:val="-6"/>
          <w:sz w:val="24"/>
          <w:highlight w:val="none"/>
        </w:rPr>
        <w:t>投标人名称（盖章）：</w:t>
      </w:r>
    </w:p>
    <w:p>
      <w:pPr>
        <w:spacing w:line="360" w:lineRule="auto"/>
        <w:rPr>
          <w:rFonts w:ascii="宋体" w:hAnsi="宋体"/>
          <w:spacing w:val="-6"/>
          <w:sz w:val="24"/>
          <w:highlight w:val="none"/>
        </w:rPr>
      </w:pPr>
      <w:r>
        <w:rPr>
          <w:rFonts w:hint="eastAsia" w:ascii="宋体" w:hAnsi="宋体"/>
          <w:spacing w:val="-6"/>
          <w:sz w:val="24"/>
          <w:highlight w:val="none"/>
        </w:rPr>
        <w:t>投标人代表签字：</w:t>
      </w:r>
    </w:p>
    <w:p>
      <w:pPr>
        <w:spacing w:line="360" w:lineRule="auto"/>
        <w:rPr>
          <w:rFonts w:ascii="宋体" w:hAnsi="宋体"/>
          <w:bCs/>
          <w:spacing w:val="-6"/>
          <w:sz w:val="24"/>
          <w:highlight w:val="none"/>
        </w:rPr>
      </w:pPr>
      <w:r>
        <w:rPr>
          <w:rFonts w:hint="eastAsia" w:ascii="宋体" w:hAnsi="宋体"/>
          <w:bCs/>
          <w:spacing w:val="-6"/>
          <w:sz w:val="24"/>
          <w:highlight w:val="none"/>
        </w:rPr>
        <w:t>日期：  年  月  日</w:t>
      </w:r>
    </w:p>
    <w:p>
      <w:pPr>
        <w:pStyle w:val="32"/>
        <w:spacing w:line="360" w:lineRule="auto"/>
        <w:rPr>
          <w:rFonts w:ascii="宋体" w:hAnsi="宋体" w:cs="宋体"/>
          <w:b/>
          <w:color w:val="auto"/>
          <w:highlight w:val="none"/>
        </w:rPr>
      </w:pPr>
      <w:r>
        <w:rPr>
          <w:rFonts w:ascii="宋体" w:hAnsi="宋体" w:cs="宋体"/>
          <w:b/>
          <w:color w:val="auto"/>
          <w:highlight w:val="none"/>
        </w:rPr>
        <w:br w:type="page"/>
      </w:r>
    </w:p>
    <w:p>
      <w:pPr>
        <w:snapToGrid w:val="0"/>
        <w:spacing w:line="360" w:lineRule="auto"/>
        <w:jc w:val="center"/>
        <w:rPr>
          <w:rFonts w:ascii="宋体" w:hAnsi="宋体" w:cs="宋体"/>
          <w:b/>
          <w:sz w:val="24"/>
          <w:highlight w:val="none"/>
        </w:rPr>
      </w:pPr>
      <w:r>
        <w:rPr>
          <w:rFonts w:hint="eastAsia" w:ascii="宋体" w:hAnsi="宋体" w:cs="宋体"/>
          <w:b/>
          <w:sz w:val="24"/>
          <w:highlight w:val="none"/>
        </w:rPr>
        <w:t>以下内容根据评分细则、格式自拟</w:t>
      </w:r>
    </w:p>
    <w:p>
      <w:pPr>
        <w:snapToGrid w:val="0"/>
        <w:spacing w:line="360" w:lineRule="auto"/>
        <w:jc w:val="left"/>
        <w:rPr>
          <w:rFonts w:ascii="宋体" w:hAnsi="宋体" w:cs="宋体"/>
          <w:b/>
          <w:sz w:val="24"/>
          <w:highlight w:val="none"/>
        </w:rPr>
      </w:pPr>
    </w:p>
    <w:p>
      <w:pPr>
        <w:snapToGrid w:val="0"/>
        <w:spacing w:line="360" w:lineRule="auto"/>
        <w:jc w:val="left"/>
        <w:rPr>
          <w:rFonts w:hint="eastAsia" w:ascii="宋体" w:hAnsi="宋体" w:cs="宋体"/>
          <w:b/>
          <w:sz w:val="24"/>
          <w:highlight w:val="none"/>
        </w:rPr>
      </w:pPr>
      <w:r>
        <w:rPr>
          <w:rFonts w:hint="eastAsia" w:ascii="宋体" w:hAnsi="宋体" w:cs="宋体"/>
          <w:b/>
          <w:sz w:val="24"/>
          <w:highlight w:val="none"/>
        </w:rPr>
        <w:t>以往金融服务支持情况（需经杭州电子科技大学认定）</w:t>
      </w:r>
    </w:p>
    <w:p>
      <w:pPr>
        <w:snapToGrid w:val="0"/>
        <w:spacing w:line="360" w:lineRule="auto"/>
        <w:jc w:val="left"/>
        <w:rPr>
          <w:rFonts w:hint="eastAsia" w:ascii="宋体" w:hAnsi="宋体" w:cs="宋体"/>
          <w:b/>
          <w:sz w:val="24"/>
          <w:highlight w:val="none"/>
        </w:rPr>
      </w:pPr>
      <w:r>
        <w:rPr>
          <w:rFonts w:hint="eastAsia" w:ascii="宋体" w:hAnsi="宋体" w:cs="宋体"/>
          <w:b/>
          <w:sz w:val="24"/>
          <w:highlight w:val="none"/>
        </w:rPr>
        <w:t>提前用款承诺</w:t>
      </w:r>
    </w:p>
    <w:p>
      <w:pPr>
        <w:snapToGrid w:val="0"/>
        <w:spacing w:line="360" w:lineRule="auto"/>
        <w:jc w:val="left"/>
        <w:rPr>
          <w:rFonts w:ascii="宋体" w:hAnsi="宋体" w:cs="宋体"/>
          <w:b/>
          <w:sz w:val="24"/>
          <w:highlight w:val="none"/>
        </w:rPr>
      </w:pPr>
      <w:r>
        <w:rPr>
          <w:rFonts w:hint="eastAsia" w:ascii="宋体" w:hAnsi="宋体" w:cs="宋体"/>
          <w:b/>
          <w:sz w:val="24"/>
          <w:highlight w:val="none"/>
        </w:rPr>
        <w:t>服务方案及支持学校建设承诺</w:t>
      </w:r>
    </w:p>
    <w:p>
      <w:pPr>
        <w:pStyle w:val="32"/>
        <w:spacing w:line="360" w:lineRule="auto"/>
        <w:rPr>
          <w:rFonts w:ascii="宋体" w:hAnsi="宋体" w:cs="宋体"/>
          <w:b/>
          <w:color w:val="auto"/>
          <w:highlight w:val="none"/>
        </w:rPr>
      </w:pPr>
    </w:p>
    <w:p>
      <w:pPr>
        <w:widowControl/>
        <w:spacing w:line="360" w:lineRule="auto"/>
        <w:jc w:val="left"/>
        <w:rPr>
          <w:rFonts w:ascii="宋体" w:hAnsi="宋体" w:cs="宋体"/>
          <w:b/>
          <w:kern w:val="0"/>
          <w:sz w:val="24"/>
          <w:highlight w:val="none"/>
        </w:rPr>
      </w:pPr>
    </w:p>
    <w:sectPr>
      <w:footerReference r:id="rId5" w:type="default"/>
      <w:pgSz w:w="11906" w:h="16838"/>
      <w:pgMar w:top="1247" w:right="1247" w:bottom="1247" w:left="1247" w:header="1" w:footer="724" w:gutter="0"/>
      <w:pgNumType w:start="1"/>
      <w:cols w:space="720" w:num="1"/>
      <w:docGrid w:linePitch="381"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楷体_GB2312">
    <w:panose1 w:val="02010609030101010101"/>
    <w:charset w:val="86"/>
    <w:family w:val="modern"/>
    <w:pitch w:val="default"/>
    <w:sig w:usb0="00000001" w:usb1="080E0000" w:usb2="00000000" w:usb3="00000000" w:csb0="00040000" w:csb1="00000000"/>
  </w:font>
  <w:font w:name="等线 Light">
    <w:panose1 w:val="02010600030101010101"/>
    <w:charset w:val="86"/>
    <w:family w:val="auto"/>
    <w:pitch w:val="default"/>
    <w:sig w:usb0="A00002BF" w:usb1="38CF7CFA" w:usb2="00000016" w:usb3="00000000" w:csb0="0004000F" w:csb1="00000000"/>
  </w:font>
  <w:font w:name="仿宋_GB2312">
    <w:panose1 w:val="02010609030101010101"/>
    <w:charset w:val="86"/>
    <w:family w:val="modern"/>
    <w:pitch w:val="default"/>
    <w:sig w:usb0="00000001" w:usb1="080E0000" w:usb2="00000000" w:usb3="00000000" w:csb0="00040000" w:csb1="00000000"/>
  </w:font>
  <w:font w:name="Verdana">
    <w:panose1 w:val="020B0604030504040204"/>
    <w:charset w:val="00"/>
    <w:family w:val="swiss"/>
    <w:pitch w:val="default"/>
    <w:sig w:usb0="A00006FF" w:usb1="4000205B" w:usb2="00000010" w:usb3="00000000" w:csb0="2000019F" w:csb1="00000000"/>
  </w:font>
  <w:font w:name="Helvetica Neue Light">
    <w:altName w:val="Courier New"/>
    <w:panose1 w:val="00000000000000000000"/>
    <w:charset w:val="00"/>
    <w:family w:val="auto"/>
    <w:pitch w:val="default"/>
    <w:sig w:usb0="00000000" w:usb1="00000000" w:usb2="00000000" w:usb3="00000000" w:csb0="00000001" w:csb1="00000000"/>
  </w:font>
  <w:font w:name="ヒラギノ角ゴ Pro W3">
    <w:altName w:val="MS Gothic"/>
    <w:panose1 w:val="00000000000000000000"/>
    <w:charset w:val="80"/>
    <w:family w:val="auto"/>
    <w:pitch w:val="default"/>
    <w:sig w:usb0="00000000" w:usb1="00000000" w:usb2="07040001" w:usb3="00000000" w:csb0="00020000" w:csb1="00000000"/>
  </w:font>
  <w:font w:name="Tahoma">
    <w:panose1 w:val="020B0604030504040204"/>
    <w:charset w:val="00"/>
    <w:family w:val="swiss"/>
    <w:pitch w:val="default"/>
    <w:sig w:usb0="E1002EFF" w:usb1="C000605B" w:usb2="00000029" w:usb3="00000000" w:csb0="200101FF" w:csb1="20280000"/>
  </w:font>
  <w:font w:name="Arial Unicode MS">
    <w:altName w:val="Arial"/>
    <w:panose1 w:val="020B0604020202020204"/>
    <w:charset w:val="00"/>
    <w:family w:val="roman"/>
    <w:pitch w:val="default"/>
    <w:sig w:usb0="00000000" w:usb1="00000000" w:usb2="00000000" w:usb3="00000000" w:csb0="00000001" w:csb1="00000000"/>
  </w:font>
  <w:font w:name="楷体">
    <w:panose1 w:val="02010609060101010101"/>
    <w:charset w:val="86"/>
    <w:family w:val="auto"/>
    <w:pitch w:val="default"/>
    <w:sig w:usb0="800002BF" w:usb1="38CF7CFA" w:usb2="00000016" w:usb3="00000000" w:csb0="00040001" w:csb1="00000000"/>
  </w:font>
  <w:font w:name="新宋体">
    <w:panose1 w:val="02010609030101010101"/>
    <w:charset w:val="86"/>
    <w:family w:val="modern"/>
    <w:pitch w:val="default"/>
    <w:sig w:usb0="00000203" w:usb1="288F0000" w:usb2="0000000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left" w:pos="7417"/>
      </w:tabs>
      <w:rPr>
        <w:rFonts w:ascii="宋体" w:hAnsi="宋体"/>
        <w:sz w:val="18"/>
        <w:szCs w:val="1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left" w:pos="7417"/>
      </w:tabs>
      <w:jc w:val="center"/>
      <w:rPr>
        <w:rFonts w:ascii="宋体" w:hAnsi="宋体"/>
        <w:sz w:val="18"/>
        <w:szCs w:val="18"/>
      </w:rPr>
    </w:pPr>
    <w:r>
      <w:rPr>
        <w:rFonts w:ascii="宋体" w:hAnsi="宋体"/>
        <w:sz w:val="18"/>
        <w:szCs w:val="18"/>
      </w:rPr>
      <w:fldChar w:fldCharType="begin"/>
    </w:r>
    <w:r>
      <w:rPr>
        <w:rFonts w:ascii="宋体" w:hAnsi="宋体"/>
        <w:sz w:val="18"/>
        <w:szCs w:val="18"/>
      </w:rPr>
      <w:instrText xml:space="preserve"> PAGE   \* MERGEFORMAT </w:instrText>
    </w:r>
    <w:r>
      <w:rPr>
        <w:rFonts w:ascii="宋体" w:hAnsi="宋体"/>
        <w:sz w:val="18"/>
        <w:szCs w:val="18"/>
      </w:rPr>
      <w:fldChar w:fldCharType="separate"/>
    </w:r>
    <w:r>
      <w:rPr>
        <w:rFonts w:ascii="宋体" w:hAnsi="宋体"/>
        <w:sz w:val="18"/>
        <w:szCs w:val="18"/>
        <w:lang w:val="zh-CN"/>
      </w:rPr>
      <w:t>16</w:t>
    </w:r>
    <w:r>
      <w:rPr>
        <w:rFonts w:ascii="宋体" w:hAnsi="宋体"/>
        <w:sz w:val="18"/>
        <w:szCs w:val="18"/>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pPr>
    <w:r>
      <w:drawing>
        <wp:inline distT="0" distB="0" distL="0" distR="0">
          <wp:extent cx="5905500" cy="676275"/>
          <wp:effectExtent l="19050" t="0" r="0" b="0"/>
          <wp:docPr id="2" name="图片 2" descr="E:\文件制作\页眉6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E:\文件制作\页眉620.jpg"/>
                  <pic:cNvPicPr>
                    <a:picLocks noChangeAspect="1" noChangeArrowheads="1"/>
                  </pic:cNvPicPr>
                </pic:nvPicPr>
                <pic:blipFill>
                  <a:blip r:embed="rId1"/>
                  <a:srcRect/>
                  <a:stretch>
                    <a:fillRect/>
                  </a:stretch>
                </pic:blipFill>
                <pic:spPr>
                  <a:xfrm>
                    <a:off x="0" y="0"/>
                    <a:ext cx="5905500" cy="676275"/>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5"/>
    <w:multiLevelType w:val="multilevel"/>
    <w:tmpl w:val="00000005"/>
    <w:lvl w:ilvl="0" w:tentative="0">
      <w:start w:val="1"/>
      <w:numFmt w:val="decimal"/>
      <w:pStyle w:val="5"/>
      <w:lvlText w:val="%1、"/>
      <w:lvlJc w:val="left"/>
      <w:pPr>
        <w:tabs>
          <w:tab w:val="left" w:pos="720"/>
        </w:tabs>
        <w:ind w:left="720" w:hanging="7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
    <w:nsid w:val="0000000B"/>
    <w:multiLevelType w:val="multilevel"/>
    <w:tmpl w:val="0000000B"/>
    <w:lvl w:ilvl="0" w:tentative="0">
      <w:start w:val="1"/>
      <w:numFmt w:val="japaneseCounting"/>
      <w:lvlText w:val="第%1章"/>
      <w:lvlJc w:val="left"/>
      <w:pPr>
        <w:tabs>
          <w:tab w:val="left" w:pos="1440"/>
        </w:tabs>
        <w:ind w:left="1440" w:hanging="1275"/>
      </w:pPr>
    </w:lvl>
    <w:lvl w:ilvl="1" w:tentative="0">
      <w:start w:val="1"/>
      <w:numFmt w:val="japaneseCounting"/>
      <w:lvlText w:val="%2、"/>
      <w:lvlJc w:val="left"/>
      <w:pPr>
        <w:tabs>
          <w:tab w:val="left" w:pos="1305"/>
        </w:tabs>
        <w:ind w:left="1305" w:hanging="72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2">
    <w:nsid w:val="5680D39D"/>
    <w:multiLevelType w:val="singleLevel"/>
    <w:tmpl w:val="5680D39D"/>
    <w:lvl w:ilvl="0" w:tentative="0">
      <w:start w:val="1"/>
      <w:numFmt w:val="chineseCounting"/>
      <w:suff w:val="nothing"/>
      <w:lvlText w:val="%1、"/>
      <w:lvlJc w:val="left"/>
    </w:lvl>
  </w:abstractNum>
  <w:num w:numId="1">
    <w:abstractNumId w:val="0"/>
  </w:num>
  <w:num w:numId="2">
    <w:abstractNumId w:val="1"/>
    <w:lvlOverride w:ilvl="0">
      <w:startOverride w:val="1"/>
    </w:lvlOverride>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130"/>
  <w:bordersDoNotSurroundHeader w:val="0"/>
  <w:bordersDoNotSurroundFooter w:val="0"/>
  <w:documentProtection w:enforcement="0"/>
  <w:defaultTabStop w:val="420"/>
  <w:drawingGridHorizontalSpacing w:val="14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GE3Y2I3OTRlNTA1NjUwZGY1NGI3NTM4NWZhMGI4N2IifQ=="/>
  </w:docVars>
  <w:rsids>
    <w:rsidRoot w:val="00172A27"/>
    <w:rsid w:val="00003BD7"/>
    <w:rsid w:val="0000407F"/>
    <w:rsid w:val="00004BC1"/>
    <w:rsid w:val="000055AA"/>
    <w:rsid w:val="00006479"/>
    <w:rsid w:val="00010B5C"/>
    <w:rsid w:val="000114CE"/>
    <w:rsid w:val="00012EBC"/>
    <w:rsid w:val="00012FC3"/>
    <w:rsid w:val="0001334A"/>
    <w:rsid w:val="00013F01"/>
    <w:rsid w:val="00014602"/>
    <w:rsid w:val="0001520A"/>
    <w:rsid w:val="00015891"/>
    <w:rsid w:val="000169F9"/>
    <w:rsid w:val="00017BEE"/>
    <w:rsid w:val="00020801"/>
    <w:rsid w:val="00020818"/>
    <w:rsid w:val="00020AA9"/>
    <w:rsid w:val="00020F9E"/>
    <w:rsid w:val="00021B6A"/>
    <w:rsid w:val="00021D4E"/>
    <w:rsid w:val="00021DFD"/>
    <w:rsid w:val="000224A1"/>
    <w:rsid w:val="00022F14"/>
    <w:rsid w:val="00023178"/>
    <w:rsid w:val="00024130"/>
    <w:rsid w:val="00024666"/>
    <w:rsid w:val="0002534F"/>
    <w:rsid w:val="00025E6A"/>
    <w:rsid w:val="00026877"/>
    <w:rsid w:val="000276C1"/>
    <w:rsid w:val="00027A21"/>
    <w:rsid w:val="00027A3C"/>
    <w:rsid w:val="00030DB5"/>
    <w:rsid w:val="00030E81"/>
    <w:rsid w:val="000310FE"/>
    <w:rsid w:val="00031E2B"/>
    <w:rsid w:val="00032280"/>
    <w:rsid w:val="000325E1"/>
    <w:rsid w:val="00033E2F"/>
    <w:rsid w:val="00034177"/>
    <w:rsid w:val="00034B6F"/>
    <w:rsid w:val="000354BF"/>
    <w:rsid w:val="00035A6C"/>
    <w:rsid w:val="00036905"/>
    <w:rsid w:val="00036972"/>
    <w:rsid w:val="00036996"/>
    <w:rsid w:val="0003700E"/>
    <w:rsid w:val="0003797E"/>
    <w:rsid w:val="00037D61"/>
    <w:rsid w:val="00040041"/>
    <w:rsid w:val="000410B9"/>
    <w:rsid w:val="00041D0F"/>
    <w:rsid w:val="00043E78"/>
    <w:rsid w:val="00045713"/>
    <w:rsid w:val="000459B5"/>
    <w:rsid w:val="00045C96"/>
    <w:rsid w:val="00045EE2"/>
    <w:rsid w:val="00047222"/>
    <w:rsid w:val="00047DF2"/>
    <w:rsid w:val="000504A2"/>
    <w:rsid w:val="00050798"/>
    <w:rsid w:val="00051097"/>
    <w:rsid w:val="0005142F"/>
    <w:rsid w:val="0005166C"/>
    <w:rsid w:val="00051736"/>
    <w:rsid w:val="00052C43"/>
    <w:rsid w:val="00053647"/>
    <w:rsid w:val="00053AD2"/>
    <w:rsid w:val="00054211"/>
    <w:rsid w:val="00054601"/>
    <w:rsid w:val="00055269"/>
    <w:rsid w:val="00055762"/>
    <w:rsid w:val="000558AF"/>
    <w:rsid w:val="0005629D"/>
    <w:rsid w:val="00056A91"/>
    <w:rsid w:val="00056E35"/>
    <w:rsid w:val="000572E5"/>
    <w:rsid w:val="000574BB"/>
    <w:rsid w:val="000575CA"/>
    <w:rsid w:val="00057B3C"/>
    <w:rsid w:val="00057C6A"/>
    <w:rsid w:val="0006044C"/>
    <w:rsid w:val="00060962"/>
    <w:rsid w:val="00061877"/>
    <w:rsid w:val="00061D3E"/>
    <w:rsid w:val="0006212B"/>
    <w:rsid w:val="00062A65"/>
    <w:rsid w:val="00062C77"/>
    <w:rsid w:val="00064453"/>
    <w:rsid w:val="00064853"/>
    <w:rsid w:val="00064F1A"/>
    <w:rsid w:val="00065066"/>
    <w:rsid w:val="00065362"/>
    <w:rsid w:val="00065984"/>
    <w:rsid w:val="00065AD7"/>
    <w:rsid w:val="00066072"/>
    <w:rsid w:val="000670D3"/>
    <w:rsid w:val="0006777C"/>
    <w:rsid w:val="0006785D"/>
    <w:rsid w:val="00067B67"/>
    <w:rsid w:val="000710BF"/>
    <w:rsid w:val="00071135"/>
    <w:rsid w:val="00071C2A"/>
    <w:rsid w:val="00072425"/>
    <w:rsid w:val="00072746"/>
    <w:rsid w:val="000728B5"/>
    <w:rsid w:val="00073FF7"/>
    <w:rsid w:val="00074378"/>
    <w:rsid w:val="00074D7B"/>
    <w:rsid w:val="00076570"/>
    <w:rsid w:val="00077067"/>
    <w:rsid w:val="0007776E"/>
    <w:rsid w:val="000804A7"/>
    <w:rsid w:val="00080A03"/>
    <w:rsid w:val="00080B30"/>
    <w:rsid w:val="00083EE5"/>
    <w:rsid w:val="00084D5F"/>
    <w:rsid w:val="00085889"/>
    <w:rsid w:val="00085EC0"/>
    <w:rsid w:val="0008603E"/>
    <w:rsid w:val="00087D31"/>
    <w:rsid w:val="00087FF2"/>
    <w:rsid w:val="00090ABA"/>
    <w:rsid w:val="00091CC8"/>
    <w:rsid w:val="00092C46"/>
    <w:rsid w:val="00092E35"/>
    <w:rsid w:val="00093340"/>
    <w:rsid w:val="00093988"/>
    <w:rsid w:val="000941F1"/>
    <w:rsid w:val="00094C73"/>
    <w:rsid w:val="000957CD"/>
    <w:rsid w:val="00096127"/>
    <w:rsid w:val="000965C7"/>
    <w:rsid w:val="0009732C"/>
    <w:rsid w:val="000A1473"/>
    <w:rsid w:val="000A2610"/>
    <w:rsid w:val="000A2678"/>
    <w:rsid w:val="000A29BE"/>
    <w:rsid w:val="000A3119"/>
    <w:rsid w:val="000A35E1"/>
    <w:rsid w:val="000A3A5F"/>
    <w:rsid w:val="000A4CE6"/>
    <w:rsid w:val="000A4D7E"/>
    <w:rsid w:val="000A79FF"/>
    <w:rsid w:val="000A7CFC"/>
    <w:rsid w:val="000B1842"/>
    <w:rsid w:val="000B2628"/>
    <w:rsid w:val="000B34D6"/>
    <w:rsid w:val="000B3E1B"/>
    <w:rsid w:val="000B40E6"/>
    <w:rsid w:val="000B504A"/>
    <w:rsid w:val="000B55D0"/>
    <w:rsid w:val="000B575E"/>
    <w:rsid w:val="000B5C73"/>
    <w:rsid w:val="000B6848"/>
    <w:rsid w:val="000B6C54"/>
    <w:rsid w:val="000B723F"/>
    <w:rsid w:val="000B75B1"/>
    <w:rsid w:val="000B7688"/>
    <w:rsid w:val="000B78AE"/>
    <w:rsid w:val="000C3357"/>
    <w:rsid w:val="000C3741"/>
    <w:rsid w:val="000C37FE"/>
    <w:rsid w:val="000C3AB9"/>
    <w:rsid w:val="000C3BAF"/>
    <w:rsid w:val="000C460F"/>
    <w:rsid w:val="000C47A9"/>
    <w:rsid w:val="000C4883"/>
    <w:rsid w:val="000C5831"/>
    <w:rsid w:val="000C587D"/>
    <w:rsid w:val="000C5C75"/>
    <w:rsid w:val="000C60CB"/>
    <w:rsid w:val="000C6718"/>
    <w:rsid w:val="000C741E"/>
    <w:rsid w:val="000D03C9"/>
    <w:rsid w:val="000D1903"/>
    <w:rsid w:val="000D25B1"/>
    <w:rsid w:val="000D499E"/>
    <w:rsid w:val="000D4C7F"/>
    <w:rsid w:val="000D4F7D"/>
    <w:rsid w:val="000D519D"/>
    <w:rsid w:val="000D6676"/>
    <w:rsid w:val="000D6C0F"/>
    <w:rsid w:val="000D7D05"/>
    <w:rsid w:val="000E01C6"/>
    <w:rsid w:val="000E0616"/>
    <w:rsid w:val="000E0978"/>
    <w:rsid w:val="000E1432"/>
    <w:rsid w:val="000E1629"/>
    <w:rsid w:val="000E1BE1"/>
    <w:rsid w:val="000E1EE9"/>
    <w:rsid w:val="000E1F26"/>
    <w:rsid w:val="000E25FD"/>
    <w:rsid w:val="000E29C9"/>
    <w:rsid w:val="000E3A24"/>
    <w:rsid w:val="000E6588"/>
    <w:rsid w:val="000E7DBB"/>
    <w:rsid w:val="000F09AF"/>
    <w:rsid w:val="000F0D64"/>
    <w:rsid w:val="000F14E4"/>
    <w:rsid w:val="000F1F26"/>
    <w:rsid w:val="000F2AAD"/>
    <w:rsid w:val="000F30F5"/>
    <w:rsid w:val="000F31CF"/>
    <w:rsid w:val="000F3B05"/>
    <w:rsid w:val="000F47CE"/>
    <w:rsid w:val="000F4B22"/>
    <w:rsid w:val="000F55B7"/>
    <w:rsid w:val="000F5BBD"/>
    <w:rsid w:val="000F5CF1"/>
    <w:rsid w:val="000F5D40"/>
    <w:rsid w:val="000F665A"/>
    <w:rsid w:val="000F7174"/>
    <w:rsid w:val="000F7941"/>
    <w:rsid w:val="000F7E59"/>
    <w:rsid w:val="001003F0"/>
    <w:rsid w:val="0010098C"/>
    <w:rsid w:val="00100E4C"/>
    <w:rsid w:val="00101341"/>
    <w:rsid w:val="00102403"/>
    <w:rsid w:val="00102D01"/>
    <w:rsid w:val="00105F12"/>
    <w:rsid w:val="00105FC5"/>
    <w:rsid w:val="001070C4"/>
    <w:rsid w:val="001078DB"/>
    <w:rsid w:val="00107A62"/>
    <w:rsid w:val="00110547"/>
    <w:rsid w:val="001107C6"/>
    <w:rsid w:val="00110AE7"/>
    <w:rsid w:val="00111B51"/>
    <w:rsid w:val="00112E64"/>
    <w:rsid w:val="001143D2"/>
    <w:rsid w:val="001144F7"/>
    <w:rsid w:val="00116AC0"/>
    <w:rsid w:val="00117084"/>
    <w:rsid w:val="00117CA4"/>
    <w:rsid w:val="0012048B"/>
    <w:rsid w:val="00120BDC"/>
    <w:rsid w:val="00121040"/>
    <w:rsid w:val="00123983"/>
    <w:rsid w:val="00123C1D"/>
    <w:rsid w:val="00124512"/>
    <w:rsid w:val="0012489C"/>
    <w:rsid w:val="00124DE1"/>
    <w:rsid w:val="00125768"/>
    <w:rsid w:val="00126439"/>
    <w:rsid w:val="001266CC"/>
    <w:rsid w:val="00126C29"/>
    <w:rsid w:val="00130CAF"/>
    <w:rsid w:val="00130ED6"/>
    <w:rsid w:val="00132A2E"/>
    <w:rsid w:val="001330A8"/>
    <w:rsid w:val="00135280"/>
    <w:rsid w:val="00136919"/>
    <w:rsid w:val="00136ED4"/>
    <w:rsid w:val="0013796A"/>
    <w:rsid w:val="00140466"/>
    <w:rsid w:val="00141D0D"/>
    <w:rsid w:val="00142B06"/>
    <w:rsid w:val="0014310B"/>
    <w:rsid w:val="00143148"/>
    <w:rsid w:val="0014555E"/>
    <w:rsid w:val="00145780"/>
    <w:rsid w:val="00145989"/>
    <w:rsid w:val="00146327"/>
    <w:rsid w:val="00146F02"/>
    <w:rsid w:val="00146F2C"/>
    <w:rsid w:val="001475CB"/>
    <w:rsid w:val="001502BC"/>
    <w:rsid w:val="00150D1E"/>
    <w:rsid w:val="00150D46"/>
    <w:rsid w:val="00150EE4"/>
    <w:rsid w:val="00151152"/>
    <w:rsid w:val="00152D27"/>
    <w:rsid w:val="00153628"/>
    <w:rsid w:val="001540BA"/>
    <w:rsid w:val="00155540"/>
    <w:rsid w:val="00155AFA"/>
    <w:rsid w:val="001566F2"/>
    <w:rsid w:val="00157BA2"/>
    <w:rsid w:val="00160B84"/>
    <w:rsid w:val="00161017"/>
    <w:rsid w:val="001613DD"/>
    <w:rsid w:val="00163EB2"/>
    <w:rsid w:val="00164AA0"/>
    <w:rsid w:val="00164DDA"/>
    <w:rsid w:val="001656CC"/>
    <w:rsid w:val="001662B7"/>
    <w:rsid w:val="001663C7"/>
    <w:rsid w:val="00166D5B"/>
    <w:rsid w:val="0016712C"/>
    <w:rsid w:val="00167CCA"/>
    <w:rsid w:val="00170101"/>
    <w:rsid w:val="0017021A"/>
    <w:rsid w:val="00170703"/>
    <w:rsid w:val="00170DDC"/>
    <w:rsid w:val="0017118D"/>
    <w:rsid w:val="001712CC"/>
    <w:rsid w:val="00171AF6"/>
    <w:rsid w:val="00172A27"/>
    <w:rsid w:val="00172F22"/>
    <w:rsid w:val="001735C7"/>
    <w:rsid w:val="00173D13"/>
    <w:rsid w:val="00174690"/>
    <w:rsid w:val="00174784"/>
    <w:rsid w:val="001747BE"/>
    <w:rsid w:val="00175F58"/>
    <w:rsid w:val="001763B3"/>
    <w:rsid w:val="001772C1"/>
    <w:rsid w:val="00180456"/>
    <w:rsid w:val="001810E2"/>
    <w:rsid w:val="001818EF"/>
    <w:rsid w:val="00181A44"/>
    <w:rsid w:val="00181A50"/>
    <w:rsid w:val="00182310"/>
    <w:rsid w:val="00182D78"/>
    <w:rsid w:val="00183235"/>
    <w:rsid w:val="00183978"/>
    <w:rsid w:val="00183AEF"/>
    <w:rsid w:val="00184D3D"/>
    <w:rsid w:val="00184E31"/>
    <w:rsid w:val="00186BBE"/>
    <w:rsid w:val="001879F2"/>
    <w:rsid w:val="00190035"/>
    <w:rsid w:val="0019041C"/>
    <w:rsid w:val="00190C4E"/>
    <w:rsid w:val="00191584"/>
    <w:rsid w:val="001916E4"/>
    <w:rsid w:val="00193798"/>
    <w:rsid w:val="00193E13"/>
    <w:rsid w:val="00195094"/>
    <w:rsid w:val="00195167"/>
    <w:rsid w:val="00195A25"/>
    <w:rsid w:val="00195A86"/>
    <w:rsid w:val="001965A7"/>
    <w:rsid w:val="001969F2"/>
    <w:rsid w:val="00196D70"/>
    <w:rsid w:val="00197580"/>
    <w:rsid w:val="00197EA8"/>
    <w:rsid w:val="001A01B6"/>
    <w:rsid w:val="001A0B12"/>
    <w:rsid w:val="001A1D09"/>
    <w:rsid w:val="001A25C8"/>
    <w:rsid w:val="001A3EB3"/>
    <w:rsid w:val="001A4D48"/>
    <w:rsid w:val="001A5A88"/>
    <w:rsid w:val="001A5DA8"/>
    <w:rsid w:val="001A6AB8"/>
    <w:rsid w:val="001A7764"/>
    <w:rsid w:val="001B045F"/>
    <w:rsid w:val="001B0E53"/>
    <w:rsid w:val="001B0ED0"/>
    <w:rsid w:val="001B20DE"/>
    <w:rsid w:val="001B3E88"/>
    <w:rsid w:val="001B5FB1"/>
    <w:rsid w:val="001B68FB"/>
    <w:rsid w:val="001B6FB1"/>
    <w:rsid w:val="001C047E"/>
    <w:rsid w:val="001C08E4"/>
    <w:rsid w:val="001C0916"/>
    <w:rsid w:val="001C11F4"/>
    <w:rsid w:val="001C18CF"/>
    <w:rsid w:val="001C1A53"/>
    <w:rsid w:val="001C1AF2"/>
    <w:rsid w:val="001C20BA"/>
    <w:rsid w:val="001C22B5"/>
    <w:rsid w:val="001C39AF"/>
    <w:rsid w:val="001C787A"/>
    <w:rsid w:val="001C78E3"/>
    <w:rsid w:val="001D0B2F"/>
    <w:rsid w:val="001D0F0B"/>
    <w:rsid w:val="001D273B"/>
    <w:rsid w:val="001D2BC7"/>
    <w:rsid w:val="001D37E3"/>
    <w:rsid w:val="001D435D"/>
    <w:rsid w:val="001D43A8"/>
    <w:rsid w:val="001D46B2"/>
    <w:rsid w:val="001D4791"/>
    <w:rsid w:val="001D584D"/>
    <w:rsid w:val="001D6033"/>
    <w:rsid w:val="001E0BF3"/>
    <w:rsid w:val="001E1578"/>
    <w:rsid w:val="001E1686"/>
    <w:rsid w:val="001E1761"/>
    <w:rsid w:val="001E1983"/>
    <w:rsid w:val="001E1C59"/>
    <w:rsid w:val="001E1F73"/>
    <w:rsid w:val="001E2199"/>
    <w:rsid w:val="001E2316"/>
    <w:rsid w:val="001E23F9"/>
    <w:rsid w:val="001E27B1"/>
    <w:rsid w:val="001E2F91"/>
    <w:rsid w:val="001E309E"/>
    <w:rsid w:val="001E398A"/>
    <w:rsid w:val="001E39FB"/>
    <w:rsid w:val="001E3A76"/>
    <w:rsid w:val="001E509F"/>
    <w:rsid w:val="001E57A3"/>
    <w:rsid w:val="001E6A29"/>
    <w:rsid w:val="001E7AE0"/>
    <w:rsid w:val="001E7C22"/>
    <w:rsid w:val="001F01E8"/>
    <w:rsid w:val="001F0BF3"/>
    <w:rsid w:val="001F0D5E"/>
    <w:rsid w:val="001F0F2E"/>
    <w:rsid w:val="001F16F8"/>
    <w:rsid w:val="001F21F0"/>
    <w:rsid w:val="001F2717"/>
    <w:rsid w:val="001F3F3F"/>
    <w:rsid w:val="001F44F4"/>
    <w:rsid w:val="001F464D"/>
    <w:rsid w:val="001F7D64"/>
    <w:rsid w:val="00200284"/>
    <w:rsid w:val="00201740"/>
    <w:rsid w:val="00202AFC"/>
    <w:rsid w:val="00203DAA"/>
    <w:rsid w:val="00204379"/>
    <w:rsid w:val="00204748"/>
    <w:rsid w:val="002048D6"/>
    <w:rsid w:val="00205352"/>
    <w:rsid w:val="002053B5"/>
    <w:rsid w:val="00205919"/>
    <w:rsid w:val="00206B67"/>
    <w:rsid w:val="00206C9F"/>
    <w:rsid w:val="002102BE"/>
    <w:rsid w:val="00210B1B"/>
    <w:rsid w:val="00210DE3"/>
    <w:rsid w:val="00211045"/>
    <w:rsid w:val="00212052"/>
    <w:rsid w:val="002126B6"/>
    <w:rsid w:val="00212E05"/>
    <w:rsid w:val="00212ED2"/>
    <w:rsid w:val="002143CB"/>
    <w:rsid w:val="00214D3C"/>
    <w:rsid w:val="00214FEB"/>
    <w:rsid w:val="0021590B"/>
    <w:rsid w:val="00216AC2"/>
    <w:rsid w:val="00216BB7"/>
    <w:rsid w:val="00217173"/>
    <w:rsid w:val="00220CFB"/>
    <w:rsid w:val="0022121A"/>
    <w:rsid w:val="002221D4"/>
    <w:rsid w:val="002225F6"/>
    <w:rsid w:val="00223964"/>
    <w:rsid w:val="00223B0B"/>
    <w:rsid w:val="002242FA"/>
    <w:rsid w:val="00225014"/>
    <w:rsid w:val="00225666"/>
    <w:rsid w:val="00226B5C"/>
    <w:rsid w:val="00227BFF"/>
    <w:rsid w:val="00227DEA"/>
    <w:rsid w:val="00230467"/>
    <w:rsid w:val="00230BB3"/>
    <w:rsid w:val="00231503"/>
    <w:rsid w:val="002315A6"/>
    <w:rsid w:val="00231D77"/>
    <w:rsid w:val="00232CAA"/>
    <w:rsid w:val="002335EA"/>
    <w:rsid w:val="0023377A"/>
    <w:rsid w:val="002340E8"/>
    <w:rsid w:val="00234364"/>
    <w:rsid w:val="00235211"/>
    <w:rsid w:val="00235D8A"/>
    <w:rsid w:val="00237186"/>
    <w:rsid w:val="00237361"/>
    <w:rsid w:val="002378EC"/>
    <w:rsid w:val="00237EE5"/>
    <w:rsid w:val="00240C9B"/>
    <w:rsid w:val="002414E7"/>
    <w:rsid w:val="00242080"/>
    <w:rsid w:val="00242235"/>
    <w:rsid w:val="002424D8"/>
    <w:rsid w:val="002428D7"/>
    <w:rsid w:val="00242E6A"/>
    <w:rsid w:val="00243E14"/>
    <w:rsid w:val="0024503F"/>
    <w:rsid w:val="00245AAF"/>
    <w:rsid w:val="002460C2"/>
    <w:rsid w:val="0024679B"/>
    <w:rsid w:val="002467FD"/>
    <w:rsid w:val="00247559"/>
    <w:rsid w:val="0025139D"/>
    <w:rsid w:val="0025247A"/>
    <w:rsid w:val="00253721"/>
    <w:rsid w:val="002547BE"/>
    <w:rsid w:val="002550DE"/>
    <w:rsid w:val="00255253"/>
    <w:rsid w:val="00255B2A"/>
    <w:rsid w:val="002562F5"/>
    <w:rsid w:val="002571E6"/>
    <w:rsid w:val="0026011F"/>
    <w:rsid w:val="00260977"/>
    <w:rsid w:val="00260ADB"/>
    <w:rsid w:val="00265095"/>
    <w:rsid w:val="00270464"/>
    <w:rsid w:val="0027204E"/>
    <w:rsid w:val="0027248F"/>
    <w:rsid w:val="00272542"/>
    <w:rsid w:val="00273787"/>
    <w:rsid w:val="00274A62"/>
    <w:rsid w:val="00274D87"/>
    <w:rsid w:val="00276367"/>
    <w:rsid w:val="00276595"/>
    <w:rsid w:val="00277580"/>
    <w:rsid w:val="00277C34"/>
    <w:rsid w:val="00280D76"/>
    <w:rsid w:val="00282451"/>
    <w:rsid w:val="00282FB2"/>
    <w:rsid w:val="00283516"/>
    <w:rsid w:val="00284CAA"/>
    <w:rsid w:val="0028576A"/>
    <w:rsid w:val="00285987"/>
    <w:rsid w:val="00287DF1"/>
    <w:rsid w:val="0029170B"/>
    <w:rsid w:val="00291E79"/>
    <w:rsid w:val="0029248A"/>
    <w:rsid w:val="00292964"/>
    <w:rsid w:val="00293231"/>
    <w:rsid w:val="00294556"/>
    <w:rsid w:val="002945D8"/>
    <w:rsid w:val="00294EB9"/>
    <w:rsid w:val="00295896"/>
    <w:rsid w:val="002959EC"/>
    <w:rsid w:val="00295D58"/>
    <w:rsid w:val="002968CF"/>
    <w:rsid w:val="00296EF4"/>
    <w:rsid w:val="002972C0"/>
    <w:rsid w:val="002979DD"/>
    <w:rsid w:val="002A103B"/>
    <w:rsid w:val="002A14AF"/>
    <w:rsid w:val="002A321D"/>
    <w:rsid w:val="002A3506"/>
    <w:rsid w:val="002A3CBC"/>
    <w:rsid w:val="002A48F3"/>
    <w:rsid w:val="002A546D"/>
    <w:rsid w:val="002A565F"/>
    <w:rsid w:val="002A5CCC"/>
    <w:rsid w:val="002A64AF"/>
    <w:rsid w:val="002A7174"/>
    <w:rsid w:val="002A7E11"/>
    <w:rsid w:val="002B11C3"/>
    <w:rsid w:val="002B24C2"/>
    <w:rsid w:val="002B2768"/>
    <w:rsid w:val="002B2FEC"/>
    <w:rsid w:val="002B3E2B"/>
    <w:rsid w:val="002B4E83"/>
    <w:rsid w:val="002B5D76"/>
    <w:rsid w:val="002B62FD"/>
    <w:rsid w:val="002B6472"/>
    <w:rsid w:val="002B6BA6"/>
    <w:rsid w:val="002B6F01"/>
    <w:rsid w:val="002C0530"/>
    <w:rsid w:val="002C076E"/>
    <w:rsid w:val="002C07D0"/>
    <w:rsid w:val="002C143C"/>
    <w:rsid w:val="002C1912"/>
    <w:rsid w:val="002C1B38"/>
    <w:rsid w:val="002C25D8"/>
    <w:rsid w:val="002C2BBB"/>
    <w:rsid w:val="002C357E"/>
    <w:rsid w:val="002C3E21"/>
    <w:rsid w:val="002C3EAE"/>
    <w:rsid w:val="002C40FF"/>
    <w:rsid w:val="002C44E9"/>
    <w:rsid w:val="002C477A"/>
    <w:rsid w:val="002C4A64"/>
    <w:rsid w:val="002C4B00"/>
    <w:rsid w:val="002C5CB1"/>
    <w:rsid w:val="002C5E13"/>
    <w:rsid w:val="002C5EBF"/>
    <w:rsid w:val="002D0896"/>
    <w:rsid w:val="002D10B5"/>
    <w:rsid w:val="002D1786"/>
    <w:rsid w:val="002D3048"/>
    <w:rsid w:val="002D3294"/>
    <w:rsid w:val="002D47F3"/>
    <w:rsid w:val="002D5FFD"/>
    <w:rsid w:val="002D6918"/>
    <w:rsid w:val="002D7383"/>
    <w:rsid w:val="002E03E2"/>
    <w:rsid w:val="002E07ED"/>
    <w:rsid w:val="002E3A71"/>
    <w:rsid w:val="002E3FFC"/>
    <w:rsid w:val="002E4C92"/>
    <w:rsid w:val="002E4D88"/>
    <w:rsid w:val="002E4FDC"/>
    <w:rsid w:val="002E549E"/>
    <w:rsid w:val="002E5791"/>
    <w:rsid w:val="002E62A7"/>
    <w:rsid w:val="002E64B2"/>
    <w:rsid w:val="002E68EC"/>
    <w:rsid w:val="002E74B5"/>
    <w:rsid w:val="002E772A"/>
    <w:rsid w:val="002F0CAE"/>
    <w:rsid w:val="002F0F07"/>
    <w:rsid w:val="002F1362"/>
    <w:rsid w:val="002F1FF7"/>
    <w:rsid w:val="002F2CF3"/>
    <w:rsid w:val="002F6F89"/>
    <w:rsid w:val="003016B5"/>
    <w:rsid w:val="00302500"/>
    <w:rsid w:val="0030392B"/>
    <w:rsid w:val="00304728"/>
    <w:rsid w:val="003047BC"/>
    <w:rsid w:val="00304EE6"/>
    <w:rsid w:val="003052FD"/>
    <w:rsid w:val="00305807"/>
    <w:rsid w:val="00306DD9"/>
    <w:rsid w:val="00306E8F"/>
    <w:rsid w:val="003079E4"/>
    <w:rsid w:val="00307CC0"/>
    <w:rsid w:val="00307DF3"/>
    <w:rsid w:val="0031093B"/>
    <w:rsid w:val="0031267B"/>
    <w:rsid w:val="00313747"/>
    <w:rsid w:val="003140F3"/>
    <w:rsid w:val="0031464F"/>
    <w:rsid w:val="0031491D"/>
    <w:rsid w:val="00316590"/>
    <w:rsid w:val="003168E8"/>
    <w:rsid w:val="00316B96"/>
    <w:rsid w:val="003171CE"/>
    <w:rsid w:val="00317F11"/>
    <w:rsid w:val="0032012F"/>
    <w:rsid w:val="003204B5"/>
    <w:rsid w:val="00320747"/>
    <w:rsid w:val="003210E3"/>
    <w:rsid w:val="0032149B"/>
    <w:rsid w:val="0032171C"/>
    <w:rsid w:val="003218DC"/>
    <w:rsid w:val="00322663"/>
    <w:rsid w:val="003232CA"/>
    <w:rsid w:val="003232CD"/>
    <w:rsid w:val="003241E3"/>
    <w:rsid w:val="003242BF"/>
    <w:rsid w:val="00324345"/>
    <w:rsid w:val="00325EA2"/>
    <w:rsid w:val="003264E3"/>
    <w:rsid w:val="00326C09"/>
    <w:rsid w:val="00326DBE"/>
    <w:rsid w:val="00327EC1"/>
    <w:rsid w:val="003302FD"/>
    <w:rsid w:val="003309CC"/>
    <w:rsid w:val="00330ACE"/>
    <w:rsid w:val="00331BE2"/>
    <w:rsid w:val="00332DED"/>
    <w:rsid w:val="00333ED6"/>
    <w:rsid w:val="0033444D"/>
    <w:rsid w:val="0033509F"/>
    <w:rsid w:val="00340462"/>
    <w:rsid w:val="00341716"/>
    <w:rsid w:val="00343075"/>
    <w:rsid w:val="00343788"/>
    <w:rsid w:val="00343CEA"/>
    <w:rsid w:val="003442F4"/>
    <w:rsid w:val="0034476F"/>
    <w:rsid w:val="003449A1"/>
    <w:rsid w:val="00344C67"/>
    <w:rsid w:val="00345A46"/>
    <w:rsid w:val="00347BE6"/>
    <w:rsid w:val="00350356"/>
    <w:rsid w:val="003504FE"/>
    <w:rsid w:val="00350E13"/>
    <w:rsid w:val="00352463"/>
    <w:rsid w:val="0035322E"/>
    <w:rsid w:val="00353427"/>
    <w:rsid w:val="00354ADC"/>
    <w:rsid w:val="00354EF9"/>
    <w:rsid w:val="00354F38"/>
    <w:rsid w:val="00355269"/>
    <w:rsid w:val="00355CFF"/>
    <w:rsid w:val="003563F3"/>
    <w:rsid w:val="00356BD8"/>
    <w:rsid w:val="00356CF5"/>
    <w:rsid w:val="00357217"/>
    <w:rsid w:val="003573E8"/>
    <w:rsid w:val="003604DE"/>
    <w:rsid w:val="00360F89"/>
    <w:rsid w:val="00362FEA"/>
    <w:rsid w:val="0036319C"/>
    <w:rsid w:val="0036383E"/>
    <w:rsid w:val="003641CF"/>
    <w:rsid w:val="00364B7C"/>
    <w:rsid w:val="00365895"/>
    <w:rsid w:val="0036590F"/>
    <w:rsid w:val="00365F69"/>
    <w:rsid w:val="003668F9"/>
    <w:rsid w:val="00366E8A"/>
    <w:rsid w:val="003671AC"/>
    <w:rsid w:val="00367213"/>
    <w:rsid w:val="003673D3"/>
    <w:rsid w:val="00367ABC"/>
    <w:rsid w:val="00367B48"/>
    <w:rsid w:val="00370631"/>
    <w:rsid w:val="00370A2E"/>
    <w:rsid w:val="00370B60"/>
    <w:rsid w:val="00371B9E"/>
    <w:rsid w:val="0037202A"/>
    <w:rsid w:val="00374413"/>
    <w:rsid w:val="003746A8"/>
    <w:rsid w:val="00375A5A"/>
    <w:rsid w:val="003773A7"/>
    <w:rsid w:val="003839BD"/>
    <w:rsid w:val="0038478B"/>
    <w:rsid w:val="00385FBB"/>
    <w:rsid w:val="00386526"/>
    <w:rsid w:val="00387150"/>
    <w:rsid w:val="00387B54"/>
    <w:rsid w:val="00387C2A"/>
    <w:rsid w:val="00387E6A"/>
    <w:rsid w:val="003933A4"/>
    <w:rsid w:val="00393EF7"/>
    <w:rsid w:val="00395436"/>
    <w:rsid w:val="0039578F"/>
    <w:rsid w:val="00395BA7"/>
    <w:rsid w:val="00397533"/>
    <w:rsid w:val="003A06EB"/>
    <w:rsid w:val="003A0759"/>
    <w:rsid w:val="003A0D0E"/>
    <w:rsid w:val="003A14F2"/>
    <w:rsid w:val="003A2CBB"/>
    <w:rsid w:val="003A30CA"/>
    <w:rsid w:val="003A34E3"/>
    <w:rsid w:val="003A3892"/>
    <w:rsid w:val="003A3E9B"/>
    <w:rsid w:val="003A41F8"/>
    <w:rsid w:val="003A453F"/>
    <w:rsid w:val="003A5460"/>
    <w:rsid w:val="003A5D2C"/>
    <w:rsid w:val="003A5F79"/>
    <w:rsid w:val="003A708E"/>
    <w:rsid w:val="003A7431"/>
    <w:rsid w:val="003A76E7"/>
    <w:rsid w:val="003A7D18"/>
    <w:rsid w:val="003B0994"/>
    <w:rsid w:val="003B134E"/>
    <w:rsid w:val="003B1AEE"/>
    <w:rsid w:val="003B1C1F"/>
    <w:rsid w:val="003B2243"/>
    <w:rsid w:val="003B28C2"/>
    <w:rsid w:val="003B2A79"/>
    <w:rsid w:val="003B2F96"/>
    <w:rsid w:val="003B3148"/>
    <w:rsid w:val="003B357D"/>
    <w:rsid w:val="003B386B"/>
    <w:rsid w:val="003B4299"/>
    <w:rsid w:val="003B4C6F"/>
    <w:rsid w:val="003B51F5"/>
    <w:rsid w:val="003B51F8"/>
    <w:rsid w:val="003B62F4"/>
    <w:rsid w:val="003B659C"/>
    <w:rsid w:val="003B71F4"/>
    <w:rsid w:val="003B7865"/>
    <w:rsid w:val="003C004C"/>
    <w:rsid w:val="003C01CA"/>
    <w:rsid w:val="003C0616"/>
    <w:rsid w:val="003C1CBC"/>
    <w:rsid w:val="003C1E84"/>
    <w:rsid w:val="003C26D7"/>
    <w:rsid w:val="003C29A2"/>
    <w:rsid w:val="003C2A9C"/>
    <w:rsid w:val="003C3603"/>
    <w:rsid w:val="003C3D85"/>
    <w:rsid w:val="003C4DEA"/>
    <w:rsid w:val="003C5342"/>
    <w:rsid w:val="003C5A70"/>
    <w:rsid w:val="003C6699"/>
    <w:rsid w:val="003C7359"/>
    <w:rsid w:val="003C746E"/>
    <w:rsid w:val="003C77EB"/>
    <w:rsid w:val="003D1E07"/>
    <w:rsid w:val="003D26FD"/>
    <w:rsid w:val="003D2811"/>
    <w:rsid w:val="003D2850"/>
    <w:rsid w:val="003D306E"/>
    <w:rsid w:val="003D3342"/>
    <w:rsid w:val="003D4C31"/>
    <w:rsid w:val="003D5252"/>
    <w:rsid w:val="003D6E3B"/>
    <w:rsid w:val="003E017D"/>
    <w:rsid w:val="003E23C3"/>
    <w:rsid w:val="003E2A2E"/>
    <w:rsid w:val="003E420E"/>
    <w:rsid w:val="003E432C"/>
    <w:rsid w:val="003E4AC9"/>
    <w:rsid w:val="003E4D6D"/>
    <w:rsid w:val="003E5479"/>
    <w:rsid w:val="003E65F7"/>
    <w:rsid w:val="003E68D9"/>
    <w:rsid w:val="003E72D6"/>
    <w:rsid w:val="003E7EBC"/>
    <w:rsid w:val="003F0B69"/>
    <w:rsid w:val="003F1386"/>
    <w:rsid w:val="003F15BA"/>
    <w:rsid w:val="003F16DF"/>
    <w:rsid w:val="003F19B7"/>
    <w:rsid w:val="003F1B5D"/>
    <w:rsid w:val="003F1CAB"/>
    <w:rsid w:val="003F218F"/>
    <w:rsid w:val="003F2989"/>
    <w:rsid w:val="003F2E62"/>
    <w:rsid w:val="003F3600"/>
    <w:rsid w:val="003F3ECE"/>
    <w:rsid w:val="003F3F07"/>
    <w:rsid w:val="003F5304"/>
    <w:rsid w:val="003F55C9"/>
    <w:rsid w:val="003F5EB4"/>
    <w:rsid w:val="003F6704"/>
    <w:rsid w:val="003F7DC8"/>
    <w:rsid w:val="00400338"/>
    <w:rsid w:val="004003B7"/>
    <w:rsid w:val="00400AF8"/>
    <w:rsid w:val="0040235B"/>
    <w:rsid w:val="00403823"/>
    <w:rsid w:val="004042F9"/>
    <w:rsid w:val="00405967"/>
    <w:rsid w:val="0040605A"/>
    <w:rsid w:val="00410855"/>
    <w:rsid w:val="00411200"/>
    <w:rsid w:val="0041229E"/>
    <w:rsid w:val="0041409C"/>
    <w:rsid w:val="0041426E"/>
    <w:rsid w:val="0041545F"/>
    <w:rsid w:val="00415528"/>
    <w:rsid w:val="00416015"/>
    <w:rsid w:val="00416B34"/>
    <w:rsid w:val="0042081F"/>
    <w:rsid w:val="004211C9"/>
    <w:rsid w:val="00421296"/>
    <w:rsid w:val="00422026"/>
    <w:rsid w:val="0042211B"/>
    <w:rsid w:val="004222BA"/>
    <w:rsid w:val="00422A48"/>
    <w:rsid w:val="00424E87"/>
    <w:rsid w:val="004251AE"/>
    <w:rsid w:val="0042563A"/>
    <w:rsid w:val="00425765"/>
    <w:rsid w:val="00426194"/>
    <w:rsid w:val="00427131"/>
    <w:rsid w:val="004277BA"/>
    <w:rsid w:val="00427E22"/>
    <w:rsid w:val="0043176C"/>
    <w:rsid w:val="00431BEC"/>
    <w:rsid w:val="00431FAC"/>
    <w:rsid w:val="0043301D"/>
    <w:rsid w:val="00433404"/>
    <w:rsid w:val="00433638"/>
    <w:rsid w:val="00433C4C"/>
    <w:rsid w:val="00434010"/>
    <w:rsid w:val="004355DD"/>
    <w:rsid w:val="00436EA3"/>
    <w:rsid w:val="00440429"/>
    <w:rsid w:val="00440DAE"/>
    <w:rsid w:val="00441565"/>
    <w:rsid w:val="00442074"/>
    <w:rsid w:val="0044272F"/>
    <w:rsid w:val="00442B30"/>
    <w:rsid w:val="00445D9A"/>
    <w:rsid w:val="004469A9"/>
    <w:rsid w:val="004473FE"/>
    <w:rsid w:val="00450275"/>
    <w:rsid w:val="004502D8"/>
    <w:rsid w:val="00450E97"/>
    <w:rsid w:val="00452D8A"/>
    <w:rsid w:val="00453A4B"/>
    <w:rsid w:val="00455AF6"/>
    <w:rsid w:val="00455B3A"/>
    <w:rsid w:val="00456080"/>
    <w:rsid w:val="00457648"/>
    <w:rsid w:val="00460046"/>
    <w:rsid w:val="004608B3"/>
    <w:rsid w:val="00460A2D"/>
    <w:rsid w:val="00462652"/>
    <w:rsid w:val="00463D29"/>
    <w:rsid w:val="00464A8D"/>
    <w:rsid w:val="00465A6B"/>
    <w:rsid w:val="004665C7"/>
    <w:rsid w:val="004667D5"/>
    <w:rsid w:val="00466F63"/>
    <w:rsid w:val="00467D31"/>
    <w:rsid w:val="00470717"/>
    <w:rsid w:val="0047158C"/>
    <w:rsid w:val="00471B69"/>
    <w:rsid w:val="0047439E"/>
    <w:rsid w:val="00475629"/>
    <w:rsid w:val="00475CE0"/>
    <w:rsid w:val="0047604F"/>
    <w:rsid w:val="004775BF"/>
    <w:rsid w:val="00477655"/>
    <w:rsid w:val="00477BC2"/>
    <w:rsid w:val="00477CF0"/>
    <w:rsid w:val="0048048B"/>
    <w:rsid w:val="00480998"/>
    <w:rsid w:val="00480CB2"/>
    <w:rsid w:val="00480F34"/>
    <w:rsid w:val="00481899"/>
    <w:rsid w:val="004819B5"/>
    <w:rsid w:val="00481A52"/>
    <w:rsid w:val="00481A67"/>
    <w:rsid w:val="00481A6F"/>
    <w:rsid w:val="00481CAD"/>
    <w:rsid w:val="00482B89"/>
    <w:rsid w:val="004839CD"/>
    <w:rsid w:val="00483F4B"/>
    <w:rsid w:val="00484415"/>
    <w:rsid w:val="00484BBD"/>
    <w:rsid w:val="00490624"/>
    <w:rsid w:val="00490900"/>
    <w:rsid w:val="00490A7B"/>
    <w:rsid w:val="00491EB8"/>
    <w:rsid w:val="004921C2"/>
    <w:rsid w:val="004925C8"/>
    <w:rsid w:val="00492B0C"/>
    <w:rsid w:val="0049440E"/>
    <w:rsid w:val="00494993"/>
    <w:rsid w:val="00494AEE"/>
    <w:rsid w:val="00495BB8"/>
    <w:rsid w:val="00496105"/>
    <w:rsid w:val="004962FA"/>
    <w:rsid w:val="00496AF0"/>
    <w:rsid w:val="004A24A6"/>
    <w:rsid w:val="004A2DE8"/>
    <w:rsid w:val="004A3D82"/>
    <w:rsid w:val="004A4F46"/>
    <w:rsid w:val="004A69EF"/>
    <w:rsid w:val="004A768A"/>
    <w:rsid w:val="004B37D4"/>
    <w:rsid w:val="004B3F6B"/>
    <w:rsid w:val="004B41C6"/>
    <w:rsid w:val="004B4716"/>
    <w:rsid w:val="004B4A1E"/>
    <w:rsid w:val="004B5B1E"/>
    <w:rsid w:val="004B759C"/>
    <w:rsid w:val="004B7DCA"/>
    <w:rsid w:val="004C0220"/>
    <w:rsid w:val="004C0B2C"/>
    <w:rsid w:val="004C18F8"/>
    <w:rsid w:val="004C3E5D"/>
    <w:rsid w:val="004C4640"/>
    <w:rsid w:val="004C4D43"/>
    <w:rsid w:val="004C5352"/>
    <w:rsid w:val="004C55DD"/>
    <w:rsid w:val="004C5C99"/>
    <w:rsid w:val="004C6118"/>
    <w:rsid w:val="004C696F"/>
    <w:rsid w:val="004C6BBE"/>
    <w:rsid w:val="004C6F3C"/>
    <w:rsid w:val="004C74DC"/>
    <w:rsid w:val="004C75F5"/>
    <w:rsid w:val="004C78D0"/>
    <w:rsid w:val="004C7DDF"/>
    <w:rsid w:val="004D0196"/>
    <w:rsid w:val="004D0ABE"/>
    <w:rsid w:val="004D2173"/>
    <w:rsid w:val="004D244D"/>
    <w:rsid w:val="004D338F"/>
    <w:rsid w:val="004D3A12"/>
    <w:rsid w:val="004D42B5"/>
    <w:rsid w:val="004D56BB"/>
    <w:rsid w:val="004D65EE"/>
    <w:rsid w:val="004D691A"/>
    <w:rsid w:val="004D6BCE"/>
    <w:rsid w:val="004D6C06"/>
    <w:rsid w:val="004D79E5"/>
    <w:rsid w:val="004D7A3E"/>
    <w:rsid w:val="004E13AE"/>
    <w:rsid w:val="004E1A2F"/>
    <w:rsid w:val="004E1AC2"/>
    <w:rsid w:val="004E1C0D"/>
    <w:rsid w:val="004E2062"/>
    <w:rsid w:val="004E237F"/>
    <w:rsid w:val="004E248D"/>
    <w:rsid w:val="004E2C16"/>
    <w:rsid w:val="004E338E"/>
    <w:rsid w:val="004E4C86"/>
    <w:rsid w:val="004E4DF5"/>
    <w:rsid w:val="004E54B7"/>
    <w:rsid w:val="004E55ED"/>
    <w:rsid w:val="004E5A54"/>
    <w:rsid w:val="004E5AB9"/>
    <w:rsid w:val="004E641D"/>
    <w:rsid w:val="004E666E"/>
    <w:rsid w:val="004F014A"/>
    <w:rsid w:val="004F04A4"/>
    <w:rsid w:val="004F0E43"/>
    <w:rsid w:val="004F0E54"/>
    <w:rsid w:val="004F1269"/>
    <w:rsid w:val="004F148B"/>
    <w:rsid w:val="004F15DF"/>
    <w:rsid w:val="004F1C64"/>
    <w:rsid w:val="004F2288"/>
    <w:rsid w:val="004F25EC"/>
    <w:rsid w:val="004F2DE7"/>
    <w:rsid w:val="004F3EB8"/>
    <w:rsid w:val="004F3F0F"/>
    <w:rsid w:val="004F470B"/>
    <w:rsid w:val="004F49E7"/>
    <w:rsid w:val="004F5086"/>
    <w:rsid w:val="004F54C1"/>
    <w:rsid w:val="004F5F86"/>
    <w:rsid w:val="004F6E70"/>
    <w:rsid w:val="004F7600"/>
    <w:rsid w:val="004F76EF"/>
    <w:rsid w:val="004F7AAC"/>
    <w:rsid w:val="00500BFD"/>
    <w:rsid w:val="00501684"/>
    <w:rsid w:val="00501C8E"/>
    <w:rsid w:val="00501DC4"/>
    <w:rsid w:val="0050283A"/>
    <w:rsid w:val="00502D7C"/>
    <w:rsid w:val="00502E5B"/>
    <w:rsid w:val="00502F81"/>
    <w:rsid w:val="00503F1B"/>
    <w:rsid w:val="00504712"/>
    <w:rsid w:val="00504D67"/>
    <w:rsid w:val="00505A25"/>
    <w:rsid w:val="00505C50"/>
    <w:rsid w:val="005069F0"/>
    <w:rsid w:val="00506A13"/>
    <w:rsid w:val="00506A53"/>
    <w:rsid w:val="00510BB7"/>
    <w:rsid w:val="00511681"/>
    <w:rsid w:val="00511929"/>
    <w:rsid w:val="00512A62"/>
    <w:rsid w:val="00512C62"/>
    <w:rsid w:val="00513423"/>
    <w:rsid w:val="00513A8E"/>
    <w:rsid w:val="00513B1C"/>
    <w:rsid w:val="00515351"/>
    <w:rsid w:val="0051588D"/>
    <w:rsid w:val="00515BE8"/>
    <w:rsid w:val="0051644D"/>
    <w:rsid w:val="00516A6E"/>
    <w:rsid w:val="005170B5"/>
    <w:rsid w:val="005205F6"/>
    <w:rsid w:val="00520A33"/>
    <w:rsid w:val="00521116"/>
    <w:rsid w:val="005224A1"/>
    <w:rsid w:val="00522A86"/>
    <w:rsid w:val="00522CE3"/>
    <w:rsid w:val="00523E7A"/>
    <w:rsid w:val="00524853"/>
    <w:rsid w:val="005252F1"/>
    <w:rsid w:val="00526134"/>
    <w:rsid w:val="00526451"/>
    <w:rsid w:val="00532103"/>
    <w:rsid w:val="00532F04"/>
    <w:rsid w:val="00533472"/>
    <w:rsid w:val="00533518"/>
    <w:rsid w:val="00534DBF"/>
    <w:rsid w:val="005357FD"/>
    <w:rsid w:val="00535EA7"/>
    <w:rsid w:val="005365B2"/>
    <w:rsid w:val="00536654"/>
    <w:rsid w:val="005371C1"/>
    <w:rsid w:val="00537834"/>
    <w:rsid w:val="005411C1"/>
    <w:rsid w:val="00541D1C"/>
    <w:rsid w:val="00541EEC"/>
    <w:rsid w:val="00541FC4"/>
    <w:rsid w:val="00541FD5"/>
    <w:rsid w:val="005420A4"/>
    <w:rsid w:val="00542AF9"/>
    <w:rsid w:val="005431DB"/>
    <w:rsid w:val="005435CB"/>
    <w:rsid w:val="00544AAD"/>
    <w:rsid w:val="00544BE2"/>
    <w:rsid w:val="0054508B"/>
    <w:rsid w:val="00545106"/>
    <w:rsid w:val="005451D7"/>
    <w:rsid w:val="005454D8"/>
    <w:rsid w:val="00545ACE"/>
    <w:rsid w:val="005467E3"/>
    <w:rsid w:val="00546A69"/>
    <w:rsid w:val="00546CBB"/>
    <w:rsid w:val="005476C8"/>
    <w:rsid w:val="0054774A"/>
    <w:rsid w:val="00551107"/>
    <w:rsid w:val="005518B4"/>
    <w:rsid w:val="00552213"/>
    <w:rsid w:val="00552A8A"/>
    <w:rsid w:val="005546E1"/>
    <w:rsid w:val="00554DD6"/>
    <w:rsid w:val="00555411"/>
    <w:rsid w:val="00556914"/>
    <w:rsid w:val="00556B9C"/>
    <w:rsid w:val="0055711A"/>
    <w:rsid w:val="00557654"/>
    <w:rsid w:val="005606E1"/>
    <w:rsid w:val="00560A36"/>
    <w:rsid w:val="00560A79"/>
    <w:rsid w:val="005622DC"/>
    <w:rsid w:val="0056252C"/>
    <w:rsid w:val="00564113"/>
    <w:rsid w:val="005643E8"/>
    <w:rsid w:val="005644F8"/>
    <w:rsid w:val="00564D6C"/>
    <w:rsid w:val="005654BE"/>
    <w:rsid w:val="00565879"/>
    <w:rsid w:val="00566529"/>
    <w:rsid w:val="00566961"/>
    <w:rsid w:val="005669DC"/>
    <w:rsid w:val="00567533"/>
    <w:rsid w:val="00571232"/>
    <w:rsid w:val="00571DBA"/>
    <w:rsid w:val="005723DC"/>
    <w:rsid w:val="0057263D"/>
    <w:rsid w:val="005726F3"/>
    <w:rsid w:val="005735C3"/>
    <w:rsid w:val="005736C2"/>
    <w:rsid w:val="00573BF3"/>
    <w:rsid w:val="00574DC1"/>
    <w:rsid w:val="00575895"/>
    <w:rsid w:val="00575B2A"/>
    <w:rsid w:val="00577C3A"/>
    <w:rsid w:val="005802E6"/>
    <w:rsid w:val="00580F6D"/>
    <w:rsid w:val="00581A05"/>
    <w:rsid w:val="00581D03"/>
    <w:rsid w:val="0058256A"/>
    <w:rsid w:val="005825B3"/>
    <w:rsid w:val="00582816"/>
    <w:rsid w:val="00582ABD"/>
    <w:rsid w:val="00583539"/>
    <w:rsid w:val="00583C49"/>
    <w:rsid w:val="00584DB3"/>
    <w:rsid w:val="00585A68"/>
    <w:rsid w:val="00586E5B"/>
    <w:rsid w:val="005874BA"/>
    <w:rsid w:val="005876EF"/>
    <w:rsid w:val="005878B8"/>
    <w:rsid w:val="00587995"/>
    <w:rsid w:val="005905B4"/>
    <w:rsid w:val="00590773"/>
    <w:rsid w:val="00590BC0"/>
    <w:rsid w:val="00590DD9"/>
    <w:rsid w:val="005915D7"/>
    <w:rsid w:val="005917E3"/>
    <w:rsid w:val="005926F2"/>
    <w:rsid w:val="0059280A"/>
    <w:rsid w:val="005930E6"/>
    <w:rsid w:val="00593C63"/>
    <w:rsid w:val="00594BFF"/>
    <w:rsid w:val="00595B0C"/>
    <w:rsid w:val="005967A6"/>
    <w:rsid w:val="005967EE"/>
    <w:rsid w:val="00596D62"/>
    <w:rsid w:val="005977A9"/>
    <w:rsid w:val="005A09E8"/>
    <w:rsid w:val="005A0A0A"/>
    <w:rsid w:val="005A0B3D"/>
    <w:rsid w:val="005A2394"/>
    <w:rsid w:val="005A2822"/>
    <w:rsid w:val="005A308C"/>
    <w:rsid w:val="005A3ADA"/>
    <w:rsid w:val="005A4204"/>
    <w:rsid w:val="005A4528"/>
    <w:rsid w:val="005A4E57"/>
    <w:rsid w:val="005A4F9A"/>
    <w:rsid w:val="005A6080"/>
    <w:rsid w:val="005A63E9"/>
    <w:rsid w:val="005A6538"/>
    <w:rsid w:val="005A6690"/>
    <w:rsid w:val="005A66AD"/>
    <w:rsid w:val="005A68EE"/>
    <w:rsid w:val="005B0817"/>
    <w:rsid w:val="005B0D5E"/>
    <w:rsid w:val="005B10DB"/>
    <w:rsid w:val="005B175C"/>
    <w:rsid w:val="005B1867"/>
    <w:rsid w:val="005B1CE1"/>
    <w:rsid w:val="005B3E38"/>
    <w:rsid w:val="005B47D1"/>
    <w:rsid w:val="005B5690"/>
    <w:rsid w:val="005B5B8E"/>
    <w:rsid w:val="005B6045"/>
    <w:rsid w:val="005B6BD8"/>
    <w:rsid w:val="005B7AAB"/>
    <w:rsid w:val="005B7B7A"/>
    <w:rsid w:val="005B7F8C"/>
    <w:rsid w:val="005C0C37"/>
    <w:rsid w:val="005C29C8"/>
    <w:rsid w:val="005C2CFF"/>
    <w:rsid w:val="005C4A34"/>
    <w:rsid w:val="005C4CDD"/>
    <w:rsid w:val="005C512B"/>
    <w:rsid w:val="005C56A4"/>
    <w:rsid w:val="005C613B"/>
    <w:rsid w:val="005C619B"/>
    <w:rsid w:val="005C62C9"/>
    <w:rsid w:val="005C6E9F"/>
    <w:rsid w:val="005C6EB2"/>
    <w:rsid w:val="005C6F03"/>
    <w:rsid w:val="005C701B"/>
    <w:rsid w:val="005C7F3D"/>
    <w:rsid w:val="005D0515"/>
    <w:rsid w:val="005D0E6E"/>
    <w:rsid w:val="005D1A5D"/>
    <w:rsid w:val="005D2E87"/>
    <w:rsid w:val="005D4956"/>
    <w:rsid w:val="005D515E"/>
    <w:rsid w:val="005D5E0B"/>
    <w:rsid w:val="005D6B11"/>
    <w:rsid w:val="005D6D07"/>
    <w:rsid w:val="005D72EC"/>
    <w:rsid w:val="005D7846"/>
    <w:rsid w:val="005D79BB"/>
    <w:rsid w:val="005E0481"/>
    <w:rsid w:val="005E0D69"/>
    <w:rsid w:val="005E141A"/>
    <w:rsid w:val="005E2553"/>
    <w:rsid w:val="005E30D1"/>
    <w:rsid w:val="005E4137"/>
    <w:rsid w:val="005E4AAD"/>
    <w:rsid w:val="005E4ABE"/>
    <w:rsid w:val="005E4DDD"/>
    <w:rsid w:val="005E5088"/>
    <w:rsid w:val="005E60CE"/>
    <w:rsid w:val="005E60F5"/>
    <w:rsid w:val="005E756D"/>
    <w:rsid w:val="005E7B45"/>
    <w:rsid w:val="005F1172"/>
    <w:rsid w:val="005F163A"/>
    <w:rsid w:val="005F2E1E"/>
    <w:rsid w:val="005F2F4F"/>
    <w:rsid w:val="005F3006"/>
    <w:rsid w:val="005F3867"/>
    <w:rsid w:val="005F3CFC"/>
    <w:rsid w:val="005F52E4"/>
    <w:rsid w:val="005F5B90"/>
    <w:rsid w:val="005F6E77"/>
    <w:rsid w:val="005F7518"/>
    <w:rsid w:val="005F77A5"/>
    <w:rsid w:val="00600FF3"/>
    <w:rsid w:val="006020B8"/>
    <w:rsid w:val="006021F4"/>
    <w:rsid w:val="006023A2"/>
    <w:rsid w:val="006039B0"/>
    <w:rsid w:val="0060542B"/>
    <w:rsid w:val="00605AC8"/>
    <w:rsid w:val="0060710A"/>
    <w:rsid w:val="00607642"/>
    <w:rsid w:val="0061157C"/>
    <w:rsid w:val="006116D6"/>
    <w:rsid w:val="00611BD5"/>
    <w:rsid w:val="00611D13"/>
    <w:rsid w:val="006122CB"/>
    <w:rsid w:val="006124EC"/>
    <w:rsid w:val="00612533"/>
    <w:rsid w:val="00612559"/>
    <w:rsid w:val="00612BC5"/>
    <w:rsid w:val="00612C62"/>
    <w:rsid w:val="00612E00"/>
    <w:rsid w:val="006137A4"/>
    <w:rsid w:val="00613885"/>
    <w:rsid w:val="0061497F"/>
    <w:rsid w:val="0061525B"/>
    <w:rsid w:val="00615FC3"/>
    <w:rsid w:val="00616B49"/>
    <w:rsid w:val="00617997"/>
    <w:rsid w:val="00617E4F"/>
    <w:rsid w:val="006205D7"/>
    <w:rsid w:val="006212F4"/>
    <w:rsid w:val="0062136D"/>
    <w:rsid w:val="00621FAA"/>
    <w:rsid w:val="00622BCB"/>
    <w:rsid w:val="006234A2"/>
    <w:rsid w:val="00624B01"/>
    <w:rsid w:val="006253D5"/>
    <w:rsid w:val="0062542D"/>
    <w:rsid w:val="00625F2E"/>
    <w:rsid w:val="00626F5F"/>
    <w:rsid w:val="00627BCD"/>
    <w:rsid w:val="00627D66"/>
    <w:rsid w:val="00631079"/>
    <w:rsid w:val="006311DA"/>
    <w:rsid w:val="00631DCB"/>
    <w:rsid w:val="00631E35"/>
    <w:rsid w:val="00632425"/>
    <w:rsid w:val="006324C5"/>
    <w:rsid w:val="00632B80"/>
    <w:rsid w:val="00633369"/>
    <w:rsid w:val="00634EB6"/>
    <w:rsid w:val="0063533C"/>
    <w:rsid w:val="0063560C"/>
    <w:rsid w:val="00636593"/>
    <w:rsid w:val="00640208"/>
    <w:rsid w:val="00641AC2"/>
    <w:rsid w:val="00641B22"/>
    <w:rsid w:val="00643E26"/>
    <w:rsid w:val="00644C53"/>
    <w:rsid w:val="006453A3"/>
    <w:rsid w:val="006454A6"/>
    <w:rsid w:val="006460DA"/>
    <w:rsid w:val="00646562"/>
    <w:rsid w:val="00646758"/>
    <w:rsid w:val="00646A98"/>
    <w:rsid w:val="0064712A"/>
    <w:rsid w:val="006471BB"/>
    <w:rsid w:val="00647FDB"/>
    <w:rsid w:val="00650D4C"/>
    <w:rsid w:val="00651518"/>
    <w:rsid w:val="00651589"/>
    <w:rsid w:val="00651BA8"/>
    <w:rsid w:val="0065339E"/>
    <w:rsid w:val="00653E9A"/>
    <w:rsid w:val="00656B4B"/>
    <w:rsid w:val="006611B2"/>
    <w:rsid w:val="00661B07"/>
    <w:rsid w:val="006625A5"/>
    <w:rsid w:val="00663DF6"/>
    <w:rsid w:val="0066445B"/>
    <w:rsid w:val="006646D8"/>
    <w:rsid w:val="0066485B"/>
    <w:rsid w:val="00664A68"/>
    <w:rsid w:val="00665A43"/>
    <w:rsid w:val="00665C3D"/>
    <w:rsid w:val="00666304"/>
    <w:rsid w:val="00670B47"/>
    <w:rsid w:val="006716EA"/>
    <w:rsid w:val="00671B21"/>
    <w:rsid w:val="00671DFD"/>
    <w:rsid w:val="00671EC4"/>
    <w:rsid w:val="00672296"/>
    <w:rsid w:val="00673C8C"/>
    <w:rsid w:val="00674747"/>
    <w:rsid w:val="0067535B"/>
    <w:rsid w:val="00676675"/>
    <w:rsid w:val="00676AF6"/>
    <w:rsid w:val="00676D52"/>
    <w:rsid w:val="006773E9"/>
    <w:rsid w:val="006774EA"/>
    <w:rsid w:val="006811F9"/>
    <w:rsid w:val="00682AD7"/>
    <w:rsid w:val="006839CB"/>
    <w:rsid w:val="0068438E"/>
    <w:rsid w:val="00684614"/>
    <w:rsid w:val="00684F77"/>
    <w:rsid w:val="0068549A"/>
    <w:rsid w:val="006858D2"/>
    <w:rsid w:val="00686915"/>
    <w:rsid w:val="00686F4F"/>
    <w:rsid w:val="00686F59"/>
    <w:rsid w:val="00686FEB"/>
    <w:rsid w:val="006873A5"/>
    <w:rsid w:val="00687709"/>
    <w:rsid w:val="006902DA"/>
    <w:rsid w:val="0069042A"/>
    <w:rsid w:val="006904D5"/>
    <w:rsid w:val="00690FD0"/>
    <w:rsid w:val="0069199E"/>
    <w:rsid w:val="00691D42"/>
    <w:rsid w:val="00692BF2"/>
    <w:rsid w:val="0069344B"/>
    <w:rsid w:val="0069387D"/>
    <w:rsid w:val="00693A7B"/>
    <w:rsid w:val="00693F70"/>
    <w:rsid w:val="006941E8"/>
    <w:rsid w:val="0069435B"/>
    <w:rsid w:val="006943DE"/>
    <w:rsid w:val="006956C1"/>
    <w:rsid w:val="00695EC0"/>
    <w:rsid w:val="00696ABE"/>
    <w:rsid w:val="006976E8"/>
    <w:rsid w:val="00697F33"/>
    <w:rsid w:val="006A02F8"/>
    <w:rsid w:val="006A0333"/>
    <w:rsid w:val="006A0435"/>
    <w:rsid w:val="006A06BA"/>
    <w:rsid w:val="006A144C"/>
    <w:rsid w:val="006A19C9"/>
    <w:rsid w:val="006A200A"/>
    <w:rsid w:val="006A27F6"/>
    <w:rsid w:val="006A2CFB"/>
    <w:rsid w:val="006A3008"/>
    <w:rsid w:val="006A3181"/>
    <w:rsid w:val="006A3524"/>
    <w:rsid w:val="006A4230"/>
    <w:rsid w:val="006A46B3"/>
    <w:rsid w:val="006A4AD6"/>
    <w:rsid w:val="006A4D8A"/>
    <w:rsid w:val="006A53B8"/>
    <w:rsid w:val="006A6157"/>
    <w:rsid w:val="006A6E28"/>
    <w:rsid w:val="006A77D9"/>
    <w:rsid w:val="006B03F2"/>
    <w:rsid w:val="006B079B"/>
    <w:rsid w:val="006B1614"/>
    <w:rsid w:val="006B17ED"/>
    <w:rsid w:val="006B2C52"/>
    <w:rsid w:val="006B2CC2"/>
    <w:rsid w:val="006B3DA0"/>
    <w:rsid w:val="006B42CD"/>
    <w:rsid w:val="006B53D3"/>
    <w:rsid w:val="006B5A26"/>
    <w:rsid w:val="006B5DCA"/>
    <w:rsid w:val="006B67DB"/>
    <w:rsid w:val="006B691E"/>
    <w:rsid w:val="006B6D77"/>
    <w:rsid w:val="006B7559"/>
    <w:rsid w:val="006B77CE"/>
    <w:rsid w:val="006B7912"/>
    <w:rsid w:val="006C062B"/>
    <w:rsid w:val="006C11AD"/>
    <w:rsid w:val="006C20D9"/>
    <w:rsid w:val="006C2FBC"/>
    <w:rsid w:val="006C32A3"/>
    <w:rsid w:val="006C3E82"/>
    <w:rsid w:val="006C5F0C"/>
    <w:rsid w:val="006C6A41"/>
    <w:rsid w:val="006C7041"/>
    <w:rsid w:val="006C720C"/>
    <w:rsid w:val="006C7322"/>
    <w:rsid w:val="006C77EC"/>
    <w:rsid w:val="006C79DA"/>
    <w:rsid w:val="006D0283"/>
    <w:rsid w:val="006D2A51"/>
    <w:rsid w:val="006D33C0"/>
    <w:rsid w:val="006D385A"/>
    <w:rsid w:val="006D4A88"/>
    <w:rsid w:val="006D4F4A"/>
    <w:rsid w:val="006D51B3"/>
    <w:rsid w:val="006D5AC9"/>
    <w:rsid w:val="006D5EB4"/>
    <w:rsid w:val="006D5ECF"/>
    <w:rsid w:val="006D60DB"/>
    <w:rsid w:val="006D61F1"/>
    <w:rsid w:val="006D6742"/>
    <w:rsid w:val="006D6F17"/>
    <w:rsid w:val="006D70DA"/>
    <w:rsid w:val="006D7269"/>
    <w:rsid w:val="006E01E1"/>
    <w:rsid w:val="006E0795"/>
    <w:rsid w:val="006E0B5D"/>
    <w:rsid w:val="006E1442"/>
    <w:rsid w:val="006E2B55"/>
    <w:rsid w:val="006E30CC"/>
    <w:rsid w:val="006E4198"/>
    <w:rsid w:val="006E4425"/>
    <w:rsid w:val="006E51E2"/>
    <w:rsid w:val="006E5A01"/>
    <w:rsid w:val="006E5ACC"/>
    <w:rsid w:val="006E5BB6"/>
    <w:rsid w:val="006E7A9B"/>
    <w:rsid w:val="006F0ADD"/>
    <w:rsid w:val="006F0F42"/>
    <w:rsid w:val="006F17C3"/>
    <w:rsid w:val="006F1CCA"/>
    <w:rsid w:val="006F2B86"/>
    <w:rsid w:val="006F359B"/>
    <w:rsid w:val="006F3689"/>
    <w:rsid w:val="006F36A2"/>
    <w:rsid w:val="006F57C3"/>
    <w:rsid w:val="006F6A32"/>
    <w:rsid w:val="006F6FAD"/>
    <w:rsid w:val="006F7E8A"/>
    <w:rsid w:val="00700546"/>
    <w:rsid w:val="00701DC6"/>
    <w:rsid w:val="00702818"/>
    <w:rsid w:val="00703DFE"/>
    <w:rsid w:val="007050BF"/>
    <w:rsid w:val="00705CD7"/>
    <w:rsid w:val="00705ED0"/>
    <w:rsid w:val="00706DD2"/>
    <w:rsid w:val="00707062"/>
    <w:rsid w:val="007079FC"/>
    <w:rsid w:val="0071044A"/>
    <w:rsid w:val="00710883"/>
    <w:rsid w:val="00710D9B"/>
    <w:rsid w:val="007124A3"/>
    <w:rsid w:val="00712D65"/>
    <w:rsid w:val="00713CD3"/>
    <w:rsid w:val="00714B8A"/>
    <w:rsid w:val="00715A52"/>
    <w:rsid w:val="007164C5"/>
    <w:rsid w:val="00716D52"/>
    <w:rsid w:val="00717BBD"/>
    <w:rsid w:val="00717D65"/>
    <w:rsid w:val="0072180C"/>
    <w:rsid w:val="00721974"/>
    <w:rsid w:val="00721CDE"/>
    <w:rsid w:val="00721DDA"/>
    <w:rsid w:val="007224C5"/>
    <w:rsid w:val="00722C09"/>
    <w:rsid w:val="007234C5"/>
    <w:rsid w:val="0072444D"/>
    <w:rsid w:val="0072490B"/>
    <w:rsid w:val="0072545F"/>
    <w:rsid w:val="00725469"/>
    <w:rsid w:val="00725715"/>
    <w:rsid w:val="007272C3"/>
    <w:rsid w:val="007301B8"/>
    <w:rsid w:val="00730985"/>
    <w:rsid w:val="00731944"/>
    <w:rsid w:val="00732B90"/>
    <w:rsid w:val="00732F31"/>
    <w:rsid w:val="007345F6"/>
    <w:rsid w:val="007348F8"/>
    <w:rsid w:val="007349FB"/>
    <w:rsid w:val="0073516A"/>
    <w:rsid w:val="007361EE"/>
    <w:rsid w:val="0073637A"/>
    <w:rsid w:val="007374E8"/>
    <w:rsid w:val="00740289"/>
    <w:rsid w:val="00740D39"/>
    <w:rsid w:val="007416AC"/>
    <w:rsid w:val="007427F5"/>
    <w:rsid w:val="00742EBF"/>
    <w:rsid w:val="00743503"/>
    <w:rsid w:val="00743855"/>
    <w:rsid w:val="007459CF"/>
    <w:rsid w:val="007517A4"/>
    <w:rsid w:val="00751A4F"/>
    <w:rsid w:val="007522F5"/>
    <w:rsid w:val="00753C8E"/>
    <w:rsid w:val="00753DDE"/>
    <w:rsid w:val="007542F2"/>
    <w:rsid w:val="007545C3"/>
    <w:rsid w:val="0075566F"/>
    <w:rsid w:val="00755683"/>
    <w:rsid w:val="00755B24"/>
    <w:rsid w:val="007563F9"/>
    <w:rsid w:val="007576BA"/>
    <w:rsid w:val="007604F1"/>
    <w:rsid w:val="00760A12"/>
    <w:rsid w:val="00760F3C"/>
    <w:rsid w:val="007614DF"/>
    <w:rsid w:val="00761A51"/>
    <w:rsid w:val="00761C30"/>
    <w:rsid w:val="007622ED"/>
    <w:rsid w:val="00763901"/>
    <w:rsid w:val="00763D85"/>
    <w:rsid w:val="00764342"/>
    <w:rsid w:val="00764357"/>
    <w:rsid w:val="00765CC7"/>
    <w:rsid w:val="00766411"/>
    <w:rsid w:val="00766419"/>
    <w:rsid w:val="00766532"/>
    <w:rsid w:val="00766D4C"/>
    <w:rsid w:val="00767717"/>
    <w:rsid w:val="007710C8"/>
    <w:rsid w:val="00771263"/>
    <w:rsid w:val="0077395F"/>
    <w:rsid w:val="00773D1D"/>
    <w:rsid w:val="0077426A"/>
    <w:rsid w:val="00774976"/>
    <w:rsid w:val="00774A21"/>
    <w:rsid w:val="00774EEC"/>
    <w:rsid w:val="00775DCF"/>
    <w:rsid w:val="0077618C"/>
    <w:rsid w:val="00776857"/>
    <w:rsid w:val="00776C7D"/>
    <w:rsid w:val="00777870"/>
    <w:rsid w:val="00777D33"/>
    <w:rsid w:val="0078068B"/>
    <w:rsid w:val="007807B1"/>
    <w:rsid w:val="00780B43"/>
    <w:rsid w:val="0078100F"/>
    <w:rsid w:val="00781037"/>
    <w:rsid w:val="00781A1E"/>
    <w:rsid w:val="00781AD6"/>
    <w:rsid w:val="00782159"/>
    <w:rsid w:val="00784690"/>
    <w:rsid w:val="00785EB0"/>
    <w:rsid w:val="00786B56"/>
    <w:rsid w:val="00787A73"/>
    <w:rsid w:val="00787B6F"/>
    <w:rsid w:val="007906A2"/>
    <w:rsid w:val="00790F52"/>
    <w:rsid w:val="007910A9"/>
    <w:rsid w:val="00791653"/>
    <w:rsid w:val="007916D9"/>
    <w:rsid w:val="00791B45"/>
    <w:rsid w:val="007922CA"/>
    <w:rsid w:val="007923FC"/>
    <w:rsid w:val="0079242D"/>
    <w:rsid w:val="00792A9D"/>
    <w:rsid w:val="00793896"/>
    <w:rsid w:val="007941DF"/>
    <w:rsid w:val="00794444"/>
    <w:rsid w:val="0079468C"/>
    <w:rsid w:val="007955AC"/>
    <w:rsid w:val="00795793"/>
    <w:rsid w:val="00795DC1"/>
    <w:rsid w:val="0079687A"/>
    <w:rsid w:val="00796B5A"/>
    <w:rsid w:val="00797228"/>
    <w:rsid w:val="00797AC4"/>
    <w:rsid w:val="00797C10"/>
    <w:rsid w:val="007A0450"/>
    <w:rsid w:val="007A163A"/>
    <w:rsid w:val="007A1A9E"/>
    <w:rsid w:val="007A1B96"/>
    <w:rsid w:val="007A1DA7"/>
    <w:rsid w:val="007A3669"/>
    <w:rsid w:val="007A3B6E"/>
    <w:rsid w:val="007A46E3"/>
    <w:rsid w:val="007A4BD6"/>
    <w:rsid w:val="007A4C2D"/>
    <w:rsid w:val="007A517D"/>
    <w:rsid w:val="007A5684"/>
    <w:rsid w:val="007A56D2"/>
    <w:rsid w:val="007A56F1"/>
    <w:rsid w:val="007A6062"/>
    <w:rsid w:val="007A72A8"/>
    <w:rsid w:val="007A7892"/>
    <w:rsid w:val="007A79CB"/>
    <w:rsid w:val="007B02EF"/>
    <w:rsid w:val="007B1E88"/>
    <w:rsid w:val="007B2E70"/>
    <w:rsid w:val="007B3ED8"/>
    <w:rsid w:val="007B4C10"/>
    <w:rsid w:val="007B4F3B"/>
    <w:rsid w:val="007B50E5"/>
    <w:rsid w:val="007B6381"/>
    <w:rsid w:val="007B7DD3"/>
    <w:rsid w:val="007C02DD"/>
    <w:rsid w:val="007C08D2"/>
    <w:rsid w:val="007C0AB2"/>
    <w:rsid w:val="007C0B12"/>
    <w:rsid w:val="007C0F6D"/>
    <w:rsid w:val="007C238C"/>
    <w:rsid w:val="007C2534"/>
    <w:rsid w:val="007C3561"/>
    <w:rsid w:val="007C451F"/>
    <w:rsid w:val="007C63BC"/>
    <w:rsid w:val="007C7356"/>
    <w:rsid w:val="007C75A1"/>
    <w:rsid w:val="007C7ADF"/>
    <w:rsid w:val="007C7D9A"/>
    <w:rsid w:val="007D0EBE"/>
    <w:rsid w:val="007D1C44"/>
    <w:rsid w:val="007D1D15"/>
    <w:rsid w:val="007D2698"/>
    <w:rsid w:val="007D3B2C"/>
    <w:rsid w:val="007D6F12"/>
    <w:rsid w:val="007D7679"/>
    <w:rsid w:val="007D7947"/>
    <w:rsid w:val="007E058F"/>
    <w:rsid w:val="007E06B6"/>
    <w:rsid w:val="007E1B9D"/>
    <w:rsid w:val="007E3BE6"/>
    <w:rsid w:val="007E48B5"/>
    <w:rsid w:val="007E5B57"/>
    <w:rsid w:val="007E6121"/>
    <w:rsid w:val="007E709E"/>
    <w:rsid w:val="007E709F"/>
    <w:rsid w:val="007E765F"/>
    <w:rsid w:val="007F087E"/>
    <w:rsid w:val="007F0B33"/>
    <w:rsid w:val="007F0B48"/>
    <w:rsid w:val="007F0BAD"/>
    <w:rsid w:val="007F20ED"/>
    <w:rsid w:val="007F31CE"/>
    <w:rsid w:val="007F3330"/>
    <w:rsid w:val="007F3352"/>
    <w:rsid w:val="007F370B"/>
    <w:rsid w:val="007F4CA3"/>
    <w:rsid w:val="007F578A"/>
    <w:rsid w:val="007F647D"/>
    <w:rsid w:val="007F6D41"/>
    <w:rsid w:val="007F750D"/>
    <w:rsid w:val="007F794F"/>
    <w:rsid w:val="00800AAB"/>
    <w:rsid w:val="00800B4A"/>
    <w:rsid w:val="008012CE"/>
    <w:rsid w:val="008029B2"/>
    <w:rsid w:val="00802E9D"/>
    <w:rsid w:val="00803AA7"/>
    <w:rsid w:val="00804A56"/>
    <w:rsid w:val="00804FDD"/>
    <w:rsid w:val="008059CB"/>
    <w:rsid w:val="00807215"/>
    <w:rsid w:val="0080786B"/>
    <w:rsid w:val="008108CA"/>
    <w:rsid w:val="008117D0"/>
    <w:rsid w:val="00811BDB"/>
    <w:rsid w:val="0081236F"/>
    <w:rsid w:val="008126D3"/>
    <w:rsid w:val="00812EB7"/>
    <w:rsid w:val="008144F4"/>
    <w:rsid w:val="00814968"/>
    <w:rsid w:val="00814A49"/>
    <w:rsid w:val="00816373"/>
    <w:rsid w:val="00816F65"/>
    <w:rsid w:val="00816FFF"/>
    <w:rsid w:val="008172F6"/>
    <w:rsid w:val="00817AC1"/>
    <w:rsid w:val="00817AED"/>
    <w:rsid w:val="0082109C"/>
    <w:rsid w:val="00821290"/>
    <w:rsid w:val="00822912"/>
    <w:rsid w:val="00822C2E"/>
    <w:rsid w:val="00823558"/>
    <w:rsid w:val="00824B7F"/>
    <w:rsid w:val="00824BD3"/>
    <w:rsid w:val="00826240"/>
    <w:rsid w:val="00826A78"/>
    <w:rsid w:val="00826B17"/>
    <w:rsid w:val="0082730A"/>
    <w:rsid w:val="0082792A"/>
    <w:rsid w:val="00830052"/>
    <w:rsid w:val="00830102"/>
    <w:rsid w:val="008303DB"/>
    <w:rsid w:val="008319C0"/>
    <w:rsid w:val="00831E4F"/>
    <w:rsid w:val="00831F0B"/>
    <w:rsid w:val="0083287E"/>
    <w:rsid w:val="008356D0"/>
    <w:rsid w:val="00835E1B"/>
    <w:rsid w:val="00837A14"/>
    <w:rsid w:val="00840E42"/>
    <w:rsid w:val="008412F1"/>
    <w:rsid w:val="00841409"/>
    <w:rsid w:val="0084153A"/>
    <w:rsid w:val="00841BCB"/>
    <w:rsid w:val="00842722"/>
    <w:rsid w:val="008427AF"/>
    <w:rsid w:val="00842CC3"/>
    <w:rsid w:val="00843F52"/>
    <w:rsid w:val="00844F2F"/>
    <w:rsid w:val="008454AE"/>
    <w:rsid w:val="00846521"/>
    <w:rsid w:val="00846CE8"/>
    <w:rsid w:val="00846F8D"/>
    <w:rsid w:val="00847048"/>
    <w:rsid w:val="008471C4"/>
    <w:rsid w:val="00847385"/>
    <w:rsid w:val="00847843"/>
    <w:rsid w:val="00847A88"/>
    <w:rsid w:val="00851C77"/>
    <w:rsid w:val="00851D97"/>
    <w:rsid w:val="008522D3"/>
    <w:rsid w:val="0085249C"/>
    <w:rsid w:val="008524D2"/>
    <w:rsid w:val="0085386D"/>
    <w:rsid w:val="00854ADE"/>
    <w:rsid w:val="008553B2"/>
    <w:rsid w:val="008557ED"/>
    <w:rsid w:val="00855903"/>
    <w:rsid w:val="00855FE8"/>
    <w:rsid w:val="00857D30"/>
    <w:rsid w:val="00860B1A"/>
    <w:rsid w:val="008617FE"/>
    <w:rsid w:val="00861B88"/>
    <w:rsid w:val="00861F7D"/>
    <w:rsid w:val="00862C05"/>
    <w:rsid w:val="00864094"/>
    <w:rsid w:val="00866CE1"/>
    <w:rsid w:val="00870849"/>
    <w:rsid w:val="00870E1A"/>
    <w:rsid w:val="0087189F"/>
    <w:rsid w:val="008724E9"/>
    <w:rsid w:val="00872B81"/>
    <w:rsid w:val="00873FCF"/>
    <w:rsid w:val="008744BC"/>
    <w:rsid w:val="008744D1"/>
    <w:rsid w:val="00875709"/>
    <w:rsid w:val="00876B0A"/>
    <w:rsid w:val="00876C30"/>
    <w:rsid w:val="008807DB"/>
    <w:rsid w:val="00880FB8"/>
    <w:rsid w:val="00882313"/>
    <w:rsid w:val="008827E1"/>
    <w:rsid w:val="0088589D"/>
    <w:rsid w:val="00886116"/>
    <w:rsid w:val="00886E75"/>
    <w:rsid w:val="0088749D"/>
    <w:rsid w:val="00887CEB"/>
    <w:rsid w:val="00887FDD"/>
    <w:rsid w:val="008909A8"/>
    <w:rsid w:val="00890A35"/>
    <w:rsid w:val="00890A6F"/>
    <w:rsid w:val="00890D42"/>
    <w:rsid w:val="0089250E"/>
    <w:rsid w:val="00892A8C"/>
    <w:rsid w:val="00892CAB"/>
    <w:rsid w:val="00892DD6"/>
    <w:rsid w:val="008937A3"/>
    <w:rsid w:val="00893991"/>
    <w:rsid w:val="00895859"/>
    <w:rsid w:val="008958BB"/>
    <w:rsid w:val="00896A68"/>
    <w:rsid w:val="00896C54"/>
    <w:rsid w:val="00897981"/>
    <w:rsid w:val="008A01CB"/>
    <w:rsid w:val="008A0684"/>
    <w:rsid w:val="008A06A2"/>
    <w:rsid w:val="008A09E0"/>
    <w:rsid w:val="008A105A"/>
    <w:rsid w:val="008A1C04"/>
    <w:rsid w:val="008A2779"/>
    <w:rsid w:val="008A3630"/>
    <w:rsid w:val="008A3862"/>
    <w:rsid w:val="008A3AFB"/>
    <w:rsid w:val="008A3DA0"/>
    <w:rsid w:val="008A41BA"/>
    <w:rsid w:val="008A4836"/>
    <w:rsid w:val="008A48D1"/>
    <w:rsid w:val="008A4DCB"/>
    <w:rsid w:val="008A6037"/>
    <w:rsid w:val="008A6F63"/>
    <w:rsid w:val="008A7415"/>
    <w:rsid w:val="008B0206"/>
    <w:rsid w:val="008B0295"/>
    <w:rsid w:val="008B17B6"/>
    <w:rsid w:val="008B193A"/>
    <w:rsid w:val="008B1963"/>
    <w:rsid w:val="008B37A5"/>
    <w:rsid w:val="008B3999"/>
    <w:rsid w:val="008B49B0"/>
    <w:rsid w:val="008B4B8C"/>
    <w:rsid w:val="008B525E"/>
    <w:rsid w:val="008B5D73"/>
    <w:rsid w:val="008B6404"/>
    <w:rsid w:val="008B6802"/>
    <w:rsid w:val="008B690E"/>
    <w:rsid w:val="008B74D7"/>
    <w:rsid w:val="008C0FE3"/>
    <w:rsid w:val="008C1158"/>
    <w:rsid w:val="008C2CA3"/>
    <w:rsid w:val="008C2CB9"/>
    <w:rsid w:val="008C2E48"/>
    <w:rsid w:val="008C57AC"/>
    <w:rsid w:val="008C6582"/>
    <w:rsid w:val="008C6838"/>
    <w:rsid w:val="008C6865"/>
    <w:rsid w:val="008C7512"/>
    <w:rsid w:val="008D07E1"/>
    <w:rsid w:val="008D0FF4"/>
    <w:rsid w:val="008D1021"/>
    <w:rsid w:val="008D10EE"/>
    <w:rsid w:val="008D2A54"/>
    <w:rsid w:val="008D3BBA"/>
    <w:rsid w:val="008D489F"/>
    <w:rsid w:val="008D4A72"/>
    <w:rsid w:val="008D7410"/>
    <w:rsid w:val="008D76B0"/>
    <w:rsid w:val="008E0693"/>
    <w:rsid w:val="008E0F85"/>
    <w:rsid w:val="008E17AF"/>
    <w:rsid w:val="008E1A89"/>
    <w:rsid w:val="008E1E97"/>
    <w:rsid w:val="008E3612"/>
    <w:rsid w:val="008E36A5"/>
    <w:rsid w:val="008E3CB9"/>
    <w:rsid w:val="008E52F6"/>
    <w:rsid w:val="008E7144"/>
    <w:rsid w:val="008E76FC"/>
    <w:rsid w:val="008F2A5A"/>
    <w:rsid w:val="008F398B"/>
    <w:rsid w:val="008F3EF5"/>
    <w:rsid w:val="008F4A59"/>
    <w:rsid w:val="008F50E2"/>
    <w:rsid w:val="008F5B12"/>
    <w:rsid w:val="008F61A4"/>
    <w:rsid w:val="008F673C"/>
    <w:rsid w:val="008F6AAD"/>
    <w:rsid w:val="008F6F99"/>
    <w:rsid w:val="008F7227"/>
    <w:rsid w:val="008F7726"/>
    <w:rsid w:val="00901116"/>
    <w:rsid w:val="00902874"/>
    <w:rsid w:val="00903819"/>
    <w:rsid w:val="00905391"/>
    <w:rsid w:val="00905495"/>
    <w:rsid w:val="0090632C"/>
    <w:rsid w:val="00906B13"/>
    <w:rsid w:val="00906CE8"/>
    <w:rsid w:val="00907713"/>
    <w:rsid w:val="009079F8"/>
    <w:rsid w:val="00910677"/>
    <w:rsid w:val="00910AB5"/>
    <w:rsid w:val="00911E91"/>
    <w:rsid w:val="009127B8"/>
    <w:rsid w:val="0091338C"/>
    <w:rsid w:val="00913C4B"/>
    <w:rsid w:val="0091587E"/>
    <w:rsid w:val="00915D7F"/>
    <w:rsid w:val="00916B8A"/>
    <w:rsid w:val="00920C4E"/>
    <w:rsid w:val="009212AC"/>
    <w:rsid w:val="009220F6"/>
    <w:rsid w:val="00922338"/>
    <w:rsid w:val="00923861"/>
    <w:rsid w:val="0092428F"/>
    <w:rsid w:val="00924652"/>
    <w:rsid w:val="00924753"/>
    <w:rsid w:val="0092550E"/>
    <w:rsid w:val="009255C6"/>
    <w:rsid w:val="0092599B"/>
    <w:rsid w:val="00925AC4"/>
    <w:rsid w:val="00925CEC"/>
    <w:rsid w:val="0092603D"/>
    <w:rsid w:val="00927870"/>
    <w:rsid w:val="0093076F"/>
    <w:rsid w:val="009311BA"/>
    <w:rsid w:val="00931774"/>
    <w:rsid w:val="009321C2"/>
    <w:rsid w:val="00932622"/>
    <w:rsid w:val="00932748"/>
    <w:rsid w:val="009328CB"/>
    <w:rsid w:val="00932935"/>
    <w:rsid w:val="00932AFC"/>
    <w:rsid w:val="00932DF4"/>
    <w:rsid w:val="0093370A"/>
    <w:rsid w:val="00935870"/>
    <w:rsid w:val="00935BA4"/>
    <w:rsid w:val="00935D33"/>
    <w:rsid w:val="00936BD2"/>
    <w:rsid w:val="00937A59"/>
    <w:rsid w:val="00940CFF"/>
    <w:rsid w:val="00942A6A"/>
    <w:rsid w:val="00943EBB"/>
    <w:rsid w:val="00944D3F"/>
    <w:rsid w:val="009457CB"/>
    <w:rsid w:val="00945869"/>
    <w:rsid w:val="00945A84"/>
    <w:rsid w:val="00946293"/>
    <w:rsid w:val="00946AF5"/>
    <w:rsid w:val="00947BC9"/>
    <w:rsid w:val="00947F1D"/>
    <w:rsid w:val="0095095A"/>
    <w:rsid w:val="00951425"/>
    <w:rsid w:val="0095187E"/>
    <w:rsid w:val="00951DFB"/>
    <w:rsid w:val="009531BD"/>
    <w:rsid w:val="00953603"/>
    <w:rsid w:val="00953663"/>
    <w:rsid w:val="00953808"/>
    <w:rsid w:val="009544BF"/>
    <w:rsid w:val="00954992"/>
    <w:rsid w:val="0095619B"/>
    <w:rsid w:val="00956A06"/>
    <w:rsid w:val="00961136"/>
    <w:rsid w:val="00962D5A"/>
    <w:rsid w:val="009630F7"/>
    <w:rsid w:val="00963598"/>
    <w:rsid w:val="009659CD"/>
    <w:rsid w:val="00966A26"/>
    <w:rsid w:val="00966A43"/>
    <w:rsid w:val="00967BFD"/>
    <w:rsid w:val="00970D32"/>
    <w:rsid w:val="0097108B"/>
    <w:rsid w:val="00972B71"/>
    <w:rsid w:val="00974045"/>
    <w:rsid w:val="009740DC"/>
    <w:rsid w:val="009743C1"/>
    <w:rsid w:val="00974C39"/>
    <w:rsid w:val="00974F18"/>
    <w:rsid w:val="00974F5F"/>
    <w:rsid w:val="0097510A"/>
    <w:rsid w:val="00975D97"/>
    <w:rsid w:val="00975EF9"/>
    <w:rsid w:val="00976397"/>
    <w:rsid w:val="00976545"/>
    <w:rsid w:val="009773C6"/>
    <w:rsid w:val="009773C8"/>
    <w:rsid w:val="0098463E"/>
    <w:rsid w:val="0098486C"/>
    <w:rsid w:val="00985433"/>
    <w:rsid w:val="0098571D"/>
    <w:rsid w:val="00985A7E"/>
    <w:rsid w:val="00987273"/>
    <w:rsid w:val="0099062B"/>
    <w:rsid w:val="009908EC"/>
    <w:rsid w:val="009926D0"/>
    <w:rsid w:val="00992C1B"/>
    <w:rsid w:val="00993077"/>
    <w:rsid w:val="00993876"/>
    <w:rsid w:val="009940AA"/>
    <w:rsid w:val="00994286"/>
    <w:rsid w:val="00994CDE"/>
    <w:rsid w:val="00995542"/>
    <w:rsid w:val="009956D0"/>
    <w:rsid w:val="00996D2C"/>
    <w:rsid w:val="009976C1"/>
    <w:rsid w:val="009A01D0"/>
    <w:rsid w:val="009A0AB5"/>
    <w:rsid w:val="009A223E"/>
    <w:rsid w:val="009A2FCE"/>
    <w:rsid w:val="009A71F0"/>
    <w:rsid w:val="009A7B57"/>
    <w:rsid w:val="009A7D0E"/>
    <w:rsid w:val="009B088C"/>
    <w:rsid w:val="009B1124"/>
    <w:rsid w:val="009B1793"/>
    <w:rsid w:val="009B1D83"/>
    <w:rsid w:val="009B256C"/>
    <w:rsid w:val="009B25DB"/>
    <w:rsid w:val="009B3577"/>
    <w:rsid w:val="009B36B4"/>
    <w:rsid w:val="009B387E"/>
    <w:rsid w:val="009B3AC5"/>
    <w:rsid w:val="009B4484"/>
    <w:rsid w:val="009B47DE"/>
    <w:rsid w:val="009B59F1"/>
    <w:rsid w:val="009B680B"/>
    <w:rsid w:val="009B709F"/>
    <w:rsid w:val="009B799F"/>
    <w:rsid w:val="009B7D9D"/>
    <w:rsid w:val="009C047F"/>
    <w:rsid w:val="009C088D"/>
    <w:rsid w:val="009C2700"/>
    <w:rsid w:val="009C292F"/>
    <w:rsid w:val="009C2B88"/>
    <w:rsid w:val="009C38D4"/>
    <w:rsid w:val="009C51CB"/>
    <w:rsid w:val="009C6D3B"/>
    <w:rsid w:val="009D09F7"/>
    <w:rsid w:val="009D1EAA"/>
    <w:rsid w:val="009D2856"/>
    <w:rsid w:val="009D293C"/>
    <w:rsid w:val="009D2B0D"/>
    <w:rsid w:val="009D38D4"/>
    <w:rsid w:val="009D3992"/>
    <w:rsid w:val="009D3B6B"/>
    <w:rsid w:val="009D471F"/>
    <w:rsid w:val="009D5610"/>
    <w:rsid w:val="009D5641"/>
    <w:rsid w:val="009D695D"/>
    <w:rsid w:val="009D6DC4"/>
    <w:rsid w:val="009E0908"/>
    <w:rsid w:val="009E1BE8"/>
    <w:rsid w:val="009E1C6C"/>
    <w:rsid w:val="009E1D25"/>
    <w:rsid w:val="009E3036"/>
    <w:rsid w:val="009E3941"/>
    <w:rsid w:val="009E414F"/>
    <w:rsid w:val="009E4765"/>
    <w:rsid w:val="009E4E14"/>
    <w:rsid w:val="009E4F6A"/>
    <w:rsid w:val="009E59D2"/>
    <w:rsid w:val="009E5DD7"/>
    <w:rsid w:val="009E61D2"/>
    <w:rsid w:val="009F0505"/>
    <w:rsid w:val="009F071D"/>
    <w:rsid w:val="009F07EB"/>
    <w:rsid w:val="009F0AC9"/>
    <w:rsid w:val="009F1ECF"/>
    <w:rsid w:val="009F39C8"/>
    <w:rsid w:val="009F40F1"/>
    <w:rsid w:val="009F4429"/>
    <w:rsid w:val="009F78F0"/>
    <w:rsid w:val="009F7D5C"/>
    <w:rsid w:val="00A00310"/>
    <w:rsid w:val="00A0051E"/>
    <w:rsid w:val="00A00DB1"/>
    <w:rsid w:val="00A02135"/>
    <w:rsid w:val="00A02621"/>
    <w:rsid w:val="00A03B20"/>
    <w:rsid w:val="00A04118"/>
    <w:rsid w:val="00A0427E"/>
    <w:rsid w:val="00A05A52"/>
    <w:rsid w:val="00A05F4E"/>
    <w:rsid w:val="00A06A08"/>
    <w:rsid w:val="00A07B93"/>
    <w:rsid w:val="00A10456"/>
    <w:rsid w:val="00A10DD2"/>
    <w:rsid w:val="00A118AD"/>
    <w:rsid w:val="00A11BF6"/>
    <w:rsid w:val="00A1392D"/>
    <w:rsid w:val="00A141D4"/>
    <w:rsid w:val="00A1431A"/>
    <w:rsid w:val="00A14728"/>
    <w:rsid w:val="00A1491D"/>
    <w:rsid w:val="00A14A74"/>
    <w:rsid w:val="00A14BB6"/>
    <w:rsid w:val="00A14BCD"/>
    <w:rsid w:val="00A157FB"/>
    <w:rsid w:val="00A15DFA"/>
    <w:rsid w:val="00A16AAB"/>
    <w:rsid w:val="00A16AF9"/>
    <w:rsid w:val="00A16F40"/>
    <w:rsid w:val="00A176AF"/>
    <w:rsid w:val="00A17B1F"/>
    <w:rsid w:val="00A204A8"/>
    <w:rsid w:val="00A21540"/>
    <w:rsid w:val="00A2170E"/>
    <w:rsid w:val="00A22BE9"/>
    <w:rsid w:val="00A23505"/>
    <w:rsid w:val="00A236DE"/>
    <w:rsid w:val="00A241E0"/>
    <w:rsid w:val="00A2439F"/>
    <w:rsid w:val="00A248F2"/>
    <w:rsid w:val="00A25439"/>
    <w:rsid w:val="00A25B12"/>
    <w:rsid w:val="00A25CB7"/>
    <w:rsid w:val="00A26AB9"/>
    <w:rsid w:val="00A30DD5"/>
    <w:rsid w:val="00A312EA"/>
    <w:rsid w:val="00A31424"/>
    <w:rsid w:val="00A32176"/>
    <w:rsid w:val="00A33692"/>
    <w:rsid w:val="00A35083"/>
    <w:rsid w:val="00A36666"/>
    <w:rsid w:val="00A3777B"/>
    <w:rsid w:val="00A3782A"/>
    <w:rsid w:val="00A40370"/>
    <w:rsid w:val="00A4128C"/>
    <w:rsid w:val="00A41F7E"/>
    <w:rsid w:val="00A42FC9"/>
    <w:rsid w:val="00A4319C"/>
    <w:rsid w:val="00A4361F"/>
    <w:rsid w:val="00A445B7"/>
    <w:rsid w:val="00A446DE"/>
    <w:rsid w:val="00A4509A"/>
    <w:rsid w:val="00A45F4F"/>
    <w:rsid w:val="00A500F3"/>
    <w:rsid w:val="00A50424"/>
    <w:rsid w:val="00A51DE9"/>
    <w:rsid w:val="00A52110"/>
    <w:rsid w:val="00A527CF"/>
    <w:rsid w:val="00A52DB1"/>
    <w:rsid w:val="00A5363A"/>
    <w:rsid w:val="00A53ADC"/>
    <w:rsid w:val="00A53C6D"/>
    <w:rsid w:val="00A54380"/>
    <w:rsid w:val="00A54947"/>
    <w:rsid w:val="00A54A40"/>
    <w:rsid w:val="00A55639"/>
    <w:rsid w:val="00A5584C"/>
    <w:rsid w:val="00A5676E"/>
    <w:rsid w:val="00A573A9"/>
    <w:rsid w:val="00A57D4E"/>
    <w:rsid w:val="00A61213"/>
    <w:rsid w:val="00A616EF"/>
    <w:rsid w:val="00A62B8C"/>
    <w:rsid w:val="00A63CD1"/>
    <w:rsid w:val="00A6503E"/>
    <w:rsid w:val="00A65969"/>
    <w:rsid w:val="00A65CE8"/>
    <w:rsid w:val="00A667E4"/>
    <w:rsid w:val="00A667F7"/>
    <w:rsid w:val="00A66DA8"/>
    <w:rsid w:val="00A6703B"/>
    <w:rsid w:val="00A67047"/>
    <w:rsid w:val="00A672EF"/>
    <w:rsid w:val="00A701F6"/>
    <w:rsid w:val="00A7035E"/>
    <w:rsid w:val="00A70748"/>
    <w:rsid w:val="00A70C72"/>
    <w:rsid w:val="00A71E93"/>
    <w:rsid w:val="00A71F05"/>
    <w:rsid w:val="00A71FCD"/>
    <w:rsid w:val="00A72F25"/>
    <w:rsid w:val="00A734A5"/>
    <w:rsid w:val="00A739D2"/>
    <w:rsid w:val="00A73E33"/>
    <w:rsid w:val="00A7439E"/>
    <w:rsid w:val="00A74F16"/>
    <w:rsid w:val="00A76648"/>
    <w:rsid w:val="00A769BE"/>
    <w:rsid w:val="00A810A5"/>
    <w:rsid w:val="00A81205"/>
    <w:rsid w:val="00A81C0D"/>
    <w:rsid w:val="00A81CC4"/>
    <w:rsid w:val="00A824E5"/>
    <w:rsid w:val="00A8260B"/>
    <w:rsid w:val="00A836BC"/>
    <w:rsid w:val="00A83AB2"/>
    <w:rsid w:val="00A83CD0"/>
    <w:rsid w:val="00A84981"/>
    <w:rsid w:val="00A84AC9"/>
    <w:rsid w:val="00A85A37"/>
    <w:rsid w:val="00A85BAC"/>
    <w:rsid w:val="00A87197"/>
    <w:rsid w:val="00A876D6"/>
    <w:rsid w:val="00A901B8"/>
    <w:rsid w:val="00A91BD6"/>
    <w:rsid w:val="00A91D8F"/>
    <w:rsid w:val="00A9237F"/>
    <w:rsid w:val="00A92819"/>
    <w:rsid w:val="00A92965"/>
    <w:rsid w:val="00A92AB9"/>
    <w:rsid w:val="00A9301D"/>
    <w:rsid w:val="00A9371C"/>
    <w:rsid w:val="00A9426A"/>
    <w:rsid w:val="00A9427B"/>
    <w:rsid w:val="00A95A02"/>
    <w:rsid w:val="00A95D38"/>
    <w:rsid w:val="00A9668B"/>
    <w:rsid w:val="00A96BFB"/>
    <w:rsid w:val="00A97C80"/>
    <w:rsid w:val="00A97F2D"/>
    <w:rsid w:val="00AA003F"/>
    <w:rsid w:val="00AA07AF"/>
    <w:rsid w:val="00AA0B04"/>
    <w:rsid w:val="00AA1073"/>
    <w:rsid w:val="00AA1595"/>
    <w:rsid w:val="00AA31CA"/>
    <w:rsid w:val="00AA4173"/>
    <w:rsid w:val="00AA45BF"/>
    <w:rsid w:val="00AA4A39"/>
    <w:rsid w:val="00AA4B1A"/>
    <w:rsid w:val="00AA5D9B"/>
    <w:rsid w:val="00AA6699"/>
    <w:rsid w:val="00AA6BD4"/>
    <w:rsid w:val="00AA7851"/>
    <w:rsid w:val="00AB037A"/>
    <w:rsid w:val="00AB1880"/>
    <w:rsid w:val="00AB19BA"/>
    <w:rsid w:val="00AB1D6A"/>
    <w:rsid w:val="00AB2718"/>
    <w:rsid w:val="00AB2F33"/>
    <w:rsid w:val="00AB3727"/>
    <w:rsid w:val="00AB3DBB"/>
    <w:rsid w:val="00AB620F"/>
    <w:rsid w:val="00AB6A15"/>
    <w:rsid w:val="00AB6AFA"/>
    <w:rsid w:val="00AB6C52"/>
    <w:rsid w:val="00AB7814"/>
    <w:rsid w:val="00AB7F2D"/>
    <w:rsid w:val="00AC03EB"/>
    <w:rsid w:val="00AC122A"/>
    <w:rsid w:val="00AC14F1"/>
    <w:rsid w:val="00AC195F"/>
    <w:rsid w:val="00AC2D54"/>
    <w:rsid w:val="00AC3BD2"/>
    <w:rsid w:val="00AC3DC6"/>
    <w:rsid w:val="00AC406A"/>
    <w:rsid w:val="00AC413C"/>
    <w:rsid w:val="00AC44C3"/>
    <w:rsid w:val="00AC547C"/>
    <w:rsid w:val="00AC5679"/>
    <w:rsid w:val="00AC6047"/>
    <w:rsid w:val="00AC71DE"/>
    <w:rsid w:val="00AC7D8F"/>
    <w:rsid w:val="00AC7E2E"/>
    <w:rsid w:val="00AD0FD7"/>
    <w:rsid w:val="00AD1265"/>
    <w:rsid w:val="00AD209D"/>
    <w:rsid w:val="00AD25B9"/>
    <w:rsid w:val="00AD2DE8"/>
    <w:rsid w:val="00AD32D4"/>
    <w:rsid w:val="00AD4B0B"/>
    <w:rsid w:val="00AE1BD6"/>
    <w:rsid w:val="00AE1D46"/>
    <w:rsid w:val="00AE1F64"/>
    <w:rsid w:val="00AE1F79"/>
    <w:rsid w:val="00AE236D"/>
    <w:rsid w:val="00AE323D"/>
    <w:rsid w:val="00AE4FCA"/>
    <w:rsid w:val="00AE5A55"/>
    <w:rsid w:val="00AE6003"/>
    <w:rsid w:val="00AE624F"/>
    <w:rsid w:val="00AE6B99"/>
    <w:rsid w:val="00AE6BEC"/>
    <w:rsid w:val="00AE7040"/>
    <w:rsid w:val="00AE7CC1"/>
    <w:rsid w:val="00AE7ECE"/>
    <w:rsid w:val="00AF0702"/>
    <w:rsid w:val="00AF0AA5"/>
    <w:rsid w:val="00AF0B3A"/>
    <w:rsid w:val="00AF0EBE"/>
    <w:rsid w:val="00AF0EFB"/>
    <w:rsid w:val="00AF13E6"/>
    <w:rsid w:val="00AF2458"/>
    <w:rsid w:val="00AF2889"/>
    <w:rsid w:val="00AF2C5F"/>
    <w:rsid w:val="00AF35B9"/>
    <w:rsid w:val="00AF4286"/>
    <w:rsid w:val="00AF498B"/>
    <w:rsid w:val="00AF5A98"/>
    <w:rsid w:val="00AF5EF9"/>
    <w:rsid w:val="00AF60C2"/>
    <w:rsid w:val="00AF6201"/>
    <w:rsid w:val="00AF6D36"/>
    <w:rsid w:val="00AF7466"/>
    <w:rsid w:val="00AF75BE"/>
    <w:rsid w:val="00AF76C5"/>
    <w:rsid w:val="00AF79C9"/>
    <w:rsid w:val="00AF7E41"/>
    <w:rsid w:val="00B0168B"/>
    <w:rsid w:val="00B02A47"/>
    <w:rsid w:val="00B036AC"/>
    <w:rsid w:val="00B038D8"/>
    <w:rsid w:val="00B03C44"/>
    <w:rsid w:val="00B052E0"/>
    <w:rsid w:val="00B05AD8"/>
    <w:rsid w:val="00B072BD"/>
    <w:rsid w:val="00B113AC"/>
    <w:rsid w:val="00B1176B"/>
    <w:rsid w:val="00B11D18"/>
    <w:rsid w:val="00B120E8"/>
    <w:rsid w:val="00B127B0"/>
    <w:rsid w:val="00B13407"/>
    <w:rsid w:val="00B13F7B"/>
    <w:rsid w:val="00B14629"/>
    <w:rsid w:val="00B151D8"/>
    <w:rsid w:val="00B15C8E"/>
    <w:rsid w:val="00B163CF"/>
    <w:rsid w:val="00B164C8"/>
    <w:rsid w:val="00B166DE"/>
    <w:rsid w:val="00B16D65"/>
    <w:rsid w:val="00B17634"/>
    <w:rsid w:val="00B1780E"/>
    <w:rsid w:val="00B1781D"/>
    <w:rsid w:val="00B17DAF"/>
    <w:rsid w:val="00B203AE"/>
    <w:rsid w:val="00B209FE"/>
    <w:rsid w:val="00B2157C"/>
    <w:rsid w:val="00B2243A"/>
    <w:rsid w:val="00B228FE"/>
    <w:rsid w:val="00B230E1"/>
    <w:rsid w:val="00B23940"/>
    <w:rsid w:val="00B240C6"/>
    <w:rsid w:val="00B24E42"/>
    <w:rsid w:val="00B25A51"/>
    <w:rsid w:val="00B25EF8"/>
    <w:rsid w:val="00B25F29"/>
    <w:rsid w:val="00B2631A"/>
    <w:rsid w:val="00B26937"/>
    <w:rsid w:val="00B26CD2"/>
    <w:rsid w:val="00B26E42"/>
    <w:rsid w:val="00B274DC"/>
    <w:rsid w:val="00B27829"/>
    <w:rsid w:val="00B27B99"/>
    <w:rsid w:val="00B30111"/>
    <w:rsid w:val="00B31A7E"/>
    <w:rsid w:val="00B31B29"/>
    <w:rsid w:val="00B328E4"/>
    <w:rsid w:val="00B33DDE"/>
    <w:rsid w:val="00B33FB0"/>
    <w:rsid w:val="00B347F3"/>
    <w:rsid w:val="00B34B00"/>
    <w:rsid w:val="00B34C23"/>
    <w:rsid w:val="00B34E43"/>
    <w:rsid w:val="00B34E48"/>
    <w:rsid w:val="00B36022"/>
    <w:rsid w:val="00B36231"/>
    <w:rsid w:val="00B402FF"/>
    <w:rsid w:val="00B40580"/>
    <w:rsid w:val="00B40D56"/>
    <w:rsid w:val="00B40F7E"/>
    <w:rsid w:val="00B4180E"/>
    <w:rsid w:val="00B41E9D"/>
    <w:rsid w:val="00B42C03"/>
    <w:rsid w:val="00B44562"/>
    <w:rsid w:val="00B45786"/>
    <w:rsid w:val="00B45A2B"/>
    <w:rsid w:val="00B46CBE"/>
    <w:rsid w:val="00B50F4A"/>
    <w:rsid w:val="00B51B73"/>
    <w:rsid w:val="00B52542"/>
    <w:rsid w:val="00B5299E"/>
    <w:rsid w:val="00B53074"/>
    <w:rsid w:val="00B57760"/>
    <w:rsid w:val="00B605F7"/>
    <w:rsid w:val="00B60EF2"/>
    <w:rsid w:val="00B6105C"/>
    <w:rsid w:val="00B61FFB"/>
    <w:rsid w:val="00B6411B"/>
    <w:rsid w:val="00B6501B"/>
    <w:rsid w:val="00B6736F"/>
    <w:rsid w:val="00B676C8"/>
    <w:rsid w:val="00B67D0C"/>
    <w:rsid w:val="00B70ACC"/>
    <w:rsid w:val="00B72011"/>
    <w:rsid w:val="00B72128"/>
    <w:rsid w:val="00B72356"/>
    <w:rsid w:val="00B7236D"/>
    <w:rsid w:val="00B74581"/>
    <w:rsid w:val="00B74D31"/>
    <w:rsid w:val="00B751A1"/>
    <w:rsid w:val="00B760B4"/>
    <w:rsid w:val="00B778BE"/>
    <w:rsid w:val="00B77949"/>
    <w:rsid w:val="00B80D45"/>
    <w:rsid w:val="00B80EAF"/>
    <w:rsid w:val="00B80FBA"/>
    <w:rsid w:val="00B81584"/>
    <w:rsid w:val="00B815D5"/>
    <w:rsid w:val="00B820FE"/>
    <w:rsid w:val="00B8286B"/>
    <w:rsid w:val="00B839CD"/>
    <w:rsid w:val="00B83D3E"/>
    <w:rsid w:val="00B83DEE"/>
    <w:rsid w:val="00B83E6C"/>
    <w:rsid w:val="00B84CE8"/>
    <w:rsid w:val="00B85B3C"/>
    <w:rsid w:val="00B86A0E"/>
    <w:rsid w:val="00B87F33"/>
    <w:rsid w:val="00B90070"/>
    <w:rsid w:val="00B91320"/>
    <w:rsid w:val="00B91B39"/>
    <w:rsid w:val="00B92F62"/>
    <w:rsid w:val="00B93802"/>
    <w:rsid w:val="00B95152"/>
    <w:rsid w:val="00B952FB"/>
    <w:rsid w:val="00B96462"/>
    <w:rsid w:val="00B971FD"/>
    <w:rsid w:val="00BA07AD"/>
    <w:rsid w:val="00BA0EBF"/>
    <w:rsid w:val="00BA1999"/>
    <w:rsid w:val="00BA1DE6"/>
    <w:rsid w:val="00BA1EBC"/>
    <w:rsid w:val="00BA328A"/>
    <w:rsid w:val="00BA374C"/>
    <w:rsid w:val="00BA3D47"/>
    <w:rsid w:val="00BA40B3"/>
    <w:rsid w:val="00BA465A"/>
    <w:rsid w:val="00BA47A1"/>
    <w:rsid w:val="00BA5659"/>
    <w:rsid w:val="00BA58C2"/>
    <w:rsid w:val="00BA5A4F"/>
    <w:rsid w:val="00BA5BAD"/>
    <w:rsid w:val="00BA600F"/>
    <w:rsid w:val="00BA6299"/>
    <w:rsid w:val="00BA649A"/>
    <w:rsid w:val="00BA7B4D"/>
    <w:rsid w:val="00BB0418"/>
    <w:rsid w:val="00BB05C1"/>
    <w:rsid w:val="00BB0A81"/>
    <w:rsid w:val="00BB18BD"/>
    <w:rsid w:val="00BB1A99"/>
    <w:rsid w:val="00BB2C7B"/>
    <w:rsid w:val="00BB3E9A"/>
    <w:rsid w:val="00BB4E91"/>
    <w:rsid w:val="00BB5A6E"/>
    <w:rsid w:val="00BB674F"/>
    <w:rsid w:val="00BB6764"/>
    <w:rsid w:val="00BB69AD"/>
    <w:rsid w:val="00BB6E1C"/>
    <w:rsid w:val="00BB739E"/>
    <w:rsid w:val="00BC019B"/>
    <w:rsid w:val="00BC0490"/>
    <w:rsid w:val="00BC100F"/>
    <w:rsid w:val="00BC258C"/>
    <w:rsid w:val="00BC2E3E"/>
    <w:rsid w:val="00BC3142"/>
    <w:rsid w:val="00BC335D"/>
    <w:rsid w:val="00BC3A20"/>
    <w:rsid w:val="00BC3C0E"/>
    <w:rsid w:val="00BC52C9"/>
    <w:rsid w:val="00BC5ABD"/>
    <w:rsid w:val="00BC6BDA"/>
    <w:rsid w:val="00BC6DAD"/>
    <w:rsid w:val="00BD10C8"/>
    <w:rsid w:val="00BD16E8"/>
    <w:rsid w:val="00BD255E"/>
    <w:rsid w:val="00BD2C6A"/>
    <w:rsid w:val="00BD2E63"/>
    <w:rsid w:val="00BD6022"/>
    <w:rsid w:val="00BD60A5"/>
    <w:rsid w:val="00BD60FF"/>
    <w:rsid w:val="00BD7AC5"/>
    <w:rsid w:val="00BD7F4D"/>
    <w:rsid w:val="00BE0E84"/>
    <w:rsid w:val="00BE1586"/>
    <w:rsid w:val="00BE19B8"/>
    <w:rsid w:val="00BE2B7F"/>
    <w:rsid w:val="00BE2C75"/>
    <w:rsid w:val="00BE369D"/>
    <w:rsid w:val="00BE3B36"/>
    <w:rsid w:val="00BE4D03"/>
    <w:rsid w:val="00BE5CEA"/>
    <w:rsid w:val="00BE7017"/>
    <w:rsid w:val="00BE7378"/>
    <w:rsid w:val="00BE788D"/>
    <w:rsid w:val="00BE7906"/>
    <w:rsid w:val="00BE798B"/>
    <w:rsid w:val="00BF0969"/>
    <w:rsid w:val="00BF0A1B"/>
    <w:rsid w:val="00BF108E"/>
    <w:rsid w:val="00BF15F0"/>
    <w:rsid w:val="00BF1BD6"/>
    <w:rsid w:val="00BF1C6B"/>
    <w:rsid w:val="00BF3658"/>
    <w:rsid w:val="00BF3F9C"/>
    <w:rsid w:val="00BF49B0"/>
    <w:rsid w:val="00BF59F4"/>
    <w:rsid w:val="00BF601D"/>
    <w:rsid w:val="00BF6820"/>
    <w:rsid w:val="00BF74C7"/>
    <w:rsid w:val="00C00F72"/>
    <w:rsid w:val="00C01D3E"/>
    <w:rsid w:val="00C01DDE"/>
    <w:rsid w:val="00C025B3"/>
    <w:rsid w:val="00C03EAD"/>
    <w:rsid w:val="00C03FFD"/>
    <w:rsid w:val="00C04D10"/>
    <w:rsid w:val="00C05116"/>
    <w:rsid w:val="00C0606C"/>
    <w:rsid w:val="00C063AD"/>
    <w:rsid w:val="00C0674F"/>
    <w:rsid w:val="00C0696D"/>
    <w:rsid w:val="00C0797C"/>
    <w:rsid w:val="00C1086B"/>
    <w:rsid w:val="00C128D8"/>
    <w:rsid w:val="00C12E3D"/>
    <w:rsid w:val="00C12ECA"/>
    <w:rsid w:val="00C13840"/>
    <w:rsid w:val="00C141C9"/>
    <w:rsid w:val="00C14FD6"/>
    <w:rsid w:val="00C15BA8"/>
    <w:rsid w:val="00C17751"/>
    <w:rsid w:val="00C17A3D"/>
    <w:rsid w:val="00C203D4"/>
    <w:rsid w:val="00C21E75"/>
    <w:rsid w:val="00C22D7A"/>
    <w:rsid w:val="00C23D65"/>
    <w:rsid w:val="00C24009"/>
    <w:rsid w:val="00C25FD4"/>
    <w:rsid w:val="00C26C41"/>
    <w:rsid w:val="00C26CA2"/>
    <w:rsid w:val="00C27744"/>
    <w:rsid w:val="00C30062"/>
    <w:rsid w:val="00C3034F"/>
    <w:rsid w:val="00C31072"/>
    <w:rsid w:val="00C3162E"/>
    <w:rsid w:val="00C3202D"/>
    <w:rsid w:val="00C32603"/>
    <w:rsid w:val="00C32AD1"/>
    <w:rsid w:val="00C330BA"/>
    <w:rsid w:val="00C3343D"/>
    <w:rsid w:val="00C33A68"/>
    <w:rsid w:val="00C35184"/>
    <w:rsid w:val="00C35711"/>
    <w:rsid w:val="00C3578C"/>
    <w:rsid w:val="00C36094"/>
    <w:rsid w:val="00C363B9"/>
    <w:rsid w:val="00C36C10"/>
    <w:rsid w:val="00C36D34"/>
    <w:rsid w:val="00C36DC8"/>
    <w:rsid w:val="00C37F61"/>
    <w:rsid w:val="00C410D1"/>
    <w:rsid w:val="00C4672B"/>
    <w:rsid w:val="00C468E9"/>
    <w:rsid w:val="00C46D5D"/>
    <w:rsid w:val="00C4747B"/>
    <w:rsid w:val="00C50971"/>
    <w:rsid w:val="00C518BE"/>
    <w:rsid w:val="00C52BC8"/>
    <w:rsid w:val="00C52E2C"/>
    <w:rsid w:val="00C54E0A"/>
    <w:rsid w:val="00C55424"/>
    <w:rsid w:val="00C5551A"/>
    <w:rsid w:val="00C55F54"/>
    <w:rsid w:val="00C565EB"/>
    <w:rsid w:val="00C56B47"/>
    <w:rsid w:val="00C5760E"/>
    <w:rsid w:val="00C5770E"/>
    <w:rsid w:val="00C6150A"/>
    <w:rsid w:val="00C6154C"/>
    <w:rsid w:val="00C61594"/>
    <w:rsid w:val="00C620D3"/>
    <w:rsid w:val="00C62AC5"/>
    <w:rsid w:val="00C630AC"/>
    <w:rsid w:val="00C6410B"/>
    <w:rsid w:val="00C64265"/>
    <w:rsid w:val="00C6448D"/>
    <w:rsid w:val="00C64564"/>
    <w:rsid w:val="00C64F92"/>
    <w:rsid w:val="00C658EB"/>
    <w:rsid w:val="00C6664D"/>
    <w:rsid w:val="00C666F1"/>
    <w:rsid w:val="00C66CBE"/>
    <w:rsid w:val="00C67342"/>
    <w:rsid w:val="00C67743"/>
    <w:rsid w:val="00C67A0D"/>
    <w:rsid w:val="00C704C0"/>
    <w:rsid w:val="00C70B92"/>
    <w:rsid w:val="00C7227F"/>
    <w:rsid w:val="00C7284E"/>
    <w:rsid w:val="00C731F5"/>
    <w:rsid w:val="00C73A7C"/>
    <w:rsid w:val="00C73DF2"/>
    <w:rsid w:val="00C73F8B"/>
    <w:rsid w:val="00C7417D"/>
    <w:rsid w:val="00C74DF9"/>
    <w:rsid w:val="00C763CC"/>
    <w:rsid w:val="00C76859"/>
    <w:rsid w:val="00C76C16"/>
    <w:rsid w:val="00C800BF"/>
    <w:rsid w:val="00C80F89"/>
    <w:rsid w:val="00C813DE"/>
    <w:rsid w:val="00C82523"/>
    <w:rsid w:val="00C82B48"/>
    <w:rsid w:val="00C83623"/>
    <w:rsid w:val="00C836D5"/>
    <w:rsid w:val="00C842A2"/>
    <w:rsid w:val="00C850E2"/>
    <w:rsid w:val="00C85781"/>
    <w:rsid w:val="00C85E86"/>
    <w:rsid w:val="00C86BA3"/>
    <w:rsid w:val="00C871A4"/>
    <w:rsid w:val="00C935C3"/>
    <w:rsid w:val="00C93A92"/>
    <w:rsid w:val="00C93C59"/>
    <w:rsid w:val="00C95C76"/>
    <w:rsid w:val="00C95DED"/>
    <w:rsid w:val="00C96196"/>
    <w:rsid w:val="00C96E2F"/>
    <w:rsid w:val="00C9765D"/>
    <w:rsid w:val="00CA011C"/>
    <w:rsid w:val="00CA1CD7"/>
    <w:rsid w:val="00CA34C2"/>
    <w:rsid w:val="00CA3920"/>
    <w:rsid w:val="00CA42E3"/>
    <w:rsid w:val="00CA4517"/>
    <w:rsid w:val="00CA46AB"/>
    <w:rsid w:val="00CA58F5"/>
    <w:rsid w:val="00CA6417"/>
    <w:rsid w:val="00CA66C7"/>
    <w:rsid w:val="00CA7476"/>
    <w:rsid w:val="00CA7ABE"/>
    <w:rsid w:val="00CB0169"/>
    <w:rsid w:val="00CB01EE"/>
    <w:rsid w:val="00CB0364"/>
    <w:rsid w:val="00CB0980"/>
    <w:rsid w:val="00CB16E7"/>
    <w:rsid w:val="00CB1C0A"/>
    <w:rsid w:val="00CB21EF"/>
    <w:rsid w:val="00CB3948"/>
    <w:rsid w:val="00CB3E09"/>
    <w:rsid w:val="00CB4B18"/>
    <w:rsid w:val="00CB4C95"/>
    <w:rsid w:val="00CB6C76"/>
    <w:rsid w:val="00CB6D58"/>
    <w:rsid w:val="00CB7D30"/>
    <w:rsid w:val="00CC03FC"/>
    <w:rsid w:val="00CC05D4"/>
    <w:rsid w:val="00CC40CD"/>
    <w:rsid w:val="00CC494D"/>
    <w:rsid w:val="00CC5012"/>
    <w:rsid w:val="00CC54C1"/>
    <w:rsid w:val="00CC5A0C"/>
    <w:rsid w:val="00CC5E8C"/>
    <w:rsid w:val="00CC6938"/>
    <w:rsid w:val="00CC6B01"/>
    <w:rsid w:val="00CC701F"/>
    <w:rsid w:val="00CD0E49"/>
    <w:rsid w:val="00CD1356"/>
    <w:rsid w:val="00CD1698"/>
    <w:rsid w:val="00CD1B1A"/>
    <w:rsid w:val="00CD23CE"/>
    <w:rsid w:val="00CD25EE"/>
    <w:rsid w:val="00CD2DE7"/>
    <w:rsid w:val="00CD3EED"/>
    <w:rsid w:val="00CD51E0"/>
    <w:rsid w:val="00CD5C1C"/>
    <w:rsid w:val="00CD7068"/>
    <w:rsid w:val="00CD71C8"/>
    <w:rsid w:val="00CE1191"/>
    <w:rsid w:val="00CE168B"/>
    <w:rsid w:val="00CE177A"/>
    <w:rsid w:val="00CE1820"/>
    <w:rsid w:val="00CE213F"/>
    <w:rsid w:val="00CE2279"/>
    <w:rsid w:val="00CE2B79"/>
    <w:rsid w:val="00CE2C00"/>
    <w:rsid w:val="00CE2D60"/>
    <w:rsid w:val="00CE3C9A"/>
    <w:rsid w:val="00CE4CD5"/>
    <w:rsid w:val="00CE6381"/>
    <w:rsid w:val="00CE6AC0"/>
    <w:rsid w:val="00CE755B"/>
    <w:rsid w:val="00CE78E6"/>
    <w:rsid w:val="00CF0663"/>
    <w:rsid w:val="00CF1CEF"/>
    <w:rsid w:val="00CF245C"/>
    <w:rsid w:val="00CF26A3"/>
    <w:rsid w:val="00CF350E"/>
    <w:rsid w:val="00CF38DF"/>
    <w:rsid w:val="00CF3F70"/>
    <w:rsid w:val="00CF4D98"/>
    <w:rsid w:val="00CF5166"/>
    <w:rsid w:val="00CF63C2"/>
    <w:rsid w:val="00CF69AC"/>
    <w:rsid w:val="00CF6FFA"/>
    <w:rsid w:val="00CF723C"/>
    <w:rsid w:val="00CF7693"/>
    <w:rsid w:val="00D000ED"/>
    <w:rsid w:val="00D00E62"/>
    <w:rsid w:val="00D012E6"/>
    <w:rsid w:val="00D016CA"/>
    <w:rsid w:val="00D017BE"/>
    <w:rsid w:val="00D01B03"/>
    <w:rsid w:val="00D031D0"/>
    <w:rsid w:val="00D035A9"/>
    <w:rsid w:val="00D03D6B"/>
    <w:rsid w:val="00D03EEE"/>
    <w:rsid w:val="00D04082"/>
    <w:rsid w:val="00D047F3"/>
    <w:rsid w:val="00D04B61"/>
    <w:rsid w:val="00D063A9"/>
    <w:rsid w:val="00D07096"/>
    <w:rsid w:val="00D07A08"/>
    <w:rsid w:val="00D11C81"/>
    <w:rsid w:val="00D11DAA"/>
    <w:rsid w:val="00D11EEA"/>
    <w:rsid w:val="00D1208F"/>
    <w:rsid w:val="00D133EA"/>
    <w:rsid w:val="00D1593E"/>
    <w:rsid w:val="00D17126"/>
    <w:rsid w:val="00D20B0D"/>
    <w:rsid w:val="00D21E42"/>
    <w:rsid w:val="00D21F82"/>
    <w:rsid w:val="00D24132"/>
    <w:rsid w:val="00D24153"/>
    <w:rsid w:val="00D24548"/>
    <w:rsid w:val="00D257F7"/>
    <w:rsid w:val="00D25BE4"/>
    <w:rsid w:val="00D26276"/>
    <w:rsid w:val="00D26338"/>
    <w:rsid w:val="00D26E98"/>
    <w:rsid w:val="00D27718"/>
    <w:rsid w:val="00D30081"/>
    <w:rsid w:val="00D30C4A"/>
    <w:rsid w:val="00D30D19"/>
    <w:rsid w:val="00D31AC2"/>
    <w:rsid w:val="00D31AE6"/>
    <w:rsid w:val="00D31F92"/>
    <w:rsid w:val="00D340C2"/>
    <w:rsid w:val="00D343B2"/>
    <w:rsid w:val="00D3532B"/>
    <w:rsid w:val="00D35DA5"/>
    <w:rsid w:val="00D37211"/>
    <w:rsid w:val="00D376C1"/>
    <w:rsid w:val="00D41B5E"/>
    <w:rsid w:val="00D41E2F"/>
    <w:rsid w:val="00D42D09"/>
    <w:rsid w:val="00D4301D"/>
    <w:rsid w:val="00D43181"/>
    <w:rsid w:val="00D4425D"/>
    <w:rsid w:val="00D4450E"/>
    <w:rsid w:val="00D457F1"/>
    <w:rsid w:val="00D45CE3"/>
    <w:rsid w:val="00D47FA2"/>
    <w:rsid w:val="00D50345"/>
    <w:rsid w:val="00D504AF"/>
    <w:rsid w:val="00D5330D"/>
    <w:rsid w:val="00D53FF7"/>
    <w:rsid w:val="00D54A7A"/>
    <w:rsid w:val="00D553ED"/>
    <w:rsid w:val="00D5549E"/>
    <w:rsid w:val="00D5567C"/>
    <w:rsid w:val="00D56886"/>
    <w:rsid w:val="00D57009"/>
    <w:rsid w:val="00D60003"/>
    <w:rsid w:val="00D6050A"/>
    <w:rsid w:val="00D60528"/>
    <w:rsid w:val="00D61081"/>
    <w:rsid w:val="00D610D2"/>
    <w:rsid w:val="00D6123B"/>
    <w:rsid w:val="00D6182B"/>
    <w:rsid w:val="00D630C5"/>
    <w:rsid w:val="00D65FAC"/>
    <w:rsid w:val="00D66EE5"/>
    <w:rsid w:val="00D71451"/>
    <w:rsid w:val="00D72441"/>
    <w:rsid w:val="00D72ADC"/>
    <w:rsid w:val="00D72BA6"/>
    <w:rsid w:val="00D72FD9"/>
    <w:rsid w:val="00D736FF"/>
    <w:rsid w:val="00D7397C"/>
    <w:rsid w:val="00D74B2C"/>
    <w:rsid w:val="00D753F1"/>
    <w:rsid w:val="00D7728C"/>
    <w:rsid w:val="00D77F1F"/>
    <w:rsid w:val="00D8005B"/>
    <w:rsid w:val="00D800C7"/>
    <w:rsid w:val="00D8163E"/>
    <w:rsid w:val="00D81CB6"/>
    <w:rsid w:val="00D83F66"/>
    <w:rsid w:val="00D84429"/>
    <w:rsid w:val="00D84D51"/>
    <w:rsid w:val="00D85B44"/>
    <w:rsid w:val="00D8698C"/>
    <w:rsid w:val="00D86CE5"/>
    <w:rsid w:val="00D87304"/>
    <w:rsid w:val="00D8746E"/>
    <w:rsid w:val="00D87AF6"/>
    <w:rsid w:val="00D87CA6"/>
    <w:rsid w:val="00D9071B"/>
    <w:rsid w:val="00D90740"/>
    <w:rsid w:val="00D91B1D"/>
    <w:rsid w:val="00D937B0"/>
    <w:rsid w:val="00D951D2"/>
    <w:rsid w:val="00D96D8D"/>
    <w:rsid w:val="00D9781D"/>
    <w:rsid w:val="00D97CCD"/>
    <w:rsid w:val="00DA0936"/>
    <w:rsid w:val="00DA11D1"/>
    <w:rsid w:val="00DA14A8"/>
    <w:rsid w:val="00DA1B70"/>
    <w:rsid w:val="00DA23DC"/>
    <w:rsid w:val="00DA26FE"/>
    <w:rsid w:val="00DA3DE4"/>
    <w:rsid w:val="00DA51AD"/>
    <w:rsid w:val="00DA7373"/>
    <w:rsid w:val="00DB06DD"/>
    <w:rsid w:val="00DB1138"/>
    <w:rsid w:val="00DB2161"/>
    <w:rsid w:val="00DB28B7"/>
    <w:rsid w:val="00DB2E78"/>
    <w:rsid w:val="00DB3929"/>
    <w:rsid w:val="00DB40FD"/>
    <w:rsid w:val="00DB5075"/>
    <w:rsid w:val="00DB52F8"/>
    <w:rsid w:val="00DB5BAD"/>
    <w:rsid w:val="00DB733D"/>
    <w:rsid w:val="00DC0027"/>
    <w:rsid w:val="00DC046E"/>
    <w:rsid w:val="00DC0616"/>
    <w:rsid w:val="00DC0B7E"/>
    <w:rsid w:val="00DC1426"/>
    <w:rsid w:val="00DC1A0D"/>
    <w:rsid w:val="00DC4563"/>
    <w:rsid w:val="00DC607F"/>
    <w:rsid w:val="00DC644A"/>
    <w:rsid w:val="00DC7D47"/>
    <w:rsid w:val="00DD0151"/>
    <w:rsid w:val="00DD1BAB"/>
    <w:rsid w:val="00DD1DDF"/>
    <w:rsid w:val="00DD1EC3"/>
    <w:rsid w:val="00DD2076"/>
    <w:rsid w:val="00DD209E"/>
    <w:rsid w:val="00DD249B"/>
    <w:rsid w:val="00DD2E59"/>
    <w:rsid w:val="00DD385F"/>
    <w:rsid w:val="00DD3B2F"/>
    <w:rsid w:val="00DD3C36"/>
    <w:rsid w:val="00DD442C"/>
    <w:rsid w:val="00DD487F"/>
    <w:rsid w:val="00DD521D"/>
    <w:rsid w:val="00DD6A49"/>
    <w:rsid w:val="00DD746E"/>
    <w:rsid w:val="00DD7742"/>
    <w:rsid w:val="00DD7EF3"/>
    <w:rsid w:val="00DE19EB"/>
    <w:rsid w:val="00DE1B5D"/>
    <w:rsid w:val="00DE1D2C"/>
    <w:rsid w:val="00DE2239"/>
    <w:rsid w:val="00DE2B6B"/>
    <w:rsid w:val="00DE2DFD"/>
    <w:rsid w:val="00DE4BCD"/>
    <w:rsid w:val="00DE6595"/>
    <w:rsid w:val="00DF03BB"/>
    <w:rsid w:val="00DF0B13"/>
    <w:rsid w:val="00DF0FD7"/>
    <w:rsid w:val="00DF0FEA"/>
    <w:rsid w:val="00DF12E3"/>
    <w:rsid w:val="00DF1E3E"/>
    <w:rsid w:val="00DF1FBB"/>
    <w:rsid w:val="00DF430D"/>
    <w:rsid w:val="00DF441D"/>
    <w:rsid w:val="00DF4952"/>
    <w:rsid w:val="00DF5B87"/>
    <w:rsid w:val="00DF5C3D"/>
    <w:rsid w:val="00DF6367"/>
    <w:rsid w:val="00DF7933"/>
    <w:rsid w:val="00DF799F"/>
    <w:rsid w:val="00DF7A05"/>
    <w:rsid w:val="00E002DE"/>
    <w:rsid w:val="00E006B6"/>
    <w:rsid w:val="00E0080F"/>
    <w:rsid w:val="00E02269"/>
    <w:rsid w:val="00E02B4F"/>
    <w:rsid w:val="00E03577"/>
    <w:rsid w:val="00E03A02"/>
    <w:rsid w:val="00E03F23"/>
    <w:rsid w:val="00E06A26"/>
    <w:rsid w:val="00E06AD6"/>
    <w:rsid w:val="00E072F7"/>
    <w:rsid w:val="00E07AAE"/>
    <w:rsid w:val="00E07E09"/>
    <w:rsid w:val="00E11512"/>
    <w:rsid w:val="00E1184C"/>
    <w:rsid w:val="00E118B9"/>
    <w:rsid w:val="00E12222"/>
    <w:rsid w:val="00E12290"/>
    <w:rsid w:val="00E1233C"/>
    <w:rsid w:val="00E1257B"/>
    <w:rsid w:val="00E13009"/>
    <w:rsid w:val="00E13393"/>
    <w:rsid w:val="00E13B6F"/>
    <w:rsid w:val="00E15C22"/>
    <w:rsid w:val="00E1697E"/>
    <w:rsid w:val="00E16BBA"/>
    <w:rsid w:val="00E177A4"/>
    <w:rsid w:val="00E20CBA"/>
    <w:rsid w:val="00E22500"/>
    <w:rsid w:val="00E22F68"/>
    <w:rsid w:val="00E236F4"/>
    <w:rsid w:val="00E23819"/>
    <w:rsid w:val="00E24FB3"/>
    <w:rsid w:val="00E25068"/>
    <w:rsid w:val="00E2557A"/>
    <w:rsid w:val="00E25D81"/>
    <w:rsid w:val="00E26AF2"/>
    <w:rsid w:val="00E26FAE"/>
    <w:rsid w:val="00E2762E"/>
    <w:rsid w:val="00E27EFA"/>
    <w:rsid w:val="00E303E0"/>
    <w:rsid w:val="00E30408"/>
    <w:rsid w:val="00E30FC7"/>
    <w:rsid w:val="00E320DA"/>
    <w:rsid w:val="00E32B86"/>
    <w:rsid w:val="00E32D30"/>
    <w:rsid w:val="00E32E15"/>
    <w:rsid w:val="00E33548"/>
    <w:rsid w:val="00E33AC2"/>
    <w:rsid w:val="00E33AD1"/>
    <w:rsid w:val="00E33F8E"/>
    <w:rsid w:val="00E3565F"/>
    <w:rsid w:val="00E3580C"/>
    <w:rsid w:val="00E35CBE"/>
    <w:rsid w:val="00E3615D"/>
    <w:rsid w:val="00E400BB"/>
    <w:rsid w:val="00E40516"/>
    <w:rsid w:val="00E405F5"/>
    <w:rsid w:val="00E4083F"/>
    <w:rsid w:val="00E40CC0"/>
    <w:rsid w:val="00E41521"/>
    <w:rsid w:val="00E42668"/>
    <w:rsid w:val="00E42B00"/>
    <w:rsid w:val="00E43FF0"/>
    <w:rsid w:val="00E44698"/>
    <w:rsid w:val="00E44F0D"/>
    <w:rsid w:val="00E455F5"/>
    <w:rsid w:val="00E456A8"/>
    <w:rsid w:val="00E45970"/>
    <w:rsid w:val="00E467A9"/>
    <w:rsid w:val="00E469C3"/>
    <w:rsid w:val="00E47885"/>
    <w:rsid w:val="00E47B24"/>
    <w:rsid w:val="00E47B79"/>
    <w:rsid w:val="00E52AC3"/>
    <w:rsid w:val="00E5309B"/>
    <w:rsid w:val="00E53133"/>
    <w:rsid w:val="00E53849"/>
    <w:rsid w:val="00E538D9"/>
    <w:rsid w:val="00E53D0E"/>
    <w:rsid w:val="00E53E04"/>
    <w:rsid w:val="00E54270"/>
    <w:rsid w:val="00E547ED"/>
    <w:rsid w:val="00E554A9"/>
    <w:rsid w:val="00E56197"/>
    <w:rsid w:val="00E56850"/>
    <w:rsid w:val="00E56B69"/>
    <w:rsid w:val="00E57014"/>
    <w:rsid w:val="00E572B4"/>
    <w:rsid w:val="00E57F94"/>
    <w:rsid w:val="00E60310"/>
    <w:rsid w:val="00E60CAE"/>
    <w:rsid w:val="00E617C1"/>
    <w:rsid w:val="00E61935"/>
    <w:rsid w:val="00E62EB1"/>
    <w:rsid w:val="00E631B9"/>
    <w:rsid w:val="00E6358A"/>
    <w:rsid w:val="00E63CB4"/>
    <w:rsid w:val="00E64173"/>
    <w:rsid w:val="00E6495B"/>
    <w:rsid w:val="00E6514B"/>
    <w:rsid w:val="00E66440"/>
    <w:rsid w:val="00E666FB"/>
    <w:rsid w:val="00E6695E"/>
    <w:rsid w:val="00E66A42"/>
    <w:rsid w:val="00E66C0C"/>
    <w:rsid w:val="00E7153C"/>
    <w:rsid w:val="00E71B13"/>
    <w:rsid w:val="00E71DC2"/>
    <w:rsid w:val="00E72564"/>
    <w:rsid w:val="00E73425"/>
    <w:rsid w:val="00E7379C"/>
    <w:rsid w:val="00E74359"/>
    <w:rsid w:val="00E749DD"/>
    <w:rsid w:val="00E76266"/>
    <w:rsid w:val="00E76642"/>
    <w:rsid w:val="00E76D8C"/>
    <w:rsid w:val="00E77E0E"/>
    <w:rsid w:val="00E81457"/>
    <w:rsid w:val="00E821D7"/>
    <w:rsid w:val="00E8274E"/>
    <w:rsid w:val="00E82BC5"/>
    <w:rsid w:val="00E83CD4"/>
    <w:rsid w:val="00E85AD0"/>
    <w:rsid w:val="00E87A9C"/>
    <w:rsid w:val="00E87B7D"/>
    <w:rsid w:val="00E9045F"/>
    <w:rsid w:val="00E920C5"/>
    <w:rsid w:val="00E934A6"/>
    <w:rsid w:val="00E94FAC"/>
    <w:rsid w:val="00E97011"/>
    <w:rsid w:val="00E97303"/>
    <w:rsid w:val="00E978B5"/>
    <w:rsid w:val="00E97D98"/>
    <w:rsid w:val="00EA0048"/>
    <w:rsid w:val="00EA0096"/>
    <w:rsid w:val="00EA0692"/>
    <w:rsid w:val="00EA1466"/>
    <w:rsid w:val="00EA3363"/>
    <w:rsid w:val="00EA34B8"/>
    <w:rsid w:val="00EA3E7A"/>
    <w:rsid w:val="00EA3FD8"/>
    <w:rsid w:val="00EA425E"/>
    <w:rsid w:val="00EA4330"/>
    <w:rsid w:val="00EA4F4E"/>
    <w:rsid w:val="00EA5261"/>
    <w:rsid w:val="00EA5EB5"/>
    <w:rsid w:val="00EA5EFF"/>
    <w:rsid w:val="00EA74CD"/>
    <w:rsid w:val="00EA7D9F"/>
    <w:rsid w:val="00EB196C"/>
    <w:rsid w:val="00EB2525"/>
    <w:rsid w:val="00EB2541"/>
    <w:rsid w:val="00EB2A4D"/>
    <w:rsid w:val="00EB349C"/>
    <w:rsid w:val="00EB574C"/>
    <w:rsid w:val="00EB5D91"/>
    <w:rsid w:val="00EB703B"/>
    <w:rsid w:val="00EB73AE"/>
    <w:rsid w:val="00EC014C"/>
    <w:rsid w:val="00EC1679"/>
    <w:rsid w:val="00EC20D0"/>
    <w:rsid w:val="00EC2129"/>
    <w:rsid w:val="00EC24FD"/>
    <w:rsid w:val="00EC2961"/>
    <w:rsid w:val="00EC2DED"/>
    <w:rsid w:val="00EC3504"/>
    <w:rsid w:val="00EC395D"/>
    <w:rsid w:val="00EC57DE"/>
    <w:rsid w:val="00EC66F2"/>
    <w:rsid w:val="00EC7A06"/>
    <w:rsid w:val="00EC7A72"/>
    <w:rsid w:val="00EC7B7C"/>
    <w:rsid w:val="00ED0D1D"/>
    <w:rsid w:val="00ED12BE"/>
    <w:rsid w:val="00ED3597"/>
    <w:rsid w:val="00ED485F"/>
    <w:rsid w:val="00ED5598"/>
    <w:rsid w:val="00ED5AF8"/>
    <w:rsid w:val="00ED5EA1"/>
    <w:rsid w:val="00ED6004"/>
    <w:rsid w:val="00ED6B1B"/>
    <w:rsid w:val="00EE02CF"/>
    <w:rsid w:val="00EE0AAC"/>
    <w:rsid w:val="00EE11DA"/>
    <w:rsid w:val="00EE15B3"/>
    <w:rsid w:val="00EE1BC5"/>
    <w:rsid w:val="00EE22EA"/>
    <w:rsid w:val="00EE2345"/>
    <w:rsid w:val="00EE2B66"/>
    <w:rsid w:val="00EE2E28"/>
    <w:rsid w:val="00EE3FF2"/>
    <w:rsid w:val="00EE417F"/>
    <w:rsid w:val="00EE470A"/>
    <w:rsid w:val="00EE47E7"/>
    <w:rsid w:val="00EE564A"/>
    <w:rsid w:val="00EE58BF"/>
    <w:rsid w:val="00EE5CCD"/>
    <w:rsid w:val="00EE612C"/>
    <w:rsid w:val="00EE6BDC"/>
    <w:rsid w:val="00EE715C"/>
    <w:rsid w:val="00EE7EA8"/>
    <w:rsid w:val="00EF132F"/>
    <w:rsid w:val="00EF1652"/>
    <w:rsid w:val="00EF1C0D"/>
    <w:rsid w:val="00EF24DD"/>
    <w:rsid w:val="00EF2524"/>
    <w:rsid w:val="00EF2C0A"/>
    <w:rsid w:val="00EF358F"/>
    <w:rsid w:val="00EF3763"/>
    <w:rsid w:val="00EF5884"/>
    <w:rsid w:val="00EF5A30"/>
    <w:rsid w:val="00EF5F03"/>
    <w:rsid w:val="00EF636C"/>
    <w:rsid w:val="00EF66DD"/>
    <w:rsid w:val="00EF66E3"/>
    <w:rsid w:val="00F00E12"/>
    <w:rsid w:val="00F012B1"/>
    <w:rsid w:val="00F01C3C"/>
    <w:rsid w:val="00F0291D"/>
    <w:rsid w:val="00F029D8"/>
    <w:rsid w:val="00F02B44"/>
    <w:rsid w:val="00F040FF"/>
    <w:rsid w:val="00F04D5D"/>
    <w:rsid w:val="00F0706C"/>
    <w:rsid w:val="00F07277"/>
    <w:rsid w:val="00F101F8"/>
    <w:rsid w:val="00F11128"/>
    <w:rsid w:val="00F1151B"/>
    <w:rsid w:val="00F116A3"/>
    <w:rsid w:val="00F1181C"/>
    <w:rsid w:val="00F11FB1"/>
    <w:rsid w:val="00F125F3"/>
    <w:rsid w:val="00F14514"/>
    <w:rsid w:val="00F14885"/>
    <w:rsid w:val="00F148B2"/>
    <w:rsid w:val="00F15895"/>
    <w:rsid w:val="00F15C6C"/>
    <w:rsid w:val="00F16673"/>
    <w:rsid w:val="00F1780A"/>
    <w:rsid w:val="00F17D1A"/>
    <w:rsid w:val="00F17D5E"/>
    <w:rsid w:val="00F17FDA"/>
    <w:rsid w:val="00F2011D"/>
    <w:rsid w:val="00F21D35"/>
    <w:rsid w:val="00F2207E"/>
    <w:rsid w:val="00F22455"/>
    <w:rsid w:val="00F236B4"/>
    <w:rsid w:val="00F23E53"/>
    <w:rsid w:val="00F23E72"/>
    <w:rsid w:val="00F24237"/>
    <w:rsid w:val="00F248A4"/>
    <w:rsid w:val="00F2523B"/>
    <w:rsid w:val="00F252A7"/>
    <w:rsid w:val="00F264CE"/>
    <w:rsid w:val="00F27031"/>
    <w:rsid w:val="00F2703C"/>
    <w:rsid w:val="00F27082"/>
    <w:rsid w:val="00F270E6"/>
    <w:rsid w:val="00F271C9"/>
    <w:rsid w:val="00F2721B"/>
    <w:rsid w:val="00F27246"/>
    <w:rsid w:val="00F274BF"/>
    <w:rsid w:val="00F27A32"/>
    <w:rsid w:val="00F27D23"/>
    <w:rsid w:val="00F30D97"/>
    <w:rsid w:val="00F30F36"/>
    <w:rsid w:val="00F314A9"/>
    <w:rsid w:val="00F31E9E"/>
    <w:rsid w:val="00F3213A"/>
    <w:rsid w:val="00F3274E"/>
    <w:rsid w:val="00F33539"/>
    <w:rsid w:val="00F345F1"/>
    <w:rsid w:val="00F3462E"/>
    <w:rsid w:val="00F34A8B"/>
    <w:rsid w:val="00F356A6"/>
    <w:rsid w:val="00F35DF9"/>
    <w:rsid w:val="00F35F9A"/>
    <w:rsid w:val="00F3693E"/>
    <w:rsid w:val="00F36A29"/>
    <w:rsid w:val="00F3738D"/>
    <w:rsid w:val="00F40CF0"/>
    <w:rsid w:val="00F42046"/>
    <w:rsid w:val="00F45218"/>
    <w:rsid w:val="00F456DC"/>
    <w:rsid w:val="00F465C8"/>
    <w:rsid w:val="00F47F47"/>
    <w:rsid w:val="00F50386"/>
    <w:rsid w:val="00F50E37"/>
    <w:rsid w:val="00F5182F"/>
    <w:rsid w:val="00F521A6"/>
    <w:rsid w:val="00F531FC"/>
    <w:rsid w:val="00F53B45"/>
    <w:rsid w:val="00F541B9"/>
    <w:rsid w:val="00F54486"/>
    <w:rsid w:val="00F54A4A"/>
    <w:rsid w:val="00F56EAB"/>
    <w:rsid w:val="00F572B7"/>
    <w:rsid w:val="00F5753F"/>
    <w:rsid w:val="00F57559"/>
    <w:rsid w:val="00F60B73"/>
    <w:rsid w:val="00F60D93"/>
    <w:rsid w:val="00F615A1"/>
    <w:rsid w:val="00F61A9E"/>
    <w:rsid w:val="00F63681"/>
    <w:rsid w:val="00F640BE"/>
    <w:rsid w:val="00F64156"/>
    <w:rsid w:val="00F6431A"/>
    <w:rsid w:val="00F64B7F"/>
    <w:rsid w:val="00F65784"/>
    <w:rsid w:val="00F65FBE"/>
    <w:rsid w:val="00F679DA"/>
    <w:rsid w:val="00F70979"/>
    <w:rsid w:val="00F70FCE"/>
    <w:rsid w:val="00F71B43"/>
    <w:rsid w:val="00F71F72"/>
    <w:rsid w:val="00F73811"/>
    <w:rsid w:val="00F75AE6"/>
    <w:rsid w:val="00F7637F"/>
    <w:rsid w:val="00F766DA"/>
    <w:rsid w:val="00F77BA2"/>
    <w:rsid w:val="00F8053B"/>
    <w:rsid w:val="00F81F7D"/>
    <w:rsid w:val="00F83154"/>
    <w:rsid w:val="00F832D3"/>
    <w:rsid w:val="00F837CC"/>
    <w:rsid w:val="00F84107"/>
    <w:rsid w:val="00F86236"/>
    <w:rsid w:val="00F87A0D"/>
    <w:rsid w:val="00F90C47"/>
    <w:rsid w:val="00F923E9"/>
    <w:rsid w:val="00F9259A"/>
    <w:rsid w:val="00F92DC1"/>
    <w:rsid w:val="00F93BCE"/>
    <w:rsid w:val="00F93DA4"/>
    <w:rsid w:val="00F9555C"/>
    <w:rsid w:val="00F95C6D"/>
    <w:rsid w:val="00F9642C"/>
    <w:rsid w:val="00F9738A"/>
    <w:rsid w:val="00F974F3"/>
    <w:rsid w:val="00F97B20"/>
    <w:rsid w:val="00FA1842"/>
    <w:rsid w:val="00FA29EF"/>
    <w:rsid w:val="00FA2C11"/>
    <w:rsid w:val="00FA30A5"/>
    <w:rsid w:val="00FA3709"/>
    <w:rsid w:val="00FA3993"/>
    <w:rsid w:val="00FA3EA5"/>
    <w:rsid w:val="00FA43C2"/>
    <w:rsid w:val="00FA4F5E"/>
    <w:rsid w:val="00FA57ED"/>
    <w:rsid w:val="00FA6496"/>
    <w:rsid w:val="00FA6A77"/>
    <w:rsid w:val="00FB03BD"/>
    <w:rsid w:val="00FB11A0"/>
    <w:rsid w:val="00FB14FE"/>
    <w:rsid w:val="00FB265B"/>
    <w:rsid w:val="00FB3FE6"/>
    <w:rsid w:val="00FB4C94"/>
    <w:rsid w:val="00FB5CF8"/>
    <w:rsid w:val="00FB6DAF"/>
    <w:rsid w:val="00FC044C"/>
    <w:rsid w:val="00FC0A4B"/>
    <w:rsid w:val="00FC2E65"/>
    <w:rsid w:val="00FC3AFF"/>
    <w:rsid w:val="00FC4494"/>
    <w:rsid w:val="00FC4AFC"/>
    <w:rsid w:val="00FD0974"/>
    <w:rsid w:val="00FD188A"/>
    <w:rsid w:val="00FD1905"/>
    <w:rsid w:val="00FD1C7E"/>
    <w:rsid w:val="00FD434A"/>
    <w:rsid w:val="00FD4C67"/>
    <w:rsid w:val="00FD4E6D"/>
    <w:rsid w:val="00FD5259"/>
    <w:rsid w:val="00FD71D1"/>
    <w:rsid w:val="00FD7988"/>
    <w:rsid w:val="00FE03A0"/>
    <w:rsid w:val="00FE12B4"/>
    <w:rsid w:val="00FE1AD5"/>
    <w:rsid w:val="00FE1E56"/>
    <w:rsid w:val="00FE211E"/>
    <w:rsid w:val="00FE2603"/>
    <w:rsid w:val="00FE3B6E"/>
    <w:rsid w:val="00FE3D17"/>
    <w:rsid w:val="00FE6443"/>
    <w:rsid w:val="00FE6685"/>
    <w:rsid w:val="00FE6C9C"/>
    <w:rsid w:val="00FE7213"/>
    <w:rsid w:val="00FE7C9C"/>
    <w:rsid w:val="00FF0154"/>
    <w:rsid w:val="00FF20A4"/>
    <w:rsid w:val="00FF2B7D"/>
    <w:rsid w:val="00FF2DBC"/>
    <w:rsid w:val="00FF3581"/>
    <w:rsid w:val="00FF425C"/>
    <w:rsid w:val="00FF57AF"/>
    <w:rsid w:val="00FF68DD"/>
    <w:rsid w:val="00FF7858"/>
    <w:rsid w:val="011F478E"/>
    <w:rsid w:val="013A1130"/>
    <w:rsid w:val="01414658"/>
    <w:rsid w:val="01474512"/>
    <w:rsid w:val="015B30EE"/>
    <w:rsid w:val="01B53780"/>
    <w:rsid w:val="01BF364C"/>
    <w:rsid w:val="01F63744"/>
    <w:rsid w:val="0222615D"/>
    <w:rsid w:val="02236824"/>
    <w:rsid w:val="022D4BC3"/>
    <w:rsid w:val="028426B0"/>
    <w:rsid w:val="031B2597"/>
    <w:rsid w:val="038A4E5A"/>
    <w:rsid w:val="03AB679F"/>
    <w:rsid w:val="03B875A9"/>
    <w:rsid w:val="03D012A8"/>
    <w:rsid w:val="03D73C4B"/>
    <w:rsid w:val="041451F9"/>
    <w:rsid w:val="0476464C"/>
    <w:rsid w:val="04AA2DF7"/>
    <w:rsid w:val="04BF387D"/>
    <w:rsid w:val="04F824D0"/>
    <w:rsid w:val="04F92F58"/>
    <w:rsid w:val="050C1B34"/>
    <w:rsid w:val="050E5F9C"/>
    <w:rsid w:val="05795B3E"/>
    <w:rsid w:val="057D35B7"/>
    <w:rsid w:val="059B3AAE"/>
    <w:rsid w:val="05B74D88"/>
    <w:rsid w:val="05C86530"/>
    <w:rsid w:val="05E70A8D"/>
    <w:rsid w:val="05F05689"/>
    <w:rsid w:val="062B4BF2"/>
    <w:rsid w:val="0686670B"/>
    <w:rsid w:val="06984505"/>
    <w:rsid w:val="07166970"/>
    <w:rsid w:val="073E1BD9"/>
    <w:rsid w:val="07550A0D"/>
    <w:rsid w:val="076013E0"/>
    <w:rsid w:val="077D2D70"/>
    <w:rsid w:val="07905D5A"/>
    <w:rsid w:val="07F54BC0"/>
    <w:rsid w:val="081E113D"/>
    <w:rsid w:val="082008CE"/>
    <w:rsid w:val="084271A3"/>
    <w:rsid w:val="084E3529"/>
    <w:rsid w:val="08732BE6"/>
    <w:rsid w:val="08953074"/>
    <w:rsid w:val="08953FD7"/>
    <w:rsid w:val="08EE643E"/>
    <w:rsid w:val="092B438D"/>
    <w:rsid w:val="09652A3B"/>
    <w:rsid w:val="096B180A"/>
    <w:rsid w:val="09705438"/>
    <w:rsid w:val="097C6C10"/>
    <w:rsid w:val="09933D81"/>
    <w:rsid w:val="09A600A3"/>
    <w:rsid w:val="09A815EF"/>
    <w:rsid w:val="09BF0A5F"/>
    <w:rsid w:val="09E7370B"/>
    <w:rsid w:val="09FF14CE"/>
    <w:rsid w:val="0A26422C"/>
    <w:rsid w:val="0A800311"/>
    <w:rsid w:val="0A99181D"/>
    <w:rsid w:val="0A9C614A"/>
    <w:rsid w:val="0AFD778B"/>
    <w:rsid w:val="0B3003D8"/>
    <w:rsid w:val="0B6D3222"/>
    <w:rsid w:val="0B9C55C0"/>
    <w:rsid w:val="0BA421A8"/>
    <w:rsid w:val="0BB42AF6"/>
    <w:rsid w:val="0BCF050F"/>
    <w:rsid w:val="0C1434FE"/>
    <w:rsid w:val="0C596928"/>
    <w:rsid w:val="0C660B78"/>
    <w:rsid w:val="0C7E6025"/>
    <w:rsid w:val="0CA641DD"/>
    <w:rsid w:val="0CC60B6C"/>
    <w:rsid w:val="0D0A5D09"/>
    <w:rsid w:val="0D2155A8"/>
    <w:rsid w:val="0D221DDF"/>
    <w:rsid w:val="0D533931"/>
    <w:rsid w:val="0D8060B5"/>
    <w:rsid w:val="0DC336E3"/>
    <w:rsid w:val="0DDD37ED"/>
    <w:rsid w:val="0E0A7653"/>
    <w:rsid w:val="0E1507A0"/>
    <w:rsid w:val="0E475C67"/>
    <w:rsid w:val="0E7526B5"/>
    <w:rsid w:val="0ECC765A"/>
    <w:rsid w:val="0EDB5CFB"/>
    <w:rsid w:val="0F0C458B"/>
    <w:rsid w:val="0F0F024B"/>
    <w:rsid w:val="0F5F2017"/>
    <w:rsid w:val="0F5F78EA"/>
    <w:rsid w:val="0FDE1BE5"/>
    <w:rsid w:val="0FE9305A"/>
    <w:rsid w:val="0FEF7C0A"/>
    <w:rsid w:val="10175EDA"/>
    <w:rsid w:val="10435247"/>
    <w:rsid w:val="10637A13"/>
    <w:rsid w:val="10817ED7"/>
    <w:rsid w:val="10DA2738"/>
    <w:rsid w:val="10F10C20"/>
    <w:rsid w:val="11647498"/>
    <w:rsid w:val="116E79F0"/>
    <w:rsid w:val="118A0495"/>
    <w:rsid w:val="119F5EB8"/>
    <w:rsid w:val="11B72F56"/>
    <w:rsid w:val="11D3202B"/>
    <w:rsid w:val="125E6002"/>
    <w:rsid w:val="12732B87"/>
    <w:rsid w:val="1296776D"/>
    <w:rsid w:val="12BF62B6"/>
    <w:rsid w:val="12C742F7"/>
    <w:rsid w:val="12DB4336"/>
    <w:rsid w:val="12F05378"/>
    <w:rsid w:val="12F56050"/>
    <w:rsid w:val="130A06A1"/>
    <w:rsid w:val="130B0F8E"/>
    <w:rsid w:val="132C75E5"/>
    <w:rsid w:val="138A677A"/>
    <w:rsid w:val="13920C1B"/>
    <w:rsid w:val="139E7937"/>
    <w:rsid w:val="13BC3585"/>
    <w:rsid w:val="13C30A2F"/>
    <w:rsid w:val="143762B6"/>
    <w:rsid w:val="14DB3B34"/>
    <w:rsid w:val="14E043C3"/>
    <w:rsid w:val="1515263B"/>
    <w:rsid w:val="15182ED1"/>
    <w:rsid w:val="1524417A"/>
    <w:rsid w:val="15270CC8"/>
    <w:rsid w:val="153F7393"/>
    <w:rsid w:val="154E2C8D"/>
    <w:rsid w:val="159D60AA"/>
    <w:rsid w:val="160E074B"/>
    <w:rsid w:val="161533F4"/>
    <w:rsid w:val="164B1687"/>
    <w:rsid w:val="165E3383"/>
    <w:rsid w:val="166321E2"/>
    <w:rsid w:val="166951DF"/>
    <w:rsid w:val="166F55AD"/>
    <w:rsid w:val="168A7548"/>
    <w:rsid w:val="168E35F3"/>
    <w:rsid w:val="16A042E2"/>
    <w:rsid w:val="16D6369B"/>
    <w:rsid w:val="16D704B9"/>
    <w:rsid w:val="170C0021"/>
    <w:rsid w:val="175D1EAE"/>
    <w:rsid w:val="178072CB"/>
    <w:rsid w:val="178B077E"/>
    <w:rsid w:val="17C5097C"/>
    <w:rsid w:val="17CD7F2C"/>
    <w:rsid w:val="17F220A2"/>
    <w:rsid w:val="17FA4F98"/>
    <w:rsid w:val="180E1CDE"/>
    <w:rsid w:val="183220F4"/>
    <w:rsid w:val="18A37E82"/>
    <w:rsid w:val="18A60350"/>
    <w:rsid w:val="18AC3253"/>
    <w:rsid w:val="18B629AF"/>
    <w:rsid w:val="18B814D1"/>
    <w:rsid w:val="18C01770"/>
    <w:rsid w:val="190E697D"/>
    <w:rsid w:val="194444AB"/>
    <w:rsid w:val="19503D2D"/>
    <w:rsid w:val="196C1CF0"/>
    <w:rsid w:val="1A15511C"/>
    <w:rsid w:val="1A4C04ED"/>
    <w:rsid w:val="1A4D7C55"/>
    <w:rsid w:val="1A5D6BD9"/>
    <w:rsid w:val="1A7549DA"/>
    <w:rsid w:val="1AA33CBC"/>
    <w:rsid w:val="1AF95386"/>
    <w:rsid w:val="1B1C2D2D"/>
    <w:rsid w:val="1B30632B"/>
    <w:rsid w:val="1B3262A6"/>
    <w:rsid w:val="1B3D3845"/>
    <w:rsid w:val="1B4B4845"/>
    <w:rsid w:val="1B6273E1"/>
    <w:rsid w:val="1BA04486"/>
    <w:rsid w:val="1BE95AA6"/>
    <w:rsid w:val="1C1E6B79"/>
    <w:rsid w:val="1C66496D"/>
    <w:rsid w:val="1CE31FD5"/>
    <w:rsid w:val="1D49300A"/>
    <w:rsid w:val="1D6C20DF"/>
    <w:rsid w:val="1D8D1246"/>
    <w:rsid w:val="1E491587"/>
    <w:rsid w:val="1E8933F5"/>
    <w:rsid w:val="1EBF464D"/>
    <w:rsid w:val="1EC16D2C"/>
    <w:rsid w:val="1EC835CB"/>
    <w:rsid w:val="1EF160BB"/>
    <w:rsid w:val="1F2C7FBC"/>
    <w:rsid w:val="1F5F1D69"/>
    <w:rsid w:val="1FF76471"/>
    <w:rsid w:val="201574A1"/>
    <w:rsid w:val="202368F5"/>
    <w:rsid w:val="203505B5"/>
    <w:rsid w:val="20376A0E"/>
    <w:rsid w:val="203E3C53"/>
    <w:rsid w:val="206F2642"/>
    <w:rsid w:val="20822DE8"/>
    <w:rsid w:val="208E6AB2"/>
    <w:rsid w:val="20B2493E"/>
    <w:rsid w:val="20CB5CFA"/>
    <w:rsid w:val="20CC07CE"/>
    <w:rsid w:val="212A7045"/>
    <w:rsid w:val="21325E8A"/>
    <w:rsid w:val="21560235"/>
    <w:rsid w:val="21913DBA"/>
    <w:rsid w:val="21CC7DA6"/>
    <w:rsid w:val="22361832"/>
    <w:rsid w:val="22564C3B"/>
    <w:rsid w:val="227117F0"/>
    <w:rsid w:val="229270D1"/>
    <w:rsid w:val="229E596C"/>
    <w:rsid w:val="22B60D13"/>
    <w:rsid w:val="22E91128"/>
    <w:rsid w:val="232501E8"/>
    <w:rsid w:val="236B54FC"/>
    <w:rsid w:val="23CD1FB5"/>
    <w:rsid w:val="23F519CD"/>
    <w:rsid w:val="24136870"/>
    <w:rsid w:val="24152A49"/>
    <w:rsid w:val="24287BD3"/>
    <w:rsid w:val="24456D39"/>
    <w:rsid w:val="245C6969"/>
    <w:rsid w:val="248A6B80"/>
    <w:rsid w:val="248B666C"/>
    <w:rsid w:val="248F341C"/>
    <w:rsid w:val="24983B90"/>
    <w:rsid w:val="24AC7022"/>
    <w:rsid w:val="24E21EE4"/>
    <w:rsid w:val="24F417CC"/>
    <w:rsid w:val="250658E9"/>
    <w:rsid w:val="255D3125"/>
    <w:rsid w:val="25FD0128"/>
    <w:rsid w:val="260B5107"/>
    <w:rsid w:val="265E792E"/>
    <w:rsid w:val="26647764"/>
    <w:rsid w:val="269359AB"/>
    <w:rsid w:val="26E92F7B"/>
    <w:rsid w:val="26F85FDC"/>
    <w:rsid w:val="274C7001"/>
    <w:rsid w:val="27535BB4"/>
    <w:rsid w:val="2760332F"/>
    <w:rsid w:val="276C4D98"/>
    <w:rsid w:val="27DB51E2"/>
    <w:rsid w:val="281B37C7"/>
    <w:rsid w:val="282C1A16"/>
    <w:rsid w:val="286B013A"/>
    <w:rsid w:val="289205C0"/>
    <w:rsid w:val="28CC37B0"/>
    <w:rsid w:val="28E229B0"/>
    <w:rsid w:val="28FC2B64"/>
    <w:rsid w:val="298D57F4"/>
    <w:rsid w:val="299520CD"/>
    <w:rsid w:val="29992D97"/>
    <w:rsid w:val="29B05B01"/>
    <w:rsid w:val="29BA5E4B"/>
    <w:rsid w:val="29E83B4C"/>
    <w:rsid w:val="2A0E7C5A"/>
    <w:rsid w:val="2A30484F"/>
    <w:rsid w:val="2A5B30DB"/>
    <w:rsid w:val="2A5C5F05"/>
    <w:rsid w:val="2A716802"/>
    <w:rsid w:val="2A830702"/>
    <w:rsid w:val="2ABE5E63"/>
    <w:rsid w:val="2AF71B8D"/>
    <w:rsid w:val="2AFD3C60"/>
    <w:rsid w:val="2B395012"/>
    <w:rsid w:val="2B7E4D77"/>
    <w:rsid w:val="2BA2006A"/>
    <w:rsid w:val="2BBE0430"/>
    <w:rsid w:val="2BC30C31"/>
    <w:rsid w:val="2BCB6D3F"/>
    <w:rsid w:val="2BD6693F"/>
    <w:rsid w:val="2BF85B55"/>
    <w:rsid w:val="2C05252B"/>
    <w:rsid w:val="2C0B468C"/>
    <w:rsid w:val="2C0F4C44"/>
    <w:rsid w:val="2C65272B"/>
    <w:rsid w:val="2C8B6B16"/>
    <w:rsid w:val="2CB66777"/>
    <w:rsid w:val="2CD66501"/>
    <w:rsid w:val="2CDE0930"/>
    <w:rsid w:val="2D0E077F"/>
    <w:rsid w:val="2D4A1A33"/>
    <w:rsid w:val="2D5D5673"/>
    <w:rsid w:val="2D9503A5"/>
    <w:rsid w:val="2DDB2055"/>
    <w:rsid w:val="2DEB22B2"/>
    <w:rsid w:val="2E29023F"/>
    <w:rsid w:val="2E512696"/>
    <w:rsid w:val="2E5D662D"/>
    <w:rsid w:val="2E772F6E"/>
    <w:rsid w:val="2EA5381D"/>
    <w:rsid w:val="2F0163E4"/>
    <w:rsid w:val="2F034C6F"/>
    <w:rsid w:val="2F136099"/>
    <w:rsid w:val="2F3B15D1"/>
    <w:rsid w:val="2F744BFB"/>
    <w:rsid w:val="2F894AE1"/>
    <w:rsid w:val="2FCA6592"/>
    <w:rsid w:val="2FD67739"/>
    <w:rsid w:val="2FDC6AC2"/>
    <w:rsid w:val="307652AC"/>
    <w:rsid w:val="30830218"/>
    <w:rsid w:val="30876B7D"/>
    <w:rsid w:val="30C52AF8"/>
    <w:rsid w:val="30CD0A7E"/>
    <w:rsid w:val="30D57311"/>
    <w:rsid w:val="30FD50F3"/>
    <w:rsid w:val="31195BDD"/>
    <w:rsid w:val="3122362C"/>
    <w:rsid w:val="312276CE"/>
    <w:rsid w:val="31552BA5"/>
    <w:rsid w:val="31626EEC"/>
    <w:rsid w:val="317E0238"/>
    <w:rsid w:val="31B53DBA"/>
    <w:rsid w:val="31BA1499"/>
    <w:rsid w:val="31E53686"/>
    <w:rsid w:val="31FF007C"/>
    <w:rsid w:val="320D64CA"/>
    <w:rsid w:val="32556B94"/>
    <w:rsid w:val="3273520E"/>
    <w:rsid w:val="32862880"/>
    <w:rsid w:val="32B9130E"/>
    <w:rsid w:val="33564E06"/>
    <w:rsid w:val="339300E8"/>
    <w:rsid w:val="33CA0F1F"/>
    <w:rsid w:val="340B1FFA"/>
    <w:rsid w:val="342C1FFE"/>
    <w:rsid w:val="344A245E"/>
    <w:rsid w:val="348C016B"/>
    <w:rsid w:val="34A42278"/>
    <w:rsid w:val="34B86AE5"/>
    <w:rsid w:val="34D74C20"/>
    <w:rsid w:val="353051D1"/>
    <w:rsid w:val="35FA3E19"/>
    <w:rsid w:val="361353F3"/>
    <w:rsid w:val="363A5F44"/>
    <w:rsid w:val="36714B5C"/>
    <w:rsid w:val="36937331"/>
    <w:rsid w:val="36B55F6B"/>
    <w:rsid w:val="370D6776"/>
    <w:rsid w:val="37316B00"/>
    <w:rsid w:val="37396ED7"/>
    <w:rsid w:val="37764DF8"/>
    <w:rsid w:val="37AF43BA"/>
    <w:rsid w:val="37C3238F"/>
    <w:rsid w:val="37E80F39"/>
    <w:rsid w:val="37F41BB3"/>
    <w:rsid w:val="38157B80"/>
    <w:rsid w:val="382F5281"/>
    <w:rsid w:val="38455D28"/>
    <w:rsid w:val="38540F22"/>
    <w:rsid w:val="38AE66E1"/>
    <w:rsid w:val="38C15A41"/>
    <w:rsid w:val="38C63024"/>
    <w:rsid w:val="38CD18D2"/>
    <w:rsid w:val="38EB71DA"/>
    <w:rsid w:val="39080D99"/>
    <w:rsid w:val="399519B8"/>
    <w:rsid w:val="39B1799E"/>
    <w:rsid w:val="3A1979FF"/>
    <w:rsid w:val="3A496F92"/>
    <w:rsid w:val="3A684BD0"/>
    <w:rsid w:val="3A7C210F"/>
    <w:rsid w:val="3A8A1CB0"/>
    <w:rsid w:val="3A8C029D"/>
    <w:rsid w:val="3AAF3A0E"/>
    <w:rsid w:val="3B5B1A05"/>
    <w:rsid w:val="3B711D66"/>
    <w:rsid w:val="3B7D4803"/>
    <w:rsid w:val="3B8A0623"/>
    <w:rsid w:val="3B8D40B2"/>
    <w:rsid w:val="3BBC0B3B"/>
    <w:rsid w:val="3BDB63DE"/>
    <w:rsid w:val="3C022718"/>
    <w:rsid w:val="3CEB1852"/>
    <w:rsid w:val="3D05463E"/>
    <w:rsid w:val="3D0F5AFE"/>
    <w:rsid w:val="3D196227"/>
    <w:rsid w:val="3D3E6CE2"/>
    <w:rsid w:val="3DA74BD2"/>
    <w:rsid w:val="3DD63BA2"/>
    <w:rsid w:val="3E5D33E1"/>
    <w:rsid w:val="3E743817"/>
    <w:rsid w:val="3E83186C"/>
    <w:rsid w:val="3E9130FC"/>
    <w:rsid w:val="3E9E5DB4"/>
    <w:rsid w:val="3EC035FB"/>
    <w:rsid w:val="3F5102FC"/>
    <w:rsid w:val="3F662721"/>
    <w:rsid w:val="3F83211A"/>
    <w:rsid w:val="3F9F114C"/>
    <w:rsid w:val="3FBE237E"/>
    <w:rsid w:val="3FCE7AFC"/>
    <w:rsid w:val="3FD008F7"/>
    <w:rsid w:val="3FDC2B95"/>
    <w:rsid w:val="3FF40ABD"/>
    <w:rsid w:val="4028609E"/>
    <w:rsid w:val="40374B23"/>
    <w:rsid w:val="4062059F"/>
    <w:rsid w:val="409B7986"/>
    <w:rsid w:val="40D37DE8"/>
    <w:rsid w:val="40DB10C6"/>
    <w:rsid w:val="40F80713"/>
    <w:rsid w:val="410157A1"/>
    <w:rsid w:val="41025C66"/>
    <w:rsid w:val="41122B16"/>
    <w:rsid w:val="411761DC"/>
    <w:rsid w:val="416870FB"/>
    <w:rsid w:val="41912701"/>
    <w:rsid w:val="41CE7D37"/>
    <w:rsid w:val="41D27A78"/>
    <w:rsid w:val="41D85F1B"/>
    <w:rsid w:val="41DC598D"/>
    <w:rsid w:val="41FA15A4"/>
    <w:rsid w:val="42355F51"/>
    <w:rsid w:val="42465FDE"/>
    <w:rsid w:val="42884742"/>
    <w:rsid w:val="42AE5AE3"/>
    <w:rsid w:val="43205265"/>
    <w:rsid w:val="435A19B8"/>
    <w:rsid w:val="4371153F"/>
    <w:rsid w:val="437319E8"/>
    <w:rsid w:val="43A93B18"/>
    <w:rsid w:val="43B97087"/>
    <w:rsid w:val="43C85B6C"/>
    <w:rsid w:val="44047851"/>
    <w:rsid w:val="441D6C88"/>
    <w:rsid w:val="442335B6"/>
    <w:rsid w:val="444075FB"/>
    <w:rsid w:val="44717C3B"/>
    <w:rsid w:val="4498432F"/>
    <w:rsid w:val="44BE65E0"/>
    <w:rsid w:val="44DA2A97"/>
    <w:rsid w:val="45045AC7"/>
    <w:rsid w:val="455F7633"/>
    <w:rsid w:val="4565432C"/>
    <w:rsid w:val="4571546A"/>
    <w:rsid w:val="458E64E3"/>
    <w:rsid w:val="45B5655D"/>
    <w:rsid w:val="4617028E"/>
    <w:rsid w:val="46490C32"/>
    <w:rsid w:val="465D36F9"/>
    <w:rsid w:val="46601924"/>
    <w:rsid w:val="467266A6"/>
    <w:rsid w:val="4697305B"/>
    <w:rsid w:val="46A56AD1"/>
    <w:rsid w:val="46CC7D06"/>
    <w:rsid w:val="471D5D1F"/>
    <w:rsid w:val="472A4DB0"/>
    <w:rsid w:val="473356F4"/>
    <w:rsid w:val="47373039"/>
    <w:rsid w:val="4738342D"/>
    <w:rsid w:val="474E3444"/>
    <w:rsid w:val="47B274D3"/>
    <w:rsid w:val="481B0885"/>
    <w:rsid w:val="48506B8D"/>
    <w:rsid w:val="48601652"/>
    <w:rsid w:val="486A46AE"/>
    <w:rsid w:val="486C005E"/>
    <w:rsid w:val="488C03BF"/>
    <w:rsid w:val="48BC31D0"/>
    <w:rsid w:val="48C545BC"/>
    <w:rsid w:val="48F65F65"/>
    <w:rsid w:val="49306B00"/>
    <w:rsid w:val="49521BA8"/>
    <w:rsid w:val="499A3893"/>
    <w:rsid w:val="49A530B7"/>
    <w:rsid w:val="49AB1223"/>
    <w:rsid w:val="49B52C28"/>
    <w:rsid w:val="49C50F64"/>
    <w:rsid w:val="49C66E58"/>
    <w:rsid w:val="49C74D88"/>
    <w:rsid w:val="49D436C4"/>
    <w:rsid w:val="49F22054"/>
    <w:rsid w:val="49FF35F0"/>
    <w:rsid w:val="4A5A6C98"/>
    <w:rsid w:val="4A6C1E8B"/>
    <w:rsid w:val="4A7A2ACD"/>
    <w:rsid w:val="4A88530D"/>
    <w:rsid w:val="4A8E43FC"/>
    <w:rsid w:val="4A93053B"/>
    <w:rsid w:val="4AD01BE1"/>
    <w:rsid w:val="4B011FCA"/>
    <w:rsid w:val="4B0E599D"/>
    <w:rsid w:val="4B1F5BC5"/>
    <w:rsid w:val="4B582BD7"/>
    <w:rsid w:val="4B870790"/>
    <w:rsid w:val="4B9C0EE4"/>
    <w:rsid w:val="4BDB4ECF"/>
    <w:rsid w:val="4C0A629B"/>
    <w:rsid w:val="4C1F0DF3"/>
    <w:rsid w:val="4C580BD3"/>
    <w:rsid w:val="4C582B91"/>
    <w:rsid w:val="4C703C6A"/>
    <w:rsid w:val="4C7833EE"/>
    <w:rsid w:val="4C9C1748"/>
    <w:rsid w:val="4C9C7DD3"/>
    <w:rsid w:val="4D202F62"/>
    <w:rsid w:val="4DBB2E72"/>
    <w:rsid w:val="4DCB2E58"/>
    <w:rsid w:val="4E373D90"/>
    <w:rsid w:val="4E7749B9"/>
    <w:rsid w:val="4EA86BDB"/>
    <w:rsid w:val="4EE851A5"/>
    <w:rsid w:val="4F140B78"/>
    <w:rsid w:val="4F2518BB"/>
    <w:rsid w:val="4FA47FEB"/>
    <w:rsid w:val="4FE42F56"/>
    <w:rsid w:val="4FF74ABD"/>
    <w:rsid w:val="501705F4"/>
    <w:rsid w:val="50263228"/>
    <w:rsid w:val="50337DE3"/>
    <w:rsid w:val="503D6F7D"/>
    <w:rsid w:val="505F72C1"/>
    <w:rsid w:val="506967E7"/>
    <w:rsid w:val="50A1369E"/>
    <w:rsid w:val="50E13A61"/>
    <w:rsid w:val="50E768C2"/>
    <w:rsid w:val="510332A5"/>
    <w:rsid w:val="51184E28"/>
    <w:rsid w:val="5146382D"/>
    <w:rsid w:val="514D55B6"/>
    <w:rsid w:val="51704CBB"/>
    <w:rsid w:val="517459E7"/>
    <w:rsid w:val="518911B3"/>
    <w:rsid w:val="519604B6"/>
    <w:rsid w:val="51AF1EBF"/>
    <w:rsid w:val="51B75200"/>
    <w:rsid w:val="51BA1695"/>
    <w:rsid w:val="520118FC"/>
    <w:rsid w:val="521F1472"/>
    <w:rsid w:val="521F586A"/>
    <w:rsid w:val="523D1809"/>
    <w:rsid w:val="524940D1"/>
    <w:rsid w:val="52CE3B68"/>
    <w:rsid w:val="52EC4C08"/>
    <w:rsid w:val="54114993"/>
    <w:rsid w:val="542E2783"/>
    <w:rsid w:val="542F1216"/>
    <w:rsid w:val="546820CD"/>
    <w:rsid w:val="54913A31"/>
    <w:rsid w:val="54C52B79"/>
    <w:rsid w:val="54D8158B"/>
    <w:rsid w:val="54F24A86"/>
    <w:rsid w:val="55160719"/>
    <w:rsid w:val="552E5396"/>
    <w:rsid w:val="553118B0"/>
    <w:rsid w:val="559001B2"/>
    <w:rsid w:val="55A57758"/>
    <w:rsid w:val="55B2291D"/>
    <w:rsid w:val="55B57121"/>
    <w:rsid w:val="55E318A6"/>
    <w:rsid w:val="566121E5"/>
    <w:rsid w:val="56CC45F9"/>
    <w:rsid w:val="56F0380D"/>
    <w:rsid w:val="571C6F11"/>
    <w:rsid w:val="571D2CE1"/>
    <w:rsid w:val="576E2CF5"/>
    <w:rsid w:val="57B94EB3"/>
    <w:rsid w:val="57C06E42"/>
    <w:rsid w:val="57EB2BCA"/>
    <w:rsid w:val="5806221B"/>
    <w:rsid w:val="58290EC7"/>
    <w:rsid w:val="58AC24B2"/>
    <w:rsid w:val="58B87927"/>
    <w:rsid w:val="592A55C1"/>
    <w:rsid w:val="593144FC"/>
    <w:rsid w:val="5A2B3125"/>
    <w:rsid w:val="5A4B7271"/>
    <w:rsid w:val="5A521EF4"/>
    <w:rsid w:val="5A6D682C"/>
    <w:rsid w:val="5ACD342C"/>
    <w:rsid w:val="5B0A0DD2"/>
    <w:rsid w:val="5B3B15CF"/>
    <w:rsid w:val="5B6E0F16"/>
    <w:rsid w:val="5B7A1B2D"/>
    <w:rsid w:val="5BEB64C0"/>
    <w:rsid w:val="5C104A5B"/>
    <w:rsid w:val="5C1551FE"/>
    <w:rsid w:val="5C3366A7"/>
    <w:rsid w:val="5C5408DC"/>
    <w:rsid w:val="5C633523"/>
    <w:rsid w:val="5CA64F1D"/>
    <w:rsid w:val="5CC01720"/>
    <w:rsid w:val="5CCA5A2B"/>
    <w:rsid w:val="5CED0088"/>
    <w:rsid w:val="5D1A42DE"/>
    <w:rsid w:val="5D4221F0"/>
    <w:rsid w:val="5DC27194"/>
    <w:rsid w:val="5DD059F6"/>
    <w:rsid w:val="5E057968"/>
    <w:rsid w:val="5E09322F"/>
    <w:rsid w:val="5EA726FD"/>
    <w:rsid w:val="5EA82DB6"/>
    <w:rsid w:val="5EAE4130"/>
    <w:rsid w:val="5EF71F20"/>
    <w:rsid w:val="5F001790"/>
    <w:rsid w:val="5F33152F"/>
    <w:rsid w:val="5F726888"/>
    <w:rsid w:val="5F751977"/>
    <w:rsid w:val="5F844AC4"/>
    <w:rsid w:val="5FA50DD3"/>
    <w:rsid w:val="5FFA1C96"/>
    <w:rsid w:val="600913B2"/>
    <w:rsid w:val="60754BB7"/>
    <w:rsid w:val="60762229"/>
    <w:rsid w:val="60764CF9"/>
    <w:rsid w:val="60AC6FBA"/>
    <w:rsid w:val="610A32A7"/>
    <w:rsid w:val="61354A1E"/>
    <w:rsid w:val="61552F0D"/>
    <w:rsid w:val="620B22C0"/>
    <w:rsid w:val="623E7551"/>
    <w:rsid w:val="624A5543"/>
    <w:rsid w:val="62907492"/>
    <w:rsid w:val="62FB32C7"/>
    <w:rsid w:val="630768CC"/>
    <w:rsid w:val="63091291"/>
    <w:rsid w:val="631F1C72"/>
    <w:rsid w:val="63462E7A"/>
    <w:rsid w:val="635E0683"/>
    <w:rsid w:val="63672749"/>
    <w:rsid w:val="63AC6F8D"/>
    <w:rsid w:val="63CA58DD"/>
    <w:rsid w:val="63CE356C"/>
    <w:rsid w:val="63D424EF"/>
    <w:rsid w:val="63D67F31"/>
    <w:rsid w:val="63E35D12"/>
    <w:rsid w:val="63FE4EB5"/>
    <w:rsid w:val="640B10BF"/>
    <w:rsid w:val="6418486A"/>
    <w:rsid w:val="64184C55"/>
    <w:rsid w:val="645C08F1"/>
    <w:rsid w:val="64754CB1"/>
    <w:rsid w:val="64831D2E"/>
    <w:rsid w:val="64844338"/>
    <w:rsid w:val="648A47B6"/>
    <w:rsid w:val="648F4E80"/>
    <w:rsid w:val="64EE053F"/>
    <w:rsid w:val="654477AC"/>
    <w:rsid w:val="6558590B"/>
    <w:rsid w:val="65676711"/>
    <w:rsid w:val="65C06265"/>
    <w:rsid w:val="666004AD"/>
    <w:rsid w:val="668A2862"/>
    <w:rsid w:val="66F74058"/>
    <w:rsid w:val="670B0904"/>
    <w:rsid w:val="671202EA"/>
    <w:rsid w:val="671F6FDB"/>
    <w:rsid w:val="672F0CB1"/>
    <w:rsid w:val="67556715"/>
    <w:rsid w:val="67902998"/>
    <w:rsid w:val="679720DB"/>
    <w:rsid w:val="67BB3C02"/>
    <w:rsid w:val="67C948C8"/>
    <w:rsid w:val="67F14957"/>
    <w:rsid w:val="680545F9"/>
    <w:rsid w:val="68127CA1"/>
    <w:rsid w:val="68462EA0"/>
    <w:rsid w:val="6854743C"/>
    <w:rsid w:val="68A13454"/>
    <w:rsid w:val="68EC7CB2"/>
    <w:rsid w:val="68FD4C1B"/>
    <w:rsid w:val="69300193"/>
    <w:rsid w:val="69406EC7"/>
    <w:rsid w:val="69741C50"/>
    <w:rsid w:val="69CD1302"/>
    <w:rsid w:val="69D24549"/>
    <w:rsid w:val="6A1C1474"/>
    <w:rsid w:val="6A633F0C"/>
    <w:rsid w:val="6A6754CD"/>
    <w:rsid w:val="6A945A9B"/>
    <w:rsid w:val="6AA563A9"/>
    <w:rsid w:val="6AEA2988"/>
    <w:rsid w:val="6B0D6695"/>
    <w:rsid w:val="6B155834"/>
    <w:rsid w:val="6B18088B"/>
    <w:rsid w:val="6B294019"/>
    <w:rsid w:val="6B537455"/>
    <w:rsid w:val="6BA07380"/>
    <w:rsid w:val="6BE10C67"/>
    <w:rsid w:val="6C490484"/>
    <w:rsid w:val="6C930AE4"/>
    <w:rsid w:val="6CA41265"/>
    <w:rsid w:val="6CA874F3"/>
    <w:rsid w:val="6CC10560"/>
    <w:rsid w:val="6CC91860"/>
    <w:rsid w:val="6CD5347D"/>
    <w:rsid w:val="6CF55FCB"/>
    <w:rsid w:val="6CFC2451"/>
    <w:rsid w:val="6D035459"/>
    <w:rsid w:val="6D1A42F7"/>
    <w:rsid w:val="6D1C038D"/>
    <w:rsid w:val="6D777B45"/>
    <w:rsid w:val="6D8215FE"/>
    <w:rsid w:val="6D93291F"/>
    <w:rsid w:val="6D9838BD"/>
    <w:rsid w:val="6DD0636B"/>
    <w:rsid w:val="6DD72F0E"/>
    <w:rsid w:val="6DE74E84"/>
    <w:rsid w:val="6E033242"/>
    <w:rsid w:val="6E102A0C"/>
    <w:rsid w:val="6E176BDB"/>
    <w:rsid w:val="6E450AE0"/>
    <w:rsid w:val="6E636E1D"/>
    <w:rsid w:val="6E87135C"/>
    <w:rsid w:val="6EB159C7"/>
    <w:rsid w:val="6EC05B55"/>
    <w:rsid w:val="6EC73260"/>
    <w:rsid w:val="6EE460F8"/>
    <w:rsid w:val="6F0C033D"/>
    <w:rsid w:val="6F24276B"/>
    <w:rsid w:val="6F25742D"/>
    <w:rsid w:val="6F3B0EF7"/>
    <w:rsid w:val="6F5748DD"/>
    <w:rsid w:val="6F6A455F"/>
    <w:rsid w:val="6F760B24"/>
    <w:rsid w:val="6FD85B76"/>
    <w:rsid w:val="700B3712"/>
    <w:rsid w:val="702D7F6B"/>
    <w:rsid w:val="703B084C"/>
    <w:rsid w:val="704310D1"/>
    <w:rsid w:val="706D3C70"/>
    <w:rsid w:val="70A94CC8"/>
    <w:rsid w:val="70B70481"/>
    <w:rsid w:val="70CD6221"/>
    <w:rsid w:val="710E3010"/>
    <w:rsid w:val="71D92F74"/>
    <w:rsid w:val="721232F7"/>
    <w:rsid w:val="7214068D"/>
    <w:rsid w:val="72876DEB"/>
    <w:rsid w:val="72C044A1"/>
    <w:rsid w:val="72C82DDB"/>
    <w:rsid w:val="72CE307C"/>
    <w:rsid w:val="72CF5F88"/>
    <w:rsid w:val="72D8279D"/>
    <w:rsid w:val="731B682F"/>
    <w:rsid w:val="73213242"/>
    <w:rsid w:val="733F310D"/>
    <w:rsid w:val="736C0658"/>
    <w:rsid w:val="739C685F"/>
    <w:rsid w:val="73C6697E"/>
    <w:rsid w:val="742B41E8"/>
    <w:rsid w:val="74BE03A6"/>
    <w:rsid w:val="74BE288E"/>
    <w:rsid w:val="75315330"/>
    <w:rsid w:val="7547484E"/>
    <w:rsid w:val="75537FCB"/>
    <w:rsid w:val="75AD1FE0"/>
    <w:rsid w:val="75D448D6"/>
    <w:rsid w:val="75DC75CE"/>
    <w:rsid w:val="760358FD"/>
    <w:rsid w:val="76067A3F"/>
    <w:rsid w:val="760826FB"/>
    <w:rsid w:val="762B1C02"/>
    <w:rsid w:val="76783F09"/>
    <w:rsid w:val="767A627F"/>
    <w:rsid w:val="76970BE9"/>
    <w:rsid w:val="76AB31AF"/>
    <w:rsid w:val="76C02781"/>
    <w:rsid w:val="76CF41D8"/>
    <w:rsid w:val="76F13CA5"/>
    <w:rsid w:val="76FB702E"/>
    <w:rsid w:val="772F0A16"/>
    <w:rsid w:val="777C2CA0"/>
    <w:rsid w:val="778B254E"/>
    <w:rsid w:val="77900E7D"/>
    <w:rsid w:val="77EE3255"/>
    <w:rsid w:val="782D0FE6"/>
    <w:rsid w:val="78623394"/>
    <w:rsid w:val="7872717E"/>
    <w:rsid w:val="78B00EED"/>
    <w:rsid w:val="78EB42AB"/>
    <w:rsid w:val="79135EA3"/>
    <w:rsid w:val="791F21A9"/>
    <w:rsid w:val="794C7835"/>
    <w:rsid w:val="796B347E"/>
    <w:rsid w:val="79902E08"/>
    <w:rsid w:val="79B77AFD"/>
    <w:rsid w:val="79D73853"/>
    <w:rsid w:val="7A0D48AB"/>
    <w:rsid w:val="7A5B3CF3"/>
    <w:rsid w:val="7A9A1EA4"/>
    <w:rsid w:val="7AA0261E"/>
    <w:rsid w:val="7AB819AD"/>
    <w:rsid w:val="7ABA4E4E"/>
    <w:rsid w:val="7AF84F8C"/>
    <w:rsid w:val="7AFD5EEC"/>
    <w:rsid w:val="7B127A63"/>
    <w:rsid w:val="7B1A2C8D"/>
    <w:rsid w:val="7B2F3497"/>
    <w:rsid w:val="7B6B270A"/>
    <w:rsid w:val="7B6D3913"/>
    <w:rsid w:val="7BB32526"/>
    <w:rsid w:val="7BB53C3F"/>
    <w:rsid w:val="7BBC5AB7"/>
    <w:rsid w:val="7BBE3A01"/>
    <w:rsid w:val="7BCD6BDC"/>
    <w:rsid w:val="7C0C11A8"/>
    <w:rsid w:val="7C14735D"/>
    <w:rsid w:val="7C3E12A0"/>
    <w:rsid w:val="7C510C49"/>
    <w:rsid w:val="7C5A5435"/>
    <w:rsid w:val="7C993A37"/>
    <w:rsid w:val="7CAB1C8C"/>
    <w:rsid w:val="7CD767AA"/>
    <w:rsid w:val="7D255415"/>
    <w:rsid w:val="7D325471"/>
    <w:rsid w:val="7D374FCD"/>
    <w:rsid w:val="7D424EAA"/>
    <w:rsid w:val="7D464CFB"/>
    <w:rsid w:val="7D7A588D"/>
    <w:rsid w:val="7D841B3F"/>
    <w:rsid w:val="7DC02A7D"/>
    <w:rsid w:val="7DD341AE"/>
    <w:rsid w:val="7E0C219E"/>
    <w:rsid w:val="7E18219E"/>
    <w:rsid w:val="7E206EC8"/>
    <w:rsid w:val="7E286A6E"/>
    <w:rsid w:val="7E490FDF"/>
    <w:rsid w:val="7E681C8F"/>
    <w:rsid w:val="7E750D36"/>
    <w:rsid w:val="7EA94C29"/>
    <w:rsid w:val="7ED515EB"/>
    <w:rsid w:val="7F360D4C"/>
    <w:rsid w:val="7F5C1428"/>
    <w:rsid w:val="7F610DF9"/>
    <w:rsid w:val="7F7C6DCD"/>
    <w:rsid w:val="7FD13BEB"/>
    <w:rsid w:val="7FEF62ED"/>
    <w:rsid w:val="7FF7422F"/>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iPriority="99" w:semiHidden="0" w:name="annotation text"/>
    <w:lsdException w:qFormat="1" w:unhideWhenUsed="0" w:uiPriority="0" w:semiHidden="0" w:name="header"/>
    <w:lsdException w:qFormat="1" w:unhideWhenUsed="0"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qFormat="1" w:unhideWhenUsed="0" w:uiPriority="0" w:semiHidden="0" w:name="List Number"/>
    <w:lsdException w:qFormat="1" w:uiPriority="99" w:semiHidden="0"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iPriority="0" w:semiHidden="0" w:name="Body Text First Indent"/>
    <w:lsdException w:qFormat="1" w:uiPriority="99" w:semiHidden="0" w:name="Body Text First Indent 2"/>
    <w:lsdException w:uiPriority="99" w:name="Note Heading"/>
    <w:lsdException w:qFormat="1" w:unhideWhenUsed="0" w:uiPriority="0" w:semiHidden="0"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qFormat="1" w:uiPriority="99" w:semiHidden="0" w:name="FollowedHyperlink"/>
    <w:lsdException w:qFormat="1" w:unhideWhenUsed="0" w:uiPriority="0" w:semiHidden="0" w:name="Strong"/>
    <w:lsdException w:qFormat="1" w:unhideWhenUsed="0" w:uiPriority="20" w:semiHidden="0" w:name="Emphasis"/>
    <w:lsdException w:qFormat="1" w:uiPriority="99"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8"/>
      <w:szCs w:val="24"/>
      <w:lang w:val="en-US" w:eastAsia="zh-CN" w:bidi="ar-SA"/>
    </w:rPr>
  </w:style>
  <w:style w:type="paragraph" w:styleId="3">
    <w:name w:val="heading 1"/>
    <w:basedOn w:val="1"/>
    <w:next w:val="1"/>
    <w:link w:val="57"/>
    <w:qFormat/>
    <w:uiPriority w:val="9"/>
    <w:pPr>
      <w:keepNext/>
      <w:keepLines/>
      <w:spacing w:before="340" w:after="330" w:line="578" w:lineRule="auto"/>
      <w:outlineLvl w:val="0"/>
    </w:pPr>
    <w:rPr>
      <w:b/>
      <w:bCs/>
      <w:kern w:val="44"/>
      <w:sz w:val="44"/>
      <w:szCs w:val="44"/>
    </w:rPr>
  </w:style>
  <w:style w:type="paragraph" w:styleId="4">
    <w:name w:val="heading 2"/>
    <w:basedOn w:val="1"/>
    <w:next w:val="1"/>
    <w:link w:val="64"/>
    <w:qFormat/>
    <w:uiPriority w:val="9"/>
    <w:pPr>
      <w:keepNext/>
      <w:keepLines/>
      <w:spacing w:before="260" w:after="260" w:line="416" w:lineRule="auto"/>
      <w:outlineLvl w:val="1"/>
    </w:pPr>
    <w:rPr>
      <w:rFonts w:ascii="Cambria" w:hAnsi="Cambria"/>
      <w:b/>
      <w:bCs/>
      <w:sz w:val="32"/>
      <w:szCs w:val="32"/>
    </w:rPr>
  </w:style>
  <w:style w:type="character" w:default="1" w:styleId="26">
    <w:name w:val="Default Paragraph Font"/>
    <w:semiHidden/>
    <w:unhideWhenUsed/>
    <w:qFormat/>
    <w:uiPriority w:val="1"/>
  </w:style>
  <w:style w:type="table" w:default="1" w:styleId="24">
    <w:name w:val="Normal Table"/>
    <w:semiHidden/>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Layout w:type="fixed"/>
      <w:tblCellMar>
        <w:top w:w="0" w:type="dxa"/>
        <w:left w:w="108" w:type="dxa"/>
        <w:bottom w:w="0" w:type="dxa"/>
        <w:right w:w="108" w:type="dxa"/>
      </w:tblCellMar>
    </w:tblPr>
  </w:style>
  <w:style w:type="paragraph" w:styleId="2">
    <w:name w:val="Body Text Indent"/>
    <w:basedOn w:val="1"/>
    <w:next w:val="1"/>
    <w:link w:val="53"/>
    <w:qFormat/>
    <w:uiPriority w:val="0"/>
    <w:pPr>
      <w:spacing w:line="200" w:lineRule="atLeast"/>
      <w:ind w:firstLine="301"/>
    </w:pPr>
    <w:rPr>
      <w:rFonts w:ascii="宋体" w:hAnsi="Courier New"/>
      <w:spacing w:val="-4"/>
      <w:sz w:val="18"/>
      <w:szCs w:val="20"/>
    </w:rPr>
  </w:style>
  <w:style w:type="paragraph" w:styleId="5">
    <w:name w:val="List Number"/>
    <w:basedOn w:val="1"/>
    <w:qFormat/>
    <w:uiPriority w:val="0"/>
    <w:pPr>
      <w:widowControl/>
      <w:numPr>
        <w:ilvl w:val="0"/>
        <w:numId w:val="1"/>
      </w:numPr>
      <w:tabs>
        <w:tab w:val="left" w:pos="454"/>
        <w:tab w:val="clear" w:pos="720"/>
      </w:tabs>
      <w:spacing w:afterLines="50"/>
      <w:ind w:left="454" w:hanging="284"/>
      <w:jc w:val="left"/>
    </w:pPr>
    <w:rPr>
      <w:kern w:val="0"/>
      <w:sz w:val="24"/>
      <w:szCs w:val="20"/>
    </w:rPr>
  </w:style>
  <w:style w:type="paragraph" w:styleId="6">
    <w:name w:val="Normal Indent"/>
    <w:basedOn w:val="1"/>
    <w:link w:val="44"/>
    <w:qFormat/>
    <w:uiPriority w:val="0"/>
    <w:pPr>
      <w:ind w:firstLine="420"/>
    </w:pPr>
    <w:rPr>
      <w:sz w:val="21"/>
      <w:szCs w:val="20"/>
    </w:rPr>
  </w:style>
  <w:style w:type="paragraph" w:styleId="7">
    <w:name w:val="caption"/>
    <w:basedOn w:val="1"/>
    <w:next w:val="1"/>
    <w:qFormat/>
    <w:uiPriority w:val="0"/>
    <w:pPr>
      <w:spacing w:before="152" w:after="160"/>
    </w:pPr>
    <w:rPr>
      <w:rFonts w:ascii="Arial" w:hAnsi="Arial" w:eastAsia="黑体" w:cs="Arial"/>
      <w:sz w:val="20"/>
      <w:szCs w:val="20"/>
    </w:rPr>
  </w:style>
  <w:style w:type="paragraph" w:styleId="8">
    <w:name w:val="Document Map"/>
    <w:basedOn w:val="1"/>
    <w:link w:val="78"/>
    <w:semiHidden/>
    <w:unhideWhenUsed/>
    <w:qFormat/>
    <w:uiPriority w:val="99"/>
    <w:rPr>
      <w:rFonts w:ascii="宋体"/>
      <w:sz w:val="18"/>
      <w:szCs w:val="18"/>
    </w:rPr>
  </w:style>
  <w:style w:type="paragraph" w:styleId="9">
    <w:name w:val="annotation text"/>
    <w:basedOn w:val="1"/>
    <w:link w:val="52"/>
    <w:unhideWhenUsed/>
    <w:qFormat/>
    <w:uiPriority w:val="99"/>
    <w:pPr>
      <w:jc w:val="left"/>
    </w:pPr>
  </w:style>
  <w:style w:type="paragraph" w:styleId="10">
    <w:name w:val="Body Text"/>
    <w:qFormat/>
    <w:uiPriority w:val="0"/>
    <w:pPr>
      <w:widowControl w:val="0"/>
      <w:jc w:val="both"/>
    </w:pPr>
    <w:rPr>
      <w:rFonts w:ascii="Times New Roman" w:hAnsi="Times New Roman" w:eastAsia="宋体" w:cs="Times New Roman"/>
      <w:kern w:val="2"/>
      <w:sz w:val="24"/>
      <w:szCs w:val="24"/>
      <w:lang w:val="en-US" w:eastAsia="zh-CN" w:bidi="ar-SA"/>
    </w:rPr>
  </w:style>
  <w:style w:type="paragraph" w:styleId="11">
    <w:name w:val="List 2"/>
    <w:basedOn w:val="1"/>
    <w:unhideWhenUsed/>
    <w:qFormat/>
    <w:uiPriority w:val="99"/>
    <w:pPr>
      <w:ind w:left="100" w:leftChars="200" w:hanging="200" w:hangingChars="200"/>
      <w:contextualSpacing/>
    </w:pPr>
  </w:style>
  <w:style w:type="paragraph" w:styleId="12">
    <w:name w:val="Plain Text"/>
    <w:basedOn w:val="1"/>
    <w:link w:val="42"/>
    <w:qFormat/>
    <w:uiPriority w:val="0"/>
    <w:pPr>
      <w:spacing w:beforeLines="50" w:afterLines="50" w:line="400" w:lineRule="atLeast"/>
    </w:pPr>
    <w:rPr>
      <w:rFonts w:ascii="宋体" w:hAnsi="Courier New"/>
      <w:sz w:val="24"/>
    </w:rPr>
  </w:style>
  <w:style w:type="paragraph" w:styleId="13">
    <w:name w:val="Date"/>
    <w:basedOn w:val="1"/>
    <w:next w:val="1"/>
    <w:qFormat/>
    <w:uiPriority w:val="0"/>
    <w:pPr>
      <w:ind w:left="2500" w:leftChars="2500"/>
    </w:pPr>
    <w:rPr>
      <w:rFonts w:eastAsia="楷体_GB2312"/>
      <w:sz w:val="32"/>
      <w:szCs w:val="20"/>
    </w:rPr>
  </w:style>
  <w:style w:type="paragraph" w:styleId="14">
    <w:name w:val="Balloon Text"/>
    <w:basedOn w:val="1"/>
    <w:qFormat/>
    <w:uiPriority w:val="0"/>
    <w:rPr>
      <w:sz w:val="18"/>
      <w:szCs w:val="18"/>
    </w:rPr>
  </w:style>
  <w:style w:type="paragraph" w:styleId="15">
    <w:name w:val="footer"/>
    <w:basedOn w:val="1"/>
    <w:link w:val="34"/>
    <w:qFormat/>
    <w:uiPriority w:val="99"/>
    <w:pPr>
      <w:tabs>
        <w:tab w:val="center" w:pos="4153"/>
        <w:tab w:val="right" w:pos="8306"/>
      </w:tabs>
      <w:snapToGrid w:val="0"/>
      <w:jc w:val="left"/>
    </w:pPr>
    <w:rPr>
      <w:sz w:val="18"/>
      <w:szCs w:val="18"/>
    </w:rPr>
  </w:style>
  <w:style w:type="paragraph" w:styleId="16">
    <w:name w:val="header"/>
    <w:basedOn w:val="1"/>
    <w:qFormat/>
    <w:uiPriority w:val="0"/>
    <w:pPr>
      <w:tabs>
        <w:tab w:val="center" w:pos="4153"/>
        <w:tab w:val="right" w:pos="8306"/>
      </w:tabs>
      <w:snapToGrid w:val="0"/>
      <w:jc w:val="center"/>
    </w:pPr>
    <w:rPr>
      <w:sz w:val="18"/>
      <w:szCs w:val="18"/>
    </w:rPr>
  </w:style>
  <w:style w:type="paragraph" w:styleId="17">
    <w:name w:val="List"/>
    <w:basedOn w:val="1"/>
    <w:qFormat/>
    <w:uiPriority w:val="0"/>
    <w:pPr>
      <w:ind w:left="200" w:hanging="200" w:hangingChars="200"/>
    </w:pPr>
  </w:style>
  <w:style w:type="paragraph" w:styleId="18">
    <w:name w:val="Body Text 2"/>
    <w:basedOn w:val="1"/>
    <w:qFormat/>
    <w:uiPriority w:val="0"/>
    <w:pPr>
      <w:widowControl/>
      <w:snapToGrid w:val="0"/>
      <w:spacing w:before="50" w:afterLines="50" w:line="400" w:lineRule="atLeast"/>
      <w:jc w:val="left"/>
    </w:pPr>
    <w:rPr>
      <w:rFonts w:hint="eastAsia" w:ascii="宋体" w:hAnsi="宋体"/>
      <w:color w:val="000000"/>
      <w:sz w:val="24"/>
    </w:rPr>
  </w:style>
  <w:style w:type="paragraph" w:styleId="19">
    <w:name w:val="Normal (Web)"/>
    <w:basedOn w:val="1"/>
    <w:qFormat/>
    <w:uiPriority w:val="99"/>
    <w:pPr>
      <w:widowControl/>
      <w:spacing w:before="100" w:beforeAutospacing="1" w:after="100" w:afterAutospacing="1"/>
      <w:ind w:firstLine="420"/>
      <w:jc w:val="left"/>
    </w:pPr>
    <w:rPr>
      <w:rFonts w:ascii="宋体" w:hAnsi="宋体"/>
      <w:kern w:val="0"/>
      <w:sz w:val="20"/>
      <w:szCs w:val="20"/>
    </w:rPr>
  </w:style>
  <w:style w:type="paragraph" w:styleId="20">
    <w:name w:val="Title"/>
    <w:basedOn w:val="1"/>
    <w:link w:val="43"/>
    <w:qFormat/>
    <w:uiPriority w:val="0"/>
    <w:pPr>
      <w:widowControl/>
      <w:overflowPunct w:val="0"/>
      <w:autoSpaceDE w:val="0"/>
      <w:autoSpaceDN w:val="0"/>
      <w:adjustRightInd w:val="0"/>
      <w:jc w:val="center"/>
      <w:textAlignment w:val="baseline"/>
    </w:pPr>
    <w:rPr>
      <w:b/>
      <w:kern w:val="0"/>
      <w:sz w:val="24"/>
      <w:szCs w:val="20"/>
      <w:lang w:val="en-GB"/>
    </w:rPr>
  </w:style>
  <w:style w:type="paragraph" w:styleId="21">
    <w:name w:val="annotation subject"/>
    <w:basedOn w:val="9"/>
    <w:next w:val="9"/>
    <w:link w:val="60"/>
    <w:unhideWhenUsed/>
    <w:qFormat/>
    <w:uiPriority w:val="99"/>
    <w:rPr>
      <w:b/>
      <w:bCs/>
    </w:rPr>
  </w:style>
  <w:style w:type="paragraph" w:styleId="22">
    <w:name w:val="Body Text First Indent"/>
    <w:unhideWhenUsed/>
    <w:qFormat/>
    <w:uiPriority w:val="0"/>
    <w:pPr>
      <w:widowControl w:val="0"/>
      <w:spacing w:after="120"/>
      <w:ind w:firstLine="420" w:firstLineChars="100"/>
      <w:jc w:val="both"/>
    </w:pPr>
    <w:rPr>
      <w:rFonts w:ascii="Times New Roman" w:hAnsi="Times New Roman" w:eastAsia="宋体" w:cs="Times New Roman"/>
      <w:kern w:val="2"/>
      <w:sz w:val="21"/>
      <w:szCs w:val="24"/>
      <w:lang w:val="en-US" w:eastAsia="zh-CN" w:bidi="ar-SA"/>
    </w:rPr>
  </w:style>
  <w:style w:type="paragraph" w:styleId="23">
    <w:name w:val="Body Text First Indent 2"/>
    <w:basedOn w:val="2"/>
    <w:unhideWhenUsed/>
    <w:qFormat/>
    <w:uiPriority w:val="99"/>
    <w:pPr>
      <w:ind w:firstLine="420"/>
    </w:pPr>
  </w:style>
  <w:style w:type="table" w:styleId="25">
    <w:name w:val="Table Grid"/>
    <w:basedOn w:val="24"/>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character" w:styleId="27">
    <w:name w:val="Strong"/>
    <w:qFormat/>
    <w:uiPriority w:val="0"/>
    <w:rPr>
      <w:b/>
      <w:bCs/>
    </w:rPr>
  </w:style>
  <w:style w:type="character" w:styleId="28">
    <w:name w:val="page number"/>
    <w:basedOn w:val="26"/>
    <w:qFormat/>
    <w:uiPriority w:val="0"/>
  </w:style>
  <w:style w:type="character" w:styleId="29">
    <w:name w:val="FollowedHyperlink"/>
    <w:basedOn w:val="26"/>
    <w:unhideWhenUsed/>
    <w:qFormat/>
    <w:uiPriority w:val="99"/>
    <w:rPr>
      <w:color w:val="5579A7"/>
      <w:u w:val="none"/>
    </w:rPr>
  </w:style>
  <w:style w:type="character" w:styleId="30">
    <w:name w:val="Hyperlink"/>
    <w:basedOn w:val="26"/>
    <w:qFormat/>
    <w:uiPriority w:val="0"/>
    <w:rPr>
      <w:color w:val="5579A7"/>
      <w:u w:val="none"/>
    </w:rPr>
  </w:style>
  <w:style w:type="character" w:styleId="31">
    <w:name w:val="annotation reference"/>
    <w:unhideWhenUsed/>
    <w:qFormat/>
    <w:uiPriority w:val="99"/>
    <w:rPr>
      <w:sz w:val="21"/>
      <w:szCs w:val="21"/>
    </w:rPr>
  </w:style>
  <w:style w:type="paragraph" w:customStyle="1" w:styleId="32">
    <w:name w:val="Default"/>
    <w:next w:val="33"/>
    <w:qFormat/>
    <w:uiPriority w:val="0"/>
    <w:pPr>
      <w:widowControl w:val="0"/>
      <w:autoSpaceDE w:val="0"/>
      <w:autoSpaceDN w:val="0"/>
      <w:adjustRightInd w:val="0"/>
    </w:pPr>
    <w:rPr>
      <w:rFonts w:ascii="Arial" w:hAnsi="Arial" w:eastAsia="宋体" w:cs="Arial"/>
      <w:color w:val="000000"/>
      <w:sz w:val="24"/>
      <w:szCs w:val="24"/>
      <w:lang w:val="en-US" w:eastAsia="zh-CN" w:bidi="ar-SA"/>
    </w:rPr>
  </w:style>
  <w:style w:type="paragraph" w:customStyle="1" w:styleId="33">
    <w:name w:val="目录 71"/>
    <w:next w:val="1"/>
    <w:qFormat/>
    <w:uiPriority w:val="0"/>
    <w:pPr>
      <w:wordWrap w:val="0"/>
      <w:ind w:left="2550"/>
      <w:jc w:val="both"/>
    </w:pPr>
    <w:rPr>
      <w:rFonts w:ascii="Times New Roman" w:hAnsi="Times New Roman" w:eastAsia="宋体" w:cs="Times New Roman"/>
      <w:sz w:val="21"/>
      <w:szCs w:val="22"/>
      <w:lang w:val="en-US" w:eastAsia="zh-CN" w:bidi="ar-SA"/>
    </w:rPr>
  </w:style>
  <w:style w:type="character" w:customStyle="1" w:styleId="34">
    <w:name w:val="页脚 Char"/>
    <w:link w:val="15"/>
    <w:qFormat/>
    <w:uiPriority w:val="99"/>
    <w:rPr>
      <w:kern w:val="2"/>
      <w:sz w:val="18"/>
      <w:szCs w:val="18"/>
    </w:rPr>
  </w:style>
  <w:style w:type="character" w:customStyle="1" w:styleId="35">
    <w:name w:val="sub_title s0"/>
    <w:basedOn w:val="26"/>
    <w:qFormat/>
    <w:uiPriority w:val="0"/>
  </w:style>
  <w:style w:type="character" w:customStyle="1" w:styleId="36">
    <w:name w:val="正文文本缩进 字符"/>
    <w:qFormat/>
    <w:uiPriority w:val="0"/>
    <w:rPr>
      <w:rFonts w:ascii="宋体" w:hAnsi="Courier New"/>
      <w:spacing w:val="-4"/>
      <w:kern w:val="2"/>
      <w:sz w:val="18"/>
    </w:rPr>
  </w:style>
  <w:style w:type="character" w:customStyle="1" w:styleId="37">
    <w:name w:val="jbox-icon-info"/>
    <w:basedOn w:val="26"/>
    <w:qFormat/>
    <w:uiPriority w:val="0"/>
  </w:style>
  <w:style w:type="character" w:customStyle="1" w:styleId="38">
    <w:name w:val="Plain Text Char Char"/>
    <w:link w:val="39"/>
    <w:qFormat/>
    <w:uiPriority w:val="0"/>
    <w:rPr>
      <w:rFonts w:ascii="宋体" w:hAnsi="Courier New" w:cs="宋体"/>
    </w:rPr>
  </w:style>
  <w:style w:type="paragraph" w:customStyle="1" w:styleId="39">
    <w:name w:val="纯文本1"/>
    <w:basedOn w:val="1"/>
    <w:link w:val="38"/>
    <w:qFormat/>
    <w:uiPriority w:val="0"/>
    <w:rPr>
      <w:rFonts w:ascii="宋体" w:hAnsi="Courier New" w:cs="宋体"/>
      <w:kern w:val="0"/>
      <w:sz w:val="20"/>
      <w:szCs w:val="20"/>
    </w:rPr>
  </w:style>
  <w:style w:type="character" w:customStyle="1" w:styleId="40">
    <w:name w:val="black601"/>
    <w:qFormat/>
    <w:uiPriority w:val="0"/>
    <w:rPr>
      <w:color w:val="666666"/>
    </w:rPr>
  </w:style>
  <w:style w:type="character" w:customStyle="1" w:styleId="41">
    <w:name w:val="纯文本 Char"/>
    <w:qFormat/>
    <w:uiPriority w:val="99"/>
    <w:rPr>
      <w:rFonts w:ascii="宋体" w:hAnsi="Courier New"/>
      <w:kern w:val="2"/>
      <w:sz w:val="24"/>
      <w:szCs w:val="24"/>
    </w:rPr>
  </w:style>
  <w:style w:type="character" w:customStyle="1" w:styleId="42">
    <w:name w:val="纯文本 Char2"/>
    <w:link w:val="12"/>
    <w:qFormat/>
    <w:uiPriority w:val="0"/>
    <w:rPr>
      <w:rFonts w:ascii="宋体" w:hAnsi="Courier New"/>
      <w:kern w:val="2"/>
      <w:sz w:val="24"/>
      <w:szCs w:val="24"/>
    </w:rPr>
  </w:style>
  <w:style w:type="character" w:customStyle="1" w:styleId="43">
    <w:name w:val="标题 Char"/>
    <w:link w:val="20"/>
    <w:qFormat/>
    <w:uiPriority w:val="0"/>
    <w:rPr>
      <w:b/>
      <w:sz w:val="24"/>
      <w:lang w:val="en-GB"/>
    </w:rPr>
  </w:style>
  <w:style w:type="character" w:customStyle="1" w:styleId="44">
    <w:name w:val="正文缩进 Char"/>
    <w:link w:val="6"/>
    <w:qFormat/>
    <w:uiPriority w:val="0"/>
    <w:rPr>
      <w:rFonts w:eastAsia="宋体"/>
      <w:kern w:val="2"/>
      <w:sz w:val="21"/>
      <w:lang w:val="en-US" w:eastAsia="zh-CN" w:bidi="ar-SA"/>
    </w:rPr>
  </w:style>
  <w:style w:type="character" w:customStyle="1" w:styleId="45">
    <w:name w:val="jbox-icon-error"/>
    <w:basedOn w:val="26"/>
    <w:qFormat/>
    <w:uiPriority w:val="0"/>
  </w:style>
  <w:style w:type="character" w:customStyle="1" w:styleId="46">
    <w:name w:val="jbox-icon-loading"/>
    <w:basedOn w:val="26"/>
    <w:qFormat/>
    <w:uiPriority w:val="0"/>
  </w:style>
  <w:style w:type="character" w:customStyle="1" w:styleId="47">
    <w:name w:val="z-窗体顶端 Char"/>
    <w:link w:val="48"/>
    <w:semiHidden/>
    <w:qFormat/>
    <w:uiPriority w:val="99"/>
    <w:rPr>
      <w:rFonts w:ascii="Arial" w:hAnsi="Arial"/>
      <w:vanish/>
      <w:sz w:val="16"/>
      <w:szCs w:val="16"/>
    </w:rPr>
  </w:style>
  <w:style w:type="paragraph" w:customStyle="1" w:styleId="48">
    <w:name w:val="z-窗体顶端1"/>
    <w:basedOn w:val="1"/>
    <w:next w:val="1"/>
    <w:link w:val="47"/>
    <w:unhideWhenUsed/>
    <w:qFormat/>
    <w:uiPriority w:val="99"/>
    <w:pPr>
      <w:widowControl/>
      <w:pBdr>
        <w:bottom w:val="single" w:color="auto" w:sz="6" w:space="1"/>
      </w:pBdr>
      <w:jc w:val="center"/>
    </w:pPr>
    <w:rPr>
      <w:rFonts w:ascii="Arial" w:hAnsi="Arial"/>
      <w:vanish/>
      <w:kern w:val="0"/>
      <w:sz w:val="16"/>
      <w:szCs w:val="16"/>
    </w:rPr>
  </w:style>
  <w:style w:type="character" w:customStyle="1" w:styleId="49">
    <w:name w:val="jbox-icon-question"/>
    <w:basedOn w:val="26"/>
    <w:qFormat/>
    <w:uiPriority w:val="0"/>
  </w:style>
  <w:style w:type="character" w:customStyle="1" w:styleId="50">
    <w:name w:val="标题 字符1"/>
    <w:qFormat/>
    <w:uiPriority w:val="10"/>
    <w:rPr>
      <w:rFonts w:ascii="等线 Light" w:hAnsi="等线 Light" w:cs="Times New Roman"/>
      <w:b/>
      <w:bCs/>
      <w:kern w:val="2"/>
      <w:sz w:val="32"/>
      <w:szCs w:val="32"/>
    </w:rPr>
  </w:style>
  <w:style w:type="character" w:customStyle="1" w:styleId="51">
    <w:name w:val="jbox-icon-success"/>
    <w:basedOn w:val="26"/>
    <w:qFormat/>
    <w:uiPriority w:val="0"/>
  </w:style>
  <w:style w:type="character" w:customStyle="1" w:styleId="52">
    <w:name w:val="批注文字 Char"/>
    <w:link w:val="9"/>
    <w:qFormat/>
    <w:uiPriority w:val="99"/>
    <w:rPr>
      <w:kern w:val="2"/>
      <w:sz w:val="28"/>
      <w:szCs w:val="24"/>
    </w:rPr>
  </w:style>
  <w:style w:type="character" w:customStyle="1" w:styleId="53">
    <w:name w:val="正文文本缩进 Char"/>
    <w:link w:val="2"/>
    <w:qFormat/>
    <w:uiPriority w:val="0"/>
    <w:rPr>
      <w:rFonts w:ascii="宋体" w:hAnsi="Courier New"/>
      <w:spacing w:val="-4"/>
      <w:kern w:val="2"/>
      <w:sz w:val="18"/>
    </w:rPr>
  </w:style>
  <w:style w:type="character" w:customStyle="1" w:styleId="54">
    <w:name w:val="maywed421"/>
    <w:qFormat/>
    <w:uiPriority w:val="0"/>
    <w:rPr>
      <w:color w:val="366FB6"/>
      <w:u w:val="none"/>
    </w:rPr>
  </w:style>
  <w:style w:type="character" w:customStyle="1" w:styleId="55">
    <w:name w:val="jbox-icon-warning"/>
    <w:basedOn w:val="26"/>
    <w:qFormat/>
    <w:uiPriority w:val="0"/>
  </w:style>
  <w:style w:type="character" w:customStyle="1" w:styleId="56">
    <w:name w:val="jbox-icon-none"/>
    <w:basedOn w:val="26"/>
    <w:qFormat/>
    <w:uiPriority w:val="0"/>
    <w:rPr>
      <w:vanish/>
    </w:rPr>
  </w:style>
  <w:style w:type="character" w:customStyle="1" w:styleId="57">
    <w:name w:val="标题 1 Char"/>
    <w:link w:val="3"/>
    <w:qFormat/>
    <w:uiPriority w:val="9"/>
    <w:rPr>
      <w:b/>
      <w:bCs/>
      <w:kern w:val="44"/>
      <w:sz w:val="44"/>
      <w:szCs w:val="44"/>
    </w:rPr>
  </w:style>
  <w:style w:type="character" w:customStyle="1" w:styleId="58">
    <w:name w:val="z-窗体底端 Char"/>
    <w:link w:val="59"/>
    <w:semiHidden/>
    <w:qFormat/>
    <w:uiPriority w:val="99"/>
    <w:rPr>
      <w:rFonts w:ascii="Arial" w:hAnsi="Arial"/>
      <w:vanish/>
      <w:sz w:val="16"/>
      <w:szCs w:val="16"/>
    </w:rPr>
  </w:style>
  <w:style w:type="paragraph" w:customStyle="1" w:styleId="59">
    <w:name w:val="z-窗体底端1"/>
    <w:basedOn w:val="1"/>
    <w:next w:val="1"/>
    <w:link w:val="58"/>
    <w:unhideWhenUsed/>
    <w:qFormat/>
    <w:uiPriority w:val="99"/>
    <w:pPr>
      <w:widowControl/>
      <w:pBdr>
        <w:top w:val="single" w:color="auto" w:sz="6" w:space="1"/>
      </w:pBdr>
      <w:jc w:val="center"/>
    </w:pPr>
    <w:rPr>
      <w:rFonts w:ascii="Arial" w:hAnsi="Arial"/>
      <w:vanish/>
      <w:kern w:val="0"/>
      <w:sz w:val="16"/>
      <w:szCs w:val="16"/>
    </w:rPr>
  </w:style>
  <w:style w:type="character" w:customStyle="1" w:styleId="60">
    <w:name w:val="批注主题 Char"/>
    <w:link w:val="21"/>
    <w:semiHidden/>
    <w:qFormat/>
    <w:uiPriority w:val="99"/>
    <w:rPr>
      <w:b/>
      <w:bCs/>
      <w:kern w:val="2"/>
      <w:sz w:val="28"/>
      <w:szCs w:val="24"/>
    </w:rPr>
  </w:style>
  <w:style w:type="character" w:customStyle="1" w:styleId="61">
    <w:name w:val="纯文本 Char1"/>
    <w:qFormat/>
    <w:uiPriority w:val="0"/>
    <w:rPr>
      <w:rFonts w:ascii="宋体" w:hAnsi="Courier New"/>
      <w:kern w:val="2"/>
      <w:sz w:val="21"/>
    </w:rPr>
  </w:style>
  <w:style w:type="character" w:customStyle="1" w:styleId="62">
    <w:name w:val="jbox-icon"/>
    <w:basedOn w:val="26"/>
    <w:qFormat/>
    <w:uiPriority w:val="0"/>
  </w:style>
  <w:style w:type="character" w:customStyle="1" w:styleId="63">
    <w:name w:val="标题 1 Char Char"/>
    <w:qFormat/>
    <w:uiPriority w:val="0"/>
    <w:rPr>
      <w:rFonts w:eastAsia="宋体"/>
      <w:b/>
      <w:spacing w:val="-2"/>
      <w:sz w:val="24"/>
      <w:lang w:val="en-US" w:eastAsia="zh-CN" w:bidi="ar-SA"/>
    </w:rPr>
  </w:style>
  <w:style w:type="character" w:customStyle="1" w:styleId="64">
    <w:name w:val="标题 2 Char"/>
    <w:link w:val="4"/>
    <w:semiHidden/>
    <w:qFormat/>
    <w:uiPriority w:val="9"/>
    <w:rPr>
      <w:rFonts w:ascii="Cambria" w:hAnsi="Cambria" w:eastAsia="宋体" w:cs="Times New Roman"/>
      <w:b/>
      <w:bCs/>
      <w:kern w:val="2"/>
      <w:sz w:val="32"/>
      <w:szCs w:val="32"/>
    </w:rPr>
  </w:style>
  <w:style w:type="paragraph" w:customStyle="1" w:styleId="65">
    <w:name w:val="Proposals body"/>
    <w:basedOn w:val="1"/>
    <w:next w:val="1"/>
    <w:qFormat/>
    <w:uiPriority w:val="0"/>
    <w:pPr>
      <w:widowControl/>
      <w:spacing w:line="460" w:lineRule="exact"/>
      <w:jc w:val="left"/>
    </w:pPr>
    <w:rPr>
      <w:rFonts w:ascii="仿宋_GB2312" w:eastAsia="仿宋_GB2312"/>
      <w:snapToGrid w:val="0"/>
      <w:kern w:val="0"/>
      <w:sz w:val="24"/>
    </w:rPr>
  </w:style>
  <w:style w:type="paragraph" w:customStyle="1" w:styleId="66">
    <w:name w:val="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67">
    <w:name w:val="正文段"/>
    <w:basedOn w:val="1"/>
    <w:qFormat/>
    <w:uiPriority w:val="0"/>
    <w:pPr>
      <w:widowControl/>
      <w:snapToGrid w:val="0"/>
      <w:spacing w:afterLines="50"/>
      <w:ind w:firstLine="200" w:firstLineChars="200"/>
    </w:pPr>
    <w:rPr>
      <w:kern w:val="0"/>
      <w:sz w:val="24"/>
      <w:szCs w:val="20"/>
    </w:rPr>
  </w:style>
  <w:style w:type="paragraph" w:customStyle="1" w:styleId="68">
    <w:name w:val="p0"/>
    <w:basedOn w:val="1"/>
    <w:qFormat/>
    <w:uiPriority w:val="0"/>
    <w:pPr>
      <w:widowControl/>
      <w:spacing w:line="365" w:lineRule="atLeast"/>
      <w:ind w:left="1"/>
    </w:pPr>
    <w:rPr>
      <w:kern w:val="0"/>
      <w:sz w:val="20"/>
      <w:szCs w:val="20"/>
    </w:rPr>
  </w:style>
  <w:style w:type="paragraph" w:customStyle="1" w:styleId="69">
    <w:name w:val="无间距"/>
    <w:qFormat/>
    <w:uiPriority w:val="0"/>
    <w:pPr>
      <w:widowControl w:val="0"/>
      <w:jc w:val="both"/>
    </w:pPr>
    <w:rPr>
      <w:rFonts w:ascii="Calibri" w:hAnsi="Calibri" w:eastAsia="宋体" w:cs="Times New Roman"/>
      <w:kern w:val="2"/>
      <w:sz w:val="21"/>
      <w:szCs w:val="22"/>
      <w:lang w:val="en-US" w:eastAsia="zh-CN" w:bidi="ar-SA"/>
    </w:rPr>
  </w:style>
  <w:style w:type="paragraph" w:customStyle="1" w:styleId="70">
    <w:name w:val="彩色列表 - 强调文字颜色 11"/>
    <w:basedOn w:val="1"/>
    <w:qFormat/>
    <w:uiPriority w:val="34"/>
    <w:pPr>
      <w:ind w:firstLine="420" w:firstLineChars="200"/>
    </w:pPr>
    <w:rPr>
      <w:rFonts w:ascii="Calibri" w:hAnsi="Calibri"/>
      <w:sz w:val="21"/>
      <w:szCs w:val="22"/>
    </w:rPr>
  </w:style>
  <w:style w:type="paragraph" w:customStyle="1" w:styleId="71">
    <w:name w:val="正文1"/>
    <w:qFormat/>
    <w:uiPriority w:val="0"/>
    <w:pPr>
      <w:suppressAutoHyphens/>
      <w:spacing w:after="180" w:line="312" w:lineRule="auto"/>
    </w:pPr>
    <w:rPr>
      <w:rFonts w:ascii="Helvetica Neue Light" w:hAnsi="Helvetica Neue Light" w:eastAsia="ヒラギノ角ゴ Pro W3" w:cs="Times New Roman"/>
      <w:color w:val="000000"/>
      <w:sz w:val="18"/>
      <w:lang w:val="en-US" w:eastAsia="zh-CN" w:bidi="ar-SA"/>
    </w:rPr>
  </w:style>
  <w:style w:type="paragraph" w:customStyle="1" w:styleId="72">
    <w:name w:val="Char Char Char Char1"/>
    <w:basedOn w:val="1"/>
    <w:qFormat/>
    <w:uiPriority w:val="0"/>
    <w:rPr>
      <w:rFonts w:ascii="Tahoma" w:hAnsi="Tahoma"/>
      <w:sz w:val="24"/>
      <w:szCs w:val="20"/>
    </w:rPr>
  </w:style>
  <w:style w:type="paragraph" w:customStyle="1" w:styleId="73">
    <w:name w:val="List Paragraph1"/>
    <w:basedOn w:val="1"/>
    <w:qFormat/>
    <w:uiPriority w:val="0"/>
    <w:pPr>
      <w:ind w:firstLine="420" w:firstLineChars="200"/>
    </w:pPr>
    <w:rPr>
      <w:sz w:val="21"/>
    </w:rPr>
  </w:style>
  <w:style w:type="paragraph" w:customStyle="1" w:styleId="74">
    <w:name w:val="默认段落字体 Para Char Char Char Char Char Char Char Char Char1 Char Char Char Char"/>
    <w:basedOn w:val="1"/>
    <w:qFormat/>
    <w:uiPriority w:val="0"/>
    <w:rPr>
      <w:rFonts w:ascii="Tahoma" w:hAnsi="Tahoma"/>
      <w:sz w:val="24"/>
      <w:szCs w:val="20"/>
    </w:rPr>
  </w:style>
  <w:style w:type="paragraph" w:customStyle="1" w:styleId="75">
    <w:name w:val="xl25"/>
    <w:basedOn w:val="1"/>
    <w:qFormat/>
    <w:uiPriority w:val="0"/>
    <w:pPr>
      <w:widowControl/>
      <w:spacing w:before="100" w:beforeAutospacing="1" w:after="100" w:afterAutospacing="1"/>
      <w:jc w:val="center"/>
      <w:textAlignment w:val="center"/>
    </w:pPr>
    <w:rPr>
      <w:rFonts w:hint="eastAsia" w:ascii="楷体_GB2312" w:hAnsi="宋体" w:eastAsia="楷体_GB2312"/>
      <w:kern w:val="0"/>
      <w:sz w:val="24"/>
    </w:rPr>
  </w:style>
  <w:style w:type="paragraph" w:customStyle="1" w:styleId="76">
    <w:name w:val="正文 A"/>
    <w:qFormat/>
    <w:uiPriority w:val="0"/>
    <w:pPr>
      <w:widowControl w:val="0"/>
      <w:jc w:val="both"/>
    </w:pPr>
    <w:rPr>
      <w:rFonts w:hint="eastAsia" w:ascii="Arial Unicode MS" w:hAnsi="Arial Unicode MS" w:eastAsia="Times New Roman" w:cs="Arial Unicode MS"/>
      <w:color w:val="000000"/>
      <w:kern w:val="2"/>
      <w:sz w:val="28"/>
      <w:szCs w:val="28"/>
      <w:u w:color="000000"/>
      <w:lang w:val="en-US" w:eastAsia="zh-CN" w:bidi="ar-SA"/>
    </w:rPr>
  </w:style>
  <w:style w:type="paragraph" w:customStyle="1" w:styleId="77">
    <w:name w:val="表内文字"/>
    <w:basedOn w:val="1"/>
    <w:qFormat/>
    <w:uiPriority w:val="0"/>
    <w:pPr>
      <w:tabs>
        <w:tab w:val="left" w:pos="1418"/>
      </w:tabs>
      <w:spacing w:line="360" w:lineRule="auto"/>
      <w:jc w:val="center"/>
    </w:pPr>
    <w:rPr>
      <w:rFonts w:hint="eastAsia" w:ascii="仿宋_GB2312" w:eastAsia="仿宋_GB2312"/>
      <w:spacing w:val="-20"/>
      <w:kern w:val="0"/>
      <w:sz w:val="24"/>
    </w:rPr>
  </w:style>
  <w:style w:type="character" w:customStyle="1" w:styleId="78">
    <w:name w:val="文档结构图 Char"/>
    <w:basedOn w:val="26"/>
    <w:link w:val="8"/>
    <w:semiHidden/>
    <w:qFormat/>
    <w:uiPriority w:val="99"/>
    <w:rPr>
      <w:rFonts w:ascii="宋体"/>
      <w:kern w:val="2"/>
      <w:sz w:val="18"/>
      <w:szCs w:val="18"/>
    </w:rPr>
  </w:style>
  <w:style w:type="paragraph" w:styleId="79">
    <w:name w:val="List Paragraph"/>
    <w:basedOn w:val="1"/>
    <w:qFormat/>
    <w:uiPriority w:val="99"/>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73E71FB-93A7-43B9-80EA-B220E1C93D2B}">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1</Pages>
  <Words>2656</Words>
  <Characters>15144</Characters>
  <Lines>1</Lines>
  <Paragraphs>1</Paragraphs>
  <TotalTime>3</TotalTime>
  <ScaleCrop>false</ScaleCrop>
  <LinksUpToDate>false</LinksUpToDate>
  <CharactersWithSpaces>17765</CharactersWithSpaces>
  <Application>WPS Office_11.8.2.8411_F1E327BC-269C-435d-A152-05C5408002CA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2022-07-06T09:00:00Z</dcterms:created>
  <dc:creator>jj</dc:creator>
  <cp:lastModifiedBy>浙江求是招标代理有限公司</cp:lastModifiedBy>
  <cp:lastPrinted>2018-12-24T02:45:00Z</cp:lastPrinted>
  <dcterms:modified xsi:type="dcterms:W3CDTF">2023-04-13T08:54:18Z</dcterms:modified>
  <dc:title>求是招标代理有限公司</dc:title>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2052-11.8.2.8411</vt:lpwstr>
  </property>
  <property fmtid="{D5CDD505-2E9C-101B-9397-08002B2CF9AE}" pid="3" name="ICV">
    <vt:lpwstr>4A23AC5202B64CEFA9DCAD968257F050_13</vt:lpwstr>
  </property>
</Properties>
</file>