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highlight w:val="none"/>
        </w:rPr>
      </w:pPr>
    </w:p>
    <w:p w14:paraId="3B037FE7">
      <w:pPr>
        <w:adjustRightInd w:val="0"/>
        <w:snapToGrid w:val="0"/>
        <w:spacing w:line="288" w:lineRule="auto"/>
        <w:rPr>
          <w:rFonts w:ascii="楷体" w:hAnsi="楷体" w:eastAsia="楷体" w:cs="Times New Roman"/>
          <w:b/>
          <w:color w:val="auto"/>
          <w:spacing w:val="-6"/>
          <w:sz w:val="44"/>
          <w:szCs w:val="44"/>
          <w:highlight w:val="none"/>
        </w:rPr>
      </w:pPr>
    </w:p>
    <w:p w14:paraId="11F59468">
      <w:pPr>
        <w:adjustRightInd w:val="0"/>
        <w:snapToGrid w:val="0"/>
        <w:spacing w:line="288" w:lineRule="auto"/>
        <w:rPr>
          <w:rFonts w:ascii="楷体" w:hAnsi="楷体" w:eastAsia="楷体" w:cs="Times New Roman"/>
          <w:b/>
          <w:color w:val="auto"/>
          <w:spacing w:val="-6"/>
          <w:sz w:val="44"/>
          <w:szCs w:val="44"/>
          <w:highlight w:val="none"/>
        </w:rPr>
      </w:pPr>
    </w:p>
    <w:p w14:paraId="468FF83C">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射频大功率器件测试系统</w:t>
      </w:r>
    </w:p>
    <w:p w14:paraId="3D528ABB">
      <w:pPr>
        <w:adjustRightInd w:val="0"/>
        <w:snapToGrid w:val="0"/>
        <w:spacing w:line="288" w:lineRule="auto"/>
        <w:jc w:val="center"/>
        <w:rPr>
          <w:rFonts w:ascii="楷体" w:hAnsi="楷体" w:eastAsia="楷体" w:cs="Times New Roman"/>
          <w:b/>
          <w:color w:val="auto"/>
          <w:spacing w:val="-6"/>
          <w:sz w:val="48"/>
          <w:szCs w:val="48"/>
          <w:highlight w:val="none"/>
        </w:rPr>
      </w:pPr>
    </w:p>
    <w:p w14:paraId="3942C169">
      <w:pPr>
        <w:adjustRightInd w:val="0"/>
        <w:snapToGrid w:val="0"/>
        <w:spacing w:line="288" w:lineRule="auto"/>
        <w:jc w:val="center"/>
        <w:rPr>
          <w:rFonts w:ascii="楷体" w:hAnsi="楷体" w:eastAsia="楷体" w:cs="Times New Roman"/>
          <w:b/>
          <w:color w:val="auto"/>
          <w:spacing w:val="-6"/>
          <w:sz w:val="48"/>
          <w:szCs w:val="48"/>
          <w:highlight w:val="none"/>
        </w:rPr>
      </w:pPr>
    </w:p>
    <w:p w14:paraId="76F892AB">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574C01F2">
      <w:pPr>
        <w:adjustRightInd w:val="0"/>
        <w:snapToGrid w:val="0"/>
        <w:spacing w:line="288" w:lineRule="auto"/>
        <w:jc w:val="center"/>
        <w:rPr>
          <w:rFonts w:ascii="楷体" w:hAnsi="楷体" w:eastAsia="楷体" w:cs="Times New Roman"/>
          <w:color w:val="auto"/>
          <w:sz w:val="44"/>
          <w:szCs w:val="44"/>
          <w:highlight w:val="none"/>
        </w:rPr>
      </w:pPr>
    </w:p>
    <w:p w14:paraId="3B6505C4">
      <w:pPr>
        <w:adjustRightInd w:val="0"/>
        <w:snapToGrid w:val="0"/>
        <w:spacing w:line="288" w:lineRule="auto"/>
        <w:jc w:val="center"/>
        <w:rPr>
          <w:rFonts w:ascii="楷体" w:hAnsi="楷体" w:eastAsia="楷体" w:cs="Times New Roman"/>
          <w:color w:val="auto"/>
          <w:sz w:val="44"/>
          <w:szCs w:val="44"/>
          <w:highlight w:val="none"/>
        </w:rPr>
      </w:pPr>
    </w:p>
    <w:p w14:paraId="16FAB8C3">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射频大功率器件测试系统</w:t>
      </w:r>
    </w:p>
    <w:p w14:paraId="74032A0C">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QSZB-Z(H)-B24538(GK)</w:t>
      </w:r>
    </w:p>
    <w:p w14:paraId="5ACAB285">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14:paraId="641C978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[2024]70169号、[2024]70180号、[2024]70181号、[2024]72723号、[2024]72725号、[2024]72726号</w:t>
      </w:r>
    </w:p>
    <w:p w14:paraId="43139F7B">
      <w:pPr>
        <w:adjustRightInd w:val="0"/>
        <w:snapToGrid w:val="0"/>
        <w:spacing w:line="288" w:lineRule="auto"/>
        <w:rPr>
          <w:rFonts w:ascii="楷体" w:hAnsi="楷体" w:eastAsia="楷体" w:cs="Times New Roman"/>
          <w:b/>
          <w:color w:val="auto"/>
          <w:szCs w:val="21"/>
          <w:highlight w:val="none"/>
        </w:rPr>
      </w:pPr>
    </w:p>
    <w:p w14:paraId="6D4843E8">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highlight w:val="none"/>
        </w:rPr>
      </w:pPr>
    </w:p>
    <w:p w14:paraId="3B4D4683">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3B82376F">
      <w:pPr>
        <w:adjustRightInd w:val="0"/>
        <w:snapToGrid w:val="0"/>
        <w:spacing w:line="288" w:lineRule="auto"/>
        <w:rPr>
          <w:rFonts w:ascii="楷体" w:hAnsi="楷体" w:eastAsia="楷体" w:cs="Times New Roman"/>
          <w:b/>
          <w:color w:val="auto"/>
          <w:sz w:val="30"/>
          <w:szCs w:val="30"/>
          <w:highlight w:val="none"/>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314E6E6F">
      <w:pPr>
        <w:widowControl/>
        <w:adjustRightInd w:val="0"/>
        <w:snapToGrid w:val="0"/>
        <w:spacing w:line="288" w:lineRule="auto"/>
        <w:jc w:val="left"/>
        <w:rPr>
          <w:rFonts w:ascii="宋体" w:hAnsi="宋体" w:eastAsia="宋体" w:cs="Times New Roman"/>
          <w:color w:val="auto"/>
          <w:szCs w:val="21"/>
          <w:highlight w:val="none"/>
        </w:rPr>
      </w:pPr>
    </w:p>
    <w:p w14:paraId="61015CC0">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射频大功率器件测试系统</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w:t>
      </w:r>
      <w:r>
        <w:rPr>
          <w:rFonts w:hint="eastAsia" w:ascii="宋体" w:hAnsi="宋体" w:eastAsia="宋体" w:cs="Times New Roman"/>
          <w:b/>
          <w:color w:val="auto"/>
          <w:szCs w:val="21"/>
          <w:highlight w:val="none"/>
          <w:u w:val="single"/>
          <w:lang w:val="en-US" w:eastAsia="zh-CN"/>
        </w:rPr>
        <w:t>4</w:t>
      </w:r>
      <w:r>
        <w:rPr>
          <w:rFonts w:hint="eastAsia" w:ascii="宋体" w:hAnsi="宋体" w:eastAsia="宋体" w:cs="Times New Roman"/>
          <w:b/>
          <w:color w:val="auto"/>
          <w:szCs w:val="21"/>
          <w:highlight w:val="none"/>
          <w:u w:val="single"/>
          <w:lang w:eastAsia="zh-CN"/>
        </w:rPr>
        <w:t>年</w:t>
      </w:r>
      <w:r>
        <w:rPr>
          <w:rFonts w:hint="eastAsia" w:ascii="宋体" w:hAnsi="宋体" w:eastAsia="宋体" w:cs="Times New Roman"/>
          <w:b/>
          <w:color w:val="auto"/>
          <w:szCs w:val="21"/>
          <w:highlight w:val="none"/>
          <w:u w:val="single"/>
          <w:lang w:val="en-US" w:eastAsia="zh-CN"/>
        </w:rPr>
        <w:t>11月22日</w:t>
      </w:r>
      <w:r>
        <w:rPr>
          <w:rFonts w:hint="eastAsia" w:ascii="宋体" w:hAnsi="宋体" w:eastAsia="宋体" w:cs="Times New Roman"/>
          <w:b/>
          <w:color w:val="auto"/>
          <w:szCs w:val="21"/>
          <w:highlight w:val="none"/>
          <w:u w:val="single"/>
          <w:lang w:eastAsia="zh-CN"/>
        </w:rPr>
        <w:t>13:30:00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6A95FA21">
      <w:pPr>
        <w:adjustRightInd w:val="0"/>
        <w:snapToGrid w:val="0"/>
        <w:spacing w:line="288" w:lineRule="auto"/>
        <w:rPr>
          <w:rFonts w:ascii="宋体" w:hAnsi="宋体" w:eastAsia="宋体" w:cs="宋体"/>
          <w:b/>
          <w:color w:val="auto"/>
          <w:szCs w:val="21"/>
          <w:highlight w:val="none"/>
        </w:rPr>
      </w:pPr>
      <w:bookmarkStart w:id="0" w:name="_Toc28359079"/>
      <w:bookmarkStart w:id="1" w:name="_Toc28359002"/>
      <w:bookmarkStart w:id="2" w:name="_Toc35393621"/>
      <w:bookmarkStart w:id="3" w:name="_Toc35393790"/>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QSZB-Z(H)-B24538(GK)</w:t>
      </w:r>
    </w:p>
    <w:p w14:paraId="34C987CC">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射频大功率器件测试系统</w:t>
      </w:r>
    </w:p>
    <w:bookmarkEnd w:id="4"/>
    <w:p w14:paraId="2AB1BB05">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4460000元</w:t>
      </w:r>
    </w:p>
    <w:p w14:paraId="11D1D498">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w:t>
      </w:r>
      <w:r>
        <w:rPr>
          <w:rFonts w:hint="eastAsia" w:ascii="宋体" w:hAnsi="宋体" w:eastAsia="宋体" w:cs="Times New Roman"/>
          <w:color w:val="auto"/>
          <w:szCs w:val="21"/>
          <w:highlight w:val="none"/>
          <w:lang w:val="en-US" w:eastAsia="zh-CN"/>
        </w:rPr>
        <w:t>44</w:t>
      </w:r>
      <w:r>
        <w:rPr>
          <w:rFonts w:hint="eastAsia" w:ascii="宋体" w:hAnsi="宋体" w:eastAsia="宋体" w:cs="Times New Roman"/>
          <w:color w:val="auto"/>
          <w:szCs w:val="21"/>
          <w:highlight w:val="none"/>
        </w:rPr>
        <w:t>60000元</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其中：矢量信号分析仪：1390000元；矢量信号源：1470000元；阻抗调谐器：1600000元</w:t>
      </w:r>
      <w:r>
        <w:rPr>
          <w:rFonts w:hint="eastAsia" w:ascii="宋体" w:hAnsi="宋体" w:eastAsia="宋体" w:cs="Times New Roman"/>
          <w:color w:val="auto"/>
          <w:szCs w:val="21"/>
          <w:highlight w:val="none"/>
          <w:lang w:eastAsia="zh-CN"/>
        </w:rPr>
        <w:t>）</w:t>
      </w:r>
    </w:p>
    <w:p w14:paraId="4BF7EF97">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.合同履约期限：自合同签订之日起</w:t>
      </w:r>
      <w:r>
        <w:rPr>
          <w:rFonts w:hint="eastAsia" w:ascii="宋体" w:hAnsi="宋体" w:eastAsia="宋体" w:cs="Times New Roman"/>
          <w:color w:val="auto"/>
          <w:szCs w:val="21"/>
          <w:highlight w:val="none"/>
          <w:lang w:val="en-US" w:eastAsia="zh-CN"/>
        </w:rPr>
        <w:t>240</w:t>
      </w:r>
      <w:r>
        <w:rPr>
          <w:rFonts w:hint="eastAsia" w:ascii="宋体" w:hAnsi="宋体" w:eastAsia="宋体" w:cs="Times New Roman"/>
          <w:color w:val="auto"/>
          <w:szCs w:val="21"/>
          <w:highlight w:val="none"/>
        </w:rPr>
        <w:t>日内交付并安装完毕</w:t>
      </w:r>
    </w:p>
    <w:p w14:paraId="48CBA4CF">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006" w:type="dxa"/>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14:paraId="309FA19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006" w:type="dxa"/>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矢量信号分析仪</w:t>
            </w:r>
            <w:r>
              <w:rPr>
                <w:rFonts w:hint="eastAsia" w:ascii="宋体" w:hAnsi="宋体" w:eastAsia="宋体" w:cs="宋体"/>
                <w:bCs/>
                <w:color w:val="auto"/>
                <w:szCs w:val="21"/>
                <w:highlight w:val="none"/>
                <w:lang w:val="en-US" w:eastAsia="zh-CN"/>
              </w:rPr>
              <w:t>等</w:t>
            </w:r>
          </w:p>
        </w:tc>
        <w:tc>
          <w:tcPr>
            <w:tcW w:w="708" w:type="dxa"/>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3119" w:type="dxa"/>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vAlign w:val="center"/>
          </w:tcPr>
          <w:p w14:paraId="0FAC6A8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是</w:t>
            </w:r>
          </w:p>
        </w:tc>
      </w:tr>
    </w:tbl>
    <w:p w14:paraId="0D505C25">
      <w:pPr>
        <w:adjustRightInd w:val="0"/>
        <w:snapToGrid w:val="0"/>
        <w:spacing w:line="288" w:lineRule="auto"/>
        <w:rPr>
          <w:rFonts w:ascii="宋体" w:hAnsi="宋体" w:eastAsia="宋体" w:cs="宋体"/>
          <w:b/>
          <w:color w:val="auto"/>
          <w:szCs w:val="21"/>
          <w:highlight w:val="none"/>
        </w:rPr>
      </w:pPr>
      <w:bookmarkStart w:id="5" w:name="_Toc28359003"/>
      <w:bookmarkStart w:id="6" w:name="_Toc35393622"/>
      <w:bookmarkStart w:id="7" w:name="_Toc35393791"/>
      <w:bookmarkStart w:id="8" w:name="_Toc28359080"/>
      <w:r>
        <w:rPr>
          <w:rFonts w:hint="eastAsia" w:ascii="宋体" w:hAnsi="宋体" w:eastAsia="宋体" w:cs="宋体"/>
          <w:b/>
          <w:color w:val="auto"/>
          <w:szCs w:val="21"/>
          <w:highlight w:val="none"/>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A4CCCFF">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14:paraId="45E95296">
      <w:pPr>
        <w:adjustRightInd w:val="0"/>
        <w:snapToGrid w:val="0"/>
        <w:spacing w:line="288" w:lineRule="auto"/>
        <w:rPr>
          <w:rFonts w:ascii="宋体" w:hAnsi="宋体" w:eastAsia="宋体" w:cs="宋体"/>
          <w:b/>
          <w:color w:val="auto"/>
          <w:szCs w:val="21"/>
          <w:highlight w:val="none"/>
        </w:rPr>
      </w:pPr>
      <w:bookmarkStart w:id="11" w:name="_Toc35393792"/>
      <w:bookmarkStart w:id="12" w:name="_Toc35393623"/>
      <w:r>
        <w:rPr>
          <w:rFonts w:hint="eastAsia" w:ascii="宋体" w:hAnsi="宋体" w:eastAsia="宋体" w:cs="宋体"/>
          <w:b/>
          <w:color w:val="auto"/>
          <w:szCs w:val="21"/>
          <w:highlight w:val="none"/>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793"/>
      <w:bookmarkStart w:id="16" w:name="_Toc35393624"/>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2024年</w:t>
      </w:r>
      <w:r>
        <w:rPr>
          <w:rFonts w:hint="eastAsia" w:ascii="宋体" w:hAnsi="宋体" w:eastAsia="宋体" w:cs="Times New Roman"/>
          <w:color w:val="auto"/>
          <w:szCs w:val="21"/>
          <w:highlight w:val="none"/>
          <w:lang w:val="en-US" w:eastAsia="zh-CN"/>
        </w:rPr>
        <w:t>10</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31</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2024年11月22日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734BFEDE">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2024年11月22日13:30:00</w:t>
      </w:r>
      <w:r>
        <w:rPr>
          <w:rFonts w:hint="eastAsia" w:ascii="宋体" w:hAnsi="宋体" w:eastAsia="宋体" w:cs="Times New Roman"/>
          <w:bCs/>
          <w:color w:val="auto"/>
          <w:szCs w:val="21"/>
          <w:highlight w:val="none"/>
        </w:rPr>
        <w:t>（北京时间）</w:t>
      </w:r>
    </w:p>
    <w:p w14:paraId="556DA842">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2024年11月22日13:30:00</w:t>
      </w:r>
      <w:r>
        <w:rPr>
          <w:rFonts w:hint="eastAsia" w:ascii="宋体" w:hAnsi="宋体" w:eastAsia="宋体" w:cs="Times New Roman"/>
          <w:bCs/>
          <w:color w:val="auto"/>
          <w:szCs w:val="21"/>
          <w:highlight w:val="none"/>
        </w:rPr>
        <w:t>（北京时间）</w:t>
      </w:r>
    </w:p>
    <w:p w14:paraId="13CDD20E">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w:t>
      </w:r>
      <w:bookmarkEnd w:id="18"/>
    </w:p>
    <w:bookmarkEnd w:id="17"/>
    <w:p w14:paraId="15287A77">
      <w:pPr>
        <w:adjustRightInd w:val="0"/>
        <w:snapToGrid w:val="0"/>
        <w:spacing w:line="288" w:lineRule="auto"/>
        <w:rPr>
          <w:rFonts w:ascii="宋体" w:hAnsi="宋体" w:eastAsia="宋体" w:cs="宋体"/>
          <w:b/>
          <w:color w:val="auto"/>
          <w:szCs w:val="21"/>
          <w:highlight w:val="none"/>
        </w:rPr>
      </w:pPr>
      <w:bookmarkStart w:id="19" w:name="_Toc28359007"/>
      <w:bookmarkStart w:id="20" w:name="_Toc35393794"/>
      <w:bookmarkStart w:id="21" w:name="_Toc28359084"/>
      <w:bookmarkStart w:id="22" w:name="_Toc35393625"/>
      <w:r>
        <w:rPr>
          <w:rFonts w:hint="eastAsia" w:ascii="宋体" w:hAnsi="宋体" w:eastAsia="宋体" w:cs="宋体"/>
          <w:b/>
          <w:color w:val="auto"/>
          <w:szCs w:val="21"/>
          <w:highlight w:val="none"/>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231D91DC">
      <w:pPr>
        <w:adjustRightInd w:val="0"/>
        <w:snapToGrid w:val="0"/>
        <w:spacing w:line="288" w:lineRule="auto"/>
        <w:rPr>
          <w:rFonts w:ascii="宋体" w:hAnsi="宋体" w:eastAsia="宋体" w:cs="宋体"/>
          <w:b/>
          <w:color w:val="auto"/>
          <w:szCs w:val="21"/>
          <w:highlight w:val="none"/>
        </w:rPr>
      </w:pPr>
      <w:bookmarkStart w:id="23" w:name="_Toc35393795"/>
      <w:bookmarkStart w:id="24" w:name="_Toc35393626"/>
      <w:r>
        <w:rPr>
          <w:rFonts w:hint="eastAsia" w:ascii="宋体" w:hAnsi="宋体" w:eastAsia="宋体" w:cs="宋体"/>
          <w:b/>
          <w:color w:val="auto"/>
          <w:szCs w:val="21"/>
          <w:highlight w:val="none"/>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20A68B8A">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highlight w:val="none"/>
        </w:rPr>
      </w:pPr>
      <w:bookmarkStart w:id="29" w:name="_Toc35393796"/>
      <w:bookmarkStart w:id="30" w:name="_Toc35393627"/>
      <w:bookmarkStart w:id="31" w:name="_Toc28359085"/>
      <w:bookmarkStart w:id="32" w:name="_Toc28359008"/>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14:paraId="096B0279">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38659549">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591E626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282DB0A0">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4B04B46F">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苏</w:t>
      </w:r>
      <w:r>
        <w:rPr>
          <w:rFonts w:hint="eastAsia" w:ascii="宋体" w:hAnsi="宋体" w:eastAsia="宋体" w:cs="Times New Roman"/>
          <w:color w:val="auto"/>
          <w:szCs w:val="21"/>
          <w:highlight w:val="none"/>
        </w:rPr>
        <w:t>老师</w:t>
      </w:r>
    </w:p>
    <w:p w14:paraId="4FBA0455">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项目联系方式（询问）：0571-86919135</w:t>
      </w:r>
    </w:p>
    <w:p w14:paraId="428C693E">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73FB08B2">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14:paraId="1637E152">
      <w:pPr>
        <w:adjustRightInd w:val="0"/>
        <w:snapToGrid w:val="0"/>
        <w:spacing w:line="288" w:lineRule="auto"/>
        <w:ind w:firstLine="424" w:firstLineChars="202"/>
        <w:rPr>
          <w:rFonts w:ascii="宋体" w:hAnsi="宋体" w:eastAsia="宋体" w:cs="Times New Roman"/>
          <w:color w:val="auto"/>
          <w:szCs w:val="21"/>
          <w:highlight w:val="none"/>
        </w:rPr>
      </w:pPr>
    </w:p>
    <w:p w14:paraId="3C32CE7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6DA73D70">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p>
    <w:p w14:paraId="070B094C">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14:paraId="4E57AE33">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14:paraId="7066E04D">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54A45EB">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14:paraId="01C5F21E">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3.同级政府采购监督管理部门</w:t>
      </w:r>
    </w:p>
    <w:p w14:paraId="2BDFC675">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名称：浙江省财政厅政府采购监管处、浙江省政府采购行政裁决服务中心（杭州）</w:t>
      </w:r>
    </w:p>
    <w:p w14:paraId="47B51A4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地址：</w:t>
      </w:r>
      <w:r>
        <w:rPr>
          <w:rFonts w:hint="eastAsia" w:ascii="宋体" w:hAnsi="宋体" w:eastAsia="宋体" w:cs="Times New Roman"/>
          <w:color w:val="auto"/>
          <w:spacing w:val="-6"/>
          <w:szCs w:val="21"/>
          <w:highlight w:val="none"/>
        </w:rPr>
        <w:t>杭州市上城区清泰街549号城建综合大楼11楼（快递仅限ems或顺丰）</w:t>
      </w:r>
    </w:p>
    <w:p w14:paraId="1481026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传真：/</w:t>
      </w:r>
    </w:p>
    <w:p w14:paraId="51E8D6BE">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联系人：朱女士、王女士</w:t>
      </w:r>
    </w:p>
    <w:p w14:paraId="4D7CAC43">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监督投诉电话：</w:t>
      </w:r>
      <w:r>
        <w:rPr>
          <w:rFonts w:hint="eastAsia" w:ascii="宋体" w:hAnsi="宋体" w:eastAsia="宋体" w:cs="Times New Roman"/>
          <w:color w:val="auto"/>
          <w:spacing w:val="-6"/>
          <w:szCs w:val="21"/>
          <w:highlight w:val="none"/>
        </w:rPr>
        <w:t>0571-87227671,0571-87800218</w:t>
      </w:r>
    </w:p>
    <w:p w14:paraId="6555F44C">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政策咨询：何一平、冯华，0571-87058424、87055741</w:t>
      </w:r>
    </w:p>
    <w:p w14:paraId="6E78E744">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预算金额未达100万元的采购项目，由采购人处理采购争议。</w:t>
      </w:r>
    </w:p>
    <w:p w14:paraId="0D8E9AD9">
      <w:pPr>
        <w:adjustRightInd w:val="0"/>
        <w:snapToGrid w:val="0"/>
        <w:spacing w:line="288" w:lineRule="auto"/>
        <w:ind w:firstLine="370"/>
        <w:rPr>
          <w:rFonts w:ascii="宋体" w:hAnsi="宋体" w:eastAsia="宋体" w:cs="Times New Roman"/>
          <w:color w:val="auto"/>
          <w:spacing w:val="-6"/>
          <w:szCs w:val="21"/>
          <w:highlight w:val="none"/>
        </w:rPr>
      </w:pPr>
    </w:p>
    <w:p w14:paraId="091E1A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647ED319">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14:paraId="3537E2F1">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采购标的对应的中小企业划分标准所属行业：工业</w:t>
            </w:r>
          </w:p>
          <w:p w14:paraId="2EAB4A2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14:paraId="76B3C0EC">
      <w:pPr>
        <w:adjustRightInd w:val="0"/>
        <w:snapToGrid w:val="0"/>
        <w:spacing w:line="288" w:lineRule="auto"/>
        <w:rPr>
          <w:rFonts w:ascii="宋体" w:hAnsi="宋体" w:eastAsia="宋体" w:cs="Times New Roman"/>
          <w:b/>
          <w:color w:val="auto"/>
          <w:spacing w:val="-4"/>
          <w:szCs w:val="21"/>
          <w:highlight w:val="none"/>
        </w:rPr>
      </w:pPr>
    </w:p>
    <w:p w14:paraId="47046090">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3652BE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5963BDE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7DC2F043">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1.合同签订后5个工作日内，中标人向采购人提交合同总价1%的履约保证金，履约保证金在合同履约期间无违约情形的，项目验收结束后，于7个工作日内退还（不计息）；</w:t>
            </w:r>
          </w:p>
          <w:p w14:paraId="57AC3A2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10520E9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095B37C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14:paraId="1B477C1D">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14:paraId="7C1332A2">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14:paraId="47F755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32A5737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0C5DD261">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b/>
                <w:bCs/>
                <w:color w:val="auto"/>
                <w:spacing w:val="-6"/>
                <w:kern w:val="0"/>
                <w:sz w:val="21"/>
                <w:szCs w:val="21"/>
                <w:highlight w:val="none"/>
              </w:rPr>
            </w:pPr>
            <w:r>
              <w:rPr>
                <w:rFonts w:hint="eastAsia" w:ascii="宋体" w:hAnsi="宋体" w:eastAsia="宋体" w:cs="宋体"/>
                <w:b/>
                <w:bCs/>
                <w:color w:val="auto"/>
                <w:spacing w:val="-6"/>
                <w:kern w:val="0"/>
                <w:sz w:val="21"/>
                <w:szCs w:val="21"/>
                <w:highlight w:val="none"/>
                <w:lang w:val="en-US" w:eastAsia="zh-CN" w:bidi="ar"/>
              </w:rPr>
              <w:t>一、国产设备部分：</w:t>
            </w:r>
          </w:p>
          <w:p w14:paraId="175B3FD0">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供应商为中小企业的，合同生效以及具备实施条件后7个工作日内，且中标人已向采购人提交银行、保险公司等金融机构出具的预付款保函的，采购人向中标人支付合同总价的40%；货物在中标人安装调试完毕并经采购人验收合格后，采购人在收到发票后7个工作日内，向中标人支付合同总价的60%。</w:t>
            </w:r>
          </w:p>
          <w:p w14:paraId="735A16B3">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中标人为大型企业的，合同生效以及具备实施条件后7个工作日内，且中标人已向采购人提交银行、保险公司等金融机构出具的预付款保函的，采购人向中标人支付合同总价的40%；货物在中标人安装调试完毕并经采购人验收合格后，采购人在收到发票后7个工作日内，向中标人支付合同总价的60%。</w:t>
            </w:r>
          </w:p>
          <w:p w14:paraId="388CF525">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3.在签订合同时，中标人明确表示无需预付款或者主动要求降低预付款比例的，可降低预付款比例（预付款保函同步调整）。</w:t>
            </w:r>
          </w:p>
          <w:p w14:paraId="561EB49F">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4.签订合同时中标人明确表示无需预付款的，可以采用以下付款方式：</w:t>
            </w:r>
          </w:p>
          <w:p w14:paraId="70A9B904">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2EED2503">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②货到一次性支付：全部货物送达安装调试完毕，经采购人验收合格，收到发票后10个工作日内，采购人向中标人支付全部合同价款。</w:t>
            </w:r>
          </w:p>
          <w:p w14:paraId="6FC7568F">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注：付款前，中标人须交纳合同约定的履约保证金（如有）并提供采购人财务处开具的履约保证金收据，中标人向采购人开具等额有效的合格增值税专用发票。采购人开票信息如下：</w:t>
            </w:r>
          </w:p>
          <w:p w14:paraId="4C7B228D">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单位名称：杭州电子科技大学。税号：12330000470009026T</w:t>
            </w:r>
          </w:p>
          <w:p w14:paraId="0F2A35EF">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开户银行：工行杭州高新支行。账号：1202026209008806216</w:t>
            </w:r>
          </w:p>
          <w:p w14:paraId="709664E1">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b/>
                <w:bCs/>
                <w:color w:val="auto"/>
                <w:spacing w:val="-6"/>
                <w:kern w:val="0"/>
                <w:sz w:val="21"/>
                <w:szCs w:val="21"/>
                <w:highlight w:val="none"/>
              </w:rPr>
            </w:pPr>
            <w:r>
              <w:rPr>
                <w:rFonts w:hint="eastAsia" w:ascii="宋体" w:hAnsi="宋体" w:eastAsia="宋体" w:cs="宋体"/>
                <w:b/>
                <w:bCs/>
                <w:color w:val="auto"/>
                <w:spacing w:val="-6"/>
                <w:kern w:val="0"/>
                <w:sz w:val="21"/>
                <w:szCs w:val="21"/>
                <w:highlight w:val="none"/>
                <w:lang w:val="en-US" w:eastAsia="zh-CN" w:bidi="ar"/>
              </w:rPr>
              <w:t>二、进口设备部分（如有）：</w:t>
            </w:r>
          </w:p>
          <w:p w14:paraId="1490DE15">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签订合同时可以采用以下付款方式：</w:t>
            </w:r>
          </w:p>
          <w:p w14:paraId="61FACE31">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1.100%信用证（其中90%在合同商品发货后见单支付，10%在合同商品到货并验收合格后支付）。</w:t>
            </w:r>
          </w:p>
          <w:p w14:paraId="5294A30F">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外贸合同生效后，采购人凭借外贸代理机构开具的40%收款收据向外贸代理机构支付合同总价的40%作为货物的预付款，外贸代理机构对外开具100%的即期不可撤销信用证；货物抵达港口后，采购人凭借外贸代理机构开具的50%收款收据、到货通知书和运单，向外贸代理机构支付合同总价的50%；外贸代理机构将货物送至采购人用户指定地点，安装调试完毕并经采购人验收合格后，向外贸代理机构支付合同总价的10%尾款。</w:t>
            </w:r>
          </w:p>
          <w:p w14:paraId="1F4B3FDE">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注：采购人开票信息如下：</w:t>
            </w:r>
          </w:p>
          <w:p w14:paraId="18610B10">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单位名称：杭州电子科技大学。税号：12330000470009026T</w:t>
            </w:r>
          </w:p>
          <w:p w14:paraId="0A9A5905">
            <w:pPr>
              <w:keepNext w:val="0"/>
              <w:keepLines w:val="0"/>
              <w:widowControl w:val="0"/>
              <w:suppressLineNumbers w:val="0"/>
              <w:autoSpaceDE w:val="0"/>
              <w:autoSpaceDN w:val="0"/>
              <w:adjustRightInd w:val="0"/>
              <w:snapToGrid w:val="0"/>
              <w:spacing w:before="0" w:beforeAutospacing="0" w:after="0" w:afterAutospacing="0" w:line="288" w:lineRule="auto"/>
              <w:ind w:left="0" w:leftChars="0" w:right="0" w:rightChars="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 w:val="21"/>
                <w:szCs w:val="21"/>
                <w:highlight w:val="none"/>
                <w:lang w:val="en-US" w:eastAsia="zh-CN" w:bidi="ar"/>
              </w:rPr>
              <w:t>开户银行：工行杭州高新支行。账号：1202026209008806216</w:t>
            </w:r>
          </w:p>
        </w:tc>
      </w:tr>
      <w:bookmarkEnd w:id="35"/>
    </w:tbl>
    <w:p w14:paraId="0554BEF9">
      <w:pPr>
        <w:adjustRightInd w:val="0"/>
        <w:snapToGrid w:val="0"/>
        <w:spacing w:line="288" w:lineRule="auto"/>
        <w:rPr>
          <w:rFonts w:ascii="宋体" w:hAnsi="宋体" w:eastAsia="宋体" w:cs="Times New Roman"/>
          <w:color w:val="auto"/>
          <w:spacing w:val="-4"/>
          <w:szCs w:val="21"/>
          <w:highlight w:val="none"/>
        </w:rPr>
      </w:pPr>
    </w:p>
    <w:p w14:paraId="1EC90AF6">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69E25E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C7BF35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1A6B25D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自合同签订之日起240日内交付并安装完毕</w:t>
            </w:r>
          </w:p>
        </w:tc>
      </w:tr>
      <w:tr w14:paraId="28D10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E478F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1141D1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14:paraId="2144AA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23196A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1743105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年，项目验收合格后开始计算。</w:t>
            </w:r>
          </w:p>
        </w:tc>
      </w:tr>
      <w:tr w14:paraId="3D3BF8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1829AB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5E7B9F9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14:paraId="3D6FC94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14:paraId="200BBA4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14:paraId="4949B3C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14:paraId="62FBF7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singl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如在使用过程中发生质量问题，供应商维修响应时间：1小时以内；</w:t>
            </w:r>
          </w:p>
          <w:p w14:paraId="47DFD56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电话技术支持时间：2小时以内；</w:t>
            </w:r>
          </w:p>
          <w:p w14:paraId="74ED99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tc>
      </w:tr>
      <w:tr w14:paraId="7F5E2F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223418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44E6110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14:paraId="6E97D4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14:paraId="4E2D848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14:paraId="14FC9FC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14:paraId="09DEF87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14:paraId="2EAEEE7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186EC5F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14:paraId="054882D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4.1所供货物符合产品标准和合同的要求；</w:t>
            </w:r>
          </w:p>
          <w:p w14:paraId="46BF0B6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14:paraId="2BC445F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14:paraId="69BF294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4.4所供货物已通过使用单位组织的验收；</w:t>
            </w:r>
          </w:p>
          <w:p w14:paraId="6290418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r w14:paraId="7680E6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66F7EA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6E28CB1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供应商应按招标文件规定的货物性能、技术要求、质量标准向采购人提供未经使用的全新产品，符合国家法律法规规定和技术规格、质量标准的出厂原装合格产品。</w:t>
            </w:r>
          </w:p>
          <w:p w14:paraId="4F7384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.技术支持：</w:t>
            </w:r>
          </w:p>
          <w:p w14:paraId="76AE813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14:paraId="60D67DF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14:paraId="0B1CC46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14:paraId="61816B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14:paraId="6C3086E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14:paraId="3D56E1B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14:paraId="3708BA6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14:paraId="384D8DC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.6供应商在投标文件中应提供安装调试计划、对安装场地和环境的要求。</w:t>
            </w:r>
          </w:p>
          <w:p w14:paraId="755B7A6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.供应商应提供质保期满后主要零部件报价单、质保期满后维护费、软件升级及其相关服务内容；</w:t>
            </w:r>
          </w:p>
          <w:p w14:paraId="33EB3A0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.供货时提供有关的全套技术文件。</w:t>
            </w:r>
          </w:p>
          <w:p w14:paraId="0F24338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r>
              <w:rPr>
                <w:rFonts w:hint="default" w:ascii="宋体" w:hAnsi="宋体" w:eastAsia="宋体" w:cs="宋体"/>
                <w:color w:val="auto"/>
                <w:szCs w:val="21"/>
                <w:highlight w:val="none"/>
              </w:rPr>
              <w:t>.</w:t>
            </w:r>
            <w:r>
              <w:rPr>
                <w:rFonts w:hint="eastAsia" w:ascii="宋体" w:hAnsi="宋体" w:eastAsia="宋体" w:cs="Times New Roman"/>
                <w:color w:val="auto"/>
                <w:spacing w:val="-6"/>
                <w:szCs w:val="21"/>
                <w:highlight w:val="none"/>
              </w:rPr>
              <w:t>供应商应保证所提供的货物或其中任何一部分均不会侵犯第三方的知识产权。</w:t>
            </w:r>
          </w:p>
        </w:tc>
      </w:tr>
      <w:tr w14:paraId="1E2161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28CB2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4E1438F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供应商应对采购人的操作人员、维修人员免费进行培训；</w:t>
            </w:r>
          </w:p>
          <w:p w14:paraId="1B32A02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供应商应提供相应的培训计划；</w:t>
            </w:r>
          </w:p>
          <w:p w14:paraId="545F726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上述内容的实现方式、时间、地点、人数应在投标文件中详细说明。</w:t>
            </w:r>
          </w:p>
        </w:tc>
      </w:tr>
    </w:tbl>
    <w:p w14:paraId="064D368C">
      <w:pPr>
        <w:adjustRightInd w:val="0"/>
        <w:snapToGrid w:val="0"/>
        <w:spacing w:line="288" w:lineRule="auto"/>
        <w:rPr>
          <w:rFonts w:ascii="宋体" w:hAnsi="宋体" w:eastAsia="宋体" w:cs="Times New Roman"/>
          <w:b/>
          <w:color w:val="auto"/>
          <w:szCs w:val="21"/>
          <w:highlight w:val="none"/>
        </w:rPr>
      </w:pPr>
    </w:p>
    <w:p w14:paraId="155758D7">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14:paraId="549893B5">
      <w:pPr>
        <w:adjustRightInd w:val="0"/>
        <w:snapToGrid w:val="0"/>
        <w:spacing w:line="288" w:lineRule="auto"/>
        <w:rPr>
          <w:rFonts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default" w:ascii="宋体" w:hAnsi="宋体" w:eastAsia="宋体" w:cs="宋体"/>
          <w:b/>
          <w:bCs/>
          <w:color w:val="auto"/>
          <w:szCs w:val="21"/>
          <w:highlight w:val="none"/>
          <w:lang w:val="en-US" w:eastAsia="zh-CN"/>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r>
        <w:rPr>
          <w:rFonts w:hint="eastAsia" w:ascii="宋体" w:hAnsi="宋体" w:eastAsia="宋体" w:cs="宋体"/>
          <w:b/>
          <w:bCs/>
          <w:color w:val="auto"/>
          <w:szCs w:val="21"/>
          <w:highlight w:val="none"/>
          <w:lang w:val="en-US" w:eastAsia="zh-CN"/>
        </w:rPr>
        <w:t>满足射频大功率器件测试系统相关设备的使用需求。</w:t>
      </w:r>
    </w:p>
    <w:p w14:paraId="052E21C8">
      <w:pPr>
        <w:adjustRightInd w:val="0"/>
        <w:snapToGrid w:val="0"/>
        <w:spacing w:line="288" w:lineRule="auto"/>
        <w:rPr>
          <w:rFonts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10" w:type="dxa"/>
            <w:vAlign w:val="center"/>
          </w:tcPr>
          <w:p w14:paraId="3B9DB4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661" w:type="dxa"/>
            <w:vAlign w:val="center"/>
          </w:tcPr>
          <w:p w14:paraId="601BB2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61" w:type="dxa"/>
            <w:vAlign w:val="center"/>
          </w:tcPr>
          <w:p w14:paraId="302F45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269" w:type="dxa"/>
            <w:vAlign w:val="center"/>
          </w:tcPr>
          <w:p w14:paraId="7F7ED6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1810" w:type="dxa"/>
            <w:vAlign w:val="center"/>
          </w:tcPr>
          <w:p w14:paraId="4E4989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矢量信号分析仪</w:t>
            </w:r>
          </w:p>
          <w:p w14:paraId="2F9DD2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（核心产品）</w:t>
            </w:r>
          </w:p>
        </w:tc>
        <w:tc>
          <w:tcPr>
            <w:tcW w:w="661" w:type="dxa"/>
            <w:vAlign w:val="center"/>
          </w:tcPr>
          <w:p w14:paraId="77DC8D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661" w:type="dxa"/>
            <w:vAlign w:val="center"/>
          </w:tcPr>
          <w:p w14:paraId="66A5AD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套</w:t>
            </w:r>
          </w:p>
        </w:tc>
        <w:tc>
          <w:tcPr>
            <w:tcW w:w="6269" w:type="dxa"/>
            <w:vAlign w:val="center"/>
          </w:tcPr>
          <w:p w14:paraId="3F5AB9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▲1.频率范围：2Hz～50GHz；</w:t>
            </w:r>
          </w:p>
          <w:p w14:paraId="237452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2.分辨率带宽RBW：1Hz～10MHz；</w:t>
            </w:r>
          </w:p>
          <w:p w14:paraId="7E2E4A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▲3.I/Q解调带宽（分析带宽）：≥1GHz；</w:t>
            </w:r>
          </w:p>
          <w:p w14:paraId="43C439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▲4.相位噪声（指标值）：</w:t>
            </w:r>
          </w:p>
          <w:p w14:paraId="570E07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≤-124dBc/Hz（f=1GHz,1kHz频偏）；</w:t>
            </w:r>
          </w:p>
          <w:p w14:paraId="7D6C38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≤-134dBc/Hz（f=1GHz,10kHz频偏）；</w:t>
            </w:r>
          </w:p>
          <w:p w14:paraId="6350A1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≤-139dBc/Hz（f=1GHz,100kHz频偏）；</w:t>
            </w:r>
          </w:p>
          <w:p w14:paraId="19744A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★5.显示平均噪声电平（DANL，预放关）（指标值）：</w:t>
            </w:r>
          </w:p>
          <w:p w14:paraId="4A9A35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≤-148dBm/Hz（100KHz＜f≤3.6GHz）；</w:t>
            </w:r>
          </w:p>
          <w:p w14:paraId="721A52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≤-151dBm/Hz（3.6GHz＜f≤17.1GHz）；</w:t>
            </w:r>
          </w:p>
          <w:p w14:paraId="4C8B60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≤-143dBm/Hz（17.1GHz＜f≤34.5GHz）；</w:t>
            </w:r>
          </w:p>
          <w:p w14:paraId="46B6FB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≤-134dBm/Hz（34.5GHz＜f≤50GHz）；</w:t>
            </w:r>
          </w:p>
          <w:p w14:paraId="594B3E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6.1dB压缩点：≥+5dBm（f=1GHz，预放关）；</w:t>
            </w:r>
          </w:p>
          <w:p w14:paraId="28331E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★7.三阶互调截点(TOI)：≥+16dBm（f=1GHz，预放关）；</w:t>
            </w:r>
          </w:p>
          <w:p w14:paraId="1ADFAB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★8.频率基准老化率：≤±3×10</w:t>
            </w:r>
            <w:r>
              <w:rPr>
                <w:rFonts w:hint="eastAsia" w:ascii="宋体" w:hAnsi="宋体" w:eastAsia="宋体" w:cs="宋体"/>
                <w:color w:val="auto"/>
                <w:sz w:val="21"/>
                <w:szCs w:val="21"/>
                <w:highlight w:val="none"/>
                <w:vertAlign w:val="superscript"/>
                <w:lang w:eastAsia="zh-CN"/>
              </w:rPr>
              <w:t>-8</w:t>
            </w:r>
            <w:r>
              <w:rPr>
                <w:rFonts w:hint="eastAsia" w:ascii="宋体" w:hAnsi="宋体" w:eastAsia="宋体" w:cs="宋体"/>
                <w:color w:val="auto"/>
                <w:sz w:val="21"/>
                <w:szCs w:val="21"/>
                <w:highlight w:val="none"/>
                <w:lang w:eastAsia="zh-CN"/>
              </w:rPr>
              <w:t>/年；</w:t>
            </w:r>
          </w:p>
          <w:p w14:paraId="426449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9.二次谐波抑制（SHI)（预放关）：</w:t>
            </w:r>
          </w:p>
          <w:p w14:paraId="5046F0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≥46dBm（10MHz＜f≤1.75GHz）；</w:t>
            </w:r>
          </w:p>
          <w:p w14:paraId="017517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≥77dBm（1.75GHz＜f≤25GHz）；</w:t>
            </w:r>
          </w:p>
          <w:p w14:paraId="1D3AF7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★10.内置预放：频率覆盖范围9kHz～50GHz，增益不低于30dB；</w:t>
            </w:r>
          </w:p>
          <w:p w14:paraId="09852C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11.扩展能力：具备扩展到11GHz以上分析带宽能力；</w:t>
            </w:r>
          </w:p>
          <w:p w14:paraId="31AAD0F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★12.配备基础解调软件，支持OFDM解调，解调软件可支持示波器和信号分析仪并且可在多个平台切换使用；</w:t>
            </w:r>
          </w:p>
          <w:p w14:paraId="30B9C4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★13.内置实时频谱功能，实时频谱带宽</w:t>
            </w: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lang w:eastAsia="zh-CN"/>
              </w:rPr>
              <w:t>达1G，最小捕获时间低至15us；</w:t>
            </w:r>
          </w:p>
          <w:p w14:paraId="40B30F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14.控制接口：具备LAN和USB接口；</w:t>
            </w:r>
          </w:p>
          <w:p w14:paraId="323C20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15.包括附加4通道实时示波器，指标如下：</w:t>
            </w:r>
          </w:p>
          <w:p w14:paraId="68EF17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15.1 </w:t>
            </w:r>
            <w:r>
              <w:rPr>
                <w:rFonts w:hint="eastAsia" w:ascii="宋体" w:hAnsi="宋体" w:eastAsia="宋体" w:cs="宋体"/>
                <w:color w:val="auto"/>
                <w:sz w:val="21"/>
                <w:szCs w:val="21"/>
                <w:highlight w:val="none"/>
                <w:lang w:eastAsia="zh-CN"/>
              </w:rPr>
              <w:t>带宽：2G（可升级到6G），可做射频中频信号分析和FFT；</w:t>
            </w:r>
          </w:p>
          <w:p w14:paraId="3CCE84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15.2 </w:t>
            </w:r>
            <w:r>
              <w:rPr>
                <w:rFonts w:hint="eastAsia" w:ascii="宋体" w:hAnsi="宋体" w:eastAsia="宋体" w:cs="宋体"/>
                <w:color w:val="auto"/>
                <w:sz w:val="21"/>
                <w:szCs w:val="21"/>
                <w:highlight w:val="none"/>
                <w:lang w:eastAsia="zh-CN"/>
              </w:rPr>
              <w:t>通道数：4通道（可升级到8通道）；</w:t>
            </w:r>
          </w:p>
          <w:p w14:paraId="2157BE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15.3 </w:t>
            </w:r>
            <w:r>
              <w:rPr>
                <w:rFonts w:hint="eastAsia" w:ascii="宋体" w:hAnsi="宋体" w:eastAsia="宋体" w:cs="宋体"/>
                <w:color w:val="auto"/>
                <w:sz w:val="21"/>
                <w:szCs w:val="21"/>
                <w:highlight w:val="none"/>
                <w:lang w:eastAsia="zh-CN"/>
              </w:rPr>
              <w:t>采样率：16GSa/s（4通道全开）；</w:t>
            </w:r>
          </w:p>
          <w:p w14:paraId="3FCE41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15.4 </w:t>
            </w:r>
            <w:r>
              <w:rPr>
                <w:rFonts w:hint="eastAsia" w:ascii="宋体" w:hAnsi="宋体" w:eastAsia="宋体" w:cs="宋体"/>
                <w:color w:val="auto"/>
                <w:sz w:val="21"/>
                <w:szCs w:val="21"/>
                <w:highlight w:val="none"/>
                <w:lang w:eastAsia="zh-CN"/>
              </w:rPr>
              <w:t>存储深度：≥200M；</w:t>
            </w:r>
          </w:p>
          <w:p w14:paraId="4E9083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15.5 </w:t>
            </w:r>
            <w:r>
              <w:rPr>
                <w:rFonts w:hint="eastAsia" w:ascii="宋体" w:hAnsi="宋体" w:eastAsia="宋体" w:cs="宋体"/>
                <w:color w:val="auto"/>
                <w:sz w:val="21"/>
                <w:szCs w:val="21"/>
                <w:highlight w:val="none"/>
                <w:lang w:eastAsia="zh-CN"/>
              </w:rPr>
              <w:t>最大波形刷新率：≥200000 waveforms</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秒；</w:t>
            </w:r>
          </w:p>
          <w:p w14:paraId="630D8A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15.6 </w:t>
            </w:r>
            <w:r>
              <w:rPr>
                <w:rFonts w:hint="eastAsia" w:ascii="宋体" w:hAnsi="宋体" w:eastAsia="宋体" w:cs="宋体"/>
                <w:color w:val="auto"/>
                <w:sz w:val="21"/>
                <w:szCs w:val="21"/>
                <w:highlight w:val="none"/>
                <w:lang w:eastAsia="zh-CN"/>
              </w:rPr>
              <w:t>通道间固有抖动：≤100fs；</w:t>
            </w:r>
          </w:p>
          <w:p w14:paraId="42982B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15.7 </w:t>
            </w:r>
            <w:r>
              <w:rPr>
                <w:rFonts w:hint="eastAsia" w:ascii="宋体" w:hAnsi="宋体" w:eastAsia="宋体" w:cs="宋体"/>
                <w:color w:val="auto"/>
                <w:sz w:val="21"/>
                <w:szCs w:val="21"/>
                <w:highlight w:val="none"/>
                <w:lang w:eastAsia="zh-CN"/>
              </w:rPr>
              <w:t>ENOB：≥7.5@50mV/Div；</w:t>
            </w:r>
          </w:p>
          <w:p w14:paraId="03C62B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15.8 可升级</w:t>
            </w:r>
            <w:r>
              <w:rPr>
                <w:rFonts w:hint="eastAsia" w:ascii="宋体" w:hAnsi="宋体" w:eastAsia="宋体" w:cs="宋体"/>
                <w:color w:val="auto"/>
                <w:sz w:val="21"/>
                <w:szCs w:val="21"/>
                <w:highlight w:val="none"/>
                <w:lang w:eastAsia="zh-CN"/>
              </w:rPr>
              <w:t>DDC和实时频谱功能；</w:t>
            </w:r>
          </w:p>
          <w:p w14:paraId="5D8A6A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15.9 </w:t>
            </w:r>
            <w:r>
              <w:rPr>
                <w:rFonts w:hint="eastAsia" w:ascii="宋体" w:hAnsi="宋体" w:eastAsia="宋体" w:cs="宋体"/>
                <w:color w:val="auto"/>
                <w:sz w:val="21"/>
                <w:szCs w:val="21"/>
                <w:highlight w:val="none"/>
                <w:lang w:eastAsia="zh-CN"/>
              </w:rPr>
              <w:t>通道间固有抖动：≤100fs；</w:t>
            </w:r>
          </w:p>
          <w:p w14:paraId="3DD582D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15.10 </w:t>
            </w:r>
            <w:r>
              <w:rPr>
                <w:rFonts w:hint="eastAsia" w:ascii="宋体" w:hAnsi="宋体" w:eastAsia="宋体" w:cs="宋体"/>
                <w:color w:val="auto"/>
                <w:sz w:val="21"/>
                <w:szCs w:val="21"/>
                <w:highlight w:val="none"/>
                <w:lang w:eastAsia="zh-CN"/>
              </w:rPr>
              <w:t>最大安全输入电压：≥±40V；</w:t>
            </w:r>
          </w:p>
          <w:p w14:paraId="47518E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15.11 </w:t>
            </w:r>
            <w:r>
              <w:rPr>
                <w:rFonts w:hint="eastAsia" w:ascii="宋体" w:hAnsi="宋体" w:eastAsia="宋体" w:cs="宋体"/>
                <w:color w:val="auto"/>
                <w:sz w:val="21"/>
                <w:szCs w:val="21"/>
                <w:highlight w:val="none"/>
                <w:lang w:eastAsia="zh-CN"/>
              </w:rPr>
              <w:t>1G处相位噪声：-124.7 dBc/Hz@10KHz offset；</w:t>
            </w:r>
          </w:p>
          <w:p w14:paraId="5E92F6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15.12 </w:t>
            </w:r>
            <w:r>
              <w:rPr>
                <w:rFonts w:hint="eastAsia" w:ascii="宋体" w:hAnsi="宋体" w:eastAsia="宋体" w:cs="宋体"/>
                <w:color w:val="auto"/>
                <w:sz w:val="21"/>
                <w:szCs w:val="21"/>
                <w:highlight w:val="none"/>
                <w:lang w:eastAsia="zh-CN"/>
              </w:rPr>
              <w:t>无杂散动态范围：71dB；</w:t>
            </w:r>
          </w:p>
          <w:p w14:paraId="02F4DC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15.13 </w:t>
            </w:r>
            <w:r>
              <w:rPr>
                <w:rFonts w:hint="eastAsia" w:ascii="宋体" w:hAnsi="宋体" w:eastAsia="宋体" w:cs="宋体"/>
                <w:color w:val="auto"/>
                <w:sz w:val="21"/>
                <w:szCs w:val="21"/>
                <w:highlight w:val="none"/>
                <w:lang w:eastAsia="zh-CN"/>
              </w:rPr>
              <w:t>底噪：≤-160 dBm/Hz；</w:t>
            </w:r>
          </w:p>
          <w:p w14:paraId="658EA4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15.14 </w:t>
            </w:r>
            <w:r>
              <w:rPr>
                <w:rFonts w:hint="eastAsia" w:ascii="宋体" w:hAnsi="宋体" w:eastAsia="宋体" w:cs="宋体"/>
                <w:color w:val="auto"/>
                <w:sz w:val="21"/>
                <w:szCs w:val="21"/>
                <w:highlight w:val="none"/>
                <w:lang w:eastAsia="zh-CN"/>
              </w:rPr>
              <w:t>标配4根500M无源探头；</w:t>
            </w:r>
          </w:p>
          <w:p w14:paraId="060FCD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15.15 </w:t>
            </w:r>
            <w:r>
              <w:rPr>
                <w:rFonts w:hint="eastAsia" w:ascii="宋体" w:hAnsi="宋体" w:eastAsia="宋体" w:cs="宋体"/>
                <w:color w:val="auto"/>
                <w:sz w:val="21"/>
                <w:szCs w:val="21"/>
                <w:highlight w:val="none"/>
                <w:lang w:eastAsia="zh-CN"/>
              </w:rPr>
              <w:t>自带触摸显示屏和Windows操作系统，外置USB接口；</w:t>
            </w:r>
          </w:p>
          <w:p w14:paraId="1AD8F2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16.包括通道精密源/测量单元，指标如下：</w:t>
            </w:r>
          </w:p>
          <w:p w14:paraId="42647D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16.1 </w:t>
            </w:r>
            <w:r>
              <w:rPr>
                <w:rFonts w:hint="eastAsia" w:ascii="宋体" w:hAnsi="宋体" w:eastAsia="宋体" w:cs="宋体"/>
                <w:color w:val="auto"/>
                <w:sz w:val="21"/>
                <w:szCs w:val="21"/>
                <w:highlight w:val="none"/>
                <w:lang w:eastAsia="zh-CN"/>
              </w:rPr>
              <w:t>最大输出电压：≥210V；</w:t>
            </w:r>
          </w:p>
          <w:p w14:paraId="29F43B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16.2 </w:t>
            </w:r>
            <w:r>
              <w:rPr>
                <w:rFonts w:hint="eastAsia" w:ascii="宋体" w:hAnsi="宋体" w:eastAsia="宋体" w:cs="宋体"/>
                <w:color w:val="auto"/>
                <w:sz w:val="21"/>
                <w:szCs w:val="21"/>
                <w:highlight w:val="none"/>
                <w:lang w:eastAsia="zh-CN"/>
              </w:rPr>
              <w:t>通道数：≥2；</w:t>
            </w:r>
          </w:p>
          <w:p w14:paraId="11CB3A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16.3 </w:t>
            </w:r>
            <w:r>
              <w:rPr>
                <w:rFonts w:hint="eastAsia" w:ascii="宋体" w:hAnsi="宋体" w:eastAsia="宋体" w:cs="宋体"/>
                <w:color w:val="auto"/>
                <w:sz w:val="21"/>
                <w:szCs w:val="21"/>
                <w:highlight w:val="none"/>
                <w:lang w:eastAsia="zh-CN"/>
              </w:rPr>
              <w:t>最大DC电流：≥3A；</w:t>
            </w:r>
          </w:p>
          <w:p w14:paraId="7354C9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16.4 </w:t>
            </w:r>
            <w:r>
              <w:rPr>
                <w:rFonts w:hint="eastAsia" w:ascii="宋体" w:hAnsi="宋体" w:eastAsia="宋体" w:cs="宋体"/>
                <w:color w:val="auto"/>
                <w:sz w:val="21"/>
                <w:szCs w:val="21"/>
                <w:highlight w:val="none"/>
                <w:lang w:eastAsia="zh-CN"/>
              </w:rPr>
              <w:t>最大脉冲电流：≥10A；</w:t>
            </w:r>
          </w:p>
          <w:p w14:paraId="0BAA81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16.5 </w:t>
            </w:r>
            <w:r>
              <w:rPr>
                <w:rFonts w:hint="eastAsia" w:ascii="宋体" w:hAnsi="宋体" w:eastAsia="宋体" w:cs="宋体"/>
                <w:color w:val="auto"/>
                <w:sz w:val="21"/>
                <w:szCs w:val="21"/>
                <w:highlight w:val="none"/>
                <w:lang w:eastAsia="zh-CN"/>
              </w:rPr>
              <w:t>源最小电流分辨率：≥1pA；</w:t>
            </w:r>
          </w:p>
          <w:p w14:paraId="057A2D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16.6 </w:t>
            </w:r>
            <w:r>
              <w:rPr>
                <w:rFonts w:hint="eastAsia" w:ascii="宋体" w:hAnsi="宋体" w:eastAsia="宋体" w:cs="宋体"/>
                <w:color w:val="auto"/>
                <w:sz w:val="21"/>
                <w:szCs w:val="21"/>
                <w:highlight w:val="none"/>
                <w:lang w:eastAsia="zh-CN"/>
              </w:rPr>
              <w:t>源最小电压分辨率：≥1uV；</w:t>
            </w:r>
          </w:p>
          <w:p w14:paraId="41DC5E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16.7 </w:t>
            </w:r>
            <w:r>
              <w:rPr>
                <w:rFonts w:hint="eastAsia" w:ascii="宋体" w:hAnsi="宋体" w:eastAsia="宋体" w:cs="宋体"/>
                <w:color w:val="auto"/>
                <w:sz w:val="21"/>
                <w:szCs w:val="21"/>
                <w:highlight w:val="none"/>
                <w:lang w:eastAsia="zh-CN"/>
              </w:rPr>
              <w:t>最小电流测量分辨率：100fA；</w:t>
            </w:r>
          </w:p>
          <w:p w14:paraId="57606F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16.8 </w:t>
            </w:r>
            <w:r>
              <w:rPr>
                <w:rFonts w:hint="eastAsia" w:ascii="宋体" w:hAnsi="宋体" w:eastAsia="宋体" w:cs="宋体"/>
                <w:color w:val="auto"/>
                <w:sz w:val="21"/>
                <w:szCs w:val="21"/>
                <w:highlight w:val="none"/>
                <w:lang w:eastAsia="zh-CN"/>
              </w:rPr>
              <w:t>最小电压测量分辨率：100nV。</w:t>
            </w:r>
          </w:p>
        </w:tc>
      </w:tr>
      <w:tr w14:paraId="553D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F006D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810" w:type="dxa"/>
            <w:vAlign w:val="center"/>
          </w:tcPr>
          <w:p w14:paraId="38CC1B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矢量信号源</w:t>
            </w:r>
          </w:p>
        </w:tc>
        <w:tc>
          <w:tcPr>
            <w:tcW w:w="661" w:type="dxa"/>
            <w:vAlign w:val="center"/>
          </w:tcPr>
          <w:p w14:paraId="14E34F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661" w:type="dxa"/>
            <w:vAlign w:val="center"/>
          </w:tcPr>
          <w:p w14:paraId="3D057C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412F427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▲1.频率范围：9kHz～54GHz；</w:t>
            </w:r>
          </w:p>
          <w:p w14:paraId="0C936B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2.通道数：1；</w:t>
            </w:r>
          </w:p>
          <w:p w14:paraId="5CAA4E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★3.频率分辨率：≤0.00001Hz；</w:t>
            </w:r>
          </w:p>
          <w:p w14:paraId="66E035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★4.最大输出功率：</w:t>
            </w:r>
          </w:p>
          <w:p w14:paraId="0DDD19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≥18dBm（10MHz＜f≤32GHz）；</w:t>
            </w:r>
          </w:p>
          <w:p w14:paraId="7B37D0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≥10dBm（32GHz＜f≤54GHz）；</w:t>
            </w:r>
          </w:p>
          <w:p w14:paraId="612601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★5.单边带相位噪声：≤–137dBc/Hz（f=1GHz，10KHz频偏）；</w:t>
            </w:r>
          </w:p>
          <w:p w14:paraId="794688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6.基带源数量：1（可扩展到8个）；</w:t>
            </w:r>
          </w:p>
          <w:p w14:paraId="6B0F14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★7.内部调制带宽：1GHz；</w:t>
            </w:r>
          </w:p>
          <w:p w14:paraId="09D7C3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8.波形产生方式：支持ARB波形存回放和实时编码信号产生，ARB存储深度不低于256M Samples,支持后续升级到2G Samples以上</w:t>
            </w:r>
          </w:p>
          <w:p w14:paraId="036B47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9.带内平坦度：</w:t>
            </w:r>
          </w:p>
          <w:p w14:paraId="5C4310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≤±0.25dB (400MHz～35GHz）；</w:t>
            </w:r>
          </w:p>
          <w:p w14:paraId="7C56535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≤±0.5dB (35GHz～54GHz）；</w:t>
            </w:r>
          </w:p>
          <w:p w14:paraId="56BD3C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10.谐波：</w:t>
            </w:r>
          </w:p>
          <w:p w14:paraId="6A103D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≤–30dBc（f≤15GHz）；</w:t>
            </w:r>
          </w:p>
          <w:p w14:paraId="479C51E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≤–55dBc（15GHz＜f≤27GHz）；</w:t>
            </w:r>
          </w:p>
          <w:p w14:paraId="3327DC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功率精度：不差于±0.7dB（12MHz≤f≤54GHz）（典型值）；</w:t>
            </w:r>
          </w:p>
          <w:p w14:paraId="1E63C6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频率切换时间：≤3ms；</w:t>
            </w:r>
          </w:p>
          <w:p w14:paraId="6D67A8A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幅度切换时间：≤2.8ms；</w:t>
            </w:r>
          </w:p>
          <w:p w14:paraId="39548F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初始频率校准精度：±5×10</w:t>
            </w:r>
            <w:r>
              <w:rPr>
                <w:rFonts w:hint="eastAsia" w:ascii="宋体" w:hAnsi="宋体" w:eastAsia="宋体" w:cs="宋体"/>
                <w:color w:val="auto"/>
                <w:sz w:val="21"/>
                <w:szCs w:val="21"/>
                <w:highlight w:val="none"/>
                <w:vertAlign w:val="superscript"/>
                <w:lang w:eastAsia="zh-CN"/>
              </w:rPr>
              <w:t>–8</w:t>
            </w:r>
            <w:r>
              <w:rPr>
                <w:rFonts w:hint="eastAsia" w:ascii="宋体" w:hAnsi="宋体" w:eastAsia="宋体" w:cs="宋体"/>
                <w:color w:val="auto"/>
                <w:sz w:val="21"/>
                <w:szCs w:val="21"/>
                <w:highlight w:val="none"/>
                <w:lang w:eastAsia="zh-CN"/>
              </w:rPr>
              <w:t>；</w:t>
            </w:r>
          </w:p>
          <w:p w14:paraId="682364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宽带噪声（100MHZ频偏）：</w:t>
            </w:r>
          </w:p>
          <w:p w14:paraId="2F4894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≤–153dBc @1GHz，–159dBc （典型值）；</w:t>
            </w:r>
          </w:p>
          <w:p w14:paraId="1FA913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≤–153dBc @2GHz，–158dBc （典型值）；</w:t>
            </w:r>
          </w:p>
          <w:p w14:paraId="73807F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≤–153dBc @2GHz，–159dBc （典型值）；</w:t>
            </w:r>
          </w:p>
          <w:p w14:paraId="369808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16.具备高斯白噪声功能；</w:t>
            </w:r>
          </w:p>
          <w:p w14:paraId="0D9343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17</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控制接口：具备LAN和USB接口。</w:t>
            </w:r>
          </w:p>
        </w:tc>
      </w:tr>
      <w:tr w14:paraId="278D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7029D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1810" w:type="dxa"/>
            <w:vAlign w:val="center"/>
          </w:tcPr>
          <w:p w14:paraId="340E25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阻抗调谐器</w:t>
            </w:r>
          </w:p>
        </w:tc>
        <w:tc>
          <w:tcPr>
            <w:tcW w:w="661" w:type="dxa"/>
            <w:vAlign w:val="center"/>
          </w:tcPr>
          <w:p w14:paraId="784C71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p>
        </w:tc>
        <w:tc>
          <w:tcPr>
            <w:tcW w:w="661" w:type="dxa"/>
            <w:vAlign w:val="center"/>
          </w:tcPr>
          <w:p w14:paraId="35D5DB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16A044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★1.包含阻抗调谐器两套：频率覆盖1.8GHz-50GHz（分段实现），2-26.5GHz；</w:t>
            </w:r>
          </w:p>
          <w:p w14:paraId="60BBFD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★2.1.8GHz-50GHz阻抗调谐器承受功率（@50 Ohm）：1.8-12GHz最大4472W脉冲功率（6%占空比）；12-18GHz≥50W连续波，最大500W脉冲功率（10%占空比）。18-50GHz≥10W连续波，最大100W脉冲功率（10%占空比）；</w:t>
            </w:r>
          </w:p>
          <w:p w14:paraId="222AE1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★3.2-26.5GHz阻抗调谐器承受功率（@Max VSWR）：≥25W连续波，最大250W脉冲功率（10%占空比）；</w:t>
            </w:r>
            <w:bookmarkStart w:id="83" w:name="_GoBack"/>
            <w:bookmarkEnd w:id="83"/>
          </w:p>
          <w:p w14:paraId="67A79B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★4.8-50GHz阻抗调谐器承受功率（@Max VSWR）：≥10W连续波，最大100W脉冲功率（10%占空比）；</w:t>
            </w:r>
          </w:p>
          <w:p w14:paraId="3A2110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★5.Tuner重复性：最小值-40dB；</w:t>
            </w:r>
          </w:p>
          <w:p w14:paraId="32FF89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★6.阻抗调谐器最大驻波比调谐：1.8-18GHz≥15:1，2-26.5GHz≥10:1，8-50GHz≥10:1；</w:t>
            </w:r>
          </w:p>
          <w:p w14:paraId="568289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7.含3.5mm阴头转7mm，3.5mm阳头转7mm转接头各两只，VSWR：DC-4.0GHz≤1.04，4.0-18.0≤1.09；</w:t>
            </w:r>
          </w:p>
          <w:p w14:paraId="226BFE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8.含N头阴头转7mm，N头阳头转7mm转接头各两只，VSWR：DC-4.0GHz≤1.04，4.0-9.0GHz≤1.05，9.0-18.GHz≤1.09；</w:t>
            </w:r>
          </w:p>
          <w:p w14:paraId="437792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9.含2.4mm阴头转7mm，2.4mm阳头转7mm转接头各两只，VSWR：DC-4.0GHz≤1.04，4.0-12.0GHz≤1.07，12.0-18.0GHz≤1.1；</w:t>
            </w:r>
          </w:p>
          <w:p w14:paraId="04811A7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10.含2.4mm双阴，2.4mm双阳转接头各两只，VSWR：DC-26.5GHz≤1.08，26.5-40GHz≤1.12，40-50GHz≤1.15；</w:t>
            </w:r>
          </w:p>
          <w:p w14:paraId="24C84B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★11.含耦合器2只，频率覆盖0.6GHz-18GHz，承受功率：≥500W连续波，最大2000W脉冲功率（10%占空比）；</w:t>
            </w:r>
          </w:p>
          <w:p w14:paraId="68011C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★12.耦合器插入损耗：≤0.25dB；</w:t>
            </w:r>
          </w:p>
          <w:p w14:paraId="32F9FA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13.耦合器耦合度：典型值30dB±3dB（@1~18GHz）；</w:t>
            </w:r>
          </w:p>
          <w:p w14:paraId="33102D7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14.耦合器方向性：典型值15dB（@0.6~8GHz）, 典型值10dB（@8~18GHz）；</w:t>
            </w:r>
          </w:p>
          <w:p w14:paraId="7FF250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15.调谐器控制接口应满足USB接口规范；</w:t>
            </w:r>
          </w:p>
          <w:p w14:paraId="0BB6FC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16.调谐器质量标准应满足ISO9001:2015标准。</w:t>
            </w:r>
          </w:p>
        </w:tc>
      </w:tr>
    </w:tbl>
    <w:p w14:paraId="2C639540">
      <w:pPr>
        <w:adjustRightInd w:val="0"/>
        <w:snapToGrid w:val="0"/>
        <w:spacing w:line="288" w:lineRule="auto"/>
        <w:rPr>
          <w:rFonts w:ascii="宋体" w:hAnsi="宋体" w:eastAsia="宋体" w:cs="Times New Roman"/>
          <w:b/>
          <w:bCs/>
          <w:color w:val="auto"/>
          <w:szCs w:val="21"/>
          <w:highlight w:val="none"/>
        </w:rPr>
      </w:pPr>
    </w:p>
    <w:p w14:paraId="2A83C00D">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0010D715">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杭州电子科技大学射频大功率器件测试系统</w:t>
            </w:r>
            <w:r>
              <w:rPr>
                <w:rFonts w:hint="eastAsia" w:ascii="宋体" w:hAnsi="宋体" w:eastAsia="宋体"/>
                <w:color w:val="auto"/>
                <w:szCs w:val="21"/>
                <w:highlight w:val="none"/>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2024年1月（含）</w:t>
            </w:r>
            <w:r>
              <w:rPr>
                <w:rFonts w:hint="default" w:ascii="宋体" w:hAnsi="宋体" w:eastAsia="宋体"/>
                <w:color w:val="auto"/>
                <w:szCs w:val="21"/>
                <w:highlight w:val="none"/>
              </w:rPr>
              <w:t>以后任意一月）</w:t>
            </w:r>
            <w:r>
              <w:rPr>
                <w:rFonts w:hint="eastAsia" w:ascii="宋体" w:hAnsi="宋体" w:eastAsia="宋体"/>
                <w:color w:val="auto"/>
                <w:szCs w:val="21"/>
                <w:highlight w:val="none"/>
              </w:rPr>
              <w:t>；</w:t>
            </w:r>
          </w:p>
          <w:p w14:paraId="19BCFB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r w14:paraId="568BC7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E2B5B8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500-1000</w:t>
                  </w:r>
                </w:p>
              </w:tc>
              <w:tc>
                <w:tcPr>
                  <w:tcW w:w="3070" w:type="dxa"/>
                  <w:tcMar>
                    <w:top w:w="0" w:type="dxa"/>
                    <w:left w:w="108" w:type="dxa"/>
                    <w:bottom w:w="0" w:type="dxa"/>
                    <w:right w:w="108" w:type="dxa"/>
                  </w:tcMar>
                  <w:vAlign w:val="center"/>
                </w:tcPr>
                <w:p w14:paraId="1A63E5C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0.56</w:t>
                  </w:r>
                </w:p>
              </w:tc>
            </w:tr>
            <w:tr w14:paraId="627AA28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E4C7BE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1000-5000</w:t>
                  </w:r>
                </w:p>
              </w:tc>
              <w:tc>
                <w:tcPr>
                  <w:tcW w:w="3070" w:type="dxa"/>
                  <w:tcMar>
                    <w:top w:w="0" w:type="dxa"/>
                    <w:left w:w="108" w:type="dxa"/>
                    <w:bottom w:w="0" w:type="dxa"/>
                    <w:right w:w="108" w:type="dxa"/>
                  </w:tcMar>
                  <w:vAlign w:val="center"/>
                </w:tcPr>
                <w:p w14:paraId="35B0288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0.35</w:t>
                  </w:r>
                </w:p>
              </w:tc>
            </w:tr>
          </w:tbl>
          <w:p w14:paraId="7BC025F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14:paraId="2BD3C9D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hint="default"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hint="default" w:ascii="宋体" w:hAnsi="宋体" w:eastAsia="宋体"/>
                <w:color w:val="auto"/>
                <w:szCs w:val="21"/>
                <w:highlight w:val="none"/>
                <w:u w:val="single"/>
              </w:rPr>
              <w:t>。</w:t>
            </w:r>
          </w:p>
          <w:p w14:paraId="6381749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3877AAA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14:paraId="3F923D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bookmarkStart w:id="38"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14:paraId="30EC00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rPr>
            </w:pPr>
            <w:r>
              <w:rPr>
                <w:rFonts w:hint="eastAsia" w:ascii="宋体" w:hAnsi="宋体" w:eastAsia="宋体"/>
                <w:color w:val="auto"/>
                <w:szCs w:val="21"/>
                <w:highlight w:val="none"/>
              </w:rPr>
              <w:t>3.如进口设备的价格采用免税的人民币报价，同时提供美元报价，交货方式为CIP杭州电子科技大学，由中标人委托相关外贸公司办理免税事宜（外贸公司为浙江</w:t>
            </w:r>
            <w:r>
              <w:rPr>
                <w:rFonts w:hint="eastAsia" w:ascii="宋体" w:hAnsi="宋体" w:eastAsia="宋体"/>
                <w:color w:val="auto"/>
                <w:szCs w:val="21"/>
                <w:highlight w:val="none"/>
                <w:lang w:val="en-US" w:eastAsia="zh-CN"/>
              </w:rPr>
              <w:t>省科学器材进出口有限责任公司</w:t>
            </w:r>
            <w:r>
              <w:rPr>
                <w:rFonts w:hint="eastAsia" w:ascii="宋体" w:hAnsi="宋体" w:eastAsia="宋体"/>
                <w:color w:val="auto"/>
                <w:szCs w:val="21"/>
                <w:highlight w:val="none"/>
              </w:rPr>
              <w:t>），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147D2EB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.投标文件只允许有一个报价，有选择的报价将不予接受。</w:t>
            </w:r>
          </w:p>
          <w:p w14:paraId="3563C928">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w:t>
            </w:r>
            <w:r>
              <w:rPr>
                <w:rFonts w:hint="eastAsia" w:hAnsi="宋体" w:eastAsia="宋体" w:cs="宋体"/>
                <w:color w:val="auto"/>
                <w:sz w:val="21"/>
                <w:szCs w:val="21"/>
                <w:highlight w:val="none"/>
                <w:lang w:val="en-US" w:eastAsia="zh-CN"/>
              </w:rPr>
              <w:t>6</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default" w:hAnsi="宋体" w:eastAsia="宋体" w:cs="宋体"/>
                <w:color w:val="auto"/>
                <w:sz w:val="21"/>
                <w:szCs w:val="21"/>
                <w:highlight w:val="none"/>
              </w:rPr>
              <w:t>。</w:t>
            </w:r>
          </w:p>
          <w:p w14:paraId="57C3B98D">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lang w:val="en-US" w:eastAsia="zh-CN"/>
              </w:rPr>
              <w:t>7</w:t>
            </w:r>
            <w:r>
              <w:rPr>
                <w:rFonts w:hint="eastAsia" w:hAnsi="宋体" w:eastAsia="宋体" w:cs="宋体"/>
                <w:color w:val="auto"/>
                <w:sz w:val="21"/>
                <w:szCs w:val="21"/>
                <w:highlight w:val="none"/>
              </w:rPr>
              <w:t>.供应商不得进行影响产品质量或者诚信履约的恶意报价。供应商报价低于项目预算50%的，应当在报价文件中提供书面说明，详细阐述不影响产品质量或者诚信履约的具体原因。</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14:paraId="764296F0">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243818B2">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9"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杭州电子科技大学射频大功率器件测试系统</w:t>
      </w:r>
      <w:r>
        <w:rPr>
          <w:rFonts w:hint="eastAsia" w:ascii="宋体" w:hAnsi="宋体" w:eastAsia="宋体" w:cs="Times New Roman"/>
          <w:color w:val="auto"/>
          <w:spacing w:val="-6"/>
          <w:szCs w:val="21"/>
          <w:highlight w:val="none"/>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14:paraId="09A897C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2A5FBFBF">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07EE7FD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7A4EB87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467E496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14:paraId="3699FA4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B2B024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5A370A5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14:paraId="47B147A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0EE3F12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3E4D005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r w14:paraId="03BB21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8518E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500-1000</w:t>
            </w:r>
          </w:p>
        </w:tc>
        <w:tc>
          <w:tcPr>
            <w:tcW w:w="3070" w:type="dxa"/>
            <w:tcMar>
              <w:top w:w="0" w:type="dxa"/>
              <w:left w:w="108" w:type="dxa"/>
              <w:bottom w:w="0" w:type="dxa"/>
              <w:right w:w="108" w:type="dxa"/>
            </w:tcMar>
            <w:vAlign w:val="center"/>
          </w:tcPr>
          <w:p w14:paraId="294D81E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0.56</w:t>
            </w:r>
          </w:p>
        </w:tc>
      </w:tr>
      <w:tr w14:paraId="6A8F454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256150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1000-5000</w:t>
            </w:r>
          </w:p>
        </w:tc>
        <w:tc>
          <w:tcPr>
            <w:tcW w:w="3070" w:type="dxa"/>
            <w:tcMar>
              <w:top w:w="0" w:type="dxa"/>
              <w:left w:w="108" w:type="dxa"/>
              <w:bottom w:w="0" w:type="dxa"/>
              <w:right w:w="108" w:type="dxa"/>
            </w:tcMar>
            <w:vAlign w:val="center"/>
          </w:tcPr>
          <w:p w14:paraId="189A149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0.35</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275F68A2">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2024年1月（含）</w:t>
      </w:r>
      <w:r>
        <w:rPr>
          <w:rFonts w:ascii="宋体" w:hAnsi="宋体" w:eastAsia="宋体" w:cs="Times New Roman"/>
          <w:color w:val="auto"/>
          <w:spacing w:val="-6"/>
          <w:szCs w:val="21"/>
          <w:highlight w:val="none"/>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788083F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28AB9442">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20465D07">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1747DD21">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1B2B8CA9">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1"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highlight w:val="none"/>
        </w:rPr>
      </w:pPr>
      <w:bookmarkStart w:id="42" w:name="_Hlk92273111"/>
      <w:bookmarkStart w:id="43"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p w14:paraId="6D890860">
      <w:pPr>
        <w:adjustRightInd w:val="0"/>
        <w:snapToGrid w:val="0"/>
        <w:spacing w:line="288" w:lineRule="auto"/>
        <w:ind w:firstLine="398" w:firstLineChars="200"/>
        <w:jc w:val="left"/>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ascii="宋体" w:hAnsi="宋体" w:eastAsia="宋体" w:cs="Times New Roman"/>
          <w:color w:val="auto"/>
          <w:spacing w:val="-6"/>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w:t>
      </w:r>
      <w:r>
        <w:rPr>
          <w:rFonts w:hint="eastAsia" w:ascii="宋体" w:hAnsi="宋体" w:eastAsia="宋体" w:cs="Times New Roman"/>
          <w:color w:val="auto"/>
          <w:spacing w:val="-6"/>
          <w:szCs w:val="21"/>
          <w:highlight w:val="none"/>
          <w:lang w:eastAsia="zh-CN"/>
        </w:rPr>
        <w:t>采购代理机构</w:t>
      </w:r>
      <w:r>
        <w:rPr>
          <w:rFonts w:ascii="宋体" w:hAnsi="宋体" w:eastAsia="宋体" w:cs="Times New Roman"/>
          <w:color w:val="auto"/>
          <w:spacing w:val="-6"/>
          <w:szCs w:val="21"/>
          <w:highlight w:val="none"/>
        </w:rPr>
        <w:t>不会对其加以限制，仍将按照公平竞争原则实施采购）。</w:t>
      </w:r>
    </w:p>
    <w:p w14:paraId="40FD8229">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2.支持绿色发展</w:t>
      </w:r>
    </w:p>
    <w:p w14:paraId="61D9CBA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BED8A5B">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▲采购人拟采购的产品属于政府强制采购的节能产品品目清单范围的，投标人未按招标文件要求提供国家确定的认证机构出具的、有效的节能产品认证证书的，投标无效。</w:t>
      </w:r>
    </w:p>
    <w:p w14:paraId="3B09F62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修缮、装修类项目采购建材的，采购人应将绿色建筑和绿色建材性能、指标等作为实质性条件纳入招标文件和合同。</w:t>
      </w:r>
    </w:p>
    <w:p w14:paraId="2CB2C72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1DC85CB9">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3.</w:t>
      </w:r>
      <w:r>
        <w:rPr>
          <w:rFonts w:hint="eastAsia" w:ascii="宋体" w:hAnsi="宋体" w:eastAsia="宋体" w:cs="Times New Roman"/>
          <w:b/>
          <w:bCs/>
          <w:color w:val="auto"/>
          <w:spacing w:val="-6"/>
          <w:szCs w:val="21"/>
          <w:highlight w:val="none"/>
        </w:rPr>
        <w:t>支持科技创新</w:t>
      </w:r>
    </w:p>
    <w:p w14:paraId="354169C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44" w:name="_Hlk106875293"/>
    </w:p>
    <w:bookmarkEnd w:id="44"/>
    <w:p w14:paraId="0F4D14DC">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4.支持中小企业发展</w:t>
      </w:r>
    </w:p>
    <w:p w14:paraId="037B59D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14:paraId="0475126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14:paraId="0315808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在政府采购活动中，投标人提供的货物、工程或者服务符合下列情形的，享受中小企业扶持政策：</w:t>
      </w:r>
    </w:p>
    <w:p w14:paraId="26C1F76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52B6897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在货物采购项目中，投标人提供的货物既有中小企业制造货物，也有大型企业制造货物的，不享受中小企业扶持政策。</w:t>
      </w:r>
    </w:p>
    <w:p w14:paraId="424FD4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以联合体形式参加政府采购活动，联合体各方均为中小企业的，联合体视同中小企业。其中，联合体各方均为小微企业的，联合体视同小微企业。</w:t>
      </w:r>
    </w:p>
    <w:p w14:paraId="2D60024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color w:val="auto"/>
          <w:spacing w:val="-6"/>
          <w:szCs w:val="21"/>
          <w:highlight w:val="none"/>
          <w:lang w:eastAsia="zh-CN"/>
        </w:rPr>
        <w:t>10%</w:t>
      </w:r>
      <w:r>
        <w:rPr>
          <w:rFonts w:ascii="宋体" w:hAnsi="宋体" w:eastAsia="宋体" w:cs="Times New Roman"/>
          <w:color w:val="auto"/>
          <w:spacing w:val="-6"/>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lang w:eastAsia="zh-CN"/>
        </w:rPr>
        <w:t>4%</w:t>
      </w:r>
      <w:r>
        <w:rPr>
          <w:rFonts w:ascii="宋体" w:hAnsi="宋体" w:eastAsia="宋体" w:cs="Times New Roman"/>
          <w:color w:val="auto"/>
          <w:spacing w:val="-6"/>
          <w:szCs w:val="21"/>
          <w:highlight w:val="none"/>
        </w:rPr>
        <w:t>的扣除，用扣除后的价格参加评审。组成联合体或者接受分包的小微企业与联合体内其他企业、分包企业之间存在直接控</w:t>
      </w:r>
      <w:r>
        <w:rPr>
          <w:rFonts w:hint="eastAsia" w:ascii="宋体" w:hAnsi="宋体" w:eastAsia="宋体" w:cs="Times New Roman"/>
          <w:color w:val="auto"/>
          <w:spacing w:val="-6"/>
          <w:szCs w:val="21"/>
          <w:highlight w:val="none"/>
        </w:rPr>
        <w:t>股、管理关系的，不享受价格扣除优惠政策。</w:t>
      </w:r>
    </w:p>
    <w:p w14:paraId="0E4C43DA">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符合《关于促进残疾人就业政府采购政策的通知》（财库〔2017〕141号）规定的条件并提供《残疾人福利性单位声明函》的残疾人福利性单位视同小型、微型企业；</w:t>
      </w:r>
    </w:p>
    <w:p w14:paraId="422D6107">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7A8C3D1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6114ED4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中小企业享受扶持政策获得政府采购合同的，小微企业不得将合同分包给大中型企业，中型企业不得将合同分包给大型企业。</w:t>
      </w:r>
      <w:bookmarkEnd w:id="42"/>
    </w:p>
    <w:p w14:paraId="316EAE9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除财库</w:t>
      </w:r>
      <w:r>
        <w:rPr>
          <w:rFonts w:ascii="宋体" w:hAnsi="宋体" w:eastAsia="宋体" w:cs="Times New Roman"/>
          <w:color w:val="auto"/>
          <w:spacing w:val="-6"/>
          <w:szCs w:val="21"/>
          <w:highlight w:val="none"/>
        </w:rPr>
        <w:t>《政府采购促进中小企业发展管理办法》</w:t>
      </w:r>
      <w:r>
        <w:rPr>
          <w:rFonts w:hint="eastAsia" w:ascii="宋体" w:hAnsi="宋体" w:eastAsia="宋体" w:cs="Times New Roman"/>
          <w:color w:val="auto"/>
          <w:spacing w:val="-6"/>
          <w:szCs w:val="21"/>
          <w:highlight w:val="none"/>
        </w:rPr>
        <w:t>（财库〔</w:t>
      </w:r>
      <w:r>
        <w:rPr>
          <w:rFonts w:ascii="宋体" w:hAnsi="宋体" w:eastAsia="宋体" w:cs="Times New Roman"/>
          <w:color w:val="auto"/>
          <w:spacing w:val="-6"/>
          <w:szCs w:val="21"/>
          <w:highlight w:val="none"/>
        </w:rPr>
        <w:t>2020〕46号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《关于促进残疾人就业政府采购政策的通知》（财库〔2017〕141号）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《关于政府采购支持监狱企业发展有关问题的通知》（财库[2014]68号）规定企业类型以外的供应商不享受中小企业扶持政策</w:t>
      </w:r>
      <w:r>
        <w:rPr>
          <w:rFonts w:hint="eastAsia" w:ascii="宋体" w:hAnsi="宋体" w:eastAsia="宋体" w:cs="Times New Roman"/>
          <w:color w:val="auto"/>
          <w:spacing w:val="-6"/>
          <w:szCs w:val="21"/>
          <w:highlight w:val="none"/>
        </w:rPr>
        <w:t>。</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4B46CC">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5469A91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69BAA1F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5"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45"/>
    <w:p w14:paraId="125561F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6" w:name="_Hlk96329183"/>
      <w:r>
        <w:rPr>
          <w:rFonts w:hint="eastAsia" w:ascii="宋体" w:hAnsi="宋体" w:eastAsia="宋体"/>
          <w:color w:val="auto"/>
          <w:spacing w:val="-6"/>
          <w:szCs w:val="21"/>
          <w:highlight w:val="none"/>
        </w:rPr>
        <w:t>加盖公章</w:t>
      </w:r>
      <w:bookmarkEnd w:id="46"/>
      <w:r>
        <w:rPr>
          <w:rFonts w:hint="eastAsia" w:ascii="宋体" w:hAnsi="宋体" w:eastAsia="宋体"/>
          <w:color w:val="auto"/>
          <w:spacing w:val="-6"/>
          <w:szCs w:val="21"/>
          <w:highlight w:val="none"/>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highlight w:val="none"/>
        </w:rPr>
      </w:pPr>
      <w:bookmarkStart w:id="47"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7"/>
    <w:p w14:paraId="145AD8D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2F08D568">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588B55E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bookmarkStart w:id="48"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17C31EE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7C23C3DD">
      <w:pPr>
        <w:spacing w:line="288" w:lineRule="auto"/>
        <w:ind w:firstLine="420"/>
        <w:jc w:val="left"/>
        <w:rPr>
          <w:rFonts w:ascii="宋体" w:hAnsi="宋体" w:eastAsia="宋体" w:cs="宋体"/>
          <w:color w:val="auto"/>
          <w:sz w:val="24"/>
          <w:szCs w:val="24"/>
          <w:highlight w:val="none"/>
        </w:rPr>
      </w:pPr>
      <w:r>
        <w:rPr>
          <w:rFonts w:hint="eastAsia" w:ascii="宋体" w:hAnsi="宋体" w:eastAsia="宋体"/>
          <w:color w:val="auto"/>
          <w:szCs w:val="21"/>
          <w:highlight w:val="none"/>
        </w:rPr>
        <w:t>3.</w:t>
      </w:r>
      <w:r>
        <w:rPr>
          <w:rFonts w:hint="eastAsia" w:ascii="宋体" w:hAnsi="宋体" w:eastAsia="宋体" w:cs="宋体"/>
          <w:color w:val="auto"/>
          <w:szCs w:val="21"/>
          <w:highlight w:val="none"/>
        </w:rPr>
        <w:t>如进口设备的价格采用免税的人民币报价，同时提供美元报价，交货方式为CIP杭州电子科技大学，由中标人委托相关外贸公司办理免税事宜（外贸公司为浙江省科学器材进出口有限责任公司），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r>
        <w:rPr>
          <w:rFonts w:hint="eastAsia" w:ascii="宋体" w:hAnsi="宋体" w:eastAsia="宋体" w:cs="宋体"/>
          <w:color w:val="auto"/>
          <w:szCs w:val="21"/>
          <w:highlight w:val="none"/>
          <w:lang w:eastAsia="zh-CN"/>
        </w:rPr>
        <w:t>。</w:t>
      </w:r>
      <w:r>
        <w:rPr>
          <w:rFonts w:hint="eastAsia" w:ascii="宋体" w:hAnsi="宋体" w:eastAsia="宋体" w:cs="宋体"/>
          <w:color w:val="auto"/>
          <w:sz w:val="21"/>
          <w:szCs w:val="21"/>
          <w:highlight w:val="none"/>
        </w:rPr>
        <w:t>外贸代理费用按以下档次计算：</w:t>
      </w:r>
    </w:p>
    <w:tbl>
      <w:tblPr>
        <w:tblStyle w:val="23"/>
        <w:tblW w:w="9628" w:type="dxa"/>
        <w:tblInd w:w="0" w:type="dxa"/>
        <w:tblLayout w:type="fixed"/>
        <w:tblCellMar>
          <w:top w:w="0" w:type="dxa"/>
          <w:left w:w="108" w:type="dxa"/>
          <w:bottom w:w="0" w:type="dxa"/>
          <w:right w:w="108" w:type="dxa"/>
        </w:tblCellMar>
      </w:tblPr>
      <w:tblGrid>
        <w:gridCol w:w="2363"/>
        <w:gridCol w:w="2292"/>
        <w:gridCol w:w="4973"/>
      </w:tblGrid>
      <w:tr w14:paraId="7C36230B">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653534D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代理金额(单票)</w:t>
            </w:r>
          </w:p>
        </w:tc>
        <w:tc>
          <w:tcPr>
            <w:tcW w:w="2292" w:type="dxa"/>
            <w:tcBorders>
              <w:top w:val="single" w:color="000000" w:sz="4" w:space="0"/>
              <w:left w:val="single" w:color="000000" w:sz="4" w:space="0"/>
              <w:bottom w:val="single" w:color="000000" w:sz="4" w:space="0"/>
            </w:tcBorders>
            <w:vAlign w:val="center"/>
          </w:tcPr>
          <w:p w14:paraId="11F4860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代理手续费</w:t>
            </w:r>
          </w:p>
          <w:p w14:paraId="268F22C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（人民币：美元汇率的增加部分）</w:t>
            </w:r>
          </w:p>
        </w:tc>
        <w:tc>
          <w:tcPr>
            <w:tcW w:w="4973" w:type="dxa"/>
            <w:tcBorders>
              <w:top w:val="single" w:color="000000" w:sz="4" w:space="0"/>
              <w:left w:val="single" w:color="000000" w:sz="4" w:space="0"/>
              <w:bottom w:val="single" w:color="000000" w:sz="4" w:space="0"/>
              <w:right w:val="single" w:color="000000" w:sz="4" w:space="0"/>
            </w:tcBorders>
            <w:vAlign w:val="center"/>
          </w:tcPr>
          <w:p w14:paraId="4ED5341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3885F598">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3F033BD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0-1万（含）USD</w:t>
            </w:r>
          </w:p>
        </w:tc>
        <w:tc>
          <w:tcPr>
            <w:tcW w:w="2292" w:type="dxa"/>
            <w:tcBorders>
              <w:top w:val="single" w:color="000000" w:sz="4" w:space="0"/>
              <w:left w:val="single" w:color="000000" w:sz="4" w:space="0"/>
              <w:bottom w:val="single" w:color="000000" w:sz="4" w:space="0"/>
            </w:tcBorders>
            <w:vAlign w:val="center"/>
          </w:tcPr>
          <w:p w14:paraId="5DF1199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0.2</w:t>
            </w:r>
            <w:r>
              <w:rPr>
                <w:rFonts w:hint="eastAsia" w:ascii="宋体" w:hAnsi="宋体" w:eastAsia="宋体" w:cs="宋体"/>
                <w:color w:val="auto"/>
                <w:sz w:val="21"/>
                <w:szCs w:val="21"/>
                <w:highlight w:val="none"/>
                <w:lang w:val="en-US" w:eastAsia="zh-CN"/>
              </w:rPr>
              <w:t>5</w:t>
            </w:r>
          </w:p>
        </w:tc>
        <w:tc>
          <w:tcPr>
            <w:tcW w:w="4973" w:type="dxa"/>
            <w:vMerge w:val="restart"/>
            <w:tcBorders>
              <w:top w:val="single" w:color="000000" w:sz="4" w:space="0"/>
              <w:left w:val="single" w:color="000000" w:sz="4" w:space="0"/>
              <w:bottom w:val="single" w:color="000000" w:sz="4" w:space="0"/>
              <w:right w:val="single" w:color="000000" w:sz="4" w:space="0"/>
            </w:tcBorders>
          </w:tcPr>
          <w:p w14:paraId="69698EA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1.该代理费含代理服务费、银行手续费、报关费（制单费、录入费、卫生检疫费、保险费、法定商检费、滞报金、换单费等）、海关监管费、仓储费、运输费等必须或可能发生的费用。</w:t>
            </w:r>
          </w:p>
          <w:p w14:paraId="3EFB3C5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2.该代理费不含超低温冰箱的能效标识检测费用，压力容器的特种设备检测费用，需由产品供货商承担；</w:t>
            </w:r>
          </w:p>
          <w:p w14:paraId="08DF48E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3.该代理费不包含货物不能享受海关减免税优惠政策所征收的税款。</w:t>
            </w:r>
          </w:p>
        </w:tc>
      </w:tr>
      <w:tr w14:paraId="6CA8892B">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77680C2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1-5万（含）USD</w:t>
            </w:r>
          </w:p>
        </w:tc>
        <w:tc>
          <w:tcPr>
            <w:tcW w:w="2292" w:type="dxa"/>
            <w:tcBorders>
              <w:top w:val="single" w:color="000000" w:sz="4" w:space="0"/>
              <w:left w:val="single" w:color="000000" w:sz="4" w:space="0"/>
              <w:bottom w:val="single" w:color="000000" w:sz="4" w:space="0"/>
            </w:tcBorders>
            <w:vAlign w:val="center"/>
          </w:tcPr>
          <w:p w14:paraId="49D07CF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6"/>
                <w:sz w:val="21"/>
                <w:szCs w:val="21"/>
                <w:highlight w:val="none"/>
              </w:rPr>
              <w:t>0.1</w:t>
            </w:r>
            <w:r>
              <w:rPr>
                <w:rFonts w:hint="eastAsia" w:ascii="宋体" w:hAnsi="宋体" w:eastAsia="宋体" w:cs="宋体"/>
                <w:color w:val="auto"/>
                <w:spacing w:val="16"/>
                <w:sz w:val="21"/>
                <w:szCs w:val="21"/>
                <w:highlight w:val="none"/>
                <w:lang w:val="en-US" w:eastAsia="zh-CN"/>
              </w:rPr>
              <w:t>5</w:t>
            </w:r>
          </w:p>
        </w:tc>
        <w:tc>
          <w:tcPr>
            <w:tcW w:w="4973" w:type="dxa"/>
            <w:vMerge w:val="continue"/>
            <w:tcBorders>
              <w:top w:val="single" w:color="000000" w:sz="4" w:space="0"/>
              <w:left w:val="single" w:color="000000" w:sz="4" w:space="0"/>
              <w:bottom w:val="single" w:color="000000" w:sz="4" w:space="0"/>
              <w:right w:val="single" w:color="000000" w:sz="4" w:space="0"/>
            </w:tcBorders>
          </w:tcPr>
          <w:p w14:paraId="43EBF5C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center"/>
              <w:textAlignment w:val="auto"/>
              <w:rPr>
                <w:rFonts w:hint="default" w:ascii="宋体" w:hAnsi="宋体" w:eastAsia="宋体" w:cs="宋体"/>
                <w:color w:val="auto"/>
                <w:spacing w:val="16"/>
                <w:sz w:val="21"/>
                <w:szCs w:val="21"/>
                <w:highlight w:val="none"/>
              </w:rPr>
            </w:pPr>
          </w:p>
        </w:tc>
      </w:tr>
      <w:tr w14:paraId="15E882C8">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10D515E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5万-10万（含）USD</w:t>
            </w:r>
          </w:p>
        </w:tc>
        <w:tc>
          <w:tcPr>
            <w:tcW w:w="2292" w:type="dxa"/>
            <w:tcBorders>
              <w:top w:val="single" w:color="000000" w:sz="4" w:space="0"/>
              <w:left w:val="single" w:color="000000" w:sz="4" w:space="0"/>
              <w:bottom w:val="single" w:color="000000" w:sz="4" w:space="0"/>
            </w:tcBorders>
            <w:vAlign w:val="center"/>
          </w:tcPr>
          <w:p w14:paraId="02A0F25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6"/>
                <w:sz w:val="21"/>
                <w:szCs w:val="21"/>
                <w:highlight w:val="none"/>
              </w:rPr>
              <w:t>0.</w:t>
            </w:r>
            <w:r>
              <w:rPr>
                <w:rFonts w:hint="eastAsia" w:ascii="宋体" w:hAnsi="宋体" w:eastAsia="宋体" w:cs="宋体"/>
                <w:color w:val="auto"/>
                <w:spacing w:val="16"/>
                <w:sz w:val="21"/>
                <w:szCs w:val="21"/>
                <w:highlight w:val="none"/>
                <w:lang w:val="en-US" w:eastAsia="zh-CN"/>
              </w:rPr>
              <w:t>1</w:t>
            </w:r>
          </w:p>
        </w:tc>
        <w:tc>
          <w:tcPr>
            <w:tcW w:w="4973" w:type="dxa"/>
            <w:vMerge w:val="continue"/>
            <w:tcBorders>
              <w:top w:val="single" w:color="000000" w:sz="4" w:space="0"/>
              <w:left w:val="single" w:color="000000" w:sz="4" w:space="0"/>
              <w:bottom w:val="single" w:color="000000" w:sz="4" w:space="0"/>
              <w:right w:val="single" w:color="000000" w:sz="4" w:space="0"/>
            </w:tcBorders>
          </w:tcPr>
          <w:p w14:paraId="5028F11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center"/>
              <w:textAlignment w:val="auto"/>
              <w:rPr>
                <w:rFonts w:hint="default" w:ascii="宋体" w:hAnsi="宋体" w:eastAsia="宋体" w:cs="宋体"/>
                <w:color w:val="auto"/>
                <w:spacing w:val="16"/>
                <w:sz w:val="21"/>
                <w:szCs w:val="21"/>
                <w:highlight w:val="none"/>
              </w:rPr>
            </w:pPr>
          </w:p>
        </w:tc>
      </w:tr>
      <w:tr w14:paraId="355E99D8">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4213617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10万-20万（含）USD</w:t>
            </w:r>
          </w:p>
        </w:tc>
        <w:tc>
          <w:tcPr>
            <w:tcW w:w="2292" w:type="dxa"/>
            <w:tcBorders>
              <w:top w:val="single" w:color="000000" w:sz="4" w:space="0"/>
              <w:left w:val="single" w:color="000000" w:sz="4" w:space="0"/>
              <w:bottom w:val="single" w:color="000000" w:sz="4" w:space="0"/>
            </w:tcBorders>
            <w:vAlign w:val="center"/>
          </w:tcPr>
          <w:p w14:paraId="7EB5EED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6"/>
                <w:sz w:val="21"/>
                <w:szCs w:val="21"/>
                <w:highlight w:val="none"/>
              </w:rPr>
              <w:t>0.0</w:t>
            </w:r>
            <w:r>
              <w:rPr>
                <w:rFonts w:hint="eastAsia" w:ascii="宋体" w:hAnsi="宋体" w:eastAsia="宋体" w:cs="宋体"/>
                <w:color w:val="auto"/>
                <w:spacing w:val="16"/>
                <w:sz w:val="21"/>
                <w:szCs w:val="21"/>
                <w:highlight w:val="none"/>
                <w:lang w:val="en-US" w:eastAsia="zh-CN"/>
              </w:rPr>
              <w:t>7</w:t>
            </w:r>
          </w:p>
        </w:tc>
        <w:tc>
          <w:tcPr>
            <w:tcW w:w="4973" w:type="dxa"/>
            <w:vMerge w:val="continue"/>
            <w:tcBorders>
              <w:top w:val="single" w:color="000000" w:sz="4" w:space="0"/>
              <w:left w:val="single" w:color="000000" w:sz="4" w:space="0"/>
              <w:bottom w:val="single" w:color="000000" w:sz="4" w:space="0"/>
              <w:right w:val="single" w:color="000000" w:sz="4" w:space="0"/>
            </w:tcBorders>
          </w:tcPr>
          <w:p w14:paraId="740F3D0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center"/>
              <w:textAlignment w:val="auto"/>
              <w:rPr>
                <w:rFonts w:hint="default" w:ascii="宋体" w:hAnsi="宋体" w:eastAsia="宋体" w:cs="宋体"/>
                <w:color w:val="auto"/>
                <w:spacing w:val="16"/>
                <w:sz w:val="21"/>
                <w:szCs w:val="21"/>
                <w:highlight w:val="none"/>
              </w:rPr>
            </w:pPr>
          </w:p>
        </w:tc>
      </w:tr>
      <w:tr w14:paraId="75A36199">
        <w:tblPrEx>
          <w:tblCellMar>
            <w:top w:w="0" w:type="dxa"/>
            <w:left w:w="108" w:type="dxa"/>
            <w:bottom w:w="0" w:type="dxa"/>
            <w:right w:w="108" w:type="dxa"/>
          </w:tblCellMar>
        </w:tblPrEx>
        <w:trPr>
          <w:trHeight w:val="268" w:hRule="atLeast"/>
        </w:trPr>
        <w:tc>
          <w:tcPr>
            <w:tcW w:w="2363" w:type="dxa"/>
            <w:tcBorders>
              <w:top w:val="single" w:color="000000" w:sz="4" w:space="0"/>
              <w:left w:val="single" w:color="000000" w:sz="4" w:space="0"/>
              <w:bottom w:val="single" w:color="000000" w:sz="4" w:space="0"/>
            </w:tcBorders>
            <w:vAlign w:val="center"/>
          </w:tcPr>
          <w:p w14:paraId="24C1E02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20万以上USD</w:t>
            </w:r>
          </w:p>
        </w:tc>
        <w:tc>
          <w:tcPr>
            <w:tcW w:w="2292" w:type="dxa"/>
            <w:tcBorders>
              <w:top w:val="single" w:color="000000" w:sz="4" w:space="0"/>
              <w:left w:val="single" w:color="000000" w:sz="4" w:space="0"/>
              <w:bottom w:val="single" w:color="000000" w:sz="4" w:space="0"/>
            </w:tcBorders>
            <w:vAlign w:val="center"/>
          </w:tcPr>
          <w:p w14:paraId="2360A2D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pacing w:val="16"/>
                <w:sz w:val="21"/>
                <w:szCs w:val="21"/>
                <w:highlight w:val="none"/>
              </w:rPr>
              <w:t>0.05</w:t>
            </w:r>
          </w:p>
        </w:tc>
        <w:tc>
          <w:tcPr>
            <w:tcW w:w="4973" w:type="dxa"/>
            <w:vMerge w:val="continue"/>
            <w:tcBorders>
              <w:top w:val="single" w:color="000000" w:sz="4" w:space="0"/>
              <w:left w:val="single" w:color="000000" w:sz="4" w:space="0"/>
              <w:bottom w:val="single" w:color="000000" w:sz="4" w:space="0"/>
              <w:right w:val="single" w:color="000000" w:sz="4" w:space="0"/>
            </w:tcBorders>
          </w:tcPr>
          <w:p w14:paraId="59CD23D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center"/>
              <w:textAlignment w:val="auto"/>
              <w:rPr>
                <w:rFonts w:hint="default" w:ascii="宋体" w:hAnsi="宋体" w:eastAsia="宋体" w:cs="宋体"/>
                <w:color w:val="auto"/>
                <w:spacing w:val="16"/>
                <w:sz w:val="21"/>
                <w:szCs w:val="21"/>
                <w:highlight w:val="none"/>
              </w:rPr>
            </w:pPr>
          </w:p>
        </w:tc>
      </w:tr>
    </w:tbl>
    <w:p w14:paraId="4528E9A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789BD74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.投标文件只允许有一个报价，有选择的报价将不予接受。</w:t>
      </w:r>
    </w:p>
    <w:p w14:paraId="0327EE7B">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rPr>
        <w:t>▲</w:t>
      </w:r>
      <w:r>
        <w:rPr>
          <w:rFonts w:hint="eastAsia" w:hAnsi="宋体" w:eastAsia="宋体" w:cs="宋体"/>
          <w:color w:val="auto"/>
          <w:sz w:val="21"/>
          <w:szCs w:val="21"/>
          <w:highlight w:val="none"/>
          <w:lang w:val="en-US" w:eastAsia="zh-CN"/>
        </w:rPr>
        <w:t>6</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p w14:paraId="27ACA854">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7</w:t>
      </w:r>
      <w:r>
        <w:rPr>
          <w:rFonts w:hint="eastAsia" w:hAnsi="宋体" w:eastAsia="宋体" w:cs="宋体"/>
          <w:color w:val="auto"/>
          <w:sz w:val="21"/>
          <w:szCs w:val="21"/>
          <w:highlight w:val="none"/>
        </w:rPr>
        <w:t>.供应商不得进行影响产品质量或者诚信履约的恶意报价。供应商报价低于项目预算50%的，应当在报价文件中提供书面说明，详细阐述不影响产品质量或者诚信履约的具体原因。</w:t>
      </w:r>
    </w:p>
    <w:bookmarkEnd w:id="48"/>
    <w:p w14:paraId="58DE03B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B8B8F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highlight w:val="none"/>
        </w:rPr>
      </w:pPr>
      <w:bookmarkStart w:id="49" w:name="_Hlk94018682"/>
      <w:r>
        <w:rPr>
          <w:rFonts w:hint="eastAsia" w:ascii="宋体" w:hAnsi="宋体" w:eastAsia="宋体" w:cs="宋体"/>
          <w:color w:val="auto"/>
          <w:szCs w:val="21"/>
          <w:highlight w:val="none"/>
        </w:rPr>
        <w:t>未响应招标文件“▲”标记条款要求的，投标无效。</w:t>
      </w:r>
    </w:p>
    <w:bookmarkEnd w:id="49"/>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739787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474CFCC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4055C1A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14:paraId="27D321A3">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50"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50"/>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56FCAD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044C60B1">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17109C8D">
      <w:pPr>
        <w:pStyle w:val="99"/>
        <w:snapToGrid w:val="0"/>
        <w:spacing w:before="0" w:line="288" w:lineRule="auto"/>
        <w:ind w:left="0" w:firstLine="424" w:firstLineChars="201"/>
        <w:rPr>
          <w:rFonts w:ascii="宋体" w:hAnsi="宋体"/>
          <w:color w:val="auto"/>
          <w:szCs w:val="21"/>
          <w:highlight w:val="none"/>
        </w:rPr>
      </w:pPr>
      <w:bookmarkStart w:id="51"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42B55A9F">
      <w:pPr>
        <w:pStyle w:val="99"/>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lang w:eastAsia="zh-CN"/>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6B340D33">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w:t>
      </w:r>
      <w:r>
        <w:rPr>
          <w:rFonts w:hint="eastAsia" w:ascii="宋体" w:hAnsi="宋体" w:eastAsia="宋体" w:cs="仿宋_GB2312"/>
          <w:color w:val="auto"/>
          <w:szCs w:val="21"/>
          <w:highlight w:val="none"/>
          <w:lang w:eastAsia="zh-CN"/>
        </w:rPr>
        <w:t>采购代理机构</w:t>
      </w:r>
      <w:r>
        <w:rPr>
          <w:rFonts w:hint="eastAsia" w:ascii="宋体" w:hAnsi="宋体" w:eastAsia="宋体" w:cs="仿宋_GB2312"/>
          <w:color w:val="auto"/>
          <w:szCs w:val="21"/>
          <w:highlight w:val="none"/>
        </w:rPr>
        <w:t>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lang w:eastAsia="zh-CN"/>
        </w:rPr>
        <w:t>采购代理机构</w:t>
      </w:r>
      <w:r>
        <w:rPr>
          <w:rFonts w:ascii="宋体" w:hAnsi="宋体" w:cs="仿宋_GB2312"/>
          <w:color w:val="auto"/>
          <w:sz w:val="21"/>
          <w:szCs w:val="21"/>
          <w:highlight w:val="none"/>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64F5A24E">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1"/>
    <w:p w14:paraId="37B25C6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6E7C0E56">
      <w:pPr>
        <w:adjustRightInd w:val="0"/>
        <w:snapToGrid w:val="0"/>
        <w:spacing w:line="288" w:lineRule="auto"/>
        <w:ind w:firstLine="420" w:firstLineChars="200"/>
        <w:rPr>
          <w:rFonts w:ascii="宋体" w:hAnsi="宋体" w:eastAsia="宋体" w:cs="宋体"/>
          <w:color w:val="auto"/>
          <w:kern w:val="0"/>
          <w:szCs w:val="21"/>
          <w:highlight w:val="none"/>
        </w:rPr>
      </w:pPr>
      <w:bookmarkStart w:id="52"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2"/>
    <w:p w14:paraId="7360A9FD">
      <w:pPr>
        <w:adjustRightInd w:val="0"/>
        <w:snapToGrid w:val="0"/>
        <w:spacing w:line="288" w:lineRule="auto"/>
        <w:ind w:firstLine="426" w:firstLineChars="202"/>
        <w:rPr>
          <w:rFonts w:ascii="宋体" w:hAnsi="宋体" w:eastAsia="宋体" w:cs="Arial"/>
          <w:b/>
          <w:color w:val="auto"/>
          <w:kern w:val="0"/>
          <w:szCs w:val="21"/>
          <w:highlight w:val="none"/>
        </w:rPr>
      </w:pPr>
      <w:bookmarkStart w:id="53"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7501267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0BE5301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2A3DBBE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政府采购云平台上传的电子投标（响应）文件报价与政府采购云平台录入报价不一致的，以上传的电子投标（响应）文件报价为准。</w:t>
      </w:r>
    </w:p>
    <w:p w14:paraId="6E863ADB">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33DA4F4F">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14:paraId="2D9C70D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5DBA5A4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评标办法</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本项目评标办法是综合评分法，具体评标内容及评标标准等详见</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第四章：评标方法和评标标准”。</w:t>
      </w:r>
    </w:p>
    <w:p w14:paraId="4B30C946">
      <w:pPr>
        <w:adjustRightInd w:val="0"/>
        <w:snapToGrid w:val="0"/>
        <w:spacing w:line="288" w:lineRule="auto"/>
        <w:ind w:firstLine="424" w:firstLineChars="202"/>
        <w:rPr>
          <w:rFonts w:ascii="宋体" w:hAnsi="宋体" w:eastAsia="宋体" w:cs="Times New Roman"/>
          <w:bCs/>
          <w:color w:val="auto"/>
          <w:spacing w:val="-6"/>
          <w:szCs w:val="21"/>
          <w:highlight w:val="none"/>
        </w:rPr>
      </w:pPr>
      <w:r>
        <w:rPr>
          <w:rFonts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color w:val="auto"/>
          <w:kern w:val="0"/>
          <w:szCs w:val="21"/>
          <w:highlight w:val="none"/>
        </w:rPr>
        <w:t>。本项目推荐</w:t>
      </w:r>
      <w:r>
        <w:rPr>
          <w:rFonts w:hint="eastAsia" w:ascii="宋体" w:hAnsi="宋体" w:eastAsia="宋体" w:cs="Arial"/>
          <w:color w:val="auto"/>
          <w:kern w:val="0"/>
          <w:szCs w:val="21"/>
          <w:highlight w:val="none"/>
          <w:lang w:val="en-US" w:eastAsia="zh-CN"/>
        </w:rPr>
        <w:t>2</w:t>
      </w:r>
      <w:r>
        <w:rPr>
          <w:rFonts w:hint="eastAsia" w:ascii="宋体" w:hAnsi="宋体" w:eastAsia="宋体" w:cs="Arial"/>
          <w:color w:val="auto"/>
          <w:kern w:val="0"/>
          <w:szCs w:val="21"/>
          <w:highlight w:val="none"/>
        </w:rPr>
        <w:t>名中标候选人。</w:t>
      </w:r>
    </w:p>
    <w:p w14:paraId="1BAAF51E">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142DD81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3"/>
    <w:p w14:paraId="29150FEB">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A30CFBF">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5604EB4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2F925C9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r>
        <w:rPr>
          <w:rFonts w:ascii="宋体" w:hAnsi="宋体" w:eastAsia="宋体" w:cs="Times New Roman"/>
          <w:color w:val="auto"/>
          <w:spacing w:val="-6"/>
          <w:szCs w:val="21"/>
          <w:highlight w:val="none"/>
        </w:rPr>
        <w:t>中标候选人并列的，由采购人确定中标人。</w:t>
      </w:r>
    </w:p>
    <w:p w14:paraId="560FE60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1282C47">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1B076B44">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6245ACD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C5E1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33B60E0A">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c>
          <w:tcPr>
            <w:tcW w:w="654" w:type="dxa"/>
            <w:vAlign w:val="center"/>
          </w:tcPr>
          <w:p w14:paraId="18C6D3DF">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7072" w:type="dxa"/>
            <w:vAlign w:val="center"/>
          </w:tcPr>
          <w:p w14:paraId="627176B2">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评分细则</w:t>
            </w:r>
          </w:p>
        </w:tc>
      </w:tr>
      <w:tr w14:paraId="7C24C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755859E5">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价格分（30）</w:t>
            </w:r>
          </w:p>
        </w:tc>
      </w:tr>
      <w:tr w14:paraId="010F5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3692EC55">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3AFF38F0">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14:paraId="2CA220E2">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14:paraId="2DB7007C">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14:paraId="23372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527D8DA3">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商务分（</w:t>
            </w:r>
            <w:r>
              <w:rPr>
                <w:rFonts w:hint="eastAsia" w:ascii="宋体" w:hAnsi="宋体" w:eastAsia="宋体" w:cs="宋体"/>
                <w:b/>
                <w:bCs/>
                <w:color w:val="auto"/>
                <w:szCs w:val="21"/>
                <w:highlight w:val="none"/>
                <w:lang w:val="en-US" w:eastAsia="zh-CN"/>
              </w:rPr>
              <w:t>5</w:t>
            </w:r>
            <w:r>
              <w:rPr>
                <w:rFonts w:hint="eastAsia" w:ascii="宋体" w:hAnsi="宋体" w:eastAsia="宋体" w:cs="宋体"/>
                <w:b/>
                <w:bCs/>
                <w:color w:val="auto"/>
                <w:szCs w:val="21"/>
                <w:highlight w:val="none"/>
              </w:rPr>
              <w:t>）</w:t>
            </w:r>
          </w:p>
        </w:tc>
      </w:tr>
      <w:tr w14:paraId="5E8CB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5BE62D5D">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14:paraId="5DD51C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7072" w:type="dxa"/>
            <w:vAlign w:val="center"/>
          </w:tcPr>
          <w:p w14:paraId="79077903">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【客观分】投标人提供自2021年1月1日以来（以合同签订时间为准）同类合同业绩（以提供的合同扫描件为准）：每提供1份合同业绩得1分，最高得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w:t>
            </w:r>
          </w:p>
        </w:tc>
      </w:tr>
      <w:tr w14:paraId="03857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20DFA1D2">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政策功能</w:t>
            </w:r>
          </w:p>
        </w:tc>
        <w:tc>
          <w:tcPr>
            <w:tcW w:w="654" w:type="dxa"/>
            <w:vAlign w:val="center"/>
          </w:tcPr>
          <w:p w14:paraId="38D49D02">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072" w:type="dxa"/>
            <w:vAlign w:val="center"/>
          </w:tcPr>
          <w:p w14:paraId="24978B1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w:t>
            </w:r>
          </w:p>
          <w:p w14:paraId="6BAAFDB3">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投标产品属于品目清单范围且提供国家确定的认证机构出具的有效的节能产品认证证书（扫描件加盖公章）的得1分；</w:t>
            </w:r>
          </w:p>
          <w:p w14:paraId="0E922CC8">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投标产品属于品目清单范围且提供国家确定的认证机构出具的有效的环境标志产品认证证书（扫描件加盖公章）的得1分；</w:t>
            </w:r>
          </w:p>
          <w:p w14:paraId="2A510B2F">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注：政府强制采购的节能产品的除外。</w:t>
            </w:r>
          </w:p>
        </w:tc>
      </w:tr>
      <w:tr w14:paraId="4F8BA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7297AC8A">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技术分（6</w:t>
            </w:r>
            <w:r>
              <w:rPr>
                <w:rFonts w:hint="eastAsia" w:ascii="宋体" w:hAnsi="宋体" w:eastAsia="宋体" w:cs="宋体"/>
                <w:b/>
                <w:bCs/>
                <w:color w:val="auto"/>
                <w:szCs w:val="21"/>
                <w:highlight w:val="none"/>
                <w:lang w:val="en-US" w:eastAsia="zh-CN"/>
              </w:rPr>
              <w:t>5</w:t>
            </w:r>
            <w:r>
              <w:rPr>
                <w:rFonts w:hint="eastAsia" w:ascii="宋体" w:hAnsi="宋体" w:eastAsia="宋体" w:cs="宋体"/>
                <w:b/>
                <w:bCs/>
                <w:color w:val="auto"/>
                <w:szCs w:val="21"/>
                <w:highlight w:val="none"/>
              </w:rPr>
              <w:t>）</w:t>
            </w:r>
          </w:p>
        </w:tc>
      </w:tr>
      <w:tr w14:paraId="3AFEE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43C5E403">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技术响应程度</w:t>
            </w:r>
          </w:p>
        </w:tc>
        <w:tc>
          <w:tcPr>
            <w:tcW w:w="654" w:type="dxa"/>
            <w:vAlign w:val="center"/>
          </w:tcPr>
          <w:p w14:paraId="666CD95E">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40</w:t>
            </w:r>
          </w:p>
        </w:tc>
        <w:tc>
          <w:tcPr>
            <w:tcW w:w="7072" w:type="dxa"/>
            <w:vAlign w:val="center"/>
          </w:tcPr>
          <w:p w14:paraId="3D07DC09">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【客观分】不符合（负偏离）技术要求中标注“▲”条款（不可偏离）的响应无效；</w:t>
            </w:r>
          </w:p>
          <w:p w14:paraId="16C0CCCC">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满足磋商文件明确的全部技术条款要求的该项得满分；</w:t>
            </w:r>
          </w:p>
          <w:p w14:paraId="651C75B4">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技术条款低于技术要求（负偏离）的，</w:t>
            </w:r>
            <w:r>
              <w:rPr>
                <w:rFonts w:hint="eastAsia" w:ascii="宋体" w:hAnsi="宋体" w:eastAsia="宋体" w:cs="宋体"/>
                <w:color w:val="auto"/>
                <w:szCs w:val="21"/>
                <w:highlight w:val="none"/>
                <w:lang w:val="en-US" w:eastAsia="zh-CN"/>
              </w:rPr>
              <w:t>标注“★”的</w:t>
            </w:r>
            <w:r>
              <w:rPr>
                <w:rFonts w:hint="eastAsia" w:ascii="宋体" w:hAnsi="宋体" w:eastAsia="宋体" w:cs="宋体"/>
                <w:color w:val="auto"/>
                <w:szCs w:val="21"/>
                <w:highlight w:val="none"/>
              </w:rPr>
              <w:t>每项扣</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未</w:t>
            </w:r>
            <w:r>
              <w:rPr>
                <w:rFonts w:hint="eastAsia" w:ascii="宋体" w:hAnsi="宋体" w:eastAsia="宋体" w:cs="宋体"/>
                <w:color w:val="auto"/>
                <w:szCs w:val="21"/>
                <w:highlight w:val="none"/>
                <w:lang w:eastAsia="zh-CN"/>
              </w:rPr>
              <w:t>标注“★”的每项扣</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分</w:t>
            </w:r>
            <w:r>
              <w:rPr>
                <w:rFonts w:hint="eastAsia" w:ascii="宋体" w:hAnsi="宋体" w:eastAsia="宋体" w:cs="宋体"/>
                <w:color w:val="auto"/>
                <w:szCs w:val="21"/>
                <w:highlight w:val="none"/>
              </w:rPr>
              <w:t>；</w:t>
            </w:r>
          </w:p>
          <w:p w14:paraId="2FC44A67">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负偏离</w:t>
            </w:r>
            <w:r>
              <w:rPr>
                <w:rFonts w:hint="eastAsia" w:ascii="宋体" w:hAnsi="宋体" w:eastAsia="宋体" w:cs="宋体"/>
                <w:color w:val="auto"/>
                <w:szCs w:val="21"/>
                <w:highlight w:val="none"/>
                <w:lang w:val="en-US" w:eastAsia="zh-CN"/>
              </w:rPr>
              <w:t>扣分40分</w:t>
            </w:r>
            <w:r>
              <w:rPr>
                <w:rFonts w:hint="eastAsia" w:ascii="宋体" w:hAnsi="宋体" w:eastAsia="宋体" w:cs="宋体"/>
                <w:color w:val="auto"/>
                <w:szCs w:val="21"/>
                <w:highlight w:val="none"/>
              </w:rPr>
              <w:t>及以上的视为采购人不能接受的附加条件。</w:t>
            </w:r>
          </w:p>
        </w:tc>
      </w:tr>
      <w:tr w14:paraId="7738B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767" w:type="dxa"/>
            <w:vMerge w:val="restart"/>
            <w:tcBorders>
              <w:top w:val="single" w:color="auto" w:sz="4" w:space="0"/>
              <w:left w:val="single" w:color="auto" w:sz="4" w:space="0"/>
              <w:right w:val="single" w:color="auto" w:sz="4" w:space="0"/>
            </w:tcBorders>
            <w:vAlign w:val="center"/>
          </w:tcPr>
          <w:p w14:paraId="56845EA7">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348F5B9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14:paraId="2658E33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【主观分】投标产品功能满足项目特点和实际需要，功能先进，后续维护成本低（评分范围：3,2,1,0）。</w:t>
            </w:r>
          </w:p>
        </w:tc>
      </w:tr>
      <w:tr w14:paraId="14777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E0ED2C9">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71E34FE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14:paraId="2B95CC1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【主观分】投标产品配置合理，兼容性强（评分范围：3,2,1,0）。</w:t>
            </w:r>
          </w:p>
        </w:tc>
      </w:tr>
      <w:tr w14:paraId="17F91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5F3072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1BDF79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color w:val="auto"/>
                <w:szCs w:val="21"/>
                <w:highlight w:val="none"/>
                <w:lang w:val="en-US" w:eastAsia="zh-CN" w:bidi="ar"/>
              </w:rPr>
              <w:t>3</w:t>
            </w:r>
          </w:p>
        </w:tc>
        <w:tc>
          <w:tcPr>
            <w:tcW w:w="7072" w:type="dxa"/>
            <w:tcBorders>
              <w:top w:val="single" w:color="auto" w:sz="4" w:space="0"/>
              <w:left w:val="single" w:color="auto" w:sz="4" w:space="0"/>
              <w:bottom w:val="single" w:color="auto" w:sz="4" w:space="0"/>
              <w:right w:val="single" w:color="auto" w:sz="4" w:space="0"/>
            </w:tcBorders>
            <w:vAlign w:val="center"/>
          </w:tcPr>
          <w:p w14:paraId="4F2317E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【主观分】项目实施计划详细完整，符合项目进度要求，投入人员数量丰富（评分范围：3,2,1,0）。</w:t>
            </w:r>
          </w:p>
        </w:tc>
      </w:tr>
      <w:tr w14:paraId="4422D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58A5169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7A4772A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14:paraId="298930C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【主观分】安装、调试方法或方案详细完整，各种措施合理可行，有助于项目实施（评分范围：3,2,1,0）。</w:t>
            </w:r>
          </w:p>
        </w:tc>
      </w:tr>
      <w:tr w14:paraId="76EEB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5721A19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788A996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74A645F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【主观分】售后服务方案、售后服务承诺可行，服务承诺落实的保障措施强（评分范围：5,4,3,2,1,0）。</w:t>
            </w:r>
          </w:p>
        </w:tc>
      </w:tr>
      <w:tr w14:paraId="6ABE6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792C164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6FCFB0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ABDAF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【主观分】服务力量和服务保障措施强，培训计划内容、培训范围完整且有针对性（评分范围：5,4,3,2,1,0）。</w:t>
            </w:r>
          </w:p>
        </w:tc>
      </w:tr>
      <w:tr w14:paraId="2AE2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6A8C4B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6A2657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14:paraId="0A47FF4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【主观分】质保期满后配件、附件、备品备件的收费标准合理，配件、附件、备品备件的保障措施强（评分范围：3,2,1,0）。</w:t>
            </w:r>
          </w:p>
        </w:tc>
      </w:tr>
    </w:tbl>
    <w:p w14:paraId="686566D3">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14:paraId="76D481BB">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w:t>
      </w:r>
      <w:r>
        <w:rPr>
          <w:rFonts w:hint="eastAsia" w:ascii="宋体" w:hAnsi="宋体" w:eastAsia="宋体" w:cs="Times New Roman"/>
          <w:b/>
          <w:color w:val="auto"/>
          <w:szCs w:val="21"/>
          <w:highlight w:val="none"/>
          <w:lang w:eastAsia="zh-CN"/>
        </w:rPr>
        <w:t>10%</w:t>
      </w:r>
      <w:r>
        <w:rPr>
          <w:rFonts w:hint="eastAsia" w:ascii="宋体" w:hAnsi="宋体" w:eastAsia="宋体" w:cs="Times New Roman"/>
          <w:b/>
          <w:color w:val="auto"/>
          <w:szCs w:val="21"/>
          <w:highlight w:val="none"/>
        </w:rPr>
        <w:t>的扣除后计算价格得分。</w:t>
      </w:r>
    </w:p>
    <w:p w14:paraId="69D78B5C">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eastAsia="zh-CN"/>
        </w:rPr>
        <w:t>4%</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color w:val="auto"/>
          <w:spacing w:val="-6"/>
          <w:szCs w:val="21"/>
          <w:highlight w:val="none"/>
        </w:rPr>
      </w:pPr>
      <w:bookmarkStart w:id="54" w:name="_Hlk81817373"/>
      <w:bookmarkStart w:id="55"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4"/>
    <w:p w14:paraId="3B547C36">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55"/>
    <w:p w14:paraId="3453036B">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3B8DB3C1">
      <w:pPr>
        <w:adjustRightInd w:val="0"/>
        <w:snapToGrid w:val="0"/>
        <w:spacing w:line="288" w:lineRule="auto"/>
        <w:rPr>
          <w:rFonts w:ascii="宋体" w:hAnsi="宋体" w:eastAsia="宋体" w:cs="宋体"/>
          <w:b/>
          <w:color w:val="auto"/>
          <w:spacing w:val="-6"/>
          <w:szCs w:val="21"/>
          <w:highlight w:val="none"/>
        </w:rPr>
      </w:pPr>
    </w:p>
    <w:p w14:paraId="032DC66C">
      <w:pPr>
        <w:keepNext w:val="0"/>
        <w:keepLines w:val="0"/>
        <w:pageBreakBefore w:val="0"/>
        <w:widowControl w:val="0"/>
        <w:kinsoku/>
        <w:wordWrap/>
        <w:overflowPunct/>
        <w:topLinePunct w:val="0"/>
        <w:autoSpaceDE/>
        <w:autoSpaceDN/>
        <w:bidi w:val="0"/>
        <w:adjustRightInd/>
        <w:spacing w:line="288" w:lineRule="auto"/>
        <w:ind w:firstLine="562" w:firstLineChars="200"/>
        <w:jc w:val="center"/>
        <w:textAlignment w:val="auto"/>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杭州电子科技大学采购合同（货物类）</w:t>
      </w:r>
    </w:p>
    <w:p w14:paraId="36ED2EDC">
      <w:pPr>
        <w:keepNext w:val="0"/>
        <w:keepLines w:val="0"/>
        <w:pageBreakBefore w:val="0"/>
        <w:widowControl w:val="0"/>
        <w:kinsoku/>
        <w:wordWrap/>
        <w:overflowPunct/>
        <w:topLinePunct w:val="0"/>
        <w:autoSpaceDE/>
        <w:autoSpaceDN/>
        <w:bidi w:val="0"/>
        <w:adjustRightInd/>
        <w:spacing w:line="288" w:lineRule="auto"/>
        <w:ind w:firstLine="420" w:firstLineChars="200"/>
        <w:jc w:val="right"/>
        <w:textAlignment w:val="auto"/>
        <w:rPr>
          <w:rFonts w:hint="eastAsia" w:ascii="宋体" w:hAnsi="宋体" w:eastAsia="宋体" w:cs="宋体"/>
          <w:color w:val="auto"/>
          <w:kern w:val="0"/>
          <w:szCs w:val="20"/>
          <w:highlight w:val="none"/>
        </w:rPr>
      </w:pPr>
      <w:r>
        <w:rPr>
          <w:rFonts w:hint="eastAsia" w:ascii="宋体" w:hAnsi="宋体" w:eastAsia="宋体" w:cs="宋体"/>
          <w:color w:val="auto"/>
          <w:kern w:val="0"/>
          <w:szCs w:val="20"/>
          <w:highlight w:val="none"/>
        </w:rPr>
        <w:t xml:space="preserve">合同编号_________________ </w:t>
      </w:r>
    </w:p>
    <w:p w14:paraId="163AD724">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w:t>
      </w:r>
    </w:p>
    <w:p w14:paraId="4A715020">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w:t>
      </w:r>
    </w:p>
    <w:p w14:paraId="35211B3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甲方（采购人）：杭州电子科技大学  </w:t>
      </w:r>
    </w:p>
    <w:p w14:paraId="403591E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乙方（供应商）： </w:t>
      </w:r>
    </w:p>
    <w:p w14:paraId="2516D688">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采购代理机构（鉴证方）：</w:t>
      </w:r>
      <w:r>
        <w:rPr>
          <w:rFonts w:hint="eastAsia" w:ascii="宋体" w:hAnsi="宋体" w:eastAsia="宋体" w:cs="宋体"/>
          <w:color w:val="auto"/>
          <w:kern w:val="0"/>
          <w:sz w:val="21"/>
          <w:szCs w:val="21"/>
          <w:highlight w:val="none"/>
        </w:rPr>
        <w:t xml:space="preserve">             </w:t>
      </w:r>
    </w:p>
    <w:p w14:paraId="5868DAB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为了保护甲乙双方合法权益，根据项目</w:t>
      </w:r>
      <w:r>
        <w:rPr>
          <w:rFonts w:hint="eastAsia" w:ascii="宋体" w:hAnsi="宋体" w:eastAsia="宋体" w:cs="宋体"/>
          <w:color w:val="auto"/>
          <w:kern w:val="0"/>
          <w:sz w:val="21"/>
          <w:szCs w:val="21"/>
          <w:highlight w:val="none"/>
          <w:u w:val="single"/>
          <w:lang w:eastAsia="zh-CN"/>
        </w:rPr>
        <w:t>射频大功率器件测试系统</w:t>
      </w: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kern w:val="0"/>
          <w:sz w:val="21"/>
          <w:szCs w:val="21"/>
          <w:highlight w:val="none"/>
          <w:u w:val="single"/>
          <w:lang w:eastAsia="zh-CN"/>
        </w:rPr>
        <w:t>QSZB-Z(H)-B24538(GK)</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lang w:val="en-US" w:eastAsia="zh-CN"/>
        </w:rPr>
        <w:t>公开招标</w:t>
      </w:r>
      <w:r>
        <w:rPr>
          <w:rFonts w:hint="eastAsia" w:ascii="宋体" w:hAnsi="宋体" w:eastAsia="宋体" w:cs="宋体"/>
          <w:color w:val="auto"/>
          <w:kern w:val="0"/>
          <w:sz w:val="21"/>
          <w:szCs w:val="21"/>
          <w:highlight w:val="none"/>
        </w:rPr>
        <w:t>的中标（成交）结果，签署本合同，以资共同遵守。</w:t>
      </w:r>
    </w:p>
    <w:p w14:paraId="70B6BD6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合同总价（元，人民币）：小写￥              ，大写：</w:t>
            </w:r>
          </w:p>
        </w:tc>
      </w:tr>
    </w:tbl>
    <w:p w14:paraId="04111CE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二、供货范围</w:t>
      </w:r>
    </w:p>
    <w:p w14:paraId="190FD9F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合同供货范围包括所有合同货物、相关的技术资料。</w:t>
      </w:r>
    </w:p>
    <w:p w14:paraId="65FAA6E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三、质保期、履约保证金与货款结算</w:t>
      </w:r>
    </w:p>
    <w:p w14:paraId="16BBD84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质保期：自验收合格之日起，整机质保期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年，其中</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（配件名称）质保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年（如需要）。超过质保期的货物，终生维修，维修时只收部件成本费。软件的质保期即维护期，乙方应提供升级服务。质保期内质保维护升级等费用包含在合同总价中，不额外收取。</w:t>
      </w:r>
    </w:p>
    <w:p w14:paraId="095848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2.履约保证金（如无则删除本条款）</w:t>
      </w:r>
      <w:r>
        <w:rPr>
          <w:rFonts w:hint="eastAsia" w:ascii="宋体" w:hAnsi="宋体" w:eastAsia="宋体" w:cs="宋体"/>
          <w:b/>
          <w:bCs/>
          <w:color w:val="auto"/>
          <w:kern w:val="0"/>
          <w:sz w:val="21"/>
          <w:szCs w:val="21"/>
          <w:highlight w:val="none"/>
        </w:rPr>
        <w:t>：</w:t>
      </w:r>
      <w:r>
        <w:rPr>
          <w:rFonts w:hint="eastAsia" w:ascii="宋体" w:hAnsi="宋体" w:eastAsia="宋体" w:cs="宋体"/>
          <w:color w:val="auto"/>
          <w:kern w:val="0"/>
          <w:sz w:val="21"/>
          <w:szCs w:val="21"/>
          <w:highlight w:val="none"/>
        </w:rPr>
        <w:t>合同总金额的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A3213A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货款结算（根据项目要求、采购文件、采购结果，按以下方式选择填写）：</w:t>
      </w:r>
    </w:p>
    <w:p w14:paraId="2BAAE82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 w:val="21"/>
          <w:szCs w:val="21"/>
          <w:highlight w:val="none"/>
        </w:rPr>
        <w:t>1</w:t>
      </w:r>
      <w:r>
        <w:rPr>
          <w:rFonts w:hint="eastAsia" w:ascii="宋体" w:hAnsi="宋体" w:eastAsia="宋体" w:cs="宋体"/>
          <w:color w:val="auto"/>
          <w:kern w:val="0"/>
          <w:sz w:val="21"/>
          <w:szCs w:val="21"/>
          <w:highlight w:val="none"/>
        </w:rPr>
        <w:t>）预付款方式：</w:t>
      </w:r>
    </w:p>
    <w:p w14:paraId="079E370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bookmarkStart w:id="56" w:name="OLE_LINK7"/>
      <w:bookmarkStart w:id="57" w:name="OLE_LINK10"/>
      <w:bookmarkStart w:id="58" w:name="OLE_LINK8"/>
      <w:bookmarkStart w:id="59" w:name="OLE_LINK9"/>
      <w:r>
        <w:rPr>
          <w:rFonts w:hint="eastAsia" w:ascii="宋体" w:hAnsi="宋体" w:eastAsia="宋体" w:cs="宋体"/>
          <w:color w:val="auto"/>
          <w:kern w:val="2"/>
          <w:sz w:val="21"/>
          <w:szCs w:val="21"/>
          <w:highlight w:val="none"/>
        </w:rPr>
        <w:t>根据</w:t>
      </w:r>
      <w:bookmarkStart w:id="60" w:name="OLE_LINK6"/>
      <w:bookmarkStart w:id="61" w:name="OLE_LINK5"/>
      <w:r>
        <w:rPr>
          <w:rFonts w:hint="eastAsia" w:ascii="宋体" w:hAnsi="宋体" w:eastAsia="宋体" w:cs="宋体"/>
          <w:color w:val="auto"/>
          <w:kern w:val="2"/>
          <w:sz w:val="21"/>
          <w:szCs w:val="21"/>
          <w:highlight w:val="none"/>
        </w:rPr>
        <w:t>《浙江省财政厅关于进一步发挥政府采购政策功能全力推动经济稳进提质的通知》</w:t>
      </w:r>
      <w:bookmarkEnd w:id="60"/>
      <w:bookmarkEnd w:id="61"/>
      <w:r>
        <w:rPr>
          <w:rFonts w:hint="eastAsia" w:ascii="宋体" w:hAnsi="宋体" w:eastAsia="宋体" w:cs="宋体"/>
          <w:color w:val="auto"/>
          <w:kern w:val="2"/>
          <w:sz w:val="21"/>
          <w:szCs w:val="21"/>
          <w:highlight w:val="none"/>
        </w:rPr>
        <w:t>《浙江省财政厅关于进一步加大政府采购支持中小企业力度助力扎实稳住经济的通知》等规范要求原则上不低于合同金额的40％，不高于合同金额的70%</w:t>
      </w:r>
      <w:bookmarkEnd w:id="56"/>
      <w:bookmarkEnd w:id="57"/>
      <w:bookmarkEnd w:id="58"/>
      <w:bookmarkEnd w:id="59"/>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rPr>
        <w:t>　　　</w:t>
      </w:r>
      <w:r>
        <w:rPr>
          <w:rFonts w:hint="eastAsia" w:ascii="宋体" w:hAnsi="宋体" w:eastAsia="宋体" w:cs="宋体"/>
          <w:color w:val="auto"/>
          <w:kern w:val="0"/>
          <w:sz w:val="21"/>
          <w:szCs w:val="21"/>
          <w:highlight w:val="none"/>
        </w:rPr>
        <w:t>%。</w:t>
      </w:r>
    </w:p>
    <w:p w14:paraId="0F6114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rPr>
        <w:t>　　　</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2"/>
          <w:sz w:val="21"/>
          <w:szCs w:val="21"/>
          <w:highlight w:val="none"/>
        </w:rPr>
        <w:t>原则上不低于合同金额的30％，不高于合同金额的60%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rPr>
        <w:t>　　　</w:t>
      </w:r>
      <w:r>
        <w:rPr>
          <w:rFonts w:hint="eastAsia" w:ascii="宋体" w:hAnsi="宋体" w:eastAsia="宋体" w:cs="宋体"/>
          <w:color w:val="auto"/>
          <w:kern w:val="0"/>
          <w:sz w:val="21"/>
          <w:szCs w:val="21"/>
          <w:highlight w:val="none"/>
        </w:rPr>
        <w:t>%。</w:t>
      </w:r>
    </w:p>
    <w:p w14:paraId="2AB838C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③在签订合同时，乙方明确表示主动要求降低预付款比例的，可降低预付款比例（预付款保函同步调整）。</w:t>
      </w:r>
    </w:p>
    <w:p w14:paraId="1AB041C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（2）签订合同时乙方明确表示无需预付款或乙方为大型企业的，可以采用以下付款方式：</w:t>
      </w:r>
    </w:p>
    <w:p w14:paraId="7E854C4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w:t>
      </w:r>
      <w:r>
        <w:rPr>
          <w:rFonts w:hint="eastAsia" w:ascii="宋体" w:hAnsi="宋体" w:eastAsia="宋体" w:cs="宋体"/>
          <w:bCs/>
          <w:color w:val="auto"/>
          <w:kern w:val="0"/>
          <w:sz w:val="21"/>
          <w:szCs w:val="21"/>
          <w:highlight w:val="none"/>
        </w:rPr>
        <w:t>货到分期付款：</w:t>
      </w:r>
      <w:r>
        <w:rPr>
          <w:rFonts w:hint="eastAsia" w:ascii="宋体" w:hAnsi="宋体" w:eastAsia="宋体" w:cs="宋体"/>
          <w:color w:val="auto"/>
          <w:kern w:val="0"/>
          <w:sz w:val="21"/>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49CD0AA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②货到一次性支付：</w:t>
      </w:r>
    </w:p>
    <w:p w14:paraId="3858389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全部货物送达安装调试完毕，经甲方验收合格，收到发票后10个工作日内，甲方向乙方支付全部合同价款。 </w:t>
      </w:r>
    </w:p>
    <w:p w14:paraId="3141703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③其它支付形式：                 </w:t>
      </w:r>
    </w:p>
    <w:p w14:paraId="785FA7C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付款前，乙方须交纳合同约定的履约保证金（如有）并提供甲方财务处开具的履约保证金收据，乙方向甲方开具等额有效的合格增值税专用发票。甲方开票信息如下：</w:t>
      </w:r>
    </w:p>
    <w:p w14:paraId="5F22079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单位名称：杭州电子科技大学。税号：12330000470009026T</w:t>
      </w:r>
    </w:p>
    <w:p w14:paraId="61288A8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开户银行：工行杭州高新支行。账号：1202026209008806216</w:t>
      </w:r>
    </w:p>
    <w:p w14:paraId="61033DB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四、知识产权 </w:t>
      </w:r>
    </w:p>
    <w:p w14:paraId="57063C3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2" w:name="_Hlk155103594"/>
    </w:p>
    <w:bookmarkEnd w:id="62"/>
    <w:p w14:paraId="0D755F6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2.涉及产品定做的，甲方交付给乙方的设计图纸、样品、模具等商业秘密和知识产权归属于甲方，许可乙方在合同范围内使用，乙方负有保密责任。</w:t>
      </w:r>
    </w:p>
    <w:p w14:paraId="42E3013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乙方违反上述条款导致甲方受损的，由此所导致的所有责任以及甲方所支付的所有费用（包括但不限于律师费、诉讼费等）均由乙方承担。</w:t>
      </w:r>
    </w:p>
    <w:p w14:paraId="6F62A48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五、转包或分包</w:t>
      </w:r>
    </w:p>
    <w:p w14:paraId="03EEB8D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本合同范围的货物，应由乙方直接供应，不得转让他人供应。</w:t>
      </w:r>
    </w:p>
    <w:p w14:paraId="73B5C4BE">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color w:val="auto"/>
          <w:sz w:val="21"/>
          <w:szCs w:val="21"/>
          <w:highlight w:val="none"/>
          <w:lang w:val="en-US" w:eastAsia="zh-CN" w:bidi="ar-SA"/>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除非得到甲方的书面同意，乙方不得将本合同范围的货物分包给他人供应。</w:t>
      </w:r>
    </w:p>
    <w:p w14:paraId="7EB9D9B1">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pacing w:val="-6"/>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如有转让或未经甲方同意的分包行为，甲方有权解除合同，没收履约保证金并追究乙方的违约责任。</w:t>
      </w:r>
    </w:p>
    <w:p w14:paraId="5EFFB85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六、货物交付</w:t>
      </w:r>
    </w:p>
    <w:p w14:paraId="6189148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交货期：自合同签订之日起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w:t>
      </w:r>
    </w:p>
    <w:p w14:paraId="19CFAF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交货方式：</w:t>
      </w:r>
      <w:bookmarkStart w:id="63" w:name="_Hlk155602651"/>
      <w:r>
        <w:rPr>
          <w:rFonts w:hint="eastAsia" w:ascii="宋体" w:hAnsi="宋体" w:eastAsia="宋体" w:cs="宋体"/>
          <w:color w:val="auto"/>
          <w:kern w:val="0"/>
          <w:sz w:val="21"/>
          <w:szCs w:val="21"/>
          <w:highlight w:val="none"/>
        </w:rPr>
        <w:t>　　　送货上门　　</w:t>
      </w:r>
      <w:bookmarkStart w:id="64" w:name="_Hlk155602451"/>
      <w:r>
        <w:rPr>
          <w:rFonts w:hint="eastAsia" w:ascii="宋体" w:hAnsi="宋体" w:eastAsia="宋体" w:cs="宋体"/>
          <w:color w:val="auto"/>
          <w:kern w:val="0"/>
          <w:sz w:val="21"/>
          <w:szCs w:val="21"/>
          <w:highlight w:val="none"/>
        </w:rPr>
        <w:t>。</w:t>
      </w:r>
      <w:bookmarkEnd w:id="63"/>
      <w:bookmarkEnd w:id="64"/>
    </w:p>
    <w:p w14:paraId="42ADE7A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交货地点：</w:t>
      </w:r>
      <w:bookmarkStart w:id="65" w:name="_Hlk155602663"/>
      <w:r>
        <w:rPr>
          <w:rFonts w:hint="eastAsia" w:ascii="宋体" w:hAnsi="宋体" w:eastAsia="宋体" w:cs="宋体"/>
          <w:color w:val="auto"/>
          <w:kern w:val="0"/>
          <w:sz w:val="21"/>
          <w:szCs w:val="21"/>
          <w:highlight w:val="none"/>
        </w:rPr>
        <w:t xml:space="preserve"> 　　甲方指定地点　 。</w:t>
      </w:r>
      <w:bookmarkEnd w:id="65"/>
    </w:p>
    <w:p w14:paraId="237CB7D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联系人及电话：</w:t>
      </w:r>
      <w:bookmarkStart w:id="66" w:name="_Hlk155181628"/>
      <w:r>
        <w:rPr>
          <w:rFonts w:hint="eastAsia" w:ascii="宋体" w:hAnsi="宋体" w:eastAsia="宋体" w:cs="宋体"/>
          <w:color w:val="auto"/>
          <w:kern w:val="0"/>
          <w:sz w:val="21"/>
          <w:szCs w:val="21"/>
          <w:highlight w:val="none"/>
        </w:rPr>
        <w:t>甲方 姓名_________联系电话</w:t>
      </w:r>
      <w:r>
        <w:rPr>
          <w:rFonts w:hint="eastAsia" w:ascii="宋体" w:hAnsi="宋体" w:eastAsia="宋体" w:cs="宋体"/>
          <w:color w:val="auto"/>
          <w:kern w:val="0"/>
          <w:sz w:val="21"/>
          <w:szCs w:val="21"/>
          <w:highlight w:val="none"/>
          <w:u w:val="single"/>
        </w:rPr>
        <w:t xml:space="preserve">（办公电话及手机号） </w:t>
      </w:r>
      <w:r>
        <w:rPr>
          <w:rFonts w:hint="eastAsia" w:ascii="宋体" w:hAnsi="宋体" w:eastAsia="宋体" w:cs="宋体"/>
          <w:color w:val="auto"/>
          <w:kern w:val="0"/>
          <w:sz w:val="21"/>
          <w:szCs w:val="21"/>
          <w:highlight w:val="none"/>
        </w:rPr>
        <w:t>；乙方 姓名 __________联系电话</w:t>
      </w:r>
      <w:r>
        <w:rPr>
          <w:rFonts w:hint="eastAsia" w:ascii="宋体" w:hAnsi="宋体" w:eastAsia="宋体" w:cs="宋体"/>
          <w:color w:val="auto"/>
          <w:kern w:val="0"/>
          <w:sz w:val="21"/>
          <w:szCs w:val="21"/>
          <w:highlight w:val="none"/>
          <w:u w:val="single"/>
        </w:rPr>
        <w:t xml:space="preserve">（办公电话及手机号） </w:t>
      </w:r>
      <w:bookmarkEnd w:id="66"/>
      <w:r>
        <w:rPr>
          <w:rFonts w:hint="eastAsia" w:ascii="宋体" w:hAnsi="宋体" w:eastAsia="宋体" w:cs="宋体"/>
          <w:color w:val="auto"/>
          <w:kern w:val="0"/>
          <w:sz w:val="21"/>
          <w:szCs w:val="21"/>
          <w:highlight w:val="none"/>
        </w:rPr>
        <w:t>。</w:t>
      </w:r>
    </w:p>
    <w:p w14:paraId="3652BAA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14:paraId="6A5EA1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本合同所有物品运抵甲方现场后，乙方应在确保设备外包装完好无损的情况下向甲方交货，出现货物不全，外包装破损等情况，甲方不予接收，由乙方负责更换，其相关费用由乙方负担。</w:t>
      </w:r>
    </w:p>
    <w:p w14:paraId="7FDA7CC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乙方负责在约定期内将货物安全运抵指定地点，运输方式由乙方自行决定，相关费用由乙方承担。运输途中产生的交通事故、人身伤害、财产损失等责任均由乙方自行承担，与甲方无涉。</w:t>
      </w:r>
    </w:p>
    <w:p w14:paraId="0779E08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七、安装与验收</w:t>
      </w:r>
    </w:p>
    <w:p w14:paraId="5FA2C7D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验收由甲方负责实施，甲乙双方验收人员在安装数量和合同价格清单上签字确认。</w:t>
      </w:r>
    </w:p>
    <w:p w14:paraId="1F2C864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最终验收：货物经安装调试完成且符合技术要求后，甲方负责在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7" w:name="_Hlk155181772"/>
    </w:p>
    <w:bookmarkEnd w:id="67"/>
    <w:p w14:paraId="2240999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八、质量保证与售后服务</w:t>
      </w:r>
    </w:p>
    <w:p w14:paraId="4B1F2B8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w:t>
      </w:r>
      <w:bookmarkStart w:id="68" w:name="_Hlk154577956"/>
      <w:r>
        <w:rPr>
          <w:rFonts w:hint="eastAsia" w:ascii="宋体" w:hAnsi="宋体" w:eastAsia="宋体" w:cs="宋体"/>
          <w:color w:val="auto"/>
          <w:kern w:val="0"/>
          <w:sz w:val="21"/>
          <w:szCs w:val="21"/>
          <w:highlight w:val="none"/>
        </w:rPr>
        <w:t>应按采购文件规定的货物性能、技术要求、质量标准向甲方提供</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月后生产的，全新未经使用的，符合国家法律规定和技术规格、质量标准的出厂原装合格产品。</w:t>
      </w:r>
      <w:bookmarkEnd w:id="68"/>
    </w:p>
    <w:p w14:paraId="73647DE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售后服务</w:t>
      </w:r>
    </w:p>
    <w:p w14:paraId="5A5C516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2.1远程技术支持：乙方应具有稳定的技术支持队伍和完善的服务支持网络，提供</w:t>
      </w:r>
      <w:r>
        <w:rPr>
          <w:rFonts w:hint="eastAsia" w:ascii="宋体" w:hAnsi="宋体" w:eastAsia="宋体" w:cs="宋体"/>
          <w:color w:val="auto"/>
          <w:kern w:val="0"/>
          <w:sz w:val="21"/>
          <w:szCs w:val="21"/>
          <w:highlight w:val="none"/>
          <w:u w:val="single"/>
        </w:rPr>
        <w:t xml:space="preserve"> 7×24小时 </w:t>
      </w:r>
      <w:r>
        <w:rPr>
          <w:rFonts w:hint="eastAsia" w:ascii="宋体" w:hAnsi="宋体" w:eastAsia="宋体" w:cs="宋体"/>
          <w:color w:val="auto"/>
          <w:kern w:val="0"/>
          <w:sz w:val="21"/>
          <w:szCs w:val="21"/>
          <w:highlight w:val="none"/>
        </w:rPr>
        <w:t>技术支持服务，及时响应甲方的技术服务支持需求，提出有效的解决方案，解决甲方在货物使用过程中遇到的实际问题。</w:t>
      </w:r>
    </w:p>
    <w:p w14:paraId="2956882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2.2现场技术支持：对于通过电话、邮件等远程技术支持不能解决的问题，乙方应在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小时内派遣相关人员赶赴现场，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小时内维修完毕；发生紧急抢修事故的，乙方应在接到甲方通知后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小时内到达现场抢修，并于到达现场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小时之内排除故障。乙方未在约定时间内修复的或同一货物经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次维修后仍不能稳定、可靠运行的，甲方有权要求乙方免费更换。</w:t>
      </w:r>
    </w:p>
    <w:p w14:paraId="2592E7F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九、保密条款</w:t>
      </w:r>
    </w:p>
    <w:p w14:paraId="3809072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十、违约责任</w:t>
      </w:r>
    </w:p>
    <w:p w14:paraId="04F9E4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甲方无故逾期验收和办理货款支付手续的，每逾期一日，应按逾期付款总额</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向乙方支付违约金。</w:t>
      </w:r>
    </w:p>
    <w:p w14:paraId="460FC2F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乙方逾期交货完工的，每逾期一日，应按合同总价</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向甲方支付违约金。逾期超过约定日期</w:t>
      </w:r>
      <w:r>
        <w:rPr>
          <w:rFonts w:hint="eastAsia" w:ascii="宋体" w:hAnsi="宋体" w:eastAsia="宋体" w:cs="宋体"/>
          <w:color w:val="auto"/>
          <w:kern w:val="0"/>
          <w:sz w:val="21"/>
          <w:szCs w:val="21"/>
          <w:highlight w:val="none"/>
          <w:u w:val="single"/>
        </w:rPr>
        <w:t xml:space="preserve"> 10 </w:t>
      </w:r>
      <w:r>
        <w:rPr>
          <w:rFonts w:hint="eastAsia" w:ascii="宋体" w:hAnsi="宋体" w:eastAsia="宋体" w:cs="宋体"/>
          <w:color w:val="auto"/>
          <w:kern w:val="0"/>
          <w:sz w:val="21"/>
          <w:szCs w:val="21"/>
          <w:highlight w:val="none"/>
        </w:rPr>
        <w:t>个工作日不能交货完工的，甲方有权解除本合同，并要求乙方支付合同总价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14:paraId="3AA27CA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14:paraId="6F93CF1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乙方未能按约定要求履行保修义务的，</w:t>
      </w:r>
      <w:bookmarkStart w:id="69" w:name="_Hlk154755811"/>
      <w:r>
        <w:rPr>
          <w:rFonts w:hint="eastAsia" w:ascii="宋体" w:hAnsi="宋体" w:eastAsia="宋体" w:cs="宋体"/>
          <w:color w:val="auto"/>
          <w:kern w:val="0"/>
          <w:sz w:val="21"/>
          <w:szCs w:val="21"/>
          <w:highlight w:val="none"/>
        </w:rPr>
        <w:t>每发生一次应向甲方支付</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元的违约金，同时，甲方有权委托第三方进行保修，所产生的费用由乙方承担。</w:t>
      </w:r>
      <w:bookmarkEnd w:id="69"/>
      <w:r>
        <w:rPr>
          <w:rFonts w:hint="eastAsia" w:ascii="宋体" w:hAnsi="宋体" w:eastAsia="宋体" w:cs="宋体"/>
          <w:color w:val="auto"/>
          <w:kern w:val="0"/>
          <w:sz w:val="21"/>
          <w:szCs w:val="21"/>
          <w:highlight w:val="none"/>
        </w:rPr>
        <w:t>若因货物缺陷或乙方服务质量等问题造成甲方或任何人员人身、财产损害的，乙方应承担有关责任并作出相应赔偿。</w:t>
      </w:r>
    </w:p>
    <w:p w14:paraId="7C9803D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因乙方其他违约行为导致甲方解除合同的，乙方应向甲方支付合同总价 </w:t>
      </w:r>
      <w:r>
        <w:rPr>
          <w:rFonts w:hint="eastAsia" w:ascii="宋体" w:hAnsi="宋体" w:eastAsia="宋体" w:cs="宋体"/>
          <w:color w:val="auto"/>
          <w:kern w:val="0"/>
          <w:sz w:val="21"/>
          <w:szCs w:val="21"/>
          <w:highlight w:val="none"/>
          <w:u w:val="single"/>
        </w:rPr>
        <w:t>5 %</w:t>
      </w:r>
      <w:r>
        <w:rPr>
          <w:rFonts w:hint="eastAsia" w:ascii="宋体" w:hAnsi="宋体" w:eastAsia="宋体" w:cs="宋体"/>
          <w:color w:val="auto"/>
          <w:kern w:val="0"/>
          <w:sz w:val="21"/>
          <w:szCs w:val="21"/>
          <w:highlight w:val="none"/>
        </w:rPr>
        <w:t>的违约金，违约金不足以弥补甲方损失的，乙方还应负责赔偿。</w:t>
      </w:r>
    </w:p>
    <w:p w14:paraId="1A705EA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十一、不可抗力</w:t>
      </w:r>
    </w:p>
    <w:p w14:paraId="1DED66C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在合同有效期内，任何一方因不可抗力事件导致不能履行合同，则合同履行期可延长，其延长期与不可抗力影响期相同。</w:t>
      </w:r>
    </w:p>
    <w:p w14:paraId="3F04450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本条所述的“不可抗力”系指双方不可预见、不可避免、不可克服的事件。</w:t>
      </w:r>
    </w:p>
    <w:p w14:paraId="2123C11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不可抗力事件发生后，受不可抗力事件影响的一方应在事件发生后3日内通知对方，并寄送有关权威机构出具的证明。同时应立即尽一切合理努力采取措施，消除影响，减少损失。</w:t>
      </w:r>
    </w:p>
    <w:p w14:paraId="5BAFD01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不可抗力事件延续30天以上，双方应通过友好协商，确定是否继续履行合同。</w:t>
      </w:r>
    </w:p>
    <w:p w14:paraId="104201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十二、法律适用与争议解决</w:t>
      </w:r>
    </w:p>
    <w:p w14:paraId="2C77E6E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本合同的订立、解释、履行及争议解决，均适用中华人民共和国法律。</w:t>
      </w:r>
    </w:p>
    <w:p w14:paraId="3D53ABA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本合同履行过程中发生争议的，甲乙双方应友好协商；协商不成的，任何一方可向甲方所在地人民法院起诉。</w:t>
      </w:r>
    </w:p>
    <w:p w14:paraId="63410DD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十三、合同生效及其他</w:t>
      </w:r>
    </w:p>
    <w:p w14:paraId="5CAF751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本合同经甲、乙双方代表签字并加盖单位公章或合同专用章后生效，甲方的单位公章盖采购中心合同专用章（其他部门公章无效）。</w:t>
      </w:r>
    </w:p>
    <w:p w14:paraId="79F843E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F737AB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本次采购过程中形成的招标（非招标）文件、投标（响应）文件、澄清承诺、补充协议、附件等</w:t>
      </w:r>
      <w:r>
        <w:rPr>
          <w:rFonts w:hint="eastAsia" w:ascii="宋体" w:hAnsi="宋体" w:eastAsia="宋体" w:cs="宋体"/>
          <w:color w:val="auto"/>
          <w:kern w:val="0"/>
          <w:sz w:val="21"/>
          <w:szCs w:val="21"/>
          <w:highlight w:val="none"/>
          <w:lang w:val="zh-CN"/>
        </w:rPr>
        <w:t>为本合同的组成部分，并构成一个整体，需综合解释、相互补充。如果</w:t>
      </w:r>
      <w:r>
        <w:rPr>
          <w:rFonts w:hint="eastAsia" w:ascii="宋体" w:hAnsi="宋体" w:eastAsia="宋体" w:cs="宋体"/>
          <w:color w:val="auto"/>
          <w:kern w:val="0"/>
          <w:sz w:val="21"/>
          <w:szCs w:val="21"/>
          <w:highlight w:val="none"/>
        </w:rPr>
        <w:t>上述</w:t>
      </w:r>
      <w:r>
        <w:rPr>
          <w:rFonts w:hint="eastAsia" w:ascii="宋体" w:hAnsi="宋体" w:eastAsia="宋体" w:cs="宋体"/>
          <w:color w:val="auto"/>
          <w:kern w:val="0"/>
          <w:sz w:val="21"/>
          <w:szCs w:val="21"/>
          <w:highlight w:val="none"/>
          <w:lang w:val="zh-CN"/>
        </w:rPr>
        <w:t>文件内容出现不一致的情形，那么在保证按照采购文件确定的事项的前提下，组成本合同的多个文件的优先适用顺序如下：</w:t>
      </w:r>
    </w:p>
    <w:p w14:paraId="38664B6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（1）本合同及其补充合同、变更协议；</w:t>
      </w:r>
    </w:p>
    <w:p w14:paraId="68417EA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（2）中标（成交）通知书；</w:t>
      </w:r>
    </w:p>
    <w:p w14:paraId="191C4F8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（3）投标（</w:t>
      </w:r>
      <w:r>
        <w:rPr>
          <w:rFonts w:hint="eastAsia" w:ascii="宋体" w:hAnsi="宋体" w:eastAsia="宋体" w:cs="宋体"/>
          <w:color w:val="auto"/>
          <w:kern w:val="0"/>
          <w:sz w:val="21"/>
          <w:szCs w:val="21"/>
          <w:highlight w:val="none"/>
          <w:lang w:val="zh-CN"/>
        </w:rPr>
        <w:t>响应）文件（含澄清或者说明文件）；</w:t>
      </w:r>
    </w:p>
    <w:p w14:paraId="7A2B143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（4）招标（非招标）</w:t>
      </w:r>
      <w:r>
        <w:rPr>
          <w:rFonts w:hint="eastAsia" w:ascii="宋体" w:hAnsi="宋体" w:eastAsia="宋体" w:cs="宋体"/>
          <w:color w:val="auto"/>
          <w:kern w:val="0"/>
          <w:sz w:val="21"/>
          <w:szCs w:val="21"/>
          <w:highlight w:val="none"/>
          <w:lang w:val="zh-CN"/>
        </w:rPr>
        <w:t>文件（含澄清或者修改文件）；</w:t>
      </w:r>
    </w:p>
    <w:p w14:paraId="78A43767">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（5）</w:t>
      </w:r>
      <w:r>
        <w:rPr>
          <w:rFonts w:hint="eastAsia" w:ascii="宋体" w:hAnsi="宋体" w:eastAsia="宋体" w:cs="宋体"/>
          <w:snapToGrid w:val="0"/>
          <w:color w:val="auto"/>
          <w:sz w:val="21"/>
          <w:szCs w:val="21"/>
          <w:highlight w:val="none"/>
          <w:lang w:val="zh-CN" w:eastAsia="zh-CN" w:bidi="ar-SA"/>
        </w:rPr>
        <w:t>其他相关采购文件。</w:t>
      </w:r>
    </w:p>
    <w:p w14:paraId="5C87C50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本合同未尽事宜，遵照《中华人民共和国民法典》有关条文执行。</w:t>
      </w:r>
    </w:p>
    <w:p w14:paraId="1EAA045D">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5.</w:t>
      </w:r>
      <w:r>
        <w:rPr>
          <w:rFonts w:hint="eastAsia" w:ascii="宋体" w:hAnsi="宋体" w:eastAsia="宋体" w:cs="宋体"/>
          <w:color w:val="auto"/>
          <w:kern w:val="0"/>
          <w:sz w:val="21"/>
          <w:szCs w:val="21"/>
          <w:highlight w:val="none"/>
        </w:rPr>
        <w:t xml:space="preserve"> 本合同一式伍份，甲方执三份，乙方和鉴证方各执一份，具有同等法律效力。</w:t>
      </w:r>
    </w:p>
    <w:p w14:paraId="508589D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p>
    <w:p w14:paraId="77A0E00A">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36CE5B17">
        <w:tblPrEx>
          <w:tblCellMar>
            <w:top w:w="0" w:type="dxa"/>
            <w:left w:w="108" w:type="dxa"/>
            <w:bottom w:w="0" w:type="dxa"/>
            <w:right w:w="108" w:type="dxa"/>
          </w:tblCellMar>
        </w:tblPrEx>
        <w:trPr>
          <w:trHeight w:val="632" w:hRule="atLeast"/>
          <w:jc w:val="center"/>
        </w:trPr>
        <w:tc>
          <w:tcPr>
            <w:tcW w:w="5073" w:type="dxa"/>
            <w:vAlign w:val="center"/>
          </w:tcPr>
          <w:p w14:paraId="22A22A96">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甲方：杭州电子科技大学（公章）</w:t>
            </w:r>
          </w:p>
        </w:tc>
        <w:tc>
          <w:tcPr>
            <w:tcW w:w="4176" w:type="dxa"/>
            <w:vAlign w:val="center"/>
          </w:tcPr>
          <w:p w14:paraId="3F07575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乙方：（公章）</w:t>
            </w:r>
          </w:p>
        </w:tc>
      </w:tr>
      <w:tr w14:paraId="0A3E62AE">
        <w:tblPrEx>
          <w:tblCellMar>
            <w:top w:w="0" w:type="dxa"/>
            <w:left w:w="108" w:type="dxa"/>
            <w:bottom w:w="0" w:type="dxa"/>
            <w:right w:w="108" w:type="dxa"/>
          </w:tblCellMar>
        </w:tblPrEx>
        <w:trPr>
          <w:trHeight w:val="717" w:hRule="atLeast"/>
          <w:jc w:val="center"/>
        </w:trPr>
        <w:tc>
          <w:tcPr>
            <w:tcW w:w="5073" w:type="dxa"/>
            <w:vAlign w:val="center"/>
          </w:tcPr>
          <w:p w14:paraId="06A9356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法定（授权）代表人：</w:t>
            </w:r>
          </w:p>
          <w:p w14:paraId="2C90C8F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Align w:val="center"/>
          </w:tcPr>
          <w:p w14:paraId="2C42D20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法定（授权）代表人：</w:t>
            </w:r>
          </w:p>
          <w:p w14:paraId="41B9A976">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r>
      <w:tr w14:paraId="01E656F6">
        <w:tblPrEx>
          <w:tblCellMar>
            <w:top w:w="0" w:type="dxa"/>
            <w:left w:w="108" w:type="dxa"/>
            <w:bottom w:w="0" w:type="dxa"/>
            <w:right w:w="108" w:type="dxa"/>
          </w:tblCellMar>
        </w:tblPrEx>
        <w:trPr>
          <w:jc w:val="center"/>
        </w:trPr>
        <w:tc>
          <w:tcPr>
            <w:tcW w:w="5073" w:type="dxa"/>
            <w:vAlign w:val="center"/>
          </w:tcPr>
          <w:p w14:paraId="2671117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地址：杭州下沙高教园区二号大街1158号</w:t>
            </w:r>
          </w:p>
        </w:tc>
        <w:tc>
          <w:tcPr>
            <w:tcW w:w="4176" w:type="dxa"/>
            <w:vAlign w:val="center"/>
          </w:tcPr>
          <w:p w14:paraId="7F23396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tc>
      </w:tr>
      <w:tr w14:paraId="5B5CE0EB">
        <w:tblPrEx>
          <w:tblCellMar>
            <w:top w:w="0" w:type="dxa"/>
            <w:left w:w="108" w:type="dxa"/>
            <w:bottom w:w="0" w:type="dxa"/>
            <w:right w:w="108" w:type="dxa"/>
          </w:tblCellMar>
        </w:tblPrEx>
        <w:trPr>
          <w:jc w:val="center"/>
        </w:trPr>
        <w:tc>
          <w:tcPr>
            <w:tcW w:w="5073" w:type="dxa"/>
            <w:vAlign w:val="center"/>
          </w:tcPr>
          <w:p w14:paraId="58A39A9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Align w:val="center"/>
          </w:tcPr>
          <w:p w14:paraId="52363FA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tc>
      </w:tr>
      <w:tr w14:paraId="2567AED1">
        <w:tblPrEx>
          <w:tblCellMar>
            <w:top w:w="0" w:type="dxa"/>
            <w:left w:w="108" w:type="dxa"/>
            <w:bottom w:w="0" w:type="dxa"/>
            <w:right w:w="108" w:type="dxa"/>
          </w:tblCellMar>
        </w:tblPrEx>
        <w:trPr>
          <w:jc w:val="center"/>
        </w:trPr>
        <w:tc>
          <w:tcPr>
            <w:tcW w:w="5073" w:type="dxa"/>
            <w:vAlign w:val="center"/>
          </w:tcPr>
          <w:p w14:paraId="71C885E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开户银行：工行高新支行 </w:t>
            </w:r>
          </w:p>
        </w:tc>
        <w:tc>
          <w:tcPr>
            <w:tcW w:w="4176" w:type="dxa"/>
            <w:vAlign w:val="center"/>
          </w:tcPr>
          <w:p w14:paraId="31072A1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w:t>
            </w:r>
          </w:p>
        </w:tc>
      </w:tr>
      <w:tr w14:paraId="5BE2A7AA">
        <w:tblPrEx>
          <w:tblCellMar>
            <w:top w:w="0" w:type="dxa"/>
            <w:left w:w="108" w:type="dxa"/>
            <w:bottom w:w="0" w:type="dxa"/>
            <w:right w:w="108" w:type="dxa"/>
          </w:tblCellMar>
        </w:tblPrEx>
        <w:trPr>
          <w:jc w:val="center"/>
        </w:trPr>
        <w:tc>
          <w:tcPr>
            <w:tcW w:w="5073" w:type="dxa"/>
            <w:vAlign w:val="center"/>
          </w:tcPr>
          <w:p w14:paraId="5A1F68E6">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帐号：1202026209008806216</w:t>
            </w:r>
          </w:p>
        </w:tc>
        <w:tc>
          <w:tcPr>
            <w:tcW w:w="4176" w:type="dxa"/>
            <w:vAlign w:val="center"/>
          </w:tcPr>
          <w:p w14:paraId="0B3CCCC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w:t>
            </w:r>
          </w:p>
        </w:tc>
      </w:tr>
      <w:tr w14:paraId="5436DD95">
        <w:tblPrEx>
          <w:tblCellMar>
            <w:top w:w="0" w:type="dxa"/>
            <w:left w:w="108" w:type="dxa"/>
            <w:bottom w:w="0" w:type="dxa"/>
            <w:right w:w="108" w:type="dxa"/>
          </w:tblCellMar>
        </w:tblPrEx>
        <w:trPr>
          <w:jc w:val="center"/>
        </w:trPr>
        <w:tc>
          <w:tcPr>
            <w:tcW w:w="5073" w:type="dxa"/>
            <w:vAlign w:val="center"/>
          </w:tcPr>
          <w:p w14:paraId="0D8C765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c>
          <w:tcPr>
            <w:tcW w:w="4176" w:type="dxa"/>
            <w:vAlign w:val="center"/>
          </w:tcPr>
          <w:p w14:paraId="23FBD49F">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r w14:paraId="584BDAA3">
        <w:tblPrEx>
          <w:tblCellMar>
            <w:top w:w="0" w:type="dxa"/>
            <w:left w:w="108" w:type="dxa"/>
            <w:bottom w:w="0" w:type="dxa"/>
            <w:right w:w="108" w:type="dxa"/>
          </w:tblCellMar>
        </w:tblPrEx>
        <w:trPr>
          <w:jc w:val="center"/>
        </w:trPr>
        <w:tc>
          <w:tcPr>
            <w:tcW w:w="9249" w:type="dxa"/>
            <w:gridSpan w:val="2"/>
          </w:tcPr>
          <w:p w14:paraId="3EACF7B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合同鉴证方（公章）：</w:t>
            </w:r>
          </w:p>
          <w:p w14:paraId="691EB38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p w14:paraId="4C48247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p w14:paraId="7266E11D">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p w14:paraId="4C1A6E2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p w14:paraId="4ECE3F7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411B85B0">
      <w:pPr>
        <w:spacing w:line="360" w:lineRule="auto"/>
        <w:ind w:firstLine="401" w:firstLineChars="175"/>
        <w:jc w:val="center"/>
        <w:rPr>
          <w:rFonts w:ascii="宋体" w:hAnsi="宋体" w:eastAsia="宋体" w:cs="宋体"/>
          <w:b/>
          <w:color w:val="auto"/>
          <w:spacing w:val="-6"/>
          <w:kern w:val="0"/>
          <w:sz w:val="24"/>
          <w:szCs w:val="24"/>
          <w:highlight w:val="none"/>
        </w:rPr>
      </w:pPr>
      <w:r>
        <w:rPr>
          <w:rFonts w:hint="eastAsia" w:ascii="宋体" w:hAnsi="宋体" w:eastAsia="宋体" w:cs="宋体"/>
          <w:b/>
          <w:color w:val="auto"/>
          <w:spacing w:val="-6"/>
          <w:kern w:val="0"/>
          <w:sz w:val="24"/>
          <w:szCs w:val="24"/>
          <w:highlight w:val="none"/>
        </w:rPr>
        <w:t>杭州电子科技大学采购合同（进口免税货物类）</w:t>
      </w:r>
    </w:p>
    <w:p w14:paraId="07E1F67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                                                                        合同编号 </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 xml:space="preserve">      </w:t>
      </w:r>
    </w:p>
    <w:p w14:paraId="23C3B4FE">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确认书号：</w:t>
      </w:r>
    </w:p>
    <w:p w14:paraId="6B1DED58">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项目编号：</w:t>
      </w:r>
    </w:p>
    <w:p w14:paraId="5506F4CB">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甲方（采购人）：杭州电子科技大学</w:t>
      </w:r>
    </w:p>
    <w:p w14:paraId="0ECA9A3D">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乙方（供应商）：</w:t>
      </w:r>
    </w:p>
    <w:p w14:paraId="7858E8B2">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丙方（外贸代理机构）：浙江省科学器材进出口有限责任公司</w:t>
      </w:r>
    </w:p>
    <w:p w14:paraId="6D00B4B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采购代理机构（鉴证方）：</w:t>
      </w:r>
    </w:p>
    <w:p w14:paraId="01CE7B1B">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签约时间、地点：     年  月   日，杭州</w:t>
      </w:r>
    </w:p>
    <w:p w14:paraId="56DEEA0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甲、乙双方根据杭州电子科技大学项目</w:t>
      </w:r>
      <w:r>
        <w:rPr>
          <w:rFonts w:hint="eastAsia" w:ascii="宋体" w:hAnsi="宋体" w:eastAsia="宋体" w:cs="宋体"/>
          <w:color w:val="auto"/>
          <w:kern w:val="0"/>
          <w:sz w:val="21"/>
          <w:szCs w:val="21"/>
          <w:highlight w:val="none"/>
          <w:u w:val="single"/>
          <w:lang w:eastAsia="zh-CN"/>
        </w:rPr>
        <w:t>射频大功率器件测试系统</w:t>
      </w: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kern w:val="0"/>
          <w:sz w:val="21"/>
          <w:szCs w:val="21"/>
          <w:highlight w:val="none"/>
          <w:u w:val="single"/>
          <w:lang w:eastAsia="zh-CN"/>
        </w:rPr>
        <w:t>QSZB-Z(H)-B24538(GK)</w:t>
      </w: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Cs w:val="21"/>
          <w:highlight w:val="none"/>
          <w:u w:val="single"/>
        </w:rPr>
        <w:t>公开招标</w:t>
      </w:r>
      <w:r>
        <w:rPr>
          <w:rFonts w:hint="eastAsia" w:ascii="宋体" w:hAnsi="宋体" w:eastAsia="宋体" w:cs="宋体"/>
          <w:color w:val="auto"/>
          <w:spacing w:val="-6"/>
          <w:kern w:val="0"/>
          <w:szCs w:val="21"/>
          <w:highlight w:val="none"/>
        </w:rPr>
        <w:t>的中标（成交）结果，由丙方代理进口本合同乙方提供的进口商品，经甲、乙、丙三方协商签署本合同。</w:t>
      </w:r>
    </w:p>
    <w:p w14:paraId="596B3B00">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一、采购货物与合同价格</w:t>
      </w:r>
    </w:p>
    <w:tbl>
      <w:tblPr>
        <w:tblStyle w:val="23"/>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75"/>
        <w:gridCol w:w="2999"/>
        <w:gridCol w:w="720"/>
        <w:gridCol w:w="720"/>
        <w:gridCol w:w="795"/>
        <w:gridCol w:w="1206"/>
        <w:gridCol w:w="953"/>
      </w:tblGrid>
      <w:tr w14:paraId="58A32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6CF801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序号</w:t>
            </w:r>
          </w:p>
        </w:tc>
        <w:tc>
          <w:tcPr>
            <w:tcW w:w="1275" w:type="dxa"/>
            <w:tcBorders>
              <w:top w:val="single" w:color="auto" w:sz="4" w:space="0"/>
              <w:left w:val="single" w:color="auto" w:sz="4" w:space="0"/>
              <w:bottom w:val="single" w:color="auto" w:sz="4" w:space="0"/>
              <w:right w:val="single" w:color="auto" w:sz="4" w:space="0"/>
            </w:tcBorders>
            <w:vAlign w:val="center"/>
          </w:tcPr>
          <w:p w14:paraId="7E669C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货物名称</w:t>
            </w:r>
          </w:p>
        </w:tc>
        <w:tc>
          <w:tcPr>
            <w:tcW w:w="2999" w:type="dxa"/>
            <w:tcBorders>
              <w:top w:val="single" w:color="auto" w:sz="4" w:space="0"/>
              <w:left w:val="single" w:color="auto" w:sz="4" w:space="0"/>
              <w:bottom w:val="single" w:color="auto" w:sz="4" w:space="0"/>
              <w:right w:val="single" w:color="auto" w:sz="4" w:space="0"/>
            </w:tcBorders>
            <w:vAlign w:val="center"/>
          </w:tcPr>
          <w:p w14:paraId="3CB5BF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1FF8C2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国别</w:t>
            </w:r>
          </w:p>
        </w:tc>
        <w:tc>
          <w:tcPr>
            <w:tcW w:w="720" w:type="dxa"/>
            <w:tcBorders>
              <w:top w:val="single" w:color="auto" w:sz="4" w:space="0"/>
              <w:left w:val="single" w:color="auto" w:sz="4" w:space="0"/>
              <w:bottom w:val="single" w:color="auto" w:sz="4" w:space="0"/>
              <w:right w:val="single" w:color="auto" w:sz="4" w:space="0"/>
            </w:tcBorders>
            <w:vAlign w:val="center"/>
          </w:tcPr>
          <w:p w14:paraId="113E69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571C08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21FD12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snapToGrid w:val="0"/>
                <w:color w:val="auto"/>
                <w:spacing w:val="-6"/>
                <w:kern w:val="0"/>
                <w:szCs w:val="21"/>
                <w:highlight w:val="none"/>
              </w:rPr>
            </w:pPr>
            <w:r>
              <w:rPr>
                <w:rFonts w:hint="eastAsia" w:ascii="宋体" w:hAnsi="宋体" w:eastAsia="宋体" w:cs="宋体"/>
                <w:color w:val="auto"/>
                <w:spacing w:val="-6"/>
                <w:kern w:val="0"/>
                <w:szCs w:val="21"/>
                <w:highlight w:val="none"/>
              </w:rPr>
              <w:t>单价</w:t>
            </w:r>
          </w:p>
        </w:tc>
        <w:tc>
          <w:tcPr>
            <w:tcW w:w="953" w:type="dxa"/>
            <w:tcBorders>
              <w:top w:val="single" w:color="auto" w:sz="4" w:space="0"/>
              <w:left w:val="single" w:color="auto" w:sz="4" w:space="0"/>
              <w:bottom w:val="single" w:color="auto" w:sz="4" w:space="0"/>
              <w:right w:val="single" w:color="auto" w:sz="4" w:space="0"/>
            </w:tcBorders>
            <w:vAlign w:val="center"/>
          </w:tcPr>
          <w:p w14:paraId="7127E7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snapToGrid w:val="0"/>
                <w:color w:val="auto"/>
                <w:spacing w:val="-6"/>
                <w:kern w:val="0"/>
                <w:szCs w:val="21"/>
                <w:highlight w:val="none"/>
              </w:rPr>
            </w:pPr>
            <w:r>
              <w:rPr>
                <w:rFonts w:hint="eastAsia" w:ascii="宋体" w:hAnsi="宋体" w:eastAsia="宋体" w:cs="宋体"/>
                <w:color w:val="auto"/>
                <w:spacing w:val="-6"/>
                <w:kern w:val="0"/>
                <w:szCs w:val="21"/>
                <w:highlight w:val="none"/>
              </w:rPr>
              <w:t>总价</w:t>
            </w:r>
          </w:p>
        </w:tc>
      </w:tr>
      <w:tr w14:paraId="124D9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38FFADB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snapToGrid w:val="0"/>
                <w:color w:val="auto"/>
                <w:spacing w:val="-6"/>
                <w:kern w:val="0"/>
                <w:szCs w:val="21"/>
                <w:highlight w:val="none"/>
              </w:rPr>
            </w:pPr>
            <w:r>
              <w:rPr>
                <w:rFonts w:hint="eastAsia" w:ascii="宋体" w:hAnsi="宋体" w:eastAsia="宋体" w:cs="宋体"/>
                <w:color w:val="auto"/>
                <w:spacing w:val="-6"/>
                <w:kern w:val="0"/>
                <w:szCs w:val="21"/>
                <w:highlight w:val="none"/>
              </w:rPr>
              <w:t>1</w:t>
            </w:r>
          </w:p>
        </w:tc>
        <w:tc>
          <w:tcPr>
            <w:tcW w:w="1275" w:type="dxa"/>
            <w:tcBorders>
              <w:top w:val="single" w:color="auto" w:sz="4" w:space="0"/>
              <w:left w:val="single" w:color="auto" w:sz="4" w:space="0"/>
              <w:bottom w:val="single" w:color="auto" w:sz="4" w:space="0"/>
              <w:right w:val="single" w:color="auto" w:sz="4" w:space="0"/>
            </w:tcBorders>
            <w:vAlign w:val="center"/>
          </w:tcPr>
          <w:p w14:paraId="34BEDC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2999" w:type="dxa"/>
            <w:tcBorders>
              <w:top w:val="single" w:color="auto" w:sz="4" w:space="0"/>
              <w:left w:val="single" w:color="auto" w:sz="4" w:space="0"/>
              <w:bottom w:val="single" w:color="auto" w:sz="4" w:space="0"/>
              <w:right w:val="single" w:color="auto" w:sz="4" w:space="0"/>
            </w:tcBorders>
          </w:tcPr>
          <w:p w14:paraId="66DF4E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6FD6C8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6F6C12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249C53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525CA8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953" w:type="dxa"/>
            <w:tcBorders>
              <w:top w:val="single" w:color="auto" w:sz="4" w:space="0"/>
              <w:left w:val="single" w:color="auto" w:sz="4" w:space="0"/>
              <w:bottom w:val="single" w:color="auto" w:sz="4" w:space="0"/>
              <w:right w:val="single" w:color="auto" w:sz="4" w:space="0"/>
            </w:tcBorders>
            <w:vAlign w:val="center"/>
          </w:tcPr>
          <w:p w14:paraId="0CF886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r>
      <w:tr w14:paraId="034C6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0FC258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2DD72D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2999" w:type="dxa"/>
            <w:tcBorders>
              <w:top w:val="single" w:color="auto" w:sz="4" w:space="0"/>
              <w:left w:val="single" w:color="auto" w:sz="4" w:space="0"/>
              <w:bottom w:val="single" w:color="auto" w:sz="4" w:space="0"/>
              <w:right w:val="single" w:color="auto" w:sz="4" w:space="0"/>
            </w:tcBorders>
          </w:tcPr>
          <w:p w14:paraId="262212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7054EE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40138F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2A227E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2A959B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953" w:type="dxa"/>
            <w:tcBorders>
              <w:top w:val="single" w:color="auto" w:sz="4" w:space="0"/>
              <w:left w:val="single" w:color="auto" w:sz="4" w:space="0"/>
              <w:bottom w:val="single" w:color="auto" w:sz="4" w:space="0"/>
              <w:right w:val="single" w:color="auto" w:sz="4" w:space="0"/>
            </w:tcBorders>
            <w:vAlign w:val="center"/>
          </w:tcPr>
          <w:p w14:paraId="61445E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r>
      <w:tr w14:paraId="02ED3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06E9B6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p>
        </w:tc>
        <w:tc>
          <w:tcPr>
            <w:tcW w:w="8668" w:type="dxa"/>
            <w:gridSpan w:val="7"/>
            <w:tcBorders>
              <w:top w:val="single" w:color="auto" w:sz="4" w:space="0"/>
              <w:left w:val="single" w:color="auto" w:sz="4" w:space="0"/>
              <w:bottom w:val="single" w:color="auto" w:sz="4" w:space="0"/>
              <w:right w:val="single" w:color="auto" w:sz="4" w:space="0"/>
            </w:tcBorders>
            <w:vAlign w:val="center"/>
          </w:tcPr>
          <w:p w14:paraId="6B00F7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合同总价（元，人民币）：小写￥              ，大写：</w:t>
            </w:r>
          </w:p>
        </w:tc>
      </w:tr>
    </w:tbl>
    <w:p w14:paraId="35ED3A3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以上合同总价包含货物到达甲方或甲方指定用户并能正常使用所需的一切费用，包括但不限于设备（软件）费、包装费、运输费、装卸费、保险费、安装调试费、技术服务费、培训费、保修保换费、税费等。设备费包含设备（包括主机、标准附件、备品备件、专用工具）价、国际运费、国际运输保险费等。</w:t>
      </w:r>
    </w:p>
    <w:p w14:paraId="2DBBD3DF">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二、供货范围</w:t>
      </w:r>
    </w:p>
    <w:p w14:paraId="1D9CBA1F">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合同供货范围包括所有合同货物、相关的技术资料。</w:t>
      </w:r>
    </w:p>
    <w:p w14:paraId="28AE0C9E">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469086C1">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三、质保期、履约保证金和货款结算</w:t>
      </w:r>
    </w:p>
    <w:p w14:paraId="1D2E528E">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1.质保期：自验收合格之日起，整机质保期</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年，其中</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（配件名称）质保</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年（如需要）。超过质保期的货物，终生维修，维修时只收部件成本费。软件的质保期即维护期，乙方应提供升级服务。质保期内质保维护升级等费用包含在合同总价中，不额外收取。</w:t>
      </w:r>
    </w:p>
    <w:p w14:paraId="348B99B2">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2.履约保证金（如无则删除本条款）</w:t>
      </w:r>
      <w:r>
        <w:rPr>
          <w:rFonts w:hint="eastAsia" w:ascii="宋体" w:hAnsi="宋体" w:eastAsia="宋体" w:cs="宋体"/>
          <w:b/>
          <w:bCs/>
          <w:color w:val="auto"/>
          <w:spacing w:val="-6"/>
          <w:kern w:val="0"/>
          <w:szCs w:val="21"/>
          <w:highlight w:val="none"/>
        </w:rPr>
        <w:t>：</w:t>
      </w:r>
      <w:r>
        <w:rPr>
          <w:rFonts w:hint="eastAsia" w:ascii="宋体" w:hAnsi="宋体" w:eastAsia="宋体" w:cs="宋体"/>
          <w:color w:val="auto"/>
          <w:spacing w:val="-6"/>
          <w:kern w:val="0"/>
          <w:szCs w:val="21"/>
          <w:highlight w:val="none"/>
        </w:rPr>
        <w:t>合同总金额的</w:t>
      </w:r>
      <w:r>
        <w:rPr>
          <w:rFonts w:hint="eastAsia" w:ascii="宋体" w:hAnsi="宋体" w:eastAsia="宋体" w:cs="宋体"/>
          <w:color w:val="auto"/>
          <w:spacing w:val="-6"/>
          <w:kern w:val="0"/>
          <w:szCs w:val="21"/>
          <w:highlight w:val="none"/>
          <w:u w:val="single"/>
        </w:rPr>
        <w:t>1</w:t>
      </w:r>
      <w:r>
        <w:rPr>
          <w:rFonts w:hint="eastAsia" w:ascii="宋体" w:hAnsi="宋体" w:eastAsia="宋体" w:cs="宋体"/>
          <w:color w:val="auto"/>
          <w:spacing w:val="-6"/>
          <w:kern w:val="0"/>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134FC0B">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3.货款结算（根据项目要求、采购文件、采购结果，选择以下一种方式）：</w:t>
      </w:r>
    </w:p>
    <w:p w14:paraId="2156150D">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（1）100%信用证（其中90%在合同商品发货后见单支付，10%在合同商品到货并验收合格后支付）。</w:t>
      </w:r>
    </w:p>
    <w:p w14:paraId="00393411">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（2）外贸合同生效后，甲方凭借丙方开具的</w:t>
      </w:r>
      <w:r>
        <w:rPr>
          <w:rFonts w:hint="eastAsia" w:ascii="宋体" w:hAnsi="宋体" w:eastAsia="宋体" w:cs="宋体"/>
          <w:color w:val="auto"/>
          <w:spacing w:val="-6"/>
          <w:kern w:val="0"/>
          <w:szCs w:val="21"/>
          <w:highlight w:val="none"/>
          <w:lang w:eastAsia="zh-CN"/>
        </w:rPr>
        <w:t>40%收款收据</w:t>
      </w:r>
      <w:r>
        <w:rPr>
          <w:rFonts w:hint="eastAsia" w:ascii="宋体" w:hAnsi="宋体" w:eastAsia="宋体" w:cs="宋体"/>
          <w:color w:val="auto"/>
          <w:spacing w:val="-6"/>
          <w:kern w:val="0"/>
          <w:szCs w:val="21"/>
          <w:highlight w:val="none"/>
        </w:rPr>
        <w:t>向丙方支付合同总价的</w:t>
      </w:r>
      <w:r>
        <w:rPr>
          <w:rFonts w:hint="eastAsia" w:ascii="宋体" w:hAnsi="宋体" w:eastAsia="宋体" w:cs="宋体"/>
          <w:color w:val="auto"/>
          <w:spacing w:val="-6"/>
          <w:kern w:val="0"/>
          <w:szCs w:val="21"/>
          <w:highlight w:val="none"/>
          <w:lang w:val="en-US" w:eastAsia="zh-CN"/>
        </w:rPr>
        <w:t>4</w:t>
      </w:r>
      <w:r>
        <w:rPr>
          <w:rFonts w:hint="eastAsia" w:ascii="宋体" w:hAnsi="宋体" w:eastAsia="宋体" w:cs="宋体"/>
          <w:color w:val="auto"/>
          <w:spacing w:val="-6"/>
          <w:kern w:val="0"/>
          <w:szCs w:val="21"/>
          <w:highlight w:val="none"/>
        </w:rPr>
        <w:t>0 %作为货物的预付款，丙方对外开具100%的即期不可撤销信用证；货物抵达港口后，甲方凭借丙方开具的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0%收款收据、到货通知书和运单，向丙方支付合同总价的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0%；丙方将货物送至甲方用户指定地点，安装调试完毕并经甲方验收合格后，向丙方支付合同总价的10%尾款。</w:t>
      </w:r>
    </w:p>
    <w:p w14:paraId="0A9548B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甲方开票信息如下：</w:t>
      </w:r>
    </w:p>
    <w:p w14:paraId="4B811952">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单位名称：杭州电子科技大学。税号：12330000470009026T</w:t>
      </w:r>
    </w:p>
    <w:p w14:paraId="5EA9EFEE">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开户银行：工行杭州高新支行。账号：1202026209008806216</w:t>
      </w:r>
    </w:p>
    <w:p w14:paraId="6E53F0A8">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四、其他条款约定</w:t>
      </w:r>
    </w:p>
    <w:p w14:paraId="4D02836B">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1.甲方、乙方协助丙方在到货前办好进口货物审批和免税手续。</w:t>
      </w:r>
    </w:p>
    <w:p w14:paraId="6990664C">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2.乙方应根据本次采购结果(本合同约定的)提供双方确认的进口货物的品名、型号规格、配置配件、技术要求、价格、制造厂商或生产国别、售后服务等相关书面资料，以便丙方对外签订外贸合同。</w:t>
      </w:r>
    </w:p>
    <w:p w14:paraId="71F8682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由丙方与乙方指定的境外公司签订外贸合同，如乙方指定的境外公司未能履行所签订外贸合同的条款时，则乙方指定的该境外公司名下的所有合同法律后果、责任和风险转由乙方承担，乙方无条件接受。</w:t>
      </w:r>
    </w:p>
    <w:p w14:paraId="728D3220">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3.丙方负责对外签订外贸合同、协助商谈运输方式、到货地点，办理法定商检、对外承付货款、办理进口报关、并在到货后负责送货上门和安装调试等事宜。</w:t>
      </w:r>
    </w:p>
    <w:p w14:paraId="25048056">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4.本合同所涉及的进口产品外贸代理费由乙方承担，与甲方无涉。</w:t>
      </w:r>
    </w:p>
    <w:p w14:paraId="5E3B1FBF">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五、知识产权</w:t>
      </w:r>
    </w:p>
    <w:p w14:paraId="18ED47A6">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6A0638D0">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2.涉及产品定做的，甲方交付给乙方的设计图纸、样品、模具等商业秘密和知识产权归属于甲方，许可乙方在合同范围内使用，乙方负有保密责任。</w:t>
      </w:r>
    </w:p>
    <w:p w14:paraId="39574DF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3.乙方违反上述条款导致甲方受损的，由此所导致的所有责任以及甲方所支付的所有费用（包括但不限于律师费、诉讼费等）均由乙方承担。</w:t>
      </w:r>
    </w:p>
    <w:p w14:paraId="23E7B48A">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六、转包或分包</w:t>
      </w:r>
    </w:p>
    <w:p w14:paraId="3439CFC4">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1.本合同范围的货物，应由乙方直接供应，不得转由他人供应，否则，甲方有权解除合同，没收履约保证金并追究乙方的违约责任。</w:t>
      </w:r>
    </w:p>
    <w:p w14:paraId="7725E3CE">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2.除非得到甲方的书面同意，乙方不得将本合同范围的货物分包给他人供应。</w:t>
      </w:r>
    </w:p>
    <w:p w14:paraId="160282E1">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3.如有转让或未经甲方同意的分包行为，甲方有权解除合同，没收履约保证金并追究乙方的违约责任。</w:t>
      </w:r>
    </w:p>
    <w:p w14:paraId="17E28648">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七、货物交付</w:t>
      </w:r>
    </w:p>
    <w:p w14:paraId="0DB480B6">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1.交货期：自合同签订之日起</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个工作日内。</w:t>
      </w:r>
    </w:p>
    <w:p w14:paraId="3935C92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2.交货方式：</w:t>
      </w:r>
      <w:r>
        <w:rPr>
          <w:rFonts w:hint="eastAsia" w:ascii="宋体" w:hAnsi="宋体" w:eastAsia="宋体" w:cs="宋体"/>
          <w:color w:val="auto"/>
          <w:spacing w:val="-6"/>
          <w:kern w:val="0"/>
          <w:szCs w:val="21"/>
          <w:highlight w:val="none"/>
          <w:u w:val="single"/>
        </w:rPr>
        <w:t>　　　送货上门　　</w:t>
      </w:r>
      <w:r>
        <w:rPr>
          <w:rFonts w:hint="eastAsia" w:ascii="宋体" w:hAnsi="宋体" w:eastAsia="宋体" w:cs="宋体"/>
          <w:color w:val="auto"/>
          <w:spacing w:val="-6"/>
          <w:kern w:val="0"/>
          <w:szCs w:val="21"/>
          <w:highlight w:val="none"/>
        </w:rPr>
        <w:t>。</w:t>
      </w:r>
    </w:p>
    <w:p w14:paraId="57619950">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w:t>
      </w:r>
      <w:bookmarkStart w:id="70" w:name="_Hlk154577691"/>
      <w:r>
        <w:rPr>
          <w:rFonts w:hint="eastAsia" w:ascii="宋体" w:hAnsi="宋体" w:eastAsia="宋体" w:cs="宋体"/>
          <w:color w:val="auto"/>
          <w:spacing w:val="-6"/>
          <w:kern w:val="0"/>
          <w:szCs w:val="21"/>
          <w:highlight w:val="none"/>
        </w:rPr>
        <w:t>.</w:t>
      </w:r>
      <w:bookmarkEnd w:id="70"/>
      <w:r>
        <w:rPr>
          <w:rFonts w:hint="eastAsia" w:ascii="宋体" w:hAnsi="宋体" w:eastAsia="宋体" w:cs="宋体"/>
          <w:color w:val="auto"/>
          <w:spacing w:val="-6"/>
          <w:kern w:val="0"/>
          <w:szCs w:val="21"/>
          <w:highlight w:val="none"/>
        </w:rPr>
        <w:t>交货地点：　　甲方指定地点　 。</w:t>
      </w:r>
    </w:p>
    <w:p w14:paraId="7A989FB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4.联系人及电话：甲方 姓名_________联系电话</w:t>
      </w:r>
      <w:r>
        <w:rPr>
          <w:rFonts w:hint="eastAsia" w:ascii="宋体" w:hAnsi="宋体" w:eastAsia="宋体" w:cs="宋体"/>
          <w:color w:val="auto"/>
          <w:spacing w:val="-6"/>
          <w:kern w:val="0"/>
          <w:szCs w:val="21"/>
          <w:highlight w:val="none"/>
          <w:u w:val="single"/>
        </w:rPr>
        <w:t xml:space="preserve">（办公电话及手机号） </w:t>
      </w:r>
      <w:r>
        <w:rPr>
          <w:rFonts w:hint="eastAsia" w:ascii="宋体" w:hAnsi="宋体" w:eastAsia="宋体" w:cs="宋体"/>
          <w:color w:val="auto"/>
          <w:spacing w:val="-6"/>
          <w:kern w:val="0"/>
          <w:szCs w:val="21"/>
          <w:highlight w:val="none"/>
        </w:rPr>
        <w:t>；乙方 姓名 __________联系电话</w:t>
      </w:r>
      <w:r>
        <w:rPr>
          <w:rFonts w:hint="eastAsia" w:ascii="宋体" w:hAnsi="宋体" w:eastAsia="宋体" w:cs="宋体"/>
          <w:color w:val="auto"/>
          <w:spacing w:val="-6"/>
          <w:kern w:val="0"/>
          <w:szCs w:val="21"/>
          <w:highlight w:val="none"/>
          <w:u w:val="single"/>
        </w:rPr>
        <w:t>（办公电话及手机号）</w:t>
      </w:r>
      <w:r>
        <w:rPr>
          <w:rFonts w:hint="eastAsia" w:ascii="宋体" w:hAnsi="宋体" w:eastAsia="宋体" w:cs="宋体"/>
          <w:color w:val="auto"/>
          <w:spacing w:val="-6"/>
          <w:kern w:val="0"/>
          <w:szCs w:val="21"/>
          <w:highlight w:val="none"/>
        </w:rPr>
        <w:t>。</w:t>
      </w:r>
    </w:p>
    <w:p w14:paraId="2A6D052E">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5.乙方应在交货前3日内，以电话或传真向甲方提供交货计划（内容包括合同号、设备名称、型号规格、数量、重量和体积的约数、交货时间、地点、运输安排）。甲方应及时作好准备，办妥一切接货手续。</w:t>
      </w:r>
    </w:p>
    <w:p w14:paraId="69AA90D5">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6.本合同所有物品运抵甲方现场后，乙方应在确保设备外包装完好无损的情况下向甲方交货，出现货物不全，外包装破损等情况，甲方不予接收，由乙方负责更换，其相关费用由乙方负担。</w:t>
      </w:r>
    </w:p>
    <w:p w14:paraId="5898BFCC">
      <w:pPr>
        <w:spacing w:line="288" w:lineRule="auto"/>
        <w:ind w:firstLine="396" w:firstLineChars="200"/>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7.乙方负责在约定期内将货物安全运抵指定地点，运输方式由乙方自行决定，相关费用由乙方承担。运输途中产生的交通事故、人身伤害、财产损失等责任均由乙方自行承担，与甲方无涉。</w:t>
      </w:r>
    </w:p>
    <w:p w14:paraId="5193E9D5">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八、安装与验收</w:t>
      </w:r>
    </w:p>
    <w:p w14:paraId="4A27FBE5">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验收由甲方负责实施，甲乙双方验收人员在安装数量和合同价格清单上签字确认。</w:t>
      </w:r>
    </w:p>
    <w:p w14:paraId="71BB230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11007C3A">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0B2EDF12">
      <w:pPr>
        <w:spacing w:line="288" w:lineRule="auto"/>
        <w:ind w:firstLine="346" w:firstLineChars="175"/>
        <w:rPr>
          <w:rFonts w:ascii="宋体" w:hAnsi="宋体" w:eastAsia="宋体" w:cs="宋体"/>
          <w:strike/>
          <w:color w:val="auto"/>
          <w:spacing w:val="-6"/>
          <w:kern w:val="0"/>
          <w:szCs w:val="21"/>
          <w:highlight w:val="none"/>
        </w:rPr>
      </w:pPr>
      <w:r>
        <w:rPr>
          <w:rFonts w:hint="eastAsia" w:ascii="宋体" w:hAnsi="宋体" w:eastAsia="宋体" w:cs="宋体"/>
          <w:color w:val="auto"/>
          <w:spacing w:val="-6"/>
          <w:kern w:val="0"/>
          <w:szCs w:val="21"/>
          <w:highlight w:val="none"/>
        </w:rPr>
        <w:t>3.最终验收：货物经安装调试完成且符合技术要求后，甲方负责在</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14:paraId="6B2691E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九、质量保证与售后服务</w:t>
      </w:r>
    </w:p>
    <w:p w14:paraId="497F71D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1.乙方应按采购文件规定的货物性能、技术要求、质量标准向甲方提供</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月后生产的，全新未经使用的，符合国家法律规定和技术规格、质量标准的出厂原装合格产品。</w:t>
      </w:r>
    </w:p>
    <w:p w14:paraId="64471A14">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2.售后服务</w:t>
      </w:r>
    </w:p>
    <w:p w14:paraId="5A878EAB">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2.1远程技术支持：乙方应具有稳定的技术支持队伍和完善的服务支持网络，提供7×24小时技术支持服务，及时响应甲方的技术服务支持需求，提出有效的解决方案，解决甲方在货物使用过程中遇到的实际问题。</w:t>
      </w:r>
    </w:p>
    <w:p w14:paraId="01C14652">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2.2现场技术支持：对于通过电话、邮件等远程技术支持不能解决的问题，乙方应在</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小时内派遣相关人员赶赴现场，</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小时内维修完毕；发生紧急抢修事故的，乙方应在接到甲方通知后</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小时内到达现场抢修，并于到达现场</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小时之内排除故障。乙方未在约定时间内修复的或同一货物经</w:t>
      </w:r>
      <w:r>
        <w:rPr>
          <w:rFonts w:hint="eastAsia" w:ascii="宋体" w:hAnsi="宋体" w:eastAsia="宋体" w:cs="宋体"/>
          <w:color w:val="auto"/>
          <w:spacing w:val="-6"/>
          <w:kern w:val="0"/>
          <w:szCs w:val="21"/>
          <w:highlight w:val="none"/>
          <w:u w:val="single"/>
        </w:rPr>
        <w:t xml:space="preserve">    </w:t>
      </w:r>
      <w:r>
        <w:rPr>
          <w:rFonts w:hint="eastAsia" w:ascii="宋体" w:hAnsi="宋体" w:eastAsia="宋体" w:cs="宋体"/>
          <w:color w:val="auto"/>
          <w:spacing w:val="-6"/>
          <w:kern w:val="0"/>
          <w:szCs w:val="21"/>
          <w:highlight w:val="none"/>
        </w:rPr>
        <w:t>次维修后仍不能稳定、可靠运行的，甲方有权要求乙方免费更换。</w:t>
      </w:r>
    </w:p>
    <w:p w14:paraId="68CA8CFD">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十、保密条款</w:t>
      </w:r>
    </w:p>
    <w:p w14:paraId="099C1ACB">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35B23EB2">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十一、违约责任</w:t>
      </w:r>
    </w:p>
    <w:p w14:paraId="64AFCACE">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1.甲方无故逾期验收和办理货款支付手续的，每逾期一日，应按逾期付款总额</w:t>
      </w:r>
      <w:r>
        <w:rPr>
          <w:rFonts w:hint="eastAsia" w:ascii="宋体" w:hAnsi="宋体" w:eastAsia="宋体" w:cs="宋体"/>
          <w:color w:val="auto"/>
          <w:spacing w:val="-6"/>
          <w:kern w:val="0"/>
          <w:szCs w:val="21"/>
          <w:highlight w:val="none"/>
          <w:u w:val="single"/>
        </w:rPr>
        <w:t>千分之一</w:t>
      </w:r>
      <w:r>
        <w:rPr>
          <w:rFonts w:hint="eastAsia" w:ascii="宋体" w:hAnsi="宋体" w:eastAsia="宋体" w:cs="宋体"/>
          <w:color w:val="auto"/>
          <w:spacing w:val="-6"/>
          <w:kern w:val="0"/>
          <w:szCs w:val="21"/>
          <w:highlight w:val="none"/>
        </w:rPr>
        <w:t>向乙方支付违约金。</w:t>
      </w:r>
    </w:p>
    <w:p w14:paraId="09BDCDEC">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2.乙方逾期交货完工的，每逾期一日，应按合同总价</w:t>
      </w:r>
      <w:r>
        <w:rPr>
          <w:rFonts w:hint="eastAsia" w:ascii="宋体" w:hAnsi="宋体" w:eastAsia="宋体" w:cs="宋体"/>
          <w:color w:val="auto"/>
          <w:spacing w:val="-6"/>
          <w:kern w:val="0"/>
          <w:szCs w:val="21"/>
          <w:highlight w:val="none"/>
          <w:u w:val="single"/>
        </w:rPr>
        <w:t xml:space="preserve"> 千分之一</w:t>
      </w:r>
      <w:r>
        <w:rPr>
          <w:rFonts w:hint="eastAsia" w:ascii="宋体" w:hAnsi="宋体" w:eastAsia="宋体" w:cs="宋体"/>
          <w:color w:val="auto"/>
          <w:spacing w:val="-6"/>
          <w:kern w:val="0"/>
          <w:szCs w:val="21"/>
          <w:highlight w:val="none"/>
        </w:rPr>
        <w:t>向甲方支付违约金。逾期超过约定日期</w:t>
      </w:r>
      <w:r>
        <w:rPr>
          <w:rFonts w:hint="eastAsia" w:ascii="宋体" w:hAnsi="宋体" w:eastAsia="宋体" w:cs="宋体"/>
          <w:color w:val="auto"/>
          <w:spacing w:val="-6"/>
          <w:kern w:val="0"/>
          <w:szCs w:val="21"/>
          <w:highlight w:val="none"/>
          <w:u w:val="single"/>
        </w:rPr>
        <w:t xml:space="preserve"> 10 </w:t>
      </w:r>
      <w:r>
        <w:rPr>
          <w:rFonts w:hint="eastAsia" w:ascii="宋体" w:hAnsi="宋体" w:eastAsia="宋体" w:cs="宋体"/>
          <w:color w:val="auto"/>
          <w:spacing w:val="-6"/>
          <w:kern w:val="0"/>
          <w:szCs w:val="21"/>
          <w:highlight w:val="none"/>
        </w:rPr>
        <w:t>个工作日不能交货完工的，甲方有权解除本合同，并要求乙方支付合同总价</w:t>
      </w:r>
      <w:r>
        <w:rPr>
          <w:rFonts w:hint="eastAsia" w:ascii="宋体" w:hAnsi="宋体" w:eastAsia="宋体" w:cs="宋体"/>
          <w:color w:val="auto"/>
          <w:spacing w:val="-6"/>
          <w:kern w:val="0"/>
          <w:szCs w:val="21"/>
          <w:highlight w:val="none"/>
          <w:u w:val="single"/>
        </w:rPr>
        <w:t xml:space="preserve"> 5 %</w:t>
      </w:r>
      <w:r>
        <w:rPr>
          <w:rFonts w:hint="eastAsia" w:ascii="宋体" w:hAnsi="宋体" w:eastAsia="宋体" w:cs="宋体"/>
          <w:color w:val="auto"/>
          <w:spacing w:val="-6"/>
          <w:kern w:val="0"/>
          <w:szCs w:val="21"/>
          <w:highlight w:val="none"/>
        </w:rPr>
        <w:t>的违约金，违约金不足以弥补甲方损失的，乙方还应负责赔偿。</w:t>
      </w:r>
    </w:p>
    <w:p w14:paraId="30CF66A0">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spacing w:val="-6"/>
          <w:kern w:val="0"/>
          <w:szCs w:val="21"/>
          <w:highlight w:val="none"/>
          <w:u w:val="single"/>
        </w:rPr>
        <w:t xml:space="preserve"> 5 %</w:t>
      </w:r>
      <w:r>
        <w:rPr>
          <w:rFonts w:hint="eastAsia" w:ascii="宋体" w:hAnsi="宋体" w:eastAsia="宋体" w:cs="宋体"/>
          <w:color w:val="auto"/>
          <w:spacing w:val="-6"/>
          <w:kern w:val="0"/>
          <w:szCs w:val="21"/>
          <w:highlight w:val="none"/>
        </w:rPr>
        <w:t>的违约金，</w:t>
      </w:r>
      <w:bookmarkStart w:id="71" w:name="_Hlk155086160"/>
      <w:r>
        <w:rPr>
          <w:rFonts w:hint="eastAsia" w:ascii="宋体" w:hAnsi="宋体" w:eastAsia="宋体" w:cs="宋体"/>
          <w:color w:val="auto"/>
          <w:spacing w:val="-6"/>
          <w:kern w:val="0"/>
          <w:szCs w:val="21"/>
          <w:highlight w:val="none"/>
        </w:rPr>
        <w:t>违约金不足以弥补甲方损失的，乙方还应负责赔偿。</w:t>
      </w:r>
      <w:bookmarkEnd w:id="71"/>
    </w:p>
    <w:p w14:paraId="256C0384">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4．乙方未能按约定要求履行保修义务的，每发生一次应向甲方支付</w:t>
      </w:r>
      <w:r>
        <w:rPr>
          <w:rFonts w:hint="eastAsia" w:ascii="宋体" w:hAnsi="宋体" w:eastAsia="宋体" w:cs="宋体"/>
          <w:color w:val="auto"/>
          <w:spacing w:val="-6"/>
          <w:kern w:val="0"/>
          <w:szCs w:val="21"/>
          <w:highlight w:val="none"/>
          <w:u w:val="single"/>
        </w:rPr>
        <w:t>3000</w:t>
      </w:r>
      <w:r>
        <w:rPr>
          <w:rFonts w:hint="eastAsia" w:ascii="宋体" w:hAnsi="宋体" w:eastAsia="宋体" w:cs="宋体"/>
          <w:color w:val="auto"/>
          <w:spacing w:val="-6"/>
          <w:kern w:val="0"/>
          <w:szCs w:val="21"/>
          <w:highlight w:val="none"/>
        </w:rPr>
        <w:t>元的违约金，同时，甲方有权委托第三方进行保修，所产生的费用由乙方承担。若因货物缺陷或乙方服务质量等问题造成甲方或任何人员人身、财产损害的，乙方应承担有关责任并作出相应赔偿。</w:t>
      </w:r>
    </w:p>
    <w:p w14:paraId="390FF58D">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5.因乙方其他违约行为导致甲方解除合同的，乙方应向甲方支付合同总价 </w:t>
      </w:r>
      <w:r>
        <w:rPr>
          <w:rFonts w:hint="eastAsia" w:ascii="宋体" w:hAnsi="宋体" w:eastAsia="宋体" w:cs="宋体"/>
          <w:color w:val="auto"/>
          <w:spacing w:val="-6"/>
          <w:kern w:val="0"/>
          <w:szCs w:val="21"/>
          <w:highlight w:val="none"/>
          <w:u w:val="single"/>
        </w:rPr>
        <w:t>5 %</w:t>
      </w:r>
      <w:r>
        <w:rPr>
          <w:rFonts w:hint="eastAsia" w:ascii="宋体" w:hAnsi="宋体" w:eastAsia="宋体" w:cs="宋体"/>
          <w:color w:val="auto"/>
          <w:spacing w:val="-6"/>
          <w:kern w:val="0"/>
          <w:szCs w:val="21"/>
          <w:highlight w:val="none"/>
        </w:rPr>
        <w:t>的违约金，违约金不足以弥补甲方损失的，乙方还应负责赔偿。</w:t>
      </w:r>
    </w:p>
    <w:p w14:paraId="723BDA46">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十二、不可抗力</w:t>
      </w:r>
    </w:p>
    <w:p w14:paraId="48673E5C">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1.在合同有效期内，任何一方因不可抗力事件导致不能履行合同，则合同履行期可延长，其延长期与不可抗力影响期相同。</w:t>
      </w:r>
    </w:p>
    <w:p w14:paraId="335D3429">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2.本条所述的“不可抗力”系指双方不可预见、不可避免、不可克服的事件。</w:t>
      </w:r>
    </w:p>
    <w:p w14:paraId="72AAAB5D">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3.不可抗力事件发生后，受不可抗力事件影响的一方应在事件发生后3日内立即通知对方，并寄送有关权威机构出具的证明。同时应立即尽一切合理努力采取措施，消除影响，减少损失。</w:t>
      </w:r>
    </w:p>
    <w:p w14:paraId="2EB432BF">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4.不可抗力事件延续30天以上，双方应通过友好协商，确定是否继续履行合同。</w:t>
      </w:r>
    </w:p>
    <w:p w14:paraId="2CE8A68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十三、法律适用与争议解决</w:t>
      </w:r>
    </w:p>
    <w:p w14:paraId="034BAAC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1.本合同的订立、解释、履行及争议解决，均适用中华人民共和国法律。</w:t>
      </w:r>
    </w:p>
    <w:p w14:paraId="09AFC871">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2.本合同履行过程中发生争议的，甲乙双方应友好协商；协商不成的，任何一方可向甲方所在地人民法院起诉。</w:t>
      </w:r>
    </w:p>
    <w:p w14:paraId="4E388360">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十四、合同生效及其他</w:t>
      </w:r>
    </w:p>
    <w:p w14:paraId="154D88F3">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本合同经甲、乙、丙三方法定代表人或授权代表签字并加盖单位公章或合同专用章后生效，甲方的单位公章盖采购中心合同专用章（其他部门公章无效），本合同一式伍份，乙方、丙方各执壹份，甲方执叁份，具有同等法律效力。</w:t>
      </w:r>
    </w:p>
    <w:p w14:paraId="7D3498DD">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6E56AF68">
      <w:pPr>
        <w:spacing w:line="288" w:lineRule="auto"/>
        <w:ind w:firstLine="346" w:firstLineChars="175"/>
        <w:rPr>
          <w:rFonts w:ascii="宋体" w:hAnsi="宋体" w:eastAsia="宋体" w:cs="宋体"/>
          <w:color w:val="auto"/>
          <w:spacing w:val="-6"/>
          <w:kern w:val="0"/>
          <w:szCs w:val="21"/>
          <w:highlight w:val="none"/>
          <w:lang w:val="zh-CN"/>
        </w:rPr>
      </w:pPr>
      <w:r>
        <w:rPr>
          <w:rFonts w:hint="eastAsia" w:ascii="宋体" w:hAnsi="宋体" w:eastAsia="宋体" w:cs="宋体"/>
          <w:color w:val="auto"/>
          <w:spacing w:val="-6"/>
          <w:kern w:val="0"/>
          <w:szCs w:val="21"/>
          <w:highlight w:val="none"/>
        </w:rPr>
        <w:t>3.本次采购过程中形成的招标(非招标)文件、投标（响应）文件、澄清承诺、补充协议、附件等</w:t>
      </w:r>
      <w:r>
        <w:rPr>
          <w:rFonts w:hint="eastAsia" w:ascii="宋体" w:hAnsi="宋体" w:eastAsia="宋体" w:cs="宋体"/>
          <w:color w:val="auto"/>
          <w:spacing w:val="-6"/>
          <w:kern w:val="0"/>
          <w:szCs w:val="21"/>
          <w:highlight w:val="none"/>
          <w:lang w:val="zh-CN"/>
        </w:rPr>
        <w:t>为本合同的组成部分，并构成一个整体，需综合解释、相互补充。如果</w:t>
      </w:r>
      <w:r>
        <w:rPr>
          <w:rFonts w:hint="eastAsia" w:ascii="宋体" w:hAnsi="宋体" w:eastAsia="宋体" w:cs="宋体"/>
          <w:color w:val="auto"/>
          <w:spacing w:val="-6"/>
          <w:kern w:val="0"/>
          <w:szCs w:val="21"/>
          <w:highlight w:val="none"/>
        </w:rPr>
        <w:t>上述</w:t>
      </w:r>
      <w:r>
        <w:rPr>
          <w:rFonts w:hint="eastAsia" w:ascii="宋体" w:hAnsi="宋体" w:eastAsia="宋体" w:cs="宋体"/>
          <w:color w:val="auto"/>
          <w:spacing w:val="-6"/>
          <w:kern w:val="0"/>
          <w:szCs w:val="21"/>
          <w:highlight w:val="none"/>
          <w:lang w:val="zh-CN"/>
        </w:rPr>
        <w:t>文件内容出现不一致的情形，那么在保证按照采购文件确定的事项的前提下，组成本合同的多个文件的优先适用顺序如下：</w:t>
      </w:r>
    </w:p>
    <w:p w14:paraId="0671DCF9">
      <w:pPr>
        <w:spacing w:line="288" w:lineRule="auto"/>
        <w:ind w:firstLine="346" w:firstLineChars="175"/>
        <w:rPr>
          <w:rFonts w:ascii="宋体" w:hAnsi="宋体" w:eastAsia="宋体" w:cs="宋体"/>
          <w:color w:val="auto"/>
          <w:spacing w:val="-6"/>
          <w:kern w:val="0"/>
          <w:szCs w:val="21"/>
          <w:highlight w:val="none"/>
          <w:lang w:val="zh-CN"/>
        </w:rPr>
      </w:pPr>
      <w:bookmarkStart w:id="72" w:name="_Hlk154577853"/>
      <w:r>
        <w:rPr>
          <w:rFonts w:hint="eastAsia" w:ascii="宋体" w:hAnsi="宋体" w:eastAsia="宋体" w:cs="宋体"/>
          <w:color w:val="auto"/>
          <w:spacing w:val="-6"/>
          <w:kern w:val="0"/>
          <w:szCs w:val="21"/>
          <w:highlight w:val="none"/>
          <w:lang w:val="zh-CN"/>
        </w:rPr>
        <w:t>（1）</w:t>
      </w:r>
      <w:bookmarkEnd w:id="72"/>
      <w:r>
        <w:rPr>
          <w:rFonts w:hint="eastAsia" w:ascii="宋体" w:hAnsi="宋体" w:eastAsia="宋体" w:cs="宋体"/>
          <w:color w:val="auto"/>
          <w:spacing w:val="-6"/>
          <w:kern w:val="0"/>
          <w:szCs w:val="21"/>
          <w:highlight w:val="none"/>
          <w:lang w:val="zh-CN"/>
        </w:rPr>
        <w:t>本合同及其补充合同、变更协议；</w:t>
      </w:r>
    </w:p>
    <w:p w14:paraId="733C3CFF">
      <w:pPr>
        <w:spacing w:line="288" w:lineRule="auto"/>
        <w:ind w:firstLine="346" w:firstLineChars="175"/>
        <w:rPr>
          <w:rFonts w:ascii="宋体" w:hAnsi="宋体" w:eastAsia="宋体" w:cs="宋体"/>
          <w:color w:val="auto"/>
          <w:spacing w:val="-6"/>
          <w:kern w:val="0"/>
          <w:szCs w:val="21"/>
          <w:highlight w:val="none"/>
          <w:lang w:val="zh-CN"/>
        </w:rPr>
      </w:pPr>
      <w:bookmarkStart w:id="73" w:name="_Hlk154577862"/>
      <w:r>
        <w:rPr>
          <w:rFonts w:hint="eastAsia" w:ascii="宋体" w:hAnsi="宋体" w:eastAsia="宋体" w:cs="宋体"/>
          <w:color w:val="auto"/>
          <w:spacing w:val="-6"/>
          <w:kern w:val="0"/>
          <w:szCs w:val="21"/>
          <w:highlight w:val="none"/>
        </w:rPr>
        <w:t>（2）</w:t>
      </w:r>
      <w:bookmarkEnd w:id="73"/>
      <w:r>
        <w:rPr>
          <w:rFonts w:hint="eastAsia" w:ascii="宋体" w:hAnsi="宋体" w:eastAsia="宋体" w:cs="宋体"/>
          <w:color w:val="auto"/>
          <w:spacing w:val="-6"/>
          <w:kern w:val="0"/>
          <w:szCs w:val="21"/>
          <w:highlight w:val="none"/>
        </w:rPr>
        <w:t>中标（成交）</w:t>
      </w:r>
      <w:r>
        <w:rPr>
          <w:rFonts w:hint="eastAsia" w:ascii="宋体" w:hAnsi="宋体" w:eastAsia="宋体" w:cs="宋体"/>
          <w:color w:val="auto"/>
          <w:spacing w:val="-6"/>
          <w:kern w:val="0"/>
          <w:szCs w:val="21"/>
          <w:highlight w:val="none"/>
          <w:lang w:val="zh-CN"/>
        </w:rPr>
        <w:t>通知书；</w:t>
      </w:r>
    </w:p>
    <w:p w14:paraId="6B3F4461">
      <w:pPr>
        <w:spacing w:line="288" w:lineRule="auto"/>
        <w:ind w:firstLine="346" w:firstLineChars="175"/>
        <w:rPr>
          <w:rFonts w:ascii="宋体" w:hAnsi="宋体" w:eastAsia="宋体" w:cs="宋体"/>
          <w:color w:val="auto"/>
          <w:spacing w:val="-6"/>
          <w:kern w:val="0"/>
          <w:szCs w:val="21"/>
          <w:highlight w:val="none"/>
          <w:lang w:val="zh-CN"/>
        </w:rPr>
      </w:pPr>
      <w:bookmarkStart w:id="74" w:name="_Hlk154577868"/>
      <w:r>
        <w:rPr>
          <w:rFonts w:hint="eastAsia" w:ascii="宋体" w:hAnsi="宋体" w:eastAsia="宋体" w:cs="宋体"/>
          <w:color w:val="auto"/>
          <w:spacing w:val="-6"/>
          <w:kern w:val="0"/>
          <w:szCs w:val="21"/>
          <w:highlight w:val="none"/>
        </w:rPr>
        <w:t>（3）投标（</w:t>
      </w:r>
      <w:bookmarkEnd w:id="74"/>
      <w:r>
        <w:rPr>
          <w:rFonts w:hint="eastAsia" w:ascii="宋体" w:hAnsi="宋体" w:eastAsia="宋体" w:cs="宋体"/>
          <w:color w:val="auto"/>
          <w:spacing w:val="-6"/>
          <w:kern w:val="0"/>
          <w:szCs w:val="21"/>
          <w:highlight w:val="none"/>
          <w:lang w:val="zh-CN"/>
        </w:rPr>
        <w:t>响应）文件（含澄清或者说明文件）；</w:t>
      </w:r>
    </w:p>
    <w:p w14:paraId="1B06D44C">
      <w:pPr>
        <w:spacing w:line="288" w:lineRule="auto"/>
        <w:ind w:firstLine="346" w:firstLineChars="175"/>
        <w:rPr>
          <w:rFonts w:ascii="宋体" w:hAnsi="宋体" w:eastAsia="宋体" w:cs="宋体"/>
          <w:color w:val="auto"/>
          <w:spacing w:val="-6"/>
          <w:kern w:val="0"/>
          <w:szCs w:val="21"/>
          <w:highlight w:val="none"/>
          <w:lang w:val="zh-CN"/>
        </w:rPr>
      </w:pPr>
      <w:bookmarkStart w:id="75" w:name="_Hlk154577876"/>
      <w:r>
        <w:rPr>
          <w:rFonts w:hint="eastAsia" w:ascii="宋体" w:hAnsi="宋体" w:eastAsia="宋体" w:cs="宋体"/>
          <w:color w:val="auto"/>
          <w:spacing w:val="-6"/>
          <w:kern w:val="0"/>
          <w:szCs w:val="21"/>
          <w:highlight w:val="none"/>
        </w:rPr>
        <w:t>（4）</w:t>
      </w:r>
      <w:bookmarkEnd w:id="75"/>
      <w:r>
        <w:rPr>
          <w:rFonts w:hint="eastAsia" w:ascii="宋体" w:hAnsi="宋体" w:eastAsia="宋体" w:cs="宋体"/>
          <w:color w:val="auto"/>
          <w:spacing w:val="-6"/>
          <w:kern w:val="0"/>
          <w:szCs w:val="21"/>
          <w:highlight w:val="none"/>
        </w:rPr>
        <w:t>招标(非招标)</w:t>
      </w:r>
      <w:r>
        <w:rPr>
          <w:rFonts w:hint="eastAsia" w:ascii="宋体" w:hAnsi="宋体" w:eastAsia="宋体" w:cs="宋体"/>
          <w:color w:val="auto"/>
          <w:spacing w:val="-6"/>
          <w:kern w:val="0"/>
          <w:szCs w:val="21"/>
          <w:highlight w:val="none"/>
          <w:lang w:val="zh-CN"/>
        </w:rPr>
        <w:t>文件（含澄清或者修改文件）；</w:t>
      </w:r>
    </w:p>
    <w:p w14:paraId="5956A163">
      <w:pPr>
        <w:spacing w:line="288" w:lineRule="auto"/>
        <w:ind w:firstLine="346" w:firstLineChars="175"/>
        <w:rPr>
          <w:rFonts w:ascii="宋体" w:hAnsi="宋体" w:eastAsia="宋体" w:cs="宋体"/>
          <w:color w:val="auto"/>
          <w:spacing w:val="-6"/>
          <w:kern w:val="0"/>
          <w:szCs w:val="21"/>
          <w:highlight w:val="none"/>
        </w:rPr>
      </w:pPr>
      <w:bookmarkStart w:id="76" w:name="_Hlk154577886"/>
      <w:r>
        <w:rPr>
          <w:rFonts w:hint="eastAsia" w:ascii="宋体" w:hAnsi="宋体" w:eastAsia="宋体" w:cs="宋体"/>
          <w:color w:val="auto"/>
          <w:spacing w:val="-6"/>
          <w:kern w:val="0"/>
          <w:szCs w:val="21"/>
          <w:highlight w:val="none"/>
        </w:rPr>
        <w:t>（5）</w:t>
      </w:r>
      <w:bookmarkEnd w:id="76"/>
      <w:r>
        <w:rPr>
          <w:rFonts w:hint="eastAsia" w:ascii="宋体" w:hAnsi="宋体" w:eastAsia="宋体" w:cs="宋体"/>
          <w:color w:val="auto"/>
          <w:spacing w:val="-6"/>
          <w:kern w:val="0"/>
          <w:szCs w:val="21"/>
          <w:highlight w:val="none"/>
          <w:lang w:val="zh-CN"/>
        </w:rPr>
        <w:t>其他相关采购文件。</w:t>
      </w:r>
    </w:p>
    <w:p w14:paraId="7F1A0672">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4.本合同未尽事宜，遵照《中华人民共和国民法典》有关条文执行。</w:t>
      </w:r>
    </w:p>
    <w:p w14:paraId="51949D4B">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5.本合同一式六份，甲方执三份，乙方和丙方、鉴证方各执一份，具有同等法律效力。</w:t>
      </w:r>
    </w:p>
    <w:p w14:paraId="305AEF01">
      <w:pPr>
        <w:spacing w:line="288" w:lineRule="auto"/>
        <w:ind w:firstLine="346" w:firstLineChars="175"/>
        <w:rPr>
          <w:rFonts w:ascii="宋体" w:hAnsi="宋体" w:eastAsia="宋体" w:cs="宋体"/>
          <w:color w:val="auto"/>
          <w:spacing w:val="-6"/>
          <w:kern w:val="0"/>
          <w:szCs w:val="21"/>
          <w:highlight w:val="none"/>
        </w:rPr>
      </w:pPr>
    </w:p>
    <w:p w14:paraId="64A62E82">
      <w:pPr>
        <w:spacing w:line="288" w:lineRule="auto"/>
        <w:ind w:firstLine="346" w:firstLineChars="175"/>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合同附件：  （附件名称）（如有则填写，如无则删除）</w:t>
      </w:r>
    </w:p>
    <w:p w14:paraId="26C8AB54">
      <w:pPr>
        <w:spacing w:line="288" w:lineRule="auto"/>
        <w:ind w:firstLine="396" w:firstLineChars="200"/>
        <w:rPr>
          <w:rFonts w:ascii="宋体" w:hAnsi="宋体" w:eastAsia="宋体" w:cs="宋体"/>
          <w:color w:val="auto"/>
          <w:spacing w:val="-6"/>
          <w:szCs w:val="21"/>
          <w:highlight w:val="none"/>
        </w:rPr>
      </w:pPr>
    </w:p>
    <w:tbl>
      <w:tblPr>
        <w:tblStyle w:val="23"/>
        <w:tblW w:w="9249" w:type="dxa"/>
        <w:jc w:val="center"/>
        <w:tblLayout w:type="fixed"/>
        <w:tblCellMar>
          <w:top w:w="0" w:type="dxa"/>
          <w:left w:w="108" w:type="dxa"/>
          <w:bottom w:w="0" w:type="dxa"/>
          <w:right w:w="108" w:type="dxa"/>
        </w:tblCellMar>
      </w:tblPr>
      <w:tblGrid>
        <w:gridCol w:w="5073"/>
        <w:gridCol w:w="4176"/>
      </w:tblGrid>
      <w:tr w14:paraId="065E03E5">
        <w:tblPrEx>
          <w:tblCellMar>
            <w:top w:w="0" w:type="dxa"/>
            <w:left w:w="108" w:type="dxa"/>
            <w:bottom w:w="0" w:type="dxa"/>
            <w:right w:w="108" w:type="dxa"/>
          </w:tblCellMar>
        </w:tblPrEx>
        <w:trPr>
          <w:trHeight w:val="632" w:hRule="atLeast"/>
          <w:jc w:val="center"/>
        </w:trPr>
        <w:tc>
          <w:tcPr>
            <w:tcW w:w="5073" w:type="dxa"/>
            <w:vAlign w:val="center"/>
          </w:tcPr>
          <w:p w14:paraId="02411E71">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甲方：杭州电子科技大学（公章）</w:t>
            </w:r>
          </w:p>
        </w:tc>
        <w:tc>
          <w:tcPr>
            <w:tcW w:w="4176" w:type="dxa"/>
            <w:vAlign w:val="center"/>
          </w:tcPr>
          <w:p w14:paraId="7A625A17">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乙方：（公章）</w:t>
            </w:r>
          </w:p>
        </w:tc>
      </w:tr>
      <w:tr w14:paraId="0E24239D">
        <w:tblPrEx>
          <w:tblCellMar>
            <w:top w:w="0" w:type="dxa"/>
            <w:left w:w="108" w:type="dxa"/>
            <w:bottom w:w="0" w:type="dxa"/>
            <w:right w:w="108" w:type="dxa"/>
          </w:tblCellMar>
        </w:tblPrEx>
        <w:trPr>
          <w:trHeight w:val="717" w:hRule="atLeast"/>
          <w:jc w:val="center"/>
        </w:trPr>
        <w:tc>
          <w:tcPr>
            <w:tcW w:w="5073" w:type="dxa"/>
            <w:vAlign w:val="center"/>
          </w:tcPr>
          <w:p w14:paraId="753A9EA8">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法定（授权）代表人：</w:t>
            </w:r>
          </w:p>
          <w:p w14:paraId="77762AB3">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Align w:val="center"/>
          </w:tcPr>
          <w:p w14:paraId="339AD055">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法定（授权）代表人：</w:t>
            </w:r>
          </w:p>
          <w:p w14:paraId="5D1D632A">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r>
      <w:tr w14:paraId="12809A18">
        <w:tblPrEx>
          <w:tblCellMar>
            <w:top w:w="0" w:type="dxa"/>
            <w:left w:w="108" w:type="dxa"/>
            <w:bottom w:w="0" w:type="dxa"/>
            <w:right w:w="108" w:type="dxa"/>
          </w:tblCellMar>
        </w:tblPrEx>
        <w:trPr>
          <w:jc w:val="center"/>
        </w:trPr>
        <w:tc>
          <w:tcPr>
            <w:tcW w:w="5073" w:type="dxa"/>
            <w:vAlign w:val="center"/>
          </w:tcPr>
          <w:p w14:paraId="02616A17">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地址：杭州下沙高教园区二号大街1158号</w:t>
            </w:r>
          </w:p>
        </w:tc>
        <w:tc>
          <w:tcPr>
            <w:tcW w:w="4176" w:type="dxa"/>
            <w:vAlign w:val="center"/>
          </w:tcPr>
          <w:p w14:paraId="614F6A98">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r>
              <w:rPr>
                <w:rFonts w:hint="eastAsia" w:ascii="宋体" w:hAnsi="宋体" w:eastAsia="宋体" w:cs="宋体"/>
                <w:color w:val="auto"/>
                <w:spacing w:val="-6"/>
                <w:kern w:val="0"/>
                <w:szCs w:val="21"/>
                <w:highlight w:val="none"/>
              </w:rPr>
              <w:tab/>
            </w:r>
            <w:r>
              <w:rPr>
                <w:rFonts w:hint="eastAsia" w:ascii="宋体" w:hAnsi="宋体" w:eastAsia="宋体" w:cs="宋体"/>
                <w:color w:val="auto"/>
                <w:spacing w:val="-6"/>
                <w:kern w:val="0"/>
                <w:szCs w:val="21"/>
                <w:highlight w:val="none"/>
              </w:rPr>
              <w:tab/>
            </w:r>
          </w:p>
        </w:tc>
      </w:tr>
      <w:tr w14:paraId="11DF0355">
        <w:tblPrEx>
          <w:tblCellMar>
            <w:top w:w="0" w:type="dxa"/>
            <w:left w:w="108" w:type="dxa"/>
            <w:bottom w:w="0" w:type="dxa"/>
            <w:right w:w="108" w:type="dxa"/>
          </w:tblCellMar>
        </w:tblPrEx>
        <w:trPr>
          <w:jc w:val="center"/>
        </w:trPr>
        <w:tc>
          <w:tcPr>
            <w:tcW w:w="5073" w:type="dxa"/>
            <w:vAlign w:val="center"/>
          </w:tcPr>
          <w:p w14:paraId="7B302318">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Align w:val="center"/>
          </w:tcPr>
          <w:p w14:paraId="3C3ACC41">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r>
              <w:rPr>
                <w:rFonts w:hint="eastAsia" w:ascii="宋体" w:hAnsi="宋体" w:eastAsia="宋体" w:cs="宋体"/>
                <w:color w:val="auto"/>
                <w:spacing w:val="-6"/>
                <w:kern w:val="0"/>
                <w:szCs w:val="21"/>
                <w:highlight w:val="none"/>
              </w:rPr>
              <w:tab/>
            </w:r>
          </w:p>
        </w:tc>
      </w:tr>
      <w:tr w14:paraId="0262F2AC">
        <w:tblPrEx>
          <w:tblCellMar>
            <w:top w:w="0" w:type="dxa"/>
            <w:left w:w="108" w:type="dxa"/>
            <w:bottom w:w="0" w:type="dxa"/>
            <w:right w:w="108" w:type="dxa"/>
          </w:tblCellMar>
        </w:tblPrEx>
        <w:trPr>
          <w:jc w:val="center"/>
        </w:trPr>
        <w:tc>
          <w:tcPr>
            <w:tcW w:w="5073" w:type="dxa"/>
            <w:vAlign w:val="center"/>
          </w:tcPr>
          <w:p w14:paraId="5051F369">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开户银行：工行高新支行 </w:t>
            </w:r>
          </w:p>
        </w:tc>
        <w:tc>
          <w:tcPr>
            <w:tcW w:w="4176" w:type="dxa"/>
            <w:vAlign w:val="center"/>
          </w:tcPr>
          <w:p w14:paraId="04C6F729">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w:t>
            </w:r>
            <w:r>
              <w:rPr>
                <w:rFonts w:hint="eastAsia" w:ascii="宋体" w:hAnsi="宋体" w:eastAsia="宋体" w:cs="宋体"/>
                <w:color w:val="auto"/>
                <w:spacing w:val="-6"/>
                <w:kern w:val="0"/>
                <w:szCs w:val="21"/>
                <w:highlight w:val="none"/>
              </w:rPr>
              <w:tab/>
            </w:r>
          </w:p>
        </w:tc>
      </w:tr>
      <w:tr w14:paraId="4EC261F6">
        <w:tblPrEx>
          <w:tblCellMar>
            <w:top w:w="0" w:type="dxa"/>
            <w:left w:w="108" w:type="dxa"/>
            <w:bottom w:w="0" w:type="dxa"/>
            <w:right w:w="108" w:type="dxa"/>
          </w:tblCellMar>
        </w:tblPrEx>
        <w:trPr>
          <w:jc w:val="center"/>
        </w:trPr>
        <w:tc>
          <w:tcPr>
            <w:tcW w:w="5073" w:type="dxa"/>
            <w:vAlign w:val="center"/>
          </w:tcPr>
          <w:p w14:paraId="64C6C760">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帐号：1202026209008806216</w:t>
            </w:r>
          </w:p>
        </w:tc>
        <w:tc>
          <w:tcPr>
            <w:tcW w:w="4176" w:type="dxa"/>
            <w:vAlign w:val="center"/>
          </w:tcPr>
          <w:p w14:paraId="385D296F">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w:t>
            </w:r>
          </w:p>
        </w:tc>
      </w:tr>
      <w:tr w14:paraId="48DF3FA2">
        <w:tblPrEx>
          <w:tblCellMar>
            <w:top w:w="0" w:type="dxa"/>
            <w:left w:w="108" w:type="dxa"/>
            <w:bottom w:w="0" w:type="dxa"/>
            <w:right w:w="108" w:type="dxa"/>
          </w:tblCellMar>
        </w:tblPrEx>
        <w:trPr>
          <w:jc w:val="center"/>
        </w:trPr>
        <w:tc>
          <w:tcPr>
            <w:tcW w:w="5073" w:type="dxa"/>
            <w:vAlign w:val="center"/>
          </w:tcPr>
          <w:p w14:paraId="1955DE3E">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c>
          <w:tcPr>
            <w:tcW w:w="4176" w:type="dxa"/>
            <w:vAlign w:val="center"/>
          </w:tcPr>
          <w:p w14:paraId="791E50D3">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r w14:paraId="7B2E1AB8">
        <w:tblPrEx>
          <w:tblCellMar>
            <w:top w:w="0" w:type="dxa"/>
            <w:left w:w="108" w:type="dxa"/>
            <w:bottom w:w="0" w:type="dxa"/>
            <w:right w:w="108" w:type="dxa"/>
          </w:tblCellMar>
        </w:tblPrEx>
        <w:trPr>
          <w:jc w:val="center"/>
        </w:trPr>
        <w:tc>
          <w:tcPr>
            <w:tcW w:w="9249" w:type="dxa"/>
            <w:gridSpan w:val="2"/>
            <w:vAlign w:val="center"/>
          </w:tcPr>
          <w:p w14:paraId="5199BF4B">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p>
        </w:tc>
      </w:tr>
      <w:tr w14:paraId="69F63A9C">
        <w:tblPrEx>
          <w:tblCellMar>
            <w:top w:w="0" w:type="dxa"/>
            <w:left w:w="108" w:type="dxa"/>
            <w:bottom w:w="0" w:type="dxa"/>
            <w:right w:w="108" w:type="dxa"/>
          </w:tblCellMar>
        </w:tblPrEx>
        <w:trPr>
          <w:jc w:val="center"/>
        </w:trPr>
        <w:tc>
          <w:tcPr>
            <w:tcW w:w="5073" w:type="dxa"/>
          </w:tcPr>
          <w:p w14:paraId="3373A79E">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丙方（公章）： </w:t>
            </w:r>
          </w:p>
        </w:tc>
        <w:tc>
          <w:tcPr>
            <w:tcW w:w="4176" w:type="dxa"/>
            <w:vMerge w:val="restart"/>
          </w:tcPr>
          <w:p w14:paraId="46656FCB">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合同鉴证方（公章）： </w:t>
            </w:r>
          </w:p>
          <w:p w14:paraId="5CFAC61E">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代表人：</w:t>
            </w:r>
          </w:p>
          <w:p w14:paraId="33A289D9">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p w14:paraId="761FDD9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地址：  </w:t>
            </w:r>
          </w:p>
          <w:p w14:paraId="3F8D628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r>
      <w:tr w14:paraId="75DD291C">
        <w:tblPrEx>
          <w:tblCellMar>
            <w:top w:w="0" w:type="dxa"/>
            <w:left w:w="108" w:type="dxa"/>
            <w:bottom w:w="0" w:type="dxa"/>
            <w:right w:w="108" w:type="dxa"/>
          </w:tblCellMar>
        </w:tblPrEx>
        <w:trPr>
          <w:jc w:val="center"/>
        </w:trPr>
        <w:tc>
          <w:tcPr>
            <w:tcW w:w="5073" w:type="dxa"/>
          </w:tcPr>
          <w:p w14:paraId="2FC72606">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法定（授权）代表人：</w:t>
            </w:r>
          </w:p>
          <w:p w14:paraId="37F422C4">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Merge w:val="continue"/>
          </w:tcPr>
          <w:p w14:paraId="2E19C293">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p>
        </w:tc>
      </w:tr>
      <w:tr w14:paraId="394E157A">
        <w:tblPrEx>
          <w:tblCellMar>
            <w:top w:w="0" w:type="dxa"/>
            <w:left w:w="108" w:type="dxa"/>
            <w:bottom w:w="0" w:type="dxa"/>
            <w:right w:w="108" w:type="dxa"/>
          </w:tblCellMar>
        </w:tblPrEx>
        <w:trPr>
          <w:jc w:val="center"/>
        </w:trPr>
        <w:tc>
          <w:tcPr>
            <w:tcW w:w="5073" w:type="dxa"/>
          </w:tcPr>
          <w:p w14:paraId="20652F60">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地址：  </w:t>
            </w:r>
          </w:p>
        </w:tc>
        <w:tc>
          <w:tcPr>
            <w:tcW w:w="4176" w:type="dxa"/>
            <w:vMerge w:val="continue"/>
          </w:tcPr>
          <w:p w14:paraId="42DE8791">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p>
        </w:tc>
      </w:tr>
      <w:tr w14:paraId="4C19F3DB">
        <w:tblPrEx>
          <w:tblCellMar>
            <w:top w:w="0" w:type="dxa"/>
            <w:left w:w="108" w:type="dxa"/>
            <w:bottom w:w="0" w:type="dxa"/>
            <w:right w:w="108" w:type="dxa"/>
          </w:tblCellMar>
        </w:tblPrEx>
        <w:trPr>
          <w:jc w:val="center"/>
        </w:trPr>
        <w:tc>
          <w:tcPr>
            <w:tcW w:w="5073" w:type="dxa"/>
          </w:tcPr>
          <w:p w14:paraId="0FFEB81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Merge w:val="continue"/>
          </w:tcPr>
          <w:p w14:paraId="35260366">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p>
        </w:tc>
      </w:tr>
      <w:tr w14:paraId="356305D2">
        <w:tblPrEx>
          <w:tblCellMar>
            <w:top w:w="0" w:type="dxa"/>
            <w:left w:w="108" w:type="dxa"/>
            <w:bottom w:w="0" w:type="dxa"/>
            <w:right w:w="108" w:type="dxa"/>
          </w:tblCellMar>
        </w:tblPrEx>
        <w:trPr>
          <w:jc w:val="center"/>
        </w:trPr>
        <w:tc>
          <w:tcPr>
            <w:tcW w:w="5073" w:type="dxa"/>
          </w:tcPr>
          <w:p w14:paraId="1AF3B05A">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 </w:t>
            </w:r>
          </w:p>
        </w:tc>
        <w:tc>
          <w:tcPr>
            <w:tcW w:w="4176" w:type="dxa"/>
            <w:vMerge w:val="restart"/>
          </w:tcPr>
          <w:p w14:paraId="2D100213">
            <w:pPr>
              <w:keepNext w:val="0"/>
              <w:keepLines w:val="0"/>
              <w:suppressLineNumbers w:val="0"/>
              <w:snapToGrid w:val="0"/>
              <w:spacing w:before="0" w:beforeAutospacing="0" w:after="0" w:afterAutospacing="0" w:line="288" w:lineRule="auto"/>
              <w:ind w:left="194" w:right="0"/>
              <w:rPr>
                <w:rFonts w:hint="default" w:ascii="宋体" w:hAnsi="宋体" w:eastAsia="宋体" w:cs="宋体"/>
                <w:color w:val="auto"/>
                <w:spacing w:val="-6"/>
                <w:kern w:val="0"/>
                <w:szCs w:val="21"/>
                <w:highlight w:val="none"/>
              </w:rPr>
            </w:pPr>
          </w:p>
        </w:tc>
      </w:tr>
      <w:tr w14:paraId="744AC0E5">
        <w:tblPrEx>
          <w:tblCellMar>
            <w:top w:w="0" w:type="dxa"/>
            <w:left w:w="108" w:type="dxa"/>
            <w:bottom w:w="0" w:type="dxa"/>
            <w:right w:w="108" w:type="dxa"/>
          </w:tblCellMar>
        </w:tblPrEx>
        <w:trPr>
          <w:jc w:val="center"/>
        </w:trPr>
        <w:tc>
          <w:tcPr>
            <w:tcW w:w="5073" w:type="dxa"/>
          </w:tcPr>
          <w:p w14:paraId="16019B2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帐号： </w:t>
            </w:r>
          </w:p>
        </w:tc>
        <w:tc>
          <w:tcPr>
            <w:tcW w:w="4176" w:type="dxa"/>
            <w:vMerge w:val="continue"/>
            <w:vAlign w:val="center"/>
          </w:tcPr>
          <w:p w14:paraId="31461C5A">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p>
        </w:tc>
      </w:tr>
      <w:tr w14:paraId="6A383A5D">
        <w:tblPrEx>
          <w:tblCellMar>
            <w:top w:w="0" w:type="dxa"/>
            <w:left w:w="108" w:type="dxa"/>
            <w:bottom w:w="0" w:type="dxa"/>
            <w:right w:w="108" w:type="dxa"/>
          </w:tblCellMar>
        </w:tblPrEx>
        <w:trPr>
          <w:jc w:val="center"/>
        </w:trPr>
        <w:tc>
          <w:tcPr>
            <w:tcW w:w="5073" w:type="dxa"/>
          </w:tcPr>
          <w:p w14:paraId="59570370">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签约时间：     年   月    日</w:t>
            </w:r>
          </w:p>
        </w:tc>
        <w:tc>
          <w:tcPr>
            <w:tcW w:w="4176" w:type="dxa"/>
          </w:tcPr>
          <w:p w14:paraId="495B6D75">
            <w:pPr>
              <w:keepNext w:val="0"/>
              <w:keepLines w:val="0"/>
              <w:suppressLineNumbers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签约时间：     年   月    日</w:t>
            </w:r>
          </w:p>
        </w:tc>
      </w:tr>
    </w:tbl>
    <w:p w14:paraId="151C430A">
      <w:pPr>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br w:type="page"/>
      </w:r>
    </w:p>
    <w:p w14:paraId="374504AC">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71F52096">
      <w:pPr>
        <w:adjustRightInd w:val="0"/>
        <w:snapToGrid w:val="0"/>
        <w:spacing w:line="288" w:lineRule="auto"/>
        <w:rPr>
          <w:rFonts w:ascii="宋体" w:hAnsi="宋体" w:eastAsia="宋体" w:cs="Times New Roman"/>
          <w:b/>
          <w:bCs/>
          <w:color w:val="auto"/>
          <w:spacing w:val="-6"/>
          <w:sz w:val="24"/>
          <w:szCs w:val="24"/>
          <w:highlight w:val="none"/>
        </w:rPr>
      </w:pPr>
    </w:p>
    <w:p w14:paraId="77A61967">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37FA49C4">
      <w:pPr>
        <w:adjustRightInd w:val="0"/>
        <w:snapToGrid w:val="0"/>
        <w:spacing w:line="288" w:lineRule="auto"/>
        <w:rPr>
          <w:rFonts w:ascii="宋体" w:hAnsi="宋体" w:eastAsia="宋体" w:cs="Times New Roman"/>
          <w:b/>
          <w:bCs/>
          <w:color w:val="auto"/>
          <w:spacing w:val="-6"/>
          <w:sz w:val="24"/>
          <w:szCs w:val="24"/>
          <w:highlight w:val="none"/>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519EF724">
      <w:pPr>
        <w:adjustRightInd w:val="0"/>
        <w:snapToGrid w:val="0"/>
        <w:spacing w:line="288" w:lineRule="auto"/>
        <w:jc w:val="left"/>
        <w:rPr>
          <w:rFonts w:ascii="宋体" w:hAnsi="宋体" w:eastAsia="宋体" w:cs="宋体"/>
          <w:b/>
          <w:color w:val="auto"/>
          <w:spacing w:val="-6"/>
          <w:szCs w:val="21"/>
          <w:highlight w:val="none"/>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2024年1月（含）</w:t>
      </w:r>
      <w:r>
        <w:rPr>
          <w:rFonts w:ascii="宋体" w:hAnsi="宋体" w:eastAsia="宋体" w:cs="Times New Roman"/>
          <w:color w:val="auto"/>
          <w:spacing w:val="-6"/>
          <w:szCs w:val="21"/>
          <w:highlight w:val="none"/>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lang w:val="en-US" w:eastAsia="zh-CN"/>
        </w:rPr>
        <w:t>标的</w:t>
      </w:r>
      <w:r>
        <w:rPr>
          <w:rFonts w:hint="eastAsia" w:ascii="宋体" w:hAnsi="宋体" w:eastAsia="宋体" w:cs="宋体"/>
          <w:color w:val="auto"/>
          <w:szCs w:val="21"/>
          <w:highlight w:val="none"/>
        </w:rPr>
        <w:t>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14:paraId="02E2555D">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highlight w:val="none"/>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64206A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5C2BCDD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）中小企业声明函</w:t>
      </w:r>
      <w:bookmarkStart w:id="77" w:name="_Hlk81815656"/>
      <w:r>
        <w:rPr>
          <w:rFonts w:hint="eastAsia" w:ascii="宋体" w:hAnsi="宋体" w:eastAsia="宋体" w:cs="Times New Roman"/>
          <w:color w:val="auto"/>
          <w:spacing w:val="-6"/>
          <w:szCs w:val="21"/>
          <w:highlight w:val="none"/>
        </w:rPr>
        <w:t>（若属于中小企业）</w:t>
      </w:r>
      <w:bookmarkEnd w:id="77"/>
    </w:p>
    <w:p w14:paraId="2B8774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）属于监狱企业的证明文件</w:t>
      </w:r>
      <w:bookmarkStart w:id="78" w:name="_Hlk81815359"/>
      <w:r>
        <w:rPr>
          <w:rFonts w:hint="eastAsia" w:ascii="宋体" w:hAnsi="宋体" w:eastAsia="宋体" w:cs="Times New Roman"/>
          <w:color w:val="auto"/>
          <w:spacing w:val="-6"/>
          <w:szCs w:val="21"/>
          <w:highlight w:val="none"/>
        </w:rPr>
        <w:t>（若属于监狱企业）</w:t>
      </w:r>
      <w:bookmarkEnd w:id="78"/>
    </w:p>
    <w:p w14:paraId="52033B6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w:t>
      </w:r>
      <w:bookmarkStart w:id="79" w:name="OLE_LINK14"/>
      <w:bookmarkStart w:id="80" w:name="OLE_LINK13"/>
      <w:r>
        <w:rPr>
          <w:rFonts w:hint="eastAsia" w:ascii="宋体" w:hAnsi="宋体" w:eastAsia="宋体" w:cs="Times New Roman"/>
          <w:color w:val="auto"/>
          <w:spacing w:val="-6"/>
          <w:szCs w:val="21"/>
          <w:highlight w:val="none"/>
        </w:rPr>
        <w:t>残疾人福利性单位声明函</w:t>
      </w:r>
      <w:bookmarkEnd w:id="79"/>
      <w:bookmarkEnd w:id="80"/>
      <w:bookmarkStart w:id="81" w:name="_Hlk81815372"/>
      <w:r>
        <w:rPr>
          <w:rFonts w:hint="eastAsia" w:ascii="宋体" w:hAnsi="宋体" w:eastAsia="宋体" w:cs="Times New Roman"/>
          <w:color w:val="auto"/>
          <w:spacing w:val="-6"/>
          <w:szCs w:val="21"/>
          <w:highlight w:val="none"/>
        </w:rPr>
        <w:t>（若属于残疾人福利性单位）</w:t>
      </w:r>
      <w:bookmarkEnd w:id="81"/>
    </w:p>
    <w:p w14:paraId="3BDB16B3">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14:paraId="67490BE6">
      <w:pPr>
        <w:adjustRightInd w:val="0"/>
        <w:snapToGrid w:val="0"/>
        <w:spacing w:line="288" w:lineRule="auto"/>
        <w:rPr>
          <w:rFonts w:ascii="宋体" w:hAnsi="宋体" w:eastAsia="宋体" w:cs="Times New Roman"/>
          <w:color w:val="auto"/>
          <w:spacing w:val="-6"/>
          <w:szCs w:val="21"/>
          <w:highlight w:val="none"/>
        </w:rPr>
      </w:pPr>
    </w:p>
    <w:p w14:paraId="7CEAFD55">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2DE1C806">
      <w:pPr>
        <w:adjustRightInd w:val="0"/>
        <w:snapToGrid w:val="0"/>
        <w:spacing w:line="288" w:lineRule="auto"/>
        <w:jc w:val="center"/>
        <w:rPr>
          <w:rFonts w:ascii="宋体" w:hAnsi="宋体" w:eastAsia="宋体" w:cs="宋体"/>
          <w:b/>
          <w:bCs/>
          <w:color w:val="auto"/>
          <w:sz w:val="24"/>
          <w:szCs w:val="24"/>
          <w:highlight w:val="none"/>
        </w:rPr>
      </w:pPr>
    </w:p>
    <w:p w14:paraId="1C71A8AA">
      <w:pPr>
        <w:adjustRightInd w:val="0"/>
        <w:snapToGrid w:val="0"/>
        <w:spacing w:line="288" w:lineRule="auto"/>
        <w:jc w:val="center"/>
        <w:rPr>
          <w:rFonts w:ascii="宋体" w:hAnsi="宋体" w:eastAsia="宋体" w:cs="宋体"/>
          <w:b/>
          <w:bCs/>
          <w:color w:val="auto"/>
          <w:sz w:val="24"/>
          <w:szCs w:val="24"/>
          <w:highlight w:val="none"/>
        </w:rPr>
      </w:pPr>
    </w:p>
    <w:p w14:paraId="2BED115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94DA53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5261C871">
      <w:pPr>
        <w:adjustRightInd w:val="0"/>
        <w:snapToGrid w:val="0"/>
        <w:spacing w:line="288" w:lineRule="auto"/>
        <w:rPr>
          <w:rFonts w:ascii="宋体" w:hAnsi="宋体" w:eastAsia="宋体" w:cs="Times New Roman"/>
          <w:bCs/>
          <w:color w:val="auto"/>
          <w:spacing w:val="-6"/>
          <w:szCs w:val="21"/>
          <w:highlight w:val="none"/>
        </w:rPr>
      </w:pPr>
    </w:p>
    <w:p w14:paraId="4C6928BE">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highlight w:val="none"/>
        </w:rPr>
      </w:pPr>
    </w:p>
    <w:p w14:paraId="09AC6A6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0FEAEB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highlight w:val="none"/>
        </w:rPr>
      </w:pPr>
    </w:p>
    <w:p w14:paraId="03BE7C8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20F760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9459AC8">
      <w:pPr>
        <w:widowControl/>
        <w:adjustRightInd w:val="0"/>
        <w:snapToGrid w:val="0"/>
        <w:spacing w:line="288" w:lineRule="auto"/>
        <w:jc w:val="left"/>
        <w:rPr>
          <w:rFonts w:ascii="宋体" w:hAnsi="宋体" w:eastAsia="宋体" w:cs="宋体"/>
          <w:b/>
          <w:color w:val="auto"/>
          <w:spacing w:val="-6"/>
          <w:szCs w:val="21"/>
          <w:highlight w:val="none"/>
        </w:rPr>
      </w:pPr>
    </w:p>
    <w:p w14:paraId="5155161B">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0E71DE98">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14:paraId="491CAB50">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5614A04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869C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195725A9">
      <w:pPr>
        <w:adjustRightInd w:val="0"/>
        <w:snapToGrid w:val="0"/>
        <w:spacing w:line="288" w:lineRule="auto"/>
        <w:rPr>
          <w:rFonts w:ascii="宋体" w:hAnsi="宋体" w:eastAsia="宋体" w:cs="Times New Roman"/>
          <w:color w:val="auto"/>
          <w:spacing w:val="-6"/>
          <w:szCs w:val="21"/>
          <w:highlight w:val="none"/>
        </w:rPr>
      </w:pPr>
    </w:p>
    <w:p w14:paraId="42C9782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highlight w:val="none"/>
        </w:rPr>
      </w:pPr>
    </w:p>
    <w:p w14:paraId="275A0B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杭州电子科技大学射频大功率器件测试系统</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QSZB-Z(H)-B24538(GK)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574EB41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14:paraId="69CF19CB">
      <w:pPr>
        <w:adjustRightInd w:val="0"/>
        <w:snapToGrid w:val="0"/>
        <w:spacing w:line="288" w:lineRule="auto"/>
        <w:rPr>
          <w:rFonts w:ascii="宋体" w:hAnsi="宋体" w:eastAsia="宋体" w:cs="Times New Roman"/>
          <w:color w:val="auto"/>
          <w:spacing w:val="-6"/>
          <w:szCs w:val="21"/>
          <w:highlight w:val="none"/>
        </w:rPr>
      </w:pPr>
    </w:p>
    <w:p w14:paraId="260DE583">
      <w:pPr>
        <w:adjustRightInd w:val="0"/>
        <w:snapToGrid w:val="0"/>
        <w:spacing w:line="288" w:lineRule="auto"/>
        <w:rPr>
          <w:rFonts w:ascii="宋体" w:hAnsi="宋体" w:eastAsia="宋体" w:cs="Times New Roman"/>
          <w:color w:val="auto"/>
          <w:spacing w:val="-6"/>
          <w:szCs w:val="21"/>
          <w:highlight w:val="none"/>
        </w:rPr>
      </w:pPr>
    </w:p>
    <w:p w14:paraId="318AB8C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90DE82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691ED2CB">
      <w:pPr>
        <w:adjustRightInd w:val="0"/>
        <w:snapToGrid w:val="0"/>
        <w:spacing w:line="288" w:lineRule="auto"/>
        <w:rPr>
          <w:rFonts w:ascii="宋体" w:hAnsi="宋体" w:eastAsia="宋体" w:cs="Times New Roman"/>
          <w:b/>
          <w:bCs/>
          <w:color w:val="auto"/>
          <w:spacing w:val="-6"/>
          <w:szCs w:val="21"/>
          <w:highlight w:val="none"/>
        </w:rPr>
      </w:pPr>
    </w:p>
    <w:p w14:paraId="66F419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杭州电子科技大学射频大功率器件测试系统</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QSZB-Z(H)-B24538(GK)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2024年1月（含）</w:t>
      </w:r>
      <w:r>
        <w:rPr>
          <w:rFonts w:hint="eastAsia" w:ascii="宋体" w:hAnsi="宋体" w:eastAsia="宋体" w:cs="Times New Roman"/>
          <w:color w:val="auto"/>
          <w:spacing w:val="-6"/>
          <w:szCs w:val="21"/>
          <w:highlight w:val="none"/>
          <w:u w:val="single"/>
        </w:rPr>
        <w:t>以后任意一月）。</w:t>
      </w:r>
    </w:p>
    <w:p w14:paraId="2E89BE72">
      <w:pPr>
        <w:adjustRightInd w:val="0"/>
        <w:snapToGrid w:val="0"/>
        <w:spacing w:line="288" w:lineRule="auto"/>
        <w:rPr>
          <w:rFonts w:ascii="宋体" w:hAnsi="宋体" w:eastAsia="宋体" w:cs="Times New Roman"/>
          <w:color w:val="auto"/>
          <w:spacing w:val="-6"/>
          <w:szCs w:val="21"/>
          <w:highlight w:val="none"/>
        </w:rPr>
      </w:pPr>
    </w:p>
    <w:p w14:paraId="279324C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A81CE9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D7AE31">
      <w:pPr>
        <w:adjustRightInd w:val="0"/>
        <w:snapToGrid w:val="0"/>
        <w:spacing w:line="288" w:lineRule="auto"/>
        <w:rPr>
          <w:rFonts w:ascii="宋体" w:hAnsi="宋体" w:eastAsia="宋体" w:cs="Times New Roman"/>
          <w:color w:val="auto"/>
          <w:szCs w:val="21"/>
          <w:highlight w:val="none"/>
        </w:rPr>
      </w:pPr>
    </w:p>
    <w:p w14:paraId="244DAF51">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C8AE6B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03C683F9">
      <w:pPr>
        <w:adjustRightInd w:val="0"/>
        <w:snapToGrid w:val="0"/>
        <w:spacing w:line="288" w:lineRule="auto"/>
        <w:rPr>
          <w:rFonts w:ascii="宋体" w:hAnsi="宋体" w:eastAsia="宋体" w:cs="Times New Roman"/>
          <w:color w:val="auto"/>
          <w:szCs w:val="21"/>
          <w:highlight w:val="none"/>
        </w:rPr>
      </w:pPr>
    </w:p>
    <w:p w14:paraId="60691A99">
      <w:pPr>
        <w:adjustRightInd w:val="0"/>
        <w:snapToGrid w:val="0"/>
        <w:spacing w:line="288" w:lineRule="auto"/>
        <w:rPr>
          <w:rFonts w:ascii="宋体" w:hAnsi="宋体" w:eastAsia="宋体" w:cs="Times New Roman"/>
          <w:color w:val="auto"/>
          <w:szCs w:val="21"/>
          <w:highlight w:val="none"/>
        </w:rPr>
      </w:pPr>
    </w:p>
    <w:p w14:paraId="6543E901">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3A614672">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7C366133">
      <w:pPr>
        <w:adjustRightInd w:val="0"/>
        <w:snapToGrid w:val="0"/>
        <w:spacing w:line="288" w:lineRule="auto"/>
        <w:rPr>
          <w:rFonts w:ascii="Times New Roman" w:hAnsi="Times New Roman" w:eastAsia="宋体" w:cs="Times New Roman"/>
          <w:color w:val="auto"/>
          <w:szCs w:val="21"/>
          <w:highlight w:val="none"/>
        </w:rPr>
      </w:pPr>
    </w:p>
    <w:p w14:paraId="0347B038">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1972D3BB">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2024年1月（含）</w:t>
      </w:r>
      <w:r>
        <w:rPr>
          <w:rFonts w:hint="eastAsia" w:ascii="宋体" w:hAnsi="宋体" w:eastAsia="宋体" w:cs="Times New Roman"/>
          <w:b/>
          <w:bCs/>
          <w:color w:val="auto"/>
          <w:szCs w:val="21"/>
          <w:highlight w:val="none"/>
        </w:rPr>
        <w:t>以后任意一月）</w:t>
      </w:r>
    </w:p>
    <w:p w14:paraId="63FFED4C">
      <w:pPr>
        <w:rPr>
          <w:rFonts w:ascii="Times New Roman" w:hAnsi="Times New Roman" w:eastAsia="宋体" w:cs="Times New Roman"/>
          <w:color w:val="auto"/>
          <w:szCs w:val="21"/>
          <w:highlight w:val="none"/>
        </w:rPr>
      </w:pPr>
    </w:p>
    <w:p w14:paraId="7DA4A075">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9E916A">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7BB882B0">
      <w:pPr>
        <w:adjustRightInd w:val="0"/>
        <w:snapToGrid w:val="0"/>
        <w:spacing w:line="288" w:lineRule="auto"/>
        <w:rPr>
          <w:rFonts w:ascii="宋体" w:hAnsi="宋体" w:eastAsia="宋体" w:cs="Times New Roman"/>
          <w:color w:val="auto"/>
          <w:szCs w:val="21"/>
          <w:highlight w:val="none"/>
        </w:rPr>
      </w:pPr>
    </w:p>
    <w:p w14:paraId="0A2D736E">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3C37947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highlight w:val="none"/>
        </w:rPr>
      </w:pPr>
    </w:p>
    <w:p w14:paraId="6E3DE3F5">
      <w:pPr>
        <w:adjustRightInd w:val="0"/>
        <w:snapToGrid w:val="0"/>
        <w:spacing w:line="288" w:lineRule="auto"/>
        <w:rPr>
          <w:rFonts w:ascii="宋体" w:hAnsi="宋体" w:eastAsia="宋体" w:cs="Times New Roman"/>
          <w:color w:val="auto"/>
          <w:spacing w:val="-6"/>
          <w:szCs w:val="21"/>
          <w:highlight w:val="none"/>
        </w:rPr>
      </w:pPr>
    </w:p>
    <w:p w14:paraId="1F46849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B92756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EE8409D">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7C1B9CC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418B24E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6B5CE839">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射频大功率器件测试系统</w:t>
      </w:r>
    </w:p>
    <w:p w14:paraId="1F7E0C6C">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QSZB-Z(H)-B24538(GK)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0DB592A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58B8E02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4091EEC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DD349F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486C04E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558791D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6A6779F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1C372D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0680D77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bl>
    <w:p w14:paraId="49E53099">
      <w:pPr>
        <w:adjustRightInd w:val="0"/>
        <w:snapToGrid w:val="0"/>
        <w:spacing w:line="288" w:lineRule="auto"/>
        <w:rPr>
          <w:rFonts w:ascii="宋体" w:hAnsi="宋体" w:eastAsia="宋体" w:cs="Times New Roman"/>
          <w:b/>
          <w:bCs/>
          <w:color w:val="auto"/>
          <w:spacing w:val="-6"/>
          <w:szCs w:val="21"/>
          <w:highlight w:val="none"/>
        </w:rPr>
      </w:pPr>
    </w:p>
    <w:p w14:paraId="59B65B8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1423DF9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00CE40A6">
      <w:pPr>
        <w:adjustRightInd w:val="0"/>
        <w:snapToGrid w:val="0"/>
        <w:spacing w:line="288" w:lineRule="auto"/>
        <w:rPr>
          <w:rFonts w:ascii="宋体" w:hAnsi="宋体" w:eastAsia="宋体" w:cs="Times New Roman"/>
          <w:color w:val="auto"/>
          <w:spacing w:val="-6"/>
          <w:szCs w:val="21"/>
          <w:highlight w:val="none"/>
        </w:rPr>
      </w:pPr>
    </w:p>
    <w:p w14:paraId="40D95B4E">
      <w:pPr>
        <w:adjustRightInd w:val="0"/>
        <w:snapToGrid w:val="0"/>
        <w:spacing w:line="288" w:lineRule="auto"/>
        <w:rPr>
          <w:rFonts w:ascii="宋体" w:hAnsi="宋体" w:eastAsia="宋体" w:cs="Times New Roman"/>
          <w:color w:val="auto"/>
          <w:spacing w:val="-6"/>
          <w:szCs w:val="21"/>
          <w:highlight w:val="none"/>
        </w:rPr>
      </w:pPr>
    </w:p>
    <w:p w14:paraId="48C4EFB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0C5435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B73E61F">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标的</w:t>
      </w:r>
      <w:r>
        <w:rPr>
          <w:rFonts w:hint="eastAsia" w:ascii="宋体" w:hAnsi="宋体" w:eastAsia="宋体" w:cs="宋体"/>
          <w:b/>
          <w:color w:val="auto"/>
          <w:spacing w:val="-6"/>
          <w:szCs w:val="21"/>
          <w:highlight w:val="none"/>
        </w:rPr>
        <w:t>配置清单</w:t>
      </w:r>
      <w:r>
        <w:rPr>
          <w:rFonts w:hint="eastAsia" w:ascii="宋体" w:hAnsi="宋体" w:eastAsia="宋体" w:cs="宋体"/>
          <w:color w:val="auto"/>
          <w:spacing w:val="-6"/>
          <w:szCs w:val="21"/>
          <w:highlight w:val="none"/>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bl>
    <w:p w14:paraId="620AEB82">
      <w:pPr>
        <w:adjustRightInd w:val="0"/>
        <w:snapToGrid w:val="0"/>
        <w:spacing w:line="288" w:lineRule="auto"/>
        <w:rPr>
          <w:rFonts w:ascii="宋体" w:hAnsi="宋体" w:eastAsia="宋体" w:cs="宋体"/>
          <w:color w:val="auto"/>
          <w:spacing w:val="-6"/>
          <w:szCs w:val="21"/>
          <w:highlight w:val="none"/>
        </w:rPr>
      </w:pPr>
    </w:p>
    <w:p w14:paraId="0AC09C55">
      <w:pPr>
        <w:adjustRightInd w:val="0"/>
        <w:snapToGrid w:val="0"/>
        <w:spacing w:line="360"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注：</w:t>
      </w:r>
    </w:p>
    <w:p w14:paraId="54D3D16A">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1.供应商应按照招标文件明确的标的清单填写此表；</w:t>
      </w:r>
    </w:p>
    <w:p w14:paraId="3FEE4730">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highlight w:val="none"/>
        </w:rPr>
      </w:pPr>
      <w:r>
        <w:rPr>
          <w:rFonts w:hint="eastAsia" w:ascii="宋体" w:hAnsi="宋体" w:eastAsia="宋体" w:cs="宋体"/>
          <w:bCs/>
          <w:color w:val="auto"/>
          <w:spacing w:val="-6"/>
          <w:szCs w:val="21"/>
          <w:highlight w:val="none"/>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color w:val="auto"/>
          <w:spacing w:val="-6"/>
          <w:szCs w:val="21"/>
          <w:highlight w:val="none"/>
        </w:rPr>
      </w:pPr>
    </w:p>
    <w:p w14:paraId="4019593B">
      <w:pPr>
        <w:adjustRightInd w:val="0"/>
        <w:snapToGrid w:val="0"/>
        <w:spacing w:line="288" w:lineRule="auto"/>
        <w:rPr>
          <w:rFonts w:hint="eastAsia" w:ascii="宋体" w:hAnsi="宋体" w:eastAsia="宋体" w:cs="Times New Roman"/>
          <w:b/>
          <w:bCs/>
          <w:color w:val="auto"/>
          <w:spacing w:val="-6"/>
          <w:szCs w:val="21"/>
          <w:highlight w:val="none"/>
        </w:rPr>
      </w:pPr>
    </w:p>
    <w:p w14:paraId="6027D0A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9776EE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14:paraId="4244FB24">
      <w:pPr>
        <w:adjustRightInd w:val="0"/>
        <w:snapToGrid w:val="0"/>
        <w:spacing w:line="288" w:lineRule="auto"/>
        <w:rPr>
          <w:rFonts w:ascii="宋体" w:hAnsi="宋体" w:eastAsia="宋体" w:cs="宋体"/>
          <w:color w:val="auto"/>
          <w:szCs w:val="21"/>
          <w:highlight w:val="none"/>
        </w:rPr>
      </w:pPr>
    </w:p>
    <w:p w14:paraId="3CF17650">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14:paraId="4A3D20F3">
      <w:pPr>
        <w:adjustRightInd w:val="0"/>
        <w:snapToGrid w:val="0"/>
        <w:spacing w:line="288" w:lineRule="auto"/>
        <w:rPr>
          <w:rFonts w:ascii="宋体" w:hAnsi="宋体" w:eastAsia="宋体" w:cs="宋体"/>
          <w:b/>
          <w:color w:val="auto"/>
          <w:spacing w:val="-6"/>
          <w:szCs w:val="21"/>
          <w:highlight w:val="none"/>
        </w:rPr>
      </w:pPr>
    </w:p>
    <w:p w14:paraId="59067040">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14:paraId="7E107322">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14:paraId="7AA3B0DC">
      <w:pPr>
        <w:adjustRightInd w:val="0"/>
        <w:snapToGrid w:val="0"/>
        <w:spacing w:line="288" w:lineRule="auto"/>
        <w:rPr>
          <w:rFonts w:ascii="宋体" w:hAnsi="宋体" w:eastAsia="宋体" w:cs="宋体"/>
          <w:b/>
          <w:color w:val="auto"/>
          <w:spacing w:val="-6"/>
          <w:szCs w:val="21"/>
          <w:highlight w:val="none"/>
        </w:rPr>
      </w:pPr>
    </w:p>
    <w:p w14:paraId="5F957607">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14:paraId="4DCA850A">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highlight w:val="none"/>
        </w:rPr>
      </w:pPr>
    </w:p>
    <w:p w14:paraId="278CC9F6">
      <w:pPr>
        <w:adjustRightInd w:val="0"/>
        <w:snapToGrid w:val="0"/>
        <w:spacing w:line="288" w:lineRule="auto"/>
        <w:rPr>
          <w:rFonts w:ascii="宋体" w:hAnsi="宋体" w:eastAsia="宋体" w:cs="Times New Roman"/>
          <w:b/>
          <w:color w:val="auto"/>
          <w:szCs w:val="21"/>
          <w:highlight w:val="none"/>
        </w:rPr>
      </w:pPr>
    </w:p>
    <w:p w14:paraId="3E31F522">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highlight w:val="none"/>
        </w:rPr>
      </w:pPr>
    </w:p>
    <w:p w14:paraId="455EFF2B">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highlight w:val="none"/>
        </w:rPr>
      </w:pPr>
    </w:p>
    <w:p w14:paraId="0145D06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553AF0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92C6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60A68CE1">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1D023D4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射频大功率器件测试系统</w:t>
      </w:r>
    </w:p>
    <w:p w14:paraId="4ADB52CD">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QSZB-Z(H)-B24538(GK)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82" w:name="_Hlk177717733"/>
            <w:r>
              <w:rPr>
                <w:rFonts w:hint="eastAsia" w:ascii="宋体" w:hAnsi="宋体" w:eastAsia="宋体" w:cs="宋体"/>
                <w:b/>
                <w:bCs/>
                <w:color w:val="auto"/>
                <w:sz w:val="21"/>
                <w:szCs w:val="21"/>
                <w:highlight w:val="none"/>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82"/>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14:paraId="0C631D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14:paraId="5FEFE13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3D76638D">
      <w:pPr>
        <w:adjustRightInd w:val="0"/>
        <w:snapToGrid w:val="0"/>
        <w:spacing w:line="288" w:lineRule="auto"/>
        <w:rPr>
          <w:rFonts w:ascii="宋体" w:hAnsi="宋体" w:eastAsia="宋体" w:cs="Times New Roman"/>
          <w:color w:val="auto"/>
          <w:spacing w:val="-6"/>
          <w:szCs w:val="21"/>
          <w:highlight w:val="none"/>
        </w:rPr>
      </w:pPr>
    </w:p>
    <w:p w14:paraId="42BE46DF">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7760D6D1">
      <w:pPr>
        <w:adjustRightInd w:val="0"/>
        <w:snapToGrid w:val="0"/>
        <w:spacing w:line="288"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highlight w:val="none"/>
        </w:rPr>
      </w:pPr>
    </w:p>
    <w:p w14:paraId="3753EC2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438256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F53AD4E">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5BFEEE6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w:t>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中小企业声明函（货物）</w:t>
      </w:r>
      <w:r>
        <w:rPr>
          <w:rFonts w:hint="eastAsia" w:ascii="宋体" w:hAnsi="宋体" w:eastAsia="宋体" w:cs="宋体"/>
          <w:b/>
          <w:color w:val="auto"/>
          <w:spacing w:val="-6"/>
          <w:szCs w:val="21"/>
          <w:highlight w:val="none"/>
        </w:rPr>
        <w:t>（若属于中小企业）</w:t>
      </w:r>
    </w:p>
    <w:p w14:paraId="444F3F7F">
      <w:pPr>
        <w:adjustRightInd w:val="0"/>
        <w:snapToGrid w:val="0"/>
        <w:spacing w:line="288" w:lineRule="auto"/>
        <w:ind w:firstLine="498" w:firstLineChars="236"/>
        <w:rPr>
          <w:rFonts w:ascii="宋体" w:hAnsi="宋体" w:eastAsia="宋体" w:cs="Times New Roman"/>
          <w:b/>
          <w:color w:val="auto"/>
          <w:szCs w:val="21"/>
          <w:highlight w:val="none"/>
        </w:rPr>
      </w:pPr>
    </w:p>
    <w:p w14:paraId="69E4B3BC">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color w:val="auto"/>
          <w:szCs w:val="21"/>
          <w:highlight w:val="none"/>
        </w:rPr>
        <w:t>本公司（联合体）郑重声</w:t>
      </w:r>
      <w:r>
        <w:rPr>
          <w:rFonts w:ascii="宋体" w:hAnsi="宋体" w:eastAsia="宋体" w:cs="Times New Roman"/>
          <w:i w:val="0"/>
          <w:iCs w:val="0"/>
          <w:color w:val="auto"/>
          <w:szCs w:val="21"/>
          <w:highlight w:val="none"/>
        </w:rPr>
        <w:t>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lang w:eastAsia="zh-CN"/>
        </w:rPr>
        <w:t>射频大功率器件测试系统</w:t>
      </w:r>
      <w:r>
        <w:rPr>
          <w:rFonts w:ascii="宋体" w:hAnsi="宋体" w:eastAsia="宋体" w:cs="Times New Roman"/>
          <w:i w:val="0"/>
          <w:iCs w:val="0"/>
          <w:color w:val="auto"/>
          <w:szCs w:val="21"/>
          <w:highlight w:val="none"/>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rPr>
        <w:t>矢量信号分析仪</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14:paraId="674F562F">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2.</w:t>
      </w:r>
      <w:r>
        <w:rPr>
          <w:rFonts w:hint="eastAsia" w:ascii="宋体" w:hAnsi="宋体" w:eastAsia="宋体" w:cs="Times New Roman"/>
          <w:i w:val="0"/>
          <w:iCs w:val="0"/>
          <w:color w:val="auto"/>
          <w:szCs w:val="21"/>
          <w:highlight w:val="none"/>
          <w:u w:val="single"/>
        </w:rPr>
        <w:t>矢量信号源</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14:paraId="4F27284F">
      <w:pPr>
        <w:adjustRightInd w:val="0"/>
        <w:snapToGrid w:val="0"/>
        <w:spacing w:line="288" w:lineRule="auto"/>
        <w:ind w:firstLine="495" w:firstLineChars="236"/>
        <w:rPr>
          <w:rFonts w:hint="eastAsia" w:ascii="宋体" w:hAnsi="宋体" w:eastAsia="宋体" w:cs="Times New Roman"/>
          <w:i w:val="0"/>
          <w:iCs w:val="0"/>
          <w:color w:val="auto"/>
          <w:szCs w:val="21"/>
          <w:highlight w:val="none"/>
          <w:lang w:eastAsia="zh-CN"/>
        </w:rPr>
      </w:pP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阻抗调谐器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lang w:eastAsia="zh-CN"/>
        </w:rPr>
        <w:t>。</w:t>
      </w:r>
    </w:p>
    <w:p w14:paraId="76933DCB">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w:t>
      </w:r>
      <w:r>
        <w:rPr>
          <w:rFonts w:ascii="宋体" w:hAnsi="宋体" w:eastAsia="宋体" w:cs="Times New Roman"/>
          <w:color w:val="auto"/>
          <w:szCs w:val="21"/>
          <w:highlight w:val="none"/>
        </w:rPr>
        <w:t>存在与大企业的负责人为同一人的情形。</w:t>
      </w:r>
    </w:p>
    <w:p w14:paraId="4CFE661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color w:val="auto"/>
          <w:szCs w:val="21"/>
          <w:highlight w:val="none"/>
        </w:rPr>
      </w:pPr>
    </w:p>
    <w:p w14:paraId="0619F3D2">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14:paraId="02BA4F93">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14:paraId="099EDE2D">
      <w:pPr>
        <w:adjustRightInd w:val="0"/>
        <w:snapToGrid w:val="0"/>
        <w:spacing w:line="288" w:lineRule="auto"/>
        <w:ind w:firstLine="495" w:firstLineChars="236"/>
        <w:rPr>
          <w:rFonts w:ascii="宋体" w:hAnsi="宋体" w:eastAsia="宋体" w:cs="Times New Roman"/>
          <w:color w:val="auto"/>
          <w:szCs w:val="21"/>
          <w:highlight w:val="none"/>
        </w:rPr>
      </w:pPr>
    </w:p>
    <w:p w14:paraId="0BC4BB44">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3F2B5A4A">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从业人员、营业收入、资产总额填报上一年度数据，无上一年度数据的新成立企业可不填报。</w:t>
      </w:r>
    </w:p>
    <w:p w14:paraId="469ED6D8">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中小企业参加政府采购活动，应当出具财库〔2020〕46号文件规定的《中小企业声明函》，否则不得享受相关中小企业扶持政策。</w:t>
      </w:r>
    </w:p>
    <w:p w14:paraId="7D33B776">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.本项目仅以《中小企业声明函》作为评判供应商是否属于中小企业的唯一依据。</w:t>
      </w:r>
    </w:p>
    <w:p w14:paraId="6FC69980">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.供应商提供《中小企业声明函》内容不实的，属于提供虚假材料谋取中标、成交，依照《中华人民共和国政府采购法》等国家有关规定追究相应责任。</w:t>
      </w:r>
    </w:p>
    <w:p w14:paraId="530312CA">
      <w:pPr>
        <w:adjustRightInd w:val="0"/>
        <w:snapToGrid w:val="0"/>
        <w:spacing w:line="288" w:lineRule="auto"/>
        <w:ind w:firstLine="495" w:firstLineChars="236"/>
        <w:rPr>
          <w:rFonts w:ascii="宋体" w:hAnsi="宋体" w:eastAsia="宋体"/>
          <w:color w:val="auto"/>
          <w:highlight w:val="none"/>
          <w:u w:val="single"/>
        </w:rPr>
      </w:pPr>
      <w:r>
        <w:rPr>
          <w:rFonts w:ascii="宋体" w:hAnsi="宋体" w:eastAsia="宋体" w:cs="Times New Roman"/>
          <w:color w:val="auto"/>
          <w:szCs w:val="21"/>
          <w:highlight w:val="none"/>
          <w:u w:val="single"/>
        </w:rPr>
        <w:t>5.</w:t>
      </w:r>
      <w:r>
        <w:rPr>
          <w:rFonts w:hint="eastAsia" w:ascii="宋体" w:hAnsi="宋体" w:eastAsia="宋体" w:cs="Times New Roman"/>
          <w:color w:val="auto"/>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olor w:val="auto"/>
          <w:highlight w:val="none"/>
          <w:u w:val="single"/>
        </w:rPr>
        <w:t>不享受中小企业扶持政策。</w:t>
      </w:r>
    </w:p>
    <w:p w14:paraId="76B9CD73">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Times New Roman"/>
          <w:color w:val="auto"/>
          <w:szCs w:val="21"/>
          <w:highlight w:val="none"/>
          <w:u w:val="single"/>
        </w:rPr>
        <w:t>6</w:t>
      </w:r>
      <w:r>
        <w:rPr>
          <w:rFonts w:ascii="宋体" w:hAnsi="宋体" w:eastAsia="宋体" w:cs="Times New Roman"/>
          <w:color w:val="auto"/>
          <w:szCs w:val="21"/>
          <w:highlight w:val="none"/>
          <w:u w:val="single"/>
        </w:rPr>
        <w:t>.如项目包含“多件”标的物的，需按标的物项数逐项填写。</w:t>
      </w:r>
    </w:p>
    <w:p w14:paraId="6C3F41D4">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2D713F21">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）属于监狱企业的证明文件（若属于监狱企业）</w:t>
      </w:r>
    </w:p>
    <w:p w14:paraId="338CC1CB">
      <w:pPr>
        <w:adjustRightInd w:val="0"/>
        <w:snapToGrid w:val="0"/>
        <w:spacing w:line="288" w:lineRule="auto"/>
        <w:rPr>
          <w:rFonts w:ascii="宋体" w:hAnsi="宋体" w:eastAsia="宋体" w:cs="宋体"/>
          <w:color w:val="auto"/>
          <w:kern w:val="0"/>
          <w:szCs w:val="21"/>
          <w:highlight w:val="none"/>
        </w:rPr>
      </w:pPr>
    </w:p>
    <w:p w14:paraId="5B8617AF">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color w:val="auto"/>
          <w:szCs w:val="21"/>
          <w:highlight w:val="none"/>
        </w:rPr>
      </w:pPr>
    </w:p>
    <w:p w14:paraId="68D881FA">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D5E2DE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）残疾人福利性单位声明函（若属于残疾人福利性单位）</w:t>
      </w:r>
    </w:p>
    <w:p w14:paraId="1B349927">
      <w:pPr>
        <w:adjustRightInd w:val="0"/>
        <w:snapToGrid w:val="0"/>
        <w:spacing w:line="288" w:lineRule="auto"/>
        <w:rPr>
          <w:rFonts w:ascii="宋体" w:hAnsi="宋体" w:eastAsia="宋体" w:cs="Times New Roman"/>
          <w:b/>
          <w:color w:val="auto"/>
          <w:spacing w:val="6"/>
          <w:szCs w:val="21"/>
          <w:highlight w:val="none"/>
        </w:rPr>
      </w:pPr>
    </w:p>
    <w:p w14:paraId="43A8AA8E">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342851E1">
      <w:pPr>
        <w:adjustRightInd w:val="0"/>
        <w:snapToGrid w:val="0"/>
        <w:spacing w:line="288" w:lineRule="auto"/>
        <w:rPr>
          <w:rFonts w:ascii="宋体" w:hAnsi="宋体" w:eastAsia="宋体"/>
          <w:color w:val="auto"/>
          <w:szCs w:val="21"/>
          <w:highlight w:val="none"/>
        </w:rPr>
      </w:pPr>
    </w:p>
    <w:p w14:paraId="194EFBD5">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37B0F58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14:paraId="01BBCD5F">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5DE13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0A23AF3">
      <w:pPr>
        <w:snapToGrid w:val="0"/>
        <w:spacing w:line="288" w:lineRule="auto"/>
        <w:rPr>
          <w:rFonts w:ascii="宋体" w:hAnsi="宋体" w:eastAsia="宋体" w:cs="仿宋_GB2312"/>
          <w:color w:val="auto"/>
          <w:szCs w:val="21"/>
          <w:highlight w:val="none"/>
          <w:u w:val="single"/>
        </w:rPr>
      </w:pPr>
    </w:p>
    <w:p w14:paraId="06230838">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636754D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0E8AB62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5DCA2BD2">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41F9735D">
      <w:pPr>
        <w:snapToGrid w:val="0"/>
        <w:spacing w:line="288" w:lineRule="auto"/>
        <w:rPr>
          <w:rFonts w:ascii="宋体" w:hAnsi="宋体" w:eastAsia="宋体" w:cs="宋体"/>
          <w:b/>
          <w:bCs/>
          <w:color w:val="auto"/>
          <w:szCs w:val="21"/>
          <w:highlight w:val="none"/>
        </w:rPr>
      </w:pPr>
    </w:p>
    <w:p w14:paraId="299B8C33">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p w14:paraId="74C0703D">
      <w:pPr>
        <w:snapToGrid w:val="0"/>
        <w:spacing w:line="288" w:lineRule="auto"/>
        <w:rPr>
          <w:rFonts w:ascii="宋体" w:hAnsi="宋体" w:eastAsia="宋体" w:cs="宋体"/>
          <w:color w:val="auto"/>
          <w:szCs w:val="21"/>
          <w:highlight w:val="none"/>
        </w:rPr>
      </w:pPr>
      <w:r>
        <w:rPr>
          <w:rFonts w:ascii="宋体" w:hAnsi="宋体" w:eastAsia="宋体" w:cs="Times New Roman"/>
          <w:b/>
          <w:bCs/>
          <w:color w:val="auto"/>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highlight w:val="none"/>
        </w:rPr>
        <w:t xml:space="preserve"> </w:t>
      </w:r>
      <w:r>
        <w:rPr>
          <w:rFonts w:ascii="宋体" w:hAnsi="宋体" w:eastAsia="宋体" w:cs="Times New Roman"/>
          <w:b/>
          <w:bCs/>
          <w:color w:val="auto"/>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325C4AE2">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2EDBDE">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19FA3C5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16CBBD6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325F83B6">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0A37C96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highlight w:val="none"/>
          <w:lang w:val="zh-CN"/>
        </w:rPr>
      </w:pPr>
    </w:p>
    <w:p w14:paraId="50157048">
      <w:pPr>
        <w:snapToGrid w:val="0"/>
        <w:spacing w:line="288" w:lineRule="auto"/>
        <w:ind w:firstLine="422" w:firstLineChars="201"/>
        <w:rPr>
          <w:rFonts w:ascii="宋体" w:hAnsi="宋体" w:eastAsia="宋体" w:cs="仿宋_GB2312"/>
          <w:color w:val="auto"/>
          <w:kern w:val="0"/>
          <w:szCs w:val="21"/>
          <w:highlight w:val="none"/>
          <w:lang w:val="zh-CN"/>
        </w:rPr>
      </w:pPr>
    </w:p>
    <w:p w14:paraId="27595E15">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highlight w:val="none"/>
          <w:lang w:val="zh-CN"/>
        </w:rPr>
      </w:pPr>
    </w:p>
    <w:p w14:paraId="191C763B">
      <w:pPr>
        <w:snapToGrid w:val="0"/>
        <w:spacing w:line="288" w:lineRule="auto"/>
        <w:ind w:firstLine="424" w:firstLineChars="201"/>
        <w:rPr>
          <w:rFonts w:ascii="宋体" w:hAnsi="宋体" w:eastAsia="宋体" w:cs="Times New Roman"/>
          <w:b/>
          <w:bCs/>
          <w:color w:val="auto"/>
          <w:szCs w:val="21"/>
          <w:highlight w:val="none"/>
        </w:rPr>
      </w:pPr>
    </w:p>
    <w:p w14:paraId="77AF9BF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0A150CD">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6520CE76">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635F132D">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6086E93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4176A19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462FF8F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D2D87A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18634A49">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15C1F58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7B13FE0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D04AC4">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E752B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A4D2BC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31C593C3">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3155885C">
      <w:pPr>
        <w:snapToGrid w:val="0"/>
        <w:spacing w:line="288" w:lineRule="auto"/>
        <w:rPr>
          <w:rFonts w:ascii="宋体" w:hAnsi="宋体" w:eastAsia="宋体" w:cs="仿宋_GB2312"/>
          <w:color w:val="auto"/>
          <w:kern w:val="0"/>
          <w:szCs w:val="21"/>
          <w:highlight w:val="none"/>
          <w:lang w:val="zh-CN"/>
        </w:rPr>
      </w:pPr>
    </w:p>
    <w:p w14:paraId="1D16F0E5">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42AADEC1">
      <w:pPr>
        <w:snapToGrid w:val="0"/>
        <w:spacing w:line="288" w:lineRule="auto"/>
        <w:ind w:firstLine="424" w:firstLineChars="201"/>
        <w:rPr>
          <w:rFonts w:ascii="宋体" w:hAnsi="宋体" w:eastAsia="宋体" w:cs="仿宋_GB2312"/>
          <w:b/>
          <w:bCs/>
          <w:color w:val="auto"/>
          <w:kern w:val="0"/>
          <w:szCs w:val="21"/>
          <w:highlight w:val="none"/>
          <w:lang w:val="zh-CN"/>
        </w:rPr>
      </w:pPr>
    </w:p>
    <w:p w14:paraId="0EFAAFAF">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169493F1">
      <w:pPr>
        <w:snapToGrid w:val="0"/>
        <w:spacing w:line="288" w:lineRule="auto"/>
        <w:rPr>
          <w:rFonts w:ascii="宋体" w:hAnsi="宋体" w:eastAsia="宋体" w:cs="仿宋_GB2312"/>
          <w:b/>
          <w:bCs/>
          <w:color w:val="auto"/>
          <w:kern w:val="0"/>
          <w:szCs w:val="21"/>
          <w:highlight w:val="none"/>
          <w:lang w:val="zh-CN"/>
        </w:rPr>
      </w:pPr>
    </w:p>
    <w:p w14:paraId="4F6AC4D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BCF6A0F">
      <w:pPr>
        <w:rPr>
          <w:rFonts w:ascii="等线" w:hAnsi="等线" w:eastAsia="等线" w:cs="Times New Roman"/>
          <w:color w:val="auto"/>
          <w:highlight w:val="none"/>
        </w:rPr>
      </w:pPr>
    </w:p>
    <w:p w14:paraId="650A653D">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B916D7"/>
    <w:rsid w:val="01F81427"/>
    <w:rsid w:val="01FA0E97"/>
    <w:rsid w:val="03295346"/>
    <w:rsid w:val="033E6895"/>
    <w:rsid w:val="03F93561"/>
    <w:rsid w:val="05D34727"/>
    <w:rsid w:val="05D9297D"/>
    <w:rsid w:val="07650D44"/>
    <w:rsid w:val="07903F4D"/>
    <w:rsid w:val="07DB5C37"/>
    <w:rsid w:val="08931933"/>
    <w:rsid w:val="0A8F0E99"/>
    <w:rsid w:val="0AF86D32"/>
    <w:rsid w:val="0B4A1776"/>
    <w:rsid w:val="0BD50265"/>
    <w:rsid w:val="0BEC010D"/>
    <w:rsid w:val="0C786503"/>
    <w:rsid w:val="0D1A04C9"/>
    <w:rsid w:val="10757130"/>
    <w:rsid w:val="112B34AD"/>
    <w:rsid w:val="11FF5827"/>
    <w:rsid w:val="12A72E93"/>
    <w:rsid w:val="17FE3AC4"/>
    <w:rsid w:val="18090C43"/>
    <w:rsid w:val="18FB5F15"/>
    <w:rsid w:val="1A266857"/>
    <w:rsid w:val="1B321622"/>
    <w:rsid w:val="1E452027"/>
    <w:rsid w:val="1EEB1A56"/>
    <w:rsid w:val="1F9C38D3"/>
    <w:rsid w:val="20767551"/>
    <w:rsid w:val="212705BE"/>
    <w:rsid w:val="21DB64E2"/>
    <w:rsid w:val="221C4C30"/>
    <w:rsid w:val="22A70B6C"/>
    <w:rsid w:val="22AD65CC"/>
    <w:rsid w:val="23C14303"/>
    <w:rsid w:val="23FF4622"/>
    <w:rsid w:val="2739657B"/>
    <w:rsid w:val="27432BC1"/>
    <w:rsid w:val="27F0275A"/>
    <w:rsid w:val="28580092"/>
    <w:rsid w:val="28BC23D4"/>
    <w:rsid w:val="29C063BB"/>
    <w:rsid w:val="2AA10ED5"/>
    <w:rsid w:val="2ADA0518"/>
    <w:rsid w:val="2C921974"/>
    <w:rsid w:val="2DBE14C9"/>
    <w:rsid w:val="2E2B31E3"/>
    <w:rsid w:val="2F380CDF"/>
    <w:rsid w:val="2F6A64D8"/>
    <w:rsid w:val="30616EA9"/>
    <w:rsid w:val="31A44D82"/>
    <w:rsid w:val="32BE120D"/>
    <w:rsid w:val="330C0EF9"/>
    <w:rsid w:val="33506DE6"/>
    <w:rsid w:val="34004E73"/>
    <w:rsid w:val="35194EAC"/>
    <w:rsid w:val="35A54CED"/>
    <w:rsid w:val="37534CA7"/>
    <w:rsid w:val="37D824F1"/>
    <w:rsid w:val="3AB64CE4"/>
    <w:rsid w:val="3B0C4DFA"/>
    <w:rsid w:val="3C4D26C6"/>
    <w:rsid w:val="3D044EFC"/>
    <w:rsid w:val="3E6946AD"/>
    <w:rsid w:val="3EB60CB3"/>
    <w:rsid w:val="3EC436F9"/>
    <w:rsid w:val="3F740895"/>
    <w:rsid w:val="3FB93DC6"/>
    <w:rsid w:val="402A691C"/>
    <w:rsid w:val="412F10C8"/>
    <w:rsid w:val="422E66F3"/>
    <w:rsid w:val="4275164D"/>
    <w:rsid w:val="42C63579"/>
    <w:rsid w:val="430A3262"/>
    <w:rsid w:val="46A824B9"/>
    <w:rsid w:val="46BB170B"/>
    <w:rsid w:val="47510906"/>
    <w:rsid w:val="47DF2143"/>
    <w:rsid w:val="495D70F7"/>
    <w:rsid w:val="498C1364"/>
    <w:rsid w:val="4B076C12"/>
    <w:rsid w:val="4B7D5F80"/>
    <w:rsid w:val="4BEB07F3"/>
    <w:rsid w:val="4BF40741"/>
    <w:rsid w:val="4C572107"/>
    <w:rsid w:val="4C5E019B"/>
    <w:rsid w:val="4F64249F"/>
    <w:rsid w:val="4F6E1200"/>
    <w:rsid w:val="4FEE189E"/>
    <w:rsid w:val="500B7C38"/>
    <w:rsid w:val="531658C0"/>
    <w:rsid w:val="5345653C"/>
    <w:rsid w:val="53F038EA"/>
    <w:rsid w:val="549F2962"/>
    <w:rsid w:val="54E01333"/>
    <w:rsid w:val="59BA69E3"/>
    <w:rsid w:val="5A661DF4"/>
    <w:rsid w:val="5ACF0178"/>
    <w:rsid w:val="5C0A34BD"/>
    <w:rsid w:val="5C3E17F9"/>
    <w:rsid w:val="5C483ABC"/>
    <w:rsid w:val="5D3A6920"/>
    <w:rsid w:val="5D8135CC"/>
    <w:rsid w:val="5DF10A2F"/>
    <w:rsid w:val="5ED57F57"/>
    <w:rsid w:val="5EF534F9"/>
    <w:rsid w:val="600446EC"/>
    <w:rsid w:val="600D2EE6"/>
    <w:rsid w:val="62005B45"/>
    <w:rsid w:val="621760F6"/>
    <w:rsid w:val="62246B60"/>
    <w:rsid w:val="644F1ACD"/>
    <w:rsid w:val="64AF6033"/>
    <w:rsid w:val="67060D39"/>
    <w:rsid w:val="67C34FEC"/>
    <w:rsid w:val="67FF1998"/>
    <w:rsid w:val="680D1D99"/>
    <w:rsid w:val="69431270"/>
    <w:rsid w:val="6A7F4F75"/>
    <w:rsid w:val="6ACA16F9"/>
    <w:rsid w:val="6B16774A"/>
    <w:rsid w:val="6C467142"/>
    <w:rsid w:val="6E1B545A"/>
    <w:rsid w:val="6ECE2681"/>
    <w:rsid w:val="72340F9C"/>
    <w:rsid w:val="774152C9"/>
    <w:rsid w:val="78B424E6"/>
    <w:rsid w:val="791B1593"/>
    <w:rsid w:val="793070F8"/>
    <w:rsid w:val="79D825C1"/>
    <w:rsid w:val="7B5D131E"/>
    <w:rsid w:val="7DB41B16"/>
    <w:rsid w:val="7DEB79E2"/>
    <w:rsid w:val="7DFC5027"/>
    <w:rsid w:val="7E002D54"/>
    <w:rsid w:val="7E2D1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56</Pages>
  <Words>36084</Words>
  <Characters>39164</Characters>
  <Lines>1</Lines>
  <Paragraphs>1</Paragraphs>
  <TotalTime>1</TotalTime>
  <ScaleCrop>false</ScaleCrop>
  <LinksUpToDate>false</LinksUpToDate>
  <CharactersWithSpaces>39952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俞炳</cp:lastModifiedBy>
  <cp:lastPrinted>2022-10-31T00:58:00Z</cp:lastPrinted>
  <dcterms:modified xsi:type="dcterms:W3CDTF">2024-10-31T06:38:51Z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B363B45C01FF4C5A8AB2573BD522DAF7</vt:lpwstr>
  </property>
</Properties>
</file>