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实验室智慧电控</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实验室智慧电控</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QSZB-Z(H)-B23452(CS)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[2023]80688号</w:t>
      </w:r>
      <w:bookmarkStart w:id="62" w:name="_GoBack"/>
      <w:bookmarkEnd w:id="62"/>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实验室智慧电控</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2023年11月14日13:30:00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28359002"/>
      <w:bookmarkStart w:id="2" w:name="_Toc28359079"/>
      <w:bookmarkStart w:id="3" w:name="_Toc35393790"/>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QSZB-Z(H)-B23452(CS)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999840元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最高限价：999840元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2023年12月8日前完成系统设备供货、安装、调试。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实验室智慧电控</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pPr>
        <w:adjustRightInd w:val="0"/>
        <w:snapToGrid w:val="0"/>
        <w:spacing w:line="288" w:lineRule="auto"/>
        <w:rPr>
          <w:b/>
          <w:color w:val="auto"/>
          <w:sz w:val="21"/>
          <w:szCs w:val="21"/>
          <w:highlight w:val="none"/>
        </w:rPr>
      </w:pPr>
      <w:bookmarkStart w:id="5" w:name="_Toc35393791"/>
      <w:bookmarkStart w:id="6" w:name="_Toc28359080"/>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04"/>
      <w:bookmarkStart w:id="10" w:name="_Toc28359081"/>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28359005"/>
      <w:bookmarkStart w:id="15" w:name="_Toc35393793"/>
      <w:bookmarkStart w:id="16" w:name="_Toc35393624"/>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2</w:t>
      </w:r>
      <w:r>
        <w:rPr>
          <w:rFonts w:hint="eastAsia"/>
          <w:color w:val="auto"/>
          <w:sz w:val="21"/>
          <w:szCs w:val="21"/>
          <w:highlight w:val="none"/>
        </w:rPr>
        <w:t>日至</w:t>
      </w:r>
      <w:r>
        <w:rPr>
          <w:rFonts w:hint="eastAsia"/>
          <w:color w:val="auto"/>
          <w:sz w:val="21"/>
          <w:szCs w:val="21"/>
          <w:highlight w:val="none"/>
          <w:lang w:eastAsia="zh-CN"/>
        </w:rPr>
        <w:t>2023年11月14日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2023年11月14日13:30:00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84"/>
      <w:bookmarkStart w:id="18" w:name="_Toc35393625"/>
      <w:bookmarkStart w:id="19" w:name="_Toc35393794"/>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2023年11月14日13:30:00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3</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08"/>
      <w:bookmarkStart w:id="25" w:name="_Toc35393796"/>
      <w:bookmarkStart w:id="26" w:name="_Toc35393627"/>
      <w:bookmarkStart w:id="27"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龚</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0571-86878686</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注：</w:t>
            </w:r>
            <w:r>
              <w:rPr>
                <w:rFonts w:hint="eastAsia"/>
                <w:color w:val="auto"/>
                <w:spacing w:val="-6"/>
                <w:kern w:val="0"/>
                <w:sz w:val="21"/>
                <w:szCs w:val="21"/>
                <w:highlight w:val="none"/>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eastAsia="zh-CN"/>
              </w:rPr>
              <w:t>2023年12月8日前完成系统设备供货、安装、调试。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r>
              <w:rPr>
                <w:rFonts w:hint="eastAsia"/>
                <w:color w:val="auto"/>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lang w:eastAsia="zh-CN"/>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eastAsia"/>
                <w:color w:val="auto"/>
                <w:sz w:val="21"/>
                <w:szCs w:val="21"/>
                <w:highlight w:val="none"/>
              </w:rPr>
              <w:t>上述内容的实现方式、时间、地点、人数应在响应文件中详细说明</w:t>
            </w:r>
            <w:r>
              <w:rPr>
                <w:rFonts w:hint="eastAsia"/>
                <w:color w:val="auto"/>
                <w:sz w:val="21"/>
                <w:szCs w:val="21"/>
                <w:highlight w:val="none"/>
                <w:lang w:eastAsia="zh-CN"/>
              </w:rPr>
              <w:t>。</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满足实验室智慧电控相关设备的使用需求。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1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智能数据存储网关</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8</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台</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1.设备供电：AC220V；</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2.标准2U机箱；</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3.通信协议：同时支持TCP/IP、CAN总线；</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4.外接接口：1路网口，2个USB接口，2路6线航空插座；</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bidi="ar"/>
              </w:rPr>
              <w:t>5.设备支持在400V供电电压下正常工作，设备浪涌（冲击）抗扰度达到≥</w:t>
            </w:r>
            <w:r>
              <w:rPr>
                <w:rFonts w:hint="eastAsia"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bidi="ar"/>
              </w:rPr>
              <w:t>级,设备电快速瞬变脉冲群抗扰度≥</w:t>
            </w:r>
            <w:r>
              <w:rPr>
                <w:rFonts w:hint="eastAsia" w:cs="宋体"/>
                <w:b/>
                <w:bCs/>
                <w:color w:val="auto"/>
                <w:kern w:val="0"/>
                <w:sz w:val="21"/>
                <w:szCs w:val="21"/>
                <w:highlight w:val="none"/>
                <w:lang w:val="en-US" w:eastAsia="zh-CN" w:bidi="ar"/>
              </w:rPr>
              <w:t>1</w:t>
            </w:r>
            <w:r>
              <w:rPr>
                <w:rFonts w:hint="eastAsia" w:ascii="宋体" w:hAnsi="宋体" w:eastAsia="宋体" w:cs="宋体"/>
                <w:b/>
                <w:bCs/>
                <w:color w:val="auto"/>
                <w:kern w:val="0"/>
                <w:sz w:val="21"/>
                <w:szCs w:val="21"/>
                <w:highlight w:val="none"/>
                <w:lang w:bidi="ar"/>
              </w:rPr>
              <w:t>级；</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6.设备具备离线运行功能，当设备与服务器连接中断时，可以根据预设的控制逻辑对电源、设备等进行管理控制；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7.在设备损坏的极端情况下，支持采用应急遥控钥匙的方式来实现电源、设备等进行一键开/关；</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8.具备web service标准数据接口；</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9.设备状态反馈功能，能实时反馈设备电源的开关状态，同时支持异常状态报警功能；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10.远程控制功能，可实现在具有权限的情况下，通过远程的电脑端或手机端发送的控制指令实现对实验室电源、设备使用状态的远程查看和控制，并可设置电源的常开、常闭状态；</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11.硬件看门狗，可对主机内操作系统状态进行实时监测，当发现系统出现崩溃或死机的情况，自动对系统进行重启，有效的保证设备功能的正常使用；</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12.来电自启功能，在市电中断且电池耗尽关机的情况下，市电恢复后，设备自行启动；</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13.数据自动采集存储功能，可对日常使用数据进行自动采集，并在本地存储，存储容量≥32Gb；</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14.门禁与电源身份认证触发方式至少支持刷卡、学号+密码输入、远程控制、策略控制4种方式；</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15.具备本地运算功能，可在本地完成所有控制逻辑的运算处理，根据系统平台课表信息、预约信息、临时策略等自动进行权限分配；</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16.支持数据交互功能，在网络正常的情况下，存储网关与实验室管理支撑平台数据按设置时间进行同步，当网络中断时，存储网关装置的使用和控制数据本地存储，网络恢复后，实时同步至平台；</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混合多路电源控制箱</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24</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台</w:t>
            </w:r>
          </w:p>
        </w:tc>
        <w:tc>
          <w:tcPr>
            <w:tcW w:w="6269" w:type="dxa"/>
          </w:tcPr>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1.支持输入：220V/380V/AC 1路输入，220V/16A、40A，380V/25A、45A/AC，5路任意规格的输出（混合控电）；</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2.电源输出独立控制，可以监测每一路的通断状态；</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3.具备应急强制遥控通电/断电、开门/关门功能；</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4.具备漏电保护、过载保护等安全措施；</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5.采用CAN总线通讯协议进行数据传输；</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5.环境温度：-3℃～40℃</w:t>
            </w:r>
            <w:r>
              <w:rPr>
                <w:rFonts w:hint="eastAsia" w:ascii="宋体" w:hAnsi="宋体" w:eastAsia="宋体" w:cs="宋体"/>
                <w:color w:val="auto"/>
                <w:kern w:val="0"/>
                <w:sz w:val="21"/>
                <w:szCs w:val="21"/>
                <w:highlight w:val="none"/>
                <w:lang w:eastAsia="zh-CN" w:bidi="ar"/>
              </w:rPr>
              <w:t>。</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智能交互式显示终端</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22</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1.屏幕尺寸：≥7寸</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2.分辨率：≥800*480，单色显示；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3.设备供电：12V直流输入；</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4.通讯协议：CAN总线通讯；</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5.二维码动态显示功能，配合手机APP扫码人员签到功能；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6.支持甲醛、PM2.5及其他类型传感器的接入，并可对监测数值进行实时显示；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7.标配温湿度传感器，并进行实时显示；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8.支持在一定时间无人使用情况下，自动熄屏，触摸唤醒。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N₂气体传感器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5</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3.监测气体种类：N₂；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O₂气体传感器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3.监测气体种类：O₂；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Ar气体传感器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6</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3.监测气体种类：Ar；</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H₂气体传感器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2</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3.监测气体种类：H₂；</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CH₄气体传感器</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1.通道数量：1路；</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2.通讯协议：CAN总线；</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3.监测气体种类：CH₄；</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4.波特率：2400、4800（默认）、9600；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5.分辨率：0.01mg/m3；</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6.精度：±10%；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7.测量方式：电化学；</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8.供电电源：12-24VDC；</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9.耗电：≤1.5W（@12V DC , 25℃）；</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10.运行温度：0℃至50℃；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11.工作湿度环境：15-90%RH（相对湿度）、无凝结；</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12.工作压力范围：标准大气压±10%；</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13.响应速度：≤90S；</w:t>
            </w:r>
            <w:r>
              <w:rPr>
                <w:rFonts w:hint="eastAsia" w:ascii="宋体" w:hAnsi="宋体" w:eastAsia="宋体" w:cs="宋体"/>
                <w:color w:val="auto"/>
                <w:sz w:val="21"/>
                <w:szCs w:val="21"/>
                <w:highlight w:val="none"/>
                <w:lang w:bidi="ar"/>
              </w:rPr>
              <w:br w:type="textWrapping"/>
            </w:r>
            <w:r>
              <w:rPr>
                <w:rFonts w:hint="eastAsia" w:ascii="宋体" w:hAnsi="宋体" w:eastAsia="宋体" w:cs="宋体"/>
                <w:color w:val="auto"/>
                <w:sz w:val="21"/>
                <w:szCs w:val="21"/>
                <w:highlight w:val="none"/>
                <w:lang w:bidi="ar"/>
              </w:rPr>
              <w:t>14.数据上传：记录间隔时间支持1-30秒的自由设置，数据直接上传服务器，数据永不丢失。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9</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应急遥控</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8</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个</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1.屏幕：≥3.5寸液晶屏幕显示；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2.控制方式：电阻触摸；</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3.自带一键开机、关机按钮；</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4.自带遥控、手电筒、时钟、房间列表管理、设备调试等功能，支持红外学习与控制功能；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5.支持本设备实现对门禁、电源的一键开/关控制；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6.自带存储功能，支持编辑房间信息，内存可拓展；</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7.遥控距离：空旷无遮挡情况下，最远通讯距离可达3km；</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8.支持CAN总线、LoRa通讯协议；</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9.自带电池供电，待机时间≥1个月，支持USB充电。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8"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kern w:val="0"/>
                <w:sz w:val="21"/>
                <w:szCs w:val="21"/>
                <w:highlight w:val="none"/>
                <w:lang w:bidi="ar"/>
              </w:rPr>
            </w:pPr>
            <w:r>
              <w:rPr>
                <w:rFonts w:hint="eastAsia" w:ascii="宋体" w:hAnsi="宋体" w:eastAsia="宋体" w:cs="宋体"/>
                <w:b/>
                <w:bCs/>
                <w:color w:val="auto"/>
                <w:kern w:val="0"/>
                <w:sz w:val="21"/>
                <w:szCs w:val="21"/>
                <w:highlight w:val="none"/>
                <w:lang w:bidi="ar"/>
              </w:rPr>
              <w:t>智慧实验室支撑平台</w:t>
            </w:r>
          </w:p>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（核心产品）</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套</w:t>
            </w:r>
          </w:p>
        </w:tc>
        <w:tc>
          <w:tcPr>
            <w:tcW w:w="6269" w:type="dxa"/>
          </w:tcPr>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1.平台支持对专业，班级，用户，房间，电源、气体传感器、智能交互式显示终端等对象的远程统一管理；</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2.支持组织架构管理，可按树状图自定义学校组织架构信息，如校区-院系-专业-楼栋-楼层-实验室等；</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3.支持用户权限角色管理，可定义系统操作人员的角色信息，包括管理员、学生、老师、校院领导等多级角色的划分，针对不同的角色设定初始的系统使用权限；</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4.支持流程自定义，可根据学校实际情况设计工作流程，满足学校个性化需求；</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支持信用评级体系，可设置信用总分，可按迟到、早退，爽约（预约了实验室但未到场）行为设置扣除分数，可自定义开放预约的最低信用分，低于标准信用分值的，禁止预约；对于禁止预约的用户，管理员可对其重新进行评估；（提供功能截图并加盖公章）</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6.具备实验室课程管理功能，支持手动排课，也支持通过EXCEL表格导入课程信息，并可统计课程的学生出勤率数据；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7.支持</w:t>
            </w:r>
            <w:r>
              <w:rPr>
                <w:rFonts w:hint="eastAsia" w:cs="宋体"/>
                <w:color w:val="auto"/>
                <w:kern w:val="0"/>
                <w:sz w:val="21"/>
                <w:szCs w:val="21"/>
                <w:highlight w:val="none"/>
                <w:lang w:val="en-US" w:eastAsia="zh-CN" w:bidi="ar"/>
              </w:rPr>
              <w:t>集成</w:t>
            </w:r>
            <w:r>
              <w:rPr>
                <w:rFonts w:hint="eastAsia" w:ascii="宋体" w:hAnsi="宋体" w:eastAsia="宋体" w:cs="宋体"/>
                <w:color w:val="auto"/>
                <w:kern w:val="0"/>
                <w:sz w:val="21"/>
                <w:szCs w:val="21"/>
                <w:highlight w:val="none"/>
                <w:lang w:bidi="ar"/>
              </w:rPr>
              <w:t>教务系统课程，本项目需将学校实验室课程和人员数据平台</w:t>
            </w:r>
            <w:r>
              <w:rPr>
                <w:rFonts w:hint="eastAsia" w:cs="宋体"/>
                <w:color w:val="auto"/>
                <w:kern w:val="0"/>
                <w:sz w:val="21"/>
                <w:szCs w:val="21"/>
                <w:highlight w:val="none"/>
                <w:lang w:val="en-US" w:eastAsia="zh-CN" w:bidi="ar"/>
              </w:rPr>
              <w:t>进行集成</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8.支持实验课程排课临时调整，调整时手动判断是否与已有实验课程发生冲突，冲突时可手动重新调整，课程调整后可查询调整记录；</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 xml:space="preserve">9.具备实验室课程安排统计功能，能统计当前学期指定的实验室课程安排情况，可查看详情并打印，便于课程信息的记录；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10.支持教学课表的在线查询和打印；</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11.支持课程实时到场情况查询，包括课程名称、辅导老师、班级人数、迟到人数、缺勤人数，上课时间等信息；</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12.支持空闲教学实验资源开放管理，管理人员可对教学实验课程外的空闲实验室进行预约审核，通过审核的空闲教学实验资源对学生进行开放预约；</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 xml:space="preserve">13.学生可在网上查询已经开放的教学实验资源，并可进行开放实验预约，支持场地预约和课程预约两种模式；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14.支持根据课表课时自动生成实验室通/断电控制策略，如：上课时通电，下课后自动断电；</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15.老师或学生可根据实验性质对某实验室进行预约申请，由实验室管理员审核通过后，申请人通过刷卡身份验证后或者定时开光电源进行相关实验，实验结束后自动对实验室进行断电；</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16.具备定时控制功能，要求能自定义时间对设备电源进行控制，如每天可定时对实验室进行关门和断电</w:t>
            </w:r>
            <w:r>
              <w:rPr>
                <w:rFonts w:hint="eastAsia" w:ascii="宋体" w:hAnsi="宋体" w:eastAsia="宋体" w:cs="宋体"/>
                <w:b/>
                <w:bCs/>
                <w:color w:val="auto"/>
                <w:kern w:val="0"/>
                <w:sz w:val="21"/>
                <w:szCs w:val="21"/>
                <w:highlight w:val="none"/>
                <w:lang w:bidi="ar"/>
              </w:rPr>
              <w:t>（提供证明材料）</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17.具备数据统计分析模块，至少包括：教学使用记录、教学调整记录，刷卡数据记录、学生预约记录，教学考勤记录等数据的统计，统计数据支持以报表或图形界面进行展示，并且支持excel报表的输出；</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b/>
                <w:bCs/>
                <w:color w:val="auto"/>
                <w:kern w:val="0"/>
                <w:sz w:val="21"/>
                <w:szCs w:val="21"/>
                <w:highlight w:val="none"/>
              </w:rPr>
            </w:pPr>
            <w:r>
              <w:rPr>
                <w:rFonts w:hint="eastAsia" w:ascii="宋体" w:hAnsi="宋体" w:eastAsia="宋体" w:cs="宋体"/>
                <w:color w:val="auto"/>
                <w:kern w:val="0"/>
                <w:sz w:val="21"/>
                <w:szCs w:val="21"/>
                <w:highlight w:val="none"/>
                <w:lang w:bidi="ar"/>
              </w:rPr>
              <w:t>18.具备离线脱机管理功能，当设备与服务器连接中断时，仍可实现设备电源控制</w:t>
            </w:r>
            <w:r>
              <w:rPr>
                <w:rFonts w:hint="eastAsia" w:ascii="宋体" w:hAnsi="宋体" w:eastAsia="宋体" w:cs="宋体"/>
                <w:b/>
                <w:bCs/>
                <w:color w:val="auto"/>
                <w:kern w:val="0"/>
                <w:sz w:val="21"/>
                <w:szCs w:val="21"/>
                <w:highlight w:val="none"/>
                <w:lang w:bidi="ar"/>
              </w:rPr>
              <w:t>（提供证明材料）</w:t>
            </w:r>
            <w:r>
              <w:rPr>
                <w:rFonts w:hint="eastAsia" w:ascii="宋体" w:hAnsi="宋体" w:eastAsia="宋体" w:cs="宋体"/>
                <w:color w:val="auto"/>
                <w:kern w:val="0"/>
                <w:sz w:val="21"/>
                <w:szCs w:val="21"/>
                <w:highlight w:val="none"/>
                <w:lang w:bidi="ar"/>
              </w:rPr>
              <w:t>；</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19.通过采集前端气体监测设备实现对气体是否泄露及气体浓度数据，实现对各个房间气体泄露数据的实时监测和显示，在前端气体监测装置支持的情况下，可实现多路气体监测数据的接入；</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20.通过已采集的气体数据进行预警及报警阀值的分级设定，同时将各个分组报警数据与消息系统及智能化控制系统进行关联，实现分级报警提醒及设备应急联动（如排风系统、事故设备电源控制、门禁系统等，如有）功能；</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21.根据已采集的不同阀值进行预约分级设置，具体的分级数量可根据实际的管理需要决定；</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22.根据已设置的分级，与消息系统进行关联，可实现消息的分组推送；</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23.根据已设置的分级，与物联网智能控制系统进行关联，可实现对实验室门、电的控制；</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24.具备应急处理机制，在设备损坏控制指令失效情况下，支持采用应急遥控的方式来实现设备电源的开/关工作，确保正常的教学秩序；</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25.支持对实验室电源进行远程控制，如远程开电、断电，并支持对接监控设备，对实验室进行远程视频监控；</w:t>
            </w:r>
            <w:r>
              <w:rPr>
                <w:rFonts w:hint="eastAsia" w:ascii="宋体" w:hAnsi="宋体" w:eastAsia="宋体" w:cs="宋体"/>
                <w:color w:val="auto"/>
                <w:kern w:val="0"/>
                <w:sz w:val="21"/>
                <w:szCs w:val="21"/>
                <w:highlight w:val="none"/>
              </w:rPr>
              <w:t xml:space="preserve"> </w:t>
            </w:r>
          </w:p>
          <w:p>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bidi="ar"/>
              </w:rPr>
              <w:t>26.具备状态反馈功能，能实时反馈门禁的开关状态，如门是否关好等</w:t>
            </w:r>
          </w:p>
          <w:p>
            <w:pPr>
              <w:keepNext w:val="0"/>
              <w:keepLines w:val="0"/>
              <w:suppressLineNumbers w:val="0"/>
              <w:spacing w:before="0" w:beforeAutospacing="0" w:after="0" w:afterAutospacing="0" w:line="240" w:lineRule="auto"/>
              <w:ind w:left="0" w:right="0"/>
              <w:rPr>
                <w:rFonts w:hint="eastAsia" w:ascii="宋体" w:hAnsi="宋体" w:eastAsia="宋体" w:cs="宋体"/>
                <w:b/>
                <w:bCs/>
                <w:color w:val="auto"/>
                <w:sz w:val="21"/>
                <w:szCs w:val="21"/>
                <w:highlight w:val="none"/>
              </w:rPr>
            </w:pPr>
            <w:r>
              <w:rPr>
                <w:rFonts w:hint="eastAsia" w:ascii="宋体" w:hAnsi="宋体" w:eastAsia="宋体" w:cs="宋体"/>
                <w:color w:val="auto"/>
                <w:kern w:val="0"/>
                <w:sz w:val="21"/>
                <w:szCs w:val="21"/>
                <w:highlight w:val="none"/>
                <w:lang w:bidi="ar"/>
              </w:rPr>
              <w:t>27.支持管理员开门卡管理，可添加管理员开门卡，利用管理员开门卡可在任意时间开启授权范围内的实验室门禁，支持开门，开门并通电等模式。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w:t>
            </w:r>
          </w:p>
        </w:tc>
        <w:tc>
          <w:tcPr>
            <w:tcW w:w="1810"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辅材及其他</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1</w:t>
            </w:r>
          </w:p>
        </w:tc>
        <w:tc>
          <w:tcPr>
            <w:tcW w:w="661" w:type="dxa"/>
            <w:vAlign w:val="center"/>
          </w:tcPr>
          <w:p>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批</w:t>
            </w:r>
          </w:p>
        </w:tc>
        <w:tc>
          <w:tcPr>
            <w:tcW w:w="6269" w:type="dxa"/>
            <w:vAlign w:val="center"/>
          </w:tcPr>
          <w:p>
            <w:pPr>
              <w:keepNext w:val="0"/>
              <w:keepLines w:val="0"/>
              <w:widowControl/>
              <w:suppressLineNumbers w:val="0"/>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本项包含项目实施过程中的所有实验室的各类线材、总空开、各类电缆、线槽、胶带、螺丝、标签、砂轮、膨胀、扎带、蛇皮带，等；含电控与气体检测等辅材，也包含设备的安装调试、旧设备拆迁，线路改造以及改造中所导致的墙面的设施的修复，并且清理所有垃圾的清运工作，项目实施中所涉及的一切费用。</w:t>
            </w:r>
          </w:p>
        </w:tc>
      </w:tr>
    </w:tbl>
    <w:p>
      <w:pPr>
        <w:adjustRightInd w:val="0"/>
        <w:snapToGrid w:val="0"/>
        <w:spacing w:line="288" w:lineRule="auto"/>
        <w:ind w:firstLine="422" w:firstLineChars="200"/>
        <w:rPr>
          <w:rFonts w:hint="eastAsia" w:ascii="宋体" w:hAnsi="宋体" w:eastAsia="宋体" w:cs="宋体"/>
          <w:b/>
          <w:bCs/>
          <w:color w:val="auto"/>
          <w:sz w:val="21"/>
          <w:szCs w:val="21"/>
          <w:highlight w:val="none"/>
        </w:rPr>
      </w:pPr>
    </w:p>
    <w:p>
      <w:pPr>
        <w:adjustRightInd w:val="0"/>
        <w:snapToGrid w:val="0"/>
        <w:spacing w:line="288" w:lineRule="auto"/>
        <w:rPr>
          <w:rFonts w:hint="eastAsia" w:ascii="宋体" w:hAnsi="宋体" w:eastAsia="宋体" w:cs="宋体"/>
          <w:b/>
          <w:bCs/>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4.演示：</w:t>
      </w:r>
    </w:p>
    <w:p>
      <w:pPr>
        <w:adjustRightInd w:val="0"/>
        <w:snapToGrid w:val="0"/>
        <w:spacing w:line="288" w:lineRule="auto"/>
        <w:ind w:firstLine="422" w:firstLineChars="200"/>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▲4.1 供应商演示内容需为真人操作软件录制的视频进行，</w:t>
      </w:r>
      <w:r>
        <w:rPr>
          <w:rFonts w:hint="eastAsia" w:ascii="宋体" w:hAnsi="宋体" w:eastAsia="宋体" w:cs="宋体"/>
          <w:b/>
          <w:color w:val="auto"/>
          <w:sz w:val="21"/>
          <w:szCs w:val="21"/>
          <w:highlight w:val="none"/>
        </w:rPr>
        <w:t>演示</w:t>
      </w:r>
      <w:r>
        <w:rPr>
          <w:rFonts w:hint="eastAsia" w:ascii="宋体" w:hAnsi="宋体" w:eastAsia="宋体" w:cs="Times New Roman"/>
          <w:b/>
          <w:bCs/>
          <w:color w:val="auto"/>
          <w:sz w:val="21"/>
          <w:szCs w:val="21"/>
          <w:highlight w:val="none"/>
        </w:rPr>
        <w:t>以PPT、非真人操作软件录制的视频、图片等视同未演示，投标无效；</w:t>
      </w:r>
    </w:p>
    <w:p>
      <w:pPr>
        <w:adjustRightInd w:val="0"/>
        <w:snapToGrid w:val="0"/>
        <w:spacing w:line="288" w:lineRule="auto"/>
        <w:ind w:firstLine="422" w:firstLineChars="200"/>
        <w:rPr>
          <w:rFonts w:asciiTheme="minorHAnsi" w:hAnsiTheme="minorHAnsi" w:eastAsiaTheme="minorEastAsia" w:cstheme="minorBidi"/>
          <w:color w:val="auto"/>
          <w:sz w:val="21"/>
          <w:szCs w:val="22"/>
          <w:highlight w:val="none"/>
        </w:rPr>
      </w:pPr>
      <w:r>
        <w:rPr>
          <w:rFonts w:hint="eastAsia" w:ascii="宋体" w:hAnsi="宋体" w:eastAsia="宋体" w:cs="Times New Roman"/>
          <w:b/>
          <w:bCs/>
          <w:color w:val="auto"/>
          <w:sz w:val="21"/>
          <w:szCs w:val="21"/>
          <w:highlight w:val="none"/>
        </w:rPr>
        <w:t>4.2 演示内容如下</w:t>
      </w:r>
      <w:r>
        <w:rPr>
          <w:rFonts w:hint="eastAsia" w:ascii="宋体" w:hAnsi="宋体" w:eastAsia="宋体" w:cs="Times New Roman"/>
          <w:b/>
          <w:bCs/>
          <w:color w:val="auto"/>
          <w:sz w:val="21"/>
          <w:szCs w:val="21"/>
          <w:highlight w:val="none"/>
          <w:lang w:eastAsia="zh-CN"/>
        </w:rPr>
        <w:t>（智慧实验室支撑平台）</w:t>
      </w:r>
      <w:r>
        <w:rPr>
          <w:rFonts w:hint="eastAsia" w:ascii="宋体" w:hAnsi="宋体" w:eastAsia="宋体" w:cs="Times New Roman"/>
          <w:b/>
          <w:bCs/>
          <w:color w:val="auto"/>
          <w:sz w:val="21"/>
          <w:szCs w:val="21"/>
          <w:highlight w:val="none"/>
        </w:rPr>
        <w:t>：</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1</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支持根据课表课时自动生成实验室通/断电控制策略，如：上课时通电，下课后自动断电；</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2</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老师或学生可根据实验性质对某实验室进行预约申请，由实验室管理员审核通过后，申请人通过刷卡身份验证后或者定时开光电源进行相关实验，实验结束后自动对实验室进行断电；</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3</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通过采集前端气体监测设备实现对气体是否泄露及气体浓度数据，实现对各个房间气体泄露数据的实时监测和显示，在前端气体监测装置支持的情况下，可实现多路气体监测数据的接入；</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4</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具备应急处理机制，在设备损坏控制指令失效情况下，支持采用应急遥控的方式来实现设备电源的开/关工作，确保正常的教学秩序；</w:t>
      </w:r>
    </w:p>
    <w:p>
      <w:pPr>
        <w:spacing w:line="288" w:lineRule="auto"/>
        <w:ind w:firstLine="420" w:firstLineChars="200"/>
        <w:rPr>
          <w:rFonts w:hint="eastAsia" w:ascii="宋体" w:hAnsi="宋体" w:eastAsia="宋体" w:cs="宋体"/>
          <w:bCs/>
          <w:color w:val="auto"/>
          <w:sz w:val="21"/>
          <w:szCs w:val="21"/>
          <w:highlight w:val="none"/>
          <w:lang w:eastAsia="zh-CN"/>
        </w:rPr>
      </w:pPr>
      <w:r>
        <w:rPr>
          <w:rFonts w:hint="eastAsia" w:cs="宋体"/>
          <w:bCs/>
          <w:color w:val="auto"/>
          <w:sz w:val="21"/>
          <w:szCs w:val="21"/>
          <w:highlight w:val="none"/>
          <w:lang w:eastAsia="zh-CN"/>
        </w:rPr>
        <w:t>（</w:t>
      </w:r>
      <w:r>
        <w:rPr>
          <w:rFonts w:hint="eastAsia" w:cs="宋体"/>
          <w:bCs/>
          <w:color w:val="auto"/>
          <w:sz w:val="21"/>
          <w:szCs w:val="21"/>
          <w:highlight w:val="none"/>
          <w:lang w:val="en-US" w:eastAsia="zh-CN"/>
        </w:rPr>
        <w:t>5</w:t>
      </w:r>
      <w:r>
        <w:rPr>
          <w:rFonts w:hint="eastAsia" w:cs="宋体"/>
          <w:bCs/>
          <w:color w:val="auto"/>
          <w:sz w:val="21"/>
          <w:szCs w:val="21"/>
          <w:highlight w:val="none"/>
          <w:lang w:eastAsia="zh-CN"/>
        </w:rPr>
        <w:t>）</w:t>
      </w:r>
      <w:r>
        <w:rPr>
          <w:rFonts w:hint="eastAsia" w:ascii="宋体" w:hAnsi="宋体" w:eastAsia="宋体" w:cs="宋体"/>
          <w:bCs/>
          <w:color w:val="auto"/>
          <w:sz w:val="21"/>
          <w:szCs w:val="21"/>
          <w:highlight w:val="none"/>
          <w:lang w:eastAsia="zh-CN"/>
        </w:rPr>
        <w:t>支持对实验室电源进行远程控制，如远程开电、断电，并支持对接监控设备，对实验室进行远程视频监控</w:t>
      </w:r>
      <w:r>
        <w:rPr>
          <w:rFonts w:hint="eastAsia" w:cs="宋体"/>
          <w:bCs/>
          <w:color w:val="auto"/>
          <w:sz w:val="21"/>
          <w:szCs w:val="21"/>
          <w:highlight w:val="none"/>
          <w:lang w:eastAsia="zh-CN"/>
        </w:rPr>
        <w:t>。</w:t>
      </w:r>
    </w:p>
    <w:p>
      <w:pPr>
        <w:spacing w:line="288" w:lineRule="auto"/>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4.3 演示U盘：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（1）根据“电子交易/不见面开评标”原则，供应商需将以上演示及讲解过程录制视频，演示时长不超过10分钟以.mp4格式存储于U盘。</w:t>
      </w:r>
    </w:p>
    <w:p>
      <w:pPr>
        <w:spacing w:line="288" w:lineRule="auto"/>
        <w:ind w:firstLine="420"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（2）演示U盘可以EMS或顺丰邮寄形式在</w:t>
      </w:r>
      <w:r>
        <w:rPr>
          <w:rFonts w:hint="eastAsia" w:cs="宋体"/>
          <w:bCs/>
          <w:color w:val="auto"/>
          <w:sz w:val="21"/>
          <w:szCs w:val="21"/>
          <w:highlight w:val="none"/>
          <w:lang w:val="en-US" w:eastAsia="zh-CN"/>
        </w:rPr>
        <w:t>响应</w:t>
      </w:r>
      <w:r>
        <w:rPr>
          <w:rFonts w:hint="eastAsia" w:ascii="宋体" w:hAnsi="宋体" w:eastAsia="宋体" w:cs="宋体"/>
          <w:bCs/>
          <w:color w:val="auto"/>
          <w:sz w:val="21"/>
          <w:szCs w:val="21"/>
          <w:highlight w:val="none"/>
        </w:rPr>
        <w:t>截止时间前递交，演示U盘应当密封包装并在包装上标注演示U盘、投标项目名称、</w:t>
      </w:r>
      <w:r>
        <w:rPr>
          <w:rFonts w:hint="eastAsia" w:cs="宋体"/>
          <w:bCs/>
          <w:color w:val="auto"/>
          <w:sz w:val="21"/>
          <w:szCs w:val="21"/>
          <w:highlight w:val="none"/>
          <w:lang w:val="en-US" w:eastAsia="zh-CN"/>
        </w:rPr>
        <w:t>响应</w:t>
      </w:r>
      <w:r>
        <w:rPr>
          <w:rFonts w:hint="eastAsia" w:ascii="宋体" w:hAnsi="宋体" w:eastAsia="宋体" w:cs="宋体"/>
          <w:bCs/>
          <w:color w:val="auto"/>
          <w:sz w:val="21"/>
          <w:szCs w:val="21"/>
          <w:highlight w:val="none"/>
        </w:rPr>
        <w:t>供应商名称并加盖公章。</w:t>
      </w:r>
    </w:p>
    <w:p>
      <w:pPr>
        <w:adjustRightInd w:val="0"/>
        <w:snapToGrid w:val="0"/>
        <w:spacing w:line="288" w:lineRule="auto"/>
        <w:ind w:firstLine="404" w:firstLineChars="200"/>
        <w:rPr>
          <w:rFonts w:cs="Times New Roman"/>
          <w:b/>
          <w:bCs/>
          <w:color w:val="auto"/>
          <w:sz w:val="21"/>
          <w:szCs w:val="21"/>
          <w:highlight w:val="none"/>
        </w:rPr>
      </w:pPr>
      <w:r>
        <w:rPr>
          <w:rFonts w:hint="eastAsia" w:ascii="宋体" w:hAnsi="宋体" w:eastAsia="宋体" w:cs="宋体"/>
          <w:bCs/>
          <w:color w:val="auto"/>
          <w:spacing w:val="-4"/>
          <w:sz w:val="21"/>
          <w:szCs w:val="21"/>
          <w:highlight w:val="none"/>
        </w:rPr>
        <w:t>（3）未按</w:t>
      </w:r>
      <w:r>
        <w:rPr>
          <w:rFonts w:hint="eastAsia" w:cs="宋体"/>
          <w:bCs/>
          <w:color w:val="auto"/>
          <w:spacing w:val="-4"/>
          <w:sz w:val="21"/>
          <w:szCs w:val="21"/>
          <w:highlight w:val="none"/>
          <w:lang w:val="en-US" w:eastAsia="zh-CN"/>
        </w:rPr>
        <w:t>采购</w:t>
      </w:r>
      <w:r>
        <w:rPr>
          <w:rFonts w:hint="eastAsia" w:ascii="宋体" w:hAnsi="宋体" w:eastAsia="宋体" w:cs="宋体"/>
          <w:bCs/>
          <w:color w:val="auto"/>
          <w:spacing w:val="-4"/>
          <w:sz w:val="21"/>
          <w:szCs w:val="21"/>
          <w:highlight w:val="none"/>
        </w:rPr>
        <w:t>文件要求提供演示U盘造成专家无法正常评审的风险由供应商自行承担。</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杭州电子科技大学实验室智慧电控</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hint="default" w:cstheme="minorBidi"/>
                <w:color w:val="auto"/>
                <w:sz w:val="21"/>
                <w:szCs w:val="21"/>
                <w:highlight w:val="none"/>
              </w:rPr>
              <w:t>（含）以后任意一月）；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3"/>
          </w:tbl>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w:t>
            </w:r>
            <w:r>
              <w:rPr>
                <w:rFonts w:hint="eastAsia" w:cs="Times New Roman"/>
                <w:color w:val="auto"/>
                <w:sz w:val="21"/>
                <w:szCs w:val="21"/>
                <w:highlight w:val="none"/>
                <w:lang w:eastAsia="zh-CN"/>
              </w:rPr>
              <w:t>基本满足需求，但存在一定欠缺</w:t>
            </w:r>
            <w:r>
              <w:rPr>
                <w:rFonts w:hint="eastAsia" w:cs="Times New Roman"/>
                <w:color w:val="auto"/>
                <w:sz w:val="21"/>
                <w:szCs w:val="21"/>
                <w:highlight w:val="none"/>
              </w:rPr>
              <w:t>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default"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4.采购人将以合同形式有偿取得货物或服务，不接受</w:t>
            </w:r>
            <w:r>
              <w:rPr>
                <w:rFonts w:hint="eastAsia"/>
                <w:color w:val="auto"/>
                <w:sz w:val="21"/>
                <w:szCs w:val="21"/>
                <w:highlight w:val="none"/>
              </w:rPr>
              <w:t>供应商</w:t>
            </w:r>
            <w:r>
              <w:rPr>
                <w:rFonts w:hint="default"/>
                <w:color w:val="auto"/>
                <w:sz w:val="21"/>
                <w:szCs w:val="21"/>
                <w:highlight w:val="none"/>
              </w:rPr>
              <w:t>给予的赠品、回扣或者与采购无关的其他商品、服务，不得出现“0元”“免费赠送”等形式的无偿报价，否则视为</w:t>
            </w:r>
            <w:r>
              <w:rPr>
                <w:rFonts w:hint="eastAsia"/>
                <w:color w:val="auto"/>
                <w:sz w:val="21"/>
                <w:szCs w:val="21"/>
                <w:highlight w:val="none"/>
              </w:rPr>
              <w:t>响应</w:t>
            </w:r>
            <w:r>
              <w:rPr>
                <w:rFonts w:hint="default"/>
                <w:color w:val="auto"/>
                <w:sz w:val="21"/>
                <w:szCs w:val="21"/>
                <w:highlight w:val="none"/>
              </w:rPr>
              <w:t>文件含有采购人不能接受的附加条件的，</w:t>
            </w:r>
            <w:r>
              <w:rPr>
                <w:rFonts w:hint="eastAsia"/>
                <w:color w:val="auto"/>
                <w:sz w:val="21"/>
                <w:szCs w:val="21"/>
                <w:highlight w:val="none"/>
              </w:rPr>
              <w:t>响应</w:t>
            </w:r>
            <w:r>
              <w:rPr>
                <w:rFonts w:hint="default"/>
                <w:color w:val="auto"/>
                <w:sz w:val="21"/>
                <w:szCs w:val="21"/>
                <w:highlight w:val="none"/>
              </w:rPr>
              <w:t>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杭州电子科技大学实验室智慧电控</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p>
    <w:p>
      <w:pPr>
        <w:adjustRightInd w:val="0"/>
        <w:snapToGrid w:val="0"/>
        <w:spacing w:line="288" w:lineRule="auto"/>
        <w:jc w:val="left"/>
        <w:rPr>
          <w:color w:val="auto"/>
          <w:sz w:val="21"/>
          <w:szCs w:val="21"/>
          <w:highlight w:val="none"/>
        </w:rPr>
      </w:pP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750"/>
        <w:gridCol w:w="7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eastAsia="宋体"/>
                <w:color w:val="auto"/>
                <w:sz w:val="21"/>
                <w:szCs w:val="21"/>
                <w:highlight w:val="none"/>
                <w:lang w:eastAsia="zh-CN"/>
              </w:rPr>
              <w:t>【</w:t>
            </w:r>
            <w:r>
              <w:rPr>
                <w:rFonts w:hint="eastAsia" w:ascii="宋体" w:eastAsia="宋体"/>
                <w:color w:val="auto"/>
                <w:sz w:val="21"/>
                <w:szCs w:val="21"/>
                <w:highlight w:val="none"/>
                <w:lang w:val="en-US" w:eastAsia="zh-CN"/>
              </w:rPr>
              <w:t>客观分</w:t>
            </w:r>
            <w:r>
              <w:rPr>
                <w:rFonts w:hint="eastAsia" w:eastAsia="宋体"/>
                <w:color w:val="auto"/>
                <w:sz w:val="21"/>
                <w:szCs w:val="21"/>
                <w:highlight w:val="none"/>
                <w:lang w:eastAsia="zh-CN"/>
              </w:rPr>
              <w:t>】</w:t>
            </w:r>
            <w:r>
              <w:rPr>
                <w:rFonts w:hint="eastAsia"/>
                <w:color w:val="auto"/>
                <w:sz w:val="21"/>
                <w:szCs w:val="21"/>
                <w:highlight w:val="none"/>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40"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750"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10</w:t>
            </w:r>
          </w:p>
        </w:tc>
        <w:tc>
          <w:tcPr>
            <w:tcW w:w="7031" w:type="dxa"/>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2</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w:t>
            </w:r>
            <w:r>
              <w:rPr>
                <w:rFonts w:hint="eastAsia" w:ascii="宋体" w:eastAsia="宋体"/>
                <w:color w:val="auto"/>
                <w:sz w:val="21"/>
                <w:szCs w:val="21"/>
                <w:highlight w:val="none"/>
                <w:lang w:val="en-US" w:eastAsia="zh-CN" w:bidi="ar"/>
              </w:rPr>
              <w:t>主</w:t>
            </w:r>
            <w:r>
              <w:rPr>
                <w:rFonts w:hint="eastAsia"/>
                <w:color w:val="auto"/>
                <w:sz w:val="21"/>
                <w:szCs w:val="21"/>
                <w:highlight w:val="none"/>
                <w:lang w:bidi="ar"/>
              </w:rPr>
              <w:t>观分】响应产品功能先进</w:t>
            </w:r>
            <w:r>
              <w:rPr>
                <w:rFonts w:hint="eastAsia"/>
                <w:color w:val="auto"/>
                <w:sz w:val="21"/>
                <w:szCs w:val="21"/>
                <w:highlight w:val="none"/>
                <w:lang w:eastAsia="zh-CN" w:bidi="ar"/>
              </w:rPr>
              <w:t>，</w:t>
            </w:r>
            <w:r>
              <w:rPr>
                <w:rFonts w:hint="eastAsia"/>
                <w:color w:val="auto"/>
                <w:sz w:val="21"/>
                <w:szCs w:val="21"/>
                <w:highlight w:val="none"/>
                <w:lang w:val="en-US" w:eastAsia="zh-CN" w:bidi="ar"/>
              </w:rPr>
              <w:t>与本项目的实际需求相匹配</w:t>
            </w:r>
            <w:r>
              <w:rPr>
                <w:rFonts w:hint="eastAsia"/>
                <w:color w:val="auto"/>
                <w:sz w:val="21"/>
                <w:szCs w:val="21"/>
                <w:highlight w:val="none"/>
                <w:lang w:bidi="ar"/>
              </w:rPr>
              <w:t>（评分范围：5，3，1，0）。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bidi="ar"/>
              </w:rPr>
            </w:pPr>
            <w:r>
              <w:rPr>
                <w:rFonts w:hint="eastAsia"/>
                <w:color w:val="auto"/>
                <w:sz w:val="21"/>
                <w:szCs w:val="21"/>
                <w:highlight w:val="none"/>
                <w:lang w:bidi="ar"/>
              </w:rPr>
              <w:t>【主观分】响应产品配置</w:t>
            </w:r>
            <w:r>
              <w:rPr>
                <w:rFonts w:hint="eastAsia"/>
                <w:color w:val="auto"/>
                <w:sz w:val="21"/>
                <w:szCs w:val="21"/>
                <w:highlight w:val="none"/>
                <w:lang w:val="en-US" w:eastAsia="zh-CN" w:bidi="ar"/>
              </w:rPr>
              <w:t>合理，各产品之间可以高效对接，兼容性强（评分范围：5，3，1，0）。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eastAsia="宋体"/>
                <w:color w:val="auto"/>
                <w:sz w:val="21"/>
                <w:szCs w:val="21"/>
                <w:highlight w:val="none"/>
                <w:lang w:eastAsia="zh-CN"/>
              </w:rPr>
            </w:pPr>
            <w:r>
              <w:rPr>
                <w:rFonts w:hint="eastAsia"/>
                <w:color w:val="auto"/>
                <w:sz w:val="21"/>
                <w:szCs w:val="21"/>
                <w:highlight w:val="none"/>
                <w:lang w:bidi="ar"/>
              </w:rPr>
              <w:t>【主观分】项目实施计划详细完整，符合项目进度要求，投入人员数量丰富，综合素质强（评分范围：5，3，1，0）</w:t>
            </w:r>
            <w:r>
              <w:rPr>
                <w:rFonts w:hint="eastAsia"/>
                <w:color w:val="auto"/>
                <w:sz w:val="21"/>
                <w:szCs w:val="21"/>
                <w:highlight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rPr>
            </w:pPr>
            <w:r>
              <w:rPr>
                <w:rFonts w:hint="eastAsia"/>
                <w:color w:val="auto"/>
                <w:sz w:val="21"/>
                <w:szCs w:val="21"/>
                <w:highlight w:val="none"/>
                <w:lang w:bidi="ar"/>
              </w:rPr>
              <w:t>【主观分】安装、调试方法或方案详细完整</w:t>
            </w:r>
            <w:r>
              <w:rPr>
                <w:rFonts w:hint="eastAsia"/>
                <w:color w:val="auto"/>
                <w:sz w:val="21"/>
                <w:szCs w:val="21"/>
                <w:highlight w:val="none"/>
                <w:lang w:eastAsia="zh-CN" w:bidi="ar"/>
              </w:rPr>
              <w:t>，</w:t>
            </w:r>
            <w:r>
              <w:rPr>
                <w:rFonts w:hint="eastAsia"/>
                <w:color w:val="auto"/>
                <w:sz w:val="21"/>
                <w:szCs w:val="21"/>
                <w:highlight w:val="none"/>
                <w:lang w:val="en-US" w:eastAsia="zh-CN" w:bidi="ar"/>
              </w:rPr>
              <w:t>各种措施</w:t>
            </w:r>
            <w:r>
              <w:rPr>
                <w:rFonts w:hint="eastAsia"/>
                <w:color w:val="auto"/>
                <w:sz w:val="21"/>
                <w:szCs w:val="21"/>
                <w:highlight w:val="none"/>
                <w:lang w:bidi="ar"/>
              </w:rPr>
              <w:t>合理可行</w:t>
            </w:r>
            <w:r>
              <w:rPr>
                <w:rFonts w:hint="eastAsia"/>
                <w:color w:val="auto"/>
                <w:sz w:val="21"/>
                <w:szCs w:val="21"/>
                <w:highlight w:val="none"/>
                <w:lang w:eastAsia="zh-CN" w:bidi="ar"/>
              </w:rPr>
              <w:t>，</w:t>
            </w:r>
            <w:r>
              <w:rPr>
                <w:rFonts w:hint="eastAsia"/>
                <w:color w:val="auto"/>
                <w:sz w:val="21"/>
                <w:szCs w:val="21"/>
                <w:highlight w:val="none"/>
                <w:lang w:val="en-US" w:eastAsia="zh-CN" w:bidi="ar"/>
              </w:rPr>
              <w:t>有助于项目实施（评分范围：5，3，1，0）。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eastAsia" w:eastAsia="宋体"/>
                <w:color w:val="auto"/>
                <w:sz w:val="21"/>
                <w:szCs w:val="21"/>
                <w:highlight w:val="none"/>
                <w:lang w:val="en-US" w:eastAsia="zh-CN"/>
              </w:rPr>
            </w:pPr>
            <w:r>
              <w:rPr>
                <w:rFonts w:hint="eastAsia"/>
                <w:color w:val="auto"/>
                <w:sz w:val="21"/>
                <w:szCs w:val="21"/>
                <w:highlight w:val="none"/>
                <w:lang w:bidi="ar"/>
              </w:rPr>
              <w:t>【主观分】质保期满后</w:t>
            </w:r>
            <w:r>
              <w:rPr>
                <w:rFonts w:hint="eastAsia"/>
                <w:color w:val="auto"/>
                <w:sz w:val="21"/>
                <w:szCs w:val="21"/>
                <w:highlight w:val="none"/>
                <w:lang w:val="en-US" w:eastAsia="zh-CN" w:bidi="ar"/>
              </w:rPr>
              <w:t>的</w:t>
            </w:r>
            <w:r>
              <w:rPr>
                <w:rFonts w:hint="eastAsia"/>
                <w:color w:val="auto"/>
                <w:sz w:val="21"/>
                <w:szCs w:val="21"/>
                <w:highlight w:val="none"/>
                <w:lang w:bidi="ar"/>
              </w:rPr>
              <w:t>配件、附件、备品备件的准备</w:t>
            </w:r>
            <w:r>
              <w:rPr>
                <w:rFonts w:hint="eastAsia"/>
                <w:color w:val="auto"/>
                <w:sz w:val="21"/>
                <w:szCs w:val="21"/>
                <w:highlight w:val="none"/>
                <w:lang w:val="en-US" w:eastAsia="zh-CN" w:bidi="ar"/>
              </w:rPr>
              <w:t>充分</w:t>
            </w:r>
            <w:r>
              <w:rPr>
                <w:rFonts w:hint="eastAsia"/>
                <w:color w:val="auto"/>
                <w:sz w:val="21"/>
                <w:szCs w:val="21"/>
                <w:highlight w:val="none"/>
                <w:lang w:eastAsia="zh-CN" w:bidi="ar"/>
              </w:rPr>
              <w:t>，</w:t>
            </w:r>
            <w:r>
              <w:rPr>
                <w:rFonts w:hint="eastAsia"/>
                <w:color w:val="auto"/>
                <w:sz w:val="21"/>
                <w:szCs w:val="21"/>
                <w:highlight w:val="none"/>
                <w:lang w:bidi="ar"/>
              </w:rPr>
              <w:t>收费标准</w:t>
            </w:r>
            <w:r>
              <w:rPr>
                <w:rFonts w:hint="eastAsia"/>
                <w:color w:val="auto"/>
                <w:sz w:val="21"/>
                <w:szCs w:val="21"/>
                <w:highlight w:val="none"/>
                <w:lang w:val="en-US" w:eastAsia="zh-CN" w:bidi="ar"/>
              </w:rPr>
              <w:t>合理，</w:t>
            </w:r>
            <w:r>
              <w:rPr>
                <w:rFonts w:hint="eastAsia"/>
                <w:color w:val="auto"/>
                <w:sz w:val="21"/>
                <w:szCs w:val="21"/>
                <w:highlight w:val="none"/>
                <w:lang w:bidi="ar"/>
              </w:rPr>
              <w:t>保障措施</w:t>
            </w:r>
            <w:r>
              <w:rPr>
                <w:rFonts w:hint="eastAsia"/>
                <w:color w:val="auto"/>
                <w:sz w:val="21"/>
                <w:szCs w:val="21"/>
                <w:highlight w:val="none"/>
                <w:lang w:val="en-US" w:eastAsia="zh-CN" w:bidi="ar"/>
              </w:rPr>
              <w:t>切实可行（评分范围：5，3，1，0）。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color w:val="auto"/>
                <w:highlight w:val="none"/>
              </w:rPr>
            </w:pPr>
            <w:r>
              <w:rPr>
                <w:rFonts w:hint="eastAsia"/>
                <w:color w:val="auto"/>
                <w:sz w:val="21"/>
                <w:szCs w:val="21"/>
                <w:highlight w:val="none"/>
                <w:lang w:bidi="ar"/>
              </w:rPr>
              <w:t>【主观分】服务响应效率承诺可行性强</w:t>
            </w:r>
            <w:r>
              <w:rPr>
                <w:rFonts w:hint="eastAsia"/>
                <w:color w:val="auto"/>
                <w:sz w:val="21"/>
                <w:szCs w:val="21"/>
                <w:highlight w:val="none"/>
                <w:lang w:eastAsia="zh-CN" w:bidi="ar"/>
              </w:rPr>
              <w:t>，</w:t>
            </w:r>
            <w:r>
              <w:rPr>
                <w:rFonts w:hint="eastAsia"/>
                <w:color w:val="auto"/>
                <w:sz w:val="21"/>
                <w:szCs w:val="21"/>
                <w:highlight w:val="none"/>
                <w:lang w:bidi="ar"/>
              </w:rPr>
              <w:t>保障服务质量的措施有针对性（评分范围：5，3，1，0）</w:t>
            </w:r>
            <w:r>
              <w:rPr>
                <w:rFonts w:hint="default"/>
                <w:color w:val="auto"/>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1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演示</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eastAsia="宋体"/>
                <w:b/>
                <w:color w:val="auto"/>
                <w:sz w:val="21"/>
                <w:szCs w:val="21"/>
                <w:highlight w:val="none"/>
                <w:lang w:val="en-US" w:eastAsia="zh-CN" w:bidi="ar"/>
              </w:rPr>
            </w:pPr>
            <w:r>
              <w:rPr>
                <w:rFonts w:hint="eastAsia"/>
                <w:b/>
                <w:color w:val="auto"/>
                <w:sz w:val="21"/>
                <w:szCs w:val="21"/>
                <w:highlight w:val="none"/>
                <w:lang w:val="en-US" w:eastAsia="zh-CN" w:bidi="ar"/>
              </w:rPr>
              <w:t>15</w:t>
            </w:r>
          </w:p>
        </w:tc>
        <w:tc>
          <w:tcPr>
            <w:tcW w:w="703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40" w:lineRule="auto"/>
              <w:ind w:left="0" w:right="0"/>
              <w:rPr>
                <w:rFonts w:hint="default" w:eastAsia="宋体"/>
                <w:color w:val="auto"/>
                <w:sz w:val="21"/>
                <w:szCs w:val="21"/>
                <w:highlight w:val="none"/>
                <w:lang w:val="en-US" w:eastAsia="zh-CN" w:bidi="ar"/>
              </w:rPr>
            </w:pPr>
            <w:r>
              <w:rPr>
                <w:rFonts w:hint="eastAsia"/>
                <w:color w:val="auto"/>
                <w:sz w:val="21"/>
                <w:szCs w:val="21"/>
                <w:highlight w:val="none"/>
                <w:lang w:bidi="ar"/>
              </w:rPr>
              <w:t>【主观分】</w:t>
            </w:r>
            <w:r>
              <w:rPr>
                <w:rFonts w:hint="eastAsia"/>
                <w:color w:val="auto"/>
                <w:sz w:val="21"/>
                <w:szCs w:val="21"/>
                <w:highlight w:val="none"/>
                <w:lang w:val="en-US" w:eastAsia="zh-CN" w:bidi="ar"/>
              </w:rPr>
              <w:t>供应商根据第二章 采购需求“4.演示”的要求进行演示，演示效果与采购需求的匹配程度（每项演示评分范围：3，1.5，0）。</w:t>
            </w:r>
          </w:p>
        </w:tc>
      </w:tr>
      <w:bookmarkEnd w:id="4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QSZB-Z(H)-B23452(CS)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color w:val="auto"/>
          <w:spacing w:val="-6"/>
          <w:sz w:val="21"/>
          <w:szCs w:val="21"/>
          <w:highlight w:val="none"/>
          <w:lang w:eastAsia="zh-CN"/>
        </w:rPr>
        <w:t>[2023]80688号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实验室智慧电控</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 xml:space="preserve">   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w:t>
      </w:r>
      <w:r>
        <w:rPr>
          <w:rFonts w:hint="eastAsia" w:cs="Times New Roman"/>
          <w:color w:val="auto"/>
          <w:spacing w:val="-6"/>
          <w:sz w:val="21"/>
          <w:szCs w:val="21"/>
          <w:highlight w:val="none"/>
          <w:lang w:eastAsia="zh-CN"/>
        </w:rPr>
        <w:t>2023年12月8日前完成系统设备供货、安装、调试。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2.交货地点：甲方指定地点。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w:t>
      </w:r>
      <w:r>
        <w:rPr>
          <w:rFonts w:hint="eastAsia"/>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6.</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1</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3</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（4）</w:t>
      </w:r>
      <w:r>
        <w:rPr>
          <w:rFonts w:hint="eastAsia" w:cs="Times New Roman"/>
          <w:bCs/>
          <w:color w:val="auto"/>
          <w:spacing w:val="-6"/>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3.</w:t>
      </w: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4.</w:t>
      </w: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49" w:name="_Hlk71884160"/>
      <w:r>
        <w:rPr>
          <w:rFonts w:hint="eastAsia"/>
          <w:b/>
          <w:bCs/>
          <w:color w:val="auto"/>
          <w:sz w:val="21"/>
          <w:szCs w:val="21"/>
          <w:highlight w:val="none"/>
        </w:rPr>
        <w:t>▲1.资格文件（单独上传）。资格审查要求的资格证明材料（均需加盖公章）。</w:t>
      </w:r>
    </w:p>
    <w:bookmarkEnd w:id="49"/>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0" w:name="_Hlk71884127"/>
      <w:r>
        <w:rPr>
          <w:rFonts w:hint="eastAsia"/>
          <w:color w:val="auto"/>
          <w:sz w:val="21"/>
          <w:szCs w:val="21"/>
          <w:highlight w:val="none"/>
        </w:rPr>
        <w:t>（</w:t>
      </w:r>
      <w:r>
        <w:rPr>
          <w:color w:val="auto"/>
          <w:sz w:val="21"/>
          <w:szCs w:val="21"/>
          <w:highlight w:val="none"/>
        </w:rPr>
        <w:t>2）符合参加政府采购活动应当具备的</w:t>
      </w:r>
      <w:r>
        <w:rPr>
          <w:rFonts w:hint="eastAsia"/>
          <w:color w:val="auto"/>
          <w:sz w:val="21"/>
          <w:szCs w:val="21"/>
          <w:highlight w:val="none"/>
          <w:lang w:eastAsia="zh-CN"/>
        </w:rPr>
        <w:t>基本满足需求，但存在一定欠缺</w:t>
      </w:r>
      <w:r>
        <w:rPr>
          <w:color w:val="auto"/>
          <w:sz w:val="21"/>
          <w:szCs w:val="21"/>
          <w:highlight w:val="none"/>
        </w:rPr>
        <w:t>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中小企业声明函（若属于中小企业）</w:t>
      </w:r>
    </w:p>
    <w:p>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残疾人福利性单位声明函（若属于残疾人福利性单位）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0"/>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51"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设计方案</w:t>
      </w:r>
      <w:r>
        <w:rPr>
          <w:color w:val="auto"/>
          <w:sz w:val="21"/>
          <w:szCs w:val="21"/>
          <w:highlight w:val="none"/>
        </w:rPr>
        <w:t>/解决方案/组织方案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履约能力</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兼容性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服务标准、期限、效率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能源管理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生命周期成本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1"/>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2"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2"/>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3" w:name="_Hlk94097338"/>
      <w:r>
        <w:rPr>
          <w:rFonts w:hint="eastAsia"/>
          <w:b/>
          <w:bCs/>
          <w:color w:val="auto"/>
          <w:sz w:val="21"/>
          <w:szCs w:val="21"/>
          <w:highlight w:val="none"/>
        </w:rPr>
        <w:t>资格审查要求的资格证明材料（均需加盖公章）</w:t>
      </w:r>
    </w:p>
    <w:bookmarkEnd w:id="53"/>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w:t>
      </w:r>
      <w:r>
        <w:rPr>
          <w:rFonts w:hint="eastAsia" w:cs="Times New Roman"/>
          <w:b/>
          <w:bCs/>
          <w:color w:val="auto"/>
          <w:sz w:val="21"/>
          <w:szCs w:val="21"/>
          <w:highlight w:val="none"/>
          <w:lang w:eastAsia="zh-CN"/>
        </w:rPr>
        <w:t>基本满足需求，但存在一定欠缺</w:t>
      </w:r>
      <w:r>
        <w:rPr>
          <w:rFonts w:hint="eastAsia" w:cs="Times New Roman"/>
          <w:b/>
          <w:bCs/>
          <w:color w:val="auto"/>
          <w:sz w:val="21"/>
          <w:szCs w:val="21"/>
          <w:highlight w:val="none"/>
        </w:rPr>
        <w:t>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4"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4"/>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t>中小企业声明函（货物）</w:t>
      </w:r>
      <w:r>
        <w:rPr>
          <w:rFonts w:hint="eastAsia" w:ascii="宋体" w:hAnsi="宋体" w:eastAsia="宋体" w:cs="宋体"/>
          <w:b/>
          <w:bCs/>
          <w:color w:val="auto"/>
          <w:sz w:val="21"/>
          <w:szCs w:val="21"/>
          <w:highlight w:val="none"/>
        </w:rPr>
        <w:t>（若属于中小企业）</w:t>
      </w:r>
    </w:p>
    <w:p>
      <w:pPr>
        <w:adjustRightInd w:val="0"/>
        <w:snapToGrid w:val="0"/>
        <w:spacing w:line="288" w:lineRule="auto"/>
        <w:ind w:firstLine="498" w:firstLineChars="236"/>
        <w:rPr>
          <w:rFonts w:ascii="宋体" w:hAnsi="宋体" w:eastAsia="宋体" w:cs="宋体"/>
          <w:b/>
          <w:color w:val="auto"/>
          <w:sz w:val="21"/>
          <w:szCs w:val="21"/>
          <w:highlight w:val="none"/>
        </w:rPr>
      </w:pPr>
    </w:p>
    <w:p>
      <w:pPr>
        <w:adjustRightInd w:val="0"/>
        <w:snapToGrid w:val="0"/>
        <w:spacing w:line="288" w:lineRule="auto"/>
        <w:ind w:firstLine="495" w:firstLineChars="236"/>
        <w:rPr>
          <w:rFonts w:ascii="宋体" w:hAnsi="宋体" w:eastAsia="宋体" w:cs="宋体"/>
          <w:i w:val="0"/>
          <w:iCs w:val="0"/>
          <w:color w:val="auto"/>
          <w:sz w:val="21"/>
          <w:szCs w:val="21"/>
          <w:highlight w:val="none"/>
        </w:rPr>
      </w:pPr>
      <w:r>
        <w:rPr>
          <w:rFonts w:ascii="宋体" w:hAnsi="宋体" w:eastAsia="宋体" w:cs="宋体"/>
          <w:color w:val="auto"/>
          <w:sz w:val="21"/>
          <w:szCs w:val="21"/>
          <w:highlight w:val="none"/>
        </w:rPr>
        <w:t>本公司（联合体）郑重声明，根据《政府采购促进中</w:t>
      </w:r>
      <w:r>
        <w:rPr>
          <w:rFonts w:ascii="宋体" w:hAnsi="宋体" w:eastAsia="宋体" w:cs="宋体"/>
          <w:i w:val="0"/>
          <w:iCs w:val="0"/>
          <w:color w:val="auto"/>
          <w:sz w:val="21"/>
          <w:szCs w:val="21"/>
          <w:highlight w:val="none"/>
        </w:rPr>
        <w:t>小企业发展管理办法》（财库</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2020</w:t>
      </w:r>
      <w:r>
        <w:rPr>
          <w:rFonts w:hint="eastAsia" w:ascii="宋体" w:hAnsi="宋体" w:eastAsia="宋体" w:cs="宋体"/>
          <w:i w:val="0"/>
          <w:iCs w:val="0"/>
          <w:color w:val="auto"/>
          <w:sz w:val="21"/>
          <w:szCs w:val="21"/>
          <w:highlight w:val="none"/>
        </w:rPr>
        <w:t>﹞</w:t>
      </w:r>
      <w:r>
        <w:rPr>
          <w:rFonts w:ascii="宋体" w:hAnsi="宋体" w:eastAsia="宋体" w:cs="宋体"/>
          <w:i w:val="0"/>
          <w:iCs w:val="0"/>
          <w:color w:val="auto"/>
          <w:sz w:val="21"/>
          <w:szCs w:val="21"/>
          <w:highlight w:val="none"/>
        </w:rPr>
        <w:t>46 号）的规定，本公司（联合体）参加</w:t>
      </w:r>
      <w:r>
        <w:rPr>
          <w:rFonts w:hint="eastAsia" w:ascii="宋体" w:hAnsi="宋体" w:eastAsia="宋体" w:cs="宋体"/>
          <w:i w:val="0"/>
          <w:iCs w:val="0"/>
          <w:color w:val="auto"/>
          <w:sz w:val="21"/>
          <w:szCs w:val="21"/>
          <w:highlight w:val="none"/>
          <w:u w:val="single"/>
          <w:lang w:val="en-US" w:eastAsia="zh-CN"/>
        </w:rPr>
        <w:t>杭州电子科技大学</w:t>
      </w:r>
      <w:r>
        <w:rPr>
          <w:rFonts w:ascii="宋体" w:hAnsi="宋体" w:eastAsia="宋体" w:cs="宋体"/>
          <w:i w:val="0"/>
          <w:iCs w:val="0"/>
          <w:color w:val="auto"/>
          <w:sz w:val="21"/>
          <w:szCs w:val="21"/>
          <w:highlight w:val="none"/>
        </w:rPr>
        <w:t>的</w:t>
      </w:r>
      <w:r>
        <w:rPr>
          <w:rFonts w:hint="eastAsia" w:ascii="宋体" w:hAnsi="宋体" w:eastAsia="宋体" w:cs="宋体"/>
          <w:i w:val="0"/>
          <w:iCs w:val="0"/>
          <w:color w:val="auto"/>
          <w:sz w:val="21"/>
          <w:szCs w:val="21"/>
          <w:highlight w:val="none"/>
          <w:u w:val="single"/>
          <w:lang w:val="en-US" w:eastAsia="zh-CN"/>
        </w:rPr>
        <w:t>实验室智慧电控</w:t>
      </w:r>
      <w:r>
        <w:rPr>
          <w:rFonts w:ascii="宋体" w:hAnsi="宋体" w:eastAsia="宋体" w:cs="宋体"/>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ascii="宋体" w:hAnsi="宋体" w:eastAsia="宋体" w:cs="宋体"/>
          <w:i w:val="0"/>
          <w:iCs w:val="0"/>
          <w:color w:val="auto"/>
          <w:sz w:val="21"/>
          <w:szCs w:val="21"/>
          <w:highlight w:val="none"/>
          <w:u w:val="single"/>
        </w:rPr>
        <w:t>1.</w:t>
      </w:r>
      <w:r>
        <w:rPr>
          <w:rFonts w:hint="eastAsia" w:ascii="宋体" w:hAnsi="宋体" w:eastAsia="宋体" w:cs="宋体"/>
          <w:i w:val="0"/>
          <w:iCs w:val="0"/>
          <w:color w:val="auto"/>
          <w:sz w:val="21"/>
          <w:szCs w:val="21"/>
          <w:highlight w:val="none"/>
          <w:u w:val="single"/>
          <w:lang w:eastAsia="zh-CN"/>
        </w:rPr>
        <w:t>智能数据存储网关</w:t>
      </w:r>
      <w:r>
        <w:rPr>
          <w:rFonts w:ascii="宋体" w:hAnsi="宋体" w:eastAsia="宋体" w:cs="宋体"/>
          <w:i w:val="0"/>
          <w:iCs w:val="0"/>
          <w:color w:val="auto"/>
          <w:sz w:val="21"/>
          <w:szCs w:val="21"/>
          <w:highlight w:val="none"/>
        </w:rPr>
        <w:t xml:space="preserve"> ，属于</w:t>
      </w:r>
      <w:r>
        <w:rPr>
          <w:rFonts w:hint="eastAsia" w:ascii="宋体"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2</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混合多路电源控制箱</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3</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智能交互式显示终端</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4</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N₂气体传感器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5</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O₂气体传感器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6</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Ar气体传感器</w:t>
      </w:r>
      <w:r>
        <w:rPr>
          <w:rFonts w:ascii="宋体" w:hAnsi="宋体" w:eastAsia="宋体" w:cs="宋体"/>
          <w:i w:val="0"/>
          <w:iCs w:val="0"/>
          <w:color w:val="auto"/>
          <w:sz w:val="21"/>
          <w:szCs w:val="21"/>
          <w:highlight w:val="none"/>
        </w:rPr>
        <w:t xml:space="preserve"> ，属于</w:t>
      </w:r>
      <w:r>
        <w:rPr>
          <w:rFonts w:hint="eastAsia" w:ascii="宋体"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7</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H₂气体传感器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8</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CH₄气体传感器</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9</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应急遥控</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10</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eastAsia="zh-CN"/>
        </w:rPr>
        <w:t>智慧实验室支撑平台</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lang w:eastAsia="zh-CN"/>
        </w:rPr>
        <w:t>；</w:t>
      </w:r>
    </w:p>
    <w:p>
      <w:pPr>
        <w:adjustRightInd w:val="0"/>
        <w:snapToGrid w:val="0"/>
        <w:spacing w:line="288" w:lineRule="auto"/>
        <w:ind w:firstLine="495" w:firstLineChars="236"/>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u w:val="single"/>
          <w:lang w:val="en-US" w:eastAsia="zh-CN"/>
        </w:rPr>
        <w:t>11</w:t>
      </w:r>
      <w:r>
        <w:rPr>
          <w:rFonts w:ascii="宋体" w:hAnsi="宋体" w:eastAsia="宋体" w:cs="宋体"/>
          <w:i w:val="0"/>
          <w:iCs w:val="0"/>
          <w:color w:val="auto"/>
          <w:sz w:val="21"/>
          <w:szCs w:val="21"/>
          <w:highlight w:val="none"/>
          <w:u w:val="single"/>
        </w:rPr>
        <w:t>.</w:t>
      </w:r>
      <w:r>
        <w:rPr>
          <w:rFonts w:hint="eastAsia" w:ascii="宋体" w:hAnsi="宋体" w:eastAsia="宋体" w:cs="宋体"/>
          <w:i w:val="0"/>
          <w:iCs w:val="0"/>
          <w:color w:val="auto"/>
          <w:sz w:val="21"/>
          <w:szCs w:val="21"/>
          <w:highlight w:val="none"/>
          <w:u w:val="single"/>
          <w:lang w:val="en-US" w:eastAsia="zh-CN"/>
        </w:rPr>
        <w:t>辅材及其他</w:t>
      </w:r>
      <w:r>
        <w:rPr>
          <w:rFonts w:ascii="宋体" w:hAnsi="宋体" w:eastAsia="宋体" w:cs="宋体"/>
          <w:i w:val="0"/>
          <w:iCs w:val="0"/>
          <w:color w:val="auto"/>
          <w:sz w:val="21"/>
          <w:szCs w:val="21"/>
          <w:highlight w:val="none"/>
        </w:rPr>
        <w:t xml:space="preserve"> ，属于</w:t>
      </w:r>
      <w:r>
        <w:rPr>
          <w:rFonts w:hint="eastAsia" w:ascii="Times New Roman" w:hAnsi="宋体" w:eastAsia="宋体" w:cs="宋体"/>
          <w:i w:val="0"/>
          <w:iCs w:val="0"/>
          <w:color w:val="auto"/>
          <w:sz w:val="21"/>
          <w:szCs w:val="21"/>
          <w:highlight w:val="none"/>
          <w:u w:val="single"/>
          <w:lang w:val="en-US" w:eastAsia="zh-CN"/>
        </w:rPr>
        <w:t>工业</w:t>
      </w:r>
      <w:r>
        <w:rPr>
          <w:rFonts w:ascii="宋体" w:hAnsi="宋体" w:eastAsia="宋体" w:cs="宋体"/>
          <w:i w:val="0"/>
          <w:iCs w:val="0"/>
          <w:color w:val="auto"/>
          <w:sz w:val="21"/>
          <w:szCs w:val="21"/>
          <w:highlight w:val="none"/>
        </w:rPr>
        <w:t>；制造商为</w:t>
      </w:r>
      <w:r>
        <w:rPr>
          <w:rFonts w:ascii="宋体" w:hAnsi="宋体" w:eastAsia="宋体" w:cs="宋体"/>
          <w:i w:val="0"/>
          <w:iCs w:val="0"/>
          <w:color w:val="auto"/>
          <w:sz w:val="21"/>
          <w:szCs w:val="21"/>
          <w:highlight w:val="none"/>
          <w:u w:val="single"/>
        </w:rPr>
        <w:t>（企业名称）</w:t>
      </w:r>
      <w:r>
        <w:rPr>
          <w:rFonts w:ascii="宋体" w:hAnsi="宋体" w:eastAsia="宋体" w:cs="宋体"/>
          <w:i w:val="0"/>
          <w:iCs w:val="0"/>
          <w:color w:val="auto"/>
          <w:sz w:val="21"/>
          <w:szCs w:val="21"/>
          <w:highlight w:val="none"/>
        </w:rPr>
        <w:t>，从业人员</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人，营业收入为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万元，资产总额为</w:t>
      </w:r>
      <w:r>
        <w:rPr>
          <w:rFonts w:ascii="宋体" w:hAnsi="宋体" w:eastAsia="宋体" w:cs="宋体"/>
          <w:i w:val="0"/>
          <w:iCs w:val="0"/>
          <w:color w:val="auto"/>
          <w:sz w:val="21"/>
          <w:szCs w:val="21"/>
          <w:highlight w:val="none"/>
          <w:u w:val="single"/>
        </w:rPr>
        <w:t xml:space="preserve"> </w:t>
      </w:r>
      <w:r>
        <w:rPr>
          <w:rFonts w:ascii="宋体" w:hAnsi="宋体" w:eastAsia="宋体" w:cs="宋体"/>
          <w:i w:val="0"/>
          <w:iCs w:val="0"/>
          <w:color w:val="auto"/>
          <w:sz w:val="21"/>
          <w:szCs w:val="21"/>
          <w:highlight w:val="none"/>
          <w:u w:val="single"/>
        </w:rPr>
        <w:tab/>
      </w:r>
      <w:r>
        <w:rPr>
          <w:rFonts w:ascii="宋体" w:hAnsi="宋体" w:eastAsia="宋体" w:cs="宋体"/>
          <w:i w:val="0"/>
          <w:iCs w:val="0"/>
          <w:color w:val="auto"/>
          <w:sz w:val="21"/>
          <w:szCs w:val="21"/>
          <w:highlight w:val="none"/>
        </w:rPr>
        <w:t>万元，属于</w:t>
      </w:r>
      <w:r>
        <w:rPr>
          <w:rFonts w:ascii="宋体" w:hAnsi="宋体" w:eastAsia="宋体" w:cs="宋体"/>
          <w:i w:val="0"/>
          <w:iCs w:val="0"/>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u w:val="single"/>
          <w:lang w:eastAsia="zh-CN"/>
        </w:rPr>
        <w:t>。</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企业名称（盖章）：</w:t>
      </w:r>
    </w:p>
    <w:p>
      <w:pPr>
        <w:adjustRightInd w:val="0"/>
        <w:snapToGrid w:val="0"/>
        <w:spacing w:line="288" w:lineRule="auto"/>
        <w:ind w:firstLine="495" w:firstLineChars="236"/>
        <w:rPr>
          <w:rFonts w:ascii="宋体" w:hAnsi="宋体" w:eastAsia="宋体" w:cs="宋体"/>
          <w:color w:val="auto"/>
          <w:sz w:val="21"/>
          <w:szCs w:val="21"/>
          <w:highlight w:val="none"/>
        </w:rPr>
      </w:pPr>
      <w:r>
        <w:rPr>
          <w:rFonts w:ascii="宋体" w:hAnsi="宋体" w:eastAsia="宋体" w:cs="宋体"/>
          <w:color w:val="auto"/>
          <w:sz w:val="21"/>
          <w:szCs w:val="21"/>
          <w:highlight w:val="none"/>
        </w:rPr>
        <w:t>日期：</w:t>
      </w:r>
    </w:p>
    <w:p>
      <w:pPr>
        <w:adjustRightInd w:val="0"/>
        <w:snapToGrid w:val="0"/>
        <w:spacing w:line="288" w:lineRule="auto"/>
        <w:ind w:firstLine="495" w:firstLineChars="236"/>
        <w:rPr>
          <w:rFonts w:ascii="宋体" w:hAnsi="宋体" w:eastAsia="宋体" w:cs="宋体"/>
          <w:color w:val="auto"/>
          <w:sz w:val="21"/>
          <w:szCs w:val="21"/>
          <w:highlight w:val="none"/>
        </w:rPr>
      </w:pPr>
    </w:p>
    <w:p>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heme="minorBidi"/>
          <w:color w:val="auto"/>
          <w:sz w:val="21"/>
          <w:szCs w:val="22"/>
          <w:highlight w:val="none"/>
          <w:u w:val="single"/>
        </w:rPr>
      </w:pPr>
      <w:r>
        <w:rPr>
          <w:rFonts w:ascii="宋体" w:hAnsi="宋体" w:eastAsia="宋体" w:cs="Times New Roman"/>
          <w:color w:val="auto"/>
          <w:sz w:val="21"/>
          <w:szCs w:val="21"/>
          <w:highlight w:val="none"/>
          <w:u w:val="single"/>
        </w:rPr>
        <w:t>5.</w:t>
      </w:r>
      <w:r>
        <w:rPr>
          <w:rFonts w:hint="eastAsia" w:ascii="宋体" w:hAnsi="宋体" w:eastAsia="宋体"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heme="minorBidi"/>
          <w:color w:val="auto"/>
          <w:sz w:val="21"/>
          <w:szCs w:val="22"/>
          <w:highlight w:val="none"/>
          <w:u w:val="single"/>
        </w:rPr>
        <w:t>不享受中小企业扶持政策。</w:t>
      </w:r>
    </w:p>
    <w:p>
      <w:pPr>
        <w:widowControl/>
        <w:adjustRightInd w:val="0"/>
        <w:snapToGrid w:val="0"/>
        <w:spacing w:line="288" w:lineRule="auto"/>
        <w:ind w:firstLine="495" w:firstLineChars="236"/>
        <w:jc w:val="left"/>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6</w:t>
      </w:r>
      <w:r>
        <w:rPr>
          <w:rFonts w:ascii="宋体" w:hAnsi="宋体" w:eastAsia="宋体"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r>
    </w:p>
    <w:p>
      <w:pPr>
        <w:adjustRightInd w:val="0"/>
        <w:snapToGrid w:val="0"/>
        <w:spacing w:line="288" w:lineRule="auto"/>
        <w:jc w:val="center"/>
        <w:outlineLvl w:val="2"/>
        <w:rPr>
          <w:rFonts w:ascii="宋体" w:hAnsi="宋体" w:eastAsia="宋体" w:cs="宋体"/>
          <w:color w:val="auto"/>
          <w:kern w:val="0"/>
          <w:sz w:val="21"/>
          <w:szCs w:val="21"/>
          <w:highlight w:val="none"/>
        </w:rPr>
      </w:pPr>
      <w:r>
        <w:rPr>
          <w:rFonts w:hint="eastAsia" w:ascii="宋体" w:hAnsi="宋体" w:eastAsia="宋体" w:cs="宋体"/>
          <w:b/>
          <w:color w:val="auto"/>
          <w:spacing w:val="-6"/>
          <w:sz w:val="21"/>
          <w:szCs w:val="21"/>
          <w:highlight w:val="none"/>
        </w:rPr>
        <w:t>（</w:t>
      </w:r>
      <w:r>
        <w:rPr>
          <w:rFonts w:ascii="宋体" w:hAnsi="宋体" w:eastAsia="宋体" w:cs="宋体"/>
          <w:b/>
          <w:color w:val="auto"/>
          <w:spacing w:val="-6"/>
          <w:sz w:val="21"/>
          <w:szCs w:val="21"/>
          <w:highlight w:val="none"/>
        </w:rPr>
        <w:t>3</w:t>
      </w:r>
      <w:r>
        <w:rPr>
          <w:rFonts w:hint="eastAsia" w:ascii="宋体" w:hAnsi="宋体" w:eastAsia="宋体" w:cs="宋体"/>
          <w:b/>
          <w:color w:val="auto"/>
          <w:spacing w:val="-6"/>
          <w:sz w:val="21"/>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 w:val="21"/>
          <w:szCs w:val="21"/>
          <w:highlight w:val="none"/>
        </w:rPr>
      </w:pPr>
    </w:p>
    <w:p>
      <w:pPr>
        <w:adjustRightInd w:val="0"/>
        <w:snapToGrid w:val="0"/>
        <w:spacing w:line="288" w:lineRule="auto"/>
        <w:ind w:firstLine="373" w:firstLineChars="177"/>
        <w:rPr>
          <w:rFonts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 w:val="21"/>
          <w:szCs w:val="21"/>
          <w:highlight w:val="none"/>
        </w:rPr>
      </w:pPr>
      <w:r>
        <w:rPr>
          <w:rFonts w:ascii="宋体" w:hAnsi="宋体" w:eastAsia="宋体" w:cs="宋体"/>
          <w:b/>
          <w:color w:val="auto"/>
          <w:spacing w:val="-6"/>
          <w:sz w:val="21"/>
          <w:szCs w:val="21"/>
          <w:highlight w:val="none"/>
        </w:rPr>
        <w:br w:type="page"/>
      </w:r>
    </w:p>
    <w:p>
      <w:pPr>
        <w:adjustRightInd w:val="0"/>
        <w:snapToGrid w:val="0"/>
        <w:spacing w:line="288" w:lineRule="auto"/>
        <w:jc w:val="center"/>
        <w:outlineLvl w:val="2"/>
        <w:rPr>
          <w:rFonts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w:t>
      </w:r>
      <w:r>
        <w:rPr>
          <w:rFonts w:ascii="宋体" w:hAnsi="宋体" w:eastAsia="宋体" w:cs="宋体"/>
          <w:b/>
          <w:color w:val="auto"/>
          <w:spacing w:val="-6"/>
          <w:sz w:val="21"/>
          <w:szCs w:val="21"/>
          <w:highlight w:val="none"/>
        </w:rPr>
        <w:t>4</w:t>
      </w:r>
      <w:r>
        <w:rPr>
          <w:rFonts w:hint="eastAsia" w:ascii="宋体" w:hAnsi="宋体" w:eastAsia="宋体" w:cs="宋体"/>
          <w:b/>
          <w:color w:val="auto"/>
          <w:spacing w:val="-6"/>
          <w:sz w:val="21"/>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 w:val="21"/>
          <w:szCs w:val="21"/>
          <w:highlight w:val="none"/>
        </w:rPr>
      </w:pP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1"/>
          <w:szCs w:val="21"/>
          <w:highlight w:val="none"/>
        </w:rPr>
        <w:t>〔2017〕 141</w:t>
      </w:r>
      <w:r>
        <w:rPr>
          <w:rFonts w:hint="eastAsia" w:ascii="宋体" w:hAnsi="宋体" w:eastAsia="宋体" w:cs="Times New Roman"/>
          <w:color w:val="auto"/>
          <w:spacing w:val="6"/>
          <w:sz w:val="21"/>
          <w:szCs w:val="21"/>
          <w:highlight w:val="none"/>
        </w:rPr>
        <w:t>号）的规定，</w:t>
      </w:r>
      <w:r>
        <w:rPr>
          <w:rFonts w:hint="eastAsia" w:ascii="宋体" w:hAnsi="宋体" w:eastAsia="宋体" w:cs="Times New Roman"/>
          <w:b/>
          <w:bCs/>
          <w:color w:val="auto"/>
          <w:spacing w:val="6"/>
          <w:sz w:val="21"/>
          <w:szCs w:val="21"/>
          <w:highlight w:val="none"/>
        </w:rPr>
        <w:t>本单位为符合条件的残疾人福利性单位</w:t>
      </w:r>
      <w:r>
        <w:rPr>
          <w:rFonts w:hint="eastAsia" w:ascii="宋体" w:hAnsi="宋体" w:eastAsia="宋体"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日  期：</w:t>
      </w:r>
    </w:p>
    <w:p>
      <w:pPr>
        <w:adjustRightInd w:val="0"/>
        <w:snapToGrid w:val="0"/>
        <w:spacing w:line="288" w:lineRule="auto"/>
        <w:rPr>
          <w:rFonts w:ascii="宋体" w:hAnsi="宋体" w:eastAsia="宋体" w:cs="宋体"/>
          <w:color w:val="auto"/>
          <w:sz w:val="21"/>
          <w:szCs w:val="21"/>
          <w:highlight w:val="none"/>
        </w:rPr>
      </w:pPr>
    </w:p>
    <w:p>
      <w:pPr>
        <w:adjustRightInd w:val="0"/>
        <w:snapToGrid w:val="0"/>
        <w:spacing w:line="288"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二、符合条件的残疾人福利性单位在参加政府采购活动时，应当提供财库</w:t>
      </w:r>
      <w:r>
        <w:rPr>
          <w:rFonts w:ascii="宋体" w:hAnsi="宋体" w:eastAsia="宋体" w:cs="宋体"/>
          <w:color w:val="auto"/>
          <w:kern w:val="0"/>
          <w:sz w:val="21"/>
          <w:szCs w:val="21"/>
          <w:highlight w:val="none"/>
        </w:rPr>
        <w:t>[2017]141号</w:t>
      </w:r>
      <w:r>
        <w:rPr>
          <w:rFonts w:hint="eastAsia" w:ascii="宋体" w:hAnsi="宋体" w:eastAsia="宋体" w:cs="宋体"/>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ascii="宋体" w:hAnsi="宋体" w:eastAsia="宋体" w:cs="Times New Roman"/>
          <w:b/>
          <w:bCs/>
          <w:color w:val="auto"/>
          <w:spacing w:val="-6"/>
          <w:sz w:val="21"/>
          <w:szCs w:val="21"/>
          <w:highlight w:val="none"/>
        </w:rPr>
      </w:pPr>
      <w:r>
        <w:rPr>
          <w:rFonts w:ascii="宋体" w:hAnsi="宋体" w:eastAsia="宋体"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5"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杭州电子科技大学实验室智慧电控</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QSZB-Z(H)-B23452(CS)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5"/>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56" w:name="_Hlk97040154"/>
            <w:r>
              <w:rPr>
                <w:rFonts w:hint="eastAsia" w:cs="Times New Roman"/>
                <w:color w:val="auto"/>
                <w:spacing w:val="-6"/>
                <w:kern w:val="0"/>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56"/>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57"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7"/>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杭州电子科技大学实验室智慧电控</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QSZB-Z(H)-B23452(CS)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QSZB-Z(H)-B23452(CS)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58" w:name="_Hlk97040421"/>
            <w:r>
              <w:rPr>
                <w:rFonts w:hint="eastAsia"/>
                <w:b/>
                <w:bCs/>
                <w:color w:val="auto"/>
                <w:kern w:val="0"/>
                <w:sz w:val="21"/>
                <w:szCs w:val="21"/>
                <w:highlight w:val="none"/>
              </w:rPr>
              <w:t>序号</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58"/>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59"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设计方案</w:t>
      </w:r>
      <w:r>
        <w:rPr>
          <w:b/>
          <w:color w:val="auto"/>
          <w:spacing w:val="-6"/>
          <w:sz w:val="21"/>
          <w:szCs w:val="21"/>
          <w:highlight w:val="none"/>
        </w:rPr>
        <w:t>/解决方案/组织方案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履约能力</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兼容性</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能源管理</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生命周期成本</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（……）供应商需要说明的其他文件和材料。</w:t>
      </w:r>
      <w:bookmarkEnd w:id="59"/>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实验室智慧电控</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QSZB-Z(H)-B23452(CS)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60"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w:t>
            </w:r>
            <w:r>
              <w:rPr>
                <w:rFonts w:hint="default" w:cs="Times New Roman"/>
                <w:bCs/>
                <w:color w:val="auto"/>
                <w:spacing w:val="-6"/>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bookmarkEnd w:id="60"/>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1"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5NmE3Zjc2YjhlM2EyNmZlNjdjM2VjZGM0YmQzMjA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0E5D"/>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4F23DAC"/>
    <w:rsid w:val="0CF34D5B"/>
    <w:rsid w:val="1DAB6025"/>
    <w:rsid w:val="371D6518"/>
    <w:rsid w:val="390C35F4"/>
    <w:rsid w:val="3A01184E"/>
    <w:rsid w:val="3BB53878"/>
    <w:rsid w:val="413E739C"/>
    <w:rsid w:val="42EE49B5"/>
    <w:rsid w:val="47F95372"/>
    <w:rsid w:val="48662ADB"/>
    <w:rsid w:val="4984066C"/>
    <w:rsid w:val="4A3E7485"/>
    <w:rsid w:val="4A705E01"/>
    <w:rsid w:val="50CC7174"/>
    <w:rsid w:val="55550483"/>
    <w:rsid w:val="571D0E81"/>
    <w:rsid w:val="658F4D18"/>
    <w:rsid w:val="6E974F8B"/>
    <w:rsid w:val="71705566"/>
    <w:rsid w:val="77323959"/>
    <w:rsid w:val="774675E3"/>
    <w:rsid w:val="7DD02B49"/>
    <w:rsid w:val="7EE11634"/>
    <w:rsid w:val="7FCE39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1</Pages>
  <Words>4674</Words>
  <Characters>26646</Characters>
  <Lines>1</Lines>
  <Paragraphs>1</Paragraphs>
  <TotalTime>24</TotalTime>
  <ScaleCrop>false</ScaleCrop>
  <LinksUpToDate>false</LinksUpToDate>
  <CharactersWithSpaces>31258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qszbrenshixingzheng</cp:lastModifiedBy>
  <dcterms:modified xsi:type="dcterms:W3CDTF">2023-11-02T02:36:25Z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9E3EAC4312774ED5A2A6431FD68E8C95_12</vt:lpwstr>
  </property>
</Properties>
</file>