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0E9A6">
      <w:pPr>
        <w:adjustRightInd w:val="0"/>
        <w:snapToGrid w:val="0"/>
        <w:spacing w:line="288" w:lineRule="auto"/>
        <w:rPr>
          <w:rFonts w:ascii="楷体" w:hAnsi="楷体" w:eastAsia="楷体" w:cs="Times New Roman"/>
          <w:b/>
          <w:color w:val="auto"/>
          <w:spacing w:val="-6"/>
          <w:sz w:val="44"/>
          <w:szCs w:val="44"/>
          <w:highlight w:val="none"/>
        </w:rPr>
      </w:pPr>
    </w:p>
    <w:p w14:paraId="0248A2DB">
      <w:pPr>
        <w:adjustRightInd w:val="0"/>
        <w:snapToGrid w:val="0"/>
        <w:spacing w:line="288" w:lineRule="auto"/>
        <w:rPr>
          <w:rFonts w:ascii="楷体" w:hAnsi="楷体" w:eastAsia="楷体" w:cs="Times New Roman"/>
          <w:b/>
          <w:color w:val="auto"/>
          <w:spacing w:val="-6"/>
          <w:sz w:val="44"/>
          <w:szCs w:val="44"/>
          <w:highlight w:val="none"/>
        </w:rPr>
      </w:pPr>
    </w:p>
    <w:p w14:paraId="723595C1">
      <w:pPr>
        <w:adjustRightInd w:val="0"/>
        <w:snapToGrid w:val="0"/>
        <w:spacing w:line="288" w:lineRule="auto"/>
        <w:rPr>
          <w:rFonts w:ascii="楷体" w:hAnsi="楷体" w:eastAsia="楷体" w:cs="Times New Roman"/>
          <w:b/>
          <w:color w:val="auto"/>
          <w:spacing w:val="-6"/>
          <w:sz w:val="44"/>
          <w:szCs w:val="44"/>
          <w:highlight w:val="none"/>
        </w:rPr>
      </w:pPr>
    </w:p>
    <w:p w14:paraId="1EED4510">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4A47E955">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综合实验楼（一期）建设工程招标代理及工程量清单编制服务</w:t>
      </w:r>
    </w:p>
    <w:p w14:paraId="51EA640C">
      <w:pPr>
        <w:adjustRightInd w:val="0"/>
        <w:snapToGrid w:val="0"/>
        <w:spacing w:line="288" w:lineRule="auto"/>
        <w:jc w:val="center"/>
        <w:rPr>
          <w:rFonts w:ascii="楷体" w:hAnsi="楷体" w:eastAsia="楷体" w:cs="Times New Roman"/>
          <w:b/>
          <w:color w:val="auto"/>
          <w:spacing w:val="-6"/>
          <w:sz w:val="48"/>
          <w:szCs w:val="48"/>
          <w:highlight w:val="none"/>
        </w:rPr>
      </w:pPr>
    </w:p>
    <w:p w14:paraId="400C412D">
      <w:pPr>
        <w:adjustRightInd w:val="0"/>
        <w:snapToGrid w:val="0"/>
        <w:spacing w:line="288" w:lineRule="auto"/>
        <w:jc w:val="center"/>
        <w:rPr>
          <w:rFonts w:ascii="楷体" w:hAnsi="楷体" w:eastAsia="楷体" w:cs="Times New Roman"/>
          <w:b/>
          <w:color w:val="auto"/>
          <w:spacing w:val="-6"/>
          <w:sz w:val="48"/>
          <w:szCs w:val="48"/>
          <w:highlight w:val="none"/>
        </w:rPr>
      </w:pPr>
    </w:p>
    <w:p w14:paraId="0A4D293E">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6B068B14">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024DDAD2">
      <w:pPr>
        <w:adjustRightInd w:val="0"/>
        <w:snapToGrid w:val="0"/>
        <w:spacing w:line="288" w:lineRule="auto"/>
        <w:jc w:val="center"/>
        <w:rPr>
          <w:rFonts w:ascii="楷体" w:hAnsi="楷体" w:eastAsia="楷体" w:cs="Times New Roman"/>
          <w:color w:val="auto"/>
          <w:sz w:val="44"/>
          <w:szCs w:val="44"/>
          <w:highlight w:val="none"/>
        </w:rPr>
      </w:pPr>
    </w:p>
    <w:p w14:paraId="330BA828">
      <w:pPr>
        <w:adjustRightInd w:val="0"/>
        <w:snapToGrid w:val="0"/>
        <w:spacing w:line="288" w:lineRule="auto"/>
        <w:jc w:val="center"/>
        <w:rPr>
          <w:rFonts w:ascii="楷体" w:hAnsi="楷体" w:eastAsia="楷体" w:cs="Times New Roman"/>
          <w:color w:val="auto"/>
          <w:sz w:val="44"/>
          <w:szCs w:val="44"/>
          <w:highlight w:val="none"/>
        </w:rPr>
      </w:pPr>
    </w:p>
    <w:p w14:paraId="2E10F760">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综合实验楼（一期）建设工程招标代理及工程量清单编制服务</w:t>
      </w:r>
    </w:p>
    <w:p w14:paraId="3B2E336E">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QSZB-Z(F)-B25155(GK)</w:t>
      </w:r>
    </w:p>
    <w:p w14:paraId="1817743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2694C937">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207F8F4E">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bookmarkStart w:id="55" w:name="_GoBack"/>
      <w:bookmarkEnd w:id="55"/>
      <w:r>
        <w:rPr>
          <w:rFonts w:hint="eastAsia" w:ascii="楷体" w:hAnsi="楷体" w:eastAsia="楷体" w:cs="Times New Roman"/>
          <w:b/>
          <w:color w:val="auto"/>
          <w:spacing w:val="-6"/>
          <w:sz w:val="30"/>
          <w:szCs w:val="30"/>
          <w:highlight w:val="none"/>
          <w:lang w:eastAsia="zh-CN"/>
        </w:rPr>
        <w:t>[2025]25917号</w:t>
      </w:r>
    </w:p>
    <w:p w14:paraId="58FEC730">
      <w:pPr>
        <w:adjustRightInd w:val="0"/>
        <w:snapToGrid w:val="0"/>
        <w:spacing w:line="288" w:lineRule="auto"/>
        <w:rPr>
          <w:rFonts w:ascii="楷体" w:hAnsi="楷体" w:eastAsia="楷体" w:cs="Times New Roman"/>
          <w:b/>
          <w:color w:val="auto"/>
          <w:szCs w:val="21"/>
          <w:highlight w:val="none"/>
        </w:rPr>
      </w:pPr>
    </w:p>
    <w:p w14:paraId="78BC5974">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0F2EB915">
      <w:pPr>
        <w:adjustRightInd w:val="0"/>
        <w:snapToGrid w:val="0"/>
        <w:spacing w:line="288" w:lineRule="auto"/>
        <w:rPr>
          <w:rFonts w:ascii="楷体" w:hAnsi="楷体" w:eastAsia="楷体" w:cs="Times New Roman"/>
          <w:b/>
          <w:color w:val="auto"/>
          <w:sz w:val="30"/>
          <w:szCs w:val="30"/>
          <w:highlight w:val="none"/>
        </w:rPr>
      </w:pPr>
    </w:p>
    <w:p w14:paraId="64EDDAEA">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6CE9320B">
      <w:pPr>
        <w:adjustRightInd w:val="0"/>
        <w:snapToGrid w:val="0"/>
        <w:spacing w:line="288" w:lineRule="auto"/>
        <w:rPr>
          <w:rFonts w:ascii="楷体" w:hAnsi="楷体" w:eastAsia="楷体" w:cs="Times New Roman"/>
          <w:b/>
          <w:color w:val="auto"/>
          <w:sz w:val="30"/>
          <w:szCs w:val="30"/>
          <w:highlight w:val="none"/>
        </w:rPr>
      </w:pPr>
    </w:p>
    <w:p w14:paraId="1037B0C4">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39F8C69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F0BBB2A">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759CECB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2A9B22B5">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51D1A429">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5CF0A2EE">
      <w:pPr>
        <w:widowControl/>
        <w:adjustRightInd w:val="0"/>
        <w:snapToGrid w:val="0"/>
        <w:spacing w:line="288" w:lineRule="auto"/>
        <w:jc w:val="left"/>
        <w:rPr>
          <w:rFonts w:ascii="宋体" w:hAnsi="宋体" w:eastAsia="宋体" w:cs="Times New Roman"/>
          <w:color w:val="auto"/>
          <w:szCs w:val="21"/>
          <w:highlight w:val="none"/>
        </w:rPr>
      </w:pPr>
    </w:p>
    <w:p w14:paraId="3C01C5DE">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6025D84F">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780A5C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6DC83F4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综合实验楼（一期）建设工程招标代理及工程量清单编制服务</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2025年6月13日13:30:00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31B9FAA2">
      <w:pPr>
        <w:adjustRightInd w:val="0"/>
        <w:snapToGrid w:val="0"/>
        <w:spacing w:line="288" w:lineRule="auto"/>
        <w:rPr>
          <w:rFonts w:ascii="宋体" w:hAnsi="宋体" w:eastAsia="宋体" w:cs="宋体"/>
          <w:b/>
          <w:color w:val="auto"/>
          <w:szCs w:val="21"/>
          <w:highlight w:val="none"/>
        </w:rPr>
      </w:pPr>
      <w:bookmarkStart w:id="0" w:name="_Toc35393790"/>
      <w:bookmarkStart w:id="1" w:name="_Toc28359079"/>
      <w:bookmarkStart w:id="2" w:name="_Toc28359002"/>
      <w:bookmarkStart w:id="3" w:name="_Toc35393621"/>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7EBE2555">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QSZB-Z(F)-B25155(GK)</w:t>
      </w:r>
    </w:p>
    <w:p w14:paraId="6705FFEE">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综合实验楼（一期）建设工程招标代理及工程量清单编制服务</w:t>
      </w:r>
    </w:p>
    <w:bookmarkEnd w:id="4"/>
    <w:p w14:paraId="5073777E">
      <w:pPr>
        <w:adjustRightInd w:val="0"/>
        <w:snapToGrid w:val="0"/>
        <w:spacing w:line="288"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3.预算金额：2000000元</w:t>
      </w:r>
    </w:p>
    <w:p w14:paraId="1854DDC6">
      <w:pPr>
        <w:adjustRightInd w:val="0"/>
        <w:snapToGrid w:val="0"/>
        <w:spacing w:line="288"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4.最高限价：1360000元</w:t>
      </w:r>
    </w:p>
    <w:p w14:paraId="02473E94">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.合同履约期限：招标代理服务期自合同签订之日起至工程竣工验收通过之日止；造价咨询服务期自合同签订之日起至项目全部建安工程最终结算审计完成止。</w:t>
      </w:r>
    </w:p>
    <w:p w14:paraId="6FAC61E9">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430C17C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4"/>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3522"/>
        <w:gridCol w:w="828"/>
        <w:gridCol w:w="830"/>
        <w:gridCol w:w="3655"/>
      </w:tblGrid>
      <w:tr w14:paraId="03B62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89" w:type="dxa"/>
            <w:tcBorders>
              <w:tl2br w:val="nil"/>
              <w:tr2bl w:val="nil"/>
            </w:tcBorders>
            <w:vAlign w:val="center"/>
          </w:tcPr>
          <w:p w14:paraId="06AF57E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5" w:name="_Toc28359003"/>
            <w:bookmarkStart w:id="6" w:name="_Toc35393622"/>
            <w:bookmarkStart w:id="7" w:name="_Toc28359080"/>
            <w:bookmarkStart w:id="8" w:name="_Toc35393791"/>
            <w:r>
              <w:rPr>
                <w:rFonts w:hint="eastAsia" w:ascii="宋体" w:hAnsi="宋体" w:eastAsia="宋体" w:cs="宋体"/>
                <w:b/>
                <w:bCs/>
                <w:color w:val="auto"/>
                <w:szCs w:val="21"/>
                <w:highlight w:val="none"/>
              </w:rPr>
              <w:t>序号</w:t>
            </w:r>
          </w:p>
        </w:tc>
        <w:tc>
          <w:tcPr>
            <w:tcW w:w="3522" w:type="dxa"/>
            <w:tcBorders>
              <w:right w:val="single" w:color="auto" w:sz="4" w:space="0"/>
              <w:tl2br w:val="nil"/>
              <w:tr2bl w:val="nil"/>
            </w:tcBorders>
            <w:vAlign w:val="center"/>
          </w:tcPr>
          <w:p w14:paraId="6F5411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828" w:type="dxa"/>
            <w:tcBorders>
              <w:tl2br w:val="nil"/>
              <w:tr2bl w:val="nil"/>
            </w:tcBorders>
            <w:vAlign w:val="center"/>
          </w:tcPr>
          <w:p w14:paraId="6FFF51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830" w:type="dxa"/>
            <w:tcBorders>
              <w:tl2br w:val="nil"/>
              <w:tr2bl w:val="nil"/>
            </w:tcBorders>
            <w:vAlign w:val="center"/>
          </w:tcPr>
          <w:p w14:paraId="776870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655" w:type="dxa"/>
            <w:tcBorders>
              <w:right w:val="single" w:color="auto" w:sz="4" w:space="0"/>
              <w:tl2br w:val="nil"/>
              <w:tr2bl w:val="nil"/>
            </w:tcBorders>
            <w:vAlign w:val="center"/>
          </w:tcPr>
          <w:p w14:paraId="387EEC6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r>
      <w:tr w14:paraId="7F3EB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89" w:type="dxa"/>
            <w:tcBorders>
              <w:tl2br w:val="nil"/>
              <w:tr2bl w:val="nil"/>
            </w:tcBorders>
            <w:vAlign w:val="center"/>
          </w:tcPr>
          <w:p w14:paraId="6D3859E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3522" w:type="dxa"/>
            <w:tcBorders>
              <w:right w:val="single" w:color="auto" w:sz="4" w:space="0"/>
              <w:tl2br w:val="nil"/>
              <w:tr2bl w:val="nil"/>
            </w:tcBorders>
            <w:vAlign w:val="center"/>
          </w:tcPr>
          <w:p w14:paraId="31D89AC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综合实验楼（一期）建设工程招标代理及工程量清单编制服务</w:t>
            </w:r>
          </w:p>
        </w:tc>
        <w:tc>
          <w:tcPr>
            <w:tcW w:w="828" w:type="dxa"/>
            <w:tcBorders>
              <w:tl2br w:val="nil"/>
              <w:tr2bl w:val="nil"/>
            </w:tcBorders>
            <w:vAlign w:val="center"/>
          </w:tcPr>
          <w:p w14:paraId="464F25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830" w:type="dxa"/>
            <w:tcBorders>
              <w:tl2br w:val="nil"/>
              <w:tr2bl w:val="nil"/>
            </w:tcBorders>
            <w:vAlign w:val="center"/>
          </w:tcPr>
          <w:p w14:paraId="02BE9AA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3655" w:type="dxa"/>
            <w:tcBorders>
              <w:right w:val="single" w:color="auto" w:sz="4" w:space="0"/>
              <w:tl2br w:val="nil"/>
              <w:tr2bl w:val="nil"/>
            </w:tcBorders>
            <w:vAlign w:val="center"/>
          </w:tcPr>
          <w:p w14:paraId="7E6522F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详见第二章 采购需求</w:t>
            </w:r>
          </w:p>
        </w:tc>
      </w:tr>
    </w:tbl>
    <w:p w14:paraId="183D601D">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二、申请人的资格要求</w:t>
      </w:r>
      <w:bookmarkEnd w:id="5"/>
      <w:bookmarkEnd w:id="6"/>
      <w:bookmarkEnd w:id="7"/>
      <w:bookmarkEnd w:id="8"/>
    </w:p>
    <w:p w14:paraId="4AF80C0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51BDAD03">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本项目专门面向中小企业采购，需按要求提交《中小企业声明函》。服务全部由中小企业承接，即提供服务的人员为中小企业依照《中华人民共和国劳动合同法》订立劳动合同的从业人员）</w:t>
      </w:r>
      <w:r>
        <w:rPr>
          <w:rFonts w:hint="eastAsia" w:ascii="宋体" w:hAnsi="宋体" w:eastAsia="宋体" w:cs="Times New Roman"/>
          <w:color w:val="auto"/>
          <w:szCs w:val="21"/>
          <w:highlight w:val="none"/>
          <w:lang w:eastAsia="zh-CN"/>
        </w:rPr>
        <w:t>。服务全部由中小企业承接，即提供服务的人员为中小企业依照《中华人民共和国劳动合同法》订立劳动合同的从业人员）；</w:t>
      </w:r>
    </w:p>
    <w:p w14:paraId="5B48ABB1">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3.本项目的特定资格要求：无</w:t>
      </w:r>
      <w:r>
        <w:rPr>
          <w:rFonts w:hint="eastAsia" w:ascii="宋体" w:hAnsi="宋体" w:eastAsia="宋体" w:cs="Times New Roman"/>
          <w:color w:val="auto"/>
          <w:szCs w:val="21"/>
          <w:highlight w:val="none"/>
          <w:lang w:eastAsia="zh-CN"/>
        </w:rPr>
        <w:t>。</w:t>
      </w:r>
    </w:p>
    <w:p w14:paraId="7A28A759">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14:paraId="70A0726B">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22</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2025年6月13日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0321AD4B">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7988E19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5A73BEE9">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2846102C">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10F85D28">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2025年6月13日13:30:00</w:t>
      </w:r>
      <w:r>
        <w:rPr>
          <w:rFonts w:hint="eastAsia" w:ascii="宋体" w:hAnsi="宋体" w:eastAsia="宋体" w:cs="Times New Roman"/>
          <w:bCs/>
          <w:color w:val="auto"/>
          <w:szCs w:val="21"/>
          <w:highlight w:val="none"/>
        </w:rPr>
        <w:t>（北京时间）</w:t>
      </w:r>
    </w:p>
    <w:p w14:paraId="14250A7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01F15BE9">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2025年6月13日13:30:00</w:t>
      </w:r>
      <w:r>
        <w:rPr>
          <w:rFonts w:hint="eastAsia" w:ascii="宋体" w:hAnsi="宋体" w:eastAsia="宋体" w:cs="Times New Roman"/>
          <w:bCs/>
          <w:color w:val="auto"/>
          <w:szCs w:val="21"/>
          <w:highlight w:val="none"/>
        </w:rPr>
        <w:t>（北京时间）</w:t>
      </w:r>
    </w:p>
    <w:p w14:paraId="3D372F6D">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/杭州市西湖区玉古路173号中田大厦21楼（求是招标会议室1）</w:t>
      </w:r>
      <w:bookmarkEnd w:id="18"/>
    </w:p>
    <w:bookmarkEnd w:id="17"/>
    <w:p w14:paraId="1DA740FA">
      <w:pPr>
        <w:adjustRightInd w:val="0"/>
        <w:snapToGrid w:val="0"/>
        <w:spacing w:line="288" w:lineRule="auto"/>
        <w:rPr>
          <w:rFonts w:ascii="宋体" w:hAnsi="宋体" w:eastAsia="宋体" w:cs="宋体"/>
          <w:b/>
          <w:color w:val="auto"/>
          <w:szCs w:val="21"/>
          <w:highlight w:val="none"/>
        </w:rPr>
      </w:pPr>
      <w:bookmarkStart w:id="19" w:name="_Toc35393625"/>
      <w:bookmarkStart w:id="20" w:name="_Toc28359007"/>
      <w:bookmarkStart w:id="21" w:name="_Toc28359084"/>
      <w:bookmarkStart w:id="22" w:name="_Toc35393794"/>
      <w:r>
        <w:rPr>
          <w:rFonts w:hint="eastAsia" w:ascii="宋体" w:hAnsi="宋体" w:eastAsia="宋体" w:cs="宋体"/>
          <w:b/>
          <w:color w:val="auto"/>
          <w:szCs w:val="21"/>
          <w:highlight w:val="none"/>
        </w:rPr>
        <w:t>五、公告期限</w:t>
      </w:r>
      <w:bookmarkEnd w:id="19"/>
      <w:bookmarkEnd w:id="20"/>
      <w:bookmarkEnd w:id="21"/>
      <w:bookmarkEnd w:id="22"/>
    </w:p>
    <w:p w14:paraId="488896BF">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48195A3F">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38C6B7D">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380F573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355A054A">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7E5FDE7F">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395BD258">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120E87E3">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7"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bookmarkEnd w:id="25"/>
    <w:bookmarkEnd w:id="26"/>
    <w:p w14:paraId="6F819BDD">
      <w:pPr>
        <w:adjustRightInd w:val="0"/>
        <w:snapToGrid w:val="0"/>
        <w:spacing w:line="288" w:lineRule="auto"/>
        <w:rPr>
          <w:rFonts w:ascii="宋体" w:hAnsi="宋体" w:eastAsia="宋体" w:cs="Times New Roman"/>
          <w:b/>
          <w:color w:val="auto"/>
          <w:szCs w:val="21"/>
          <w:highlight w:val="none"/>
        </w:rPr>
      </w:pPr>
      <w:bookmarkStart w:id="28" w:name="_Toc28359008"/>
      <w:bookmarkStart w:id="29" w:name="_Toc28359085"/>
      <w:bookmarkStart w:id="30" w:name="_Toc35393796"/>
      <w:bookmarkStart w:id="31" w:name="_Toc35393627"/>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8"/>
      <w:bookmarkEnd w:id="29"/>
      <w:bookmarkEnd w:id="30"/>
      <w:bookmarkEnd w:id="31"/>
    </w:p>
    <w:p w14:paraId="15C8C028">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711BB8E3">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67F7D58E">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53F4B977">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3DCA63C3">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项目联系人（询问）：宋老师</w:t>
      </w:r>
    </w:p>
    <w:p w14:paraId="46AF3CDE">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项目联系方式（询问）：0571-86915061</w:t>
      </w:r>
    </w:p>
    <w:p w14:paraId="14B16F1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3B9C2CAE">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7971C579">
      <w:pPr>
        <w:adjustRightInd w:val="0"/>
        <w:snapToGrid w:val="0"/>
        <w:spacing w:line="288" w:lineRule="auto"/>
        <w:ind w:firstLine="424" w:firstLineChars="202"/>
        <w:rPr>
          <w:rFonts w:hint="eastAsia" w:ascii="宋体" w:hAnsi="宋体" w:eastAsia="宋体" w:cs="Times New Roman"/>
          <w:color w:val="auto"/>
          <w:szCs w:val="21"/>
          <w:highlight w:val="none"/>
        </w:rPr>
      </w:pPr>
    </w:p>
    <w:p w14:paraId="112F5017">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455E45BE">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CF9B4F7">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54FCD954">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28B13727">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项目联系人（询问）：陈应俭、俞炳、朱建飞</w:t>
      </w:r>
    </w:p>
    <w:p w14:paraId="3928FAC7">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14:paraId="0A325828">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质疑联系人：周安琪</w:t>
      </w:r>
    </w:p>
    <w:p w14:paraId="1734C44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211E8E7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质疑邮箱：jdkh@qszb.net</w:t>
      </w:r>
    </w:p>
    <w:p w14:paraId="5FABF785">
      <w:pPr>
        <w:adjustRightInd w:val="0"/>
        <w:snapToGrid w:val="0"/>
        <w:spacing w:line="288" w:lineRule="auto"/>
        <w:ind w:firstLine="424" w:firstLineChars="202"/>
        <w:rPr>
          <w:rFonts w:ascii="宋体" w:hAnsi="宋体" w:eastAsia="宋体" w:cs="Times New Roman"/>
          <w:color w:val="auto"/>
          <w:szCs w:val="21"/>
          <w:highlight w:val="none"/>
        </w:rPr>
      </w:pPr>
      <w:bookmarkStart w:id="32" w:name="_Hlk124147873"/>
    </w:p>
    <w:p w14:paraId="0C215B41">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0384488B">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668D6211">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667020C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7A7C5C82">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联系人：朱老师、王老师、匡老师</w:t>
      </w:r>
    </w:p>
    <w:p w14:paraId="0B822097">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监督投诉电话：0571-87800218，0571-87227671</w:t>
      </w:r>
    </w:p>
    <w:p w14:paraId="6F8679D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43F4919B">
      <w:pPr>
        <w:adjustRightInd w:val="0"/>
        <w:snapToGrid w:val="0"/>
        <w:spacing w:line="288" w:lineRule="auto"/>
        <w:ind w:firstLine="370"/>
        <w:rPr>
          <w:rFonts w:ascii="宋体" w:hAnsi="宋体" w:eastAsia="宋体" w:cs="Times New Roman"/>
          <w:color w:val="auto"/>
          <w:spacing w:val="-6"/>
          <w:szCs w:val="21"/>
          <w:highlight w:val="none"/>
        </w:rPr>
      </w:pPr>
    </w:p>
    <w:p w14:paraId="0DCB96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48D05DB9">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2"/>
    <w:p w14:paraId="16072272">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4D75961B">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FE5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5F5C70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3" w:name="_Hlk45005599"/>
            <w:r>
              <w:rPr>
                <w:rFonts w:hint="eastAsia" w:ascii="宋体" w:hAnsi="宋体" w:eastAsia="宋体" w:cs="宋体"/>
                <w:b/>
                <w:bCs/>
                <w:color w:val="auto"/>
                <w:szCs w:val="21"/>
                <w:highlight w:val="none"/>
              </w:rPr>
              <w:t>序号</w:t>
            </w:r>
          </w:p>
        </w:tc>
        <w:tc>
          <w:tcPr>
            <w:tcW w:w="3256" w:type="dxa"/>
            <w:vAlign w:val="center"/>
          </w:tcPr>
          <w:p w14:paraId="20566E5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77E02C2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6341F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559416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56CED2E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4C8D13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67ED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3B18C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2BD391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4B8F6F1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4C027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4EA5F1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6ADCD63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5CF1C1F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515E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C1A188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5ABF849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37906CC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14:paraId="6E3B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06A77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4FDD8B91">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61D540D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w:t>
            </w:r>
            <w:r>
              <w:rPr>
                <w:rFonts w:hint="eastAsia" w:ascii="宋体" w:hAnsi="宋体" w:eastAsia="宋体" w:cs="宋体"/>
                <w:color w:val="auto"/>
                <w:szCs w:val="21"/>
                <w:highlight w:val="none"/>
                <w:lang w:val="en-US" w:eastAsia="zh-CN"/>
              </w:rPr>
              <w:t>资格</w:t>
            </w:r>
            <w:r>
              <w:rPr>
                <w:rFonts w:hint="eastAsia" w:ascii="宋体" w:hAnsi="宋体" w:eastAsia="宋体" w:cs="宋体"/>
                <w:color w:val="auto"/>
                <w:szCs w:val="21"/>
                <w:highlight w:val="none"/>
              </w:rPr>
              <w:t>文件”</w:t>
            </w:r>
          </w:p>
          <w:p w14:paraId="1034830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w:t>
            </w:r>
            <w:r>
              <w:rPr>
                <w:rFonts w:hint="default" w:ascii="宋体" w:hAnsi="宋体" w:eastAsia="宋体" w:cs="Times New Roman"/>
                <w:b/>
                <w:bCs/>
                <w:color w:val="auto"/>
                <w:szCs w:val="21"/>
                <w:highlight w:val="none"/>
              </w:rPr>
              <w:t>服务</w:t>
            </w:r>
          </w:p>
          <w:p w14:paraId="59DBF3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采购标的对应的中小企业划分标准所属行业：其他未列明行业</w:t>
            </w:r>
          </w:p>
          <w:p w14:paraId="6049F19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中小企业划型标准：从业人员300人以下的为中小微型企业。其中，从业人员100人及以上的为中型企业；从业人员10人及以上的为小型企业；从业人员10人以下的为微型企业。</w:t>
            </w:r>
          </w:p>
        </w:tc>
      </w:tr>
      <w:tr w14:paraId="3E61A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31551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58E94D8">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3094A2A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提供材料详见招标文件第六章“资格文件”</w:t>
            </w:r>
          </w:p>
        </w:tc>
      </w:tr>
      <w:tr w14:paraId="0747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3D0EBF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05B464B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2A619F7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bookmarkEnd w:id="33"/>
    </w:tbl>
    <w:p w14:paraId="2CF165BB">
      <w:pPr>
        <w:adjustRightInd w:val="0"/>
        <w:snapToGrid w:val="0"/>
        <w:spacing w:line="288" w:lineRule="auto"/>
        <w:rPr>
          <w:rFonts w:ascii="宋体" w:hAnsi="宋体" w:eastAsia="宋体" w:cs="Times New Roman"/>
          <w:b/>
          <w:color w:val="auto"/>
          <w:spacing w:val="-4"/>
          <w:szCs w:val="21"/>
          <w:highlight w:val="none"/>
        </w:rPr>
      </w:pPr>
    </w:p>
    <w:p w14:paraId="665C22CC">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4"/>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427633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6D05E7A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545739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1.合同签订后5个工作日内，供应商向采购人提交合同总价</w:t>
            </w:r>
            <w:r>
              <w:rPr>
                <w:rFonts w:hint="eastAsia" w:ascii="宋体" w:hAnsi="宋体" w:eastAsia="宋体" w:cs="宋体"/>
                <w:color w:val="auto"/>
                <w:spacing w:val="-6"/>
                <w:kern w:val="0"/>
                <w:szCs w:val="21"/>
                <w:highlight w:val="none"/>
                <w:lang w:val="en-US" w:eastAsia="zh-CN"/>
              </w:rPr>
              <w:t>1%</w:t>
            </w:r>
            <w:r>
              <w:rPr>
                <w:rFonts w:hint="eastAsia" w:ascii="宋体" w:hAnsi="宋体" w:eastAsia="宋体" w:cs="宋体"/>
                <w:color w:val="auto"/>
                <w:spacing w:val="-6"/>
                <w:kern w:val="0"/>
                <w:szCs w:val="21"/>
                <w:highlight w:val="none"/>
              </w:rPr>
              <w:t>的履约保证金，履约保证金在合同履约期间无违约情形的，项目验收结束后，于7个工作日内退还（不计息）；</w:t>
            </w:r>
          </w:p>
          <w:p w14:paraId="43B7D2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2.提交方式：支票、汇票、本票或金融机构、担保机构出具的保函等非现金形式。</w:t>
            </w:r>
          </w:p>
          <w:p w14:paraId="5B2D63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注：履约保证金如采用银行转账方式提交，具体转账信息如下：</w:t>
            </w:r>
          </w:p>
          <w:p w14:paraId="6C4458B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收款单位（户名）：杭州电子科技大学</w:t>
            </w:r>
          </w:p>
          <w:p w14:paraId="58BC8DE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开户银行：工行高新支行</w:t>
            </w:r>
          </w:p>
          <w:p w14:paraId="3481DFD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银行账号：1202026209008806216</w:t>
            </w:r>
          </w:p>
        </w:tc>
      </w:tr>
      <w:tr w14:paraId="74D93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6FF9F5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4DBC9A2B">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1.合同生效以及具备实施条件后7个工作日内，且</w:t>
            </w:r>
            <w:r>
              <w:rPr>
                <w:rFonts w:hint="eastAsia" w:ascii="宋体" w:hAnsi="宋体" w:eastAsia="宋体" w:cs="宋体"/>
                <w:color w:val="auto"/>
                <w:kern w:val="0"/>
                <w:sz w:val="21"/>
                <w:szCs w:val="21"/>
                <w:highlight w:val="none"/>
                <w:lang w:val="en-US" w:eastAsia="zh-CN" w:bidi="ar"/>
              </w:rPr>
              <w:t>中标人已向采购人提交银行、保险公司等金融机构出具的预付款保函的，</w:t>
            </w:r>
            <w:r>
              <w:rPr>
                <w:rFonts w:hint="eastAsia" w:ascii="宋体" w:hAnsi="宋体" w:eastAsia="宋体" w:cs="宋体"/>
                <w:color w:val="auto"/>
                <w:spacing w:val="-6"/>
                <w:kern w:val="0"/>
                <w:sz w:val="21"/>
                <w:szCs w:val="21"/>
                <w:highlight w:val="none"/>
                <w:lang w:val="en-US" w:eastAsia="zh-CN" w:bidi="ar"/>
              </w:rPr>
              <w:t>采购人向中标人支付合同总价的20%；项目履约完成，经采购人验收合格后，收到发票后7个工作日内，采购人向中标人支付合同总价的80%。</w:t>
            </w:r>
          </w:p>
          <w:p w14:paraId="250C8C11">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2.签订合同时中标人明确表示无需预付款的，可以采用以下付款方式：</w:t>
            </w:r>
          </w:p>
          <w:p w14:paraId="449F676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lang w:val="zh-CN"/>
              </w:rPr>
            </w:pPr>
            <w:r>
              <w:rPr>
                <w:rFonts w:hint="eastAsia" w:ascii="宋体" w:hAnsi="宋体" w:eastAsia="宋体" w:cs="宋体"/>
                <w:color w:val="auto"/>
                <w:spacing w:val="-6"/>
                <w:kern w:val="0"/>
                <w:szCs w:val="21"/>
                <w:highlight w:val="none"/>
                <w:lang w:val="zh-CN"/>
              </w:rPr>
              <w:t>施工项目招标完成且与施工单位完成清单核对后，收到发票后15个工作日内，</w:t>
            </w:r>
            <w:r>
              <w:rPr>
                <w:rFonts w:hint="eastAsia" w:ascii="宋体" w:hAnsi="宋体" w:eastAsia="宋体" w:cs="宋体"/>
                <w:color w:val="auto"/>
                <w:spacing w:val="-6"/>
                <w:kern w:val="0"/>
                <w:szCs w:val="21"/>
                <w:highlight w:val="none"/>
                <w:lang w:val="en-US" w:eastAsia="zh-CN"/>
              </w:rPr>
              <w:t>采购人</w:t>
            </w:r>
            <w:r>
              <w:rPr>
                <w:rFonts w:hint="eastAsia" w:ascii="宋体" w:hAnsi="宋体" w:eastAsia="宋体" w:cs="宋体"/>
                <w:color w:val="auto"/>
                <w:spacing w:val="-6"/>
                <w:kern w:val="0"/>
                <w:szCs w:val="21"/>
                <w:highlight w:val="none"/>
                <w:lang w:val="zh-CN"/>
              </w:rPr>
              <w:t>向</w:t>
            </w:r>
            <w:r>
              <w:rPr>
                <w:rFonts w:hint="eastAsia" w:ascii="宋体" w:hAnsi="宋体" w:eastAsia="宋体" w:cs="宋体"/>
                <w:color w:val="auto"/>
                <w:spacing w:val="-6"/>
                <w:kern w:val="0"/>
                <w:szCs w:val="21"/>
                <w:highlight w:val="none"/>
                <w:lang w:val="en-US" w:eastAsia="zh-CN"/>
              </w:rPr>
              <w:t>中标人</w:t>
            </w:r>
            <w:r>
              <w:rPr>
                <w:rFonts w:hint="eastAsia" w:ascii="宋体" w:hAnsi="宋体" w:eastAsia="宋体" w:cs="宋体"/>
                <w:color w:val="auto"/>
                <w:spacing w:val="-6"/>
                <w:kern w:val="0"/>
                <w:szCs w:val="21"/>
                <w:highlight w:val="none"/>
                <w:lang w:val="zh-CN"/>
              </w:rPr>
              <w:t>支付</w:t>
            </w:r>
            <w:r>
              <w:rPr>
                <w:rFonts w:hint="eastAsia" w:ascii="宋体" w:hAnsi="宋体" w:eastAsia="宋体" w:cs="宋体"/>
                <w:color w:val="auto"/>
                <w:spacing w:val="-6"/>
                <w:kern w:val="0"/>
                <w:szCs w:val="21"/>
                <w:highlight w:val="none"/>
                <w:lang w:val="en-US" w:eastAsia="zh-CN"/>
              </w:rPr>
              <w:t>合同总价</w:t>
            </w:r>
            <w:r>
              <w:rPr>
                <w:rFonts w:hint="eastAsia" w:ascii="宋体" w:hAnsi="宋体" w:eastAsia="宋体" w:cs="宋体"/>
                <w:color w:val="auto"/>
                <w:spacing w:val="-6"/>
                <w:kern w:val="0"/>
                <w:szCs w:val="21"/>
                <w:highlight w:val="none"/>
                <w:lang w:val="zh-CN"/>
              </w:rPr>
              <w:t>的</w:t>
            </w:r>
            <w:r>
              <w:rPr>
                <w:rFonts w:hint="eastAsia" w:ascii="宋体" w:hAnsi="宋体" w:eastAsia="宋体" w:cs="宋体"/>
                <w:color w:val="auto"/>
                <w:spacing w:val="-6"/>
                <w:kern w:val="0"/>
                <w:szCs w:val="21"/>
                <w:highlight w:val="none"/>
              </w:rPr>
              <w:t>8</w:t>
            </w:r>
            <w:r>
              <w:rPr>
                <w:rFonts w:hint="eastAsia" w:ascii="宋体" w:hAnsi="宋体" w:eastAsia="宋体" w:cs="宋体"/>
                <w:color w:val="auto"/>
                <w:spacing w:val="-6"/>
                <w:kern w:val="0"/>
                <w:szCs w:val="21"/>
                <w:highlight w:val="none"/>
                <w:lang w:val="zh-CN"/>
              </w:rPr>
              <w:t>0%；最终结算审计完成</w:t>
            </w:r>
            <w:r>
              <w:rPr>
                <w:rFonts w:hint="eastAsia" w:ascii="宋体" w:hAnsi="宋体" w:eastAsia="宋体" w:cs="宋体"/>
                <w:color w:val="auto"/>
                <w:spacing w:val="-6"/>
                <w:kern w:val="0"/>
                <w:szCs w:val="21"/>
                <w:highlight w:val="none"/>
              </w:rPr>
              <w:t>且扣除准确率偏差处罚</w:t>
            </w:r>
            <w:r>
              <w:rPr>
                <w:rFonts w:hint="eastAsia" w:ascii="宋体" w:hAnsi="宋体" w:eastAsia="宋体" w:cs="宋体"/>
                <w:color w:val="auto"/>
                <w:spacing w:val="-6"/>
                <w:kern w:val="0"/>
                <w:szCs w:val="21"/>
                <w:highlight w:val="none"/>
                <w:lang w:val="zh-CN"/>
              </w:rPr>
              <w:t>后，收到发票后15个工作日内，采购人向中标人支付合同总价的</w:t>
            </w:r>
            <w:r>
              <w:rPr>
                <w:rFonts w:hint="eastAsia" w:ascii="宋体" w:hAnsi="宋体" w:eastAsia="宋体" w:cs="宋体"/>
                <w:color w:val="auto"/>
                <w:spacing w:val="-6"/>
                <w:kern w:val="0"/>
                <w:szCs w:val="21"/>
                <w:highlight w:val="none"/>
                <w:lang w:val="en-US" w:eastAsia="zh-CN"/>
              </w:rPr>
              <w:t>2</w:t>
            </w:r>
            <w:r>
              <w:rPr>
                <w:rFonts w:hint="eastAsia" w:ascii="宋体" w:hAnsi="宋体" w:eastAsia="宋体" w:cs="宋体"/>
                <w:color w:val="auto"/>
                <w:spacing w:val="-6"/>
                <w:kern w:val="0"/>
                <w:szCs w:val="21"/>
                <w:highlight w:val="none"/>
                <w:lang w:val="zh-CN"/>
              </w:rPr>
              <w:t>0%。</w:t>
            </w:r>
          </w:p>
          <w:p w14:paraId="7BB2989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lang w:val="zh-CN"/>
              </w:rPr>
            </w:pPr>
            <w:r>
              <w:rPr>
                <w:rFonts w:hint="eastAsia" w:ascii="宋体" w:hAnsi="宋体" w:eastAsia="宋体" w:cs="宋体"/>
                <w:color w:val="auto"/>
                <w:spacing w:val="-6"/>
                <w:kern w:val="0"/>
                <w:szCs w:val="21"/>
                <w:highlight w:val="none"/>
                <w:lang w:val="zh-CN"/>
              </w:rPr>
              <w:t>注：付款前，中标人须交纳合同约定的履约保证金（如有）并提供采购人财务处开具的履约保证金收据，中标人向采购人开具等额有效的合格增值税专用发票。采购人开票信息如下：</w:t>
            </w:r>
          </w:p>
          <w:p w14:paraId="00E9D57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lang w:val="zh-CN"/>
              </w:rPr>
            </w:pPr>
            <w:r>
              <w:rPr>
                <w:rFonts w:hint="eastAsia" w:ascii="宋体" w:hAnsi="宋体" w:eastAsia="宋体" w:cs="宋体"/>
                <w:color w:val="auto"/>
                <w:spacing w:val="-6"/>
                <w:kern w:val="0"/>
                <w:szCs w:val="21"/>
                <w:highlight w:val="none"/>
                <w:lang w:val="zh-CN"/>
              </w:rPr>
              <w:t>单位名称：杭州电子科技大学。税号：12330000470009026T</w:t>
            </w:r>
          </w:p>
          <w:p w14:paraId="085C9B54">
            <w:pPr>
              <w:keepNext w:val="0"/>
              <w:keepLines w:val="0"/>
              <w:suppressLineNumbers w:val="0"/>
              <w:adjustRightInd w:val="0"/>
              <w:snapToGrid w:val="0"/>
              <w:spacing w:before="0" w:beforeAutospacing="0" w:after="0" w:afterAutospacing="0" w:line="288" w:lineRule="auto"/>
              <w:ind w:left="0" w:right="0"/>
              <w:rPr>
                <w:rFonts w:hint="default"/>
                <w:color w:val="auto"/>
                <w:highlight w:val="none"/>
              </w:rPr>
            </w:pPr>
            <w:r>
              <w:rPr>
                <w:rFonts w:hint="eastAsia" w:ascii="宋体" w:hAnsi="宋体" w:eastAsia="宋体" w:cs="宋体"/>
                <w:color w:val="auto"/>
                <w:spacing w:val="-6"/>
                <w:kern w:val="0"/>
                <w:szCs w:val="21"/>
                <w:highlight w:val="none"/>
                <w:lang w:val="zh-CN"/>
              </w:rPr>
              <w:t>开户银行：工行杭州高新支行。账号：1202026209008806216</w:t>
            </w:r>
          </w:p>
        </w:tc>
      </w:tr>
    </w:tbl>
    <w:p w14:paraId="5822A090">
      <w:pPr>
        <w:adjustRightInd w:val="0"/>
        <w:snapToGrid w:val="0"/>
        <w:spacing w:line="288" w:lineRule="auto"/>
        <w:rPr>
          <w:rFonts w:ascii="宋体" w:hAnsi="宋体" w:eastAsia="宋体" w:cs="Times New Roman"/>
          <w:color w:val="auto"/>
          <w:spacing w:val="-4"/>
          <w:szCs w:val="21"/>
          <w:highlight w:val="none"/>
        </w:rPr>
      </w:pPr>
    </w:p>
    <w:p w14:paraId="0A601F4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w:t>
      </w:r>
    </w:p>
    <w:p w14:paraId="09C41D56">
      <w:pPr>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（一）招标代理项目概况：</w:t>
      </w:r>
    </w:p>
    <w:p w14:paraId="46D7BBDC">
      <w:pPr>
        <w:spacing w:line="288" w:lineRule="auto"/>
        <w:ind w:firstLine="420" w:firstLineChars="200"/>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1.工程名称：杭州电子科技大学综合实验楼（一期）建设工程；</w:t>
      </w:r>
    </w:p>
    <w:p w14:paraId="4AED4FD0">
      <w:pPr>
        <w:spacing w:line="288" w:lineRule="auto"/>
        <w:ind w:firstLine="420" w:firstLineChars="200"/>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2.工程地点：项目建设位于学校西北角，</w:t>
      </w:r>
      <w:r>
        <w:rPr>
          <w:rFonts w:hint="eastAsia" w:ascii="宋体" w:hAnsi="宋体" w:eastAsia="宋体" w:cs="宋体"/>
          <w:bCs/>
          <w:color w:val="auto"/>
          <w:szCs w:val="21"/>
          <w:highlight w:val="none"/>
        </w:rPr>
        <w:t>西侧临近文渊路，北侧为排球场，东侧为行政楼，南邻二号大街；</w:t>
      </w:r>
    </w:p>
    <w:p w14:paraId="0C605887">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3.项目概况：</w:t>
      </w:r>
      <w:r>
        <w:rPr>
          <w:rFonts w:hint="eastAsia" w:ascii="宋体" w:hAnsi="宋体" w:eastAsia="宋体" w:cs="宋体"/>
          <w:color w:val="auto"/>
          <w:szCs w:val="21"/>
          <w:highlight w:val="none"/>
        </w:rPr>
        <w:t>本项目投资估算66000万元，</w:t>
      </w:r>
      <w:r>
        <w:rPr>
          <w:rFonts w:hint="eastAsia" w:ascii="宋体" w:hAnsi="宋体" w:eastAsia="宋体" w:cs="宋体"/>
          <w:color w:val="auto"/>
          <w:spacing w:val="-6"/>
          <w:szCs w:val="21"/>
          <w:highlight w:val="none"/>
        </w:rPr>
        <w:t>总用地面积20000平方米，项目建设总建筑面积100000平方米，其中地上建筑面积80000平方米、地下建筑面积20000平方米；</w:t>
      </w:r>
    </w:p>
    <w:p w14:paraId="278F6DCF">
      <w:pPr>
        <w:spacing w:line="288" w:lineRule="auto"/>
        <w:ind w:firstLine="420" w:firstLineChars="200"/>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4.服务期：招标代理服务期自合同签订之日起至工程竣工验收通过之日止；造价咨询服务期自合同签订之日起至项目全部建安工程最终结算审计完成止。</w:t>
      </w:r>
    </w:p>
    <w:p w14:paraId="04A2A3CA">
      <w:pPr>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（二）服务范围：</w:t>
      </w:r>
    </w:p>
    <w:p w14:paraId="1D9EC68A">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1.负责制定、调整本项目招标规划及招标进度计划，并报采购人审定；</w:t>
      </w:r>
    </w:p>
    <w:p w14:paraId="60E12D44">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2.项目建设涉及的</w:t>
      </w:r>
      <w:r>
        <w:rPr>
          <w:rFonts w:hint="eastAsia" w:ascii="宋体" w:hAnsi="宋体" w:eastAsia="宋体" w:cs="宋体"/>
          <w:bCs/>
          <w:color w:val="auto"/>
          <w:szCs w:val="21"/>
          <w:highlight w:val="none"/>
          <w:lang w:val="en-US" w:eastAsia="zh-CN"/>
        </w:rPr>
        <w:t>除设计和地勘外的</w:t>
      </w:r>
      <w:r>
        <w:rPr>
          <w:rFonts w:hint="eastAsia" w:ascii="宋体" w:hAnsi="宋体" w:eastAsia="宋体" w:cs="宋体"/>
          <w:bCs/>
          <w:color w:val="auto"/>
          <w:szCs w:val="21"/>
          <w:highlight w:val="none"/>
        </w:rPr>
        <w:t>服务类、工程类、货物类、专业配套工程等招标代理工作（包括但不限于跟踪审计、工程监理、</w:t>
      </w:r>
      <w:r>
        <w:rPr>
          <w:rFonts w:hint="eastAsia" w:ascii="宋体" w:hAnsi="宋体" w:eastAsia="宋体" w:cs="宋体"/>
          <w:bCs/>
          <w:color w:val="auto"/>
          <w:szCs w:val="21"/>
          <w:highlight w:val="none"/>
          <w:lang w:val="en-US" w:eastAsia="zh-CN"/>
        </w:rPr>
        <w:t>桩基检测和基坑监测</w:t>
      </w:r>
      <w:r>
        <w:rPr>
          <w:rFonts w:hint="eastAsia" w:ascii="宋体" w:hAnsi="宋体" w:eastAsia="宋体" w:cs="宋体"/>
          <w:bCs/>
          <w:color w:val="auto"/>
          <w:szCs w:val="21"/>
          <w:highlight w:val="none"/>
        </w:rPr>
        <w:t>、施工、设备采购等，最终以采购人需求为准）；</w:t>
      </w:r>
    </w:p>
    <w:p w14:paraId="36021B4D">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3.办理项目招标备案的一切手续，负责起草各标段涉及的招标申请报告及有关事项的落实；</w:t>
      </w:r>
    </w:p>
    <w:p w14:paraId="19D2A2E0">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4.根据工程建设进度需要及采购人要求起草招标公告，并报采购人及招标管理机构审定，核备后发布招标公告；</w:t>
      </w:r>
    </w:p>
    <w:p w14:paraId="369739C2">
      <w:pPr>
        <w:spacing w:line="288" w:lineRule="auto"/>
        <w:ind w:firstLine="420" w:firstLineChars="200"/>
        <w:jc w:val="left"/>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5.编制招标文件并报采购人及招标管理机构审定或核备；</w:t>
      </w:r>
    </w:p>
    <w:p w14:paraId="4D566752">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bCs/>
          <w:color w:val="auto"/>
          <w:szCs w:val="21"/>
          <w:highlight w:val="none"/>
        </w:rPr>
        <w:t>6.根据工程建设进度需要及</w:t>
      </w:r>
      <w:r>
        <w:rPr>
          <w:rFonts w:hint="eastAsia" w:ascii="宋体" w:hAnsi="宋体" w:eastAsia="宋体" w:cs="宋体"/>
          <w:bCs/>
          <w:color w:val="auto"/>
          <w:szCs w:val="21"/>
          <w:highlight w:val="none"/>
          <w:lang w:val="en-US" w:eastAsia="zh-CN"/>
        </w:rPr>
        <w:t>采购人</w:t>
      </w:r>
      <w:r>
        <w:rPr>
          <w:rFonts w:hint="eastAsia" w:ascii="宋体" w:hAnsi="宋体" w:eastAsia="宋体" w:cs="宋体"/>
          <w:bCs/>
          <w:color w:val="auto"/>
          <w:szCs w:val="21"/>
          <w:highlight w:val="none"/>
        </w:rPr>
        <w:t>的要求，负责编制完成实物工程量清单、工程预算价（控制价）及工程量计算书，并完成报有关部门审定或核备工程，根据有关部门提出的审核意见完成工程量清单及控制价的修改；</w:t>
      </w: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的要求完成与跟审单位背靠背清单及控制价核对；与施工单位的清单复核等，具体以</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人要求为准；</w:t>
      </w:r>
    </w:p>
    <w:p w14:paraId="78B2DE7F">
      <w:pPr>
        <w:spacing w:line="288" w:lineRule="auto"/>
        <w:ind w:firstLine="420" w:firstLineChars="200"/>
        <w:jc w:val="left"/>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遇采购人和施工投标人提出清单工程量有疑义时，须再次核算工程量并出具最终的工程量清单以供招标。</w:t>
      </w:r>
      <w:r>
        <w:rPr>
          <w:rFonts w:hint="eastAsia" w:ascii="宋体" w:hAnsi="宋体" w:eastAsia="宋体" w:cs="宋体"/>
          <w:b/>
          <w:color w:val="auto"/>
          <w:szCs w:val="21"/>
          <w:highlight w:val="none"/>
        </w:rPr>
        <w:t>对于图纸不全或者图审后修改造成变动的工程量，须在正式图纸下发后计算工程量，修改工程量清单，并根据采购人的要求及时与全过程跟踪审计单位、施工单位核对，确定合同工程量及造价。</w:t>
      </w:r>
      <w:r>
        <w:rPr>
          <w:rFonts w:hint="eastAsia" w:ascii="宋体" w:hAnsi="宋体" w:eastAsia="宋体" w:cs="宋体"/>
          <w:bCs/>
          <w:color w:val="auto"/>
          <w:szCs w:val="21"/>
          <w:highlight w:val="none"/>
        </w:rPr>
        <w:t>造价需符合市场及行业正常标准。严禁偏离市场正常水平，否则视为该参考价无效，且不予支付相关费用。以上成果资料必须由本机构注册造价工程师编制，本机构注册造价师审核，相关人员应签字并加盖执业专用章；</w:t>
      </w:r>
    </w:p>
    <w:p w14:paraId="55FE648C">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7.根据采购人采购项目特点及要求审查投标人（供应商）资格；</w:t>
      </w:r>
    </w:p>
    <w:p w14:paraId="78238382">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8.发售招标文件，组织招标答疑；</w:t>
      </w:r>
    </w:p>
    <w:p w14:paraId="575C93D8">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9.收集、整理招投标过程资料（含电子版扫描件）存档；</w:t>
      </w:r>
    </w:p>
    <w:p w14:paraId="2F2D91AB">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10.根据采购人委托的采购项目负责组织采购活动，包括依法组成评审小组，组织开标评标，推荐供应商（成交供应商），向采购人提交招投标结果；</w:t>
      </w:r>
    </w:p>
    <w:p w14:paraId="6A16DE57">
      <w:pPr>
        <w:spacing w:line="288" w:lineRule="auto"/>
        <w:ind w:left="210" w:leftChars="100" w:firstLine="210" w:firstLineChars="1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11.作为鉴证方参与合同签订，协助采购人进行合同管理等；</w:t>
      </w:r>
    </w:p>
    <w:p w14:paraId="64963762">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12.若采购人委托第三方造价咨询机构审核供应商提供的工程量清单及预算时，供应商应积极配合核对和协同，并根据核对后的结果，出具正式咨询结果；</w:t>
      </w:r>
    </w:p>
    <w:p w14:paraId="7B252861">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13.如采购人要求供应商须与施工中标单位核对工程量清单或预算的，供应商需负责配合核对和协同；</w:t>
      </w:r>
    </w:p>
    <w:p w14:paraId="503B8DA2">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14.施工过程中、审计过程中合同条款咨询等后续服务；</w:t>
      </w:r>
    </w:p>
    <w:p w14:paraId="00A60219">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15.采购人要求的其他事项。</w:t>
      </w:r>
    </w:p>
    <w:p w14:paraId="4F341E43">
      <w:pPr>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（三）服务要求：</w:t>
      </w:r>
    </w:p>
    <w:p w14:paraId="1FA1DFA8">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1.按采购人的要求，保质、保量、按时完成各项招标工作；</w:t>
      </w:r>
    </w:p>
    <w:p w14:paraId="2A57516C">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2.每次收到采购人委托任务后，工程类招标（图纸完整后）应在2日内完成招标文件初稿；设备或服务内应在</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日内完成招标文件初稿报采购人审核、确认；对技术要求较复杂、需市场调研的技术参数部分视具体情况和采购人商定文件编制时间；</w:t>
      </w:r>
    </w:p>
    <w:p w14:paraId="25769E7E">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▲3.</w:t>
      </w:r>
      <w:r>
        <w:rPr>
          <w:rFonts w:hint="eastAsia" w:ascii="宋体" w:hAnsi="宋体" w:eastAsia="宋体" w:cs="宋体"/>
          <w:color w:val="auto"/>
          <w:szCs w:val="21"/>
          <w:highlight w:val="none"/>
        </w:rPr>
        <w:t>供应商需按照投标时采购人指定的时间内完成指定的工作任务，本项目要求从供应商接到采购人指令单起25日历天内完成工程量清单及招标控制价编制，5日历天内完成与跟审单位</w:t>
      </w:r>
      <w:r>
        <w:rPr>
          <w:rFonts w:hint="eastAsia" w:ascii="宋体" w:hAnsi="宋体" w:eastAsia="宋体" w:cs="宋体"/>
          <w:color w:val="auto"/>
          <w:szCs w:val="21"/>
          <w:highlight w:val="none"/>
          <w:lang w:val="en-US" w:eastAsia="zh-CN"/>
        </w:rPr>
        <w:t>核对</w:t>
      </w:r>
      <w:r>
        <w:rPr>
          <w:rFonts w:hint="eastAsia" w:ascii="宋体" w:hAnsi="宋体" w:eastAsia="宋体" w:cs="宋体"/>
          <w:color w:val="auto"/>
          <w:szCs w:val="21"/>
          <w:highlight w:val="none"/>
        </w:rPr>
        <w:t>；</w:t>
      </w:r>
    </w:p>
    <w:p w14:paraId="1A5A5F67">
      <w:pPr>
        <w:spacing w:line="288" w:lineRule="auto"/>
        <w:ind w:firstLine="420" w:firstLineChars="200"/>
        <w:outlineLvl w:val="0"/>
        <w:rPr>
          <w:rFonts w:ascii="宋体" w:hAnsi="宋体" w:eastAsia="宋体" w:cs="宋体"/>
          <w:bCs/>
          <w:color w:val="auto"/>
          <w:szCs w:val="21"/>
          <w:highlight w:val="none"/>
          <w:lang w:val="zh-CN"/>
        </w:rPr>
      </w:pPr>
      <w:r>
        <w:rPr>
          <w:rFonts w:hint="eastAsia" w:ascii="宋体" w:hAnsi="宋体" w:eastAsia="宋体" w:cs="宋体"/>
          <w:bCs/>
          <w:color w:val="auto"/>
          <w:szCs w:val="21"/>
          <w:highlight w:val="none"/>
        </w:rPr>
        <w:t>4.</w:t>
      </w:r>
      <w:r>
        <w:rPr>
          <w:rFonts w:hint="eastAsia" w:ascii="宋体" w:hAnsi="宋体" w:eastAsia="宋体" w:cs="宋体"/>
          <w:bCs/>
          <w:color w:val="auto"/>
          <w:szCs w:val="21"/>
          <w:highlight w:val="none"/>
          <w:lang w:val="zh-CN"/>
        </w:rPr>
        <w:t>编制工程量清单的服务质量：因</w:t>
      </w:r>
      <w:r>
        <w:rPr>
          <w:rFonts w:hint="eastAsia" w:ascii="宋体" w:hAnsi="宋体" w:eastAsia="宋体" w:cs="宋体"/>
          <w:bCs/>
          <w:color w:val="auto"/>
          <w:szCs w:val="21"/>
          <w:highlight w:val="none"/>
        </w:rPr>
        <w:t>供应商</w:t>
      </w:r>
      <w:r>
        <w:rPr>
          <w:rFonts w:hint="eastAsia" w:ascii="宋体" w:hAnsi="宋体" w:eastAsia="宋体" w:cs="宋体"/>
          <w:bCs/>
          <w:color w:val="auto"/>
          <w:szCs w:val="21"/>
          <w:highlight w:val="none"/>
          <w:lang w:val="zh-CN"/>
        </w:rPr>
        <w:t>原因造成各标段未实现约定质量目标，如因</w:t>
      </w:r>
      <w:r>
        <w:rPr>
          <w:rFonts w:hint="eastAsia" w:ascii="宋体" w:hAnsi="宋体" w:eastAsia="宋体" w:cs="宋体"/>
          <w:bCs/>
          <w:color w:val="auto"/>
          <w:szCs w:val="21"/>
          <w:highlight w:val="none"/>
        </w:rPr>
        <w:t>供应商</w:t>
      </w:r>
      <w:r>
        <w:rPr>
          <w:rFonts w:hint="eastAsia" w:ascii="宋体" w:hAnsi="宋体" w:eastAsia="宋体" w:cs="宋体"/>
          <w:bCs/>
          <w:color w:val="auto"/>
          <w:szCs w:val="21"/>
          <w:highlight w:val="none"/>
          <w:lang w:val="zh-CN"/>
        </w:rPr>
        <w:t>自身原因在编制工程量清单出现漏项、漏量等问题，</w:t>
      </w:r>
      <w:r>
        <w:rPr>
          <w:rFonts w:hint="eastAsia" w:ascii="宋体" w:hAnsi="宋体" w:eastAsia="宋体" w:cs="宋体"/>
          <w:b/>
          <w:color w:val="auto"/>
          <w:szCs w:val="21"/>
          <w:highlight w:val="none"/>
        </w:rPr>
        <w:t>提供的工程量清单准确率偏差超出±2％，超出±2％部分每达到1％的误差，扣除</w:t>
      </w:r>
      <w:r>
        <w:rPr>
          <w:rFonts w:hint="eastAsia" w:ascii="宋体" w:hAnsi="宋体" w:eastAsia="宋体" w:cs="宋体"/>
          <w:b/>
          <w:color w:val="auto"/>
          <w:szCs w:val="21"/>
          <w:highlight w:val="none"/>
          <w:lang w:val="en-US" w:eastAsia="zh-CN"/>
        </w:rPr>
        <w:t>合同总价</w:t>
      </w:r>
      <w:r>
        <w:rPr>
          <w:rFonts w:hint="eastAsia" w:ascii="宋体" w:hAnsi="宋体" w:eastAsia="宋体" w:cs="宋体"/>
          <w:b/>
          <w:color w:val="auto"/>
          <w:szCs w:val="21"/>
          <w:highlight w:val="none"/>
        </w:rPr>
        <w:t>的10%，直至扣完为止。采购人有权对提供的工程量清单等文件进行复核验算。</w:t>
      </w:r>
      <w:r>
        <w:rPr>
          <w:rFonts w:hint="eastAsia" w:ascii="宋体" w:hAnsi="宋体" w:eastAsia="宋体" w:cs="宋体"/>
          <w:bCs/>
          <w:color w:val="auto"/>
          <w:szCs w:val="21"/>
          <w:highlight w:val="none"/>
          <w:lang w:val="zh-CN"/>
        </w:rPr>
        <w:t>对该标段造价影响偏差在±5％以上的，还将作为不良行为记录上报有关行政主管部门备案；</w:t>
      </w:r>
    </w:p>
    <w:p w14:paraId="685DE75D">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5.</w:t>
      </w:r>
      <w:r>
        <w:rPr>
          <w:rFonts w:hint="eastAsia" w:ascii="宋体" w:hAnsi="宋体" w:eastAsia="宋体" w:cs="宋体"/>
          <w:bCs/>
          <w:color w:val="auto"/>
          <w:szCs w:val="21"/>
          <w:highlight w:val="none"/>
          <w:lang w:val="zh-CN"/>
        </w:rPr>
        <w:t>工程量清单编制要求：清单编码正确、工程特征描述详细正确、工程量计算正确、工程量单位使用正确、综合单价组价合理、材料价格取定合理。清单内容：工程量清单封面、编制说明、分部分项工程量清单、措施项目清单、其它项目清单、零星工作、计算表（提供工程量计算书（稿）和钢筋计算书）等；控制价内容：预算封面、预算成果报告、编制说明、计价规范要求的各类计价表、分析表等；</w:t>
      </w:r>
    </w:p>
    <w:p w14:paraId="2C9B7C58">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6.遵纪守法，恪守职业道德，在委托代理范围内严格按照法律法规处理相关事务，对采购人提出的内容和要求应依法审查，并对代理事项的合法性负责；必须忠于维护采购人的利益，尽心尽职为采购人提供准确、及时的服务；工作质量标准要求达到现行国家及省、市或行业的招标代理服务标准、规范的要求；</w:t>
      </w:r>
    </w:p>
    <w:p w14:paraId="1FDA9BBD">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7.按规定的程序和要求独立组织采购活动，自觉接受采购人纪检部门的监督，确保公开、公平、公正。自觉执行回避制度，遵守廉政规定和采购纪律，并承担相应的保密责任(对采购人拥有的技术、信息、文件、资料、企业情况、商业秘密等以及在服务过程中所知悉的其它保密信息应予以保密，未经采购人同意不得擅自披露、使用或允许任何第三方使用)；</w:t>
      </w:r>
    </w:p>
    <w:p w14:paraId="017ADF3A">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8.对外发布有关文件和结果，应经采购人确认同意后发布；对于特殊项目，评审小组组成条件应事先征求采购人意见；</w:t>
      </w:r>
    </w:p>
    <w:p w14:paraId="43D7E17E">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9.对招标中各项计算数据、技术分析结论等的科学性、正确性负责。以法律法规政策为依据，坚持客观公正的原则；</w:t>
      </w:r>
    </w:p>
    <w:p w14:paraId="0BCEE447">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10.为采购人提供免费政策咨询服务；</w:t>
      </w:r>
    </w:p>
    <w:p w14:paraId="6D9CF6B8">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11.及时、准确地完成有关文件上报备案，为采购人信息查询提供有效支持；</w:t>
      </w:r>
    </w:p>
    <w:p w14:paraId="7D74A045">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12.以书面及电子文档形式向采购人提交全套的项目文件以及采购活动全过程的原始记录和资料等；</w:t>
      </w:r>
    </w:p>
    <w:p w14:paraId="223EECA6">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13.及时向采购人提供委托代理项目累计汇总材料，及时总结代理过程中存在的问题，尤其对评审办法要不断完善；</w:t>
      </w:r>
    </w:p>
    <w:p w14:paraId="141E9B80">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14.加强专人服务负责制，设有固定的对口服务团队和服务责任人，未经采购人同意不得随意更换。对口服务责任人应及时响应采购人的各项要求，并按采购人要求及时提供免费上门服务（接到采购人指令后1小时以内到达现场），妥善协调好代理过程中各方关系；</w:t>
      </w:r>
    </w:p>
    <w:p w14:paraId="461BE963">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15.对口服务责任人应积极配合采购人召开项目协调会，进行深入的可行性论证，切实将技术、预算等方面的具体要求落到实处；</w:t>
      </w:r>
    </w:p>
    <w:p w14:paraId="4D91A7E3">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16.对服务中其它事宜，应根据采购人要求积极配合、处理。</w:t>
      </w:r>
    </w:p>
    <w:p w14:paraId="6CF44D01">
      <w:pPr>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（四）拟投入本项目的人员要求：</w:t>
      </w:r>
    </w:p>
    <w:p w14:paraId="44FDFC71">
      <w:pPr>
        <w:spacing w:line="288" w:lineRule="auto"/>
        <w:ind w:firstLine="422" w:firstLineChars="20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▲1.</w:t>
      </w:r>
      <w:r>
        <w:rPr>
          <w:rFonts w:hint="eastAsia" w:ascii="宋体" w:hAnsi="宋体" w:eastAsia="宋体" w:cs="宋体"/>
          <w:b/>
          <w:bCs w:val="0"/>
          <w:color w:val="auto"/>
          <w:szCs w:val="21"/>
          <w:highlight w:val="none"/>
          <w:lang w:val="en-US" w:eastAsia="zh-CN"/>
        </w:rPr>
        <w:t>投标</w:t>
      </w:r>
      <w:r>
        <w:rPr>
          <w:rFonts w:hint="eastAsia" w:ascii="宋体" w:hAnsi="宋体" w:eastAsia="宋体" w:cs="宋体"/>
          <w:b/>
          <w:bCs w:val="0"/>
          <w:color w:val="auto"/>
          <w:szCs w:val="21"/>
          <w:highlight w:val="none"/>
        </w:rPr>
        <w:t>文件中的拟投入人员必须是本项目实际经办人（提供承诺函）；</w:t>
      </w:r>
    </w:p>
    <w:p w14:paraId="5F0CCE66">
      <w:pPr>
        <w:spacing w:line="288" w:lineRule="auto"/>
        <w:ind w:firstLine="422" w:firstLineChars="20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▲2.项目组成人员不得少于10个（包含1名总负责人、1名招标代理技术负责人、1名造价咨询技术负责人、其他成员7人），其中至少应包含4名注册造价工程师（含土建、安装）；</w:t>
      </w:r>
    </w:p>
    <w:p w14:paraId="64748937">
      <w:pPr>
        <w:spacing w:line="288" w:lineRule="auto"/>
        <w:ind w:firstLine="422" w:firstLineChars="20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3.拟派项目总负责人：具有建筑工程相关专业高级及以上技术职称；</w:t>
      </w:r>
    </w:p>
    <w:p w14:paraId="2A9D6830">
      <w:pPr>
        <w:spacing w:line="288" w:lineRule="auto"/>
        <w:ind w:firstLine="422" w:firstLineChars="20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▲4.招标代理技术负责人资格要求：具有建筑工程相关专业中级及以上职称、5年</w:t>
      </w:r>
      <w:r>
        <w:rPr>
          <w:rFonts w:hint="eastAsia" w:ascii="宋体" w:hAnsi="宋体" w:eastAsia="宋体" w:cs="宋体"/>
          <w:b/>
          <w:bCs w:val="0"/>
          <w:color w:val="auto"/>
          <w:szCs w:val="21"/>
          <w:highlight w:val="none"/>
          <w:lang w:val="en-US" w:eastAsia="zh-CN"/>
        </w:rPr>
        <w:t>及</w:t>
      </w:r>
      <w:r>
        <w:rPr>
          <w:rFonts w:hint="eastAsia" w:ascii="宋体" w:hAnsi="宋体" w:eastAsia="宋体" w:cs="宋体"/>
          <w:b/>
          <w:bCs w:val="0"/>
          <w:color w:val="auto"/>
          <w:szCs w:val="21"/>
          <w:highlight w:val="none"/>
        </w:rPr>
        <w:t>以上从业经验</w:t>
      </w: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lang w:val="en-US" w:eastAsia="zh-CN"/>
        </w:rPr>
        <w:t>提供从业经验证明材料，包括但不限于从业证书、相关合同业绩等</w:t>
      </w: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rPr>
        <w:t>。</w:t>
      </w:r>
    </w:p>
    <w:p w14:paraId="6D2C5FEC">
      <w:pPr>
        <w:spacing w:line="288" w:lineRule="auto"/>
        <w:ind w:firstLine="422" w:firstLineChars="20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▲5.造价咨询技术负责人资格要求：一级注册造价师取得年限≥10年（从初始注册时间计算至开标当日，提供证书</w:t>
      </w:r>
      <w:r>
        <w:rPr>
          <w:rFonts w:hint="eastAsia" w:ascii="宋体" w:hAnsi="宋体" w:eastAsia="宋体" w:cs="宋体"/>
          <w:b/>
          <w:bCs w:val="0"/>
          <w:color w:val="auto"/>
          <w:szCs w:val="21"/>
          <w:highlight w:val="none"/>
          <w:lang w:val="en-US" w:eastAsia="zh-CN"/>
        </w:rPr>
        <w:t>扫描件</w:t>
      </w:r>
      <w:r>
        <w:rPr>
          <w:rFonts w:hint="eastAsia" w:ascii="宋体" w:hAnsi="宋体" w:eastAsia="宋体" w:cs="宋体"/>
          <w:b/>
          <w:bCs w:val="0"/>
          <w:color w:val="auto"/>
          <w:szCs w:val="21"/>
          <w:highlight w:val="none"/>
        </w:rPr>
        <w:t>）；</w:t>
      </w:r>
    </w:p>
    <w:p w14:paraId="035A2F07">
      <w:pPr>
        <w:spacing w:line="288" w:lineRule="auto"/>
        <w:ind w:firstLine="422" w:firstLineChars="200"/>
        <w:rPr>
          <w:rFonts w:ascii="宋体" w:hAnsi="宋体" w:eastAsia="宋体" w:cs="宋体"/>
          <w:color w:val="auto"/>
          <w:szCs w:val="21"/>
          <w:highlight w:val="none"/>
        </w:rPr>
      </w:pPr>
      <w:r>
        <w:rPr>
          <w:rFonts w:hint="eastAsia" w:ascii="宋体" w:hAnsi="宋体" w:eastAsia="宋体" w:cs="宋体"/>
          <w:b/>
          <w:bCs w:val="0"/>
          <w:color w:val="auto"/>
          <w:szCs w:val="21"/>
          <w:highlight w:val="none"/>
        </w:rPr>
        <w:t>▲6.招标代理负责人和造价负责人不得兼任。项目负责人可兼任招标代理负责人或造价负责人。</w:t>
      </w:r>
    </w:p>
    <w:p w14:paraId="58E92E87">
      <w:pPr>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（五）其他要求：</w:t>
      </w:r>
    </w:p>
    <w:p w14:paraId="448A1505">
      <w:pPr>
        <w:spacing w:line="288" w:lineRule="auto"/>
        <w:ind w:firstLine="420" w:firstLineChars="200"/>
        <w:rPr>
          <w:rFonts w:ascii="宋体" w:hAnsi="宋体" w:eastAsia="宋体" w:cs="宋体"/>
          <w:b/>
          <w:color w:val="auto"/>
          <w:szCs w:val="21"/>
          <w:highlight w:val="none"/>
          <w:lang w:bidi="ar"/>
        </w:rPr>
      </w:pPr>
      <w:r>
        <w:rPr>
          <w:rFonts w:hint="eastAsia" w:ascii="宋体" w:hAnsi="宋体" w:eastAsia="宋体" w:cs="宋体"/>
          <w:bCs/>
          <w:color w:val="auto"/>
          <w:szCs w:val="21"/>
          <w:highlight w:val="none"/>
        </w:rPr>
        <w:t>▲</w:t>
      </w: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bidi="ar"/>
        </w:rPr>
        <w:t>供应商应已在杭州市公共资源交易中心电子招投标交易平台中注册（提供证明材料）；</w:t>
      </w:r>
    </w:p>
    <w:p w14:paraId="0801239C">
      <w:pPr>
        <w:spacing w:line="288" w:lineRule="auto"/>
        <w:ind w:firstLine="422" w:firstLineChars="200"/>
        <w:rPr>
          <w:rFonts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2.本项目采用总价包干，响应报价应包含杭州电子科技大学综合实验楼（一期）建设工程项目所涉及的所有招标内容的招标代理服务费、造价咨询费，后期采购人不予追加费用；</w:t>
      </w:r>
    </w:p>
    <w:p w14:paraId="19C935C6">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lang w:bidi="ar"/>
        </w:rPr>
        <w:t>3.招标代理机构承担招标文件制作费、公告费、场租费及开标评标过程中的其他费用，评审专家费由招标代理机构承担支付；</w:t>
      </w:r>
    </w:p>
    <w:p w14:paraId="52149C03">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lang w:bidi="ar"/>
        </w:rPr>
        <w:t>4.如招标活动失败，招标代理机构不收取代理服务费，并有义务再次组织招标，再次招标成功的按一次招标收取代理服务费，如失败，不收取代理服务费；</w:t>
      </w:r>
    </w:p>
    <w:p w14:paraId="2C486994">
      <w:pPr>
        <w:widowControl/>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lang w:bidi="ar"/>
        </w:rPr>
        <w:t>5.对采购人自行组织的采购活动，招标代理机构有义务对采购人提供采购文件的编制、专家库使用等方面的帮助。</w:t>
      </w:r>
      <w:r>
        <w:rPr>
          <w:rFonts w:ascii="宋体" w:hAnsi="宋体" w:eastAsia="宋体" w:cs="Times New Roman"/>
          <w:color w:val="auto"/>
          <w:szCs w:val="21"/>
          <w:highlight w:val="none"/>
        </w:rPr>
        <w:br w:type="page"/>
      </w:r>
    </w:p>
    <w:p w14:paraId="49CA2FF7">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42905CC3">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089B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225F0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5AA958B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09109A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D3D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139E19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6F69324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135CAFC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杭州电子科技大学综合实验楼（一期）建设工程招标代理及工程量清单编制服务</w:t>
            </w:r>
            <w:r>
              <w:rPr>
                <w:rFonts w:hint="eastAsia" w:ascii="宋体" w:hAnsi="宋体" w:eastAsia="宋体"/>
                <w:color w:val="auto"/>
                <w:szCs w:val="21"/>
                <w:highlight w:val="none"/>
              </w:rPr>
              <w:t>的招标、评标、定标、验收、合同履约、付款等（法律、法规另有规定的，从其规定）。</w:t>
            </w:r>
          </w:p>
        </w:tc>
      </w:tr>
      <w:tr w14:paraId="1CD2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D430B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E1A8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486564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1F310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FBEB7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56782D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69DC0E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5A826BC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2024年7月（含）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444E13C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5DC3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A05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1B20BBD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755403B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7B9C3C9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3377DEB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1DA8258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4"/>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2165F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B2DD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2AA05C8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707BAB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1AB4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BA0F6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0804AB0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36861C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6A0B645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14:paraId="6705707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5840B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E3D6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736E8199">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12B8DCF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406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E90E8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9CF32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25E76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0FF53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1B613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034585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FC30D8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25F1E35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lang w:val="en-US" w:eastAsia="zh-CN"/>
              </w:rPr>
              <w:t>项目内容整体不可分割</w:t>
            </w:r>
            <w:r>
              <w:rPr>
                <w:rFonts w:hint="default" w:ascii="宋体" w:hAnsi="宋体" w:eastAsia="宋体"/>
                <w:color w:val="auto"/>
                <w:szCs w:val="21"/>
                <w:highlight w:val="none"/>
                <w:u w:val="single"/>
              </w:rPr>
              <w:t>。</w:t>
            </w:r>
          </w:p>
        </w:tc>
      </w:tr>
      <w:tr w14:paraId="2DB8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34D6C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036884A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B9F4B1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6BF8FD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700FB3F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702876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7253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C9A3D0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6F0F0D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399FD4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55BBBE3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21025D6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58BA1B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p>
          <w:p w14:paraId="18D66F7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14:paraId="2CAA4F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14:paraId="6B9BE8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14:paraId="1ACB526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联合协议、分包意向协议（如有）</w:t>
            </w:r>
          </w:p>
          <w:p w14:paraId="785406A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3290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CD603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225E8D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DDA1BE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446B418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552F965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549BC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6E328B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517E76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1499163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4"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2E7C807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5A66F56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619F970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2933F5D6">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bookmarkEnd w:id="34"/>
          </w:p>
        </w:tc>
      </w:tr>
      <w:tr w14:paraId="773E8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9014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1A5226B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19D41B7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7F64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F023EF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0C83C1F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596735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684FB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5297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02A5411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3D6808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5F8B0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C3771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111DE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33317B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3B814288">
      <w:pPr>
        <w:adjustRightInd w:val="0"/>
        <w:snapToGrid w:val="0"/>
        <w:spacing w:line="288" w:lineRule="auto"/>
        <w:rPr>
          <w:rFonts w:ascii="宋体" w:hAnsi="宋体" w:eastAsia="宋体"/>
          <w:color w:val="auto"/>
          <w:szCs w:val="21"/>
          <w:highlight w:val="none"/>
        </w:rPr>
      </w:pPr>
    </w:p>
    <w:p w14:paraId="4A38A9DC">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4BB31B55">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3128B613">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5"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5"/>
    <w:p w14:paraId="6628AAA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42A63B6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杭州电子科技大学综合实验楼（一期）建设工程招标代理及工程量清单编制服务</w:t>
      </w:r>
      <w:r>
        <w:rPr>
          <w:rFonts w:hint="eastAsia" w:ascii="宋体" w:hAnsi="宋体" w:eastAsia="宋体" w:cs="Times New Roman"/>
          <w:color w:val="auto"/>
          <w:spacing w:val="-6"/>
          <w:szCs w:val="21"/>
          <w:highlight w:val="none"/>
        </w:rPr>
        <w:t>的招标、评标、定标、验收、合同履约、付款等（法律、法规另有规定的，从其规定）。</w:t>
      </w:r>
    </w:p>
    <w:p w14:paraId="1E6F1E70">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D1DEEF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D6B7CA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779101B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5A4DB55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4488E7B">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6"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7C97D4B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36"/>
    <w:p w14:paraId="7B36BEF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646B8B15">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204A6D8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3F4716F6">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3F9F2390">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438CC80D">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3B10C899">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27E246D3">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4"/>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6432D39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D1174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14:paraId="6D0354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14:paraId="09B733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53F69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14:paraId="0D23F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1.5</w:t>
            </w:r>
          </w:p>
        </w:tc>
      </w:tr>
      <w:tr w14:paraId="7D8A8A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1CE236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14:paraId="40CD71D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1.1</w:t>
            </w:r>
          </w:p>
        </w:tc>
      </w:tr>
    </w:tbl>
    <w:p w14:paraId="3E4F2C54">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5EF5DC96">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26FB705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03CF2D1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3AEFA8F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593811C9">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5C75B6C3">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3C382FE9">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2C90BFBB">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57FBC306">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56462AC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72B3F1D4">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lang w:val="en-US" w:eastAsia="zh-CN"/>
        </w:rPr>
        <w:t>项目内容整体不可分割</w:t>
      </w:r>
      <w:r>
        <w:rPr>
          <w:rFonts w:ascii="宋体" w:hAnsi="宋体" w:eastAsia="宋体"/>
          <w:color w:val="auto"/>
          <w:szCs w:val="21"/>
          <w:highlight w:val="none"/>
          <w:u w:val="single"/>
        </w:rPr>
        <w:t>。</w:t>
      </w:r>
    </w:p>
    <w:p w14:paraId="19B5804A">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5C84AB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7"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37"/>
    <w:p w14:paraId="2D7900DF">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FAC6B6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5CAA9E8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FC3A64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716D7A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57D073E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29BDEDD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5F94D96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1EF77DF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8B641F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2488B0D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3D68657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1C8F34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184BFDA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6ABCA5DC">
      <w:pPr>
        <w:adjustRightInd w:val="0"/>
        <w:snapToGrid w:val="0"/>
        <w:spacing w:line="288" w:lineRule="auto"/>
        <w:outlineLvl w:val="2"/>
        <w:rPr>
          <w:rFonts w:ascii="宋体" w:hAnsi="宋体" w:eastAsia="宋体" w:cs="宋体"/>
          <w:b/>
          <w:color w:val="auto"/>
          <w:spacing w:val="-6"/>
          <w:kern w:val="0"/>
          <w:szCs w:val="21"/>
          <w:highlight w:val="none"/>
        </w:rPr>
      </w:pPr>
      <w:bookmarkStart w:id="38" w:name="_Hlk92273111"/>
      <w:bookmarkStart w:id="39"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38"/>
    <w:p w14:paraId="40E98EF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支持中小企业发展</w:t>
      </w:r>
    </w:p>
    <w:p w14:paraId="7E902A04">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5CC6CEA">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1.2 </w:t>
      </w:r>
      <w:r>
        <w:rPr>
          <w:rFonts w:hint="eastAsia" w:ascii="宋体" w:hAnsi="宋体" w:eastAsia="宋体" w:cs="宋体"/>
          <w:i w:val="0"/>
          <w:iCs w:val="0"/>
          <w:color w:val="auto"/>
          <w:sz w:val="21"/>
          <w:szCs w:val="21"/>
          <w:highlight w:val="none"/>
        </w:rPr>
        <w:t>在政府采购活动中，供应商提供的服务符合下列情形的，享受中小企业扶持政策：</w:t>
      </w:r>
    </w:p>
    <w:p w14:paraId="2BBD8C1C">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服务由中小企业承接，即提供服务的人员为中小企业依照《中华人民共和国劳动合同法》订立劳动合同的从业人员。</w:t>
      </w:r>
    </w:p>
    <w:p w14:paraId="6512BD2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1.3 </w:t>
      </w:r>
      <w:r>
        <w:rPr>
          <w:rFonts w:hint="eastAsia" w:ascii="宋体" w:hAnsi="宋体" w:eastAsia="宋体" w:cs="宋体"/>
          <w:i w:val="0"/>
          <w:iCs w:val="0"/>
          <w:color w:val="auto"/>
          <w:sz w:val="21"/>
          <w:szCs w:val="21"/>
          <w:highlight w:val="none"/>
        </w:rPr>
        <w:t>对于联合体中由中小企业承担的部分，或者分包给中小企业的部分，必须全部由中小企业承接。</w:t>
      </w:r>
    </w:p>
    <w:p w14:paraId="41A51540">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2C9A801">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002968D2">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0F192239">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50C6F70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262D4D87">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1.6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0F5345BB">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297BE99A">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1.7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3FE73F5C">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val="en-US" w:eastAsia="zh-CN"/>
        </w:rPr>
        <w:t>1.8 供应商</w:t>
      </w:r>
      <w:r>
        <w:rPr>
          <w:rFonts w:hint="eastAsia" w:ascii="宋体" w:hAnsi="宋体" w:eastAsia="宋体" w:cs="宋体"/>
          <w:i w:val="0"/>
          <w:iCs w:val="0"/>
          <w:color w:val="auto"/>
          <w:sz w:val="21"/>
          <w:szCs w:val="21"/>
          <w:highlight w:val="none"/>
          <w:u w:val="single"/>
        </w:rPr>
        <w:t>提供的《中小企业声明函》中，企业数据（如从业人员，营业收入，资产总额）有误的，</w:t>
      </w:r>
      <w:r>
        <w:rPr>
          <w:rFonts w:hint="eastAsia" w:ascii="宋体" w:hAnsi="宋体" w:eastAsia="宋体" w:cs="宋体"/>
          <w:i w:val="0"/>
          <w:iCs w:val="0"/>
          <w:color w:val="auto"/>
          <w:sz w:val="21"/>
          <w:szCs w:val="21"/>
          <w:highlight w:val="none"/>
          <w:u w:val="single"/>
          <w:lang w:val="en-US" w:eastAsia="zh-CN"/>
        </w:rPr>
        <w:t>采购组织机构或</w:t>
      </w:r>
      <w:r>
        <w:rPr>
          <w:rFonts w:hint="eastAsia" w:ascii="宋体" w:hAnsi="宋体" w:eastAsia="宋体" w:cs="宋体"/>
          <w:i w:val="0"/>
          <w:iCs w:val="0"/>
          <w:color w:val="auto"/>
          <w:sz w:val="21"/>
          <w:szCs w:val="21"/>
          <w:highlight w:val="none"/>
          <w:u w:val="single"/>
        </w:rPr>
        <w:t>评标委员会可以要求供应商进行澄清、说明。</w:t>
      </w:r>
      <w:r>
        <w:rPr>
          <w:rFonts w:hint="eastAsia" w:ascii="宋体" w:hAnsi="宋体" w:eastAsia="宋体" w:cs="宋体"/>
          <w:i w:val="0"/>
          <w:iCs w:val="0"/>
          <w:color w:val="auto"/>
          <w:sz w:val="21"/>
          <w:szCs w:val="21"/>
          <w:highlight w:val="none"/>
          <w:u w:val="single"/>
          <w:lang w:val="en-US" w:eastAsia="zh-CN"/>
        </w:rPr>
        <w:t>但</w:t>
      </w:r>
      <w:r>
        <w:rPr>
          <w:rFonts w:hint="eastAsia" w:ascii="宋体" w:hAnsi="宋体" w:eastAsia="宋体" w:cs="宋体"/>
          <w:i w:val="0"/>
          <w:iCs w:val="0"/>
          <w:color w:val="auto"/>
          <w:sz w:val="21"/>
          <w:szCs w:val="21"/>
          <w:highlight w:val="none"/>
          <w:u w:val="single"/>
        </w:rPr>
        <w:t>《中小企业声明函》</w:t>
      </w:r>
      <w:r>
        <w:rPr>
          <w:rFonts w:hint="eastAsia" w:ascii="宋体" w:hAnsi="宋体" w:eastAsia="宋体" w:cs="宋体"/>
          <w:i w:val="0"/>
          <w:iCs w:val="0"/>
          <w:color w:val="auto"/>
          <w:sz w:val="21"/>
          <w:szCs w:val="21"/>
          <w:highlight w:val="none"/>
          <w:u w:val="single"/>
          <w:lang w:val="en-US" w:eastAsia="zh-CN"/>
        </w:rPr>
        <w:t>出现下列情形的，</w:t>
      </w:r>
      <w:r>
        <w:rPr>
          <w:rFonts w:hint="eastAsia" w:ascii="宋体" w:hAnsi="宋体" w:eastAsia="宋体" w:cs="宋体"/>
          <w:i w:val="0"/>
          <w:iCs w:val="0"/>
          <w:color w:val="auto"/>
          <w:sz w:val="21"/>
          <w:szCs w:val="21"/>
          <w:highlight w:val="none"/>
          <w:u w:val="single"/>
        </w:rPr>
        <w:t>《中小企业声明函》无效</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不享受《政府采购促进中小企业发展管理办法》规定的中小企业扶持政策</w:t>
      </w:r>
      <w:r>
        <w:rPr>
          <w:rFonts w:hint="eastAsia" w:ascii="宋体" w:hAnsi="宋体" w:eastAsia="宋体" w:cs="宋体"/>
          <w:i w:val="0"/>
          <w:iCs w:val="0"/>
          <w:color w:val="auto"/>
          <w:sz w:val="21"/>
          <w:szCs w:val="21"/>
          <w:highlight w:val="none"/>
          <w:u w:val="single"/>
          <w:lang w:eastAsia="zh-CN"/>
        </w:rPr>
        <w:t>：</w:t>
      </w:r>
    </w:p>
    <w:p w14:paraId="2334820D">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内容未包括全部采购标的；</w:t>
      </w:r>
    </w:p>
    <w:p w14:paraId="491DD16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未填写</w:t>
      </w:r>
      <w:r>
        <w:rPr>
          <w:rFonts w:hint="eastAsia" w:ascii="宋体" w:hAnsi="宋体" w:eastAsia="宋体" w:cs="宋体"/>
          <w:i w:val="0"/>
          <w:iCs w:val="0"/>
          <w:color w:val="auto"/>
          <w:sz w:val="21"/>
          <w:szCs w:val="21"/>
          <w:highlight w:val="none"/>
          <w:u w:val="single"/>
          <w:lang w:val="en-US" w:eastAsia="zh-CN"/>
        </w:rPr>
        <w:t>标的所属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或者填写</w:t>
      </w:r>
      <w:r>
        <w:rPr>
          <w:rFonts w:hint="eastAsia" w:ascii="宋体" w:hAnsi="宋体" w:eastAsia="宋体" w:cs="宋体"/>
          <w:i w:val="0"/>
          <w:iCs w:val="0"/>
          <w:color w:val="auto"/>
          <w:sz w:val="21"/>
          <w:szCs w:val="21"/>
          <w:highlight w:val="none"/>
          <w:u w:val="single"/>
          <w:lang w:val="en-US" w:eastAsia="zh-CN"/>
        </w:rPr>
        <w:t>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val="en-US" w:eastAsia="zh-CN"/>
        </w:rPr>
        <w:t>与招标文件明确的所属行业不一致；</w:t>
      </w:r>
    </w:p>
    <w:p w14:paraId="2D11819F">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3</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未填写</w:t>
      </w:r>
      <w:r>
        <w:rPr>
          <w:rFonts w:hint="eastAsia" w:ascii="宋体" w:hAnsi="宋体" w:eastAsia="宋体" w:cs="宋体"/>
          <w:i w:val="0"/>
          <w:iCs w:val="0"/>
          <w:color w:val="auto"/>
          <w:sz w:val="21"/>
          <w:szCs w:val="21"/>
          <w:highlight w:val="none"/>
          <w:u w:val="single"/>
        </w:rPr>
        <w:t>企业类型</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填写的企业类型不明确</w:t>
      </w:r>
      <w:r>
        <w:rPr>
          <w:rFonts w:hint="eastAsia" w:ascii="宋体" w:hAnsi="宋体" w:eastAsia="宋体" w:cs="宋体"/>
          <w:i w:val="0"/>
          <w:iCs w:val="0"/>
          <w:color w:val="auto"/>
          <w:sz w:val="21"/>
          <w:szCs w:val="21"/>
          <w:highlight w:val="none"/>
          <w:u w:val="single"/>
        </w:rPr>
        <w:t>或</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rPr>
        <w:t>的企业类型与实际不符</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即：</w:t>
      </w:r>
      <w:r>
        <w:rPr>
          <w:rFonts w:hint="eastAsia" w:ascii="宋体" w:hAnsi="宋体" w:eastAsia="宋体" w:cs="宋体"/>
          <w:i w:val="0"/>
          <w:iCs w:val="0"/>
          <w:color w:val="auto"/>
          <w:sz w:val="21"/>
          <w:szCs w:val="21"/>
          <w:highlight w:val="none"/>
          <w:u w:val="single"/>
        </w:rPr>
        <w:t>企业类型（中型企业、小型企业</w:t>
      </w:r>
      <w:r>
        <w:rPr>
          <w:rFonts w:hint="eastAsia" w:ascii="宋体" w:hAnsi="宋体" w:eastAsia="宋体" w:cs="宋体"/>
          <w:i w:val="0"/>
          <w:iCs w:val="0"/>
          <w:color w:val="auto"/>
          <w:sz w:val="21"/>
          <w:szCs w:val="21"/>
          <w:highlight w:val="none"/>
          <w:u w:val="single"/>
          <w:lang w:val="en-US" w:eastAsia="zh-CN"/>
        </w:rPr>
        <w:t>或</w:t>
      </w:r>
      <w:r>
        <w:rPr>
          <w:rFonts w:hint="eastAsia" w:ascii="宋体" w:hAnsi="宋体" w:eastAsia="宋体" w:cs="宋体"/>
          <w:i w:val="0"/>
          <w:iCs w:val="0"/>
          <w:color w:val="auto"/>
          <w:sz w:val="21"/>
          <w:szCs w:val="21"/>
          <w:highlight w:val="none"/>
          <w:u w:val="single"/>
        </w:rPr>
        <w:t>微型企业）填写错误</w:t>
      </w:r>
      <w:r>
        <w:rPr>
          <w:rFonts w:hint="eastAsia" w:ascii="宋体" w:hAnsi="宋体" w:eastAsia="宋体" w:cs="宋体"/>
          <w:i w:val="0"/>
          <w:iCs w:val="0"/>
          <w:color w:val="auto"/>
          <w:sz w:val="21"/>
          <w:szCs w:val="21"/>
          <w:highlight w:val="none"/>
          <w:u w:val="single"/>
          <w:lang w:eastAsia="zh-CN"/>
        </w:rPr>
        <w:t>）。</w:t>
      </w:r>
    </w:p>
    <w:p w14:paraId="6A58586B">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供应商声明的类型获得了本不应获得的利益（价格扣除或者资格审查通过）</w:t>
      </w:r>
      <w:r>
        <w:rPr>
          <w:rFonts w:hint="eastAsia" w:ascii="宋体" w:hAnsi="宋体" w:eastAsia="宋体" w:cs="宋体"/>
          <w:i w:val="0"/>
          <w:iCs w:val="0"/>
          <w:color w:val="auto"/>
          <w:sz w:val="21"/>
          <w:szCs w:val="21"/>
          <w:highlight w:val="none"/>
          <w:u w:val="single"/>
        </w:rPr>
        <w:t>，属于提供虚假材料。构成“</w:t>
      </w:r>
      <w:r>
        <w:rPr>
          <w:rFonts w:hint="eastAsia" w:ascii="宋体" w:hAnsi="宋体" w:eastAsia="宋体" w:cs="宋体"/>
          <w:i w:val="0"/>
          <w:iCs w:val="0"/>
          <w:color w:val="auto"/>
          <w:sz w:val="21"/>
          <w:szCs w:val="21"/>
          <w:highlight w:val="none"/>
          <w:u w:val="single"/>
          <w:lang w:val="en-US" w:eastAsia="zh-CN"/>
        </w:rPr>
        <w:t>提供</w:t>
      </w:r>
      <w:r>
        <w:rPr>
          <w:rFonts w:hint="eastAsia" w:ascii="宋体" w:hAnsi="宋体" w:eastAsia="宋体" w:cs="宋体"/>
          <w:i w:val="0"/>
          <w:iCs w:val="0"/>
          <w:color w:val="auto"/>
          <w:sz w:val="21"/>
          <w:szCs w:val="21"/>
          <w:highlight w:val="none"/>
          <w:u w:val="single"/>
        </w:rPr>
        <w:t>虚假材料谋取中标的”，依法承担法律责任。</w:t>
      </w:r>
    </w:p>
    <w:p w14:paraId="5C86DE1B">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支持监狱企业发展</w:t>
      </w:r>
    </w:p>
    <w:p w14:paraId="433E714E">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29ED114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促进残疾人就业</w:t>
      </w:r>
    </w:p>
    <w:p w14:paraId="77D00D9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bookmarkEnd w:id="39"/>
    <w:p w14:paraId="5F37CEBA">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6CF3234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6EA3264A">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7FA550C7">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5EDF858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1F08E8A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5F8E576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5E896A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0BDD22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09256E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039C101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069DD976">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713A3E4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4142F6C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0EB768D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3228CD9A">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1B890F6F">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479A97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0"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01A4C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bookmarkEnd w:id="40"/>
    <w:p w14:paraId="2BD313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745398A7">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7B9DD53B">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1" w:name="_Hlk96329183"/>
      <w:r>
        <w:rPr>
          <w:rFonts w:hint="eastAsia" w:ascii="宋体" w:hAnsi="宋体" w:eastAsia="宋体"/>
          <w:color w:val="auto"/>
          <w:spacing w:val="-6"/>
          <w:szCs w:val="21"/>
          <w:highlight w:val="none"/>
        </w:rPr>
        <w:t>加盖公章</w:t>
      </w:r>
      <w:bookmarkEnd w:id="41"/>
      <w:r>
        <w:rPr>
          <w:rFonts w:hint="eastAsia" w:ascii="宋体" w:hAnsi="宋体" w:eastAsia="宋体"/>
          <w:color w:val="auto"/>
          <w:spacing w:val="-6"/>
          <w:szCs w:val="21"/>
          <w:highlight w:val="none"/>
        </w:rPr>
        <w:t>，投标人应写全称。</w:t>
      </w:r>
    </w:p>
    <w:p w14:paraId="4C0BC7E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49D981FF">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9C71FFC">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654797CF">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755C26BB">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14C87776">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2ADEB76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02FA06F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3A35D3">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61563481">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14E6E043">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32B39A7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4EC5F8D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4859210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F50334F">
      <w:pPr>
        <w:adjustRightInd w:val="0"/>
        <w:snapToGrid w:val="0"/>
        <w:spacing w:line="288" w:lineRule="auto"/>
        <w:ind w:firstLine="396" w:firstLineChars="200"/>
        <w:jc w:val="left"/>
        <w:rPr>
          <w:rFonts w:ascii="宋体" w:hAnsi="宋体" w:eastAsia="宋体"/>
          <w:color w:val="auto"/>
          <w:spacing w:val="-6"/>
          <w:szCs w:val="21"/>
          <w:highlight w:val="none"/>
        </w:rPr>
      </w:pPr>
      <w:bookmarkStart w:id="42"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2"/>
    <w:p w14:paraId="579A23B1">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5DF69EA7">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2025EFA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62F92C52">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020144E1">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6DA12B4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0849FF35">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33315034">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3"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0D6B2851">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78B33C84">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29901F20">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657E567A">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3"/>
    <w:p w14:paraId="1A9A7E8E">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09CAB2C4">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1DB3B387">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1B3DCED">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C12FDCC">
      <w:pPr>
        <w:adjustRightInd w:val="0"/>
        <w:snapToGrid w:val="0"/>
        <w:spacing w:line="288" w:lineRule="auto"/>
        <w:ind w:firstLine="420" w:firstLineChars="200"/>
        <w:rPr>
          <w:rFonts w:ascii="宋体" w:hAnsi="宋体" w:eastAsia="宋体" w:cs="宋体"/>
          <w:color w:val="auto"/>
          <w:szCs w:val="21"/>
          <w:highlight w:val="none"/>
        </w:rPr>
      </w:pPr>
      <w:bookmarkStart w:id="44" w:name="_Hlk94018682"/>
      <w:r>
        <w:rPr>
          <w:rFonts w:hint="eastAsia" w:ascii="宋体" w:hAnsi="宋体" w:eastAsia="宋体" w:cs="宋体"/>
          <w:color w:val="auto"/>
          <w:szCs w:val="21"/>
          <w:highlight w:val="none"/>
        </w:rPr>
        <w:t>未响应招标文件“▲”标记条款要求的，投标无效。</w:t>
      </w:r>
    </w:p>
    <w:bookmarkEnd w:id="44"/>
    <w:p w14:paraId="34A5FE4F">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5FB2F9E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36DA27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335A90F9">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7EFB1306">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2FFFC08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2681897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47729DA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32CB722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55A058B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0152983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w:t>
      </w:r>
      <w:r>
        <w:rPr>
          <w:rFonts w:hint="eastAsia" w:ascii="宋体" w:hAnsi="宋体" w:eastAsia="宋体" w:cs="Times New Roman"/>
          <w:color w:val="auto"/>
          <w:spacing w:val="-6"/>
          <w:szCs w:val="21"/>
          <w:highlight w:val="none"/>
          <w:lang w:val="en-US" w:eastAsia="zh-CN"/>
        </w:rPr>
        <w:t>服务</w:t>
      </w:r>
      <w:r>
        <w:rPr>
          <w:rFonts w:ascii="宋体" w:hAnsi="宋体" w:eastAsia="宋体" w:cs="Times New Roman"/>
          <w:color w:val="auto"/>
          <w:spacing w:val="-6"/>
          <w:szCs w:val="21"/>
          <w:highlight w:val="none"/>
        </w:rPr>
        <w:t>方案不明确，存在一个或一个以上备选（替代）投标方案；</w:t>
      </w:r>
    </w:p>
    <w:p w14:paraId="3D8A394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1E5B1D3A">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47B353BC">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0DC4AC9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1775AE0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7A71DF09">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554C646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E90A7D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7AE8074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5"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不能诚信履约的，应当要求其在评标现场合理的时间内提供书面说明，必要时提交相关证明材料；投标人不能证明其报价合理性的，评标委员会应当将其作为无效投标处理。</w:t>
      </w:r>
    </w:p>
    <w:bookmarkEnd w:id="45"/>
    <w:p w14:paraId="411A4872">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1CB91E8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571D2778">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7DC70E78">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29BA991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3C23BCDE">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767EC6BE">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308E68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641972C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2B044C00">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7B0B4F8A">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63FC2225">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65DECB7">
      <w:pPr>
        <w:pStyle w:val="100"/>
        <w:snapToGrid w:val="0"/>
        <w:spacing w:before="0" w:line="288" w:lineRule="auto"/>
        <w:ind w:left="0" w:firstLine="424" w:firstLineChars="201"/>
        <w:rPr>
          <w:rFonts w:ascii="宋体" w:hAnsi="宋体"/>
          <w:color w:val="auto"/>
          <w:szCs w:val="21"/>
          <w:highlight w:val="none"/>
        </w:rPr>
      </w:pPr>
      <w:bookmarkStart w:id="46"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EFE150B">
      <w:pPr>
        <w:pStyle w:val="100"/>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B905B5C">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5A7E5145">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16DE7B2">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1A87BCA0">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2443CE57">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02926F0E">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301B5B00">
      <w:pPr>
        <w:pStyle w:val="99"/>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CF84063">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5A73FD07">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48A8A749">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33077170">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3A7B2001">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63D9EC8">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4C5E15A3">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46"/>
    <w:p w14:paraId="014FE79E">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7DA6496A">
      <w:pPr>
        <w:adjustRightInd w:val="0"/>
        <w:snapToGrid w:val="0"/>
        <w:spacing w:line="288" w:lineRule="auto"/>
        <w:ind w:firstLine="420" w:firstLineChars="200"/>
        <w:rPr>
          <w:rFonts w:ascii="宋体" w:hAnsi="宋体" w:eastAsia="宋体" w:cs="宋体"/>
          <w:color w:val="auto"/>
          <w:kern w:val="0"/>
          <w:szCs w:val="21"/>
          <w:highlight w:val="none"/>
        </w:rPr>
      </w:pPr>
      <w:bookmarkStart w:id="47"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35AD033B">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47"/>
    <w:p w14:paraId="3AA92DBA">
      <w:pPr>
        <w:adjustRightInd w:val="0"/>
        <w:snapToGrid w:val="0"/>
        <w:spacing w:line="288" w:lineRule="auto"/>
        <w:ind w:firstLine="426" w:firstLineChars="202"/>
        <w:rPr>
          <w:rFonts w:ascii="宋体" w:hAnsi="宋体" w:eastAsia="宋体" w:cs="Arial"/>
          <w:b/>
          <w:color w:val="auto"/>
          <w:kern w:val="0"/>
          <w:szCs w:val="21"/>
          <w:highlight w:val="none"/>
        </w:rPr>
      </w:pPr>
      <w:bookmarkStart w:id="48"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1EFA17BE">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5B61FDC1">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0839371B">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282375C7">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39558D1">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325DED46">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700B0172">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5AD8BC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5F314F21">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4ECEAACC">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7E2071C2">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6481F775">
      <w:pPr>
        <w:pStyle w:val="99"/>
        <w:adjustRightInd w:val="0"/>
        <w:snapToGrid w:val="0"/>
        <w:spacing w:before="0" w:line="288" w:lineRule="auto"/>
        <w:ind w:firstLine="424" w:firstLineChars="202"/>
        <w:rPr>
          <w:rFonts w:hint="eastAsia" w:ascii="宋体" w:hAnsi="宋体" w:eastAsia="宋体" w:cs="宋体"/>
          <w:color w:val="auto"/>
          <w:kern w:val="0"/>
          <w:sz w:val="21"/>
          <w:szCs w:val="21"/>
          <w:highlight w:val="none"/>
        </w:rPr>
      </w:pPr>
      <w:r>
        <w:rPr>
          <w:rFonts w:ascii="宋体" w:hAnsi="宋体" w:cs="仿宋"/>
          <w:color w:val="auto"/>
          <w:kern w:val="0"/>
          <w:sz w:val="21"/>
          <w:szCs w:val="21"/>
          <w:highlight w:val="none"/>
        </w:rPr>
        <w:t>单价金额小数点或者百分比有明显错位的，</w:t>
      </w:r>
      <w:r>
        <w:rPr>
          <w:rFonts w:hint="eastAsia" w:ascii="宋体" w:hAnsi="宋体" w:eastAsia="宋体" w:cs="宋体"/>
          <w:color w:val="auto"/>
          <w:kern w:val="0"/>
          <w:sz w:val="21"/>
          <w:szCs w:val="21"/>
          <w:highlight w:val="none"/>
        </w:rPr>
        <w:t>以开标一览表的总价为准，并修改单价；</w:t>
      </w:r>
    </w:p>
    <w:p w14:paraId="31BE861A">
      <w:pPr>
        <w:pStyle w:val="99"/>
        <w:adjustRightInd w:val="0"/>
        <w:snapToGrid w:val="0"/>
        <w:spacing w:before="0" w:line="288" w:lineRule="auto"/>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总价金额与按单价汇总金额不一致的，以单价金额计算结果为准。</w:t>
      </w:r>
    </w:p>
    <w:p w14:paraId="23EFA1F0">
      <w:pPr>
        <w:pStyle w:val="99"/>
        <w:adjustRightInd w:val="0"/>
        <w:snapToGrid w:val="0"/>
        <w:spacing w:before="0" w:line="288" w:lineRule="auto"/>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1C49813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投标人收到修正确认文件后，在规定时间内未做出回复的，视为不确认。</w:t>
      </w:r>
    </w:p>
    <w:p w14:paraId="055C7D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794DB71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36588EC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2DDEFA8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D1D5ED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0CCDB5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8B2A08F">
      <w:pPr>
        <w:pStyle w:val="99"/>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5BD03A8A">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16120784">
      <w:pPr>
        <w:pStyle w:val="99"/>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C344B43">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46140AC2">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42D045B4">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C7ADC74">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49D3EC65">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3532AE2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48"/>
    <w:p w14:paraId="69F90229">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0BEA78DA">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7AF5418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2D0D8268">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52C0D04A">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42E4F97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10B64405">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4AC19CC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56D9C2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0834014">
      <w:pPr>
        <w:adjustRightInd w:val="0"/>
        <w:snapToGrid w:val="0"/>
        <w:spacing w:line="288" w:lineRule="auto"/>
        <w:ind w:firstLine="396" w:firstLineChars="200"/>
        <w:rPr>
          <w:rFonts w:ascii="宋体" w:hAnsi="宋体" w:eastAsia="宋体" w:cs="Times New Roman"/>
          <w:color w:val="auto"/>
          <w:spacing w:val="-6"/>
          <w:szCs w:val="21"/>
          <w:highlight w:val="none"/>
        </w:rPr>
      </w:pPr>
    </w:p>
    <w:p w14:paraId="04E50DDA">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7C68568F">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FE049A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52ADA999">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CB989E1">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449295B">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76BDC288">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4B951A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78F4609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73794D8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5A6CF93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34F7D55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0A732E5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135E9EB7">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AA0E3F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285E6C1C">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20E3CCD2">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72605F97">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6576E6">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7BF20F6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49C3C43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4F7E5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354EBB0D">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0E2FBAEC">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52DD26E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评分标准</w:t>
            </w:r>
          </w:p>
        </w:tc>
      </w:tr>
      <w:tr w14:paraId="39ADB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FD6FAA1">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价格分（10）</w:t>
            </w:r>
          </w:p>
        </w:tc>
      </w:tr>
      <w:tr w14:paraId="59B0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bottom w:val="single" w:color="auto" w:sz="4" w:space="0"/>
              <w:right w:val="single" w:color="auto" w:sz="4" w:space="0"/>
            </w:tcBorders>
            <w:vAlign w:val="center"/>
          </w:tcPr>
          <w:p w14:paraId="67D4BD0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76C89A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10</w:t>
            </w:r>
          </w:p>
        </w:tc>
        <w:tc>
          <w:tcPr>
            <w:tcW w:w="7072" w:type="dxa"/>
            <w:tcBorders>
              <w:top w:val="single" w:color="auto" w:sz="4" w:space="0"/>
              <w:left w:val="single" w:color="auto" w:sz="4" w:space="0"/>
              <w:bottom w:val="single" w:color="auto" w:sz="4" w:space="0"/>
              <w:right w:val="single" w:color="auto" w:sz="4" w:space="0"/>
            </w:tcBorders>
            <w:vAlign w:val="center"/>
          </w:tcPr>
          <w:p w14:paraId="734A27C9">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3D53E054">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%×100</w:t>
            </w:r>
          </w:p>
        </w:tc>
      </w:tr>
      <w:tr w14:paraId="5501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04DB682">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商务分（</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w:t>
            </w:r>
          </w:p>
        </w:tc>
      </w:tr>
      <w:tr w14:paraId="3AAE4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67" w:type="dxa"/>
            <w:vAlign w:val="center"/>
          </w:tcPr>
          <w:p w14:paraId="29CCE4DC">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投标人信誉</w:t>
            </w:r>
          </w:p>
        </w:tc>
        <w:tc>
          <w:tcPr>
            <w:tcW w:w="654" w:type="dxa"/>
            <w:vAlign w:val="center"/>
          </w:tcPr>
          <w:p w14:paraId="32781F8E">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0BDD4EB7">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【客观分】投标人具有有效的质量管理体系、环境管理体系、职业健康与安全管理体系认证证书的，每有1份得1分，最高得3分（提供证书</w:t>
            </w:r>
            <w:r>
              <w:rPr>
                <w:rFonts w:hint="eastAsia" w:ascii="宋体" w:hAnsi="宋体" w:eastAsia="宋体" w:cs="宋体"/>
                <w:color w:val="auto"/>
                <w:szCs w:val="21"/>
                <w:highlight w:val="none"/>
                <w:lang w:val="en-US" w:eastAsia="zh-CN"/>
              </w:rPr>
              <w:t>扫描件</w:t>
            </w:r>
            <w:r>
              <w:rPr>
                <w:rFonts w:hint="eastAsia" w:ascii="宋体" w:hAnsi="宋体" w:eastAsia="宋体" w:cs="宋体"/>
                <w:color w:val="auto"/>
                <w:szCs w:val="21"/>
                <w:highlight w:val="none"/>
              </w:rPr>
              <w:t>、国家认证认可监督管理委员会官网（http://www.cnca.gov.cn/）查询截图，不提供不得分）。</w:t>
            </w:r>
          </w:p>
        </w:tc>
      </w:tr>
      <w:tr w14:paraId="51524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6D9610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投标人业绩</w:t>
            </w:r>
          </w:p>
        </w:tc>
        <w:tc>
          <w:tcPr>
            <w:tcW w:w="654" w:type="dxa"/>
            <w:vAlign w:val="center"/>
          </w:tcPr>
          <w:p w14:paraId="47A2242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1</w:t>
            </w:r>
          </w:p>
        </w:tc>
        <w:tc>
          <w:tcPr>
            <w:tcW w:w="7072" w:type="dxa"/>
            <w:vAlign w:val="center"/>
          </w:tcPr>
          <w:p w14:paraId="59E9BA6C">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【客观分】投标人自2021年1月1日以来（以合同签订时间为准）</w:t>
            </w:r>
            <w:r>
              <w:rPr>
                <w:rFonts w:hint="eastAsia" w:ascii="宋体" w:hAnsi="宋体" w:eastAsia="宋体" w:cs="宋体"/>
                <w:color w:val="auto"/>
                <w:szCs w:val="21"/>
                <w:highlight w:val="none"/>
                <w:lang w:val="en-US" w:eastAsia="zh-CN"/>
              </w:rPr>
              <w:t>同类合同</w:t>
            </w:r>
            <w:r>
              <w:rPr>
                <w:rFonts w:hint="eastAsia" w:ascii="宋体" w:hAnsi="宋体" w:eastAsia="宋体" w:cs="宋体"/>
                <w:color w:val="auto"/>
                <w:szCs w:val="21"/>
                <w:highlight w:val="none"/>
              </w:rPr>
              <w:t>业绩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须同时包含招标代理、清单编制两项服务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，每提供1份得</w:t>
            </w:r>
            <w:r>
              <w:rPr>
                <w:rFonts w:hint="eastAsia" w:ascii="宋体" w:hAnsi="宋体" w:eastAsia="宋体" w:cs="宋体"/>
                <w:color w:val="auto"/>
                <w:szCs w:val="21"/>
                <w:highlight w:val="none"/>
                <w:lang w:val="en-US" w:eastAsia="zh-CN"/>
              </w:rPr>
              <w:t>0.25</w:t>
            </w:r>
            <w:r>
              <w:rPr>
                <w:rFonts w:hint="eastAsia" w:ascii="宋体" w:hAnsi="宋体" w:eastAsia="宋体" w:cs="宋体"/>
                <w:color w:val="auto"/>
                <w:szCs w:val="21"/>
                <w:highlight w:val="none"/>
              </w:rPr>
              <w:t>分，最高得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分（提供合同</w:t>
            </w:r>
            <w:r>
              <w:rPr>
                <w:rFonts w:hint="eastAsia" w:ascii="宋体" w:hAnsi="宋体" w:eastAsia="宋体" w:cs="宋体"/>
                <w:color w:val="auto"/>
                <w:szCs w:val="21"/>
                <w:highlight w:val="none"/>
                <w:lang w:val="en-US" w:eastAsia="zh-CN"/>
              </w:rPr>
              <w:t>扫描件</w:t>
            </w:r>
            <w:r>
              <w:rPr>
                <w:rFonts w:hint="eastAsia" w:ascii="宋体" w:hAnsi="宋体" w:eastAsia="宋体" w:cs="宋体"/>
                <w:color w:val="auto"/>
                <w:szCs w:val="21"/>
                <w:highlight w:val="none"/>
              </w:rPr>
              <w:t>）。</w:t>
            </w:r>
          </w:p>
        </w:tc>
      </w:tr>
      <w:tr w14:paraId="14006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7F3E0A7">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技术分（</w:t>
            </w:r>
            <w:r>
              <w:rPr>
                <w:rFonts w:hint="eastAsia" w:ascii="宋体" w:hAnsi="宋体" w:eastAsia="宋体" w:cs="宋体"/>
                <w:b/>
                <w:bCs/>
                <w:color w:val="auto"/>
                <w:szCs w:val="21"/>
                <w:highlight w:val="none"/>
                <w:lang w:val="en-US" w:eastAsia="zh-CN"/>
              </w:rPr>
              <w:t>86</w:t>
            </w:r>
            <w:r>
              <w:rPr>
                <w:rFonts w:hint="eastAsia" w:ascii="宋体" w:hAnsi="宋体" w:eastAsia="宋体" w:cs="宋体"/>
                <w:b/>
                <w:bCs/>
                <w:color w:val="auto"/>
                <w:szCs w:val="21"/>
                <w:highlight w:val="none"/>
              </w:rPr>
              <w:t>）</w:t>
            </w:r>
          </w:p>
        </w:tc>
      </w:tr>
      <w:tr w14:paraId="53D06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5456A5A4">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highlight w:val="none"/>
              </w:rPr>
            </w:pPr>
            <w:r>
              <w:rPr>
                <w:rFonts w:hint="eastAsia" w:ascii="宋体" w:hAnsi="宋体" w:eastAsia="宋体" w:cs="宋体"/>
                <w:b/>
                <w:bCs/>
                <w:color w:val="auto"/>
                <w:kern w:val="2"/>
                <w:sz w:val="21"/>
                <w:szCs w:val="21"/>
                <w:highlight w:val="none"/>
                <w:lang w:val="en-US" w:eastAsia="zh-CN" w:bidi="ar"/>
              </w:rPr>
              <w:t>响应程度</w:t>
            </w:r>
          </w:p>
        </w:tc>
        <w:tc>
          <w:tcPr>
            <w:tcW w:w="654" w:type="dxa"/>
            <w:vAlign w:val="center"/>
          </w:tcPr>
          <w:p w14:paraId="55CDA7FB">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kern w:val="2"/>
                <w:sz w:val="21"/>
                <w:szCs w:val="21"/>
                <w:highlight w:val="none"/>
                <w:lang w:val="en-US" w:eastAsia="zh-CN" w:bidi="ar"/>
              </w:rPr>
              <w:t>16</w:t>
            </w:r>
          </w:p>
        </w:tc>
        <w:tc>
          <w:tcPr>
            <w:tcW w:w="7072" w:type="dxa"/>
            <w:vAlign w:val="center"/>
          </w:tcPr>
          <w:p w14:paraId="72F8170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【客观分】</w:t>
            </w:r>
          </w:p>
          <w:p w14:paraId="4F4A497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不符合（负偏离）服务要求中标注“▲”条款（不可偏离）的投标无效；</w:t>
            </w:r>
          </w:p>
          <w:p w14:paraId="049146E0">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满足招标文件明确的全部服务要求的该项得满分；</w:t>
            </w:r>
          </w:p>
          <w:p w14:paraId="77019C4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投标条款低于服务要求（负偏离）的每项扣4分；</w:t>
            </w:r>
          </w:p>
          <w:p w14:paraId="5C33BFF0">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负偏离4项及以上的，视为采购人不能接受的附加条件。</w:t>
            </w:r>
          </w:p>
        </w:tc>
      </w:tr>
      <w:tr w14:paraId="3B6E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vAlign w:val="center"/>
          </w:tcPr>
          <w:p w14:paraId="59DB383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拟投入人员</w:t>
            </w:r>
          </w:p>
        </w:tc>
        <w:tc>
          <w:tcPr>
            <w:tcW w:w="654" w:type="dxa"/>
            <w:vAlign w:val="center"/>
          </w:tcPr>
          <w:p w14:paraId="59E0C20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2</w:t>
            </w:r>
          </w:p>
        </w:tc>
        <w:tc>
          <w:tcPr>
            <w:tcW w:w="7072" w:type="dxa"/>
            <w:vAlign w:val="center"/>
          </w:tcPr>
          <w:p w14:paraId="1EDCE97A">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【客观分】投标人拟派造价咨询技术负责人具备高级工程师职称的得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分（提供证书</w:t>
            </w:r>
            <w:r>
              <w:rPr>
                <w:rFonts w:hint="eastAsia" w:ascii="宋体" w:hAnsi="宋体" w:eastAsia="宋体" w:cs="宋体"/>
                <w:color w:val="auto"/>
                <w:szCs w:val="21"/>
                <w:highlight w:val="none"/>
                <w:lang w:val="en-US" w:eastAsia="zh-CN"/>
              </w:rPr>
              <w:t>扫描件</w:t>
            </w:r>
            <w:r>
              <w:rPr>
                <w:rFonts w:hint="eastAsia" w:ascii="宋体" w:hAnsi="宋体" w:eastAsia="宋体" w:cs="宋体"/>
                <w:color w:val="auto"/>
                <w:szCs w:val="21"/>
                <w:highlight w:val="none"/>
              </w:rPr>
              <w:t>，不提供不得分）。</w:t>
            </w:r>
          </w:p>
        </w:tc>
      </w:tr>
      <w:tr w14:paraId="29C7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vAlign w:val="center"/>
          </w:tcPr>
          <w:p w14:paraId="28CA1FC1">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0345673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4</w:t>
            </w:r>
          </w:p>
        </w:tc>
        <w:tc>
          <w:tcPr>
            <w:tcW w:w="7072" w:type="dxa"/>
            <w:tcBorders>
              <w:top w:val="single" w:color="auto" w:sz="4" w:space="0"/>
              <w:left w:val="single" w:color="auto" w:sz="4" w:space="0"/>
              <w:bottom w:val="single" w:color="auto" w:sz="4" w:space="0"/>
              <w:right w:val="single" w:color="auto" w:sz="4" w:space="0"/>
            </w:tcBorders>
            <w:vAlign w:val="center"/>
          </w:tcPr>
          <w:p w14:paraId="20FF19A7">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在满足采购需求的基础上（项目组成人员不得少于10个（包含1名总负责人、1名招标代理技术负责人、1名造价咨询技术负责人、其他成员7人），其中至少应包含4名注册造价工程师（含土建、安装））（提供资质证书复印件，不提供不得分。一人多证不重复计分）：</w:t>
            </w:r>
          </w:p>
          <w:p w14:paraId="4054596F">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1.每增加1名二级注册造价师（土建）得0.5分；每增加1名一级注册造价师（土建）得1分，本项最高得2分；</w:t>
            </w:r>
          </w:p>
          <w:p w14:paraId="5061A7E7">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2.每增加1名二级注册造价师（安装）得0.5分；每增加1名一级注册造价师（安装）得1分，本项最高得2分。</w:t>
            </w:r>
          </w:p>
        </w:tc>
      </w:tr>
      <w:tr w14:paraId="42A9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767" w:type="dxa"/>
            <w:vMerge w:val="continue"/>
            <w:tcBorders>
              <w:bottom w:val="single" w:color="auto" w:sz="4" w:space="0"/>
            </w:tcBorders>
            <w:vAlign w:val="center"/>
          </w:tcPr>
          <w:p w14:paraId="7C6C31F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8978FA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vAlign w:val="center"/>
          </w:tcPr>
          <w:p w14:paraId="4F88E4A5">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【客观分】项目团队成员（除总负责人、招标代理技术负责人、造价咨询技术负责人外）每有1人具备中级工程师职称得0.5分，每有1人具备高级工程师及以上职称得1分，本项最高得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分（提供职称证书复印件，不提供不得分。一人多证不重复计分）。</w:t>
            </w:r>
          </w:p>
        </w:tc>
      </w:tr>
      <w:tr w14:paraId="121C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1767" w:type="dxa"/>
            <w:tcBorders>
              <w:top w:val="single" w:color="auto" w:sz="4" w:space="0"/>
              <w:left w:val="single" w:color="auto" w:sz="4" w:space="0"/>
              <w:right w:val="single" w:color="auto" w:sz="4" w:space="0"/>
            </w:tcBorders>
            <w:vAlign w:val="center"/>
          </w:tcPr>
          <w:p w14:paraId="11D99E78">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造价咨询服务方案</w:t>
            </w:r>
          </w:p>
        </w:tc>
        <w:tc>
          <w:tcPr>
            <w:tcW w:w="654" w:type="dxa"/>
            <w:tcBorders>
              <w:top w:val="single" w:color="auto" w:sz="4" w:space="0"/>
              <w:left w:val="single" w:color="auto" w:sz="4" w:space="0"/>
              <w:bottom w:val="single" w:color="auto" w:sz="4" w:space="0"/>
              <w:right w:val="single" w:color="auto" w:sz="4" w:space="0"/>
            </w:tcBorders>
            <w:vAlign w:val="center"/>
          </w:tcPr>
          <w:p w14:paraId="6C59668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14:paraId="198F6917">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观分】方案有针对性，可操作性；充分考虑项目的特性，针对项目不同阶段造价控制需要制定了相应控制措施；服务方案全面、科学、合理，实操性强。对各人员的组织分工明确。投资控制的方法合理、可行（评分范围：5,4,3,2,1,0）。</w:t>
            </w:r>
          </w:p>
        </w:tc>
      </w:tr>
      <w:tr w14:paraId="68A4C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left w:val="single" w:color="auto" w:sz="4" w:space="0"/>
              <w:right w:val="single" w:color="auto" w:sz="4" w:space="0"/>
            </w:tcBorders>
            <w:vAlign w:val="center"/>
          </w:tcPr>
          <w:p w14:paraId="1AE9E7AB">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招标代理服务方案</w:t>
            </w:r>
          </w:p>
        </w:tc>
        <w:tc>
          <w:tcPr>
            <w:tcW w:w="654" w:type="dxa"/>
            <w:tcBorders>
              <w:top w:val="single" w:color="auto" w:sz="4" w:space="0"/>
              <w:left w:val="single" w:color="auto" w:sz="4" w:space="0"/>
              <w:bottom w:val="single" w:color="auto" w:sz="4" w:space="0"/>
              <w:right w:val="single" w:color="auto" w:sz="4" w:space="0"/>
            </w:tcBorders>
            <w:vAlign w:val="center"/>
          </w:tcPr>
          <w:p w14:paraId="216DC800">
            <w:pPr>
              <w:keepNext w:val="0"/>
              <w:keepLines w:val="0"/>
              <w:suppressLineNumbers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pacing w:val="-6"/>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6CA93CB9">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【主观分】供应商提供的招标代理流程、程序、思路、质量和进度控制措施的全面性、科学性、合理性（评分范围：5,4,3,2,1,0）。</w:t>
            </w:r>
          </w:p>
        </w:tc>
      </w:tr>
      <w:tr w14:paraId="605D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4B4A370B">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0D9C5A2">
            <w:pPr>
              <w:keepNext w:val="0"/>
              <w:keepLines w:val="0"/>
              <w:suppressLineNumbers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pacing w:val="-6"/>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26E0329C">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【主观分】供应商提供的采购文件的编制审核制度的全面性，可靠性（评分范围：5,4,3,2,1,0）。</w:t>
            </w:r>
          </w:p>
        </w:tc>
      </w:tr>
      <w:tr w14:paraId="1A32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26BDC5ED">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4D848180">
            <w:pPr>
              <w:keepNext w:val="0"/>
              <w:keepLines w:val="0"/>
              <w:suppressLineNumbers w:val="0"/>
              <w:spacing w:before="0" w:beforeAutospacing="0" w:after="0" w:afterAutospacing="0"/>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pacing w:val="-6"/>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01DF61A">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【主观分】供应商提供的防止及处理质疑等异常情况措施方案的合理性（评分范围：5,4,3,2,1,0）。</w:t>
            </w:r>
          </w:p>
        </w:tc>
      </w:tr>
      <w:tr w14:paraId="2504F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09A6D94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重难点分析</w:t>
            </w:r>
          </w:p>
        </w:tc>
        <w:tc>
          <w:tcPr>
            <w:tcW w:w="654" w:type="dxa"/>
            <w:tcBorders>
              <w:top w:val="single" w:color="auto" w:sz="4" w:space="0"/>
              <w:left w:val="single" w:color="auto" w:sz="4" w:space="0"/>
              <w:bottom w:val="single" w:color="auto" w:sz="4" w:space="0"/>
              <w:right w:val="single" w:color="auto" w:sz="4" w:space="0"/>
            </w:tcBorders>
            <w:vAlign w:val="center"/>
          </w:tcPr>
          <w:p w14:paraId="24F11F48">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11F0ABED">
            <w:pPr>
              <w:keepNext w:val="0"/>
              <w:keepLines w:val="0"/>
              <w:widowControl w:val="0"/>
              <w:suppressLineNumbers w:val="0"/>
              <w:tabs>
                <w:tab w:val="left" w:pos="312"/>
              </w:tabs>
              <w:snapToGrid w:val="0"/>
              <w:spacing w:before="0" w:beforeAutospacing="0" w:after="0" w:afterAutospacing="0"/>
              <w:ind w:left="0" w:right="0" w:firstLine="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【主观分】对本项目工程清单编制、控制价编制的难点、重点分析的全面性、针对性（评分范围：5,4,3,2,1,0）。</w:t>
            </w:r>
          </w:p>
        </w:tc>
      </w:tr>
      <w:tr w14:paraId="7F912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51F31F2D">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43CED84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70413692">
            <w:pPr>
              <w:keepNext w:val="0"/>
              <w:keepLines w:val="0"/>
              <w:widowControl w:val="0"/>
              <w:suppressLineNumbers w:val="0"/>
              <w:tabs>
                <w:tab w:val="left" w:pos="312"/>
              </w:tabs>
              <w:snapToGrid w:val="0"/>
              <w:spacing w:before="0" w:beforeAutospacing="0" w:after="0" w:afterAutospacing="0"/>
              <w:ind w:left="0" w:right="0" w:firstLine="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【主观分】对本项目招标代理服务的难点、重点分析的全面性、针对性（评分范围：5,4,3,2,1,0）。</w:t>
            </w:r>
          </w:p>
        </w:tc>
      </w:tr>
      <w:tr w14:paraId="1258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67F293D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质量保证措施</w:t>
            </w:r>
          </w:p>
        </w:tc>
        <w:tc>
          <w:tcPr>
            <w:tcW w:w="654" w:type="dxa"/>
            <w:tcBorders>
              <w:top w:val="single" w:color="auto" w:sz="4" w:space="0"/>
              <w:left w:val="single" w:color="auto" w:sz="4" w:space="0"/>
              <w:bottom w:val="single" w:color="auto" w:sz="4" w:space="0"/>
              <w:right w:val="single" w:color="auto" w:sz="4" w:space="0"/>
            </w:tcBorders>
            <w:vAlign w:val="center"/>
          </w:tcPr>
          <w:p w14:paraId="7863B038">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7B59D15">
            <w:pPr>
              <w:keepNext w:val="0"/>
              <w:keepLines w:val="0"/>
              <w:widowControl w:val="0"/>
              <w:suppressLineNumbers w:val="0"/>
              <w:tabs>
                <w:tab w:val="left" w:pos="312"/>
              </w:tabs>
              <w:snapToGrid w:val="0"/>
              <w:spacing w:before="0" w:beforeAutospacing="0" w:after="0" w:afterAutospacing="0"/>
              <w:ind w:left="0" w:right="0" w:firstLine="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【主观分】有造价成果的综合误差率承诺（需提供承诺函），有健全的质量控制制度。有可靠的质量保证措施、提交的服务成果报告规范准确等（评分范围：5,4,3,2,1,0）。</w:t>
            </w:r>
          </w:p>
        </w:tc>
      </w:tr>
      <w:tr w14:paraId="01E14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756B04A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进度保证、服务响应</w:t>
            </w:r>
          </w:p>
        </w:tc>
        <w:tc>
          <w:tcPr>
            <w:tcW w:w="654" w:type="dxa"/>
            <w:tcBorders>
              <w:top w:val="single" w:color="auto" w:sz="4" w:space="0"/>
              <w:left w:val="single" w:color="auto" w:sz="4" w:space="0"/>
              <w:bottom w:val="single" w:color="auto" w:sz="4" w:space="0"/>
              <w:right w:val="single" w:color="auto" w:sz="4" w:space="0"/>
            </w:tcBorders>
            <w:vAlign w:val="center"/>
          </w:tcPr>
          <w:p w14:paraId="561CEFF4">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7C2467AC">
            <w:pPr>
              <w:keepNext w:val="0"/>
              <w:keepLines w:val="0"/>
              <w:widowControl w:val="0"/>
              <w:suppressLineNumbers w:val="0"/>
              <w:tabs>
                <w:tab w:val="left" w:pos="312"/>
              </w:tabs>
              <w:snapToGrid w:val="0"/>
              <w:spacing w:before="0" w:beforeAutospacing="0" w:after="0" w:afterAutospacing="0"/>
              <w:ind w:left="0" w:right="0" w:firstLine="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【主观分】针对造价咨询服务有明确服务工作计划，服务进度安排得当，措施切实可行，服务响应时间短，提交服务成果及时（评分范围：5,4,3,2,1,0）。</w:t>
            </w:r>
          </w:p>
        </w:tc>
      </w:tr>
      <w:tr w14:paraId="0F10E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34ACFDB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91FF2E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18FE20A2">
            <w:pPr>
              <w:keepNext w:val="0"/>
              <w:keepLines w:val="0"/>
              <w:widowControl w:val="0"/>
              <w:suppressLineNumbers w:val="0"/>
              <w:tabs>
                <w:tab w:val="left" w:pos="312"/>
              </w:tabs>
              <w:snapToGrid w:val="0"/>
              <w:spacing w:before="0" w:beforeAutospacing="0" w:after="0" w:afterAutospacing="0"/>
              <w:ind w:left="0" w:right="0" w:firstLine="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【主观分】针对招标代理服务有明确服务工作计划，服务进度安排得当，措施切实可行，服务响应时间短，提交服务成果及时（评分范围：5,4,3,2,1,0）。</w:t>
            </w:r>
          </w:p>
        </w:tc>
      </w:tr>
      <w:tr w14:paraId="2F22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75BD5EB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造价服务思路及目标</w:t>
            </w:r>
          </w:p>
        </w:tc>
        <w:tc>
          <w:tcPr>
            <w:tcW w:w="654" w:type="dxa"/>
            <w:tcBorders>
              <w:top w:val="single" w:color="auto" w:sz="4" w:space="0"/>
              <w:left w:val="single" w:color="auto" w:sz="4" w:space="0"/>
              <w:bottom w:val="single" w:color="auto" w:sz="4" w:space="0"/>
              <w:right w:val="single" w:color="auto" w:sz="4" w:space="0"/>
            </w:tcBorders>
            <w:vAlign w:val="center"/>
          </w:tcPr>
          <w:p w14:paraId="3603BB2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3D3B495">
            <w:pPr>
              <w:keepNext w:val="0"/>
              <w:keepLines w:val="0"/>
              <w:widowControl w:val="0"/>
              <w:suppressLineNumbers w:val="0"/>
              <w:tabs>
                <w:tab w:val="left" w:pos="312"/>
              </w:tabs>
              <w:snapToGrid w:val="0"/>
              <w:spacing w:before="0" w:beforeAutospacing="0" w:after="0" w:afterAutospacing="0"/>
              <w:ind w:left="0" w:right="0" w:firstLine="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【主观分】造价服务工作思路清晰，目标明确，内容完整、科学、合理；各接段工作计划合理、有前瞻性（评分范围：5,4,3,2,1,0）。</w:t>
            </w:r>
          </w:p>
        </w:tc>
      </w:tr>
      <w:tr w14:paraId="07155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2C422D9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动态分析、指标测算</w:t>
            </w:r>
          </w:p>
        </w:tc>
        <w:tc>
          <w:tcPr>
            <w:tcW w:w="654" w:type="dxa"/>
            <w:tcBorders>
              <w:top w:val="single" w:color="auto" w:sz="4" w:space="0"/>
              <w:left w:val="single" w:color="auto" w:sz="4" w:space="0"/>
              <w:bottom w:val="single" w:color="auto" w:sz="4" w:space="0"/>
              <w:right w:val="single" w:color="auto" w:sz="4" w:space="0"/>
            </w:tcBorders>
            <w:vAlign w:val="center"/>
          </w:tcPr>
          <w:p w14:paraId="4594299C">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AB732B8">
            <w:pPr>
              <w:keepNext w:val="0"/>
              <w:keepLines w:val="0"/>
              <w:widowControl w:val="0"/>
              <w:suppressLineNumbers w:val="0"/>
              <w:tabs>
                <w:tab w:val="left" w:pos="312"/>
              </w:tabs>
              <w:snapToGrid w:val="0"/>
              <w:spacing w:before="0" w:beforeAutospacing="0" w:after="0" w:afterAutospacing="0"/>
              <w:ind w:left="0" w:right="0" w:firstLine="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【主观分】工程造价动态分析工具科学与实用性，造价指标全面性及关键指标准确度（评分范围：5,4,3,2,1,0）。</w:t>
            </w:r>
          </w:p>
        </w:tc>
      </w:tr>
      <w:tr w14:paraId="1E94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727A3301">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投标人优势及其他服务承诺、措施</w:t>
            </w:r>
          </w:p>
        </w:tc>
        <w:tc>
          <w:tcPr>
            <w:tcW w:w="654" w:type="dxa"/>
            <w:tcBorders>
              <w:top w:val="single" w:color="auto" w:sz="4" w:space="0"/>
              <w:left w:val="single" w:color="auto" w:sz="4" w:space="0"/>
              <w:bottom w:val="single" w:color="auto" w:sz="4" w:space="0"/>
              <w:right w:val="single" w:color="auto" w:sz="4" w:space="0"/>
            </w:tcBorders>
            <w:vAlign w:val="center"/>
          </w:tcPr>
          <w:p w14:paraId="3BA17C1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85BEE0">
            <w:pPr>
              <w:keepNext w:val="0"/>
              <w:keepLines w:val="0"/>
              <w:widowControl w:val="0"/>
              <w:suppressLineNumbers w:val="0"/>
              <w:tabs>
                <w:tab w:val="left" w:pos="312"/>
              </w:tabs>
              <w:snapToGrid w:val="0"/>
              <w:spacing w:before="0" w:beforeAutospacing="0" w:after="0" w:afterAutospacing="0"/>
              <w:ind w:left="0" w:right="0" w:firstLine="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【主观分】投标人在完成本项目上所具备的优势，以及能为招标人提供的各方面服务。对于服务方案、方法、措施，是否全面，有针对性（评分范围：5,4,3,2,1,0）。</w:t>
            </w:r>
          </w:p>
        </w:tc>
      </w:tr>
    </w:tbl>
    <w:p w14:paraId="0A6F7E04">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r>
        <w:rPr>
          <w:rFonts w:hint="eastAsia" w:ascii="宋体" w:hAnsi="宋体" w:eastAsia="宋体" w:cs="Times New Roman"/>
          <w:b/>
          <w:color w:val="auto"/>
          <w:szCs w:val="21"/>
          <w:highlight w:val="none"/>
        </w:rPr>
        <w:t>本项目专门面向中小企业采购，不再执行价格评审优惠的扶持政策。</w:t>
      </w:r>
    </w:p>
    <w:p w14:paraId="58D00E58">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62994A2B">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462C9A0">
      <w:pPr>
        <w:adjustRightInd w:val="0"/>
        <w:snapToGrid w:val="0"/>
        <w:spacing w:line="288" w:lineRule="auto"/>
        <w:rPr>
          <w:rFonts w:ascii="宋体" w:hAnsi="宋体" w:eastAsia="宋体" w:cs="宋体"/>
          <w:b/>
          <w:color w:val="auto"/>
          <w:spacing w:val="-6"/>
          <w:szCs w:val="21"/>
          <w:highlight w:val="none"/>
        </w:rPr>
      </w:pPr>
    </w:p>
    <w:p w14:paraId="349798D7">
      <w:pPr>
        <w:spacing w:line="288" w:lineRule="auto"/>
        <w:ind w:firstLine="422" w:firstLineChars="200"/>
        <w:jc w:val="center"/>
        <w:rPr>
          <w:rFonts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杭州电子科技大学采购合同（服务类）</w:t>
      </w:r>
    </w:p>
    <w:p w14:paraId="508EE47F">
      <w:pPr>
        <w:spacing w:line="288" w:lineRule="auto"/>
        <w:ind w:firstLine="420" w:firstLineChars="200"/>
        <w:jc w:val="right"/>
        <w:rPr>
          <w:rFonts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合同编号_________________</w:t>
      </w:r>
    </w:p>
    <w:p w14:paraId="699F9312">
      <w:pPr>
        <w:spacing w:line="288" w:lineRule="auto"/>
        <w:ind w:firstLine="396" w:firstLineChars="200"/>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项目编号：QSZB-F(F)-B25115(GK)</w:t>
      </w:r>
    </w:p>
    <w:p w14:paraId="4094EE5B">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甲方（采购人）：杭州电子科技大学</w:t>
      </w:r>
    </w:p>
    <w:p w14:paraId="7A07F753">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乙方（供应商）：</w:t>
      </w:r>
    </w:p>
    <w:p w14:paraId="3A473E32">
      <w:pPr>
        <w:spacing w:line="288" w:lineRule="auto"/>
        <w:ind w:firstLine="396" w:firstLineChars="200"/>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采购代理机构（鉴证方）：浙江求是招标代理有限公司</w:t>
      </w:r>
    </w:p>
    <w:p w14:paraId="688D39F4">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为了规范甲乙双方权利与义务，根据项目</w:t>
      </w:r>
      <w:r>
        <w:rPr>
          <w:rFonts w:hint="eastAsia" w:ascii="宋体" w:hAnsi="宋体" w:eastAsia="宋体" w:cs="宋体"/>
          <w:color w:val="auto"/>
          <w:kern w:val="0"/>
          <w:szCs w:val="21"/>
          <w:highlight w:val="none"/>
          <w:u w:val="single"/>
          <w:lang w:eastAsia="zh-CN"/>
        </w:rPr>
        <w:t>综合实验楼（一期）建设工程招标代理及工程量清单编制服务</w:t>
      </w:r>
      <w:r>
        <w:rPr>
          <w:rFonts w:hint="eastAsia" w:ascii="宋体" w:hAnsi="宋体" w:eastAsia="宋体" w:cs="宋体"/>
          <w:color w:val="auto"/>
          <w:kern w:val="0"/>
          <w:szCs w:val="21"/>
          <w:highlight w:val="none"/>
        </w:rPr>
        <w:t>（项目编号</w:t>
      </w:r>
      <w:r>
        <w:rPr>
          <w:rFonts w:hint="eastAsia" w:ascii="宋体" w:hAnsi="宋体" w:eastAsia="宋体" w:cs="宋体"/>
          <w:color w:val="auto"/>
          <w:kern w:val="0"/>
          <w:szCs w:val="21"/>
          <w:highlight w:val="none"/>
          <w:u w:val="single"/>
        </w:rPr>
        <w:t>QSZB-F(F)-B25115(GK)</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公开招标</w:t>
      </w:r>
      <w:r>
        <w:rPr>
          <w:rFonts w:hint="eastAsia" w:ascii="宋体" w:hAnsi="宋体" w:eastAsia="宋体" w:cs="宋体"/>
          <w:color w:val="auto"/>
          <w:kern w:val="0"/>
          <w:szCs w:val="21"/>
          <w:highlight w:val="none"/>
        </w:rPr>
        <w:t>的中标（成交）结果，签署本合同，以资共同遵守。</w:t>
      </w:r>
    </w:p>
    <w:p w14:paraId="1353C62A">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一、采购服务内容及合同价格</w:t>
      </w:r>
    </w:p>
    <w:tbl>
      <w:tblPr>
        <w:tblStyle w:val="24"/>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14:paraId="7D771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0B228609">
            <w:pPr>
              <w:keepNext w:val="0"/>
              <w:keepLines w:val="0"/>
              <w:suppressLineNumbers w:val="0"/>
              <w:spacing w:before="0" w:beforeAutospacing="0" w:after="0" w:afterAutospacing="0"/>
              <w:ind w:left="0" w:right="0"/>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179" w:type="dxa"/>
            <w:vAlign w:val="center"/>
          </w:tcPr>
          <w:p w14:paraId="35471BC0">
            <w:pPr>
              <w:keepNext w:val="0"/>
              <w:keepLines w:val="0"/>
              <w:suppressLineNumbers w:val="0"/>
              <w:spacing w:before="0" w:beforeAutospacing="0" w:after="0" w:afterAutospacing="0"/>
              <w:ind w:left="0" w:right="0"/>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名称</w:t>
            </w:r>
          </w:p>
        </w:tc>
        <w:tc>
          <w:tcPr>
            <w:tcW w:w="3289" w:type="dxa"/>
            <w:vAlign w:val="center"/>
          </w:tcPr>
          <w:p w14:paraId="71BF302A">
            <w:pPr>
              <w:keepNext w:val="0"/>
              <w:keepLines w:val="0"/>
              <w:suppressLineNumbers w:val="0"/>
              <w:spacing w:before="0" w:beforeAutospacing="0" w:after="0" w:afterAutospacing="0"/>
              <w:ind w:left="0" w:right="0"/>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主要内容</w:t>
            </w:r>
          </w:p>
        </w:tc>
        <w:tc>
          <w:tcPr>
            <w:tcW w:w="2021" w:type="dxa"/>
            <w:vAlign w:val="center"/>
          </w:tcPr>
          <w:p w14:paraId="6E32A4E0">
            <w:pPr>
              <w:keepNext w:val="0"/>
              <w:keepLines w:val="0"/>
              <w:suppressLineNumbers w:val="0"/>
              <w:spacing w:before="0" w:beforeAutospacing="0" w:after="0" w:afterAutospacing="0"/>
              <w:ind w:left="0" w:right="0"/>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服务期限</w:t>
            </w:r>
          </w:p>
        </w:tc>
        <w:tc>
          <w:tcPr>
            <w:tcW w:w="1715" w:type="dxa"/>
            <w:vAlign w:val="center"/>
          </w:tcPr>
          <w:p w14:paraId="17E9C9F0">
            <w:pPr>
              <w:keepNext w:val="0"/>
              <w:keepLines w:val="0"/>
              <w:suppressLineNumbers w:val="0"/>
              <w:spacing w:before="0" w:beforeAutospacing="0" w:after="0" w:afterAutospacing="0"/>
              <w:ind w:left="0" w:right="0"/>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服务费用</w:t>
            </w:r>
          </w:p>
        </w:tc>
      </w:tr>
      <w:tr w14:paraId="132C3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72E21B2A">
            <w:pPr>
              <w:keepNext w:val="0"/>
              <w:keepLines w:val="0"/>
              <w:suppressLineNumbers w:val="0"/>
              <w:spacing w:before="0" w:beforeAutospacing="0" w:after="0" w:afterAutospacing="0"/>
              <w:ind w:left="0" w:right="0"/>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179" w:type="dxa"/>
            <w:vAlign w:val="center"/>
          </w:tcPr>
          <w:p w14:paraId="3F7565C1">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c>
          <w:tcPr>
            <w:tcW w:w="3289" w:type="dxa"/>
            <w:vAlign w:val="center"/>
          </w:tcPr>
          <w:p w14:paraId="442B68BA">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c>
          <w:tcPr>
            <w:tcW w:w="2021" w:type="dxa"/>
            <w:vAlign w:val="center"/>
          </w:tcPr>
          <w:p w14:paraId="0ABCFB82">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c>
          <w:tcPr>
            <w:tcW w:w="1715" w:type="dxa"/>
            <w:vAlign w:val="center"/>
          </w:tcPr>
          <w:p w14:paraId="15256E6D">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r>
      <w:tr w14:paraId="6E9B9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22AACB7E">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c>
          <w:tcPr>
            <w:tcW w:w="1179" w:type="dxa"/>
            <w:vAlign w:val="center"/>
          </w:tcPr>
          <w:p w14:paraId="20EA3CE7">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c>
          <w:tcPr>
            <w:tcW w:w="3289" w:type="dxa"/>
            <w:vAlign w:val="center"/>
          </w:tcPr>
          <w:p w14:paraId="05682288">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c>
          <w:tcPr>
            <w:tcW w:w="2021" w:type="dxa"/>
            <w:vAlign w:val="center"/>
          </w:tcPr>
          <w:p w14:paraId="36A72614">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c>
          <w:tcPr>
            <w:tcW w:w="1715" w:type="dxa"/>
            <w:vAlign w:val="center"/>
          </w:tcPr>
          <w:p w14:paraId="45351E61">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p>
        </w:tc>
      </w:tr>
      <w:tr w14:paraId="6642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vAlign w:val="center"/>
          </w:tcPr>
          <w:p w14:paraId="513E4B2F">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合同总价（元，人民币）：小写￥              ，大写：</w:t>
            </w:r>
          </w:p>
        </w:tc>
      </w:tr>
    </w:tbl>
    <w:p w14:paraId="2F68ACBA">
      <w:pPr>
        <w:spacing w:line="288" w:lineRule="auto"/>
        <w:ind w:firstLine="420" w:firstLineChars="200"/>
        <w:rPr>
          <w:rFonts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0056F02C">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二、服务内容与要求</w:t>
      </w:r>
    </w:p>
    <w:p w14:paraId="39507F36">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（一）招标代理项目概况：</w:t>
      </w:r>
    </w:p>
    <w:p w14:paraId="1DAF538C">
      <w:pPr>
        <w:spacing w:line="288" w:lineRule="auto"/>
        <w:ind w:firstLine="420" w:firstLineChars="200"/>
        <w:rPr>
          <w:rFonts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1.工程名称：杭州电子科技大学综合实验楼（一期）建设工程；</w:t>
      </w:r>
    </w:p>
    <w:p w14:paraId="3AE3E427">
      <w:pPr>
        <w:spacing w:line="288" w:lineRule="auto"/>
        <w:ind w:firstLine="420" w:firstLineChars="200"/>
        <w:rPr>
          <w:rFonts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2.工程地点：项目建设位于学校西北角，</w:t>
      </w:r>
      <w:r>
        <w:rPr>
          <w:rFonts w:hint="eastAsia" w:ascii="宋体" w:hAnsi="宋体" w:eastAsia="宋体" w:cs="宋体"/>
          <w:bCs/>
          <w:color w:val="auto"/>
          <w:szCs w:val="21"/>
          <w:highlight w:val="none"/>
        </w:rPr>
        <w:t>西侧临近文渊路，北侧为排球场，东侧为行政楼，南邻二号大街；</w:t>
      </w:r>
    </w:p>
    <w:p w14:paraId="1D0087BA">
      <w:pPr>
        <w:spacing w:line="288" w:lineRule="auto"/>
        <w:ind w:firstLine="420" w:firstLineChars="200"/>
        <w:rPr>
          <w:rFonts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3.项目概况：</w:t>
      </w:r>
      <w:r>
        <w:rPr>
          <w:rFonts w:hint="eastAsia" w:ascii="宋体" w:hAnsi="宋体" w:eastAsia="宋体" w:cs="宋体"/>
          <w:bCs/>
          <w:color w:val="auto"/>
          <w:szCs w:val="21"/>
          <w:highlight w:val="none"/>
        </w:rPr>
        <w:t>本项目投资估算约66000万元，</w:t>
      </w:r>
      <w:r>
        <w:rPr>
          <w:rFonts w:hint="eastAsia" w:ascii="宋体" w:hAnsi="宋体" w:eastAsia="宋体" w:cs="宋体"/>
          <w:bCs/>
          <w:color w:val="auto"/>
          <w:spacing w:val="-6"/>
          <w:szCs w:val="21"/>
          <w:highlight w:val="none"/>
        </w:rPr>
        <w:t>总用地面积约20000平方米，项目建设总建筑面积约100000平方米，其中地上建筑面积80000平方米、地下建筑面积20000平方米</w:t>
      </w:r>
      <w:r>
        <w:rPr>
          <w:rFonts w:hint="eastAsia" w:ascii="宋体" w:hAnsi="宋体" w:eastAsia="宋体" w:cs="宋体"/>
          <w:bCs/>
          <w:color w:val="auto"/>
          <w:szCs w:val="21"/>
          <w:highlight w:val="none"/>
          <w:shd w:val="clear" w:color="auto" w:fill="FFFFFF"/>
        </w:rPr>
        <w:t>。</w:t>
      </w:r>
    </w:p>
    <w:p w14:paraId="4720A5CB">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（二）服务范围：</w:t>
      </w:r>
    </w:p>
    <w:p w14:paraId="38EFF0BF">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1.负责制定、调整本项目招标规划及招标进度计划，并报甲方审定；</w:t>
      </w:r>
    </w:p>
    <w:p w14:paraId="03BE3435">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2.项目建设涉及的服务类、工程类、货物类、专业配套工程等所有招标代理工作（包括但不限于跟踪审计、工程监理、地勘、</w:t>
      </w:r>
      <w:r>
        <w:rPr>
          <w:rFonts w:hint="eastAsia" w:ascii="宋体" w:hAnsi="宋体" w:eastAsia="宋体" w:cs="宋体"/>
          <w:bCs/>
          <w:color w:val="auto"/>
          <w:szCs w:val="21"/>
          <w:highlight w:val="none"/>
          <w:lang w:val="en-US" w:eastAsia="zh-CN"/>
        </w:rPr>
        <w:t>桩基检测和基坑监测</w:t>
      </w:r>
      <w:r>
        <w:rPr>
          <w:rFonts w:hint="eastAsia" w:ascii="宋体" w:hAnsi="宋体" w:eastAsia="宋体" w:cs="宋体"/>
          <w:bCs/>
          <w:color w:val="auto"/>
          <w:szCs w:val="21"/>
          <w:highlight w:val="none"/>
        </w:rPr>
        <w:t>、施工、设备采购等，最终以甲方需求为准）；</w:t>
      </w:r>
    </w:p>
    <w:p w14:paraId="107C7A73">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3.办理项目招标备案的一切手续，负责起草各标段涉及的招标申请报告及有关事项的落实；</w:t>
      </w:r>
    </w:p>
    <w:p w14:paraId="0F0B03CF">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4.根据工程建设进度需要及甲方要求起草招标公告，并报甲方及招标管理机构审定，核备后发布招标公告；</w:t>
      </w:r>
    </w:p>
    <w:p w14:paraId="5C05F34D">
      <w:pPr>
        <w:spacing w:line="288" w:lineRule="auto"/>
        <w:ind w:firstLine="420" w:firstLineChars="200"/>
        <w:jc w:val="left"/>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5.编制招标文件并报甲方及招标管理机构审定或核备；</w:t>
      </w:r>
    </w:p>
    <w:p w14:paraId="3FDC2048">
      <w:pPr>
        <w:adjustRightInd w:val="0"/>
        <w:snapToGrid w:val="0"/>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6.根据工程建设进度需要及</w:t>
      </w:r>
      <w:r>
        <w:rPr>
          <w:rFonts w:hint="eastAsia" w:ascii="宋体" w:hAnsi="宋体" w:eastAsia="宋体" w:cs="宋体"/>
          <w:bCs/>
          <w:color w:val="auto"/>
          <w:szCs w:val="21"/>
          <w:highlight w:val="none"/>
          <w:lang w:val="en-US" w:eastAsia="zh-CN"/>
        </w:rPr>
        <w:t>甲</w:t>
      </w:r>
      <w:r>
        <w:rPr>
          <w:rFonts w:hint="eastAsia" w:ascii="宋体" w:hAnsi="宋体" w:eastAsia="宋体" w:cs="宋体"/>
          <w:bCs/>
          <w:color w:val="auto"/>
          <w:szCs w:val="21"/>
          <w:highlight w:val="none"/>
        </w:rPr>
        <w:t>方的要求，负责编制完成实物工程量清单、工程预算价（控制价）及工程量计算书，并完成报有关部门审定或核备工程，根据有关部门提出的审核意见完成工程量清单及控制价的修改；根据</w:t>
      </w:r>
      <w:r>
        <w:rPr>
          <w:rFonts w:hint="eastAsia" w:ascii="宋体" w:hAnsi="宋体" w:eastAsia="宋体" w:cs="宋体"/>
          <w:bCs/>
          <w:color w:val="auto"/>
          <w:szCs w:val="21"/>
          <w:highlight w:val="none"/>
          <w:lang w:val="en-US" w:eastAsia="zh-CN"/>
        </w:rPr>
        <w:t>甲方</w:t>
      </w:r>
      <w:r>
        <w:rPr>
          <w:rFonts w:hint="eastAsia" w:ascii="宋体" w:hAnsi="宋体" w:eastAsia="宋体" w:cs="宋体"/>
          <w:bCs/>
          <w:color w:val="auto"/>
          <w:szCs w:val="21"/>
          <w:highlight w:val="none"/>
        </w:rPr>
        <w:t>的要求完成与跟审单位背靠背清单及控制价核对；与施工单位的清单复核等，具体以</w:t>
      </w:r>
      <w:r>
        <w:rPr>
          <w:rFonts w:hint="eastAsia" w:ascii="宋体" w:hAnsi="宋体" w:eastAsia="宋体" w:cs="宋体"/>
          <w:bCs/>
          <w:color w:val="auto"/>
          <w:szCs w:val="21"/>
          <w:highlight w:val="none"/>
          <w:lang w:val="en-US" w:eastAsia="zh-CN"/>
        </w:rPr>
        <w:t>甲方</w:t>
      </w:r>
      <w:r>
        <w:rPr>
          <w:rFonts w:hint="eastAsia" w:ascii="宋体" w:hAnsi="宋体" w:eastAsia="宋体" w:cs="宋体"/>
          <w:bCs/>
          <w:color w:val="auto"/>
          <w:szCs w:val="21"/>
          <w:highlight w:val="none"/>
        </w:rPr>
        <w:t>要求为准；</w:t>
      </w:r>
    </w:p>
    <w:p w14:paraId="53B866D3">
      <w:pPr>
        <w:spacing w:line="288" w:lineRule="auto"/>
        <w:ind w:firstLine="420" w:firstLineChars="200"/>
        <w:jc w:val="left"/>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遇甲方和施工投标人提出清单工程量有疑义时，须再次核算工程量并出具最终的工程量清单以供招标。对于图纸不全或者图审后修改造成变动的工程量，须在正式图纸下发后计算工程量，修改工程量清单，并根据甲方的要求及时与全过程跟踪审计单位、施工单位核对，确定合同工程量及造价。造价需符合市场及行业正常标准。严禁偏离市场正常水平，否则视为该参考价无效，且不予支付相关费用。以上成果资料必须由</w:t>
      </w:r>
      <w:r>
        <w:rPr>
          <w:rFonts w:hint="eastAsia" w:ascii="宋体" w:hAnsi="宋体" w:eastAsia="宋体" w:cs="宋体"/>
          <w:bCs/>
          <w:color w:val="auto"/>
          <w:szCs w:val="21"/>
          <w:highlight w:val="none"/>
          <w:lang w:val="en-US" w:eastAsia="zh-CN"/>
        </w:rPr>
        <w:t>乙方</w:t>
      </w:r>
      <w:r>
        <w:rPr>
          <w:rFonts w:hint="eastAsia" w:ascii="宋体" w:hAnsi="宋体" w:eastAsia="宋体" w:cs="宋体"/>
          <w:bCs/>
          <w:color w:val="auto"/>
          <w:szCs w:val="21"/>
          <w:highlight w:val="none"/>
        </w:rPr>
        <w:t>注册造价工程师编制，</w:t>
      </w:r>
      <w:r>
        <w:rPr>
          <w:rFonts w:hint="eastAsia" w:ascii="宋体" w:hAnsi="宋体" w:eastAsia="宋体" w:cs="宋体"/>
          <w:bCs/>
          <w:color w:val="auto"/>
          <w:szCs w:val="21"/>
          <w:highlight w:val="none"/>
          <w:lang w:val="en-US" w:eastAsia="zh-CN"/>
        </w:rPr>
        <w:t>乙方</w:t>
      </w:r>
      <w:r>
        <w:rPr>
          <w:rFonts w:hint="eastAsia" w:ascii="宋体" w:hAnsi="宋体" w:eastAsia="宋体" w:cs="宋体"/>
          <w:bCs/>
          <w:color w:val="auto"/>
          <w:szCs w:val="21"/>
          <w:highlight w:val="none"/>
        </w:rPr>
        <w:t>注册造价师审核，相关人员应签字并加盖执业专用章；</w:t>
      </w:r>
    </w:p>
    <w:p w14:paraId="5028EA79">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7.根据甲方采购项目特点及要求审查投标人资格；</w:t>
      </w:r>
    </w:p>
    <w:p w14:paraId="2F9EFB57">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8.发售招标文件，组织招标答疑；</w:t>
      </w:r>
    </w:p>
    <w:p w14:paraId="57CF60D8">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9.收集、整理招投标过程资料（含电子版扫描件）存档；</w:t>
      </w:r>
    </w:p>
    <w:p w14:paraId="1EAD8D4B">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10.根据甲方委托的采购项目负责组织采购活动，包括依法组成评审小组，组织开标评标，推荐供应商（成交供应商），向甲方提交招投标结果；</w:t>
      </w:r>
    </w:p>
    <w:p w14:paraId="4F2D0961">
      <w:pPr>
        <w:spacing w:line="288" w:lineRule="auto"/>
        <w:ind w:left="420" w:left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11.作为鉴证方参与合同签订，协助甲方进行合同管理等；</w:t>
      </w:r>
    </w:p>
    <w:p w14:paraId="3C025CE7">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12.若甲方委托第三方造价咨询机构审核乙方提供的工程量清单及预算时，乙方应积极配合核对和协同，并根据核对后的结果，出具正式咨询结果；</w:t>
      </w:r>
    </w:p>
    <w:p w14:paraId="23A78BC5">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13.如甲方要求乙方须与施工中标单位核对工程量清单或预算的，乙方需负责配合核对和协同；</w:t>
      </w:r>
    </w:p>
    <w:p w14:paraId="70DD7BDC">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14.施工过程中、审计过程中合同条款咨询等后续服务；</w:t>
      </w:r>
    </w:p>
    <w:p w14:paraId="6BF1B6E3">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15.甲方要求的其他事项。</w:t>
      </w:r>
    </w:p>
    <w:p w14:paraId="284E9494">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（三）服务要求：</w:t>
      </w:r>
    </w:p>
    <w:p w14:paraId="69D189E6">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工程总承包、设备、监理等应符合公开招标服务的要求。工程咨询及技术服务等应满足政府采购的要求；包括公开招标、政府采购的代理，工程量清单、招标控制价的编制及相关市场询价等服务；符合国家现行相关法律法规要求。</w:t>
      </w:r>
    </w:p>
    <w:p w14:paraId="0142D5BC">
      <w:pPr>
        <w:spacing w:line="288" w:lineRule="auto"/>
        <w:ind w:firstLine="420" w:firstLineChars="200"/>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1.按甲方的要求，保质、保量、按时完成各项招标工作；</w:t>
      </w:r>
    </w:p>
    <w:p w14:paraId="47190C0E">
      <w:pPr>
        <w:spacing w:line="288" w:lineRule="auto"/>
        <w:ind w:firstLine="420" w:firstLineChars="200"/>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2.每次收到甲方委托任务后，工程类招标（图纸完整后）应在</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日内完成招标文件初稿；设备或服务内应在2日内完成招标文件初稿报甲方审核、确认；对技术要求较复杂、需市场调研的技术参数部分视具体情况和甲方商定文件编制时间；</w:t>
      </w:r>
    </w:p>
    <w:p w14:paraId="4B038411">
      <w:pPr>
        <w:adjustRightInd w:val="0"/>
        <w:snapToGrid w:val="0"/>
        <w:spacing w:line="288"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3.</w:t>
      </w:r>
      <w:r>
        <w:rPr>
          <w:rFonts w:hint="eastAsia" w:ascii="宋体" w:hAnsi="宋体" w:eastAsia="宋体" w:cs="宋体"/>
          <w:bCs/>
          <w:color w:val="auto"/>
          <w:szCs w:val="21"/>
          <w:highlight w:val="none"/>
        </w:rPr>
        <w:t>乙方需按照投标时甲方指定的时间内完成指定的工作任务，本项目要求从乙方接到甲方指令单起25日历天内完成工程量清单及招标控制价编制，5日历天内完成与跟审单位审核；</w:t>
      </w:r>
      <w:r>
        <w:rPr>
          <w:rFonts w:hint="eastAsia" w:ascii="宋体" w:hAnsi="宋体" w:eastAsia="宋体" w:cs="宋体"/>
          <w:color w:val="auto"/>
          <w:highlight w:val="none"/>
        </w:rPr>
        <w:t>如超出指定时间的，每逾期一天，</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rPr>
        <w:t>支付</w:t>
      </w:r>
      <w:r>
        <w:rPr>
          <w:rStyle w:val="33"/>
          <w:rFonts w:hint="eastAsia" w:ascii="宋体" w:hAnsi="宋体" w:eastAsia="宋体" w:cs="宋体"/>
          <w:color w:val="auto"/>
          <w:highlight w:val="none"/>
          <w:lang w:val="en-US" w:eastAsia="zh-CN"/>
        </w:rPr>
        <w:t>甲方</w:t>
      </w:r>
      <w:r>
        <w:rPr>
          <w:rFonts w:hint="eastAsia" w:ascii="宋体" w:hAnsi="宋体" w:eastAsia="宋体" w:cs="宋体"/>
          <w:color w:val="auto"/>
          <w:highlight w:val="none"/>
        </w:rPr>
        <w:t>违约金10000元。同时，</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rPr>
        <w:t>有权将该部分工作任务转交其他造价咨询公司完成，产生的费用由</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rPr>
        <w:t>人按120%承担，并赔偿</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rPr>
        <w:t>由此产生的损失。</w:t>
      </w:r>
    </w:p>
    <w:p w14:paraId="29527552">
      <w:pPr>
        <w:spacing w:line="288" w:lineRule="auto"/>
        <w:ind w:firstLine="420" w:firstLineChars="200"/>
        <w:outlineLvl w:val="0"/>
        <w:rPr>
          <w:rFonts w:ascii="宋体" w:hAnsi="宋体" w:eastAsia="宋体" w:cs="宋体"/>
          <w:bCs/>
          <w:color w:val="auto"/>
          <w:szCs w:val="21"/>
          <w:highlight w:val="none"/>
          <w:lang w:val="zh-CN"/>
        </w:rPr>
      </w:pPr>
      <w:r>
        <w:rPr>
          <w:rFonts w:hint="eastAsia" w:ascii="宋体" w:hAnsi="宋体" w:eastAsia="宋体" w:cs="宋体"/>
          <w:bCs/>
          <w:color w:val="auto"/>
          <w:szCs w:val="21"/>
          <w:highlight w:val="none"/>
        </w:rPr>
        <w:t>4.</w:t>
      </w:r>
      <w:r>
        <w:rPr>
          <w:rFonts w:hint="eastAsia" w:ascii="宋体" w:hAnsi="宋体" w:eastAsia="宋体" w:cs="宋体"/>
          <w:bCs/>
          <w:color w:val="auto"/>
          <w:szCs w:val="21"/>
          <w:highlight w:val="none"/>
          <w:lang w:val="zh-CN"/>
        </w:rPr>
        <w:t>编制工程量清单的服务质量：因</w:t>
      </w:r>
      <w:r>
        <w:rPr>
          <w:rFonts w:hint="eastAsia" w:ascii="宋体" w:hAnsi="宋体" w:eastAsia="宋体" w:cs="宋体"/>
          <w:bCs/>
          <w:color w:val="auto"/>
          <w:szCs w:val="21"/>
          <w:highlight w:val="none"/>
        </w:rPr>
        <w:t>乙方</w:t>
      </w:r>
      <w:r>
        <w:rPr>
          <w:rFonts w:hint="eastAsia" w:ascii="宋体" w:hAnsi="宋体" w:eastAsia="宋体" w:cs="宋体"/>
          <w:bCs/>
          <w:color w:val="auto"/>
          <w:szCs w:val="21"/>
          <w:highlight w:val="none"/>
          <w:lang w:val="zh-CN"/>
        </w:rPr>
        <w:t>原因造成各标段未实现约定质量目标，如因</w:t>
      </w:r>
      <w:r>
        <w:rPr>
          <w:rFonts w:hint="eastAsia" w:ascii="宋体" w:hAnsi="宋体" w:eastAsia="宋体" w:cs="宋体"/>
          <w:bCs/>
          <w:color w:val="auto"/>
          <w:szCs w:val="21"/>
          <w:highlight w:val="none"/>
        </w:rPr>
        <w:t>乙方</w:t>
      </w:r>
      <w:r>
        <w:rPr>
          <w:rFonts w:hint="eastAsia" w:ascii="宋体" w:hAnsi="宋体" w:eastAsia="宋体" w:cs="宋体"/>
          <w:bCs/>
          <w:color w:val="auto"/>
          <w:szCs w:val="21"/>
          <w:highlight w:val="none"/>
          <w:lang w:val="zh-CN"/>
        </w:rPr>
        <w:t>自身原因在编制工程量清单出现漏项、漏量等问题，</w:t>
      </w:r>
      <w:r>
        <w:rPr>
          <w:rFonts w:hint="eastAsia" w:ascii="宋体" w:hAnsi="宋体" w:eastAsia="宋体" w:cs="宋体"/>
          <w:bCs/>
          <w:color w:val="auto"/>
          <w:szCs w:val="21"/>
          <w:highlight w:val="none"/>
        </w:rPr>
        <w:t>提供的工程量清单准确率偏差超出±2％，超出±2％部分每达到1％的误差，扣除合同总价的10%，直至扣完为止。甲方有权对提供的工程量清单等文件进行复核验算。</w:t>
      </w:r>
      <w:r>
        <w:rPr>
          <w:rFonts w:hint="eastAsia" w:ascii="宋体" w:hAnsi="宋体" w:eastAsia="宋体" w:cs="宋体"/>
          <w:bCs/>
          <w:color w:val="auto"/>
          <w:szCs w:val="21"/>
          <w:highlight w:val="none"/>
          <w:lang w:val="zh-CN"/>
        </w:rPr>
        <w:t>对该标段造价影响偏差在±5％以上的，还将作为不良行为记录上报有关行政主管部门备案；</w:t>
      </w:r>
    </w:p>
    <w:p w14:paraId="6090596B">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5.</w:t>
      </w:r>
      <w:r>
        <w:rPr>
          <w:rFonts w:hint="eastAsia" w:ascii="宋体" w:hAnsi="宋体" w:eastAsia="宋体" w:cs="宋体"/>
          <w:bCs/>
          <w:color w:val="auto"/>
          <w:szCs w:val="21"/>
          <w:highlight w:val="none"/>
          <w:lang w:val="zh-CN"/>
        </w:rPr>
        <w:t>工程量清单编制要求：清单编码正确、工程特征描述详细正确、工程量计算正确、工程量单位使用正确、综合单价组价合理、材料价格取定合理。清单内容：工程量清单封面、编制说明、分部分项工程量清单、措施项目清单、其它项目清单、零星工作、计算表（提供工程量计算书（稿）和钢筋计算书）等；控制价内容：预算封面、预算成果报告、编制说明、计价规范要求的各类计价表、分析表等；</w:t>
      </w:r>
    </w:p>
    <w:p w14:paraId="09B87577">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6.遵纪守法，恪守职业道德，在委托代理范围内严格按照法律法规处理相关事务，对甲方提出的内容和要求应依法审查，并对代理事项的合法性负责；必须忠于维护甲方的利益，尽心尽职为甲方提供准确、及时的服务；工作质量标准要求达到现行国家及省、市或行业的招标代理服务标准、规范的要求；</w:t>
      </w:r>
    </w:p>
    <w:p w14:paraId="7F3154C6">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7.按规定的程序和要求独立组织采购活动，自觉接受甲方纪检部门的监督，确保公开、公平、公正。自觉执行回避制度，遵守廉政规定和采购纪律，并承担相应的保密责任(对甲方拥有的技术、信息、文件、资料、企业情况、商业秘密等以及在服务过程中所知悉的其它保密信息应予以保密，未经甲方同意不得擅自披露、使用或允许任何第三方使用)；</w:t>
      </w:r>
    </w:p>
    <w:p w14:paraId="183ADF24">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8.对外发布有关文件和结果，应经甲方确认同意后发布；对于特殊项目，评审小组组成条件应事先征求甲方意见；</w:t>
      </w:r>
    </w:p>
    <w:p w14:paraId="48269379">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9.对招标中各项计算数据、技术分析结论等的科学性、正确性负责。以法律法规政策为依据，坚持客观公正的原则；</w:t>
      </w:r>
    </w:p>
    <w:p w14:paraId="210F5EFE">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10.为甲方提供免费政策咨询服务；</w:t>
      </w:r>
    </w:p>
    <w:p w14:paraId="722723D0">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11.及时、准确地完成有关文件上报备案，为甲方信息查询提供有效支持；</w:t>
      </w:r>
    </w:p>
    <w:p w14:paraId="60AD5BDF">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12.以书面及电子文档形式向甲方提交全套的项目文件以及采购活动全过程的原始记录和资料等；</w:t>
      </w:r>
    </w:p>
    <w:p w14:paraId="33595261">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13.及时向甲方提供委托代理项目累计汇总材料，及时总结代理过程中存在的问题，尤其对评审办法要不断完善；</w:t>
      </w:r>
    </w:p>
    <w:p w14:paraId="2B098680">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14.加强专人服务负责制，设有固定的对口服务团队和服务责任人，未经甲方同意不得随意更换。对口服务责任人应及时响应甲方的各项要求，并按甲方要求及时提供免费上门服务（接到甲方指令后1小时以内到达现场），妥善协调好代理过程中各方关系；</w:t>
      </w:r>
    </w:p>
    <w:p w14:paraId="7C861F8C">
      <w:pPr>
        <w:spacing w:line="288" w:lineRule="auto"/>
        <w:ind w:firstLine="420" w:firstLineChars="200"/>
        <w:outlineLvl w:val="0"/>
        <w:rPr>
          <w:rFonts w:ascii="宋体" w:hAnsi="宋体" w:eastAsia="宋体" w:cs="宋体"/>
          <w:bCs/>
          <w:color w:val="auto"/>
          <w:szCs w:val="21"/>
          <w:highlight w:val="none"/>
        </w:rPr>
      </w:pPr>
      <w:r>
        <w:rPr>
          <w:rFonts w:hint="eastAsia" w:ascii="宋体" w:hAnsi="宋体" w:eastAsia="宋体" w:cs="宋体"/>
          <w:bCs/>
          <w:color w:val="auto"/>
          <w:szCs w:val="21"/>
          <w:highlight w:val="none"/>
        </w:rPr>
        <w:t>15.对口服务责任人应积极配合甲方召开项目协调会，进行深入的可行性论证，切实将技术、预算等方面的具体要求落到实处；</w:t>
      </w:r>
    </w:p>
    <w:p w14:paraId="382511D3">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16.对服务中其它事宜，应根据甲方要求积极配合、处理。</w:t>
      </w:r>
    </w:p>
    <w:p w14:paraId="150C566C">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（四）拟投入本项目的人员要求：</w:t>
      </w:r>
    </w:p>
    <w:p w14:paraId="724854D3">
      <w:pPr>
        <w:spacing w:line="288" w:lineRule="auto"/>
        <w:ind w:firstLine="420" w:firstLineChars="200"/>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响应文件中的拟投入人员必须是本项目实际经办人；</w:t>
      </w:r>
    </w:p>
    <w:p w14:paraId="279DAA9B">
      <w:pPr>
        <w:spacing w:line="288" w:lineRule="auto"/>
        <w:ind w:firstLine="420" w:firstLineChars="200"/>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项目组成人员不得少于10个（包含1名总负责人、1名招标代理技术负责人、1名造价咨询技术负责人、其他成员7人），其中至少应包含4名注册造价工程师（含土建、安装）。</w:t>
      </w:r>
    </w:p>
    <w:p w14:paraId="077117C6">
      <w:pPr>
        <w:spacing w:line="288" w:lineRule="auto"/>
        <w:ind w:firstLine="420" w:firstLineChars="200"/>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（五）其他要求：</w:t>
      </w:r>
    </w:p>
    <w:p w14:paraId="1620DBDE">
      <w:pPr>
        <w:spacing w:line="288" w:lineRule="auto"/>
        <w:ind w:firstLine="420" w:firstLineChars="200"/>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采用固定总价合同。期间不作任何调整，不因合同履行期限、工程规模、服务范围及内容的变化等导致乙方的工作量增减而调整服务酬金。招标文件制作费、公告费、场租费及开标评标过程中的其他费用、外出考察或者咨询专家的费用均含在总价中，由乙方承担。</w:t>
      </w:r>
    </w:p>
    <w:p w14:paraId="42BD3D0E">
      <w:pPr>
        <w:spacing w:line="288" w:lineRule="auto"/>
        <w:ind w:firstLine="420" w:firstLineChars="200"/>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2.如招标活动失败，乙方不收取代理服务费，并有义务再次组织招标，再次招标成功的按一次招标收取代理服务费，如失败，不收取代理服务费；</w:t>
      </w:r>
    </w:p>
    <w:p w14:paraId="56E97945">
      <w:pPr>
        <w:spacing w:line="288" w:lineRule="auto"/>
        <w:ind w:firstLine="420" w:firstLineChars="200"/>
        <w:rPr>
          <w:rFonts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3.对甲方自行组织的采购活动，乙方有义务对甲方提供采购文件的编制、专家库使用等方面的帮助。</w:t>
      </w:r>
    </w:p>
    <w:p w14:paraId="49EF5A45">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三、服务时间与地点</w:t>
      </w:r>
    </w:p>
    <w:p w14:paraId="39850DFB">
      <w:pPr>
        <w:spacing w:line="288" w:lineRule="auto"/>
        <w:ind w:firstLine="420" w:firstLineChars="200"/>
        <w:outlineLvl w:val="0"/>
        <w:rPr>
          <w:rFonts w:ascii="宋体" w:hAnsi="宋体" w:eastAsia="宋体" w:cs="宋体"/>
          <w:bCs/>
          <w:color w:val="auto"/>
          <w:szCs w:val="21"/>
          <w:highlight w:val="none"/>
        </w:rPr>
      </w:pPr>
      <w:r>
        <w:rPr>
          <w:rFonts w:ascii="宋体" w:hAnsi="宋体" w:eastAsia="宋体" w:cs="宋体"/>
          <w:bCs/>
          <w:color w:val="auto"/>
          <w:szCs w:val="21"/>
          <w:highlight w:val="none"/>
        </w:rPr>
        <w:t>1.</w:t>
      </w:r>
      <w:r>
        <w:rPr>
          <w:rFonts w:hint="eastAsia" w:ascii="宋体" w:hAnsi="宋体" w:eastAsia="宋体" w:cs="宋体"/>
          <w:bCs/>
          <w:color w:val="auto"/>
          <w:szCs w:val="21"/>
          <w:highlight w:val="none"/>
        </w:rPr>
        <w:t>服务时间：招标代理服务期自合同签订之日起至工程竣工验收通过之日止</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造价咨询服务期自合同签订之日起至项目全部建安工程最终结算审计完成止。</w:t>
      </w:r>
    </w:p>
    <w:p w14:paraId="7E3F842F">
      <w:pPr>
        <w:spacing w:line="288" w:lineRule="auto"/>
        <w:ind w:firstLine="420" w:firstLineChars="200"/>
        <w:outlineLvl w:val="0"/>
        <w:rPr>
          <w:rFonts w:ascii="宋体" w:hAnsi="宋体" w:eastAsia="宋体" w:cs="宋体"/>
          <w:bCs/>
          <w:color w:val="auto"/>
          <w:szCs w:val="21"/>
          <w:highlight w:val="none"/>
        </w:rPr>
      </w:pPr>
      <w:r>
        <w:rPr>
          <w:rFonts w:ascii="宋体" w:hAnsi="宋体" w:eastAsia="宋体" w:cs="宋体"/>
          <w:bCs/>
          <w:color w:val="auto"/>
          <w:szCs w:val="21"/>
          <w:highlight w:val="none"/>
        </w:rPr>
        <w:t>2.服务地点：杭州电子科技大学。</w:t>
      </w:r>
    </w:p>
    <w:p w14:paraId="022E4F5F">
      <w:pPr>
        <w:spacing w:line="288" w:lineRule="auto"/>
        <w:ind w:firstLine="420" w:firstLineChars="200"/>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3.联系人及电话：</w:t>
      </w:r>
      <w:bookmarkStart w:id="49" w:name="_Hlk155181628"/>
      <w:r>
        <w:rPr>
          <w:rFonts w:hint="eastAsia" w:ascii="宋体" w:hAnsi="宋体" w:eastAsia="宋体" w:cs="宋体"/>
          <w:bCs/>
          <w:color w:val="auto"/>
          <w:szCs w:val="21"/>
          <w:highlight w:val="none"/>
        </w:rPr>
        <w:t xml:space="preserve">甲方 姓名_________联系电话（办公电话及手机号） ；乙方 姓名 __________联系电话（办公电话及手机号） </w:t>
      </w:r>
      <w:bookmarkEnd w:id="49"/>
      <w:r>
        <w:rPr>
          <w:rFonts w:hint="eastAsia" w:ascii="宋体" w:hAnsi="宋体" w:eastAsia="宋体" w:cs="宋体"/>
          <w:bCs/>
          <w:color w:val="auto"/>
          <w:szCs w:val="21"/>
          <w:highlight w:val="none"/>
        </w:rPr>
        <w:t>。</w:t>
      </w:r>
    </w:p>
    <w:p w14:paraId="49A69FB6">
      <w:pPr>
        <w:numPr>
          <w:ilvl w:val="0"/>
          <w:numId w:val="2"/>
        </w:numPr>
        <w:autoSpaceDE w:val="0"/>
        <w:autoSpaceDN w:val="0"/>
        <w:adjustRightInd w:val="0"/>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履约保证金与付款方式</w:t>
      </w:r>
    </w:p>
    <w:p w14:paraId="16EB854E">
      <w:pPr>
        <w:spacing w:line="288"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履约保证金</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合同总金额的</w:t>
      </w:r>
      <w:r>
        <w:rPr>
          <w:rFonts w:hint="eastAsia" w:ascii="宋体" w:hAnsi="宋体" w:eastAsia="宋体" w:cs="宋体"/>
          <w:color w:val="auto"/>
          <w:kern w:val="0"/>
          <w:szCs w:val="21"/>
          <w:highlight w:val="none"/>
          <w:u w:val="single"/>
          <w:lang w:val="en-US" w:eastAsia="zh-CN"/>
        </w:rPr>
        <w:t>1%</w:t>
      </w:r>
      <w:r>
        <w:rPr>
          <w:rFonts w:hint="eastAsia" w:ascii="宋体" w:hAnsi="宋体" w:eastAsia="宋体" w:cs="宋体"/>
          <w:color w:val="auto"/>
          <w:kern w:val="0"/>
          <w:szCs w:val="21"/>
          <w:highlight w:val="none"/>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14:paraId="4BD18E7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付款方式（根据项目要求、采购文件、采购结果，按以下方式选择填写）：</w:t>
      </w:r>
    </w:p>
    <w:p w14:paraId="6B613B1C">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w:t>
      </w:r>
      <w:r>
        <w:rPr>
          <w:rFonts w:hint="eastAsia" w:ascii="宋体" w:hAnsi="宋体" w:eastAsia="宋体" w:cs="宋体"/>
          <w:color w:val="auto"/>
          <w:spacing w:val="-6"/>
          <w:kern w:val="0"/>
          <w:sz w:val="21"/>
          <w:szCs w:val="20"/>
          <w:highlight w:val="none"/>
        </w:rPr>
        <w:t>1</w:t>
      </w:r>
      <w:r>
        <w:rPr>
          <w:rFonts w:hint="eastAsia" w:ascii="宋体" w:hAnsi="宋体" w:eastAsia="宋体" w:cs="宋体"/>
          <w:color w:val="auto"/>
          <w:kern w:val="0"/>
          <w:sz w:val="21"/>
          <w:szCs w:val="20"/>
          <w:highlight w:val="none"/>
        </w:rPr>
        <w:t>）预付款方式：</w:t>
      </w:r>
    </w:p>
    <w:p w14:paraId="05D5247C">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①合同生效以及具备实施条件后7个工作日内，且乙方已向甲方提交银行、保险公司等金融机构出具的预付款保函的，甲方向乙方支付合同总价的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%；项目履约完成，经甲方验收合格并收到发票后7个工作日内，向乙方支付合同总价的</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w:t>
      </w:r>
    </w:p>
    <w:p w14:paraId="63DCF3B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②在签订合同时，乙方明确表示主动要求降低预付款比例的，可降低预付款比例（预付款保函同步调整）。</w:t>
      </w:r>
    </w:p>
    <w:p w14:paraId="2164383F">
      <w:pPr>
        <w:spacing w:line="288"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 w:val="21"/>
          <w:szCs w:val="20"/>
          <w:highlight w:val="none"/>
        </w:rPr>
        <w:t>（2）签订合同时乙方明确表示无需预付款的，可以采用以下付款方式：</w:t>
      </w:r>
    </w:p>
    <w:p w14:paraId="26E9B222">
      <w:pPr>
        <w:spacing w:line="288"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施工项目招标完成且与施工单位完成清单核对后，收到发票后15个工作日内，甲方向乙方支付</w:t>
      </w:r>
      <w:r>
        <w:rPr>
          <w:rFonts w:hint="eastAsia" w:ascii="宋体" w:hAnsi="宋体" w:eastAsia="宋体" w:cs="宋体"/>
          <w:color w:val="auto"/>
          <w:kern w:val="0"/>
          <w:szCs w:val="21"/>
          <w:highlight w:val="none"/>
        </w:rPr>
        <w:t>造价咨询费用</w:t>
      </w:r>
      <w:r>
        <w:rPr>
          <w:rFonts w:hint="eastAsia" w:ascii="宋体" w:hAnsi="宋体" w:eastAsia="宋体" w:cs="宋体"/>
          <w:color w:val="auto"/>
          <w:kern w:val="0"/>
          <w:szCs w:val="21"/>
          <w:highlight w:val="none"/>
          <w:lang w:val="zh-CN"/>
        </w:rPr>
        <w:t>的</w:t>
      </w:r>
      <w:r>
        <w:rPr>
          <w:rFonts w:hint="eastAsia" w:ascii="宋体" w:hAnsi="宋体" w:eastAsia="宋体" w:cs="宋体"/>
          <w:color w:val="auto"/>
          <w:kern w:val="0"/>
          <w:szCs w:val="21"/>
          <w:highlight w:val="none"/>
        </w:rPr>
        <w:t>8</w:t>
      </w:r>
      <w:r>
        <w:rPr>
          <w:rFonts w:hint="eastAsia" w:ascii="宋体" w:hAnsi="宋体" w:eastAsia="宋体" w:cs="宋体"/>
          <w:color w:val="auto"/>
          <w:kern w:val="0"/>
          <w:szCs w:val="21"/>
          <w:highlight w:val="none"/>
          <w:lang w:val="zh-CN"/>
        </w:rPr>
        <w:t>0%；最终结算审计完成</w:t>
      </w:r>
      <w:r>
        <w:rPr>
          <w:rFonts w:hint="eastAsia" w:ascii="宋体" w:hAnsi="宋体" w:eastAsia="宋体" w:cs="宋体"/>
          <w:color w:val="auto"/>
          <w:kern w:val="0"/>
          <w:szCs w:val="21"/>
          <w:highlight w:val="none"/>
        </w:rPr>
        <w:t>且扣除准确率偏差处罚</w:t>
      </w:r>
      <w:r>
        <w:rPr>
          <w:rFonts w:hint="eastAsia" w:ascii="宋体" w:hAnsi="宋体" w:eastAsia="宋体" w:cs="宋体"/>
          <w:color w:val="auto"/>
          <w:kern w:val="0"/>
          <w:szCs w:val="21"/>
          <w:highlight w:val="none"/>
          <w:lang w:val="zh-CN"/>
        </w:rPr>
        <w:t>后，收到发票后15个工作日内，甲方向乙方支付合同</w:t>
      </w:r>
      <w:r>
        <w:rPr>
          <w:rFonts w:hint="eastAsia" w:ascii="宋体" w:hAnsi="宋体" w:eastAsia="宋体" w:cs="宋体"/>
          <w:color w:val="auto"/>
          <w:kern w:val="0"/>
          <w:szCs w:val="21"/>
          <w:highlight w:val="none"/>
        </w:rPr>
        <w:t>尾款</w:t>
      </w:r>
      <w:r>
        <w:rPr>
          <w:rFonts w:hint="eastAsia" w:ascii="宋体" w:hAnsi="宋体" w:eastAsia="宋体" w:cs="宋体"/>
          <w:color w:val="auto"/>
          <w:kern w:val="0"/>
          <w:szCs w:val="21"/>
          <w:highlight w:val="none"/>
          <w:lang w:val="zh-CN"/>
        </w:rPr>
        <w:t>。</w:t>
      </w:r>
    </w:p>
    <w:p w14:paraId="785617F5">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付款前，乙方须交纳合同约定的履约保证金（如有）并提供甲方财务处开具的履约保证金收据，乙方向甲方开具等额有效的合格增值税发票，否则甲方有权拒绝支付。</w:t>
      </w:r>
    </w:p>
    <w:p w14:paraId="189A9E15">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开票信息如下：</w:t>
      </w:r>
    </w:p>
    <w:p w14:paraId="0E66F935">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单位名称：杭州电子科技大学。税号：12330000470009026T</w:t>
      </w:r>
    </w:p>
    <w:p w14:paraId="19C84698">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开户银行：工行杭州高新支行。账号：1202026209008806216</w:t>
      </w:r>
    </w:p>
    <w:p w14:paraId="15F50749">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五、知识产权要求</w:t>
      </w:r>
    </w:p>
    <w:p w14:paraId="441F8741">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应保证甲方在使用本采购合同项下的内容或其任何一部分时免受第三方侵犯其知识产权或工业设计权的起诉，否则由此所导致的所有责任以及甲方所支付的所有费用（包括但不限于律师费、诉讼费等）均由乙方承担。</w:t>
      </w:r>
    </w:p>
    <w:p w14:paraId="10E9C218">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六、转包或分包</w:t>
      </w:r>
    </w:p>
    <w:p w14:paraId="1C080343">
      <w:pPr>
        <w:spacing w:line="288" w:lineRule="auto"/>
        <w:ind w:firstLine="420" w:firstLineChars="200"/>
        <w:rPr>
          <w:rFonts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1</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本合同范围的内容，应由乙方直接提供，不得转让他人提供。</w:t>
      </w:r>
    </w:p>
    <w:p w14:paraId="3D952F4F">
      <w:pPr>
        <w:spacing w:line="288" w:lineRule="auto"/>
        <w:ind w:firstLine="420" w:firstLineChars="200"/>
        <w:rPr>
          <w:rFonts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除非得到甲方的书面同意，乙方不得将本合同范围的内容分包给他人供应。</w:t>
      </w:r>
    </w:p>
    <w:p w14:paraId="0B955413">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如有转让或未经甲方同意的分包行为，甲方有权解除合同，没收履约保证金并追究乙方的违约责任。</w:t>
      </w:r>
    </w:p>
    <w:p w14:paraId="33495401">
      <w:pPr>
        <w:spacing w:line="288" w:lineRule="auto"/>
        <w:ind w:firstLine="420" w:firstLineChars="200"/>
        <w:rPr>
          <w:rFonts w:ascii="宋体" w:hAnsi="宋体" w:eastAsia="宋体" w:cs="宋体"/>
          <w:color w:val="auto"/>
          <w:kern w:val="0"/>
          <w:szCs w:val="21"/>
          <w:highlight w:val="none"/>
        </w:rPr>
      </w:pPr>
      <w:bookmarkStart w:id="50" w:name="_Hlk155173514"/>
      <w:r>
        <w:rPr>
          <w:rFonts w:hint="eastAsia" w:ascii="宋体" w:hAnsi="宋体" w:eastAsia="宋体" w:cs="宋体"/>
          <w:color w:val="auto"/>
          <w:kern w:val="0"/>
          <w:szCs w:val="21"/>
          <w:highlight w:val="none"/>
        </w:rPr>
        <w:t>七、</w:t>
      </w:r>
      <w:bookmarkEnd w:id="50"/>
      <w:r>
        <w:rPr>
          <w:rFonts w:hint="eastAsia" w:ascii="宋体" w:hAnsi="宋体" w:eastAsia="宋体" w:cs="宋体"/>
          <w:color w:val="auto"/>
          <w:kern w:val="0"/>
          <w:szCs w:val="21"/>
          <w:highlight w:val="none"/>
        </w:rPr>
        <w:t>验收</w:t>
      </w:r>
    </w:p>
    <w:p w14:paraId="658F97AE">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1.验收前乙方应对所提供服务作出全面检查及对验收文件进行整理，并列出清单，作为甲方验收和使用的技术条件依据，检验的结果应交甲方。</w:t>
      </w:r>
    </w:p>
    <w:p w14:paraId="108A392B">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2.如甲方需要，验收时乙方应在现场，验收完毕后作出验收结果报告。</w:t>
      </w:r>
    </w:p>
    <w:p w14:paraId="29B3CCFF">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Cs w:val="21"/>
          <w:highlight w:val="none"/>
          <w:u w:val="single"/>
        </w:rPr>
        <w:t xml:space="preserve"> 7 </w:t>
      </w:r>
      <w:r>
        <w:rPr>
          <w:rFonts w:hint="eastAsia" w:ascii="宋体" w:hAnsi="宋体" w:eastAsia="宋体" w:cs="宋体"/>
          <w:color w:val="auto"/>
          <w:kern w:val="0"/>
          <w:szCs w:val="21"/>
          <w:highlight w:val="none"/>
        </w:rPr>
        <w:t>个工作日内开始验收。</w:t>
      </w:r>
    </w:p>
    <w:p w14:paraId="0D0CFA1B">
      <w:pPr>
        <w:spacing w:line="288" w:lineRule="auto"/>
        <w:ind w:firstLine="420" w:firstLineChars="200"/>
        <w:rPr>
          <w:rFonts w:ascii="宋体" w:hAnsi="宋体" w:eastAsia="宋体" w:cs="宋体"/>
          <w:strike/>
          <w:color w:val="auto"/>
          <w:kern w:val="0"/>
          <w:szCs w:val="21"/>
          <w:highlight w:val="none"/>
        </w:rPr>
      </w:pPr>
      <w:r>
        <w:rPr>
          <w:rFonts w:hint="eastAsia" w:ascii="宋体" w:hAnsi="宋体" w:eastAsia="宋体" w:cs="宋体"/>
          <w:color w:val="auto"/>
          <w:kern w:val="0"/>
          <w:szCs w:val="21"/>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7FA70FAD">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八、质量保证与售后服务</w:t>
      </w:r>
    </w:p>
    <w:p w14:paraId="76C8EF3C">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320744FC">
      <w:pPr>
        <w:spacing w:line="288" w:lineRule="auto"/>
        <w:ind w:firstLine="420" w:firstLineChars="200"/>
        <w:rPr>
          <w:rFonts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5D61D2E9">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九、保密条款</w:t>
      </w:r>
    </w:p>
    <w:p w14:paraId="5E61DA1D">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11DE121B">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十、违约责任</w:t>
      </w:r>
    </w:p>
    <w:p w14:paraId="7425B9EC">
      <w:pPr>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乙方逾期履行合同的，每逾期一日，应按合同总价</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向甲方支付违约金。累计逾期超过约定日期</w:t>
      </w:r>
      <w:r>
        <w:rPr>
          <w:rFonts w:hint="eastAsia" w:ascii="宋体" w:hAnsi="宋体" w:eastAsia="宋体" w:cs="宋体"/>
          <w:color w:val="auto"/>
          <w:kern w:val="0"/>
          <w:szCs w:val="21"/>
          <w:highlight w:val="none"/>
          <w:u w:val="single"/>
        </w:rPr>
        <w:t xml:space="preserve"> 10 </w:t>
      </w:r>
      <w:r>
        <w:rPr>
          <w:rFonts w:hint="eastAsia" w:ascii="宋体" w:hAnsi="宋体" w:eastAsia="宋体" w:cs="宋体"/>
          <w:color w:val="auto"/>
          <w:kern w:val="0"/>
          <w:szCs w:val="21"/>
          <w:highlight w:val="none"/>
        </w:rPr>
        <w:t>个工作日的，甲方有权解除本合同，</w:t>
      </w:r>
      <w:r>
        <w:rPr>
          <w:rFonts w:hint="eastAsia" w:ascii="宋体" w:hAnsi="宋体" w:eastAsia="宋体" w:cs="宋体"/>
          <w:bCs/>
          <w:color w:val="auto"/>
          <w:szCs w:val="21"/>
          <w:highlight w:val="none"/>
          <w:lang w:bidi="ar"/>
        </w:rPr>
        <w:t>履约保证金不退还</w:t>
      </w:r>
      <w:r>
        <w:rPr>
          <w:rFonts w:hint="eastAsia" w:ascii="宋体" w:hAnsi="宋体" w:eastAsia="宋体" w:cs="宋体"/>
          <w:bCs/>
          <w:color w:val="auto"/>
          <w:szCs w:val="21"/>
          <w:highlight w:val="none"/>
          <w:lang w:eastAsia="zh-CN" w:bidi="ar"/>
        </w:rPr>
        <w:t>，</w:t>
      </w:r>
      <w:r>
        <w:rPr>
          <w:rFonts w:hint="eastAsia" w:ascii="宋体" w:hAnsi="宋体" w:eastAsia="宋体" w:cs="宋体"/>
          <w:color w:val="auto"/>
          <w:kern w:val="0"/>
          <w:szCs w:val="21"/>
          <w:highlight w:val="none"/>
        </w:rPr>
        <w:t>乙方应向</w:t>
      </w:r>
      <w:r>
        <w:rPr>
          <w:rFonts w:hint="eastAsia" w:ascii="宋体" w:hAnsi="宋体" w:eastAsia="宋体" w:cs="宋体"/>
          <w:color w:val="auto"/>
          <w:spacing w:val="-6"/>
          <w:kern w:val="0"/>
          <w:szCs w:val="21"/>
          <w:highlight w:val="none"/>
        </w:rPr>
        <w:t>甲方返还全部已支付价款，并按合同总价的</w:t>
      </w:r>
      <w:r>
        <w:rPr>
          <w:rFonts w:hint="eastAsia" w:ascii="宋体" w:hAnsi="宋体" w:eastAsia="宋体" w:cs="宋体"/>
          <w:color w:val="auto"/>
          <w:kern w:val="0"/>
          <w:szCs w:val="21"/>
          <w:highlight w:val="none"/>
          <w:u w:val="single"/>
        </w:rPr>
        <w:t>5 %</w:t>
      </w:r>
      <w:r>
        <w:rPr>
          <w:rFonts w:hint="eastAsia" w:ascii="宋体" w:hAnsi="宋体" w:eastAsia="宋体" w:cs="宋体"/>
          <w:color w:val="auto"/>
          <w:spacing w:val="-6"/>
          <w:kern w:val="0"/>
          <w:szCs w:val="21"/>
          <w:highlight w:val="none"/>
        </w:rPr>
        <w:t>向甲方支付违约金，</w:t>
      </w:r>
      <w:r>
        <w:rPr>
          <w:rFonts w:hint="eastAsia" w:ascii="宋体" w:hAnsi="宋体" w:eastAsia="宋体" w:cs="宋体"/>
          <w:color w:val="auto"/>
          <w:kern w:val="0"/>
          <w:szCs w:val="21"/>
          <w:highlight w:val="none"/>
        </w:rPr>
        <w:t>违约金不足以弥补甲方损失的，乙方还应向</w:t>
      </w:r>
      <w:r>
        <w:rPr>
          <w:rFonts w:hint="eastAsia" w:ascii="宋体" w:hAnsi="宋体" w:eastAsia="宋体" w:cs="宋体"/>
          <w:color w:val="auto"/>
          <w:spacing w:val="-6"/>
          <w:kern w:val="0"/>
          <w:szCs w:val="21"/>
          <w:highlight w:val="none"/>
        </w:rPr>
        <w:t>甲方赔偿遭受的全部损失。</w:t>
      </w:r>
    </w:p>
    <w:p w14:paraId="3463E499">
      <w:pPr>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.若乙方未能按本合同要求全面提供服务或有其他违约行为，并经甲方书面通知后仍不改正的，甲方有权解除合同，</w:t>
      </w:r>
      <w:r>
        <w:rPr>
          <w:rFonts w:hint="eastAsia" w:ascii="宋体" w:hAnsi="宋体" w:eastAsia="宋体" w:cs="宋体"/>
          <w:bCs/>
          <w:color w:val="auto"/>
          <w:szCs w:val="21"/>
          <w:highlight w:val="none"/>
          <w:lang w:bidi="ar"/>
        </w:rPr>
        <w:t>履约保证金不退还</w:t>
      </w:r>
      <w:r>
        <w:rPr>
          <w:rFonts w:hint="eastAsia" w:ascii="宋体" w:hAnsi="宋体" w:eastAsia="宋体" w:cs="宋体"/>
          <w:bCs/>
          <w:color w:val="auto"/>
          <w:szCs w:val="21"/>
          <w:highlight w:val="none"/>
          <w:lang w:eastAsia="zh-CN" w:bidi="ar"/>
        </w:rPr>
        <w:t>，</w:t>
      </w:r>
      <w:r>
        <w:rPr>
          <w:rFonts w:hint="eastAsia" w:ascii="宋体" w:hAnsi="宋体" w:eastAsia="宋体" w:cs="宋体"/>
          <w:color w:val="auto"/>
          <w:kern w:val="0"/>
          <w:szCs w:val="21"/>
          <w:highlight w:val="none"/>
        </w:rPr>
        <w:t>乙方应向甲方返还全部已支付价款，并按合同总价的</w:t>
      </w:r>
      <w:r>
        <w:rPr>
          <w:rFonts w:hint="eastAsia" w:ascii="宋体" w:hAnsi="宋体" w:eastAsia="宋体" w:cs="宋体"/>
          <w:color w:val="auto"/>
          <w:kern w:val="0"/>
          <w:szCs w:val="21"/>
          <w:highlight w:val="none"/>
          <w:u w:val="single"/>
        </w:rPr>
        <w:t>5 %</w:t>
      </w:r>
      <w:r>
        <w:rPr>
          <w:rFonts w:hint="eastAsia" w:ascii="宋体" w:hAnsi="宋体" w:eastAsia="宋体" w:cs="宋体"/>
          <w:color w:val="auto"/>
          <w:kern w:val="0"/>
          <w:szCs w:val="21"/>
          <w:highlight w:val="none"/>
        </w:rPr>
        <w:t>向甲方支付违约金，违约金不足以弥补甲方损失的，乙方还应向甲方赔偿遭受的全部损失。</w:t>
      </w:r>
    </w:p>
    <w:p w14:paraId="0F874B5F">
      <w:pPr>
        <w:spacing w:line="288" w:lineRule="auto"/>
        <w:ind w:firstLine="420" w:firstLineChars="200"/>
        <w:rPr>
          <w:rFonts w:ascii="宋体" w:hAnsi="宋体" w:eastAsia="宋体" w:cs="宋体"/>
          <w:b/>
          <w:bCs/>
          <w:color w:val="auto"/>
          <w:kern w:val="0"/>
          <w:szCs w:val="21"/>
          <w:highlight w:val="none"/>
        </w:rPr>
      </w:pPr>
      <w:r>
        <w:rPr>
          <w:rFonts w:ascii="宋体" w:hAnsi="宋体" w:eastAsia="宋体" w:cs="宋体"/>
          <w:color w:val="auto"/>
          <w:kern w:val="0"/>
          <w:szCs w:val="21"/>
          <w:highlight w:val="none"/>
        </w:rPr>
        <w:t>3</w:t>
      </w:r>
      <w:r>
        <w:rPr>
          <w:rFonts w:hint="eastAsia" w:ascii="宋体" w:hAnsi="宋体" w:eastAsia="宋体" w:cs="宋体"/>
          <w:color w:val="auto"/>
          <w:kern w:val="0"/>
          <w:szCs w:val="21"/>
          <w:highlight w:val="none"/>
        </w:rPr>
        <w:t>.</w:t>
      </w:r>
      <w:r>
        <w:rPr>
          <w:rFonts w:hint="eastAsia" w:ascii="宋体" w:hAnsi="宋体" w:eastAsia="宋体" w:cs="宋体"/>
          <w:color w:val="auto"/>
          <w:spacing w:val="-6"/>
          <w:kern w:val="0"/>
          <w:szCs w:val="21"/>
          <w:highlight w:val="none"/>
        </w:rPr>
        <w:t>服务期内乙方未在约定时间内作出服务响应的，</w:t>
      </w:r>
      <w:r>
        <w:rPr>
          <w:rFonts w:hint="eastAsia" w:ascii="宋体" w:hAnsi="宋体" w:eastAsia="宋体" w:cs="宋体"/>
          <w:color w:val="auto"/>
          <w:kern w:val="0"/>
          <w:szCs w:val="21"/>
          <w:highlight w:val="none"/>
        </w:rPr>
        <w:t>每发生一次应向甲方支付</w:t>
      </w:r>
      <w:r>
        <w:rPr>
          <w:rFonts w:hint="eastAsia" w:ascii="宋体" w:hAnsi="宋体" w:eastAsia="宋体" w:cs="宋体"/>
          <w:color w:val="auto"/>
          <w:kern w:val="0"/>
          <w:szCs w:val="21"/>
          <w:highlight w:val="none"/>
          <w:u w:val="single"/>
        </w:rPr>
        <w:t xml:space="preserve"> 1000</w:t>
      </w:r>
      <w:r>
        <w:rPr>
          <w:rFonts w:ascii="宋体" w:hAnsi="宋体" w:eastAsia="宋体" w:cs="宋体"/>
          <w:color w:val="auto"/>
          <w:kern w:val="0"/>
          <w:szCs w:val="21"/>
          <w:highlight w:val="none"/>
          <w:u w:val="single"/>
        </w:rPr>
        <w:t>0</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元的违约金，</w:t>
      </w:r>
      <w:r>
        <w:rPr>
          <w:rFonts w:hint="eastAsia" w:ascii="宋体" w:hAnsi="宋体" w:eastAsia="宋体" w:cs="宋体"/>
          <w:color w:val="auto"/>
          <w:spacing w:val="-6"/>
          <w:kern w:val="0"/>
          <w:szCs w:val="21"/>
          <w:highlight w:val="none"/>
        </w:rPr>
        <w:t>甲方有权委托第三方提供服务，</w:t>
      </w:r>
      <w:r>
        <w:rPr>
          <w:rFonts w:hint="eastAsia" w:ascii="宋体" w:hAnsi="宋体" w:eastAsia="宋体" w:cs="宋体"/>
          <w:color w:val="auto"/>
          <w:kern w:val="0"/>
          <w:szCs w:val="21"/>
          <w:highlight w:val="none"/>
        </w:rPr>
        <w:t>所产生的费用由乙方按1</w:t>
      </w:r>
      <w:r>
        <w:rPr>
          <w:rFonts w:ascii="宋体" w:hAnsi="宋体" w:eastAsia="宋体" w:cs="宋体"/>
          <w:color w:val="auto"/>
          <w:kern w:val="0"/>
          <w:szCs w:val="21"/>
          <w:highlight w:val="none"/>
        </w:rPr>
        <w:t>20%</w:t>
      </w:r>
      <w:r>
        <w:rPr>
          <w:rFonts w:hint="eastAsia" w:ascii="宋体" w:hAnsi="宋体" w:eastAsia="宋体" w:cs="宋体"/>
          <w:color w:val="auto"/>
          <w:kern w:val="0"/>
          <w:szCs w:val="21"/>
          <w:highlight w:val="none"/>
        </w:rPr>
        <w:t>承担。</w:t>
      </w:r>
    </w:p>
    <w:p w14:paraId="130BA27E">
      <w:pPr>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4</w:t>
      </w:r>
      <w:r>
        <w:rPr>
          <w:rFonts w:hint="eastAsia" w:ascii="宋体" w:hAnsi="宋体" w:eastAsia="宋体" w:cs="宋体"/>
          <w:color w:val="auto"/>
          <w:kern w:val="0"/>
          <w:szCs w:val="21"/>
          <w:highlight w:val="none"/>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6A836E9F">
      <w:pPr>
        <w:spacing w:line="288" w:lineRule="auto"/>
        <w:ind w:firstLine="420" w:firstLineChars="200"/>
        <w:outlineLvl w:val="0"/>
        <w:rPr>
          <w:rFonts w:hint="eastAsia" w:ascii="宋体" w:hAnsi="宋体" w:eastAsia="宋体" w:cs="宋体"/>
          <w:bCs/>
          <w:color w:val="auto"/>
          <w:szCs w:val="21"/>
          <w:highlight w:val="none"/>
          <w:lang w:eastAsia="zh-CN" w:bidi="ar"/>
        </w:rPr>
      </w:pPr>
      <w:r>
        <w:rPr>
          <w:rFonts w:hint="eastAsia" w:ascii="宋体" w:hAnsi="宋体" w:eastAsia="宋体" w:cs="宋体"/>
          <w:color w:val="auto"/>
          <w:kern w:val="0"/>
          <w:szCs w:val="21"/>
          <w:highlight w:val="none"/>
        </w:rPr>
        <w:t>5.</w:t>
      </w:r>
      <w:r>
        <w:rPr>
          <w:rFonts w:hint="eastAsia" w:ascii="宋体" w:hAnsi="宋体" w:eastAsia="宋体" w:cs="宋体"/>
          <w:bCs/>
          <w:color w:val="auto"/>
          <w:szCs w:val="21"/>
          <w:highlight w:val="none"/>
          <w:lang w:bidi="ar"/>
        </w:rPr>
        <w:t>如因乙方未尽到工程咨询责任等原因，出现以下几种情况时，乙方应承担相应的赔偿责任</w:t>
      </w:r>
      <w:r>
        <w:rPr>
          <w:rFonts w:hint="eastAsia" w:ascii="宋体" w:hAnsi="宋体" w:eastAsia="宋体" w:cs="宋体"/>
          <w:bCs/>
          <w:color w:val="auto"/>
          <w:szCs w:val="21"/>
          <w:highlight w:val="none"/>
          <w:lang w:eastAsia="zh-CN" w:bidi="ar"/>
        </w:rPr>
        <w:t>：</w:t>
      </w:r>
    </w:p>
    <w:p w14:paraId="0F0F476F">
      <w:pPr>
        <w:spacing w:line="288" w:lineRule="auto"/>
        <w:ind w:firstLine="420" w:firstLineChars="200"/>
        <w:outlineLvl w:val="0"/>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（1）违反《建设工程工程量清单计价规范》规定的；</w:t>
      </w:r>
    </w:p>
    <w:p w14:paraId="764E00A2">
      <w:pPr>
        <w:spacing w:line="288" w:lineRule="auto"/>
        <w:ind w:firstLine="420" w:firstLineChars="200"/>
        <w:outlineLvl w:val="0"/>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（2）违反省、市建设行政主管部门有关工程计价规定的；</w:t>
      </w:r>
    </w:p>
    <w:p w14:paraId="60E3450D">
      <w:pPr>
        <w:spacing w:line="288" w:lineRule="auto"/>
        <w:ind w:firstLine="420" w:firstLineChars="200"/>
        <w:outlineLvl w:val="0"/>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（3）违反工作造价咨询工作相关法律法规的；</w:t>
      </w:r>
    </w:p>
    <w:p w14:paraId="7AF94A69">
      <w:pPr>
        <w:spacing w:line="288" w:lineRule="auto"/>
        <w:ind w:firstLine="420" w:firstLineChars="200"/>
        <w:outlineLvl w:val="0"/>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（4）超出本身业务范围，损害甲方利益的；</w:t>
      </w:r>
    </w:p>
    <w:p w14:paraId="54499296">
      <w:pPr>
        <w:spacing w:line="288" w:lineRule="auto"/>
        <w:ind w:firstLine="420" w:firstLineChars="200"/>
        <w:outlineLvl w:val="0"/>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（5）提交成果延期的，每延期一天，乙方支付甲方合同总价的千分之一作为违约金。同时，</w:t>
      </w:r>
      <w:r>
        <w:rPr>
          <w:rFonts w:hint="eastAsia" w:ascii="宋体" w:hAnsi="宋体" w:eastAsia="宋体" w:cs="宋体"/>
          <w:bCs/>
          <w:color w:val="auto"/>
          <w:szCs w:val="21"/>
          <w:highlight w:val="none"/>
          <w:lang w:val="en-US" w:eastAsia="zh-CN" w:bidi="ar"/>
        </w:rPr>
        <w:t>甲方</w:t>
      </w:r>
      <w:r>
        <w:rPr>
          <w:rFonts w:hint="eastAsia" w:ascii="宋体" w:hAnsi="宋体" w:eastAsia="宋体" w:cs="宋体"/>
          <w:bCs/>
          <w:color w:val="auto"/>
          <w:szCs w:val="21"/>
          <w:highlight w:val="none"/>
          <w:lang w:bidi="ar"/>
        </w:rPr>
        <w:t>有权将该部分工作任务转交其他造价咨询公司完成，产生的费用由</w:t>
      </w:r>
      <w:r>
        <w:rPr>
          <w:rFonts w:hint="eastAsia" w:ascii="宋体" w:hAnsi="宋体" w:eastAsia="宋体" w:cs="宋体"/>
          <w:bCs/>
          <w:color w:val="auto"/>
          <w:szCs w:val="21"/>
          <w:highlight w:val="none"/>
          <w:lang w:val="en-US" w:eastAsia="zh-CN" w:bidi="ar"/>
        </w:rPr>
        <w:t>乙方</w:t>
      </w:r>
      <w:r>
        <w:rPr>
          <w:rFonts w:hint="eastAsia" w:ascii="宋体" w:hAnsi="宋体" w:eastAsia="宋体" w:cs="宋体"/>
          <w:bCs/>
          <w:color w:val="auto"/>
          <w:szCs w:val="21"/>
          <w:highlight w:val="none"/>
          <w:lang w:bidi="ar"/>
        </w:rPr>
        <w:t>按120%承担，并赔偿</w:t>
      </w:r>
      <w:r>
        <w:rPr>
          <w:rFonts w:hint="eastAsia" w:ascii="宋体" w:hAnsi="宋体" w:eastAsia="宋体" w:cs="宋体"/>
          <w:bCs/>
          <w:color w:val="auto"/>
          <w:szCs w:val="21"/>
          <w:highlight w:val="none"/>
          <w:lang w:val="en-US" w:eastAsia="zh-CN" w:bidi="ar"/>
        </w:rPr>
        <w:t>甲方</w:t>
      </w:r>
      <w:r>
        <w:rPr>
          <w:rFonts w:hint="eastAsia" w:ascii="宋体" w:hAnsi="宋体" w:eastAsia="宋体" w:cs="宋体"/>
          <w:bCs/>
          <w:color w:val="auto"/>
          <w:szCs w:val="21"/>
          <w:highlight w:val="none"/>
          <w:lang w:bidi="ar"/>
        </w:rPr>
        <w:t>由此产生的损失。</w:t>
      </w:r>
    </w:p>
    <w:p w14:paraId="097C045C">
      <w:pPr>
        <w:spacing w:line="288" w:lineRule="auto"/>
        <w:ind w:firstLine="420" w:firstLineChars="200"/>
        <w:outlineLvl w:val="0"/>
        <w:rPr>
          <w:rFonts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w:t>
      </w:r>
      <w:r>
        <w:rPr>
          <w:rFonts w:hint="eastAsia" w:ascii="宋体" w:hAnsi="宋体" w:eastAsia="宋体" w:cs="宋体"/>
          <w:bCs/>
          <w:color w:val="auto"/>
          <w:szCs w:val="21"/>
          <w:highlight w:val="none"/>
          <w:lang w:val="en-US" w:eastAsia="zh-CN" w:bidi="ar"/>
        </w:rPr>
        <w:t>6</w:t>
      </w:r>
      <w:r>
        <w:rPr>
          <w:rFonts w:hint="eastAsia" w:ascii="宋体" w:hAnsi="宋体" w:eastAsia="宋体" w:cs="宋体"/>
          <w:bCs/>
          <w:color w:val="auto"/>
          <w:szCs w:val="21"/>
          <w:highlight w:val="none"/>
          <w:lang w:bidi="ar"/>
        </w:rPr>
        <w:t>）</w:t>
      </w:r>
      <w:r>
        <w:rPr>
          <w:rFonts w:hint="eastAsia" w:ascii="宋体" w:hAnsi="宋体" w:eastAsia="宋体" w:cs="宋体"/>
          <w:bCs/>
          <w:color w:val="auto"/>
          <w:szCs w:val="21"/>
          <w:highlight w:val="none"/>
          <w:lang w:val="en-US" w:eastAsia="zh-CN" w:bidi="ar"/>
        </w:rPr>
        <w:t>乙方</w:t>
      </w:r>
      <w:r>
        <w:rPr>
          <w:rFonts w:hint="eastAsia" w:ascii="宋体" w:hAnsi="宋体" w:eastAsia="宋体" w:cs="宋体"/>
          <w:bCs/>
          <w:color w:val="auto"/>
          <w:szCs w:val="21"/>
          <w:highlight w:val="none"/>
          <w:lang w:bidi="ar"/>
        </w:rPr>
        <w:t>提供的工程量清单准确率偏差超出±2％，按以下办法进行处罚：超出±2％部分每达到1％的误差，扣除合同总价的10%，直至扣完为止。</w:t>
      </w:r>
      <w:r>
        <w:rPr>
          <w:rFonts w:hint="eastAsia" w:ascii="宋体" w:hAnsi="宋体" w:eastAsia="宋体" w:cs="宋体"/>
          <w:bCs/>
          <w:color w:val="auto"/>
          <w:szCs w:val="21"/>
          <w:highlight w:val="none"/>
          <w:lang w:val="en-US" w:eastAsia="zh-CN" w:bidi="ar"/>
        </w:rPr>
        <w:t>甲方</w:t>
      </w:r>
      <w:r>
        <w:rPr>
          <w:rFonts w:hint="eastAsia" w:ascii="宋体" w:hAnsi="宋体" w:eastAsia="宋体" w:cs="宋体"/>
          <w:bCs/>
          <w:color w:val="auto"/>
          <w:szCs w:val="21"/>
          <w:highlight w:val="none"/>
          <w:lang w:bidi="ar"/>
        </w:rPr>
        <w:t>有权对提供的工程量清单等文件进行复核验算。</w:t>
      </w:r>
    </w:p>
    <w:p w14:paraId="2DEA2086">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十一、不可抗力</w:t>
      </w:r>
    </w:p>
    <w:p w14:paraId="7353EEA0">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在合同有效期内，任何一方因不可抗力事件导致不能履行合同，则合同履行期可延长，其延长期与不可抗力影响期相同。</w:t>
      </w:r>
    </w:p>
    <w:p w14:paraId="5A22198E">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本条所述的“不可抗力”系指双方不可预见、不可避免、不可克服的事件。</w:t>
      </w:r>
    </w:p>
    <w:p w14:paraId="5FA90EC4">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不可抗力事件发生后，受不可抗力事件影响的一方应在事件发生后3日内立即通知对方，并寄送有关权威机构出具的证明。同时应立即尽一切合理努力采取措施，消除影响，减少损失。</w:t>
      </w:r>
    </w:p>
    <w:p w14:paraId="6CADFCA9">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4.不可抗力事件延续30天以上，双方应通过友好协商，确定是否继续履行合同。</w:t>
      </w:r>
    </w:p>
    <w:p w14:paraId="4215111E">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十二、法律适用与争议解决</w:t>
      </w:r>
    </w:p>
    <w:p w14:paraId="5E5E307C">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本合同的订立、解释、履行及争议解决，均适用中华人民共和国法律。</w:t>
      </w:r>
    </w:p>
    <w:p w14:paraId="6BBEBFFE">
      <w:pPr>
        <w:spacing w:line="288" w:lineRule="auto"/>
        <w:ind w:firstLine="420" w:firstLineChars="200"/>
        <w:rPr>
          <w:rFonts w:hint="eastAsia" w:ascii="宋体" w:hAnsi="宋体" w:eastAsia="宋体" w:cs="宋体"/>
          <w:bCs/>
          <w:color w:val="auto"/>
          <w:kern w:val="2"/>
          <w:szCs w:val="21"/>
          <w:highlight w:val="none"/>
          <w:lang w:bidi="ar"/>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本合同履行过程中发生争议的，甲乙双方应友好协商；协商不成的，</w:t>
      </w:r>
      <w:r>
        <w:rPr>
          <w:rFonts w:hint="eastAsia" w:ascii="宋体" w:hAnsi="宋体" w:eastAsia="宋体" w:cs="宋体"/>
          <w:bCs/>
          <w:color w:val="auto"/>
          <w:szCs w:val="21"/>
          <w:highlight w:val="none"/>
          <w:lang w:bidi="ar"/>
        </w:rPr>
        <w:t xml:space="preserve">提交 </w:t>
      </w:r>
      <w:r>
        <w:rPr>
          <w:rFonts w:hint="eastAsia" w:ascii="宋体" w:hAnsi="宋体" w:eastAsia="宋体" w:cs="宋体"/>
          <w:b w:val="0"/>
          <w:bCs/>
          <w:color w:val="auto"/>
          <w:szCs w:val="21"/>
          <w:highlight w:val="none"/>
          <w:u w:val="single"/>
          <w:lang w:bidi="ar"/>
        </w:rPr>
        <w:t>杭州仲裁委员会</w:t>
      </w:r>
      <w:r>
        <w:rPr>
          <w:rFonts w:hint="eastAsia" w:ascii="宋体" w:hAnsi="宋体" w:eastAsia="宋体" w:cs="宋体"/>
          <w:b w:val="0"/>
          <w:bCs/>
          <w:color w:val="auto"/>
          <w:szCs w:val="21"/>
          <w:highlight w:val="none"/>
          <w:u w:val="none"/>
          <w:lang w:val="en-US" w:eastAsia="zh-CN" w:bidi="ar"/>
        </w:rPr>
        <w:t xml:space="preserve"> </w:t>
      </w:r>
      <w:r>
        <w:rPr>
          <w:rFonts w:hint="eastAsia" w:ascii="宋体" w:hAnsi="宋体" w:eastAsia="宋体" w:cs="宋体"/>
          <w:b w:val="0"/>
          <w:bCs/>
          <w:color w:val="auto"/>
          <w:szCs w:val="21"/>
          <w:highlight w:val="none"/>
          <w:u w:val="none"/>
          <w:lang w:bidi="ar"/>
        </w:rPr>
        <w:t>仲裁</w:t>
      </w:r>
      <w:r>
        <w:rPr>
          <w:rFonts w:hint="eastAsia" w:ascii="宋体" w:hAnsi="宋体" w:eastAsia="宋体" w:cs="宋体"/>
          <w:bCs/>
          <w:color w:val="auto"/>
          <w:kern w:val="2"/>
          <w:szCs w:val="21"/>
          <w:highlight w:val="none"/>
          <w:lang w:bidi="ar"/>
        </w:rPr>
        <w:t>。</w:t>
      </w:r>
    </w:p>
    <w:p w14:paraId="7FA1A6F0">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十三、合同生效及其他</w:t>
      </w:r>
    </w:p>
    <w:p w14:paraId="0F2C6964">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本合同经甲、乙双方代表签字并加盖单位公章或合同专用章后生效，甲方的单位公章盖采购中心合同专用章（其它部门公章无效）。</w:t>
      </w:r>
    </w:p>
    <w:p w14:paraId="2C23A1F6">
      <w:pPr>
        <w:spacing w:line="288" w:lineRule="auto"/>
        <w:ind w:firstLine="420" w:firstLineChars="200"/>
        <w:rPr>
          <w:rFonts w:ascii="宋体" w:hAnsi="宋体" w:eastAsia="宋体" w:cs="宋体"/>
          <w:strike w:val="0"/>
          <w:color w:val="auto"/>
          <w:kern w:val="0"/>
          <w:szCs w:val="21"/>
          <w:highlight w:val="none"/>
        </w:rPr>
      </w:pPr>
      <w:r>
        <w:rPr>
          <w:rFonts w:hint="eastAsia" w:ascii="宋体" w:hAnsi="宋体" w:eastAsia="宋体" w:cs="宋体"/>
          <w:color w:val="auto"/>
          <w:kern w:val="0"/>
          <w:szCs w:val="21"/>
          <w:highlight w:val="none"/>
        </w:rPr>
        <w:t>2.</w:t>
      </w:r>
      <w:bookmarkStart w:id="51" w:name="_Hlk154756484"/>
      <w:r>
        <w:rPr>
          <w:rFonts w:hint="eastAsia" w:ascii="宋体" w:hAnsi="宋体" w:eastAsia="宋体" w:cs="宋体"/>
          <w:color w:val="auto"/>
          <w:kern w:val="0"/>
          <w:szCs w:val="21"/>
          <w:highlight w:val="none"/>
        </w:rPr>
        <w:t>合同执行中涉及采购内容修改或补充的，按《杭州电子科技大学采购合同管理实施细则》（杭电采〔2023〕154号）执行。</w:t>
      </w:r>
      <w:r>
        <w:rPr>
          <w:rFonts w:hint="eastAsia" w:ascii="宋体" w:hAnsi="宋体" w:eastAsia="宋体" w:cs="宋体"/>
          <w:strike w:val="0"/>
          <w:color w:val="auto"/>
          <w:kern w:val="0"/>
          <w:szCs w:val="21"/>
          <w:highlight w:val="none"/>
        </w:rPr>
        <w:t>（政府采购项目：合同执行中涉及采购资金和采购内容修改或补充的，须经财政部门审批，并签书面补充协议报政府采购监督管理部门备案，方可作为主合同不可分割的一部分。）</w:t>
      </w:r>
    </w:p>
    <w:bookmarkEnd w:id="51"/>
    <w:p w14:paraId="1E78DEF3">
      <w:pPr>
        <w:spacing w:line="288" w:lineRule="auto"/>
        <w:ind w:firstLine="396" w:firstLineChars="200"/>
        <w:rPr>
          <w:rFonts w:ascii="宋体" w:hAnsi="宋体" w:eastAsia="宋体" w:cs="宋体"/>
          <w:color w:val="auto"/>
          <w:kern w:val="0"/>
          <w:szCs w:val="21"/>
          <w:highlight w:val="none"/>
          <w:lang w:val="zh-CN"/>
        </w:rPr>
      </w:pPr>
      <w:bookmarkStart w:id="52" w:name="_Hlk154756502"/>
      <w:r>
        <w:rPr>
          <w:rFonts w:hint="eastAsia" w:ascii="宋体" w:hAnsi="宋体" w:eastAsia="宋体" w:cs="宋体"/>
          <w:color w:val="auto"/>
          <w:spacing w:val="-6"/>
          <w:kern w:val="0"/>
          <w:szCs w:val="21"/>
          <w:highlight w:val="none"/>
        </w:rPr>
        <w:t>3.</w:t>
      </w:r>
      <w:bookmarkEnd w:id="52"/>
      <w:r>
        <w:rPr>
          <w:rFonts w:hint="eastAsia" w:ascii="宋体" w:hAnsi="宋体" w:eastAsia="宋体" w:cs="宋体"/>
          <w:color w:val="auto"/>
          <w:kern w:val="0"/>
          <w:szCs w:val="21"/>
          <w:highlight w:val="none"/>
        </w:rPr>
        <w:t>本次采购过程中形成的招标（非招标）</w:t>
      </w:r>
      <w:r>
        <w:rPr>
          <w:rFonts w:hint="eastAsia" w:ascii="宋体" w:hAnsi="宋体" w:eastAsia="宋体" w:cs="宋体"/>
          <w:color w:val="auto"/>
          <w:kern w:val="0"/>
          <w:szCs w:val="21"/>
          <w:highlight w:val="none"/>
          <w:lang w:val="zh-CN"/>
        </w:rPr>
        <w:t>文件</w:t>
      </w:r>
      <w:r>
        <w:rPr>
          <w:rFonts w:hint="eastAsia" w:ascii="宋体" w:hAnsi="宋体" w:eastAsia="宋体" w:cs="宋体"/>
          <w:color w:val="auto"/>
          <w:kern w:val="0"/>
          <w:szCs w:val="21"/>
          <w:highlight w:val="none"/>
        </w:rPr>
        <w:t>、投标（响应）文件、澄清承诺、补充协议、附件等</w:t>
      </w:r>
      <w:r>
        <w:rPr>
          <w:rFonts w:hint="eastAsia" w:ascii="宋体" w:hAnsi="宋体" w:eastAsia="宋体" w:cs="宋体"/>
          <w:color w:val="auto"/>
          <w:kern w:val="0"/>
          <w:szCs w:val="21"/>
          <w:highlight w:val="none"/>
          <w:lang w:val="zh-CN"/>
        </w:rPr>
        <w:t>为本合同的组成部分，并构成一个整体，需综合解释、相互补充。如果</w:t>
      </w:r>
      <w:r>
        <w:rPr>
          <w:rFonts w:hint="eastAsia" w:ascii="宋体" w:hAnsi="宋体" w:eastAsia="宋体" w:cs="宋体"/>
          <w:color w:val="auto"/>
          <w:kern w:val="0"/>
          <w:szCs w:val="21"/>
          <w:highlight w:val="none"/>
        </w:rPr>
        <w:t>上述</w:t>
      </w:r>
      <w:r>
        <w:rPr>
          <w:rFonts w:hint="eastAsia" w:ascii="宋体" w:hAnsi="宋体" w:eastAsia="宋体" w:cs="宋体"/>
          <w:color w:val="auto"/>
          <w:kern w:val="0"/>
          <w:szCs w:val="21"/>
          <w:highlight w:val="none"/>
          <w:lang w:val="zh-CN"/>
        </w:rPr>
        <w:t>文件内容出现不一致的情形，那么在保证按照采购文件确定的事项的前提下，组成本合同的多个文件的优先适用顺序如下：</w:t>
      </w:r>
    </w:p>
    <w:p w14:paraId="2CB2F0BE">
      <w:pPr>
        <w:spacing w:line="288" w:lineRule="auto"/>
        <w:ind w:firstLine="420" w:firstLineChars="200"/>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（1）本合同及其补充合同、变更协议；</w:t>
      </w:r>
    </w:p>
    <w:p w14:paraId="6122C3D1">
      <w:pPr>
        <w:spacing w:line="288" w:lineRule="auto"/>
        <w:ind w:firstLine="420" w:firstLineChars="200"/>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（2）中标（成交）</w:t>
      </w:r>
      <w:r>
        <w:rPr>
          <w:rFonts w:hint="eastAsia" w:ascii="宋体" w:hAnsi="宋体" w:eastAsia="宋体" w:cs="宋体"/>
          <w:color w:val="auto"/>
          <w:kern w:val="0"/>
          <w:szCs w:val="21"/>
          <w:highlight w:val="none"/>
          <w:lang w:val="zh-CN"/>
        </w:rPr>
        <w:t>通知书；</w:t>
      </w:r>
    </w:p>
    <w:p w14:paraId="6AA16E93">
      <w:pPr>
        <w:spacing w:line="288" w:lineRule="auto"/>
        <w:ind w:firstLine="420" w:firstLineChars="200"/>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（3）投标（</w:t>
      </w:r>
      <w:r>
        <w:rPr>
          <w:rFonts w:hint="eastAsia" w:ascii="宋体" w:hAnsi="宋体" w:eastAsia="宋体" w:cs="宋体"/>
          <w:color w:val="auto"/>
          <w:kern w:val="0"/>
          <w:szCs w:val="21"/>
          <w:highlight w:val="none"/>
          <w:lang w:val="zh-CN"/>
        </w:rPr>
        <w:t>响应）文件（含澄清或者说明文件）；</w:t>
      </w:r>
    </w:p>
    <w:p w14:paraId="63714DFA">
      <w:pPr>
        <w:spacing w:line="288" w:lineRule="auto"/>
        <w:ind w:firstLine="420" w:firstLineChars="200"/>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（4）招标（非招标）</w:t>
      </w:r>
      <w:r>
        <w:rPr>
          <w:rFonts w:hint="eastAsia" w:ascii="宋体" w:hAnsi="宋体" w:eastAsia="宋体" w:cs="宋体"/>
          <w:color w:val="auto"/>
          <w:kern w:val="0"/>
          <w:szCs w:val="21"/>
          <w:highlight w:val="none"/>
          <w:lang w:val="zh-CN"/>
        </w:rPr>
        <w:t>文件（含澄清或者修改文件）；</w:t>
      </w:r>
    </w:p>
    <w:p w14:paraId="2301CBE9">
      <w:pPr>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lang w:val="zh-CN"/>
        </w:rPr>
        <w:t>其他相关采购文件。</w:t>
      </w:r>
    </w:p>
    <w:p w14:paraId="32A454A6">
      <w:pPr>
        <w:spacing w:line="288" w:lineRule="auto"/>
        <w:ind w:firstLine="420" w:firstLineChars="200"/>
        <w:rPr>
          <w:rFonts w:ascii="宋体" w:hAnsi="宋体" w:eastAsia="宋体" w:cs="宋体"/>
          <w:color w:val="auto"/>
          <w:kern w:val="0"/>
          <w:szCs w:val="21"/>
          <w:highlight w:val="none"/>
        </w:rPr>
      </w:pPr>
      <w:bookmarkStart w:id="53" w:name="_Hlk154756515"/>
      <w:r>
        <w:rPr>
          <w:rFonts w:hint="eastAsia" w:ascii="宋体" w:hAnsi="宋体" w:eastAsia="宋体" w:cs="宋体"/>
          <w:color w:val="auto"/>
          <w:kern w:val="0"/>
          <w:szCs w:val="21"/>
          <w:highlight w:val="none"/>
        </w:rPr>
        <w:t>4.本合同未尽事宜，遵照《中华人民共和国民法典》有关条文执行。</w:t>
      </w:r>
    </w:p>
    <w:p w14:paraId="27F906EC">
      <w:pPr>
        <w:spacing w:line="288" w:lineRule="auto"/>
        <w:ind w:firstLine="396" w:firstLineChars="200"/>
        <w:rPr>
          <w:rFonts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5.</w:t>
      </w:r>
      <w:r>
        <w:rPr>
          <w:rFonts w:hint="eastAsia" w:ascii="宋体" w:hAnsi="宋体" w:eastAsia="宋体" w:cs="宋体"/>
          <w:color w:val="auto"/>
          <w:kern w:val="0"/>
          <w:szCs w:val="21"/>
          <w:highlight w:val="none"/>
        </w:rPr>
        <w:t>本合同一式伍份，甲方执叁份，乙方执一份，采购代理机构执一份，具有同等法律效力。</w:t>
      </w:r>
      <w:bookmarkEnd w:id="53"/>
    </w:p>
    <w:tbl>
      <w:tblPr>
        <w:tblStyle w:val="24"/>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3216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54807932">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tcBorders>
              <w:tl2br w:val="nil"/>
              <w:tr2bl w:val="nil"/>
            </w:tcBorders>
            <w:vAlign w:val="center"/>
          </w:tcPr>
          <w:p w14:paraId="49D0633D">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1819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51122122">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351DC2C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tcBorders>
              <w:tl2br w:val="nil"/>
              <w:tr2bl w:val="nil"/>
            </w:tcBorders>
            <w:vAlign w:val="center"/>
          </w:tcPr>
          <w:p w14:paraId="3FE7066E">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69675285">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74F59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8BA92A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tcBorders>
              <w:tl2br w:val="nil"/>
              <w:tr2bl w:val="nil"/>
            </w:tcBorders>
            <w:vAlign w:val="center"/>
          </w:tcPr>
          <w:p w14:paraId="046E3D74">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5E0B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6F79259D">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c>
          <w:tcPr>
            <w:tcW w:w="4176" w:type="dxa"/>
            <w:tcBorders>
              <w:tl2br w:val="nil"/>
              <w:tr2bl w:val="nil"/>
            </w:tcBorders>
            <w:vAlign w:val="center"/>
          </w:tcPr>
          <w:p w14:paraId="477EA6FD">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3788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570C0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开户银行：工行高新支行</w:t>
            </w:r>
          </w:p>
        </w:tc>
        <w:tc>
          <w:tcPr>
            <w:tcW w:w="4176" w:type="dxa"/>
            <w:tcBorders>
              <w:tl2br w:val="nil"/>
              <w:tr2bl w:val="nil"/>
            </w:tcBorders>
            <w:vAlign w:val="center"/>
          </w:tcPr>
          <w:p w14:paraId="79EEB63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25E6A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6371D04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tcBorders>
              <w:tl2br w:val="nil"/>
              <w:tr2bl w:val="nil"/>
            </w:tcBorders>
            <w:vAlign w:val="center"/>
          </w:tcPr>
          <w:p w14:paraId="5D9C3DF0">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1148D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550E40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tcBorders>
              <w:tl2br w:val="nil"/>
              <w:tr2bl w:val="nil"/>
            </w:tcBorders>
            <w:vAlign w:val="center"/>
          </w:tcPr>
          <w:p w14:paraId="52107F2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08A5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5FED4D8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72E6832B">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58B45A01">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52E26B32">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5DF0A2E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2A53F6A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27DBBEDE">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6EA75EE8">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1E00237D">
      <w:pPr>
        <w:adjustRightInd w:val="0"/>
        <w:snapToGrid w:val="0"/>
        <w:spacing w:line="288" w:lineRule="auto"/>
        <w:rPr>
          <w:rFonts w:ascii="宋体" w:hAnsi="宋体" w:eastAsia="宋体" w:cs="Times New Roman"/>
          <w:b/>
          <w:bCs/>
          <w:color w:val="auto"/>
          <w:spacing w:val="-6"/>
          <w:sz w:val="24"/>
          <w:szCs w:val="24"/>
          <w:highlight w:val="none"/>
        </w:rPr>
      </w:pPr>
    </w:p>
    <w:p w14:paraId="129E682E">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58354EA6">
      <w:pPr>
        <w:adjustRightInd w:val="0"/>
        <w:snapToGrid w:val="0"/>
        <w:spacing w:line="288" w:lineRule="auto"/>
        <w:rPr>
          <w:rFonts w:ascii="宋体" w:hAnsi="宋体" w:eastAsia="宋体" w:cs="Times New Roman"/>
          <w:b/>
          <w:bCs/>
          <w:color w:val="auto"/>
          <w:spacing w:val="-6"/>
          <w:sz w:val="24"/>
          <w:szCs w:val="24"/>
          <w:highlight w:val="none"/>
        </w:rPr>
      </w:pPr>
    </w:p>
    <w:p w14:paraId="2666995B">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17B91C46">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C3BEE61">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7540A1D1">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w:t>
      </w:r>
    </w:p>
    <w:p w14:paraId="2290CCA7">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中小企业声明函（若属于中小企业）</w:t>
      </w:r>
    </w:p>
    <w:p w14:paraId="592C9B89">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属于监狱企业的证明文件（若属于监狱企业）</w:t>
      </w:r>
    </w:p>
    <w:p w14:paraId="220B21A7">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残疾人福利性单位声明函（若属于残疾人福利性单位）</w:t>
      </w:r>
    </w:p>
    <w:p w14:paraId="4FAAACA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联合协议、分包意向协议（如有）</w:t>
      </w:r>
    </w:p>
    <w:p w14:paraId="33AB4081">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195764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1EFDC99E">
      <w:pPr>
        <w:adjustRightInd w:val="0"/>
        <w:snapToGrid w:val="0"/>
        <w:spacing w:line="288" w:lineRule="auto"/>
        <w:jc w:val="left"/>
        <w:rPr>
          <w:rFonts w:ascii="宋体" w:hAnsi="宋体" w:eastAsia="宋体" w:cs="宋体"/>
          <w:b/>
          <w:color w:val="auto"/>
          <w:spacing w:val="-6"/>
          <w:szCs w:val="21"/>
          <w:highlight w:val="none"/>
        </w:rPr>
      </w:pPr>
    </w:p>
    <w:p w14:paraId="3CA19AD1">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07DD0EF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A61198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5E84899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06FBE6B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7AFC04FD">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9660F5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服务</w:t>
      </w:r>
      <w:r>
        <w:rPr>
          <w:rFonts w:hint="eastAsia" w:ascii="宋体" w:hAnsi="宋体" w:eastAsia="宋体" w:cs="宋体"/>
          <w:color w:val="auto"/>
          <w:spacing w:val="-6"/>
          <w:szCs w:val="21"/>
          <w:highlight w:val="none"/>
        </w:rPr>
        <w:t>方案</w:t>
      </w:r>
    </w:p>
    <w:p w14:paraId="4C270CB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6</w:t>
      </w:r>
      <w:r>
        <w:rPr>
          <w:rFonts w:ascii="宋体" w:hAnsi="宋体" w:eastAsia="宋体" w:cs="宋体"/>
          <w:color w:val="auto"/>
          <w:spacing w:val="-6"/>
          <w:szCs w:val="21"/>
          <w:highlight w:val="none"/>
        </w:rPr>
        <w:t>）投标人需要说明的其他文件和材料。</w:t>
      </w:r>
    </w:p>
    <w:p w14:paraId="794D4F93">
      <w:pPr>
        <w:adjustRightInd w:val="0"/>
        <w:snapToGrid w:val="0"/>
        <w:spacing w:line="288" w:lineRule="auto"/>
        <w:jc w:val="left"/>
        <w:rPr>
          <w:rFonts w:ascii="宋体" w:hAnsi="宋体" w:eastAsia="宋体" w:cs="Times New Roman"/>
          <w:b/>
          <w:color w:val="auto"/>
          <w:spacing w:val="-6"/>
          <w:szCs w:val="21"/>
          <w:highlight w:val="none"/>
        </w:rPr>
      </w:pPr>
    </w:p>
    <w:p w14:paraId="1CABFC59">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74BC8FB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3AEDD787">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E9CE4B9">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4"/>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2E7CC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8E20D4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3712CA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3AF74FF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02362075">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79535B1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4C08EBE">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021E03C6">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808F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5A36A9CD">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6D86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1DDBA0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287FF52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18827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00D56D5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355E74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0C9BDAA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FE927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6F3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26461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AFFF20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64EA3A3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07D98F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31633F6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F2222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1D8EBB9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426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3209FA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665C34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6EBE6E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79FCB3B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11F0CA5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C4B7F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398B79D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78AB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A8B44B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43AC2E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0A0B4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28098B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C9CCB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039DBF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E77D2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0FA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22562D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D1A4F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25E09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7097379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18101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A77CE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175D9F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54A6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D1F44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1EC763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5F280B0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D35510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66266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15437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0ED768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71ED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27A60A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69A1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3CA8C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4DCEBA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330D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F674B7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F671E2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5AEBCF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770ADD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0ACA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9C606D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F861F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36ADCC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D79115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258D5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0080E68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0179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BE5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9C997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1E82955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9CB26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3F5F0A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33FFB8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0B44EB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7E53F3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D4B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6F1C7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3D692AA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C8998D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BA571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2699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6568E88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36D3EC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CB9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C2759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384038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507E93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4428776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36183D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6A62BA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D8DBC6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41C88A68">
      <w:pPr>
        <w:adjustRightInd w:val="0"/>
        <w:snapToGrid w:val="0"/>
        <w:spacing w:line="288" w:lineRule="auto"/>
        <w:rPr>
          <w:rFonts w:ascii="宋体" w:hAnsi="宋体" w:eastAsia="宋体" w:cs="Times New Roman"/>
          <w:color w:val="auto"/>
          <w:spacing w:val="-6"/>
          <w:szCs w:val="21"/>
          <w:highlight w:val="none"/>
        </w:rPr>
      </w:pPr>
    </w:p>
    <w:p w14:paraId="7D175326">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4CD272BA">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0277BD9">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7B169AFD">
      <w:pPr>
        <w:adjustRightInd w:val="0"/>
        <w:snapToGrid w:val="0"/>
        <w:spacing w:line="288" w:lineRule="auto"/>
        <w:jc w:val="center"/>
        <w:rPr>
          <w:rFonts w:ascii="宋体" w:hAnsi="宋体" w:eastAsia="宋体" w:cs="宋体"/>
          <w:b/>
          <w:bCs/>
          <w:color w:val="auto"/>
          <w:sz w:val="24"/>
          <w:szCs w:val="24"/>
          <w:highlight w:val="none"/>
        </w:rPr>
      </w:pPr>
    </w:p>
    <w:p w14:paraId="2572B218">
      <w:pPr>
        <w:adjustRightInd w:val="0"/>
        <w:snapToGrid w:val="0"/>
        <w:spacing w:line="288" w:lineRule="auto"/>
        <w:jc w:val="center"/>
        <w:rPr>
          <w:rFonts w:ascii="宋体" w:hAnsi="宋体" w:eastAsia="宋体" w:cs="宋体"/>
          <w:b/>
          <w:bCs/>
          <w:color w:val="auto"/>
          <w:sz w:val="24"/>
          <w:szCs w:val="24"/>
          <w:highlight w:val="none"/>
        </w:rPr>
      </w:pPr>
    </w:p>
    <w:p w14:paraId="2A6D2FA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0D9FD99E">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A5C04C7">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169CF967">
      <w:pPr>
        <w:adjustRightInd w:val="0"/>
        <w:snapToGrid w:val="0"/>
        <w:spacing w:line="288" w:lineRule="auto"/>
        <w:rPr>
          <w:rFonts w:ascii="宋体" w:hAnsi="宋体" w:eastAsia="宋体" w:cs="Times New Roman"/>
          <w:bCs/>
          <w:color w:val="auto"/>
          <w:spacing w:val="-6"/>
          <w:szCs w:val="21"/>
          <w:highlight w:val="none"/>
        </w:rPr>
      </w:pPr>
    </w:p>
    <w:p w14:paraId="72FA77DB">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5F43CEA">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67056D5D">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705CC25E">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342E3095">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1DDAC6E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2E2D57D3">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368B702">
      <w:pPr>
        <w:adjustRightInd w:val="0"/>
        <w:snapToGrid w:val="0"/>
        <w:spacing w:line="288" w:lineRule="auto"/>
        <w:rPr>
          <w:rFonts w:ascii="宋体" w:hAnsi="宋体" w:eastAsia="宋体" w:cs="Times New Roman"/>
          <w:b/>
          <w:bCs/>
          <w:color w:val="auto"/>
          <w:spacing w:val="-6"/>
          <w:szCs w:val="21"/>
          <w:highlight w:val="none"/>
        </w:rPr>
      </w:pPr>
    </w:p>
    <w:p w14:paraId="5F25B5C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3A312F98">
      <w:pPr>
        <w:adjustRightInd w:val="0"/>
        <w:snapToGrid w:val="0"/>
        <w:spacing w:line="288" w:lineRule="auto"/>
        <w:ind w:firstLine="396" w:firstLineChars="200"/>
        <w:rPr>
          <w:rFonts w:ascii="宋体" w:hAnsi="宋体" w:eastAsia="宋体" w:cs="Times New Roman"/>
          <w:color w:val="auto"/>
          <w:spacing w:val="-6"/>
          <w:szCs w:val="21"/>
          <w:highlight w:val="none"/>
        </w:rPr>
      </w:pPr>
    </w:p>
    <w:p w14:paraId="3D503C4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72AFC28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541F14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2F58BE8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12FB411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47D80C6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6FCEAC5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C6B6C0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04EF948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0450CF0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251BE8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29DA1E8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5DA2F95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DA5C004">
      <w:pPr>
        <w:adjustRightInd w:val="0"/>
        <w:snapToGrid w:val="0"/>
        <w:spacing w:line="288" w:lineRule="auto"/>
        <w:rPr>
          <w:rFonts w:ascii="宋体" w:hAnsi="宋体" w:eastAsia="宋体" w:cs="Times New Roman"/>
          <w:color w:val="auto"/>
          <w:szCs w:val="21"/>
          <w:highlight w:val="none"/>
        </w:rPr>
      </w:pPr>
    </w:p>
    <w:p w14:paraId="174259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E8DBC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5C4A2EFC">
      <w:pPr>
        <w:widowControl/>
        <w:adjustRightInd w:val="0"/>
        <w:snapToGrid w:val="0"/>
        <w:spacing w:line="288" w:lineRule="auto"/>
        <w:jc w:val="left"/>
        <w:rPr>
          <w:rFonts w:ascii="宋体" w:hAnsi="宋体" w:eastAsia="宋体" w:cs="宋体"/>
          <w:b/>
          <w:color w:val="auto"/>
          <w:spacing w:val="-6"/>
          <w:szCs w:val="21"/>
          <w:highlight w:val="none"/>
        </w:rPr>
      </w:pPr>
    </w:p>
    <w:p w14:paraId="6D631868">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72E57EEC">
      <w:pPr>
        <w:adjustRightInd w:val="0"/>
        <w:snapToGrid w:val="0"/>
        <w:spacing w:line="288" w:lineRule="auto"/>
        <w:jc w:val="both"/>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14:paraId="3EE41506">
      <w:pPr>
        <w:adjustRightInd w:val="0"/>
        <w:snapToGrid w:val="0"/>
        <w:spacing w:line="288" w:lineRule="auto"/>
        <w:ind w:firstLine="469" w:firstLineChars="236"/>
        <w:jc w:val="center"/>
        <w:outlineLvl w:val="2"/>
        <w:rPr>
          <w:rFonts w:ascii="宋体" w:hAnsi="宋体" w:eastAsia="宋体" w:cs="宋体"/>
          <w:b/>
          <w:color w:val="auto"/>
          <w:spacing w:val="-6"/>
          <w:szCs w:val="21"/>
          <w:highlight w:val="none"/>
        </w:rPr>
      </w:pPr>
    </w:p>
    <w:p w14:paraId="0DBCF67B">
      <w:pPr>
        <w:adjustRightInd w:val="0"/>
        <w:snapToGrid w:val="0"/>
        <w:spacing w:line="288" w:lineRule="auto"/>
        <w:ind w:firstLine="498" w:firstLineChars="236"/>
        <w:jc w:val="center"/>
        <w:outlineLvl w:val="2"/>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中小企业声明函（服务）</w:t>
      </w:r>
      <w:r>
        <w:rPr>
          <w:rFonts w:hint="eastAsia" w:ascii="宋体" w:hAnsi="宋体" w:eastAsia="宋体" w:cs="宋体"/>
          <w:b/>
          <w:bCs/>
          <w:color w:val="auto"/>
          <w:sz w:val="21"/>
          <w:szCs w:val="21"/>
          <w:highlight w:val="none"/>
        </w:rPr>
        <w:t>（若属于中小企业）</w:t>
      </w:r>
    </w:p>
    <w:p w14:paraId="24187C7D">
      <w:pPr>
        <w:adjustRightInd w:val="0"/>
        <w:snapToGrid w:val="0"/>
        <w:spacing w:line="288" w:lineRule="auto"/>
        <w:ind w:firstLine="498" w:firstLineChars="236"/>
        <w:rPr>
          <w:rFonts w:ascii="宋体" w:hAnsi="宋体" w:eastAsia="宋体" w:cs="宋体"/>
          <w:b/>
          <w:color w:val="auto"/>
          <w:sz w:val="21"/>
          <w:szCs w:val="21"/>
          <w:highlight w:val="none"/>
        </w:rPr>
      </w:pPr>
    </w:p>
    <w:p w14:paraId="135B842A">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本公司（联合体）郑重声明，根据《政府采购促进中小企业发展管理办法》（财库</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2020</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46 号）的规定，本公司（联合体）参加</w:t>
      </w:r>
      <w:r>
        <w:rPr>
          <w:rFonts w:hint="eastAsia" w:ascii="宋体" w:hAnsi="宋体" w:eastAsia="宋体" w:cs="宋体"/>
          <w:color w:val="auto"/>
          <w:sz w:val="21"/>
          <w:szCs w:val="21"/>
          <w:highlight w:val="none"/>
          <w:u w:val="single"/>
        </w:rPr>
        <w:t>杭州电子科技大学</w:t>
      </w:r>
      <w:r>
        <w:rPr>
          <w:rFonts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lang w:eastAsia="zh-CN"/>
        </w:rPr>
        <w:t>综合实验楼（一期）建设工程招标代理及工程量清单编制服务</w:t>
      </w:r>
      <w:r>
        <w:rPr>
          <w:rFonts w:ascii="宋体" w:hAnsi="宋体" w:eastAsia="宋体" w:cs="宋体"/>
          <w:color w:val="auto"/>
          <w:sz w:val="21"/>
          <w:szCs w:val="21"/>
          <w:highlight w:val="none"/>
        </w:rPr>
        <w:t>采购活动，服务全部由符合政策要求的中小企业承接。相关企业（含联合体中的中小企业、签订分包意向协议的中小企业）的具体情况如下：</w:t>
      </w:r>
    </w:p>
    <w:p w14:paraId="3F78BE7F">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1</w:t>
      </w:r>
      <w:r>
        <w:rPr>
          <w:rFonts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综合实验楼（一期）建设工程招标代理及工程量清单编制服务</w:t>
      </w:r>
      <w:r>
        <w:rPr>
          <w:rFonts w:ascii="宋体" w:hAnsi="宋体" w:eastAsia="宋体" w:cs="宋体"/>
          <w:color w:val="auto"/>
          <w:sz w:val="21"/>
          <w:szCs w:val="21"/>
          <w:highlight w:val="none"/>
          <w:u w:val="single"/>
        </w:rPr>
        <w:t>，属于</w:t>
      </w:r>
      <w:r>
        <w:rPr>
          <w:rFonts w:hint="eastAsia" w:ascii="宋体" w:hAnsi="宋体" w:eastAsia="宋体" w:cs="宋体"/>
          <w:color w:val="auto"/>
          <w:sz w:val="21"/>
          <w:szCs w:val="21"/>
          <w:highlight w:val="none"/>
          <w:u w:val="single"/>
        </w:rPr>
        <w:t>其他未列明行业</w:t>
      </w:r>
      <w:r>
        <w:rPr>
          <w:rFonts w:ascii="宋体" w:hAnsi="宋体" w:eastAsia="宋体" w:cs="宋体"/>
          <w:color w:val="auto"/>
          <w:sz w:val="21"/>
          <w:szCs w:val="21"/>
          <w:highlight w:val="none"/>
          <w:u w:val="single"/>
        </w:rPr>
        <w:t>；</w:t>
      </w:r>
      <w:r>
        <w:rPr>
          <w:rFonts w:ascii="宋体" w:hAnsi="宋体" w:eastAsia="宋体" w:cs="宋体"/>
          <w:color w:val="auto"/>
          <w:sz w:val="21"/>
          <w:szCs w:val="21"/>
          <w:highlight w:val="none"/>
        </w:rPr>
        <w:t>承接企业为</w:t>
      </w:r>
      <w:r>
        <w:rPr>
          <w:rFonts w:ascii="宋体" w:hAnsi="宋体" w:eastAsia="宋体" w:cs="宋体"/>
          <w:color w:val="auto"/>
          <w:sz w:val="21"/>
          <w:szCs w:val="21"/>
          <w:highlight w:val="none"/>
          <w:u w:val="single"/>
        </w:rPr>
        <w:t>（企业名称）</w:t>
      </w:r>
      <w:r>
        <w:rPr>
          <w:rFonts w:ascii="宋体" w:hAnsi="宋体" w:eastAsia="宋体" w:cs="宋体"/>
          <w:color w:val="auto"/>
          <w:sz w:val="21"/>
          <w:szCs w:val="21"/>
          <w:highlight w:val="none"/>
        </w:rPr>
        <w:t>，从业人员</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rPr>
        <w:t>人，营业收入为</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rPr>
        <w:t>万元，资产总额为</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rPr>
        <w:t>万元，属于</w:t>
      </w:r>
      <w:r>
        <w:rPr>
          <w:rFonts w:ascii="宋体" w:hAnsi="宋体" w:eastAsia="宋体" w:cs="宋体"/>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59FF2F19">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08C0A15E">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本企业对上述声明内容的真实性负责。如有虚假，将依法承担相应责任。</w:t>
      </w:r>
    </w:p>
    <w:p w14:paraId="5DACE965">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企业名称（盖章）：</w:t>
      </w:r>
    </w:p>
    <w:p w14:paraId="36DE8638">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日期：</w:t>
      </w:r>
    </w:p>
    <w:p w14:paraId="6F454BE9">
      <w:pPr>
        <w:adjustRightInd w:val="0"/>
        <w:snapToGrid w:val="0"/>
        <w:spacing w:line="288" w:lineRule="auto"/>
        <w:ind w:firstLine="495" w:firstLineChars="236"/>
        <w:rPr>
          <w:rFonts w:ascii="宋体" w:hAnsi="宋体" w:eastAsia="宋体" w:cs="宋体"/>
          <w:color w:val="auto"/>
          <w:sz w:val="21"/>
          <w:szCs w:val="21"/>
          <w:highlight w:val="none"/>
        </w:rPr>
      </w:pPr>
    </w:p>
    <w:p w14:paraId="307B7472">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E696918">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1.标的名称，按照【磋商文件】中明确的标的填写；</w:t>
      </w:r>
    </w:p>
    <w:p w14:paraId="3F1A3E7D">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2.所属行业，按照【磋商文件】中明确的标的“所属行业”填写；</w:t>
      </w:r>
    </w:p>
    <w:p w14:paraId="4A3D8A75">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3.承接企业，服务由中小企业承接，即提供服务的人员为中小企业依照《中华人民共和国劳动合同法》订立劳动合同的从业人员；</w:t>
      </w:r>
    </w:p>
    <w:p w14:paraId="27E03583">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4.从业人员、营业收入、资产总额填报上一年度数据，无上一年度数据的新成立企业可不填报。</w:t>
      </w:r>
    </w:p>
    <w:p w14:paraId="62E4787B">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5.企业类型（包括新成立企业），按照《中小企业划型标准规定》（工信部联企业〔2011〕300号）规定和【磋商文件】中明确的标的“所属行业”，选择“中型企业、小型企业、微型企业”其中之一；</w:t>
      </w:r>
    </w:p>
    <w:p w14:paraId="354EC43F">
      <w:pPr>
        <w:adjustRightInd w:val="0"/>
        <w:snapToGrid w:val="0"/>
        <w:spacing w:line="288" w:lineRule="auto"/>
        <w:ind w:firstLine="495" w:firstLineChars="236"/>
        <w:rPr>
          <w:rFonts w:ascii="宋体" w:hAnsi="宋体" w:eastAsia="宋体" w:cs="Times New Roman"/>
          <w:color w:val="auto"/>
          <w:sz w:val="21"/>
          <w:szCs w:val="21"/>
          <w:highlight w:val="none"/>
          <w:u w:val="single"/>
        </w:rPr>
      </w:pPr>
      <w:r>
        <w:rPr>
          <w:rFonts w:hint="eastAsia" w:ascii="宋体" w:hAnsi="宋体" w:eastAsia="宋体" w:cs="宋体"/>
          <w:color w:val="auto"/>
          <w:sz w:val="21"/>
          <w:szCs w:val="21"/>
          <w:highlight w:val="none"/>
        </w:rPr>
        <w:t>6.磋商文件中明确的标的是能够独立发挥功能的产品，配件、辅料不作为标的，不需要在《中小企业声明函》里填列。</w:t>
      </w:r>
    </w:p>
    <w:p w14:paraId="0652458A">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5856ED80">
      <w:pPr>
        <w:adjustRightInd w:val="0"/>
        <w:snapToGrid w:val="0"/>
        <w:spacing w:line="288" w:lineRule="auto"/>
        <w:jc w:val="center"/>
        <w:outlineLvl w:val="2"/>
        <w:rPr>
          <w:rFonts w:ascii="宋体" w:hAnsi="宋体" w:eastAsia="宋体" w:cs="宋体"/>
          <w:color w:val="auto"/>
          <w:kern w:val="0"/>
          <w:sz w:val="21"/>
          <w:szCs w:val="21"/>
          <w:highlight w:val="none"/>
        </w:rPr>
      </w:pPr>
      <w:r>
        <w:rPr>
          <w:rFonts w:hint="eastAsia" w:ascii="宋体" w:hAnsi="宋体" w:eastAsia="宋体" w:cs="宋体"/>
          <w:b/>
          <w:color w:val="auto"/>
          <w:spacing w:val="-6"/>
          <w:sz w:val="21"/>
          <w:szCs w:val="21"/>
          <w:highlight w:val="none"/>
        </w:rPr>
        <w:t>属于监狱企业的证明文件（若属于监狱企业）</w:t>
      </w:r>
    </w:p>
    <w:p w14:paraId="67C628D6">
      <w:pPr>
        <w:adjustRightInd w:val="0"/>
        <w:snapToGrid w:val="0"/>
        <w:spacing w:line="288" w:lineRule="auto"/>
        <w:rPr>
          <w:rFonts w:ascii="宋体" w:hAnsi="宋体" w:eastAsia="宋体" w:cs="宋体"/>
          <w:color w:val="auto"/>
          <w:kern w:val="0"/>
          <w:sz w:val="21"/>
          <w:szCs w:val="21"/>
          <w:highlight w:val="none"/>
        </w:rPr>
      </w:pPr>
    </w:p>
    <w:p w14:paraId="3FC65ED8">
      <w:pPr>
        <w:adjustRightInd w:val="0"/>
        <w:snapToGrid w:val="0"/>
        <w:spacing w:line="288" w:lineRule="auto"/>
        <w:ind w:firstLine="373" w:firstLineChars="177"/>
        <w:rPr>
          <w:rFonts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监狱企业参加政府采购活动时，应当提供由省级以上监狱管理局、戒毒管理局（含新疆生产建设兵团）出具的属于监狱企业的证明文件。</w:t>
      </w:r>
    </w:p>
    <w:p w14:paraId="0C615941">
      <w:pPr>
        <w:adjustRightInd w:val="0"/>
        <w:snapToGrid w:val="0"/>
        <w:spacing w:line="288" w:lineRule="auto"/>
        <w:rPr>
          <w:rFonts w:ascii="宋体" w:hAnsi="宋体" w:eastAsia="宋体" w:cs="宋体"/>
          <w:color w:val="auto"/>
          <w:sz w:val="21"/>
          <w:szCs w:val="21"/>
          <w:highlight w:val="none"/>
        </w:rPr>
      </w:pPr>
    </w:p>
    <w:p w14:paraId="0085E08F">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14:paraId="417EE4CA">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F6B5EF9">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二、在政府采购活动中，监狱企业视同小型、微型企业，享受预留份额、评审中价格扣除等政府采购促进中小企业发展的政府采购政策。</w:t>
      </w:r>
    </w:p>
    <w:p w14:paraId="53D5251F">
      <w:pPr>
        <w:widowControl/>
        <w:adjustRightInd w:val="0"/>
        <w:snapToGrid w:val="0"/>
        <w:spacing w:line="288" w:lineRule="auto"/>
        <w:jc w:val="left"/>
        <w:rPr>
          <w:rFonts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br w:type="page"/>
      </w:r>
    </w:p>
    <w:p w14:paraId="5E7C875B">
      <w:pPr>
        <w:adjustRightInd w:val="0"/>
        <w:snapToGrid w:val="0"/>
        <w:spacing w:line="288" w:lineRule="auto"/>
        <w:jc w:val="center"/>
        <w:outlineLvl w:val="2"/>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残疾人福利性单位声明函（若属于残疾人福利性单位）</w:t>
      </w:r>
    </w:p>
    <w:p w14:paraId="4FB77061">
      <w:pPr>
        <w:adjustRightInd w:val="0"/>
        <w:snapToGrid w:val="0"/>
        <w:spacing w:line="288" w:lineRule="auto"/>
        <w:rPr>
          <w:rFonts w:ascii="宋体" w:hAnsi="宋体" w:eastAsia="宋体" w:cs="Times New Roman"/>
          <w:b/>
          <w:color w:val="auto"/>
          <w:spacing w:val="6"/>
          <w:sz w:val="21"/>
          <w:szCs w:val="21"/>
          <w:highlight w:val="none"/>
        </w:rPr>
      </w:pPr>
    </w:p>
    <w:p w14:paraId="318A460E">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1"/>
          <w:szCs w:val="21"/>
          <w:highlight w:val="none"/>
        </w:rPr>
        <w:t>〔2017〕 141</w:t>
      </w:r>
      <w:r>
        <w:rPr>
          <w:rFonts w:hint="eastAsia" w:ascii="宋体" w:hAnsi="宋体" w:eastAsia="宋体" w:cs="Times New Roman"/>
          <w:color w:val="auto"/>
          <w:spacing w:val="6"/>
          <w:sz w:val="21"/>
          <w:szCs w:val="21"/>
          <w:highlight w:val="none"/>
        </w:rPr>
        <w:t>号）的规定，</w:t>
      </w:r>
      <w:r>
        <w:rPr>
          <w:rFonts w:hint="eastAsia" w:ascii="宋体" w:hAnsi="宋体" w:eastAsia="宋体" w:cs="Times New Roman"/>
          <w:b/>
          <w:bCs/>
          <w:color w:val="auto"/>
          <w:spacing w:val="6"/>
          <w:sz w:val="21"/>
          <w:szCs w:val="21"/>
          <w:highlight w:val="none"/>
        </w:rPr>
        <w:t>本单位为符合条件的残疾人福利性单位</w:t>
      </w:r>
      <w:r>
        <w:rPr>
          <w:rFonts w:hint="eastAsia" w:ascii="宋体" w:hAnsi="宋体" w:eastAsia="宋体" w:cs="Times New Roman"/>
          <w:color w:val="auto"/>
          <w:spacing w:val="6"/>
          <w:sz w:val="21"/>
          <w:szCs w:val="21"/>
          <w:highlight w:val="none"/>
        </w:rPr>
        <w:t>，且本单位参加______（采购人）单位的______（项目名称）项目采购活动提供本单位服务。</w:t>
      </w:r>
    </w:p>
    <w:p w14:paraId="1A9A4B57">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本单位对上述声明的真实性负责。如有虚假，将依法承担相应责任。</w:t>
      </w:r>
    </w:p>
    <w:p w14:paraId="0E8FCA68">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单位名称（盖章）：</w:t>
      </w:r>
    </w:p>
    <w:p w14:paraId="471E53C1">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日  期：</w:t>
      </w:r>
    </w:p>
    <w:p w14:paraId="6A2AA1A7">
      <w:pPr>
        <w:adjustRightInd w:val="0"/>
        <w:snapToGrid w:val="0"/>
        <w:spacing w:line="288" w:lineRule="auto"/>
        <w:rPr>
          <w:rFonts w:ascii="宋体" w:hAnsi="宋体" w:eastAsia="宋体" w:cs="宋体"/>
          <w:color w:val="auto"/>
          <w:sz w:val="21"/>
          <w:szCs w:val="21"/>
          <w:highlight w:val="none"/>
        </w:rPr>
      </w:pPr>
    </w:p>
    <w:p w14:paraId="1CBD2850">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14:paraId="1F564311">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一、享受政府采购支持政策的残疾人福利性单位应当同时满足以下条件：</w:t>
      </w:r>
    </w:p>
    <w:p w14:paraId="52653E04">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（一）安置的残疾人占本单位在职职工人数的比例不低于25%（含25%），并且安置的残疾人人数不少于10人（含10人）；</w:t>
      </w:r>
    </w:p>
    <w:p w14:paraId="1E38AC9E">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（二）依法与安置的每位残疾人签订了一年以上（含一年）的劳动合同或服务协议；</w:t>
      </w:r>
    </w:p>
    <w:p w14:paraId="7AFC624C">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（三）为安置的每位残疾人按月足额缴纳了基本养老保险、基本医疗保险、失业保险、工伤保险和生育保险等社会保险费；</w:t>
      </w:r>
    </w:p>
    <w:p w14:paraId="7600B150">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（四）通过银行等金融机构向安置的每位残疾人，按月支付了不低于单位所在区县适用的经省级人民政府批准的月最低工资标准的工资；</w:t>
      </w:r>
    </w:p>
    <w:p w14:paraId="06EC33EB">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72B8D05B">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54072D">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二、符合条件的残疾人福利性单位在参加政府采购活动时，应当提供财库</w:t>
      </w:r>
      <w:r>
        <w:rPr>
          <w:rFonts w:ascii="宋体" w:hAnsi="宋体" w:eastAsia="宋体" w:cs="宋体"/>
          <w:color w:val="auto"/>
          <w:kern w:val="0"/>
          <w:sz w:val="21"/>
          <w:szCs w:val="21"/>
          <w:highlight w:val="none"/>
        </w:rPr>
        <w:t>[2017]141号</w:t>
      </w:r>
      <w:r>
        <w:rPr>
          <w:rFonts w:hint="eastAsia" w:ascii="宋体" w:hAnsi="宋体" w:eastAsia="宋体" w:cs="宋体"/>
          <w:color w:val="auto"/>
          <w:kern w:val="0"/>
          <w:sz w:val="21"/>
          <w:szCs w:val="21"/>
          <w:highlight w:val="none"/>
        </w:rPr>
        <w:t>文件规定的《残疾人福利性单位声明函》，并对声明的真实性负责。</w:t>
      </w:r>
    </w:p>
    <w:p w14:paraId="52B0489D">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三、在政府采购活动中，残疾人福利性单位视同小型、微型企业，享受预留份额、评审中价格扣除等促进中小企业发展的政府采购政策。</w:t>
      </w:r>
    </w:p>
    <w:p w14:paraId="18129DEF">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残疾人福利性单位属于小型、微型企业的，不重复享受政策。</w:t>
      </w:r>
    </w:p>
    <w:p w14:paraId="5180E092">
      <w:pPr>
        <w:widowControl/>
        <w:adjustRightInd w:val="0"/>
        <w:snapToGrid w:val="0"/>
        <w:spacing w:line="288" w:lineRule="auto"/>
        <w:jc w:val="left"/>
        <w:rPr>
          <w:rFonts w:ascii="宋体" w:hAnsi="宋体" w:eastAsia="宋体" w:cs="Times New Roman"/>
          <w:b/>
          <w:bCs/>
          <w:color w:val="auto"/>
          <w:spacing w:val="-6"/>
          <w:sz w:val="21"/>
          <w:szCs w:val="21"/>
          <w:highlight w:val="none"/>
        </w:rPr>
      </w:pPr>
      <w:r>
        <w:rPr>
          <w:rFonts w:ascii="宋体" w:hAnsi="宋体" w:eastAsia="宋体" w:cs="Times New Roman"/>
          <w:b/>
          <w:bCs/>
          <w:color w:val="auto"/>
          <w:spacing w:val="-6"/>
          <w:sz w:val="21"/>
          <w:szCs w:val="21"/>
          <w:highlight w:val="none"/>
        </w:rPr>
        <w:br w:type="page"/>
      </w:r>
    </w:p>
    <w:p w14:paraId="604A0876">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319B8459">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8ABF699">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0D22C1E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79C6C21C">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487B3F07">
      <w:pPr>
        <w:adjustRightInd w:val="0"/>
        <w:snapToGrid w:val="0"/>
        <w:spacing w:line="288" w:lineRule="auto"/>
        <w:rPr>
          <w:rFonts w:ascii="宋体" w:hAnsi="宋体" w:eastAsia="宋体" w:cs="Times New Roman"/>
          <w:color w:val="auto"/>
          <w:spacing w:val="-6"/>
          <w:szCs w:val="21"/>
          <w:highlight w:val="none"/>
        </w:rPr>
      </w:pPr>
    </w:p>
    <w:p w14:paraId="2BA7D033">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4A54D9F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1DFB92E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杭州电子科技大学综合实验楼（一期）建设工程招标代理及工程量清单编制服务</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QSZB-Z(F)-B25155(GK)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1A81C9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1F74E8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414D361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25568F6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6CB79EA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69CE07B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5"/>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3DD3A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4E7D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08726E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7B6D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E8410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5C0E9C7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8BD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2BBE0C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65C9266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7032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B1AA8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4219A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0338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4B590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6F99DD0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4481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2B81D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73780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4E381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99688D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1163DCB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500272E4">
      <w:pPr>
        <w:adjustRightInd w:val="0"/>
        <w:snapToGrid w:val="0"/>
        <w:spacing w:line="288" w:lineRule="auto"/>
        <w:rPr>
          <w:rFonts w:ascii="宋体" w:hAnsi="宋体" w:eastAsia="宋体" w:cs="Times New Roman"/>
          <w:color w:val="auto"/>
          <w:spacing w:val="-6"/>
          <w:szCs w:val="21"/>
          <w:highlight w:val="none"/>
        </w:rPr>
      </w:pPr>
    </w:p>
    <w:p w14:paraId="1392E8D1">
      <w:pPr>
        <w:adjustRightInd w:val="0"/>
        <w:snapToGrid w:val="0"/>
        <w:spacing w:line="288" w:lineRule="auto"/>
        <w:rPr>
          <w:rFonts w:ascii="宋体" w:hAnsi="宋体" w:eastAsia="宋体" w:cs="Times New Roman"/>
          <w:color w:val="auto"/>
          <w:spacing w:val="-6"/>
          <w:szCs w:val="21"/>
          <w:highlight w:val="none"/>
        </w:rPr>
      </w:pPr>
    </w:p>
    <w:p w14:paraId="6A3368C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FAA931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DA1BE9F">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3C8C3F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71C7CC95">
      <w:pPr>
        <w:adjustRightInd w:val="0"/>
        <w:snapToGrid w:val="0"/>
        <w:spacing w:line="288" w:lineRule="auto"/>
        <w:rPr>
          <w:rFonts w:ascii="宋体" w:hAnsi="宋体" w:eastAsia="宋体" w:cs="Times New Roman"/>
          <w:b/>
          <w:bCs/>
          <w:color w:val="auto"/>
          <w:spacing w:val="-6"/>
          <w:szCs w:val="21"/>
          <w:highlight w:val="none"/>
        </w:rPr>
      </w:pPr>
    </w:p>
    <w:p w14:paraId="77DA663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5386AA0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杭州电子科技大学综合实验楼（一期）建设工程招标代理及工程量清单编制服务</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QSZB-Z(F)-B25155(GK)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417DC4E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77058E3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07755B6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20D05106">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2024年7月（含）</w:t>
      </w:r>
      <w:r>
        <w:rPr>
          <w:rFonts w:hint="eastAsia" w:ascii="宋体" w:hAnsi="宋体" w:eastAsia="宋体" w:cs="Times New Roman"/>
          <w:color w:val="auto"/>
          <w:spacing w:val="-6"/>
          <w:szCs w:val="21"/>
          <w:highlight w:val="none"/>
          <w:u w:val="single"/>
        </w:rPr>
        <w:t>以后任意一月）。</w:t>
      </w:r>
    </w:p>
    <w:p w14:paraId="613F3A52">
      <w:pPr>
        <w:adjustRightInd w:val="0"/>
        <w:snapToGrid w:val="0"/>
        <w:spacing w:line="288" w:lineRule="auto"/>
        <w:rPr>
          <w:rFonts w:ascii="宋体" w:hAnsi="宋体" w:eastAsia="宋体" w:cs="Times New Roman"/>
          <w:color w:val="auto"/>
          <w:spacing w:val="-6"/>
          <w:szCs w:val="21"/>
          <w:highlight w:val="none"/>
        </w:rPr>
      </w:pPr>
    </w:p>
    <w:p w14:paraId="4161883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6415F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B38F9AE">
      <w:pPr>
        <w:adjustRightInd w:val="0"/>
        <w:snapToGrid w:val="0"/>
        <w:spacing w:line="288" w:lineRule="auto"/>
        <w:rPr>
          <w:rFonts w:ascii="宋体" w:hAnsi="宋体" w:eastAsia="宋体" w:cs="Times New Roman"/>
          <w:color w:val="auto"/>
          <w:szCs w:val="21"/>
          <w:highlight w:val="none"/>
        </w:rPr>
      </w:pPr>
    </w:p>
    <w:p w14:paraId="27FAF535">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36E82B43">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621776DC">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73356AA5">
      <w:pPr>
        <w:adjustRightInd w:val="0"/>
        <w:snapToGrid w:val="0"/>
        <w:spacing w:line="288" w:lineRule="auto"/>
        <w:rPr>
          <w:rFonts w:ascii="宋体" w:hAnsi="宋体" w:eastAsia="宋体" w:cs="Times New Roman"/>
          <w:color w:val="auto"/>
          <w:szCs w:val="21"/>
          <w:highlight w:val="none"/>
        </w:rPr>
      </w:pPr>
    </w:p>
    <w:p w14:paraId="11AAFCB6">
      <w:pPr>
        <w:adjustRightInd w:val="0"/>
        <w:snapToGrid w:val="0"/>
        <w:spacing w:line="288" w:lineRule="auto"/>
        <w:rPr>
          <w:rFonts w:ascii="宋体" w:hAnsi="宋体" w:eastAsia="宋体" w:cs="Times New Roman"/>
          <w:color w:val="auto"/>
          <w:szCs w:val="21"/>
          <w:highlight w:val="none"/>
        </w:rPr>
      </w:pPr>
    </w:p>
    <w:p w14:paraId="7B00357D">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D047570">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0677CF99">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9"/>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0C18D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39" w:hRule="atLeast"/>
        </w:trPr>
        <w:tc>
          <w:tcPr>
            <w:tcW w:w="4701" w:type="dxa"/>
          </w:tcPr>
          <w:p w14:paraId="0A4510E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64765FF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37564F11">
      <w:pPr>
        <w:adjustRightInd w:val="0"/>
        <w:snapToGrid w:val="0"/>
        <w:spacing w:line="288" w:lineRule="auto"/>
        <w:rPr>
          <w:rFonts w:ascii="Times New Roman" w:hAnsi="Times New Roman" w:eastAsia="宋体" w:cs="Times New Roman"/>
          <w:color w:val="auto"/>
          <w:szCs w:val="21"/>
          <w:highlight w:val="none"/>
        </w:rPr>
      </w:pPr>
    </w:p>
    <w:p w14:paraId="385F7C0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40215E22">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2024年7月（含）</w:t>
      </w:r>
      <w:r>
        <w:rPr>
          <w:rFonts w:hint="eastAsia" w:ascii="宋体" w:hAnsi="宋体" w:eastAsia="宋体" w:cs="Times New Roman"/>
          <w:b/>
          <w:bCs/>
          <w:color w:val="auto"/>
          <w:szCs w:val="21"/>
          <w:highlight w:val="none"/>
        </w:rPr>
        <w:t>以后任意一月）</w:t>
      </w:r>
    </w:p>
    <w:p w14:paraId="15E8E1A9">
      <w:pPr>
        <w:rPr>
          <w:rFonts w:ascii="Times New Roman" w:hAnsi="Times New Roman" w:eastAsia="宋体" w:cs="Times New Roman"/>
          <w:color w:val="auto"/>
          <w:szCs w:val="21"/>
          <w:highlight w:val="none"/>
        </w:rPr>
      </w:pPr>
    </w:p>
    <w:p w14:paraId="3C9A738F">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1D54D2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4"/>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31980D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788D8C3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0FE787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29BBFC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556D27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1924E50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63EAE0F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3BB2699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00EDCCC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22C3E7B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C1BBAD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3E05D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D9B92F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C79EA4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4C5B61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1463AD8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094069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EF9E20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45F029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EE9596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F1B60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5830A9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769F657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004052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522133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57B04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E97910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CD2E17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53DC590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75FA94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4E816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00AECE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27D64C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11B8A3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3333AD9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3E0DE6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6899E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4AF422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7A7CD4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B920FA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19A4B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40296A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4B03BC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3DA449F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AD2F86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464D85A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CF1E90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0558E7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6D0DD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2433B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3C9C6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D4C78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5C2A390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C26D29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C500C9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57D9AA3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654B031B">
      <w:pPr>
        <w:adjustRightInd w:val="0"/>
        <w:snapToGrid w:val="0"/>
        <w:spacing w:line="288" w:lineRule="auto"/>
        <w:rPr>
          <w:rFonts w:ascii="宋体" w:hAnsi="宋体" w:eastAsia="宋体" w:cs="Times New Roman"/>
          <w:color w:val="auto"/>
          <w:szCs w:val="21"/>
          <w:highlight w:val="none"/>
        </w:rPr>
      </w:pPr>
    </w:p>
    <w:p w14:paraId="11E0148A">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0E409B7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0D636975">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17EA68CC">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1C4E741E">
      <w:pPr>
        <w:adjustRightInd w:val="0"/>
        <w:snapToGrid w:val="0"/>
        <w:spacing w:line="288" w:lineRule="auto"/>
        <w:rPr>
          <w:rFonts w:ascii="宋体" w:hAnsi="宋体" w:eastAsia="宋体" w:cs="Times New Roman"/>
          <w:color w:val="auto"/>
          <w:spacing w:val="-6"/>
          <w:szCs w:val="21"/>
          <w:highlight w:val="none"/>
        </w:rPr>
      </w:pPr>
    </w:p>
    <w:p w14:paraId="783BDD3F">
      <w:pPr>
        <w:adjustRightInd w:val="0"/>
        <w:snapToGrid w:val="0"/>
        <w:spacing w:line="288" w:lineRule="auto"/>
        <w:rPr>
          <w:rFonts w:ascii="宋体" w:hAnsi="宋体" w:eastAsia="宋体" w:cs="Times New Roman"/>
          <w:color w:val="auto"/>
          <w:spacing w:val="-6"/>
          <w:szCs w:val="21"/>
          <w:highlight w:val="none"/>
        </w:rPr>
      </w:pPr>
    </w:p>
    <w:p w14:paraId="5916792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F3DB2A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380CAF6A">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1B035128">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17923BF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2CE0AF0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综合实验楼（一期）建设工程招标代理及工程量清单编制服务</w:t>
      </w:r>
    </w:p>
    <w:p w14:paraId="132F3342">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QSZB-Z(F)-B25155(GK)</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9374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459821D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FE15C0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433BEC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2533DCE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35F9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B6460F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7AB2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C0AC0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74C153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05E9B42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49C39A6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FD9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F9BFEA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282D05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0E3BDE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ED3F1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46F91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58D22C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1EA4118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6B31670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0E8BCA4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03662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C7423C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1B22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AD7F7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7E5A039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6AFDA11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312ED871">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23C7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BB023F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603276F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0FCAE96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06FCB82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604A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35D70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5C5A1621">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0A4EB4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A89AA4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bl>
    <w:p w14:paraId="10924C0B">
      <w:pPr>
        <w:adjustRightInd w:val="0"/>
        <w:snapToGrid w:val="0"/>
        <w:spacing w:line="288" w:lineRule="auto"/>
        <w:rPr>
          <w:rFonts w:ascii="宋体" w:hAnsi="宋体" w:eastAsia="宋体" w:cs="Times New Roman"/>
          <w:b/>
          <w:bCs/>
          <w:color w:val="auto"/>
          <w:spacing w:val="-6"/>
          <w:szCs w:val="21"/>
          <w:highlight w:val="none"/>
        </w:rPr>
      </w:pPr>
    </w:p>
    <w:p w14:paraId="718668EB">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D26491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3F9B6651">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00B07085">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65D89563">
      <w:pPr>
        <w:adjustRightInd w:val="0"/>
        <w:snapToGrid w:val="0"/>
        <w:spacing w:line="288" w:lineRule="auto"/>
        <w:rPr>
          <w:rFonts w:ascii="宋体" w:hAnsi="宋体" w:eastAsia="宋体" w:cs="Times New Roman"/>
          <w:color w:val="auto"/>
          <w:spacing w:val="-6"/>
          <w:szCs w:val="21"/>
          <w:highlight w:val="none"/>
        </w:rPr>
      </w:pPr>
    </w:p>
    <w:p w14:paraId="3B9BE2A0">
      <w:pPr>
        <w:adjustRightInd w:val="0"/>
        <w:snapToGrid w:val="0"/>
        <w:spacing w:line="288" w:lineRule="auto"/>
        <w:rPr>
          <w:rFonts w:ascii="宋体" w:hAnsi="宋体" w:eastAsia="宋体" w:cs="Times New Roman"/>
          <w:color w:val="auto"/>
          <w:spacing w:val="-6"/>
          <w:szCs w:val="21"/>
          <w:highlight w:val="none"/>
        </w:rPr>
      </w:pPr>
    </w:p>
    <w:p w14:paraId="2F99947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7440DE5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4F5D9972">
      <w:pPr>
        <w:widowControl/>
        <w:adjustRightInd w:val="0"/>
        <w:snapToGrid w:val="0"/>
        <w:spacing w:line="288" w:lineRule="auto"/>
        <w:jc w:val="left"/>
        <w:rPr>
          <w:rFonts w:hint="eastAsia"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（5）服务方案</w:t>
      </w:r>
    </w:p>
    <w:p w14:paraId="5A381679">
      <w:pPr>
        <w:widowControl/>
        <w:adjustRightInd w:val="0"/>
        <w:snapToGrid w:val="0"/>
        <w:spacing w:line="288" w:lineRule="auto"/>
        <w:jc w:val="left"/>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（6）投标人需要说明的其他文件和材料</w:t>
      </w:r>
    </w:p>
    <w:p w14:paraId="5CC75ADE">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2B828C42">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E0A4DFE">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7A21B62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39A1B2D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D9A42D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综合实验楼（一期）建设工程招标代理及工程量清单编制服务</w:t>
      </w:r>
    </w:p>
    <w:p w14:paraId="5CDF5AF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QSZB-Z(F)-B25155(GK)</w:t>
      </w:r>
    </w:p>
    <w:tbl>
      <w:tblPr>
        <w:tblStyle w:val="24"/>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7426A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61C17A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5D03EC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C8867F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54" w:name="_Hlk177717733"/>
            <w:r>
              <w:rPr>
                <w:rFonts w:hint="eastAsia" w:ascii="宋体" w:hAnsi="宋体" w:eastAsia="宋体" w:cs="宋体"/>
                <w:b/>
                <w:bCs/>
                <w:color w:val="auto"/>
                <w:sz w:val="21"/>
                <w:szCs w:val="21"/>
                <w:highlight w:val="none"/>
              </w:rPr>
              <w:t>规格型号</w:t>
            </w:r>
          </w:p>
          <w:p w14:paraId="0A26568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5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A4B1C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51A2F9D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3E9D17D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2F0B2A8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1BC8BE7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C605A5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67A82B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3203DBF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394EA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4C8D06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993406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3A380C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1269FE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3BF3C3D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DED92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7AFF17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F08E29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5069C0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F13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3EAD02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2F8E8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488C7F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E39AF4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6AEED0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5BE005F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5D18D55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573F4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1CCB44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2BF1DC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9B3F9D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2584A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91C76D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4D42FA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3E4C70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50531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2F03D48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4EB51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794DAA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C8CFE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0FAD545B">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06FCC5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4DC87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967D9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34D11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C61EA6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6F30AAC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8353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69DF2C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4817CE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152A41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75F8EB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60516D0">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279063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F4B984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067094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0200B4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4D253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4C8CCA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DCA9FE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0412FD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6ECA0E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14896A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D9DCB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FB00C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1B9A8E6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742617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6255A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4E75E7A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344BA9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56AF4B90">
      <w:pPr>
        <w:adjustRightInd w:val="0"/>
        <w:snapToGrid w:val="0"/>
        <w:spacing w:line="288" w:lineRule="auto"/>
        <w:rPr>
          <w:rFonts w:ascii="宋体" w:hAnsi="宋体" w:eastAsia="宋体" w:cs="Times New Roman"/>
          <w:color w:val="auto"/>
          <w:spacing w:val="-6"/>
          <w:szCs w:val="21"/>
          <w:highlight w:val="none"/>
        </w:rPr>
      </w:pPr>
    </w:p>
    <w:p w14:paraId="57B0EBF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675EC363">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3C256882">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645E06DF">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200CFE7B">
      <w:pPr>
        <w:adjustRightInd w:val="0"/>
        <w:snapToGrid w:val="0"/>
        <w:spacing w:line="288" w:lineRule="auto"/>
        <w:rPr>
          <w:rFonts w:ascii="宋体" w:hAnsi="宋体" w:eastAsia="宋体" w:cs="Times New Roman"/>
          <w:color w:val="auto"/>
          <w:szCs w:val="21"/>
          <w:highlight w:val="none"/>
        </w:rPr>
      </w:pPr>
    </w:p>
    <w:p w14:paraId="17A98F5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3ED2D65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BF4AD">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4D6BAFCB">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3E4368E7">
      <w:pPr>
        <w:snapToGrid w:val="0"/>
        <w:spacing w:line="288" w:lineRule="auto"/>
        <w:rPr>
          <w:rFonts w:ascii="宋体" w:hAnsi="宋体" w:eastAsia="宋体" w:cs="仿宋_GB2312"/>
          <w:color w:val="auto"/>
          <w:szCs w:val="21"/>
          <w:highlight w:val="none"/>
          <w:u w:val="single"/>
        </w:rPr>
      </w:pPr>
    </w:p>
    <w:p w14:paraId="5D151CC6">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7119605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43C91438">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79B9630C">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71F6267E">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0F2A181D">
      <w:pPr>
        <w:snapToGrid w:val="0"/>
        <w:spacing w:line="288" w:lineRule="auto"/>
        <w:rPr>
          <w:rFonts w:ascii="宋体" w:hAnsi="宋体" w:eastAsia="宋体" w:cs="宋体"/>
          <w:b/>
          <w:bCs/>
          <w:color w:val="auto"/>
          <w:szCs w:val="21"/>
          <w:highlight w:val="none"/>
        </w:rPr>
      </w:pPr>
    </w:p>
    <w:p w14:paraId="6192CC95">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14:paraId="425866C9">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60EB9FA7">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00DB9C01">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4AF0A409">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093110F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5952596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3692062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3D81C78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4A6810D5">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提供的服务全部由小微企业承接，其合同份额占到合同总金额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p>
    <w:p w14:paraId="400AECA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E60407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6B8A481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33A3F046">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34CD599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A1C6B56">
      <w:pPr>
        <w:snapToGrid w:val="0"/>
        <w:spacing w:line="288" w:lineRule="auto"/>
        <w:ind w:firstLine="422" w:firstLineChars="201"/>
        <w:rPr>
          <w:rFonts w:ascii="宋体" w:hAnsi="宋体" w:eastAsia="宋体" w:cs="仿宋_GB2312"/>
          <w:color w:val="auto"/>
          <w:kern w:val="0"/>
          <w:szCs w:val="21"/>
          <w:highlight w:val="none"/>
          <w:lang w:val="zh-CN"/>
        </w:rPr>
      </w:pPr>
    </w:p>
    <w:p w14:paraId="79E629C2">
      <w:pPr>
        <w:snapToGrid w:val="0"/>
        <w:spacing w:line="288" w:lineRule="auto"/>
        <w:ind w:firstLine="422" w:firstLineChars="201"/>
        <w:rPr>
          <w:rFonts w:ascii="宋体" w:hAnsi="宋体" w:eastAsia="宋体" w:cs="仿宋_GB2312"/>
          <w:color w:val="auto"/>
          <w:kern w:val="0"/>
          <w:szCs w:val="21"/>
          <w:highlight w:val="none"/>
          <w:lang w:val="zh-CN"/>
        </w:rPr>
      </w:pPr>
    </w:p>
    <w:p w14:paraId="742C0D0C">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5740E3E5">
      <w:pPr>
        <w:snapToGrid w:val="0"/>
        <w:spacing w:line="288" w:lineRule="auto"/>
        <w:ind w:firstLine="424" w:firstLineChars="201"/>
        <w:rPr>
          <w:rFonts w:ascii="宋体" w:hAnsi="宋体" w:eastAsia="宋体" w:cs="仿宋_GB2312"/>
          <w:b/>
          <w:bCs/>
          <w:color w:val="auto"/>
          <w:kern w:val="0"/>
          <w:szCs w:val="21"/>
          <w:highlight w:val="none"/>
          <w:lang w:val="zh-CN"/>
        </w:rPr>
      </w:pPr>
    </w:p>
    <w:p w14:paraId="416815AA">
      <w:pPr>
        <w:snapToGrid w:val="0"/>
        <w:spacing w:line="288" w:lineRule="auto"/>
        <w:ind w:firstLine="424" w:firstLineChars="201"/>
        <w:rPr>
          <w:rFonts w:ascii="宋体" w:hAnsi="宋体" w:eastAsia="宋体" w:cs="Times New Roman"/>
          <w:b/>
          <w:bCs/>
          <w:color w:val="auto"/>
          <w:szCs w:val="21"/>
          <w:highlight w:val="none"/>
        </w:rPr>
      </w:pPr>
    </w:p>
    <w:p w14:paraId="7C81A7DC">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3EC509C4">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5E27C1CE">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189A554B">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371C3DA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126FD3E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20C432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18F0D87E">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D995C1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438AEFE2">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15AD7C4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533FC248">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463C111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6AAA6B7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5BA9F93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2C000612">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5E28294B">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11CB4105">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3DBAA1EE">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A56EACF">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w:t>
      </w:r>
      <w:r>
        <w:rPr>
          <w:rFonts w:hint="eastAsia" w:ascii="宋体" w:hAnsi="宋体" w:eastAsia="宋体" w:cs="仿宋_GB2312"/>
          <w:color w:val="auto"/>
          <w:kern w:val="0"/>
          <w:szCs w:val="21"/>
          <w:highlight w:val="none"/>
          <w:u w:val="single"/>
          <w:lang w:val="en-US" w:eastAsia="zh-CN"/>
        </w:rPr>
        <w:t>服务</w:t>
      </w:r>
      <w:r>
        <w:rPr>
          <w:rFonts w:hint="eastAsia" w:ascii="宋体" w:hAnsi="宋体" w:eastAsia="宋体" w:cs="仿宋_GB2312"/>
          <w:color w:val="auto"/>
          <w:kern w:val="0"/>
          <w:szCs w:val="21"/>
          <w:highlight w:val="none"/>
          <w:u w:val="single"/>
        </w:rPr>
        <w:t>全部由小微企业</w:t>
      </w:r>
      <w:r>
        <w:rPr>
          <w:rFonts w:hint="eastAsia" w:ascii="宋体" w:hAnsi="宋体" w:eastAsia="宋体" w:cs="仿宋_GB2312"/>
          <w:color w:val="auto"/>
          <w:kern w:val="0"/>
          <w:szCs w:val="21"/>
          <w:highlight w:val="none"/>
          <w:u w:val="single"/>
          <w:lang w:val="en-US" w:eastAsia="zh-CN"/>
        </w:rPr>
        <w:t>承接</w:t>
      </w:r>
      <w:r>
        <w:rPr>
          <w:rFonts w:hint="eastAsia" w:ascii="宋体" w:hAnsi="宋体" w:eastAsia="宋体" w:cs="仿宋_GB2312"/>
          <w:color w:val="auto"/>
          <w:kern w:val="0"/>
          <w:szCs w:val="21"/>
          <w:highlight w:val="none"/>
          <w:u w:val="single"/>
        </w:rPr>
        <w:t>，</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p>
    <w:p w14:paraId="3F505EDD">
      <w:pPr>
        <w:snapToGrid w:val="0"/>
        <w:spacing w:line="288" w:lineRule="auto"/>
        <w:rPr>
          <w:rFonts w:ascii="宋体" w:hAnsi="宋体" w:eastAsia="宋体" w:cs="仿宋_GB2312"/>
          <w:color w:val="auto"/>
          <w:kern w:val="0"/>
          <w:szCs w:val="21"/>
          <w:highlight w:val="none"/>
          <w:lang w:val="zh-CN"/>
        </w:rPr>
      </w:pPr>
    </w:p>
    <w:p w14:paraId="6123D229">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38118717">
      <w:pPr>
        <w:snapToGrid w:val="0"/>
        <w:spacing w:line="288" w:lineRule="auto"/>
        <w:ind w:firstLine="424" w:firstLineChars="201"/>
        <w:rPr>
          <w:rFonts w:ascii="宋体" w:hAnsi="宋体" w:eastAsia="宋体" w:cs="仿宋_GB2312"/>
          <w:b/>
          <w:bCs/>
          <w:color w:val="auto"/>
          <w:kern w:val="0"/>
          <w:szCs w:val="21"/>
          <w:highlight w:val="none"/>
          <w:lang w:val="zh-CN"/>
        </w:rPr>
      </w:pPr>
    </w:p>
    <w:p w14:paraId="26AD7237">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6D90F710">
      <w:pPr>
        <w:snapToGrid w:val="0"/>
        <w:spacing w:line="288" w:lineRule="auto"/>
        <w:rPr>
          <w:rFonts w:ascii="宋体" w:hAnsi="宋体" w:eastAsia="宋体" w:cs="仿宋_GB2312"/>
          <w:b/>
          <w:bCs/>
          <w:color w:val="auto"/>
          <w:kern w:val="0"/>
          <w:szCs w:val="21"/>
          <w:highlight w:val="none"/>
          <w:lang w:val="zh-CN"/>
        </w:rPr>
      </w:pPr>
    </w:p>
    <w:p w14:paraId="6DBE376B">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1D9D351">
      <w:pPr>
        <w:rPr>
          <w:rFonts w:ascii="等线" w:hAnsi="等线" w:eastAsia="等线" w:cs="Times New Roman"/>
          <w:color w:val="auto"/>
          <w:highlight w:val="none"/>
        </w:rPr>
      </w:pPr>
    </w:p>
    <w:p w14:paraId="26C90846">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72974">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349D1">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724B2">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1C005">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29E45"/>
    <w:multiLevelType w:val="singleLevel"/>
    <w:tmpl w:val="87729E45"/>
    <w:lvl w:ilvl="0" w:tentative="0">
      <w:start w:val="4"/>
      <w:numFmt w:val="chineseCounting"/>
      <w:suff w:val="nothing"/>
      <w:lvlText w:val="%1、"/>
      <w:lvlJc w:val="left"/>
      <w:rPr>
        <w:rFonts w:hint="eastAsia"/>
      </w:rPr>
    </w:lvl>
  </w:abstractNum>
  <w:abstractNum w:abstractNumId="1">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19677B"/>
    <w:rsid w:val="01285229"/>
    <w:rsid w:val="01F81427"/>
    <w:rsid w:val="03295346"/>
    <w:rsid w:val="03F93561"/>
    <w:rsid w:val="05D34727"/>
    <w:rsid w:val="05D9297D"/>
    <w:rsid w:val="07650D44"/>
    <w:rsid w:val="07DB5C37"/>
    <w:rsid w:val="08931933"/>
    <w:rsid w:val="0A8F0E99"/>
    <w:rsid w:val="0B4A1776"/>
    <w:rsid w:val="0BD50265"/>
    <w:rsid w:val="0BEC010D"/>
    <w:rsid w:val="0C786503"/>
    <w:rsid w:val="0D1A04C9"/>
    <w:rsid w:val="0DA43FD6"/>
    <w:rsid w:val="0DCB77B4"/>
    <w:rsid w:val="0E993BA0"/>
    <w:rsid w:val="0F626EC6"/>
    <w:rsid w:val="10757130"/>
    <w:rsid w:val="112B34AD"/>
    <w:rsid w:val="11FF5827"/>
    <w:rsid w:val="18090C43"/>
    <w:rsid w:val="18FB5F15"/>
    <w:rsid w:val="1B321622"/>
    <w:rsid w:val="1E452027"/>
    <w:rsid w:val="1EEB1A56"/>
    <w:rsid w:val="1F9C38D3"/>
    <w:rsid w:val="20767551"/>
    <w:rsid w:val="212705BE"/>
    <w:rsid w:val="21DB64E2"/>
    <w:rsid w:val="221C4C30"/>
    <w:rsid w:val="22A70B6C"/>
    <w:rsid w:val="22AD65CC"/>
    <w:rsid w:val="23C14303"/>
    <w:rsid w:val="23FF4622"/>
    <w:rsid w:val="25A217AC"/>
    <w:rsid w:val="27432BC1"/>
    <w:rsid w:val="27D92271"/>
    <w:rsid w:val="27F0275A"/>
    <w:rsid w:val="28580092"/>
    <w:rsid w:val="28BC23D4"/>
    <w:rsid w:val="2AA10ED5"/>
    <w:rsid w:val="2ADA0518"/>
    <w:rsid w:val="2C803508"/>
    <w:rsid w:val="2C921974"/>
    <w:rsid w:val="2CF947E6"/>
    <w:rsid w:val="2DBE14C9"/>
    <w:rsid w:val="2E2B31E3"/>
    <w:rsid w:val="2ED77388"/>
    <w:rsid w:val="2F380CDF"/>
    <w:rsid w:val="2F6A64D8"/>
    <w:rsid w:val="30616EA9"/>
    <w:rsid w:val="31A44D82"/>
    <w:rsid w:val="32BE120D"/>
    <w:rsid w:val="330C0EF9"/>
    <w:rsid w:val="33506DE6"/>
    <w:rsid w:val="34004E73"/>
    <w:rsid w:val="35194EAC"/>
    <w:rsid w:val="35A54CED"/>
    <w:rsid w:val="37534CA7"/>
    <w:rsid w:val="37D824F1"/>
    <w:rsid w:val="39B918B5"/>
    <w:rsid w:val="3B0C4DFA"/>
    <w:rsid w:val="3C4D26C6"/>
    <w:rsid w:val="3D044EFC"/>
    <w:rsid w:val="3E6946AD"/>
    <w:rsid w:val="3EB60CB3"/>
    <w:rsid w:val="3EC436F9"/>
    <w:rsid w:val="3F740895"/>
    <w:rsid w:val="3FB93DC6"/>
    <w:rsid w:val="402A691C"/>
    <w:rsid w:val="422E66F3"/>
    <w:rsid w:val="4275164D"/>
    <w:rsid w:val="430A3262"/>
    <w:rsid w:val="44265D88"/>
    <w:rsid w:val="46A824B9"/>
    <w:rsid w:val="46BB170B"/>
    <w:rsid w:val="47510906"/>
    <w:rsid w:val="495D70F7"/>
    <w:rsid w:val="498C1364"/>
    <w:rsid w:val="4B7D5F80"/>
    <w:rsid w:val="4BF40741"/>
    <w:rsid w:val="4C5E019B"/>
    <w:rsid w:val="4EE30424"/>
    <w:rsid w:val="4F64249F"/>
    <w:rsid w:val="4F6E1200"/>
    <w:rsid w:val="4FEE189E"/>
    <w:rsid w:val="500B7C38"/>
    <w:rsid w:val="514D7579"/>
    <w:rsid w:val="531D445E"/>
    <w:rsid w:val="5345653C"/>
    <w:rsid w:val="53F038EA"/>
    <w:rsid w:val="5416477C"/>
    <w:rsid w:val="549F2962"/>
    <w:rsid w:val="54E01333"/>
    <w:rsid w:val="56013A0F"/>
    <w:rsid w:val="59BA69E3"/>
    <w:rsid w:val="5A661DF4"/>
    <w:rsid w:val="5ACF017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4F1ACD"/>
    <w:rsid w:val="64751744"/>
    <w:rsid w:val="67060D39"/>
    <w:rsid w:val="67FF1998"/>
    <w:rsid w:val="680D1D99"/>
    <w:rsid w:val="69431270"/>
    <w:rsid w:val="6A7F4F75"/>
    <w:rsid w:val="6ACA16F9"/>
    <w:rsid w:val="6B16774A"/>
    <w:rsid w:val="6C467142"/>
    <w:rsid w:val="6CB03B45"/>
    <w:rsid w:val="6ECE2681"/>
    <w:rsid w:val="6ED12033"/>
    <w:rsid w:val="72340F9C"/>
    <w:rsid w:val="763243C9"/>
    <w:rsid w:val="774152C9"/>
    <w:rsid w:val="793070F8"/>
    <w:rsid w:val="79D825C1"/>
    <w:rsid w:val="7B5D131E"/>
    <w:rsid w:val="7D950234"/>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next w:val="1"/>
    <w:link w:val="47"/>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4"/>
    <w:unhideWhenUsed/>
    <w:qFormat/>
    <w:uiPriority w:val="99"/>
    <w:rPr>
      <w:rFonts w:ascii="宋体"/>
      <w:sz w:val="18"/>
      <w:szCs w:val="18"/>
    </w:rPr>
  </w:style>
  <w:style w:type="paragraph" w:styleId="9">
    <w:name w:val="annotation text"/>
    <w:basedOn w:val="1"/>
    <w:link w:val="81"/>
    <w:unhideWhenUsed/>
    <w:qFormat/>
    <w:uiPriority w:val="99"/>
    <w:pPr>
      <w:jc w:val="left"/>
    </w:pPr>
  </w:style>
  <w:style w:type="paragraph" w:styleId="10">
    <w:name w:val="Body Text"/>
    <w:basedOn w:val="1"/>
    <w:next w:val="1"/>
    <w:link w:val="84"/>
    <w:unhideWhenUsed/>
    <w:qFormat/>
    <w:uiPriority w:val="99"/>
    <w:pPr>
      <w:spacing w:after="120"/>
    </w:pPr>
    <w:rPr>
      <w:rFonts w:ascii="Times New Roman" w:hAnsi="Times New Roman" w:eastAsia="宋体" w:cs="Times New Roman"/>
      <w:sz w:val="28"/>
      <w:szCs w:val="24"/>
    </w:rPr>
  </w:style>
  <w:style w:type="paragraph" w:styleId="11">
    <w:name w:val="Body Text Indent"/>
    <w:basedOn w:val="1"/>
    <w:next w:val="6"/>
    <w:link w:val="71"/>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5"/>
    <w:qFormat/>
    <w:uiPriority w:val="0"/>
    <w:rPr>
      <w:rFonts w:ascii="Times New Roman" w:hAnsi="Times New Roman" w:eastAsia="宋体" w:cs="Times New Roman"/>
      <w:sz w:val="18"/>
      <w:szCs w:val="18"/>
    </w:rPr>
  </w:style>
  <w:style w:type="paragraph" w:styleId="16">
    <w:name w:val="footer"/>
    <w:basedOn w:val="1"/>
    <w:link w:val="37"/>
    <w:unhideWhenUsed/>
    <w:qFormat/>
    <w:uiPriority w:val="99"/>
    <w:pPr>
      <w:tabs>
        <w:tab w:val="center" w:pos="4153"/>
        <w:tab w:val="right" w:pos="8306"/>
      </w:tabs>
      <w:snapToGrid w:val="0"/>
      <w:jc w:val="left"/>
    </w:pPr>
    <w:rPr>
      <w:sz w:val="18"/>
      <w:szCs w:val="18"/>
    </w:rPr>
  </w:style>
  <w:style w:type="paragraph" w:styleId="17">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7"/>
    <w:unhideWhenUsed/>
    <w:qFormat/>
    <w:uiPriority w:val="99"/>
    <w:rPr>
      <w:b/>
      <w:bCs/>
      <w:sz w:val="28"/>
      <w:szCs w:val="24"/>
    </w:rPr>
  </w:style>
  <w:style w:type="paragraph" w:styleId="22">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paragraph" w:styleId="23">
    <w:name w:val="Body Text First Indent 2"/>
    <w:basedOn w:val="11"/>
    <w:link w:val="89"/>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unhideWhenUsed/>
    <w:qFormat/>
    <w:uiPriority w:val="99"/>
    <w:rPr>
      <w:color w:val="5579A7"/>
      <w:u w:val="none"/>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6"/>
    <w:link w:val="17"/>
    <w:qFormat/>
    <w:uiPriority w:val="99"/>
    <w:rPr>
      <w:sz w:val="18"/>
      <w:szCs w:val="18"/>
    </w:rPr>
  </w:style>
  <w:style w:type="character" w:customStyle="1" w:styleId="37">
    <w:name w:val="页脚 字符"/>
    <w:basedOn w:val="26"/>
    <w:link w:val="16"/>
    <w:qFormat/>
    <w:uiPriority w:val="99"/>
    <w:rPr>
      <w:sz w:val="18"/>
      <w:szCs w:val="18"/>
    </w:rPr>
  </w:style>
  <w:style w:type="character" w:customStyle="1" w:styleId="38">
    <w:name w:val="标题 1 字符"/>
    <w:basedOn w:val="26"/>
    <w:link w:val="2"/>
    <w:qFormat/>
    <w:uiPriority w:val="9"/>
    <w:rPr>
      <w:rFonts w:ascii="Times New Roman" w:hAnsi="Times New Roman" w:eastAsia="宋体" w:cs="Times New Roman"/>
      <w:b/>
      <w:bCs/>
      <w:kern w:val="44"/>
      <w:sz w:val="44"/>
      <w:szCs w:val="44"/>
    </w:rPr>
  </w:style>
  <w:style w:type="character" w:customStyle="1" w:styleId="39">
    <w:name w:val="标题 2 字符"/>
    <w:basedOn w:val="26"/>
    <w:link w:val="3"/>
    <w:qFormat/>
    <w:uiPriority w:val="9"/>
    <w:rPr>
      <w:rFonts w:ascii="Cambria" w:hAnsi="Cambria" w:eastAsia="宋体" w:cs="Times New Roman"/>
      <w:b/>
      <w:bCs/>
      <w:sz w:val="32"/>
      <w:szCs w:val="32"/>
    </w:rPr>
  </w:style>
  <w:style w:type="character" w:customStyle="1" w:styleId="40">
    <w:name w:val="标题 3 字符"/>
    <w:basedOn w:val="26"/>
    <w:link w:val="4"/>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8"/>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6"/>
    <w:qFormat/>
    <w:uiPriority w:val="0"/>
  </w:style>
  <w:style w:type="character" w:customStyle="1" w:styleId="47">
    <w:name w:val="正文缩进 字符"/>
    <w:link w:val="6"/>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6"/>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6"/>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3"/>
    <w:qFormat/>
    <w:uiPriority w:val="99"/>
    <w:rPr>
      <w:rFonts w:ascii="宋体" w:hAnsi="Courier New"/>
      <w:sz w:val="24"/>
      <w:szCs w:val="24"/>
    </w:rPr>
  </w:style>
  <w:style w:type="character" w:customStyle="1" w:styleId="57">
    <w:name w:val="批注主题 字符"/>
    <w:link w:val="21"/>
    <w:qFormat/>
    <w:uiPriority w:val="99"/>
    <w:rPr>
      <w:b/>
      <w:bCs/>
      <w:sz w:val="28"/>
      <w:szCs w:val="24"/>
    </w:rPr>
  </w:style>
  <w:style w:type="character" w:customStyle="1" w:styleId="58">
    <w:name w:val="jbox-icon-loading"/>
    <w:basedOn w:val="26"/>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6"/>
    <w:qFormat/>
    <w:uiPriority w:val="0"/>
  </w:style>
  <w:style w:type="character" w:customStyle="1" w:styleId="63">
    <w:name w:val="jbox-icon"/>
    <w:basedOn w:val="26"/>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6"/>
    <w:qFormat/>
    <w:uiPriority w:val="0"/>
  </w:style>
  <w:style w:type="character" w:customStyle="1" w:styleId="66">
    <w:name w:val="jbox-icon-success"/>
    <w:basedOn w:val="26"/>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6"/>
    <w:qFormat/>
    <w:uiPriority w:val="0"/>
  </w:style>
  <w:style w:type="character" w:customStyle="1" w:styleId="71">
    <w:name w:val="正文文本缩进 字符2"/>
    <w:link w:val="11"/>
    <w:qFormat/>
    <w:uiPriority w:val="0"/>
    <w:rPr>
      <w:rFonts w:ascii="宋体" w:hAnsi="Courier New"/>
      <w:spacing w:val="-4"/>
      <w:sz w:val="18"/>
    </w:rPr>
  </w:style>
  <w:style w:type="character" w:customStyle="1" w:styleId="72">
    <w:name w:val="jbox-icon-error"/>
    <w:basedOn w:val="26"/>
    <w:qFormat/>
    <w:uiPriority w:val="0"/>
  </w:style>
  <w:style w:type="character" w:customStyle="1" w:styleId="73">
    <w:name w:val="正文文本 2 字符"/>
    <w:basedOn w:val="26"/>
    <w:link w:val="19"/>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6"/>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字符1"/>
    <w:basedOn w:val="26"/>
    <w:link w:val="9"/>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6"/>
    <w:semiHidden/>
    <w:qFormat/>
    <w:uiPriority w:val="99"/>
    <w:rPr>
      <w:rFonts w:ascii="Microsoft YaHei UI" w:eastAsia="Microsoft YaHei UI"/>
      <w:sz w:val="18"/>
      <w:szCs w:val="18"/>
    </w:rPr>
  </w:style>
  <w:style w:type="character" w:customStyle="1" w:styleId="84">
    <w:name w:val="正文文本 字符"/>
    <w:basedOn w:val="26"/>
    <w:link w:val="10"/>
    <w:qFormat/>
    <w:uiPriority w:val="99"/>
    <w:rPr>
      <w:rFonts w:ascii="Times New Roman" w:hAnsi="Times New Roman" w:eastAsia="宋体" w:cs="Times New Roman"/>
      <w:sz w:val="28"/>
      <w:szCs w:val="24"/>
    </w:rPr>
  </w:style>
  <w:style w:type="character" w:customStyle="1" w:styleId="85">
    <w:name w:val="批注框文本 字符"/>
    <w:basedOn w:val="26"/>
    <w:link w:val="15"/>
    <w:qFormat/>
    <w:uiPriority w:val="0"/>
    <w:rPr>
      <w:rFonts w:ascii="Times New Roman" w:hAnsi="Times New Roman" w:eastAsia="宋体" w:cs="Times New Roman"/>
      <w:sz w:val="18"/>
      <w:szCs w:val="18"/>
    </w:rPr>
  </w:style>
  <w:style w:type="character" w:customStyle="1" w:styleId="86">
    <w:name w:val="正文文本缩进 字符3"/>
    <w:basedOn w:val="26"/>
    <w:semiHidden/>
    <w:qFormat/>
    <w:uiPriority w:val="99"/>
  </w:style>
  <w:style w:type="character" w:customStyle="1" w:styleId="87">
    <w:name w:val="日期 字符"/>
    <w:basedOn w:val="26"/>
    <w:link w:val="14"/>
    <w:qFormat/>
    <w:uiPriority w:val="0"/>
    <w:rPr>
      <w:rFonts w:ascii="Times New Roman" w:hAnsi="Times New Roman" w:eastAsia="楷体_GB2312" w:cs="Times New Roman"/>
      <w:sz w:val="32"/>
      <w:szCs w:val="20"/>
    </w:rPr>
  </w:style>
  <w:style w:type="character" w:customStyle="1" w:styleId="88">
    <w:name w:val="纯文本 字符3"/>
    <w:basedOn w:val="26"/>
    <w:semiHidden/>
    <w:qFormat/>
    <w:uiPriority w:val="99"/>
    <w:rPr>
      <w:rFonts w:hAnsi="Courier New" w:cs="Courier New" w:asciiTheme="minorEastAsia"/>
    </w:rPr>
  </w:style>
  <w:style w:type="character" w:customStyle="1" w:styleId="89">
    <w:name w:val="正文文本首行缩进 2 字符"/>
    <w:basedOn w:val="86"/>
    <w:link w:val="23"/>
    <w:qFormat/>
    <w:uiPriority w:val="99"/>
    <w:rPr>
      <w:rFonts w:ascii="宋体" w:hAnsi="Courier New"/>
      <w:spacing w:val="-4"/>
      <w:sz w:val="18"/>
    </w:rPr>
  </w:style>
  <w:style w:type="character" w:customStyle="1" w:styleId="90">
    <w:name w:val="z-窗体底端 字符1"/>
    <w:basedOn w:val="26"/>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link w:val="108"/>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3"/>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6"/>
    <w:semiHidden/>
    <w:unhideWhenUsed/>
    <w:qFormat/>
    <w:uiPriority w:val="99"/>
    <w:rPr>
      <w:color w:val="605E5C"/>
      <w:shd w:val="clear" w:color="auto" w:fill="E1DFDD"/>
    </w:rPr>
  </w:style>
  <w:style w:type="character" w:customStyle="1" w:styleId="107">
    <w:name w:val="Unresolved Mention"/>
    <w:basedOn w:val="26"/>
    <w:semiHidden/>
    <w:unhideWhenUsed/>
    <w:qFormat/>
    <w:uiPriority w:val="99"/>
    <w:rPr>
      <w:color w:val="605E5C"/>
      <w:shd w:val="clear" w:color="auto" w:fill="E1DFDD"/>
    </w:rPr>
  </w:style>
  <w:style w:type="character" w:customStyle="1" w:styleId="108">
    <w:name w:val="正文2 Char Char"/>
    <w:link w:val="99"/>
    <w:qFormat/>
    <w:uiPriority w:val="0"/>
    <w:rPr>
      <w:kern w:val="2"/>
      <w:sz w:val="24"/>
    </w:rPr>
  </w:style>
  <w:style w:type="table" w:customStyle="1" w:styleId="109">
    <w:name w:val="网格型1"/>
    <w:basedOn w:val="2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51</Pages>
  <Words>32172</Words>
  <Characters>33909</Characters>
  <Lines>1</Lines>
  <Paragraphs>1</Paragraphs>
  <TotalTime>58</TotalTime>
  <ScaleCrop>false</ScaleCrop>
  <LinksUpToDate>false</LinksUpToDate>
  <CharactersWithSpaces>34721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俞炳</cp:lastModifiedBy>
  <cp:lastPrinted>2022-10-31T00:58:00Z</cp:lastPrinted>
  <dcterms:modified xsi:type="dcterms:W3CDTF">2025-05-22T02:57:07Z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56AA2359C53347F7A9CABD1D77BE8A89_13</vt:lpwstr>
  </property>
  <property fmtid="{D5CDD505-2E9C-101B-9397-08002B2CF9AE}" pid="4" name="KSOTemplateDocerSaveRecord">
    <vt:lpwstr>eyJoZGlkIjoiNDA1NjJhY2YzNGY0NzY5M2ZmM2Y0ZjcwMmY2ODQ2YTYiLCJ1c2VySWQiOiIxNjEzNTQ4OTc4In0=</vt:lpwstr>
  </property>
</Properties>
</file>