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ascii="Times New Roman" w:hAnsi="Times New Roman" w:eastAsia="宋体" w:cs="Times New Roman"/>
          <w:b/>
          <w:sz w:val="24"/>
        </w:rPr>
      </w:pPr>
      <w:r>
        <w:rPr>
          <w:rFonts w:ascii="Times New Roman" w:hAnsi="Times New Roman" w:eastAsia="宋体" w:cs="Times New Roman"/>
          <w:b/>
          <w:sz w:val="24"/>
        </w:rPr>
        <w:t>供应商未中标情况说明</w:t>
      </w:r>
    </w:p>
    <w:p>
      <w:pPr>
        <w:spacing w:line="360" w:lineRule="auto"/>
        <w:rPr>
          <w:rFonts w:ascii="Times New Roman" w:hAnsi="Times New Roman" w:eastAsia="宋体" w:cs="Times New Roman"/>
          <w:b/>
          <w:sz w:val="24"/>
        </w:rPr>
      </w:pPr>
      <w:r>
        <w:rPr>
          <w:rFonts w:ascii="Times New Roman" w:hAnsi="Times New Roman" w:eastAsia="宋体" w:cs="Times New Roman"/>
          <w:b/>
          <w:sz w:val="24"/>
        </w:rPr>
        <w:t>标段编号：</w:t>
      </w:r>
      <w:r>
        <w:rPr>
          <w:rFonts w:hint="eastAsia" w:ascii="Times New Roman" w:hAnsi="Times New Roman" w:eastAsia="宋体" w:cs="Times New Roman"/>
          <w:b/>
          <w:sz w:val="24"/>
        </w:rPr>
        <w:t xml:space="preserve">CTZB-2024070014 </w:t>
      </w:r>
    </w:p>
    <w:p>
      <w:pPr>
        <w:spacing w:line="360" w:lineRule="auto"/>
        <w:rPr>
          <w:rFonts w:ascii="Times New Roman" w:hAnsi="Times New Roman" w:eastAsia="宋体" w:cs="Times New Roman"/>
          <w:b/>
          <w:sz w:val="24"/>
        </w:rPr>
      </w:pPr>
      <w:r>
        <w:rPr>
          <w:rFonts w:ascii="Times New Roman" w:hAnsi="Times New Roman" w:eastAsia="宋体" w:cs="Times New Roman"/>
          <w:b/>
          <w:sz w:val="24"/>
        </w:rPr>
        <w:t>标段名称：</w:t>
      </w:r>
      <w:r>
        <w:rPr>
          <w:rFonts w:hint="eastAsia" w:ascii="Times New Roman" w:hAnsi="Times New Roman" w:eastAsia="宋体" w:cs="Times New Roman"/>
          <w:b/>
          <w:sz w:val="24"/>
        </w:rPr>
        <w:t>杭州电子科技大学G区研究生公寓大门及车库出入口钢制安全棚安装工程（重新招标）</w:t>
      </w:r>
    </w:p>
    <w:p>
      <w:pPr>
        <w:spacing w:line="360" w:lineRule="auto"/>
        <w:rPr>
          <w:rFonts w:ascii="Times New Roman" w:hAnsi="Times New Roman" w:eastAsia="宋体" w:cs="Times New Roman"/>
          <w:sz w:val="24"/>
        </w:rPr>
      </w:pPr>
      <w:r>
        <w:rPr>
          <w:rFonts w:hint="eastAsia" w:ascii="Times New Roman" w:hAnsi="Times New Roman" w:eastAsia="宋体" w:cs="Times New Roman"/>
          <w:sz w:val="24"/>
        </w:rPr>
        <w:t>标项一：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83"/>
        <w:gridCol w:w="3710"/>
        <w:gridCol w:w="339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2" w:hRule="atLeast"/>
        </w:trPr>
        <w:tc>
          <w:tcPr>
            <w:tcW w:w="1183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b/>
                <w:sz w:val="24"/>
              </w:rPr>
            </w:pPr>
            <w:r>
              <w:rPr>
                <w:rFonts w:ascii="Times New Roman" w:hAnsi="Times New Roman" w:eastAsia="宋体" w:cs="Times New Roman"/>
                <w:b/>
                <w:sz w:val="24"/>
              </w:rPr>
              <w:t>序号</w:t>
            </w:r>
          </w:p>
        </w:tc>
        <w:tc>
          <w:tcPr>
            <w:tcW w:w="3710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b/>
                <w:sz w:val="24"/>
              </w:rPr>
            </w:pPr>
            <w:r>
              <w:rPr>
                <w:rFonts w:ascii="Times New Roman" w:hAnsi="Times New Roman" w:eastAsia="宋体" w:cs="Times New Roman"/>
                <w:b/>
                <w:sz w:val="24"/>
              </w:rPr>
              <w:t>单位名称</w:t>
            </w:r>
          </w:p>
        </w:tc>
        <w:tc>
          <w:tcPr>
            <w:tcW w:w="3397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b/>
                <w:sz w:val="24"/>
              </w:rPr>
            </w:pPr>
            <w:r>
              <w:rPr>
                <w:rFonts w:ascii="Times New Roman" w:hAnsi="Times New Roman" w:eastAsia="宋体" w:cs="Times New Roman"/>
                <w:b/>
                <w:sz w:val="24"/>
              </w:rPr>
              <w:t>未中标理由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1183" w:type="dxa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sz w:val="24"/>
              </w:rPr>
            </w:pPr>
            <w:r>
              <w:rPr>
                <w:rFonts w:ascii="宋体" w:hAnsi="宋体" w:eastAsia="宋体" w:cs="Times New Roman"/>
                <w:sz w:val="24"/>
              </w:rPr>
              <w:t>1</w:t>
            </w:r>
          </w:p>
        </w:tc>
        <w:tc>
          <w:tcPr>
            <w:tcW w:w="3710" w:type="dxa"/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河南潮前建设有限公司</w:t>
            </w:r>
          </w:p>
        </w:tc>
        <w:tc>
          <w:tcPr>
            <w:tcW w:w="3397" w:type="dxa"/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总分66.78分，排名第2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1183" w:type="dxa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2</w:t>
            </w:r>
          </w:p>
        </w:tc>
        <w:tc>
          <w:tcPr>
            <w:tcW w:w="3710" w:type="dxa"/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浙江凡诚建设有限公司</w:t>
            </w:r>
          </w:p>
        </w:tc>
        <w:tc>
          <w:tcPr>
            <w:tcW w:w="3397" w:type="dxa"/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总分63.22</w:t>
            </w:r>
            <w:bookmarkStart w:id="0" w:name="_GoBack"/>
            <w:bookmarkEnd w:id="0"/>
            <w:r>
              <w:rPr>
                <w:rFonts w:hint="eastAsia" w:ascii="宋体" w:hAnsi="宋体" w:eastAsia="宋体" w:cs="Times New Roman"/>
                <w:sz w:val="24"/>
              </w:rPr>
              <w:t>分，排名第3</w:t>
            </w:r>
          </w:p>
        </w:tc>
      </w:tr>
    </w:tbl>
    <w:p>
      <w:pPr>
        <w:rPr>
          <w:rFonts w:ascii="Times New Roman" w:hAnsi="Times New Roman" w:eastAsia="宋体" w:cs="Times New Roman"/>
          <w:sz w:val="24"/>
        </w:rPr>
      </w:pPr>
    </w:p>
    <w:sectPr>
      <w:pgSz w:w="11900" w:h="16840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DA1YjJhMDZjYWIyMmQwZmM0OTlmZDViOGUxNTE5MTUifQ=="/>
  </w:docVars>
  <w:rsids>
    <w:rsidRoot w:val="00BB4DE2"/>
    <w:rsid w:val="00032AD1"/>
    <w:rsid w:val="00044B56"/>
    <w:rsid w:val="00063329"/>
    <w:rsid w:val="00071F88"/>
    <w:rsid w:val="00081506"/>
    <w:rsid w:val="000A66C3"/>
    <w:rsid w:val="000D0570"/>
    <w:rsid w:val="001464C3"/>
    <w:rsid w:val="001D54B7"/>
    <w:rsid w:val="001F7FAB"/>
    <w:rsid w:val="002300FD"/>
    <w:rsid w:val="002445FC"/>
    <w:rsid w:val="00264457"/>
    <w:rsid w:val="002D7097"/>
    <w:rsid w:val="00331C14"/>
    <w:rsid w:val="003400DF"/>
    <w:rsid w:val="00434AE6"/>
    <w:rsid w:val="004B19D0"/>
    <w:rsid w:val="004D615E"/>
    <w:rsid w:val="004E16AB"/>
    <w:rsid w:val="00507446"/>
    <w:rsid w:val="00512EC5"/>
    <w:rsid w:val="0057369C"/>
    <w:rsid w:val="006A72AA"/>
    <w:rsid w:val="00733865"/>
    <w:rsid w:val="00743F50"/>
    <w:rsid w:val="0076461C"/>
    <w:rsid w:val="007B67B6"/>
    <w:rsid w:val="007D6DFB"/>
    <w:rsid w:val="007E34E7"/>
    <w:rsid w:val="0084367F"/>
    <w:rsid w:val="008F43D6"/>
    <w:rsid w:val="008F5C72"/>
    <w:rsid w:val="00934B99"/>
    <w:rsid w:val="009D58A1"/>
    <w:rsid w:val="00A16A93"/>
    <w:rsid w:val="00A3330A"/>
    <w:rsid w:val="00AD15F6"/>
    <w:rsid w:val="00B17320"/>
    <w:rsid w:val="00B3445D"/>
    <w:rsid w:val="00B95C3A"/>
    <w:rsid w:val="00BB4DE2"/>
    <w:rsid w:val="00C90B6B"/>
    <w:rsid w:val="00D06678"/>
    <w:rsid w:val="00D321C7"/>
    <w:rsid w:val="00D42A62"/>
    <w:rsid w:val="00D7668A"/>
    <w:rsid w:val="00E14E0D"/>
    <w:rsid w:val="00E448DA"/>
    <w:rsid w:val="00E553A0"/>
    <w:rsid w:val="00E56EC3"/>
    <w:rsid w:val="00E857CA"/>
    <w:rsid w:val="00EE1BEC"/>
    <w:rsid w:val="00F6165A"/>
    <w:rsid w:val="00FD0427"/>
    <w:rsid w:val="09506C64"/>
    <w:rsid w:val="0BE81911"/>
    <w:rsid w:val="119D6F55"/>
    <w:rsid w:val="1C45761F"/>
    <w:rsid w:val="20D51274"/>
    <w:rsid w:val="2CD93B70"/>
    <w:rsid w:val="303216F4"/>
    <w:rsid w:val="345F0EE0"/>
    <w:rsid w:val="39245FC7"/>
    <w:rsid w:val="3A2D0E52"/>
    <w:rsid w:val="3C162977"/>
    <w:rsid w:val="42B615CB"/>
    <w:rsid w:val="49C820BA"/>
    <w:rsid w:val="4A587175"/>
    <w:rsid w:val="5A681A1B"/>
    <w:rsid w:val="5CD00C10"/>
    <w:rsid w:val="5FA77D73"/>
    <w:rsid w:val="60BA67A8"/>
    <w:rsid w:val="68030E0A"/>
    <w:rsid w:val="79384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autoRedefine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Hyperlink"/>
    <w:basedOn w:val="6"/>
    <w:semiHidden/>
    <w:unhideWhenUsed/>
    <w:qFormat/>
    <w:uiPriority w:val="99"/>
    <w:rPr>
      <w:color w:val="0000FF"/>
      <w:u w:val="single"/>
    </w:rPr>
  </w:style>
  <w:style w:type="character" w:customStyle="1" w:styleId="8">
    <w:name w:val="页眉 字符"/>
    <w:basedOn w:val="6"/>
    <w:link w:val="3"/>
    <w:qFormat/>
    <w:uiPriority w:val="99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9">
    <w:name w:val="页脚 字符"/>
    <w:basedOn w:val="6"/>
    <w:link w:val="2"/>
    <w:autoRedefine/>
    <w:qFormat/>
    <w:uiPriority w:val="99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237</Words>
  <Characters>268</Characters>
  <Lines>2</Lines>
  <Paragraphs>1</Paragraphs>
  <TotalTime>4</TotalTime>
  <ScaleCrop>false</ScaleCrop>
  <LinksUpToDate>false</LinksUpToDate>
  <CharactersWithSpaces>268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2021-12-03T06:29:00Z</dcterms:created>
  <dc:creator>Microsoft Office User</dc:creator>
  <cp:lastModifiedBy>Dryad</cp:lastModifiedBy>
  <dcterms:modified xsi:type="dcterms:W3CDTF">2024-07-11T07:26:25Z</dcterms:modified>
  <cp:revision>20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7B62387BD0024AB4BFB8EE5680C79D73_13</vt:lpwstr>
  </property>
</Properties>
</file>