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余杭区2023年科创研学服务</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项目名称：余杭区2023年科创研学服务</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项目编号：QSZB-Z(F)-B23378(CS)</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[2023]66236号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余杭区2023年科创研学服务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2023年</w:t>
      </w:r>
      <w:r>
        <w:rPr>
          <w:rFonts w:hint="eastAsia"/>
          <w:b/>
          <w:color w:val="auto"/>
          <w:sz w:val="21"/>
          <w:szCs w:val="21"/>
          <w:highlight w:val="none"/>
          <w:u w:val="single"/>
          <w:lang w:eastAsia="zh-CN"/>
        </w:rPr>
        <w:t>10月13日</w:t>
      </w:r>
      <w:r>
        <w:rPr>
          <w:rFonts w:hint="eastAsia"/>
          <w:b/>
          <w:color w:val="auto"/>
          <w:sz w:val="21"/>
          <w:szCs w:val="21"/>
          <w:highlight w:val="none"/>
          <w:u w:val="single"/>
        </w:rPr>
        <w:t xml:space="preserve">9:00:00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02"/>
      <w:bookmarkStart w:id="1" w:name="_Toc35393790"/>
      <w:bookmarkStart w:id="2" w:name="_Toc28359079"/>
      <w:bookmarkStart w:id="3" w:name="_Toc35393621"/>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rPr>
        <w:t>QSZB-Z(F)-B23378(CS)</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项目名称：余杭区2023年科创研学服务</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预算金额（元）：480000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最高限价（元）：480000</w:t>
      </w:r>
    </w:p>
    <w:p>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合同履约期限：自</w:t>
      </w:r>
      <w:r>
        <w:rPr>
          <w:rFonts w:hint="eastAsia"/>
          <w:color w:val="auto"/>
          <w:spacing w:val="-6"/>
          <w:sz w:val="21"/>
          <w:szCs w:val="21"/>
          <w:highlight w:val="none"/>
        </w:rPr>
        <w:t>合同签订之日起</w:t>
      </w:r>
      <w:r>
        <w:rPr>
          <w:rFonts w:hint="eastAsia"/>
          <w:color w:val="auto"/>
          <w:spacing w:val="-6"/>
          <w:sz w:val="21"/>
          <w:szCs w:val="21"/>
          <w:highlight w:val="none"/>
          <w:lang w:val="en-US" w:eastAsia="zh-CN"/>
        </w:rPr>
        <w:t>至2024年2月28日，具体时间安排以采购人通知为准</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2"/>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余杭区2023年科创研学服务</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项</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否</w:t>
            </w:r>
          </w:p>
        </w:tc>
      </w:tr>
    </w:tbl>
    <w:p>
      <w:pPr>
        <w:adjustRightInd w:val="0"/>
        <w:snapToGrid w:val="0"/>
        <w:spacing w:line="288" w:lineRule="auto"/>
        <w:rPr>
          <w:b/>
          <w:color w:val="auto"/>
          <w:sz w:val="21"/>
          <w:szCs w:val="21"/>
          <w:highlight w:val="none"/>
        </w:rPr>
      </w:pPr>
      <w:bookmarkStart w:id="5" w:name="_Toc28359003"/>
      <w:bookmarkStart w:id="6" w:name="_Toc28359080"/>
      <w:bookmarkStart w:id="7" w:name="_Toc35393791"/>
      <w:bookmarkStart w:id="8" w:name="_Toc35393622"/>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本项目整体专门面向中小企业采购。服务由中小企业承接，即提供服务的人员为中小企业依照《中华人民共和国劳动合同法》订立劳动合同的从业人员）。监狱企业、残疾人福利性单位视同小型、微型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82"/>
      <w:bookmarkStart w:id="14" w:name="_Toc28359005"/>
      <w:bookmarkStart w:id="15" w:name="_Toc35393624"/>
      <w:bookmarkStart w:id="16" w:name="_Toc35393793"/>
      <w:r>
        <w:rPr>
          <w:rFonts w:hint="eastAsia"/>
          <w:color w:val="auto"/>
          <w:sz w:val="21"/>
          <w:szCs w:val="21"/>
          <w:highlight w:val="none"/>
        </w:rPr>
        <w:t>时间：2023年</w:t>
      </w:r>
      <w:r>
        <w:rPr>
          <w:rFonts w:hint="eastAsia"/>
          <w:color w:val="auto"/>
          <w:sz w:val="21"/>
          <w:szCs w:val="21"/>
          <w:highlight w:val="none"/>
          <w:lang w:val="en-US" w:eastAsia="zh-CN"/>
        </w:rPr>
        <w:t>9</w:t>
      </w:r>
      <w:r>
        <w:rPr>
          <w:rFonts w:hint="eastAsia"/>
          <w:color w:val="auto"/>
          <w:sz w:val="21"/>
          <w:szCs w:val="21"/>
          <w:highlight w:val="none"/>
        </w:rPr>
        <w:t>月</w:t>
      </w:r>
      <w:r>
        <w:rPr>
          <w:rFonts w:hint="eastAsia"/>
          <w:color w:val="auto"/>
          <w:sz w:val="21"/>
          <w:szCs w:val="21"/>
          <w:highlight w:val="none"/>
          <w:lang w:val="en-US" w:eastAsia="zh-CN"/>
        </w:rPr>
        <w:t>28</w:t>
      </w:r>
      <w:r>
        <w:rPr>
          <w:rFonts w:hint="eastAsia"/>
          <w:color w:val="auto"/>
          <w:sz w:val="21"/>
          <w:szCs w:val="21"/>
          <w:highlight w:val="none"/>
        </w:rPr>
        <w:t>日至2023年</w:t>
      </w:r>
      <w:r>
        <w:rPr>
          <w:rFonts w:hint="eastAsia"/>
          <w:color w:val="auto"/>
          <w:sz w:val="21"/>
          <w:szCs w:val="21"/>
          <w:highlight w:val="none"/>
          <w:lang w:eastAsia="zh-CN"/>
        </w:rPr>
        <w:t>10月13日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截止时间：2023年</w:t>
      </w:r>
      <w:r>
        <w:rPr>
          <w:rFonts w:hint="eastAsia"/>
          <w:bCs/>
          <w:color w:val="auto"/>
          <w:sz w:val="21"/>
          <w:szCs w:val="21"/>
          <w:highlight w:val="none"/>
          <w:lang w:eastAsia="zh-CN"/>
        </w:rPr>
        <w:t>10月13日</w:t>
      </w:r>
      <w:r>
        <w:rPr>
          <w:rFonts w:hint="eastAsia"/>
          <w:bCs/>
          <w:color w:val="auto"/>
          <w:sz w:val="21"/>
          <w:szCs w:val="21"/>
          <w:highlight w:val="none"/>
        </w:rPr>
        <w:t>9:00:00（北京时间）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28359084"/>
      <w:bookmarkStart w:id="18" w:name="_Toc28359007"/>
      <w:bookmarkStart w:id="19" w:name="_Toc35393625"/>
      <w:bookmarkStart w:id="20" w:name="_Toc3539379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开启时间：2023年</w:t>
      </w:r>
      <w:r>
        <w:rPr>
          <w:rFonts w:hint="eastAsia"/>
          <w:bCs/>
          <w:color w:val="auto"/>
          <w:sz w:val="21"/>
          <w:szCs w:val="21"/>
          <w:highlight w:val="none"/>
          <w:lang w:eastAsia="zh-CN"/>
        </w:rPr>
        <w:t>10月13日</w:t>
      </w:r>
      <w:r>
        <w:rPr>
          <w:rFonts w:hint="eastAsia"/>
          <w:bCs/>
          <w:color w:val="auto"/>
          <w:sz w:val="21"/>
          <w:szCs w:val="21"/>
          <w:highlight w:val="none"/>
        </w:rPr>
        <w:t>9:00:00（北京时间）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/杭州市西湖区玉古路173号中田大厦16楼（求是招标会议室</w:t>
      </w:r>
      <w:r>
        <w:rPr>
          <w:rFonts w:hint="eastAsia" w:cs="Times New Roman"/>
          <w:color w:val="auto"/>
          <w:sz w:val="21"/>
          <w:szCs w:val="21"/>
          <w:highlight w:val="none"/>
          <w:lang w:val="en-US" w:eastAsia="zh-CN"/>
        </w:rPr>
        <w:t>7</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35393627"/>
      <w:bookmarkStart w:id="24" w:name="_Toc35393796"/>
      <w:bookmarkStart w:id="25" w:name="_Toc28359085"/>
      <w:bookmarkStart w:id="26" w:name="_Toc28359008"/>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项目联系人（询问）：赵老师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项目联系方式（询问）：18258222262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名称：杭州电子科技大学国有资产与实验室管理处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联系人：亓老师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监督投诉电话：0571-87713574</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政策咨询：何一平、冯华，0571-87058424、87055741</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预算金额未达100万元的采购项目，由采购人处理采购争议。</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212"/>
        <w:gridCol w:w="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b/>
                <w:bCs/>
                <w:color w:val="auto"/>
                <w:sz w:val="21"/>
                <w:szCs w:val="21"/>
                <w:highlight w:val="none"/>
              </w:rPr>
            </w:pPr>
            <w:bookmarkStart w:id="28" w:name="_Hlk45005599"/>
            <w:r>
              <w:rPr>
                <w:rFonts w:hint="eastAsia"/>
                <w:b/>
                <w:bCs/>
                <w:color w:val="auto"/>
                <w:sz w:val="21"/>
                <w:szCs w:val="21"/>
                <w:highlight w:val="none"/>
              </w:rPr>
              <w:t>序号</w:t>
            </w:r>
          </w:p>
        </w:tc>
        <w:tc>
          <w:tcPr>
            <w:tcW w:w="3212" w:type="dxa"/>
            <w:vAlign w:val="center"/>
          </w:tcPr>
          <w:p>
            <w:pPr>
              <w:adjustRightInd w:val="0"/>
              <w:snapToGrid w:val="0"/>
              <w:jc w:val="left"/>
              <w:rPr>
                <w:b/>
                <w:bCs/>
                <w:color w:val="auto"/>
                <w:sz w:val="21"/>
                <w:szCs w:val="21"/>
                <w:highlight w:val="none"/>
              </w:rPr>
            </w:pPr>
            <w:r>
              <w:rPr>
                <w:rFonts w:hint="eastAsia"/>
                <w:b/>
                <w:bCs/>
                <w:color w:val="auto"/>
                <w:sz w:val="21"/>
                <w:szCs w:val="21"/>
                <w:highlight w:val="none"/>
              </w:rPr>
              <w:t>政策名称</w:t>
            </w:r>
          </w:p>
        </w:tc>
        <w:tc>
          <w:tcPr>
            <w:tcW w:w="5698" w:type="dxa"/>
            <w:vAlign w:val="center"/>
          </w:tcPr>
          <w:p>
            <w:pPr>
              <w:adjustRightInd w:val="0"/>
              <w:snapToGrid w:val="0"/>
              <w:jc w:val="left"/>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b/>
                <w:bCs/>
                <w:color w:val="auto"/>
                <w:sz w:val="21"/>
                <w:szCs w:val="21"/>
                <w:highlight w:val="none"/>
              </w:rPr>
            </w:pPr>
            <w:r>
              <w:rPr>
                <w:rFonts w:hint="eastAsia"/>
                <w:color w:val="auto"/>
                <w:sz w:val="21"/>
                <w:szCs w:val="21"/>
                <w:highlight w:val="none"/>
              </w:rPr>
              <w:t>1</w:t>
            </w:r>
          </w:p>
        </w:tc>
        <w:tc>
          <w:tcPr>
            <w:tcW w:w="3212" w:type="dxa"/>
            <w:vAlign w:val="center"/>
          </w:tcPr>
          <w:p>
            <w:pPr>
              <w:adjustRightInd w:val="0"/>
              <w:snapToGrid w:val="0"/>
              <w:jc w:val="left"/>
              <w:rPr>
                <w:b/>
                <w:bCs/>
                <w:color w:val="auto"/>
                <w:sz w:val="21"/>
                <w:szCs w:val="21"/>
                <w:highlight w:val="none"/>
              </w:rPr>
            </w:pPr>
            <w:r>
              <w:rPr>
                <w:rFonts w:hint="eastAsia"/>
                <w:color w:val="auto"/>
                <w:sz w:val="21"/>
                <w:szCs w:val="21"/>
                <w:highlight w:val="none"/>
              </w:rPr>
              <w:t>政府采购进口产品</w:t>
            </w:r>
          </w:p>
        </w:tc>
        <w:tc>
          <w:tcPr>
            <w:tcW w:w="5698" w:type="dxa"/>
            <w:vAlign w:val="center"/>
          </w:tcPr>
          <w:p>
            <w:pPr>
              <w:adjustRightInd w:val="0"/>
              <w:snapToGrid w:val="0"/>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b/>
                <w:bCs/>
                <w:color w:val="auto"/>
                <w:sz w:val="21"/>
                <w:szCs w:val="21"/>
                <w:highlight w:val="none"/>
              </w:rPr>
            </w:pPr>
            <w:r>
              <w:rPr>
                <w:rFonts w:hint="eastAsia"/>
                <w:color w:val="auto"/>
                <w:sz w:val="21"/>
                <w:szCs w:val="21"/>
                <w:highlight w:val="none"/>
              </w:rPr>
              <w:t>2</w:t>
            </w:r>
          </w:p>
        </w:tc>
        <w:tc>
          <w:tcPr>
            <w:tcW w:w="3212" w:type="dxa"/>
            <w:vAlign w:val="center"/>
          </w:tcPr>
          <w:p>
            <w:pPr>
              <w:adjustRightInd w:val="0"/>
              <w:snapToGrid w:val="0"/>
              <w:jc w:val="left"/>
              <w:rPr>
                <w:b/>
                <w:bCs/>
                <w:color w:val="auto"/>
                <w:sz w:val="21"/>
                <w:szCs w:val="21"/>
                <w:highlight w:val="none"/>
              </w:rPr>
            </w:pPr>
            <w:r>
              <w:rPr>
                <w:rFonts w:hint="eastAsia"/>
                <w:color w:val="auto"/>
                <w:sz w:val="21"/>
                <w:szCs w:val="21"/>
                <w:highlight w:val="none"/>
              </w:rPr>
              <w:t>政府强制采购节能产品</w:t>
            </w:r>
          </w:p>
        </w:tc>
        <w:tc>
          <w:tcPr>
            <w:tcW w:w="5698" w:type="dxa"/>
            <w:vAlign w:val="center"/>
          </w:tcPr>
          <w:p>
            <w:pPr>
              <w:adjustRightInd w:val="0"/>
              <w:snapToGrid w:val="0"/>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b/>
                <w:bCs/>
                <w:color w:val="auto"/>
                <w:sz w:val="21"/>
                <w:szCs w:val="21"/>
                <w:highlight w:val="none"/>
              </w:rPr>
            </w:pPr>
            <w:r>
              <w:rPr>
                <w:rFonts w:hint="eastAsia"/>
                <w:color w:val="auto"/>
                <w:sz w:val="21"/>
                <w:szCs w:val="21"/>
                <w:highlight w:val="none"/>
              </w:rPr>
              <w:t>3</w:t>
            </w:r>
          </w:p>
        </w:tc>
        <w:tc>
          <w:tcPr>
            <w:tcW w:w="3212" w:type="dxa"/>
            <w:vAlign w:val="center"/>
          </w:tcPr>
          <w:p>
            <w:pPr>
              <w:adjustRightInd w:val="0"/>
              <w:snapToGrid w:val="0"/>
              <w:jc w:val="left"/>
              <w:rPr>
                <w:b/>
                <w:bCs/>
                <w:color w:val="auto"/>
                <w:sz w:val="21"/>
                <w:szCs w:val="21"/>
                <w:highlight w:val="none"/>
              </w:rPr>
            </w:pPr>
            <w:r>
              <w:rPr>
                <w:rFonts w:hint="eastAsia"/>
                <w:color w:val="auto"/>
                <w:sz w:val="21"/>
                <w:szCs w:val="21"/>
                <w:highlight w:val="none"/>
              </w:rPr>
              <w:t>政府优先采购节能、环保产品</w:t>
            </w:r>
          </w:p>
        </w:tc>
        <w:tc>
          <w:tcPr>
            <w:tcW w:w="5698" w:type="dxa"/>
            <w:vAlign w:val="center"/>
          </w:tcPr>
          <w:p>
            <w:pPr>
              <w:adjustRightInd w:val="0"/>
              <w:snapToGrid w:val="0"/>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color w:val="auto"/>
                <w:sz w:val="21"/>
                <w:szCs w:val="21"/>
                <w:highlight w:val="none"/>
              </w:rPr>
            </w:pPr>
            <w:r>
              <w:rPr>
                <w:rFonts w:hint="eastAsia"/>
                <w:color w:val="auto"/>
                <w:sz w:val="21"/>
                <w:szCs w:val="21"/>
                <w:highlight w:val="none"/>
              </w:rPr>
              <w:t>4</w:t>
            </w:r>
          </w:p>
        </w:tc>
        <w:tc>
          <w:tcPr>
            <w:tcW w:w="3212" w:type="dxa"/>
            <w:vAlign w:val="center"/>
          </w:tcPr>
          <w:p>
            <w:pPr>
              <w:adjustRightInd w:val="0"/>
              <w:snapToGrid w:val="0"/>
              <w:jc w:val="left"/>
              <w:rPr>
                <w:color w:val="auto"/>
                <w:sz w:val="21"/>
                <w:szCs w:val="18"/>
                <w:highlight w:val="none"/>
              </w:rPr>
            </w:pPr>
            <w:r>
              <w:rPr>
                <w:rFonts w:hint="eastAsia"/>
                <w:color w:val="auto"/>
                <w:sz w:val="21"/>
                <w:szCs w:val="18"/>
                <w:highlight w:val="none"/>
              </w:rPr>
              <w:t>政府采购支持科技创新</w:t>
            </w:r>
          </w:p>
        </w:tc>
        <w:tc>
          <w:tcPr>
            <w:tcW w:w="5698" w:type="dxa"/>
            <w:vAlign w:val="center"/>
          </w:tcPr>
          <w:p>
            <w:pPr>
              <w:adjustRightInd w:val="0"/>
              <w:snapToGrid w:val="0"/>
              <w:jc w:val="left"/>
              <w:rPr>
                <w:color w:val="auto"/>
                <w:sz w:val="21"/>
                <w:szCs w:val="18"/>
                <w:highlight w:val="none"/>
              </w:rPr>
            </w:pPr>
            <w:r>
              <w:rPr>
                <w:rFonts w:hint="eastAsia"/>
                <w:color w:val="auto"/>
                <w:sz w:val="21"/>
                <w:szCs w:val="18"/>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b/>
                <w:bCs/>
                <w:color w:val="auto"/>
                <w:sz w:val="21"/>
                <w:szCs w:val="21"/>
                <w:highlight w:val="none"/>
              </w:rPr>
            </w:pPr>
            <w:r>
              <w:rPr>
                <w:rFonts w:hint="eastAsia"/>
                <w:color w:val="auto"/>
                <w:sz w:val="21"/>
                <w:szCs w:val="21"/>
                <w:highlight w:val="none"/>
              </w:rPr>
              <w:t>5</w:t>
            </w:r>
          </w:p>
        </w:tc>
        <w:tc>
          <w:tcPr>
            <w:tcW w:w="3212" w:type="dxa"/>
            <w:vAlign w:val="center"/>
          </w:tcPr>
          <w:p>
            <w:pPr>
              <w:adjustRightInd w:val="0"/>
              <w:snapToGrid w:val="0"/>
              <w:jc w:val="left"/>
              <w:rPr>
                <w:color w:val="auto"/>
                <w:sz w:val="21"/>
                <w:szCs w:val="21"/>
                <w:highlight w:val="none"/>
              </w:rPr>
            </w:pPr>
            <w:r>
              <w:rPr>
                <w:rFonts w:hint="eastAsia"/>
                <w:color w:val="auto"/>
                <w:sz w:val="21"/>
                <w:szCs w:val="21"/>
                <w:highlight w:val="none"/>
              </w:rPr>
              <w:t>政府采购促进中小企业发展</w:t>
            </w:r>
          </w:p>
        </w:tc>
        <w:tc>
          <w:tcPr>
            <w:tcW w:w="5698" w:type="dxa"/>
            <w:vAlign w:val="center"/>
          </w:tcPr>
          <w:p>
            <w:pPr>
              <w:adjustRightInd w:val="0"/>
              <w:snapToGrid w:val="0"/>
              <w:jc w:val="left"/>
              <w:rPr>
                <w:color w:val="auto"/>
                <w:sz w:val="21"/>
                <w:szCs w:val="21"/>
                <w:highlight w:val="none"/>
              </w:rPr>
            </w:pPr>
            <w:r>
              <w:rPr>
                <w:rFonts w:hint="eastAsia"/>
                <w:color w:val="auto"/>
                <w:sz w:val="21"/>
                <w:szCs w:val="21"/>
                <w:highlight w:val="none"/>
              </w:rPr>
              <w:t>提供材料详见磋商文件第六章“资格文件”</w:t>
            </w:r>
          </w:p>
          <w:p>
            <w:pPr>
              <w:adjustRightInd w:val="0"/>
              <w:snapToGrid w:val="0"/>
              <w:jc w:val="left"/>
              <w:rPr>
                <w:rFonts w:cs="Times New Roman"/>
                <w:b/>
                <w:bCs/>
                <w:color w:val="auto"/>
                <w:sz w:val="21"/>
                <w:szCs w:val="21"/>
                <w:highlight w:val="none"/>
              </w:rPr>
            </w:pPr>
            <w:r>
              <w:rPr>
                <w:rFonts w:hint="eastAsia" w:cs="Times New Roman"/>
                <w:b/>
                <w:bCs/>
                <w:color w:val="auto"/>
                <w:sz w:val="21"/>
                <w:szCs w:val="21"/>
                <w:highlight w:val="none"/>
              </w:rPr>
              <w:t>本项目属性为：服务</w:t>
            </w:r>
          </w:p>
          <w:p>
            <w:pPr>
              <w:adjustRightInd w:val="0"/>
              <w:snapToGrid w:val="0"/>
              <w:jc w:val="left"/>
              <w:rPr>
                <w:rFonts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采购标的对应的中小企业划分标准所属行业：其他未列明行业</w:t>
            </w:r>
          </w:p>
          <w:p>
            <w:pPr>
              <w:adjustRightInd w:val="0"/>
              <w:snapToGrid w:val="0"/>
              <w:jc w:val="left"/>
              <w:rPr>
                <w:b/>
                <w:bCs/>
                <w:color w:val="auto"/>
                <w:sz w:val="21"/>
                <w:szCs w:val="21"/>
                <w:highlight w:val="none"/>
              </w:rPr>
            </w:pPr>
            <w:r>
              <w:rPr>
                <w:rFonts w:hint="eastAsia" w:cs="Times New Roman"/>
                <w:b/>
                <w:bCs/>
                <w:color w:val="auto"/>
                <w:sz w:val="21"/>
                <w:szCs w:val="21"/>
                <w:highlight w:val="none"/>
              </w:rPr>
              <w:t>中小企业划型标准：从业人员300人以下的为中小微型企业。其中，从业人员100人及以上的为中型企业；从业人员10人及以上的为小型企业；从业人员10人以下的为微型企业。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color w:val="auto"/>
                <w:sz w:val="21"/>
                <w:szCs w:val="21"/>
                <w:highlight w:val="none"/>
              </w:rPr>
            </w:pPr>
            <w:r>
              <w:rPr>
                <w:rFonts w:hint="eastAsia"/>
                <w:color w:val="auto"/>
                <w:sz w:val="21"/>
                <w:szCs w:val="21"/>
                <w:highlight w:val="none"/>
              </w:rPr>
              <w:t>6</w:t>
            </w:r>
          </w:p>
        </w:tc>
        <w:tc>
          <w:tcPr>
            <w:tcW w:w="3212" w:type="dxa"/>
            <w:vAlign w:val="center"/>
          </w:tcPr>
          <w:p>
            <w:pPr>
              <w:adjustRightInd w:val="0"/>
              <w:snapToGrid w:val="0"/>
              <w:jc w:val="left"/>
              <w:rPr>
                <w:color w:val="auto"/>
                <w:sz w:val="21"/>
                <w:szCs w:val="21"/>
                <w:highlight w:val="none"/>
              </w:rPr>
            </w:pPr>
            <w:r>
              <w:rPr>
                <w:rFonts w:hint="eastAsia"/>
                <w:color w:val="auto"/>
                <w:sz w:val="21"/>
                <w:szCs w:val="21"/>
                <w:highlight w:val="none"/>
              </w:rPr>
              <w:t>政府采购支持监狱企业发展</w:t>
            </w:r>
          </w:p>
        </w:tc>
        <w:tc>
          <w:tcPr>
            <w:tcW w:w="5698" w:type="dxa"/>
            <w:vAlign w:val="center"/>
          </w:tcPr>
          <w:p>
            <w:pPr>
              <w:adjustRightInd w:val="0"/>
              <w:snapToGrid w:val="0"/>
              <w:jc w:val="left"/>
              <w:rPr>
                <w:rFonts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jc w:val="left"/>
              <w:rPr>
                <w:color w:val="auto"/>
                <w:sz w:val="21"/>
                <w:szCs w:val="21"/>
                <w:highlight w:val="none"/>
              </w:rPr>
            </w:pPr>
            <w:r>
              <w:rPr>
                <w:rFonts w:hint="eastAsia"/>
                <w:color w:val="auto"/>
                <w:sz w:val="21"/>
                <w:szCs w:val="21"/>
                <w:highlight w:val="none"/>
              </w:rPr>
              <w:t>7</w:t>
            </w:r>
          </w:p>
        </w:tc>
        <w:tc>
          <w:tcPr>
            <w:tcW w:w="3212" w:type="dxa"/>
            <w:vAlign w:val="center"/>
          </w:tcPr>
          <w:p>
            <w:pPr>
              <w:adjustRightInd w:val="0"/>
              <w:snapToGrid w:val="0"/>
              <w:jc w:val="left"/>
              <w:rPr>
                <w:color w:val="auto"/>
                <w:sz w:val="21"/>
                <w:szCs w:val="21"/>
                <w:highlight w:val="none"/>
              </w:rPr>
            </w:pPr>
            <w:r>
              <w:rPr>
                <w:rFonts w:hint="eastAsia"/>
                <w:color w:val="auto"/>
                <w:sz w:val="21"/>
                <w:szCs w:val="21"/>
                <w:highlight w:val="none"/>
              </w:rPr>
              <w:t>政府采购促进残疾人就业</w:t>
            </w:r>
          </w:p>
        </w:tc>
        <w:tc>
          <w:tcPr>
            <w:tcW w:w="5698" w:type="dxa"/>
            <w:vAlign w:val="center"/>
          </w:tcPr>
          <w:p>
            <w:pPr>
              <w:adjustRightInd w:val="0"/>
              <w:snapToGrid w:val="0"/>
              <w:jc w:val="left"/>
              <w:rPr>
                <w:color w:val="auto"/>
                <w:sz w:val="21"/>
                <w:szCs w:val="21"/>
                <w:highlight w:val="none"/>
              </w:rPr>
            </w:pPr>
            <w:r>
              <w:rPr>
                <w:rFonts w:hint="eastAsia"/>
                <w:color w:val="auto"/>
                <w:sz w:val="21"/>
                <w:szCs w:val="21"/>
                <w:highlight w:val="none"/>
              </w:rPr>
              <w:t>提供材料详见磋商文件第六章“资格文件”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rPr>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adjustRightInd w:val="0"/>
              <w:snapToGrid w:val="0"/>
              <w:rPr>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p>
          <w:p>
            <w:pPr>
              <w:adjustRightInd w:val="0"/>
              <w:snapToGrid w:val="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rPr>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1.合同生效以及具备实施条件后7个工作日内，且供应商已向采购人提交银行、保险公司等金融机构出具的预付款保函的，采购人向供应商支付合同总价的20%；项目履约完成并经采购人验收合格后，采购人在收到发票后7个工作日内，向供应商支付合同总价的80%。</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2.在签订合同时，供应商明确表示无需预付款或者主动要求降低预付款比例的，可降低预付款比例（预付款保函同步调整）。</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3.成交方需提供增值税专用发票，开票信息如下：</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jc w:val="left"/>
              <w:rPr>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w:t>
      </w:r>
    </w:p>
    <w:p>
      <w:pPr>
        <w:adjustRightInd w:val="0"/>
        <w:snapToGrid w:val="0"/>
        <w:spacing w:line="288" w:lineRule="auto"/>
        <w:ind w:firstLine="422" w:firstLineChars="200"/>
        <w:rPr>
          <w:color w:val="auto"/>
          <w:sz w:val="21"/>
          <w:szCs w:val="21"/>
          <w:highlight w:val="none"/>
        </w:rPr>
      </w:pPr>
      <w:r>
        <w:rPr>
          <w:rFonts w:hint="eastAsia"/>
          <w:b/>
          <w:bCs/>
          <w:color w:val="auto"/>
          <w:sz w:val="21"/>
          <w:szCs w:val="21"/>
          <w:highlight w:val="none"/>
        </w:rPr>
        <w:t>1.项目背景</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lang w:bidi="zh-CN"/>
        </w:rPr>
      </w:pPr>
      <w:r>
        <w:rPr>
          <w:rFonts w:hint="eastAsia"/>
          <w:color w:val="auto"/>
          <w:sz w:val="21"/>
          <w:szCs w:val="21"/>
          <w:highlight w:val="none"/>
          <w:lang w:bidi="zh-CN"/>
        </w:rPr>
        <w:t>余杭区科创教育研究院是杭州电子科技大学与杭州市余杭区教育局共建的科创教育项目，在余杭区原有的科创教育1.0版本基础上，依托杭州电子科技大学在科技的资源优势，结合余杭区在科创教育、平台建设方面的基础，进一步强化理论探索和实践提升，优化人才培优拔尖机制，打造余杭区科创教育2.0版本。</w:t>
      </w:r>
    </w:p>
    <w:p>
      <w:pPr>
        <w:adjustRightInd w:val="0"/>
        <w:snapToGrid w:val="0"/>
        <w:spacing w:line="288" w:lineRule="auto"/>
        <w:ind w:firstLine="420" w:firstLineChars="200"/>
        <w:rPr>
          <w:color w:val="auto"/>
          <w:sz w:val="21"/>
          <w:szCs w:val="21"/>
          <w:highlight w:val="none"/>
          <w:lang w:bidi="zh-CN"/>
        </w:rPr>
      </w:pPr>
      <w:r>
        <w:rPr>
          <w:rFonts w:hint="eastAsia"/>
          <w:color w:val="auto"/>
          <w:sz w:val="21"/>
          <w:szCs w:val="21"/>
          <w:highlight w:val="none"/>
          <w:lang w:bidi="zh-CN"/>
        </w:rPr>
        <w:t>余杭区科创教育研究院作为余杭区的区级教学单位，面向余杭区在校中小学生开展机器人、无人机、程序设计、创意产品设计、数字媒体艺术和创新思维六大类课程，以访学课、冬夏令营课、社团课等不同形式开展。科创研学作为以上课程的重要补充，以科技体验探索为主体内容，开展以研究性学习和旅行体验相结合的校外教育活动，进一步提升学生科创素养。余杭区科创教育研究院为此成立学生发展交流中心，负责为余杭区学生提供优质的研学服务，同时也为杭州电子科技大学的在校学生提供社会实践的机会，锻炼实际工作能力和应急应变能力。</w:t>
      </w:r>
    </w:p>
    <w:p>
      <w:pPr>
        <w:adjustRightInd w:val="0"/>
        <w:snapToGrid w:val="0"/>
        <w:spacing w:line="288" w:lineRule="auto"/>
        <w:ind w:firstLine="422" w:firstLineChars="200"/>
        <w:rPr>
          <w:color w:val="auto"/>
          <w:sz w:val="21"/>
          <w:szCs w:val="21"/>
          <w:highlight w:val="none"/>
        </w:rPr>
      </w:pPr>
      <w:r>
        <w:rPr>
          <w:rFonts w:hint="eastAsia"/>
          <w:b/>
          <w:color w:val="auto"/>
          <w:sz w:val="21"/>
          <w:szCs w:val="21"/>
          <w:highlight w:val="none"/>
        </w:rPr>
        <w:t>2.研学对象：</w:t>
      </w:r>
      <w:r>
        <w:rPr>
          <w:rFonts w:hint="eastAsia"/>
          <w:color w:val="auto"/>
          <w:sz w:val="21"/>
          <w:szCs w:val="21"/>
          <w:highlight w:val="none"/>
          <w:lang w:bidi="zh-CN"/>
        </w:rPr>
        <w:t>余杭区公民办中小学三年级以上在籍学生；</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3.研学批次与班级数：</w:t>
      </w:r>
      <w:r>
        <w:rPr>
          <w:rFonts w:hint="eastAsia"/>
          <w:bCs/>
          <w:color w:val="auto"/>
          <w:sz w:val="21"/>
          <w:szCs w:val="21"/>
          <w:highlight w:val="none"/>
        </w:rPr>
        <w:t>共4个批次，每批次2个班；</w:t>
      </w:r>
    </w:p>
    <w:p>
      <w:pPr>
        <w:adjustRightInd w:val="0"/>
        <w:snapToGrid w:val="0"/>
        <w:spacing w:line="288" w:lineRule="auto"/>
        <w:ind w:firstLine="422" w:firstLineChars="200"/>
        <w:rPr>
          <w:rFonts w:hint="eastAsia" w:eastAsia="宋体"/>
          <w:b/>
          <w:color w:val="auto"/>
          <w:sz w:val="21"/>
          <w:szCs w:val="21"/>
          <w:highlight w:val="none"/>
          <w:lang w:eastAsia="zh-CN"/>
        </w:rPr>
      </w:pPr>
      <w:r>
        <w:rPr>
          <w:rFonts w:hint="eastAsia"/>
          <w:b/>
          <w:color w:val="auto"/>
          <w:sz w:val="21"/>
          <w:szCs w:val="21"/>
          <w:highlight w:val="none"/>
        </w:rPr>
        <w:t>4.研学时间：</w:t>
      </w:r>
      <w:r>
        <w:rPr>
          <w:rFonts w:hint="eastAsia"/>
          <w:b w:val="0"/>
          <w:bCs/>
          <w:color w:val="auto"/>
          <w:sz w:val="21"/>
          <w:szCs w:val="21"/>
          <w:highlight w:val="none"/>
        </w:rPr>
        <w:t>自合同签订之日起至2024年2月28日，具体时间安排以采购人通知为准</w:t>
      </w:r>
      <w:r>
        <w:rPr>
          <w:rFonts w:hint="eastAsia"/>
          <w:b w:val="0"/>
          <w:bCs/>
          <w:color w:val="auto"/>
          <w:sz w:val="21"/>
          <w:szCs w:val="21"/>
          <w:highlight w:val="none"/>
          <w:lang w:eastAsia="zh-CN"/>
        </w:rPr>
        <w:t>；</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5.研学时长和对应人数：</w:t>
      </w:r>
    </w:p>
    <w:p>
      <w:pPr>
        <w:adjustRightInd w:val="0"/>
        <w:snapToGrid w:val="0"/>
        <w:spacing w:line="288" w:lineRule="auto"/>
        <w:ind w:firstLine="420" w:firstLineChars="200"/>
        <w:rPr>
          <w:bCs/>
          <w:color w:val="auto"/>
          <w:sz w:val="21"/>
          <w:szCs w:val="21"/>
          <w:highlight w:val="none"/>
          <w:lang w:eastAsia="zh-Hans"/>
        </w:rPr>
      </w:pPr>
      <w:r>
        <w:rPr>
          <w:rFonts w:hint="eastAsia"/>
          <w:bCs/>
          <w:color w:val="auto"/>
          <w:sz w:val="21"/>
          <w:szCs w:val="21"/>
          <w:highlight w:val="none"/>
        </w:rPr>
        <w:t>（1）3天2晚研学3批次，</w:t>
      </w:r>
      <w:r>
        <w:rPr>
          <w:rFonts w:hint="eastAsia"/>
          <w:bCs/>
          <w:color w:val="auto"/>
          <w:sz w:val="21"/>
          <w:szCs w:val="21"/>
          <w:highlight w:val="none"/>
          <w:lang w:eastAsia="zh-Hans"/>
        </w:rPr>
        <w:t>16人/班；</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（2）2天1晚研学1批次，24人/班；</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6.其他要求：</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（1）大学生实习招募：成交供应商负责招收8人次/批次的杭州电子科技大学在校学生负责研学活动的相关工作，并按250元/人/天的标准给予劳务费；</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（2）大学生培训：围绕研学活动中各类工作事项，面向大学生组织每人3次的培训，并组织相应的考核；</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7.研学线路级课程要求：</w:t>
      </w:r>
    </w:p>
    <w:p>
      <w:pPr>
        <w:tabs>
          <w:tab w:val="left" w:pos="0"/>
        </w:tabs>
        <w:adjustRightInd w:val="0"/>
        <w:spacing w:line="288" w:lineRule="auto"/>
        <w:ind w:firstLine="420" w:firstLineChars="200"/>
        <w:rPr>
          <w:bCs/>
          <w:color w:val="auto"/>
          <w:sz w:val="21"/>
          <w:szCs w:val="21"/>
          <w:highlight w:val="none"/>
        </w:rPr>
      </w:pPr>
      <w:r>
        <w:rPr>
          <w:rFonts w:hint="eastAsia"/>
          <w:bCs/>
          <w:color w:val="auto"/>
          <w:sz w:val="21"/>
          <w:szCs w:val="21"/>
          <w:highlight w:val="none"/>
        </w:rPr>
        <w:t>（1）研学路线开发：完成4条不同主题的研学路线开发；</w:t>
      </w:r>
    </w:p>
    <w:p>
      <w:pPr>
        <w:tabs>
          <w:tab w:val="left" w:pos="0"/>
        </w:tabs>
        <w:adjustRightInd w:val="0"/>
        <w:spacing w:line="288" w:lineRule="auto"/>
        <w:ind w:firstLine="420" w:firstLineChars="200"/>
        <w:rPr>
          <w:bCs/>
          <w:color w:val="auto"/>
          <w:sz w:val="21"/>
          <w:szCs w:val="21"/>
          <w:highlight w:val="none"/>
        </w:rPr>
      </w:pPr>
      <w:r>
        <w:rPr>
          <w:rFonts w:hint="eastAsia"/>
          <w:bCs/>
          <w:color w:val="auto"/>
          <w:sz w:val="21"/>
          <w:szCs w:val="21"/>
          <w:highlight w:val="none"/>
        </w:rPr>
        <w:t>（2）研学课程开发：完成10门原创型研学课程，每门课程时长2课时；</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8.师资和班级管理要求：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（1）供应商必须每班安排一位专业的研学指导教师作为该班级研学负责人，全程陪同，并配备符合研学课程安排的活动设施设备器材，研学活动开展期间做好相关警示和防护工作；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（2）合理安排研学学生、带队教师及驾乘人员的住宿问题，确保安全；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（3）研学活动时必须提供专职管理团队人员及联系方式，方便沟通联系；</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9.培训服务要求：</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1208"/>
        <w:gridCol w:w="7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 w:hRule="atLeast"/>
          <w:jc w:val="center"/>
        </w:trPr>
        <w:tc>
          <w:tcPr>
            <w:tcW w:w="646" w:type="dxa"/>
            <w:vAlign w:val="center"/>
          </w:tcPr>
          <w:p>
            <w:pPr>
              <w:adjustRightInd w:val="0"/>
              <w:snapToGrid w:val="0"/>
              <w:jc w:val="center"/>
              <w:rPr>
                <w:b/>
                <w:color w:val="auto"/>
                <w:sz w:val="21"/>
                <w:szCs w:val="21"/>
                <w:highlight w:val="none"/>
              </w:rPr>
            </w:pPr>
            <w:r>
              <w:rPr>
                <w:rFonts w:hint="eastAsia"/>
                <w:b/>
                <w:color w:val="auto"/>
                <w:sz w:val="21"/>
                <w:szCs w:val="21"/>
                <w:highlight w:val="none"/>
              </w:rPr>
              <w:t>序号</w:t>
            </w:r>
          </w:p>
        </w:tc>
        <w:tc>
          <w:tcPr>
            <w:tcW w:w="1208" w:type="dxa"/>
            <w:vAlign w:val="center"/>
          </w:tcPr>
          <w:p>
            <w:pPr>
              <w:adjustRightInd w:val="0"/>
              <w:snapToGrid w:val="0"/>
              <w:jc w:val="center"/>
              <w:rPr>
                <w:b/>
                <w:color w:val="auto"/>
                <w:sz w:val="21"/>
                <w:szCs w:val="21"/>
                <w:highlight w:val="none"/>
              </w:rPr>
            </w:pPr>
            <w:r>
              <w:rPr>
                <w:rFonts w:hint="eastAsia"/>
                <w:b/>
                <w:color w:val="auto"/>
                <w:sz w:val="21"/>
                <w:szCs w:val="21"/>
                <w:highlight w:val="none"/>
              </w:rPr>
              <w:t>服务分项</w:t>
            </w:r>
          </w:p>
        </w:tc>
        <w:tc>
          <w:tcPr>
            <w:tcW w:w="7774" w:type="dxa"/>
            <w:vAlign w:val="center"/>
          </w:tcPr>
          <w:p>
            <w:pPr>
              <w:adjustRightInd w:val="0"/>
              <w:snapToGrid w:val="0"/>
              <w:jc w:val="center"/>
              <w:rPr>
                <w:b/>
                <w:color w:val="auto"/>
                <w:sz w:val="21"/>
                <w:szCs w:val="21"/>
                <w:highlight w:val="none"/>
              </w:rPr>
            </w:pPr>
            <w:r>
              <w:rPr>
                <w:rFonts w:hint="eastAsia"/>
                <w:b/>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jc w:val="center"/>
        </w:trPr>
        <w:tc>
          <w:tcPr>
            <w:tcW w:w="646" w:type="dxa"/>
            <w:vMerge w:val="restart"/>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1208" w:type="dxa"/>
            <w:vMerge w:val="restart"/>
            <w:vAlign w:val="center"/>
          </w:tcPr>
          <w:p>
            <w:pPr>
              <w:adjustRightInd w:val="0"/>
              <w:snapToGrid w:val="0"/>
              <w:jc w:val="center"/>
              <w:rPr>
                <w:color w:val="auto"/>
                <w:sz w:val="21"/>
                <w:szCs w:val="21"/>
                <w:highlight w:val="none"/>
              </w:rPr>
            </w:pPr>
            <w:r>
              <w:rPr>
                <w:rFonts w:hint="eastAsia"/>
                <w:color w:val="auto"/>
                <w:sz w:val="21"/>
                <w:szCs w:val="21"/>
                <w:highlight w:val="none"/>
              </w:rPr>
              <w:t>人员要求</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安排1名需具有相关工作经验与组织能力的项目负责人，负责培训方案制定、组织实施、协调资源。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46" w:type="dxa"/>
            <w:vMerge w:val="continue"/>
            <w:vAlign w:val="center"/>
          </w:tcPr>
          <w:p>
            <w:pPr>
              <w:adjustRightInd w:val="0"/>
              <w:snapToGrid w:val="0"/>
              <w:jc w:val="center"/>
              <w:rPr>
                <w:color w:val="auto"/>
                <w:sz w:val="21"/>
                <w:szCs w:val="21"/>
                <w:highlight w:val="none"/>
              </w:rPr>
            </w:pPr>
          </w:p>
        </w:tc>
        <w:tc>
          <w:tcPr>
            <w:tcW w:w="1208" w:type="dxa"/>
            <w:vMerge w:val="continue"/>
            <w:vAlign w:val="center"/>
          </w:tcPr>
          <w:p>
            <w:pPr>
              <w:adjustRightInd w:val="0"/>
              <w:snapToGrid w:val="0"/>
              <w:jc w:val="center"/>
              <w:rPr>
                <w:color w:val="auto"/>
                <w:sz w:val="21"/>
                <w:szCs w:val="21"/>
                <w:highlight w:val="none"/>
              </w:rPr>
            </w:pP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配合采购人做好本班学员的通知、研学期间的组织管理等，落实1名专职班主任负责跟班管理工作（要求在培训期间该班主任不得同时兼任其他研学班级管理工作），班级管理经验丰富，有日常教学、学员管理、学员结业等方面的规章制度和落实，保证良好的教学秩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学习资料</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提供合理的研学手册及研学活动所需设施设备。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2"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3</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学员食宿</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研学活动开展期间，供应商应无限量提供饮用水（费用包含在本项目总价中），确保安全的餐饮条件，为学生提供优质的餐饮服务（餐费由学生自行承担），并为驾乘人员、采购方老师提供符合标准的优质中餐。住宿要求每两人1间，不低于四星级或同级，干净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4</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交通安排</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1.需提供学员及工作人员在培训期间的大巴服务，城际交通除外（不少于50座，要求为三年内新车，车况好，驾驶员驾龄不低于3年，技术娴熟,未有安全事故）。</w:t>
            </w:r>
            <w:r>
              <w:rPr>
                <w:rFonts w:hint="eastAsia"/>
                <w:b/>
                <w:bCs/>
                <w:color w:val="auto"/>
                <w:sz w:val="21"/>
                <w:szCs w:val="21"/>
                <w:highlight w:val="none"/>
              </w:rPr>
              <w:t>2.响应文件中须提供车队合作协议及车队资质，包括但不限于车队购买保险、驾照、行驶证复印件等。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5</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文字摄像</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全程摄影摄像跟踪拍摄并及时进行图片直播，活动结束后整理剪辑相关宣传短片。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6</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管理制度</w:t>
            </w:r>
          </w:p>
        </w:tc>
        <w:tc>
          <w:tcPr>
            <w:tcW w:w="7774" w:type="dxa"/>
            <w:vAlign w:val="center"/>
          </w:tcPr>
          <w:p>
            <w:pPr>
              <w:adjustRightInd w:val="0"/>
              <w:snapToGrid w:val="0"/>
              <w:rPr>
                <w:rFonts w:hint="eastAsia" w:eastAsia="宋体"/>
                <w:color w:val="auto"/>
                <w:sz w:val="21"/>
                <w:szCs w:val="21"/>
                <w:highlight w:val="none"/>
                <w:lang w:eastAsia="zh-CN"/>
              </w:rPr>
            </w:pPr>
            <w:r>
              <w:rPr>
                <w:rFonts w:hint="eastAsia"/>
                <w:color w:val="auto"/>
                <w:sz w:val="21"/>
                <w:szCs w:val="21"/>
                <w:highlight w:val="none"/>
              </w:rPr>
              <w:t>供应商应明确各项岗位职责，建立经营管理制度、安全管理体系：包括组织机构、各类应急预案等</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1"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7</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购买意外险</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为学员购买意外险（不低于50万/人）</w:t>
            </w:r>
          </w:p>
        </w:tc>
      </w:tr>
    </w:tbl>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本磋商文件适用于杭州电子科技大学余杭区2023年科创研学服务的磋商、评审、成交、验收、合同履约、付款等（法律、法规另有规定的，从其规定）。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▲1.供应商代表是法定代表人（单位负责人、自然人本人）的，须提供本人身份证明。</w:t>
            </w:r>
          </w:p>
          <w:p>
            <w:pPr>
              <w:adjustRightInd w:val="0"/>
              <w:snapToGrid w:val="0"/>
              <w:spacing w:line="288" w:lineRule="auto"/>
              <w:rPr>
                <w:color w:val="auto"/>
                <w:sz w:val="21"/>
                <w:szCs w:val="21"/>
                <w:highlight w:val="none"/>
              </w:rPr>
            </w:pPr>
            <w:r>
              <w:rPr>
                <w:color w:val="auto"/>
                <w:sz w:val="21"/>
                <w:szCs w:val="21"/>
                <w:highlight w:val="none"/>
              </w:rPr>
              <w:t>▲2.供应商代表不是法定代表人（单位负责人、自然人本人）的，须提供授权委托书（格式详见磋商文件第六章）和授权代表社保缴纳证明（</w:t>
            </w:r>
            <w:r>
              <w:rPr>
                <w:rFonts w:hint="eastAsia"/>
                <w:color w:val="auto"/>
                <w:sz w:val="21"/>
                <w:szCs w:val="21"/>
                <w:highlight w:val="none"/>
              </w:rPr>
              <w:t>2022年12月</w:t>
            </w:r>
            <w:r>
              <w:rPr>
                <w:color w:val="auto"/>
                <w:sz w:val="21"/>
                <w:szCs w:val="21"/>
                <w:highlight w:val="none"/>
              </w:rPr>
              <w:t>（含）以后任意一月）；</w:t>
            </w:r>
          </w:p>
          <w:p>
            <w:pPr>
              <w:adjustRightInd w:val="0"/>
              <w:snapToGrid w:val="0"/>
              <w:spacing w:line="288" w:lineRule="auto"/>
              <w:rPr>
                <w:color w:val="auto"/>
                <w:sz w:val="21"/>
                <w:szCs w:val="21"/>
                <w:highlight w:val="none"/>
              </w:rPr>
            </w:pPr>
            <w:r>
              <w:rPr>
                <w:color w:val="auto"/>
                <w:sz w:val="21"/>
                <w:szCs w:val="21"/>
                <w:highlight w:val="none"/>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0"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代理服务费收费标准（差额累进）：成交金额的1.05%，不足3000元的按3000元计。</w:t>
            </w:r>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lang w:bidi="ar"/>
              </w:rPr>
              <w:t>2.本项目</w:t>
            </w:r>
            <w:r>
              <w:rPr>
                <w:rFonts w:hint="eastAsia"/>
                <w:b/>
                <w:color w:val="auto"/>
                <w:sz w:val="21"/>
                <w:szCs w:val="21"/>
                <w:highlight w:val="none"/>
                <w:u w:val="single"/>
                <w:lang w:bidi="ar"/>
              </w:rPr>
              <w:t>允许</w:t>
            </w:r>
            <w:r>
              <w:rPr>
                <w:rFonts w:hint="eastAsia"/>
                <w:color w:val="auto"/>
                <w:sz w:val="21"/>
                <w:szCs w:val="21"/>
                <w:highlight w:val="none"/>
                <w:lang w:bidi="ar"/>
              </w:rPr>
              <w:t>分包，可以分包履行的（非主体、非关键性的工作）具体内容、金额或者比例：</w:t>
            </w:r>
            <w:r>
              <w:rPr>
                <w:rFonts w:hint="eastAsia"/>
                <w:color w:val="auto"/>
                <w:sz w:val="21"/>
                <w:szCs w:val="21"/>
                <w:highlight w:val="none"/>
                <w:u w:val="single"/>
                <w:lang w:bidi="ar"/>
              </w:rPr>
              <w:t>交通运输。</w:t>
            </w:r>
          </w:p>
          <w:p>
            <w:pPr>
              <w:rPr>
                <w:color w:val="auto"/>
                <w:sz w:val="21"/>
                <w:szCs w:val="21"/>
                <w:highlight w:val="none"/>
              </w:rPr>
            </w:pPr>
            <w:r>
              <w:rPr>
                <w:rFonts w:hint="eastAsia"/>
                <w:color w:val="auto"/>
                <w:sz w:val="21"/>
                <w:szCs w:val="21"/>
                <w:highlight w:val="none"/>
                <w:lang w:bidi="ar"/>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1"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1"/>
          </w:p>
          <w:p>
            <w:pPr>
              <w:adjustRightInd w:val="0"/>
              <w:snapToGrid w:val="0"/>
              <w:spacing w:line="288" w:lineRule="auto"/>
              <w:rPr>
                <w:color w:val="auto"/>
                <w:sz w:val="21"/>
                <w:szCs w:val="21"/>
                <w:highlight w:val="none"/>
              </w:rPr>
            </w:pPr>
            <w:r>
              <w:rPr>
                <w:rFonts w:hint="eastAsia"/>
                <w:bCs/>
                <w:color w:val="auto"/>
                <w:sz w:val="21"/>
                <w:szCs w:val="21"/>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中小企业声明函（若属于中小企业）</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属于监狱企业的证明文件（若属于监狱企业）</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残疾人福利性单位声明函（若属于残疾人福利性单位）</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本磋商文件适用于杭州电子科技大学余杭区2023年科创研学服务的磋商、评审、成交、验收、合同履约、付款等（法律、法规另有规定的，从其规定）。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代理服务费收费标准：成交金额的1.05%，不足3000元的按3000元计。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bidi="ar"/>
        </w:rPr>
        <w:t>2.本项目</w:t>
      </w:r>
      <w:r>
        <w:rPr>
          <w:rFonts w:hint="eastAsia"/>
          <w:b/>
          <w:color w:val="auto"/>
          <w:sz w:val="21"/>
          <w:szCs w:val="21"/>
          <w:highlight w:val="none"/>
          <w:u w:val="single"/>
          <w:lang w:bidi="ar"/>
        </w:rPr>
        <w:t>允许</w:t>
      </w:r>
      <w:r>
        <w:rPr>
          <w:rFonts w:hint="eastAsia"/>
          <w:color w:val="auto"/>
          <w:sz w:val="21"/>
          <w:szCs w:val="21"/>
          <w:highlight w:val="none"/>
          <w:lang w:bidi="ar"/>
        </w:rPr>
        <w:t>分包，可以分包履行的（非主体、非关键性的工作）具体内容、金额或者比例：</w:t>
      </w:r>
      <w:r>
        <w:rPr>
          <w:rFonts w:hint="eastAsia"/>
          <w:color w:val="auto"/>
          <w:sz w:val="21"/>
          <w:szCs w:val="21"/>
          <w:highlight w:val="none"/>
          <w:u w:val="single"/>
          <w:lang w:bidi="ar"/>
        </w:rPr>
        <w:t>交通运输。</w:t>
      </w:r>
    </w:p>
    <w:p>
      <w:pPr>
        <w:adjustRightInd w:val="0"/>
        <w:snapToGrid w:val="0"/>
        <w:spacing w:line="288" w:lineRule="auto"/>
        <w:ind w:firstLine="420" w:firstLineChars="200"/>
        <w:outlineLvl w:val="2"/>
        <w:rPr>
          <w:color w:val="auto"/>
          <w:sz w:val="21"/>
          <w:szCs w:val="21"/>
          <w:highlight w:val="none"/>
          <w:lang w:bidi="ar"/>
        </w:rPr>
      </w:pPr>
      <w:r>
        <w:rPr>
          <w:rFonts w:hint="eastAsia"/>
          <w:color w:val="auto"/>
          <w:sz w:val="21"/>
          <w:szCs w:val="21"/>
          <w:highlight w:val="none"/>
          <w:lang w:bidi="ar"/>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2" w:name="_Hlk92273406"/>
      <w:bookmarkStart w:id="33"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2"/>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color w:val="auto"/>
          <w:spacing w:val="-6"/>
          <w:kern w:val="0"/>
          <w:sz w:val="21"/>
          <w:szCs w:val="21"/>
          <w:highlight w:val="none"/>
        </w:rPr>
      </w:pPr>
      <w:bookmarkStart w:id="34"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4"/>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5" w:name="_Hlk96329193"/>
      <w:r>
        <w:rPr>
          <w:rFonts w:hint="eastAsia"/>
          <w:color w:val="auto"/>
          <w:sz w:val="21"/>
          <w:szCs w:val="21"/>
          <w:highlight w:val="none"/>
        </w:rPr>
        <w:t>，供应商应写全称。</w:t>
      </w:r>
      <w:bookmarkEnd w:id="35"/>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（2）未提供或未按要求提供投标函、授权委托书；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（3）委托授权代表参加投标但未提供符合要求的授权代表社保缴纳证明；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color w:val="auto"/>
                <w:sz w:val="21"/>
                <w:szCs w:val="21"/>
                <w:highlight w:val="none"/>
              </w:rPr>
            </w:pPr>
            <w:bookmarkStart w:id="37" w:name="_Hlk117025274"/>
            <w:r>
              <w:rPr>
                <w:rFonts w:hint="eastAsia"/>
                <w:b/>
                <w:bCs/>
                <w:color w:val="auto"/>
                <w:sz w:val="21"/>
                <w:szCs w:val="21"/>
                <w:highlight w:val="none"/>
              </w:rPr>
              <w:t>评审因素</w:t>
            </w:r>
          </w:p>
        </w:tc>
        <w:tc>
          <w:tcPr>
            <w:tcW w:w="66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分值</w:t>
            </w:r>
          </w:p>
        </w:tc>
        <w:tc>
          <w:tcPr>
            <w:tcW w:w="776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价格分（10）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color w:val="auto"/>
                <w:sz w:val="21"/>
                <w:szCs w:val="21"/>
                <w:highlight w:val="none"/>
              </w:rPr>
            </w:pPr>
            <w:r>
              <w:rPr>
                <w:rFonts w:hint="eastAsia"/>
                <w:b/>
                <w:color w:val="auto"/>
                <w:sz w:val="21"/>
                <w:szCs w:val="21"/>
                <w:highlight w:val="none"/>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color w:val="auto"/>
                <w:sz w:val="21"/>
                <w:szCs w:val="21"/>
                <w:highlight w:val="none"/>
              </w:rPr>
            </w:pPr>
            <w:r>
              <w:rPr>
                <w:rFonts w:hint="eastAsia"/>
                <w:b/>
                <w:color w:val="auto"/>
                <w:sz w:val="21"/>
                <w:szCs w:val="21"/>
                <w:highlight w:val="none"/>
                <w:lang w:bidi="ar"/>
              </w:rPr>
              <w:t>10</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rPr>
                <w:color w:val="auto"/>
                <w:sz w:val="21"/>
                <w:szCs w:val="21"/>
                <w:highlight w:val="none"/>
              </w:rPr>
            </w:pPr>
            <w:r>
              <w:rPr>
                <w:rFonts w:hint="eastAsia"/>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pPr>
              <w:adjustRightInd w:val="0"/>
              <w:snapToGrid w:val="0"/>
              <w:rPr>
                <w:color w:val="auto"/>
                <w:sz w:val="21"/>
                <w:szCs w:val="21"/>
                <w:highlight w:val="none"/>
              </w:rPr>
            </w:pPr>
            <w:r>
              <w:rPr>
                <w:rFonts w:hint="eastAsia"/>
                <w:color w:val="auto"/>
                <w:sz w:val="21"/>
                <w:szCs w:val="21"/>
                <w:highlight w:val="none"/>
                <w:lang w:bidi="ar"/>
              </w:rPr>
              <w:t>磋商报价得分=（磋商基准价/最后磋商报价）×10%×100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商务分（1）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06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6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7764"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【客观分】响应方自2020年1月1日以来（以合同签订时间为准）同类合同业绩（以提供的完整合同扫描件为准）：每提供1份合同业绩得1分，最高得</w:t>
            </w:r>
            <w:r>
              <w:rPr>
                <w:rFonts w:hint="eastAsia"/>
                <w:color w:val="auto"/>
                <w:sz w:val="21"/>
                <w:szCs w:val="21"/>
                <w:highlight w:val="none"/>
                <w:lang w:val="en-US" w:eastAsia="zh-CN"/>
              </w:rPr>
              <w:t>1</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技术分（89）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服务响应程度</w:t>
            </w:r>
          </w:p>
        </w:tc>
        <w:tc>
          <w:tcPr>
            <w:tcW w:w="66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35</w:t>
            </w:r>
          </w:p>
        </w:tc>
        <w:tc>
          <w:tcPr>
            <w:tcW w:w="7764"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【客观分】不符合（负偏离）技术要求中标注“</w:t>
            </w:r>
            <w:bookmarkStart w:id="38" w:name="_Hlk117025051"/>
            <w:r>
              <w:rPr>
                <w:rFonts w:hint="eastAsia"/>
                <w:color w:val="auto"/>
                <w:sz w:val="21"/>
                <w:szCs w:val="21"/>
                <w:highlight w:val="none"/>
              </w:rPr>
              <w:t>▲</w:t>
            </w:r>
            <w:bookmarkEnd w:id="38"/>
            <w:r>
              <w:rPr>
                <w:rFonts w:hint="eastAsia"/>
                <w:color w:val="auto"/>
                <w:sz w:val="21"/>
                <w:szCs w:val="21"/>
                <w:highlight w:val="none"/>
              </w:rPr>
              <w:t>”条款（不可偏离）的响应无效；</w:t>
            </w:r>
          </w:p>
          <w:p>
            <w:pPr>
              <w:adjustRightInd w:val="0"/>
              <w:snapToGrid w:val="0"/>
              <w:spacing w:line="288" w:lineRule="auto"/>
              <w:rPr>
                <w:color w:val="auto"/>
                <w:sz w:val="21"/>
                <w:szCs w:val="21"/>
                <w:highlight w:val="none"/>
              </w:rPr>
            </w:pPr>
            <w:r>
              <w:rPr>
                <w:rFonts w:hint="eastAsia"/>
                <w:color w:val="auto"/>
                <w:sz w:val="21"/>
                <w:szCs w:val="21"/>
                <w:highlight w:val="none"/>
              </w:rPr>
              <w:t>满足磋商文件明确的全部服务要求的该项得满分；</w:t>
            </w:r>
          </w:p>
          <w:p>
            <w:pPr>
              <w:adjustRightInd w:val="0"/>
              <w:snapToGrid w:val="0"/>
              <w:spacing w:line="288" w:lineRule="auto"/>
              <w:rPr>
                <w:color w:val="auto"/>
                <w:sz w:val="21"/>
                <w:szCs w:val="21"/>
                <w:highlight w:val="none"/>
              </w:rPr>
            </w:pPr>
            <w:r>
              <w:rPr>
                <w:rFonts w:hint="eastAsia"/>
                <w:color w:val="auto"/>
                <w:sz w:val="21"/>
                <w:szCs w:val="21"/>
                <w:highlight w:val="none"/>
              </w:rPr>
              <w:t>响应条款低于服务要求（负偏离）的，每项扣5分；</w:t>
            </w:r>
          </w:p>
          <w:p>
            <w:pPr>
              <w:adjustRightInd w:val="0"/>
              <w:snapToGrid w:val="0"/>
              <w:spacing w:line="288" w:lineRule="auto"/>
              <w:rPr>
                <w:color w:val="auto"/>
                <w:sz w:val="21"/>
                <w:szCs w:val="21"/>
                <w:highlight w:val="none"/>
              </w:rPr>
            </w:pPr>
            <w:r>
              <w:rPr>
                <w:rFonts w:hint="eastAsia"/>
                <w:color w:val="auto"/>
                <w:sz w:val="21"/>
                <w:szCs w:val="21"/>
                <w:highlight w:val="none"/>
              </w:rPr>
              <w:t>负偏离7项及以上的视为采购人不能接受的附加条件。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2" w:hRule="atLeast"/>
        </w:trPr>
        <w:tc>
          <w:tcPr>
            <w:tcW w:w="1062" w:type="dxa"/>
            <w:tcBorders>
              <w:top w:val="single" w:color="auto" w:sz="4" w:space="0"/>
              <w:left w:val="single" w:color="auto" w:sz="4" w:space="0"/>
              <w:right w:val="single" w:color="auto" w:sz="4" w:space="0"/>
            </w:tcBorders>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项目理解</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【主观分】供应商对本项目背景及研学活动的目标的理解情况。</w:t>
            </w:r>
          </w:p>
          <w:p>
            <w:pPr>
              <w:adjustRightInd w:val="0"/>
              <w:snapToGrid w:val="0"/>
              <w:spacing w:line="288" w:lineRule="auto"/>
              <w:rPr>
                <w:color w:val="auto"/>
                <w:sz w:val="21"/>
                <w:szCs w:val="21"/>
                <w:highlight w:val="none"/>
              </w:rPr>
            </w:pPr>
            <w:r>
              <w:rPr>
                <w:rFonts w:hint="eastAsia"/>
                <w:color w:val="auto"/>
                <w:sz w:val="21"/>
                <w:szCs w:val="21"/>
                <w:highlight w:val="none"/>
              </w:rPr>
              <w:t>理解内容完全贴合本项目背景，对研学活动的目标的理解深刻的得5分；</w:t>
            </w:r>
          </w:p>
          <w:p>
            <w:pPr>
              <w:adjustRightInd w:val="0"/>
              <w:snapToGrid w:val="0"/>
              <w:spacing w:line="288" w:lineRule="auto"/>
              <w:rPr>
                <w:color w:val="auto"/>
                <w:sz w:val="21"/>
                <w:szCs w:val="21"/>
                <w:highlight w:val="none"/>
              </w:rPr>
            </w:pPr>
            <w:r>
              <w:rPr>
                <w:rFonts w:hint="eastAsia"/>
                <w:color w:val="auto"/>
                <w:sz w:val="21"/>
                <w:szCs w:val="21"/>
                <w:highlight w:val="none"/>
              </w:rPr>
              <w:t>理解内容基本符合本项目背景，对研学活动的目标有一定程度的理解的得3分；</w:t>
            </w:r>
          </w:p>
          <w:p>
            <w:pPr>
              <w:adjustRightInd w:val="0"/>
              <w:snapToGrid w:val="0"/>
              <w:spacing w:line="288" w:lineRule="auto"/>
              <w:rPr>
                <w:color w:val="auto"/>
                <w:sz w:val="21"/>
                <w:szCs w:val="21"/>
                <w:highlight w:val="none"/>
              </w:rPr>
            </w:pPr>
            <w:r>
              <w:rPr>
                <w:rFonts w:hint="eastAsia"/>
                <w:color w:val="auto"/>
                <w:sz w:val="21"/>
                <w:szCs w:val="21"/>
                <w:highlight w:val="none"/>
              </w:rPr>
              <w:t>理解内容存在欠缺的得1分；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服务方案</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【主观分】供应商提供的研学路线情况。</w:t>
            </w:r>
          </w:p>
          <w:p>
            <w:pPr>
              <w:adjustRightInd w:val="0"/>
              <w:snapToGrid w:val="0"/>
              <w:spacing w:line="288" w:lineRule="auto"/>
              <w:rPr>
                <w:color w:val="auto"/>
                <w:sz w:val="21"/>
                <w:szCs w:val="21"/>
                <w:highlight w:val="none"/>
              </w:rPr>
            </w:pPr>
            <w:r>
              <w:rPr>
                <w:rFonts w:hint="eastAsia"/>
                <w:color w:val="auto"/>
                <w:sz w:val="21"/>
                <w:szCs w:val="21"/>
                <w:highlight w:val="none"/>
              </w:rPr>
              <w:t>研学路线设置合理，可行性强，与本项目的目标贴合度高的得5分；</w:t>
            </w:r>
          </w:p>
          <w:p>
            <w:pPr>
              <w:adjustRightInd w:val="0"/>
              <w:snapToGrid w:val="0"/>
              <w:spacing w:line="288" w:lineRule="auto"/>
              <w:rPr>
                <w:color w:val="auto"/>
                <w:sz w:val="21"/>
                <w:szCs w:val="21"/>
                <w:highlight w:val="none"/>
              </w:rPr>
            </w:pPr>
            <w:r>
              <w:rPr>
                <w:rFonts w:hint="eastAsia"/>
                <w:color w:val="auto"/>
                <w:sz w:val="21"/>
                <w:szCs w:val="21"/>
                <w:highlight w:val="none"/>
              </w:rPr>
              <w:t>研学路线设置基本满足本项目需求，但细节有所欠缺的得3分；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研学路线设置存在较大欠缺的得1分；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【主观分】供应商提供的研学课程开发情况。</w:t>
            </w:r>
          </w:p>
          <w:p>
            <w:pPr>
              <w:adjustRightInd w:val="0"/>
              <w:snapToGrid w:val="0"/>
              <w:spacing w:line="288" w:lineRule="auto"/>
              <w:rPr>
                <w:color w:val="auto"/>
                <w:sz w:val="21"/>
                <w:szCs w:val="21"/>
                <w:highlight w:val="none"/>
              </w:rPr>
            </w:pPr>
            <w:r>
              <w:rPr>
                <w:rFonts w:hint="eastAsia"/>
                <w:color w:val="auto"/>
                <w:sz w:val="21"/>
                <w:szCs w:val="21"/>
                <w:highlight w:val="none"/>
              </w:rPr>
              <w:t>研学课程设置合理，可行性强，与本项目的目标贴合度高的得5分；</w:t>
            </w:r>
          </w:p>
          <w:p>
            <w:pPr>
              <w:adjustRightInd w:val="0"/>
              <w:snapToGrid w:val="0"/>
              <w:spacing w:line="288" w:lineRule="auto"/>
              <w:rPr>
                <w:color w:val="auto"/>
                <w:sz w:val="21"/>
                <w:szCs w:val="21"/>
                <w:highlight w:val="none"/>
              </w:rPr>
            </w:pPr>
            <w:r>
              <w:rPr>
                <w:rFonts w:hint="eastAsia"/>
                <w:color w:val="auto"/>
                <w:sz w:val="21"/>
                <w:szCs w:val="21"/>
                <w:highlight w:val="none"/>
              </w:rPr>
              <w:t>研学课程设置基本满足本项目需求，但细节有所欠缺的得3分；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研学课程设置存在较大欠缺的得1分；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【主观分】供应商提供的学习资料情况。</w:t>
            </w:r>
          </w:p>
          <w:p>
            <w:pPr>
              <w:adjustRightInd w:val="0"/>
              <w:snapToGrid w:val="0"/>
              <w:spacing w:line="288" w:lineRule="auto"/>
              <w:rPr>
                <w:color w:val="auto"/>
                <w:sz w:val="21"/>
                <w:szCs w:val="21"/>
                <w:highlight w:val="none"/>
              </w:rPr>
            </w:pPr>
            <w:r>
              <w:rPr>
                <w:rFonts w:hint="eastAsia"/>
                <w:color w:val="auto"/>
                <w:sz w:val="21"/>
                <w:szCs w:val="21"/>
                <w:highlight w:val="none"/>
              </w:rPr>
              <w:t>学习资料内容丰富，设施设备健全的得5分；</w:t>
            </w:r>
          </w:p>
          <w:p>
            <w:pPr>
              <w:adjustRightInd w:val="0"/>
              <w:snapToGrid w:val="0"/>
              <w:spacing w:line="288" w:lineRule="auto"/>
              <w:rPr>
                <w:color w:val="auto"/>
                <w:sz w:val="21"/>
                <w:szCs w:val="21"/>
                <w:highlight w:val="none"/>
              </w:rPr>
            </w:pPr>
            <w:r>
              <w:rPr>
                <w:rFonts w:hint="eastAsia"/>
                <w:color w:val="auto"/>
                <w:sz w:val="21"/>
                <w:szCs w:val="21"/>
                <w:highlight w:val="none"/>
              </w:rPr>
              <w:t>学习资料基本满足本项目需求，但细节有所欠缺的得3分；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学习资料存在较大欠缺的得1分；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【主观分】供应商提供的学员食宿情况。</w:t>
            </w:r>
          </w:p>
          <w:p>
            <w:pPr>
              <w:adjustRightInd w:val="0"/>
              <w:snapToGrid w:val="0"/>
              <w:spacing w:line="288" w:lineRule="auto"/>
              <w:rPr>
                <w:color w:val="auto"/>
                <w:sz w:val="21"/>
                <w:szCs w:val="21"/>
                <w:highlight w:val="none"/>
              </w:rPr>
            </w:pPr>
            <w:r>
              <w:rPr>
                <w:rFonts w:hint="eastAsia"/>
                <w:color w:val="auto"/>
                <w:sz w:val="21"/>
                <w:szCs w:val="21"/>
                <w:highlight w:val="none"/>
              </w:rPr>
              <w:t>学员食宿安排合理，酒店舒适度高的得5分；</w:t>
            </w:r>
          </w:p>
          <w:p>
            <w:pPr>
              <w:adjustRightInd w:val="0"/>
              <w:snapToGrid w:val="0"/>
              <w:spacing w:line="288" w:lineRule="auto"/>
              <w:rPr>
                <w:color w:val="auto"/>
                <w:sz w:val="21"/>
                <w:szCs w:val="21"/>
                <w:highlight w:val="none"/>
              </w:rPr>
            </w:pPr>
            <w:r>
              <w:rPr>
                <w:rFonts w:hint="eastAsia"/>
                <w:color w:val="auto"/>
                <w:sz w:val="21"/>
                <w:szCs w:val="21"/>
                <w:highlight w:val="none"/>
              </w:rPr>
              <w:t>学员食宿基本满足本项目需求，但细节有所欠缺的得3分；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学员食宿存在较大欠缺的得1分；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【主观分】供应商提供的交通运输方案情况。</w:t>
            </w:r>
          </w:p>
          <w:p>
            <w:pPr>
              <w:adjustRightInd w:val="0"/>
              <w:snapToGrid w:val="0"/>
              <w:spacing w:line="288" w:lineRule="auto"/>
              <w:rPr>
                <w:color w:val="auto"/>
                <w:sz w:val="21"/>
                <w:szCs w:val="21"/>
                <w:highlight w:val="none"/>
              </w:rPr>
            </w:pPr>
            <w:r>
              <w:rPr>
                <w:rFonts w:hint="eastAsia"/>
                <w:color w:val="auto"/>
                <w:sz w:val="21"/>
                <w:szCs w:val="21"/>
                <w:highlight w:val="none"/>
              </w:rPr>
              <w:t>交通运输方案内容合理，可行性强，与本项目的目标贴合度高的得5分；</w:t>
            </w:r>
          </w:p>
          <w:p>
            <w:pPr>
              <w:adjustRightInd w:val="0"/>
              <w:snapToGrid w:val="0"/>
              <w:spacing w:line="288" w:lineRule="auto"/>
              <w:rPr>
                <w:color w:val="auto"/>
                <w:sz w:val="21"/>
                <w:szCs w:val="21"/>
                <w:highlight w:val="none"/>
              </w:rPr>
            </w:pPr>
            <w:r>
              <w:rPr>
                <w:rFonts w:hint="eastAsia"/>
                <w:color w:val="auto"/>
                <w:sz w:val="21"/>
                <w:szCs w:val="21"/>
                <w:highlight w:val="none"/>
              </w:rPr>
              <w:t>交通运输方案基本满足本项目需求，但细节有所欠缺的得3分；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交通运输方案存在较大欠缺的得1分；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【主观分】供应商提供的文字摄像服务情况。</w:t>
            </w:r>
          </w:p>
          <w:p>
            <w:pPr>
              <w:adjustRightInd w:val="0"/>
              <w:snapToGrid w:val="0"/>
              <w:spacing w:line="288" w:lineRule="auto"/>
              <w:rPr>
                <w:color w:val="auto"/>
                <w:sz w:val="21"/>
                <w:szCs w:val="21"/>
                <w:highlight w:val="none"/>
              </w:rPr>
            </w:pPr>
            <w:r>
              <w:rPr>
                <w:rFonts w:hint="eastAsia"/>
                <w:color w:val="auto"/>
                <w:sz w:val="21"/>
                <w:szCs w:val="21"/>
                <w:highlight w:val="none"/>
              </w:rPr>
              <w:t>文字摄像服务内容合理，可行性强，与本项目的目标贴合度高的得5分；</w:t>
            </w:r>
          </w:p>
          <w:p>
            <w:pPr>
              <w:adjustRightInd w:val="0"/>
              <w:snapToGrid w:val="0"/>
              <w:spacing w:line="288" w:lineRule="auto"/>
              <w:rPr>
                <w:color w:val="auto"/>
                <w:sz w:val="21"/>
                <w:szCs w:val="21"/>
                <w:highlight w:val="none"/>
              </w:rPr>
            </w:pPr>
            <w:r>
              <w:rPr>
                <w:rFonts w:hint="eastAsia"/>
                <w:color w:val="auto"/>
                <w:sz w:val="21"/>
                <w:szCs w:val="21"/>
                <w:highlight w:val="none"/>
              </w:rPr>
              <w:t>文字摄像服务基本满足本项目需求，但细节有所欠缺的得3分；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文字摄像服务存在较大欠缺的得1分；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6" w:hRule="atLeast"/>
        </w:trPr>
        <w:tc>
          <w:tcPr>
            <w:tcW w:w="1062"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【主观分】供应商管理制度设置情况。</w:t>
            </w:r>
          </w:p>
          <w:p>
            <w:pPr>
              <w:adjustRightInd w:val="0"/>
              <w:snapToGrid w:val="0"/>
              <w:spacing w:line="288" w:lineRule="auto"/>
              <w:rPr>
                <w:color w:val="auto"/>
                <w:sz w:val="21"/>
                <w:szCs w:val="21"/>
                <w:highlight w:val="none"/>
              </w:rPr>
            </w:pPr>
            <w:r>
              <w:rPr>
                <w:rFonts w:hint="eastAsia"/>
                <w:color w:val="auto"/>
                <w:sz w:val="21"/>
                <w:szCs w:val="21"/>
                <w:highlight w:val="none"/>
              </w:rPr>
              <w:t>供应商各项岗位职责明确，经营管理制度、安全管理体系：包括组织机构、各类应急预案等制度完备的得5分；</w:t>
            </w:r>
          </w:p>
          <w:p>
            <w:pPr>
              <w:adjustRightInd w:val="0"/>
              <w:snapToGrid w:val="0"/>
              <w:spacing w:line="288" w:lineRule="auto"/>
              <w:rPr>
                <w:color w:val="auto"/>
                <w:sz w:val="21"/>
                <w:szCs w:val="21"/>
                <w:highlight w:val="none"/>
              </w:rPr>
            </w:pPr>
            <w:r>
              <w:rPr>
                <w:rFonts w:hint="eastAsia"/>
                <w:color w:val="auto"/>
                <w:sz w:val="21"/>
                <w:szCs w:val="21"/>
                <w:highlight w:val="none"/>
              </w:rPr>
              <w:t>管理制度基本满足本项目需求，但细节有所欠缺的得3分；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管理制度存在较大欠缺的得1分；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拟投入人员</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【主观分】供应商拟派项目负责人整体情况，包括同类项目经验、履历等。</w:t>
            </w:r>
          </w:p>
          <w:p>
            <w:pPr>
              <w:adjustRightInd w:val="0"/>
              <w:snapToGrid w:val="0"/>
              <w:spacing w:line="288" w:lineRule="auto"/>
              <w:rPr>
                <w:color w:val="auto"/>
                <w:sz w:val="21"/>
                <w:szCs w:val="21"/>
                <w:highlight w:val="none"/>
              </w:rPr>
            </w:pPr>
            <w:r>
              <w:rPr>
                <w:rFonts w:hint="eastAsia"/>
                <w:color w:val="auto"/>
                <w:sz w:val="21"/>
                <w:szCs w:val="21"/>
                <w:highlight w:val="none"/>
              </w:rPr>
              <w:t>项目负责人同类项目经验丰富，履历充足的得5分；</w:t>
            </w:r>
          </w:p>
          <w:p>
            <w:pPr>
              <w:adjustRightInd w:val="0"/>
              <w:snapToGrid w:val="0"/>
              <w:spacing w:line="288" w:lineRule="auto"/>
              <w:rPr>
                <w:color w:val="auto"/>
                <w:sz w:val="21"/>
                <w:szCs w:val="21"/>
                <w:highlight w:val="none"/>
              </w:rPr>
            </w:pPr>
            <w:r>
              <w:rPr>
                <w:rFonts w:hint="eastAsia"/>
                <w:color w:val="auto"/>
                <w:sz w:val="21"/>
                <w:szCs w:val="21"/>
                <w:highlight w:val="none"/>
              </w:rPr>
              <w:t>项目负责人基本满足本项目需求，但经验有所欠缺的得3分；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项目负责人存在较大欠缺的得1分；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【主观分】供应商拟派专职班主任整体情况，包括同类项目经验、履历等。</w:t>
            </w:r>
          </w:p>
          <w:p>
            <w:pPr>
              <w:adjustRightInd w:val="0"/>
              <w:snapToGrid w:val="0"/>
              <w:spacing w:line="288" w:lineRule="auto"/>
              <w:rPr>
                <w:color w:val="auto"/>
                <w:sz w:val="21"/>
                <w:szCs w:val="21"/>
                <w:highlight w:val="none"/>
              </w:rPr>
            </w:pPr>
            <w:r>
              <w:rPr>
                <w:rFonts w:hint="eastAsia"/>
                <w:color w:val="auto"/>
                <w:sz w:val="21"/>
                <w:szCs w:val="21"/>
                <w:highlight w:val="none"/>
              </w:rPr>
              <w:t>专职班主任同类项目经验丰富，履历充足的得5分；</w:t>
            </w:r>
          </w:p>
          <w:p>
            <w:pPr>
              <w:adjustRightInd w:val="0"/>
              <w:snapToGrid w:val="0"/>
              <w:spacing w:line="288" w:lineRule="auto"/>
              <w:rPr>
                <w:color w:val="auto"/>
                <w:sz w:val="21"/>
                <w:szCs w:val="21"/>
                <w:highlight w:val="none"/>
              </w:rPr>
            </w:pPr>
            <w:r>
              <w:rPr>
                <w:rFonts w:hint="eastAsia"/>
                <w:color w:val="auto"/>
                <w:sz w:val="21"/>
                <w:szCs w:val="21"/>
                <w:highlight w:val="none"/>
              </w:rPr>
              <w:t>专职班主任基本满足本项目需求，但经验有所欠缺的得3分；</w:t>
            </w:r>
          </w:p>
          <w:p>
            <w:pPr>
              <w:adjustRightInd w:val="0"/>
              <w:snapToGrid w:val="0"/>
              <w:spacing w:line="288" w:lineRule="auto"/>
              <w:rPr>
                <w:color w:val="auto"/>
                <w:sz w:val="21"/>
                <w:szCs w:val="21"/>
                <w:highlight w:val="none"/>
              </w:rPr>
            </w:pPr>
            <w:r>
              <w:rPr>
                <w:rFonts w:hint="eastAsia"/>
                <w:color w:val="auto"/>
                <w:sz w:val="21"/>
                <w:szCs w:val="21"/>
                <w:highlight w:val="none"/>
              </w:rPr>
              <w:t>专职班主任存在较大欠缺的得1分；</w:t>
            </w:r>
          </w:p>
          <w:p>
            <w:pPr>
              <w:adjustRightInd w:val="0"/>
              <w:snapToGrid w:val="0"/>
              <w:spacing w:line="288" w:lineRule="auto"/>
              <w:rPr>
                <w:color w:val="auto"/>
                <w:sz w:val="21"/>
                <w:szCs w:val="21"/>
                <w:highlight w:val="none"/>
              </w:rPr>
            </w:pPr>
            <w:r>
              <w:rPr>
                <w:rFonts w:hint="eastAsia"/>
                <w:color w:val="auto"/>
                <w:sz w:val="21"/>
                <w:szCs w:val="21"/>
                <w:highlight w:val="none"/>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color w:val="auto"/>
                <w:sz w:val="21"/>
                <w:szCs w:val="21"/>
                <w:highlight w:val="none"/>
                <w:lang w:bidi="ar"/>
              </w:rPr>
            </w:pPr>
            <w:r>
              <w:rPr>
                <w:rFonts w:hint="eastAsia"/>
                <w:b/>
                <w:bCs/>
                <w:color w:val="auto"/>
                <w:sz w:val="21"/>
                <w:szCs w:val="21"/>
                <w:highlight w:val="none"/>
              </w:rPr>
              <w:t>服务响应效率保障</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color w:val="auto"/>
                <w:sz w:val="21"/>
                <w:szCs w:val="21"/>
                <w:highlight w:val="none"/>
                <w:lang w:bidi="ar"/>
              </w:rPr>
            </w:pPr>
            <w:r>
              <w:rPr>
                <w:rFonts w:hint="eastAsia"/>
                <w:b/>
                <w:color w:val="auto"/>
                <w:sz w:val="21"/>
                <w:szCs w:val="21"/>
                <w:highlight w:val="none"/>
                <w:lang w:bidi="ar"/>
              </w:rPr>
              <w:t>4</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lang w:bidi="ar"/>
              </w:rPr>
            </w:pPr>
            <w:r>
              <w:rPr>
                <w:rFonts w:hint="eastAsia"/>
                <w:color w:val="auto"/>
                <w:sz w:val="21"/>
                <w:szCs w:val="21"/>
                <w:highlight w:val="none"/>
                <w:lang w:bidi="ar"/>
              </w:rPr>
              <w:t>响应方服务响应效率保障方案，包括服务响应效率承诺、保障服务质量的措施。</w:t>
            </w:r>
          </w:p>
          <w:p>
            <w:pPr>
              <w:adjustRightInd w:val="0"/>
              <w:snapToGrid w:val="0"/>
              <w:spacing w:line="288" w:lineRule="auto"/>
              <w:rPr>
                <w:color w:val="auto"/>
                <w:sz w:val="21"/>
                <w:szCs w:val="21"/>
                <w:highlight w:val="none"/>
                <w:lang w:bidi="ar"/>
              </w:rPr>
            </w:pPr>
            <w:r>
              <w:rPr>
                <w:rFonts w:hint="eastAsia"/>
                <w:color w:val="auto"/>
                <w:sz w:val="21"/>
                <w:szCs w:val="21"/>
                <w:highlight w:val="none"/>
                <w:lang w:bidi="ar"/>
              </w:rPr>
              <w:t>服务响应效率承诺可行性强、保障服务质量的措施有针对性的得4分；</w:t>
            </w:r>
          </w:p>
          <w:p>
            <w:pPr>
              <w:adjustRightInd w:val="0"/>
              <w:snapToGrid w:val="0"/>
              <w:spacing w:line="288" w:lineRule="auto"/>
              <w:rPr>
                <w:color w:val="auto"/>
                <w:sz w:val="21"/>
                <w:szCs w:val="21"/>
                <w:highlight w:val="none"/>
                <w:lang w:bidi="ar"/>
              </w:rPr>
            </w:pPr>
            <w:r>
              <w:rPr>
                <w:color w:val="auto"/>
                <w:sz w:val="21"/>
                <w:szCs w:val="21"/>
                <w:highlight w:val="none"/>
                <w:lang w:bidi="ar"/>
              </w:rPr>
              <w:t>服务响应效率承诺</w:t>
            </w:r>
            <w:r>
              <w:rPr>
                <w:rFonts w:hint="eastAsia"/>
                <w:color w:val="auto"/>
                <w:sz w:val="21"/>
                <w:szCs w:val="21"/>
                <w:highlight w:val="none"/>
                <w:lang w:bidi="ar"/>
              </w:rPr>
              <w:t>、保障服务质量的措施一般的得3分；</w:t>
            </w:r>
          </w:p>
          <w:p>
            <w:pPr>
              <w:adjustRightInd w:val="0"/>
              <w:snapToGrid w:val="0"/>
              <w:spacing w:line="288" w:lineRule="auto"/>
              <w:rPr>
                <w:color w:val="auto"/>
                <w:sz w:val="21"/>
                <w:szCs w:val="21"/>
                <w:highlight w:val="none"/>
                <w:lang w:bidi="ar"/>
              </w:rPr>
            </w:pPr>
            <w:r>
              <w:rPr>
                <w:color w:val="auto"/>
                <w:sz w:val="21"/>
                <w:szCs w:val="21"/>
                <w:highlight w:val="none"/>
                <w:lang w:bidi="ar"/>
              </w:rPr>
              <w:t>服务响应效率承诺、保障服务质量的措施存在较大欠缺的得</w:t>
            </w:r>
            <w:r>
              <w:rPr>
                <w:rFonts w:hint="eastAsia"/>
                <w:color w:val="auto"/>
                <w:sz w:val="21"/>
                <w:szCs w:val="21"/>
                <w:highlight w:val="none"/>
                <w:lang w:bidi="ar"/>
              </w:rPr>
              <w:t>2</w:t>
            </w:r>
            <w:r>
              <w:rPr>
                <w:color w:val="auto"/>
                <w:sz w:val="21"/>
                <w:szCs w:val="21"/>
                <w:highlight w:val="none"/>
                <w:lang w:bidi="ar"/>
              </w:rPr>
              <w:t>分；</w:t>
            </w:r>
          </w:p>
          <w:p>
            <w:pPr>
              <w:adjustRightInd w:val="0"/>
              <w:snapToGrid w:val="0"/>
              <w:spacing w:line="288" w:lineRule="auto"/>
              <w:rPr>
                <w:color w:val="auto"/>
                <w:highlight w:val="none"/>
              </w:rPr>
            </w:pPr>
            <w:r>
              <w:rPr>
                <w:color w:val="auto"/>
                <w:sz w:val="21"/>
                <w:szCs w:val="21"/>
                <w:highlight w:val="none"/>
                <w:lang w:bidi="ar"/>
              </w:rPr>
              <w:t>未提供相关内容的不得分。</w:t>
            </w:r>
          </w:p>
        </w:tc>
      </w:tr>
      <w:bookmarkEnd w:id="37"/>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color w:val="auto"/>
          <w:spacing w:val="-6"/>
          <w:sz w:val="21"/>
          <w:szCs w:val="21"/>
          <w:highlight w:val="none"/>
        </w:rPr>
      </w:pPr>
      <w:r>
        <w:rPr>
          <w:rFonts w:hint="eastAsia"/>
          <w:color w:val="auto"/>
          <w:spacing w:val="-6"/>
          <w:sz w:val="21"/>
          <w:szCs w:val="21"/>
          <w:highlight w:val="none"/>
        </w:rPr>
        <w:t>采购编号：QSZB-Z(F)-B23378(CS)</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确认书编号：[2023]66236号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余杭区2023年科创研学服务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第一条：服务内容</w:t>
      </w:r>
    </w:p>
    <w:p>
      <w:pPr>
        <w:adjustRightInd w:val="0"/>
        <w:snapToGrid w:val="0"/>
        <w:spacing w:line="288" w:lineRule="auto"/>
        <w:ind w:firstLine="422" w:firstLineChars="200"/>
        <w:rPr>
          <w:color w:val="auto"/>
          <w:sz w:val="21"/>
          <w:szCs w:val="21"/>
          <w:highlight w:val="none"/>
        </w:rPr>
      </w:pPr>
      <w:r>
        <w:rPr>
          <w:rFonts w:hint="eastAsia"/>
          <w:b/>
          <w:color w:val="auto"/>
          <w:sz w:val="21"/>
          <w:szCs w:val="21"/>
          <w:highlight w:val="none"/>
        </w:rPr>
        <w:t>1.研学对象：</w:t>
      </w:r>
      <w:r>
        <w:rPr>
          <w:rFonts w:hint="eastAsia"/>
          <w:color w:val="auto"/>
          <w:sz w:val="21"/>
          <w:szCs w:val="21"/>
          <w:highlight w:val="none"/>
          <w:lang w:bidi="zh-CN"/>
        </w:rPr>
        <w:t>余杭区公民办中小学三年级以上在籍学生；</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2.研学批次与班级数：</w:t>
      </w:r>
      <w:r>
        <w:rPr>
          <w:rFonts w:hint="eastAsia"/>
          <w:bCs/>
          <w:color w:val="auto"/>
          <w:sz w:val="21"/>
          <w:szCs w:val="21"/>
          <w:highlight w:val="none"/>
        </w:rPr>
        <w:t>共4个批次，每批次2个班；</w:t>
      </w:r>
    </w:p>
    <w:p>
      <w:pPr>
        <w:adjustRightInd w:val="0"/>
        <w:snapToGrid w:val="0"/>
        <w:spacing w:line="288" w:lineRule="auto"/>
        <w:ind w:firstLine="422" w:firstLineChars="200"/>
        <w:rPr>
          <w:rFonts w:hint="eastAsia" w:eastAsia="宋体"/>
          <w:b/>
          <w:color w:val="auto"/>
          <w:sz w:val="21"/>
          <w:szCs w:val="21"/>
          <w:highlight w:val="none"/>
          <w:lang w:eastAsia="zh-CN"/>
        </w:rPr>
      </w:pPr>
      <w:r>
        <w:rPr>
          <w:rFonts w:hint="eastAsia"/>
          <w:b/>
          <w:color w:val="auto"/>
          <w:sz w:val="21"/>
          <w:szCs w:val="21"/>
          <w:highlight w:val="none"/>
        </w:rPr>
        <w:t>3.研学时间：</w:t>
      </w:r>
      <w:r>
        <w:rPr>
          <w:rFonts w:hint="eastAsia"/>
          <w:b w:val="0"/>
          <w:bCs/>
          <w:color w:val="auto"/>
          <w:sz w:val="21"/>
          <w:szCs w:val="21"/>
          <w:highlight w:val="none"/>
        </w:rPr>
        <w:t>自合同签订之日起至2024年2月28日，具体时间安排以</w:t>
      </w:r>
      <w:r>
        <w:rPr>
          <w:rFonts w:hint="eastAsia"/>
          <w:b w:val="0"/>
          <w:bCs/>
          <w:color w:val="auto"/>
          <w:sz w:val="21"/>
          <w:szCs w:val="21"/>
          <w:highlight w:val="none"/>
          <w:lang w:val="en-US" w:eastAsia="zh-CN"/>
        </w:rPr>
        <w:t>甲方</w:t>
      </w:r>
      <w:r>
        <w:rPr>
          <w:rFonts w:hint="eastAsia"/>
          <w:b w:val="0"/>
          <w:bCs/>
          <w:color w:val="auto"/>
          <w:sz w:val="21"/>
          <w:szCs w:val="21"/>
          <w:highlight w:val="none"/>
        </w:rPr>
        <w:t>通知为准</w:t>
      </w:r>
      <w:r>
        <w:rPr>
          <w:rFonts w:hint="eastAsia"/>
          <w:b w:val="0"/>
          <w:bCs/>
          <w:color w:val="auto"/>
          <w:sz w:val="21"/>
          <w:szCs w:val="21"/>
          <w:highlight w:val="none"/>
          <w:lang w:eastAsia="zh-CN"/>
        </w:rPr>
        <w:t>；</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4.研学时长和对应人数：</w:t>
      </w:r>
    </w:p>
    <w:p>
      <w:pPr>
        <w:adjustRightInd w:val="0"/>
        <w:snapToGrid w:val="0"/>
        <w:spacing w:line="288" w:lineRule="auto"/>
        <w:ind w:firstLine="420" w:firstLineChars="200"/>
        <w:rPr>
          <w:bCs/>
          <w:color w:val="auto"/>
          <w:sz w:val="21"/>
          <w:szCs w:val="21"/>
          <w:highlight w:val="none"/>
          <w:lang w:eastAsia="zh-Hans"/>
        </w:rPr>
      </w:pPr>
      <w:r>
        <w:rPr>
          <w:rFonts w:hint="eastAsia"/>
          <w:bCs/>
          <w:color w:val="auto"/>
          <w:sz w:val="21"/>
          <w:szCs w:val="21"/>
          <w:highlight w:val="none"/>
        </w:rPr>
        <w:t>（1）3天2晚研学3批次，</w:t>
      </w:r>
      <w:r>
        <w:rPr>
          <w:rFonts w:hint="eastAsia"/>
          <w:bCs/>
          <w:color w:val="auto"/>
          <w:sz w:val="21"/>
          <w:szCs w:val="21"/>
          <w:highlight w:val="none"/>
          <w:lang w:eastAsia="zh-Hans"/>
        </w:rPr>
        <w:t>16人/班；</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（2）2天1晚研学1批次，24人/班；</w:t>
      </w:r>
      <w:bookmarkStart w:id="44" w:name="_GoBack"/>
      <w:bookmarkEnd w:id="44"/>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5.其他要求：</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（1）大学生实习招募：乙方负责招收8人次/批次的杭州电子科技大学在校学生负责研学活动的相关工作，并按250元/人/天的标准给予劳务费；</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（2）大学生培训：围绕研学活动中各类工作事项，面向大学生组织每人3次的培训，并组织相应的考核；</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6.研学线路级课程要求：</w:t>
      </w:r>
    </w:p>
    <w:p>
      <w:pPr>
        <w:tabs>
          <w:tab w:val="left" w:pos="0"/>
        </w:tabs>
        <w:adjustRightInd w:val="0"/>
        <w:spacing w:line="288" w:lineRule="auto"/>
        <w:ind w:firstLine="420" w:firstLineChars="200"/>
        <w:rPr>
          <w:bCs/>
          <w:color w:val="auto"/>
          <w:sz w:val="21"/>
          <w:szCs w:val="21"/>
          <w:highlight w:val="none"/>
        </w:rPr>
      </w:pPr>
      <w:r>
        <w:rPr>
          <w:rFonts w:hint="eastAsia"/>
          <w:bCs/>
          <w:color w:val="auto"/>
          <w:sz w:val="21"/>
          <w:szCs w:val="21"/>
          <w:highlight w:val="none"/>
        </w:rPr>
        <w:t>（1）研学路线开发：完成4条不同主题的研学路线开发；</w:t>
      </w:r>
    </w:p>
    <w:p>
      <w:pPr>
        <w:tabs>
          <w:tab w:val="left" w:pos="0"/>
        </w:tabs>
        <w:adjustRightInd w:val="0"/>
        <w:spacing w:line="288" w:lineRule="auto"/>
        <w:ind w:firstLine="420" w:firstLineChars="200"/>
        <w:rPr>
          <w:bCs/>
          <w:color w:val="auto"/>
          <w:sz w:val="21"/>
          <w:szCs w:val="21"/>
          <w:highlight w:val="none"/>
        </w:rPr>
      </w:pPr>
      <w:r>
        <w:rPr>
          <w:rFonts w:hint="eastAsia"/>
          <w:bCs/>
          <w:color w:val="auto"/>
          <w:sz w:val="21"/>
          <w:szCs w:val="21"/>
          <w:highlight w:val="none"/>
        </w:rPr>
        <w:t>（2）研学课程开发：完成10门原创型研学课程，每门课程时长2课时；</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7.师资和班级管理要求：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（1）乙方必须每班安排一位专业的研学指导教师作为该班级研学负责人，全程陪同，并配备符合研学课程安排的活动设施设备器材，研学活动开展期间做好相关警示和防护工作；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（2）合理安排研学学生、带队教师及驾乘人员的住宿问题，确保安全；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（3）研学活动时必须提供专职管理团队人员及联系方式，方便沟通联系；</w:t>
      </w:r>
    </w:p>
    <w:p>
      <w:pP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8.培训服务要求：</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1208"/>
        <w:gridCol w:w="7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 w:hRule="atLeast"/>
          <w:jc w:val="center"/>
        </w:trPr>
        <w:tc>
          <w:tcPr>
            <w:tcW w:w="646" w:type="dxa"/>
            <w:vAlign w:val="center"/>
          </w:tcPr>
          <w:p>
            <w:pPr>
              <w:adjustRightInd w:val="0"/>
              <w:snapToGrid w:val="0"/>
              <w:jc w:val="center"/>
              <w:rPr>
                <w:b/>
                <w:color w:val="auto"/>
                <w:sz w:val="21"/>
                <w:szCs w:val="21"/>
                <w:highlight w:val="none"/>
              </w:rPr>
            </w:pPr>
            <w:r>
              <w:rPr>
                <w:rFonts w:hint="eastAsia"/>
                <w:b/>
                <w:color w:val="auto"/>
                <w:sz w:val="21"/>
                <w:szCs w:val="21"/>
                <w:highlight w:val="none"/>
              </w:rPr>
              <w:t>序号</w:t>
            </w:r>
          </w:p>
        </w:tc>
        <w:tc>
          <w:tcPr>
            <w:tcW w:w="1208" w:type="dxa"/>
            <w:vAlign w:val="center"/>
          </w:tcPr>
          <w:p>
            <w:pPr>
              <w:adjustRightInd w:val="0"/>
              <w:snapToGrid w:val="0"/>
              <w:jc w:val="center"/>
              <w:rPr>
                <w:b/>
                <w:color w:val="auto"/>
                <w:sz w:val="21"/>
                <w:szCs w:val="21"/>
                <w:highlight w:val="none"/>
              </w:rPr>
            </w:pPr>
            <w:r>
              <w:rPr>
                <w:rFonts w:hint="eastAsia"/>
                <w:b/>
                <w:color w:val="auto"/>
                <w:sz w:val="21"/>
                <w:szCs w:val="21"/>
                <w:highlight w:val="none"/>
              </w:rPr>
              <w:t>服务分项</w:t>
            </w:r>
          </w:p>
        </w:tc>
        <w:tc>
          <w:tcPr>
            <w:tcW w:w="7774" w:type="dxa"/>
            <w:vAlign w:val="center"/>
          </w:tcPr>
          <w:p>
            <w:pPr>
              <w:adjustRightInd w:val="0"/>
              <w:snapToGrid w:val="0"/>
              <w:jc w:val="center"/>
              <w:rPr>
                <w:b/>
                <w:color w:val="auto"/>
                <w:sz w:val="21"/>
                <w:szCs w:val="21"/>
                <w:highlight w:val="none"/>
              </w:rPr>
            </w:pPr>
            <w:r>
              <w:rPr>
                <w:rFonts w:hint="eastAsia"/>
                <w:b/>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jc w:val="center"/>
        </w:trPr>
        <w:tc>
          <w:tcPr>
            <w:tcW w:w="646" w:type="dxa"/>
            <w:vMerge w:val="restart"/>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1208" w:type="dxa"/>
            <w:vMerge w:val="restart"/>
            <w:vAlign w:val="center"/>
          </w:tcPr>
          <w:p>
            <w:pPr>
              <w:adjustRightInd w:val="0"/>
              <w:snapToGrid w:val="0"/>
              <w:jc w:val="center"/>
              <w:rPr>
                <w:color w:val="auto"/>
                <w:sz w:val="21"/>
                <w:szCs w:val="21"/>
                <w:highlight w:val="none"/>
              </w:rPr>
            </w:pPr>
            <w:r>
              <w:rPr>
                <w:rFonts w:hint="eastAsia"/>
                <w:color w:val="auto"/>
                <w:sz w:val="21"/>
                <w:szCs w:val="21"/>
                <w:highlight w:val="none"/>
              </w:rPr>
              <w:t>人员要求</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安排1名需具有相关工作经验与组织能力的项目负责人，负责培训方案制定、组织实施、协调资源。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46" w:type="dxa"/>
            <w:vMerge w:val="continue"/>
            <w:vAlign w:val="center"/>
          </w:tcPr>
          <w:p>
            <w:pPr>
              <w:adjustRightInd w:val="0"/>
              <w:snapToGrid w:val="0"/>
              <w:jc w:val="center"/>
              <w:rPr>
                <w:color w:val="auto"/>
                <w:sz w:val="21"/>
                <w:szCs w:val="21"/>
                <w:highlight w:val="none"/>
              </w:rPr>
            </w:pPr>
          </w:p>
        </w:tc>
        <w:tc>
          <w:tcPr>
            <w:tcW w:w="1208" w:type="dxa"/>
            <w:vMerge w:val="continue"/>
            <w:vAlign w:val="center"/>
          </w:tcPr>
          <w:p>
            <w:pPr>
              <w:adjustRightInd w:val="0"/>
              <w:snapToGrid w:val="0"/>
              <w:jc w:val="center"/>
              <w:rPr>
                <w:color w:val="auto"/>
                <w:sz w:val="21"/>
                <w:szCs w:val="21"/>
                <w:highlight w:val="none"/>
              </w:rPr>
            </w:pP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配合采购人做好本班学员的通知、研学期间的组织管理等，落实1名专职班主任负责跟班管理工作（要求在培训期间该班主任不得同时兼任其他研学班级管理工作），班级管理经验丰富，有日常教学、学员管理、学员结业等方面的规章制度和落实，保证良好的教学秩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学习资料</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提供合理的研学手册及研学活动所需设施设备。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3</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学员食宿</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研学活动开展期间，供应商应无限量提供饮用水（费用包含在合同总价中），确保安全的餐饮条件，为学生提供优质的餐饮服务（餐费由学生自行承担），并为驾乘人员、采购方老师提供符合标准的优质中餐。住宿要求每两人1间，不低于四星级或同级，干净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4</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交通安排</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1.需提供学员及工作人员在培训期间的大巴服务，城际交通除外（不少于50座，要求为三年内新车，车况好，驾驶员驾龄不低于3年，技术娴熟,未有安全事故）。</w:t>
            </w:r>
            <w:r>
              <w:rPr>
                <w:rFonts w:hint="eastAsia"/>
                <w:b/>
                <w:bCs/>
                <w:color w:val="auto"/>
                <w:sz w:val="21"/>
                <w:szCs w:val="21"/>
                <w:highlight w:val="none"/>
              </w:rPr>
              <w:t>2.响应文件中须提供车队合作协议及车队资质，包括但不限于车队购买保险、驾照、行驶证复印件等。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5</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文字摄像</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全程摄影摄像跟踪拍摄并及时进行图片直播，活动结束后整理剪辑相关宣传短片。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6</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管理制度</w:t>
            </w:r>
          </w:p>
        </w:tc>
        <w:tc>
          <w:tcPr>
            <w:tcW w:w="7774" w:type="dxa"/>
            <w:vAlign w:val="center"/>
          </w:tcPr>
          <w:p>
            <w:pPr>
              <w:adjustRightInd w:val="0"/>
              <w:snapToGrid w:val="0"/>
              <w:rPr>
                <w:rFonts w:hint="eastAsia" w:eastAsia="宋体"/>
                <w:color w:val="auto"/>
                <w:sz w:val="21"/>
                <w:szCs w:val="21"/>
                <w:highlight w:val="none"/>
                <w:lang w:val="en-US" w:eastAsia="zh-CN"/>
              </w:rPr>
            </w:pPr>
            <w:r>
              <w:rPr>
                <w:rFonts w:hint="eastAsia"/>
                <w:color w:val="auto"/>
                <w:sz w:val="21"/>
                <w:szCs w:val="21"/>
                <w:highlight w:val="none"/>
              </w:rPr>
              <w:t>供应商应明确各项岗位职责，建立经营管理制度、安全管理体系：包括组织机构、各类应急预案等</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1" w:hRule="atLeast"/>
          <w:jc w:val="center"/>
        </w:trPr>
        <w:tc>
          <w:tcPr>
            <w:tcW w:w="646" w:type="dxa"/>
            <w:vAlign w:val="center"/>
          </w:tcPr>
          <w:p>
            <w:pPr>
              <w:adjustRightInd w:val="0"/>
              <w:snapToGrid w:val="0"/>
              <w:jc w:val="center"/>
              <w:rPr>
                <w:color w:val="auto"/>
                <w:sz w:val="21"/>
                <w:szCs w:val="21"/>
                <w:highlight w:val="none"/>
              </w:rPr>
            </w:pPr>
            <w:r>
              <w:rPr>
                <w:rFonts w:hint="eastAsia"/>
                <w:color w:val="auto"/>
                <w:sz w:val="21"/>
                <w:szCs w:val="21"/>
                <w:highlight w:val="none"/>
              </w:rPr>
              <w:t>7</w:t>
            </w:r>
          </w:p>
        </w:tc>
        <w:tc>
          <w:tcPr>
            <w:tcW w:w="1208" w:type="dxa"/>
            <w:vAlign w:val="center"/>
          </w:tcPr>
          <w:p>
            <w:pPr>
              <w:adjustRightInd w:val="0"/>
              <w:snapToGrid w:val="0"/>
              <w:jc w:val="center"/>
              <w:rPr>
                <w:color w:val="auto"/>
                <w:sz w:val="21"/>
                <w:szCs w:val="21"/>
                <w:highlight w:val="none"/>
              </w:rPr>
            </w:pPr>
            <w:r>
              <w:rPr>
                <w:rFonts w:hint="eastAsia"/>
                <w:color w:val="auto"/>
                <w:sz w:val="21"/>
                <w:szCs w:val="21"/>
                <w:highlight w:val="none"/>
              </w:rPr>
              <w:t>购买意外险</w:t>
            </w:r>
          </w:p>
        </w:tc>
        <w:tc>
          <w:tcPr>
            <w:tcW w:w="7774" w:type="dxa"/>
            <w:vAlign w:val="center"/>
          </w:tcPr>
          <w:p>
            <w:pPr>
              <w:adjustRightInd w:val="0"/>
              <w:snapToGrid w:val="0"/>
              <w:jc w:val="left"/>
              <w:rPr>
                <w:color w:val="auto"/>
                <w:sz w:val="21"/>
                <w:szCs w:val="21"/>
                <w:highlight w:val="none"/>
              </w:rPr>
            </w:pPr>
            <w:r>
              <w:rPr>
                <w:rFonts w:hint="eastAsia"/>
                <w:color w:val="auto"/>
                <w:sz w:val="21"/>
                <w:szCs w:val="21"/>
                <w:highlight w:val="none"/>
              </w:rPr>
              <w:t>为学员购买意外险（不低于50万/人）</w:t>
            </w:r>
          </w:p>
        </w:tc>
      </w:tr>
    </w:tbl>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第二条：合同总价</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rPr>
        <w:t>本项目合同总价为        元整（</w:t>
      </w:r>
      <w:r>
        <w:rPr>
          <w:rFonts w:ascii="Arial" w:hAnsi="Arial" w:cs="Arial"/>
          <w:color w:val="auto"/>
          <w:spacing w:val="-6"/>
          <w:sz w:val="21"/>
          <w:szCs w:val="21"/>
          <w:highlight w:val="none"/>
        </w:rPr>
        <w:t>¥</w:t>
      </w:r>
      <w:r>
        <w:rPr>
          <w:rFonts w:hint="eastAsia"/>
          <w:color w:val="auto"/>
          <w:spacing w:val="-6"/>
          <w:sz w:val="21"/>
          <w:szCs w:val="21"/>
          <w:highlight w:val="none"/>
        </w:rPr>
        <w:t xml:space="preserve">      .00元）。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以上合同总价包括项目履行过程中所涉及的一切费用。</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第三条：知识产权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第四条：合同款的支付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合同生效以及具备实施条件后7个工作日内，且乙方已向甲方提交银行、保险公司等金融机构出具的预付款保函的，甲方向乙方支付合同总价的20%；货物在乙方安装调试完毕并经甲方验收合格后，甲方在收到发票后7个工作日内，向乙方支付合同总价的80%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第五条：违约责任</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1.乙方逾期履行合同的，自逾期之日起，向甲方每日偿付合同总价千分之五的滞纳金。</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2.甲方逾期支付合同款的，自逾期之日起，向乙方每日偿付未付价款千分之五的滞纳金。</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第六条：不可抗力事件处理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第七条：争议解决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第八条：合同生效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9"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0"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中小企业声明函（若属于中小企业）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属于监狱企业的证明文件（若属于监狱企业）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40"/>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w:t>
      </w:r>
      <w:r>
        <w:rPr>
          <w:color w:val="auto"/>
          <w:sz w:val="21"/>
          <w:szCs w:val="21"/>
          <w:highlight w:val="none"/>
        </w:rPr>
        <w:t>5）</w:t>
      </w:r>
      <w:bookmarkStart w:id="41" w:name="_Hlk71884196"/>
      <w:r>
        <w:rPr>
          <w:rFonts w:hint="eastAsia"/>
          <w:color w:val="auto"/>
          <w:sz w:val="21"/>
          <w:szCs w:val="21"/>
          <w:highlight w:val="none"/>
        </w:rPr>
        <w:t>服务方案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1"/>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2" w:name="_Hlk94097338"/>
      <w:r>
        <w:rPr>
          <w:rFonts w:hint="eastAsia"/>
          <w:b/>
          <w:bCs/>
          <w:color w:val="auto"/>
          <w:sz w:val="21"/>
          <w:szCs w:val="21"/>
          <w:highlight w:val="none"/>
        </w:rPr>
        <w:t>资格审查要求的资格证明材料(均需加盖公章)</w:t>
      </w:r>
    </w:p>
    <w:bookmarkEnd w:id="42"/>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69" w:firstLineChars="236"/>
        <w:jc w:val="center"/>
        <w:outlineLvl w:val="2"/>
        <w:rPr>
          <w:b/>
          <w:color w:val="auto"/>
          <w:spacing w:val="-6"/>
          <w:sz w:val="21"/>
          <w:szCs w:val="21"/>
          <w:highlight w:val="none"/>
        </w:rPr>
      </w:pPr>
    </w:p>
    <w:p>
      <w:pPr>
        <w:adjustRightInd w:val="0"/>
        <w:snapToGrid w:val="0"/>
        <w:spacing w:line="288" w:lineRule="auto"/>
        <w:ind w:firstLine="498" w:firstLineChars="236"/>
        <w:jc w:val="center"/>
        <w:outlineLvl w:val="2"/>
        <w:rPr>
          <w:b/>
          <w:bCs/>
          <w:color w:val="auto"/>
          <w:sz w:val="21"/>
          <w:szCs w:val="21"/>
          <w:highlight w:val="none"/>
        </w:rPr>
      </w:pPr>
      <w:r>
        <w:rPr>
          <w:b/>
          <w:bCs/>
          <w:color w:val="auto"/>
          <w:sz w:val="21"/>
          <w:szCs w:val="21"/>
          <w:highlight w:val="none"/>
        </w:rPr>
        <w:t>中小企业声明函（服务）</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rFonts w:hint="eastAsia"/>
          <w:color w:val="auto"/>
          <w:sz w:val="21"/>
          <w:szCs w:val="21"/>
          <w:highlight w:val="none"/>
          <w:u w:val="single"/>
        </w:rPr>
        <w:t>杭州电子科技大学</w:t>
      </w:r>
      <w:r>
        <w:rPr>
          <w:color w:val="auto"/>
          <w:sz w:val="21"/>
          <w:szCs w:val="21"/>
          <w:highlight w:val="none"/>
        </w:rPr>
        <w:t>的</w:t>
      </w:r>
      <w:r>
        <w:rPr>
          <w:rFonts w:hint="eastAsia"/>
          <w:color w:val="auto"/>
          <w:sz w:val="21"/>
          <w:szCs w:val="21"/>
          <w:highlight w:val="none"/>
          <w:u w:val="single"/>
        </w:rPr>
        <w:t>余杭区2023年科创研学服务</w:t>
      </w:r>
      <w:r>
        <w:rPr>
          <w:color w:val="auto"/>
          <w:sz w:val="21"/>
          <w:szCs w:val="21"/>
          <w:highlight w:val="none"/>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color w:val="auto"/>
          <w:sz w:val="21"/>
          <w:szCs w:val="21"/>
          <w:highlight w:val="none"/>
          <w:u w:val="single"/>
        </w:rPr>
      </w:pPr>
      <w:r>
        <w:rPr>
          <w:rFonts w:hint="eastAsia"/>
          <w:color w:val="auto"/>
          <w:sz w:val="21"/>
          <w:szCs w:val="21"/>
          <w:highlight w:val="none"/>
          <w:u w:val="single"/>
        </w:rPr>
        <w:t>1</w:t>
      </w:r>
      <w:r>
        <w:rPr>
          <w:color w:val="auto"/>
          <w:sz w:val="21"/>
          <w:szCs w:val="21"/>
          <w:highlight w:val="none"/>
          <w:u w:val="single"/>
        </w:rPr>
        <w:t>.</w:t>
      </w:r>
      <w:r>
        <w:rPr>
          <w:rFonts w:hint="eastAsia"/>
          <w:color w:val="auto"/>
          <w:sz w:val="21"/>
          <w:szCs w:val="21"/>
          <w:highlight w:val="none"/>
          <w:u w:val="single"/>
        </w:rPr>
        <w:t>余杭区2023年科创研学服务</w:t>
      </w:r>
      <w:r>
        <w:rPr>
          <w:color w:val="auto"/>
          <w:sz w:val="21"/>
          <w:szCs w:val="21"/>
          <w:highlight w:val="none"/>
          <w:u w:val="single"/>
        </w:rPr>
        <w:t>，属于</w:t>
      </w:r>
      <w:r>
        <w:rPr>
          <w:rFonts w:hint="eastAsia"/>
          <w:color w:val="auto"/>
          <w:sz w:val="21"/>
          <w:szCs w:val="21"/>
          <w:highlight w:val="none"/>
          <w:u w:val="single"/>
        </w:rPr>
        <w:t>其他未列明行业</w:t>
      </w:r>
      <w:r>
        <w:rPr>
          <w:color w:val="auto"/>
          <w:sz w:val="21"/>
          <w:szCs w:val="21"/>
          <w:highlight w:val="none"/>
          <w:u w:val="single"/>
        </w:rPr>
        <w:t>；</w:t>
      </w:r>
      <w:r>
        <w:rPr>
          <w:color w:val="auto"/>
          <w:sz w:val="21"/>
          <w:szCs w:val="21"/>
          <w:highlight w:val="none"/>
        </w:rPr>
        <w:t>承接企业为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1.</w:t>
      </w:r>
      <w:r>
        <w:rPr>
          <w:rFonts w:hint="eastAsia"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2.</w:t>
      </w:r>
      <w:r>
        <w:rPr>
          <w:rFonts w:hint="eastAsia"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4</w:t>
      </w:r>
      <w:r>
        <w:rPr>
          <w:rFonts w:hint="eastAsia"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imes New Roman"/>
          <w:color w:val="auto"/>
          <w:sz w:val="21"/>
          <w:szCs w:val="22"/>
          <w:highlight w:val="none"/>
          <w:u w:val="single"/>
        </w:rPr>
      </w:pPr>
      <w:r>
        <w:rPr>
          <w:rFonts w:cs="Times New Roman"/>
          <w:color w:val="auto"/>
          <w:sz w:val="21"/>
          <w:szCs w:val="21"/>
          <w:highlight w:val="none"/>
          <w:u w:val="single"/>
        </w:rPr>
        <w:t>5.</w:t>
      </w:r>
      <w:r>
        <w:rPr>
          <w:rFonts w:hint="eastAsia"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cs="Times New Roman"/>
          <w:color w:val="auto"/>
          <w:sz w:val="21"/>
          <w:szCs w:val="22"/>
          <w:highlight w:val="none"/>
          <w:u w:val="single"/>
        </w:rPr>
        <w:t>不享受中小企业扶持政策。</w:t>
      </w:r>
    </w:p>
    <w:p>
      <w:pPr>
        <w:adjustRightInd w:val="0"/>
        <w:snapToGrid w:val="0"/>
        <w:spacing w:line="288" w:lineRule="auto"/>
        <w:ind w:firstLine="495" w:firstLineChars="236"/>
        <w:rPr>
          <w:rFonts w:cs="Times New Roman"/>
          <w:color w:val="auto"/>
          <w:sz w:val="21"/>
          <w:szCs w:val="21"/>
          <w:highlight w:val="none"/>
          <w:u w:val="single"/>
        </w:rPr>
      </w:pPr>
      <w:r>
        <w:rPr>
          <w:rFonts w:hint="eastAsia" w:cs="Times New Roman"/>
          <w:color w:val="auto"/>
          <w:sz w:val="21"/>
          <w:szCs w:val="21"/>
          <w:highlight w:val="none"/>
          <w:u w:val="single"/>
        </w:rPr>
        <w:t>6</w:t>
      </w:r>
      <w:r>
        <w:rPr>
          <w:rFonts w:cs="Times New Roman"/>
          <w:color w:val="auto"/>
          <w:sz w:val="21"/>
          <w:szCs w:val="21"/>
          <w:highlight w:val="none"/>
          <w:u w:val="singl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，且本单位参加______（采购人）单位的______（项目名称）项目采购活动提供本单位服务。</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w:t>
      </w:r>
      <w:r>
        <w:rPr>
          <w:rFonts w:hint="eastAsia"/>
          <w:color w:val="auto"/>
          <w:kern w:val="0"/>
          <w:sz w:val="21"/>
          <w:szCs w:val="21"/>
          <w:highlight w:val="none"/>
        </w:rPr>
        <w:t>财库</w:t>
      </w:r>
      <w:r>
        <w:rPr>
          <w:color w:val="auto"/>
          <w:kern w:val="0"/>
          <w:sz w:val="21"/>
          <w:szCs w:val="21"/>
          <w:highlight w:val="none"/>
        </w:rPr>
        <w:t>[2017]141号</w:t>
      </w:r>
      <w:r>
        <w:rPr>
          <w:rFonts w:hint="eastAsia"/>
          <w:color w:val="auto"/>
          <w:kern w:val="0"/>
          <w:sz w:val="21"/>
          <w:szCs w:val="21"/>
          <w:highlight w:val="none"/>
        </w:rPr>
        <w:t>文件</w:t>
      </w:r>
      <w:r>
        <w:rPr>
          <w:rFonts w:hint="eastAsia"/>
          <w:color w:val="auto"/>
          <w:kern w:val="0"/>
          <w:sz w:val="21"/>
          <w:szCs w:val="21"/>
          <w:highlight w:val="none"/>
        </w:rPr>
        <w:t>规定的《残疾人福利性单位声明函》</w:t>
      </w:r>
      <w:r>
        <w:rPr>
          <w:rFonts w:hint="eastAsia"/>
          <w:color w:val="auto"/>
          <w:kern w:val="0"/>
          <w:sz w:val="21"/>
          <w:szCs w:val="21"/>
          <w:highlight w:val="none"/>
        </w:rPr>
        <w:t>，并对声明的真实性负责。</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项目名称：余杭区2023年科创研学服务</w:t>
      </w:r>
    </w:p>
    <w:p>
      <w:pPr>
        <w:adjustRightInd w:val="0"/>
        <w:snapToGrid w:val="0"/>
        <w:spacing w:line="288" w:lineRule="auto"/>
        <w:rPr>
          <w:color w:val="auto"/>
          <w:sz w:val="21"/>
          <w:szCs w:val="21"/>
          <w:highlight w:val="none"/>
        </w:rPr>
      </w:pPr>
      <w:r>
        <w:rPr>
          <w:rFonts w:hint="eastAsia"/>
          <w:color w:val="auto"/>
          <w:sz w:val="21"/>
          <w:szCs w:val="21"/>
          <w:highlight w:val="none"/>
        </w:rPr>
        <w:t>项目编号：QSZB-Z(F)-B23378(CS)</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316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具体服务</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156"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b/>
                <w:color w:val="auto"/>
                <w:spacing w:val="-6"/>
                <w:sz w:val="21"/>
                <w:szCs w:val="21"/>
                <w:highlight w:val="none"/>
              </w:rPr>
              <w:t>▲</w:t>
            </w:r>
            <w:r>
              <w:rPr>
                <w:rFonts w:hint="eastAsia" w:cs="Times New Roman"/>
                <w:b/>
                <w:color w:val="auto"/>
                <w:spacing w:val="-6"/>
                <w:sz w:val="21"/>
                <w:szCs w:val="21"/>
                <w:highlight w:val="none"/>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杭州电子科技大学余杭区2023年科创研学服务</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：QSZB-Z(F)-B23378(CS)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adjustRightInd w:val="0"/>
              <w:snapToGrid w:val="0"/>
              <w:spacing w:line="288" w:lineRule="auto"/>
              <w:rPr>
                <w:rFonts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杭州电子科技大学余杭区2023年科创研学服务项目（项目编号：QSZB-Z(F)-B23378(CS)）</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▲提供授权代表社保缴纳证明（2022年12月（含）以后任意一月）。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2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附：授权代表社保缴纳证明（2022年12月（含）以后任意一月）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26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w:t>
            </w:r>
          </w:p>
        </w:tc>
        <w:tc>
          <w:tcPr>
            <w:tcW w:w="12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项目名称</w:t>
            </w:r>
          </w:p>
        </w:tc>
        <w:tc>
          <w:tcPr>
            <w:tcW w:w="143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合同金额</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（万元）</w:t>
            </w:r>
          </w:p>
        </w:tc>
        <w:tc>
          <w:tcPr>
            <w:tcW w:w="89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附件页码</w:t>
            </w:r>
          </w:p>
        </w:tc>
        <w:tc>
          <w:tcPr>
            <w:tcW w:w="9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采购人联系人</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项目名称：余杭区2023年科创研学服务</w:t>
      </w:r>
    </w:p>
    <w:p>
      <w:pPr>
        <w:adjustRightInd w:val="0"/>
        <w:snapToGrid w:val="0"/>
        <w:spacing w:line="288" w:lineRule="auto"/>
        <w:rPr>
          <w:color w:val="auto"/>
          <w:sz w:val="21"/>
          <w:szCs w:val="21"/>
          <w:highlight w:val="none"/>
        </w:rPr>
      </w:pPr>
      <w:r>
        <w:rPr>
          <w:rFonts w:hint="eastAsia"/>
          <w:color w:val="auto"/>
          <w:sz w:val="21"/>
          <w:szCs w:val="21"/>
          <w:highlight w:val="none"/>
        </w:rPr>
        <w:t>项目编号：QSZB-Z(F)-B23378(CS)</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b/>
          <w:color w:val="auto"/>
          <w:spacing w:val="-6"/>
          <w:sz w:val="21"/>
          <w:szCs w:val="21"/>
          <w:highlight w:val="none"/>
        </w:rPr>
      </w:pPr>
      <w:bookmarkStart w:id="43" w:name="_Hlk71885757"/>
      <w:r>
        <w:rPr>
          <w:rFonts w:hint="eastAsia"/>
          <w:b/>
          <w:color w:val="auto"/>
          <w:spacing w:val="-6"/>
          <w:sz w:val="21"/>
          <w:szCs w:val="21"/>
          <w:highlight w:val="none"/>
        </w:rPr>
        <w:t>（5）服务方案</w:t>
      </w:r>
      <w:bookmarkEnd w:id="43"/>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（6）供应商需要说明的其他文件和材料。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为符合要求的小微企业并提供本单位服务，其合同份额占到合同总金额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w:t>
      </w:r>
      <w:r>
        <w:rPr>
          <w:rFonts w:hint="eastAsia" w:cs="仿宋_GB2312"/>
          <w:b/>
          <w:color w:val="auto"/>
          <w:kern w:val="0"/>
          <w:sz w:val="21"/>
          <w:szCs w:val="21"/>
          <w:highlight w:val="none"/>
        </w:rPr>
        <w:t>为符合要求的</w:t>
      </w:r>
      <w:r>
        <w:rPr>
          <w:rFonts w:hint="eastAsia" w:cs="仿宋_GB2312"/>
          <w:b/>
          <w:color w:val="auto"/>
          <w:kern w:val="0"/>
          <w:sz w:val="21"/>
          <w:szCs w:val="21"/>
          <w:highlight w:val="none"/>
          <w:lang w:val="zh-CN"/>
        </w:rPr>
        <w:t>小微企业</w:t>
      </w:r>
      <w:r>
        <w:rPr>
          <w:rFonts w:hint="eastAsia" w:cs="仿宋_GB2312"/>
          <w:b/>
          <w:color w:val="auto"/>
          <w:kern w:val="0"/>
          <w:sz w:val="21"/>
          <w:szCs w:val="21"/>
          <w:highlight w:val="none"/>
        </w:rPr>
        <w:t>并提供本单位服务</w:t>
      </w:r>
      <w:r>
        <w:rPr>
          <w:rFonts w:hint="eastAsia" w:cs="仿宋_GB2312"/>
          <w:b/>
          <w:color w:val="auto"/>
          <w:kern w:val="0"/>
          <w:sz w:val="21"/>
          <w:szCs w:val="21"/>
          <w:highlight w:val="none"/>
          <w:lang w:val="zh-CN"/>
        </w:rPr>
        <w:t>，且其合同份额占到合同总金额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（分包供应商名称）为符合要求的小微企业并提供本单位服务，</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（未预留份额专门面向中小企业采购的的采购项目，以及预留份额中的非预留部分采购包，允许分包的，分包供应商为符合要求的小微企业并提供本单位服务，且其合同份额占到合同总金额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wYzFkNzQ4MWI4MmEwZjA1MzkwNWQ3YjgwNjY3Zjk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42EE2"/>
    <w:rsid w:val="00052BA5"/>
    <w:rsid w:val="000563C9"/>
    <w:rsid w:val="00071F0A"/>
    <w:rsid w:val="000767D0"/>
    <w:rsid w:val="00081FB8"/>
    <w:rsid w:val="00083A4C"/>
    <w:rsid w:val="00083C0E"/>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4529"/>
    <w:rsid w:val="00257623"/>
    <w:rsid w:val="00260A9F"/>
    <w:rsid w:val="00261053"/>
    <w:rsid w:val="00264A17"/>
    <w:rsid w:val="002664FC"/>
    <w:rsid w:val="00271655"/>
    <w:rsid w:val="00271BC7"/>
    <w:rsid w:val="00272B23"/>
    <w:rsid w:val="0027404F"/>
    <w:rsid w:val="002836DB"/>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4395"/>
    <w:rsid w:val="002D5B1A"/>
    <w:rsid w:val="002E42D3"/>
    <w:rsid w:val="002E4A55"/>
    <w:rsid w:val="002E77E1"/>
    <w:rsid w:val="002F0A74"/>
    <w:rsid w:val="002F39B2"/>
    <w:rsid w:val="00301F56"/>
    <w:rsid w:val="00310D2D"/>
    <w:rsid w:val="00312E0A"/>
    <w:rsid w:val="003135FE"/>
    <w:rsid w:val="00313A06"/>
    <w:rsid w:val="003152D0"/>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96C96"/>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4876"/>
    <w:rsid w:val="00467FA3"/>
    <w:rsid w:val="0047650F"/>
    <w:rsid w:val="00477C08"/>
    <w:rsid w:val="0048411A"/>
    <w:rsid w:val="004A7850"/>
    <w:rsid w:val="004B27EF"/>
    <w:rsid w:val="004B5D4B"/>
    <w:rsid w:val="004C0583"/>
    <w:rsid w:val="004C28D6"/>
    <w:rsid w:val="004C48B7"/>
    <w:rsid w:val="004C5538"/>
    <w:rsid w:val="004C6B6C"/>
    <w:rsid w:val="004D29E5"/>
    <w:rsid w:val="004E0163"/>
    <w:rsid w:val="004E5385"/>
    <w:rsid w:val="004E599B"/>
    <w:rsid w:val="004E5BEF"/>
    <w:rsid w:val="004F2F4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1578B"/>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6F5F4B"/>
    <w:rsid w:val="0070138B"/>
    <w:rsid w:val="00705EF5"/>
    <w:rsid w:val="00707602"/>
    <w:rsid w:val="00707B60"/>
    <w:rsid w:val="00711714"/>
    <w:rsid w:val="00712984"/>
    <w:rsid w:val="0071599A"/>
    <w:rsid w:val="00732574"/>
    <w:rsid w:val="007325CF"/>
    <w:rsid w:val="00732CDB"/>
    <w:rsid w:val="0073538E"/>
    <w:rsid w:val="00742B0C"/>
    <w:rsid w:val="00742C0F"/>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26C85"/>
    <w:rsid w:val="008316E0"/>
    <w:rsid w:val="00840283"/>
    <w:rsid w:val="00840FE7"/>
    <w:rsid w:val="00841ADD"/>
    <w:rsid w:val="00843675"/>
    <w:rsid w:val="00850BB1"/>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4BB8"/>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00F7"/>
    <w:rsid w:val="009D152F"/>
    <w:rsid w:val="009D42DC"/>
    <w:rsid w:val="009D5682"/>
    <w:rsid w:val="009D5E5D"/>
    <w:rsid w:val="009D62EA"/>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434A"/>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27A9"/>
    <w:rsid w:val="00AE7769"/>
    <w:rsid w:val="00AE786C"/>
    <w:rsid w:val="00AF26F2"/>
    <w:rsid w:val="00AF74F9"/>
    <w:rsid w:val="00B01EA6"/>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A71CB"/>
    <w:rsid w:val="00BB537B"/>
    <w:rsid w:val="00BC0A2A"/>
    <w:rsid w:val="00BC0C37"/>
    <w:rsid w:val="00BC50DF"/>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3639A"/>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6A16"/>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0635"/>
    <w:rsid w:val="00F52C34"/>
    <w:rsid w:val="00F54B3E"/>
    <w:rsid w:val="00F5586F"/>
    <w:rsid w:val="00F60635"/>
    <w:rsid w:val="00F60854"/>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0FF7BB1"/>
    <w:rsid w:val="01151B18"/>
    <w:rsid w:val="017966BD"/>
    <w:rsid w:val="018C0E18"/>
    <w:rsid w:val="01C9286B"/>
    <w:rsid w:val="02350109"/>
    <w:rsid w:val="02480D0E"/>
    <w:rsid w:val="024D1814"/>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8531B7"/>
    <w:rsid w:val="0A9A0004"/>
    <w:rsid w:val="0AB84F29"/>
    <w:rsid w:val="0AC6684F"/>
    <w:rsid w:val="0AF721E9"/>
    <w:rsid w:val="0AFA33F2"/>
    <w:rsid w:val="0B091E63"/>
    <w:rsid w:val="0B164A29"/>
    <w:rsid w:val="0B1B034D"/>
    <w:rsid w:val="0B7C2D8A"/>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DE444A6"/>
    <w:rsid w:val="0E141B3D"/>
    <w:rsid w:val="0E253E72"/>
    <w:rsid w:val="0E287F77"/>
    <w:rsid w:val="0E856FED"/>
    <w:rsid w:val="0E8F37B9"/>
    <w:rsid w:val="0ECA7929"/>
    <w:rsid w:val="0EE63652"/>
    <w:rsid w:val="0EEC3D3D"/>
    <w:rsid w:val="0F2F3444"/>
    <w:rsid w:val="0F410792"/>
    <w:rsid w:val="0F6277BA"/>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D404AA"/>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C9842BC"/>
    <w:rsid w:val="1D4A6348"/>
    <w:rsid w:val="1D5C4ECD"/>
    <w:rsid w:val="1D63527C"/>
    <w:rsid w:val="1D6A3946"/>
    <w:rsid w:val="1D920ECB"/>
    <w:rsid w:val="1DD259C3"/>
    <w:rsid w:val="1DDD0826"/>
    <w:rsid w:val="1E654A1D"/>
    <w:rsid w:val="1E6A19B1"/>
    <w:rsid w:val="1E7F799F"/>
    <w:rsid w:val="1ECC0DD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4473C"/>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872C6"/>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CE2C3C"/>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5A7375"/>
    <w:rsid w:val="307A6BF4"/>
    <w:rsid w:val="31186EB7"/>
    <w:rsid w:val="3179376A"/>
    <w:rsid w:val="31A353BC"/>
    <w:rsid w:val="31B10509"/>
    <w:rsid w:val="31BD5198"/>
    <w:rsid w:val="31C169C5"/>
    <w:rsid w:val="31DB0F40"/>
    <w:rsid w:val="321C1DAA"/>
    <w:rsid w:val="3230228C"/>
    <w:rsid w:val="324637C9"/>
    <w:rsid w:val="3253058A"/>
    <w:rsid w:val="32626B6D"/>
    <w:rsid w:val="327137A1"/>
    <w:rsid w:val="32A97818"/>
    <w:rsid w:val="32B80E90"/>
    <w:rsid w:val="32CC1C4F"/>
    <w:rsid w:val="32D02B38"/>
    <w:rsid w:val="32F73AE0"/>
    <w:rsid w:val="334A2C5B"/>
    <w:rsid w:val="3365747E"/>
    <w:rsid w:val="33A350EF"/>
    <w:rsid w:val="33F97333"/>
    <w:rsid w:val="341C663B"/>
    <w:rsid w:val="34381FFF"/>
    <w:rsid w:val="343D5485"/>
    <w:rsid w:val="34587ADC"/>
    <w:rsid w:val="34777905"/>
    <w:rsid w:val="34AB3225"/>
    <w:rsid w:val="34D978D3"/>
    <w:rsid w:val="34E75F40"/>
    <w:rsid w:val="34EF4ACA"/>
    <w:rsid w:val="34FD3DC3"/>
    <w:rsid w:val="357E28FB"/>
    <w:rsid w:val="35A66274"/>
    <w:rsid w:val="35AF2F94"/>
    <w:rsid w:val="35D76993"/>
    <w:rsid w:val="35EB4CF7"/>
    <w:rsid w:val="35F425D5"/>
    <w:rsid w:val="35FF42F7"/>
    <w:rsid w:val="362B67A1"/>
    <w:rsid w:val="3630581F"/>
    <w:rsid w:val="36553987"/>
    <w:rsid w:val="36806379"/>
    <w:rsid w:val="36E466D7"/>
    <w:rsid w:val="371840E5"/>
    <w:rsid w:val="37551903"/>
    <w:rsid w:val="37A25A49"/>
    <w:rsid w:val="37BD498C"/>
    <w:rsid w:val="37C41E89"/>
    <w:rsid w:val="380C4385"/>
    <w:rsid w:val="383470A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7322F9"/>
    <w:rsid w:val="3E843852"/>
    <w:rsid w:val="3E9632B8"/>
    <w:rsid w:val="3E9F68B5"/>
    <w:rsid w:val="3EB346E9"/>
    <w:rsid w:val="3ECE4E0A"/>
    <w:rsid w:val="3F183797"/>
    <w:rsid w:val="3F491508"/>
    <w:rsid w:val="3F5D7FCB"/>
    <w:rsid w:val="3F5E6491"/>
    <w:rsid w:val="3F9900FB"/>
    <w:rsid w:val="3F9B2115"/>
    <w:rsid w:val="3FEA6AA5"/>
    <w:rsid w:val="40522DD7"/>
    <w:rsid w:val="4094290E"/>
    <w:rsid w:val="40C107CA"/>
    <w:rsid w:val="410715B3"/>
    <w:rsid w:val="41124712"/>
    <w:rsid w:val="41224FB8"/>
    <w:rsid w:val="414D2866"/>
    <w:rsid w:val="417F7AFD"/>
    <w:rsid w:val="41B31BED"/>
    <w:rsid w:val="41BE677C"/>
    <w:rsid w:val="41F55CA8"/>
    <w:rsid w:val="42276C78"/>
    <w:rsid w:val="428C51B1"/>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A14B66"/>
    <w:rsid w:val="45C304E1"/>
    <w:rsid w:val="45DA4283"/>
    <w:rsid w:val="46084EAB"/>
    <w:rsid w:val="462D32F3"/>
    <w:rsid w:val="463A7B71"/>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9844EC"/>
    <w:rsid w:val="4EC93248"/>
    <w:rsid w:val="4ECB500C"/>
    <w:rsid w:val="4EDF069F"/>
    <w:rsid w:val="4EFE5BE2"/>
    <w:rsid w:val="4EFE6728"/>
    <w:rsid w:val="4F05236E"/>
    <w:rsid w:val="4F0B787A"/>
    <w:rsid w:val="4F1203F1"/>
    <w:rsid w:val="4F187DE9"/>
    <w:rsid w:val="4F210F21"/>
    <w:rsid w:val="4F3718E3"/>
    <w:rsid w:val="4F7B269C"/>
    <w:rsid w:val="4FDA0DAB"/>
    <w:rsid w:val="4FEC3BFA"/>
    <w:rsid w:val="4FF534DD"/>
    <w:rsid w:val="507239EE"/>
    <w:rsid w:val="5088341F"/>
    <w:rsid w:val="50AD2A54"/>
    <w:rsid w:val="50BA7E57"/>
    <w:rsid w:val="50D81BF7"/>
    <w:rsid w:val="50E9335E"/>
    <w:rsid w:val="51013988"/>
    <w:rsid w:val="51084FAC"/>
    <w:rsid w:val="51190415"/>
    <w:rsid w:val="51333A09"/>
    <w:rsid w:val="513738A4"/>
    <w:rsid w:val="514E3BD8"/>
    <w:rsid w:val="5154538B"/>
    <w:rsid w:val="519C7C5B"/>
    <w:rsid w:val="51D42DB3"/>
    <w:rsid w:val="51D67140"/>
    <w:rsid w:val="51E95069"/>
    <w:rsid w:val="51F73AE5"/>
    <w:rsid w:val="51F85346"/>
    <w:rsid w:val="52264409"/>
    <w:rsid w:val="52815EB4"/>
    <w:rsid w:val="52AB3107"/>
    <w:rsid w:val="52BC519A"/>
    <w:rsid w:val="52BF4740"/>
    <w:rsid w:val="52C719B0"/>
    <w:rsid w:val="52EE5E34"/>
    <w:rsid w:val="534B63AE"/>
    <w:rsid w:val="53860027"/>
    <w:rsid w:val="53E4448B"/>
    <w:rsid w:val="54A83322"/>
    <w:rsid w:val="54A9021D"/>
    <w:rsid w:val="54C066C6"/>
    <w:rsid w:val="54C80C1B"/>
    <w:rsid w:val="54E7165D"/>
    <w:rsid w:val="55066D76"/>
    <w:rsid w:val="552D654A"/>
    <w:rsid w:val="552D710B"/>
    <w:rsid w:val="556A04AF"/>
    <w:rsid w:val="557766E3"/>
    <w:rsid w:val="557B0739"/>
    <w:rsid w:val="558E66C9"/>
    <w:rsid w:val="55A5332F"/>
    <w:rsid w:val="55CC5ACC"/>
    <w:rsid w:val="55E36449"/>
    <w:rsid w:val="55F05BDD"/>
    <w:rsid w:val="56026953"/>
    <w:rsid w:val="56226A5D"/>
    <w:rsid w:val="5630006B"/>
    <w:rsid w:val="566136B8"/>
    <w:rsid w:val="569D7FEE"/>
    <w:rsid w:val="56C52FDC"/>
    <w:rsid w:val="56CE0A80"/>
    <w:rsid w:val="56D5788D"/>
    <w:rsid w:val="56F13E4B"/>
    <w:rsid w:val="57063CE5"/>
    <w:rsid w:val="57193C7A"/>
    <w:rsid w:val="57575FE6"/>
    <w:rsid w:val="581731F5"/>
    <w:rsid w:val="5818649C"/>
    <w:rsid w:val="58361F13"/>
    <w:rsid w:val="585F6430"/>
    <w:rsid w:val="5875284A"/>
    <w:rsid w:val="587C6933"/>
    <w:rsid w:val="58B24F2D"/>
    <w:rsid w:val="58B6757E"/>
    <w:rsid w:val="58C71FAA"/>
    <w:rsid w:val="58F275EE"/>
    <w:rsid w:val="59427DB3"/>
    <w:rsid w:val="597E6AEA"/>
    <w:rsid w:val="59DA4DF8"/>
    <w:rsid w:val="5A8848BE"/>
    <w:rsid w:val="5ABB33A6"/>
    <w:rsid w:val="5ACE76BA"/>
    <w:rsid w:val="5AF4242B"/>
    <w:rsid w:val="5B2F4695"/>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8441F3"/>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9FC655A"/>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6D77D7"/>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522301"/>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F097EC6"/>
    <w:rsid w:val="7F1912E0"/>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2">
    <w:name w:val="Body Text"/>
    <w:next w:val="1"/>
    <w:qFormat/>
    <w:uiPriority w:val="0"/>
    <w:pPr>
      <w:widowControl w:val="0"/>
      <w:jc w:val="both"/>
    </w:pPr>
    <w:rPr>
      <w:rFonts w:ascii="宋体" w:hAnsi="宋体" w:eastAsia="宋体" w:cs="宋体"/>
      <w:kern w:val="2"/>
      <w:sz w:val="21"/>
      <w:szCs w:val="24"/>
      <w:lang w:val="en-US" w:eastAsia="zh-CN" w:bidi="ar-SA"/>
    </w:rPr>
  </w:style>
  <w:style w:type="paragraph" w:styleId="3">
    <w:name w:val="annotation text"/>
    <w:basedOn w:val="1"/>
    <w:link w:val="18"/>
    <w:unhideWhenUsed/>
    <w:qFormat/>
    <w:uiPriority w:val="99"/>
    <w:pPr>
      <w:jc w:val="left"/>
    </w:pPr>
    <w:rPr>
      <w:rFonts w:ascii="Times New Roman" w:hAnsi="Times New Roman" w:cs="Times New Roman"/>
      <w:sz w:val="28"/>
    </w:rPr>
  </w:style>
  <w:style w:type="paragraph" w:styleId="4">
    <w:name w:val="Body Text Indent"/>
    <w:basedOn w:val="1"/>
    <w:link w:val="19"/>
    <w:qFormat/>
    <w:uiPriority w:val="0"/>
    <w:pPr>
      <w:spacing w:line="200" w:lineRule="atLeast"/>
      <w:ind w:firstLine="301"/>
    </w:pPr>
    <w:rPr>
      <w:rFonts w:hAnsi="Courier New" w:cs="Times New Roman"/>
      <w:spacing w:val="-4"/>
      <w:sz w:val="18"/>
      <w:szCs w:val="20"/>
    </w:rPr>
  </w:style>
  <w:style w:type="paragraph" w:styleId="5">
    <w:name w:val="Plain Text"/>
    <w:basedOn w:val="1"/>
    <w:link w:val="26"/>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7"/>
    <w:qFormat/>
    <w:uiPriority w:val="0"/>
    <w:rPr>
      <w:sz w:val="18"/>
      <w:szCs w:val="18"/>
    </w:rPr>
  </w:style>
  <w:style w:type="paragraph" w:styleId="7">
    <w:name w:val="footer"/>
    <w:basedOn w:val="1"/>
    <w:link w:val="24"/>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7"/>
    <w:semiHidden/>
    <w:unhideWhenUsed/>
    <w:qFormat/>
    <w:uiPriority w:val="0"/>
    <w:rPr>
      <w:rFonts w:ascii="宋体" w:hAnsi="宋体" w:cs="宋体"/>
      <w:b/>
      <w:bCs/>
      <w:sz w:val="24"/>
    </w:rPr>
  </w:style>
  <w:style w:type="paragraph" w:styleId="11">
    <w:name w:val="Body Text First Indent"/>
    <w:qFormat/>
    <w:uiPriority w:val="0"/>
    <w:pPr>
      <w:widowControl w:val="0"/>
      <w:spacing w:after="120" w:line="288" w:lineRule="auto"/>
      <w:ind w:firstLine="420" w:firstLineChars="100"/>
      <w:jc w:val="both"/>
    </w:pPr>
    <w:rPr>
      <w:rFonts w:ascii="Times New Roman" w:hAnsi="Times New Roman" w:eastAsia="宋体" w:cs="Times New Roman"/>
      <w:kern w:val="2"/>
      <w:sz w:val="28"/>
      <w:szCs w:val="24"/>
      <w:lang w:val="en-US" w:eastAsia="zh-CN" w:bidi="ar-SA"/>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Balloon Text Char"/>
    <w:basedOn w:val="14"/>
    <w:link w:val="6"/>
    <w:qFormat/>
    <w:uiPriority w:val="0"/>
    <w:rPr>
      <w:rFonts w:ascii="宋体" w:hAnsi="宋体" w:cs="宋体"/>
      <w:kern w:val="2"/>
      <w:sz w:val="18"/>
      <w:szCs w:val="18"/>
    </w:rPr>
  </w:style>
  <w:style w:type="character" w:customStyle="1" w:styleId="18">
    <w:name w:val="Comment Text Char"/>
    <w:basedOn w:val="14"/>
    <w:link w:val="3"/>
    <w:qFormat/>
    <w:uiPriority w:val="99"/>
    <w:rPr>
      <w:kern w:val="2"/>
      <w:sz w:val="28"/>
      <w:szCs w:val="24"/>
    </w:rPr>
  </w:style>
  <w:style w:type="character" w:customStyle="1" w:styleId="19">
    <w:name w:val="Body Text Indent Char"/>
    <w:link w:val="4"/>
    <w:qFormat/>
    <w:uiPriority w:val="0"/>
    <w:rPr>
      <w:rFonts w:ascii="宋体" w:hAnsi="Courier New"/>
      <w:spacing w:val="-4"/>
      <w:kern w:val="2"/>
      <w:sz w:val="18"/>
    </w:rPr>
  </w:style>
  <w:style w:type="character" w:customStyle="1" w:styleId="20">
    <w:name w:val="正文文本缩进 字符"/>
    <w:basedOn w:val="14"/>
    <w:qFormat/>
    <w:uiPriority w:val="0"/>
    <w:rPr>
      <w:rFonts w:ascii="宋体" w:hAnsi="宋体" w:cs="宋体"/>
      <w:kern w:val="2"/>
      <w:sz w:val="24"/>
      <w:szCs w:val="24"/>
    </w:rPr>
  </w:style>
  <w:style w:type="character" w:customStyle="1" w:styleId="21">
    <w:name w:val="正文文本缩进 字符2"/>
    <w:qFormat/>
    <w:uiPriority w:val="0"/>
    <w:rPr>
      <w:rFonts w:ascii="宋体" w:hAnsi="Courier New"/>
      <w:spacing w:val="-4"/>
      <w:kern w:val="2"/>
      <w:sz w:val="18"/>
    </w:rPr>
  </w:style>
  <w:style w:type="character" w:customStyle="1" w:styleId="22">
    <w:name w:val="未处理的提及1"/>
    <w:basedOn w:val="14"/>
    <w:semiHidden/>
    <w:unhideWhenUsed/>
    <w:qFormat/>
    <w:uiPriority w:val="99"/>
    <w:rPr>
      <w:color w:val="605E5C"/>
      <w:shd w:val="clear" w:color="auto" w:fill="E1DFDD"/>
    </w:rPr>
  </w:style>
  <w:style w:type="paragraph" w:styleId="23">
    <w:name w:val="List Paragraph"/>
    <w:basedOn w:val="1"/>
    <w:qFormat/>
    <w:uiPriority w:val="99"/>
    <w:pPr>
      <w:ind w:firstLine="420" w:firstLineChars="200"/>
    </w:pPr>
  </w:style>
  <w:style w:type="character" w:customStyle="1" w:styleId="24">
    <w:name w:val="Footer Char"/>
    <w:basedOn w:val="14"/>
    <w:link w:val="7"/>
    <w:qFormat/>
    <w:uiPriority w:val="99"/>
    <w:rPr>
      <w:rFonts w:ascii="宋体" w:hAnsi="宋体" w:cs="宋体"/>
      <w:kern w:val="2"/>
      <w:sz w:val="18"/>
      <w:szCs w:val="24"/>
    </w:rPr>
  </w:style>
  <w:style w:type="character" w:customStyle="1" w:styleId="25">
    <w:name w:val="纯文本 字符"/>
    <w:basedOn w:val="14"/>
    <w:qFormat/>
    <w:uiPriority w:val="0"/>
    <w:rPr>
      <w:rFonts w:hAnsi="Courier New" w:cs="Courier New" w:asciiTheme="minorEastAsia" w:eastAsiaTheme="minorEastAsia"/>
      <w:kern w:val="2"/>
      <w:sz w:val="24"/>
      <w:szCs w:val="24"/>
    </w:rPr>
  </w:style>
  <w:style w:type="character" w:customStyle="1" w:styleId="26">
    <w:name w:val="Plain Text Char"/>
    <w:link w:val="5"/>
    <w:qFormat/>
    <w:uiPriority w:val="99"/>
    <w:rPr>
      <w:rFonts w:ascii="宋体" w:hAnsi="Courier New" w:eastAsiaTheme="minorEastAsia" w:cstheme="minorBidi"/>
      <w:kern w:val="2"/>
      <w:sz w:val="24"/>
      <w:szCs w:val="24"/>
    </w:rPr>
  </w:style>
  <w:style w:type="character" w:customStyle="1" w:styleId="27">
    <w:name w:val="Comment Subject Char"/>
    <w:basedOn w:val="18"/>
    <w:link w:val="10"/>
    <w:semiHidden/>
    <w:qFormat/>
    <w:uiPriority w:val="0"/>
    <w:rPr>
      <w:rFonts w:ascii="宋体" w:hAnsi="宋体" w:cs="宋体"/>
      <w:b/>
      <w:bCs/>
      <w:kern w:val="2"/>
      <w:sz w:val="24"/>
      <w:szCs w:val="24"/>
    </w:rPr>
  </w:style>
  <w:style w:type="table" w:customStyle="1" w:styleId="28">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29">
    <w:name w:val="修订1"/>
    <w:hidden/>
    <w:semiHidden/>
    <w:qFormat/>
    <w:uiPriority w:val="99"/>
    <w:rPr>
      <w:rFonts w:ascii="宋体" w:hAnsi="宋体" w:eastAsia="宋体" w:cs="宋体"/>
      <w:kern w:val="2"/>
      <w:sz w:val="24"/>
      <w:szCs w:val="24"/>
      <w:lang w:val="en-US" w:eastAsia="zh-CN" w:bidi="ar-SA"/>
    </w:rPr>
  </w:style>
  <w:style w:type="character" w:customStyle="1" w:styleId="30">
    <w:name w:val="font41"/>
    <w:basedOn w:val="14"/>
    <w:qFormat/>
    <w:uiPriority w:val="0"/>
    <w:rPr>
      <w:rFonts w:hint="eastAsia" w:ascii="宋体" w:hAnsi="宋体" w:eastAsia="宋体" w:cs="宋体"/>
      <w:color w:val="000000"/>
      <w:sz w:val="22"/>
      <w:szCs w:val="22"/>
      <w:u w:val="none"/>
      <w:vertAlign w:val="superscript"/>
    </w:rPr>
  </w:style>
  <w:style w:type="character" w:customStyle="1" w:styleId="31">
    <w:name w:val="font31"/>
    <w:basedOn w:val="14"/>
    <w:qFormat/>
    <w:uiPriority w:val="0"/>
    <w:rPr>
      <w:rFonts w:hint="eastAsia" w:ascii="宋体" w:hAnsi="宋体" w:eastAsia="宋体" w:cs="宋体"/>
      <w:color w:val="000000"/>
      <w:sz w:val="22"/>
      <w:szCs w:val="22"/>
      <w:u w:val="none"/>
    </w:rPr>
  </w:style>
  <w:style w:type="character" w:customStyle="1" w:styleId="32">
    <w:name w:val="font21"/>
    <w:basedOn w:val="14"/>
    <w:qFormat/>
    <w:uiPriority w:val="0"/>
    <w:rPr>
      <w:rFonts w:ascii="Calibri" w:hAnsi="Calibri" w:cs="Calibri"/>
      <w:color w:val="000000"/>
      <w:sz w:val="24"/>
      <w:szCs w:val="24"/>
      <w:u w:val="none"/>
    </w:rPr>
  </w:style>
  <w:style w:type="character" w:customStyle="1" w:styleId="33">
    <w:name w:val="font51"/>
    <w:basedOn w:val="14"/>
    <w:qFormat/>
    <w:uiPriority w:val="0"/>
    <w:rPr>
      <w:rFonts w:hint="eastAsia" w:ascii="宋体" w:hAnsi="宋体" w:eastAsia="宋体" w:cs="宋体"/>
      <w:color w:val="000000"/>
      <w:sz w:val="24"/>
      <w:szCs w:val="24"/>
      <w:u w:val="none"/>
    </w:rPr>
  </w:style>
  <w:style w:type="character" w:customStyle="1" w:styleId="34">
    <w:name w:val="font11"/>
    <w:basedOn w:val="14"/>
    <w:qFormat/>
    <w:uiPriority w:val="0"/>
    <w:rPr>
      <w:rFonts w:hint="eastAsia" w:ascii="宋体" w:hAnsi="宋体" w:eastAsia="宋体" w:cs="宋体"/>
      <w:color w:val="000000"/>
      <w:sz w:val="24"/>
      <w:szCs w:val="24"/>
      <w:u w:val="none"/>
      <w:vertAlign w:val="superscript"/>
    </w:rPr>
  </w:style>
  <w:style w:type="character" w:customStyle="1" w:styleId="35">
    <w:name w:val="font01"/>
    <w:basedOn w:val="14"/>
    <w:qFormat/>
    <w:uiPriority w:val="0"/>
    <w:rPr>
      <w:rFonts w:hint="default" w:ascii="Calibri" w:hAnsi="Calibri" w:cs="Calibri"/>
      <w:color w:val="000000"/>
      <w:sz w:val="24"/>
      <w:szCs w:val="24"/>
      <w:u w:val="none"/>
    </w:rPr>
  </w:style>
  <w:style w:type="paragraph" w:customStyle="1" w:styleId="36">
    <w:name w:val="Revision"/>
    <w:hidden/>
    <w:unhideWhenUsed/>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47</Pages>
  <Words>4506</Words>
  <Characters>25689</Characters>
  <Lines>214</Lines>
  <Paragraphs>60</Paragraphs>
  <TotalTime>8</TotalTime>
  <ScaleCrop>false</ScaleCrop>
  <LinksUpToDate>false</LinksUpToDate>
  <CharactersWithSpaces>30135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2023-06-09T06:39:00Z</dcterms:created>
  <dc:creator>Administrator</dc:creator>
  <cp:lastModifiedBy>浙江求是招标代理有限公司</cp:lastModifiedBy>
  <cp:lastPrinted>2020-04-01T05:56:00Z</cp:lastPrinted>
  <dcterms:modified xsi:type="dcterms:W3CDTF">2023-09-27T09:45:05Z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A25147998CE34C4AAB8FC012897A114E_13</vt:lpwstr>
  </property>
</Properties>
</file>