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杭州电子科技大学教室室内粉刷及栏杆油漆和六教零星维修、图书馆栏杆刷漆工程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杭州电子科技大学教室室内粉刷及栏杆油漆和六教零星维修、图书馆栏杆刷漆工程</w:t>
            </w:r>
            <w:r>
              <w:rPr>
                <w:rFonts w:hint="eastAsia" w:hAnsi="宋体" w:cs="宋体"/>
                <w:lang w:val="en-US" w:eastAsia="zh-CN"/>
              </w:rPr>
              <w:t>工程量清单内所有内容。</w:t>
            </w:r>
            <w:r>
              <w:rPr>
                <w:rFonts w:hint="eastAsia" w:cs="宋体" w:asciiTheme="majorEastAsia" w:hAnsiTheme="majorEastAsia" w:eastAsiaTheme="majorEastAsia"/>
                <w:color w:val="000000"/>
              </w:rPr>
              <w:t>具体内容和工程做法</w:t>
            </w:r>
            <w:r>
              <w:rPr>
                <w:rFonts w:hint="eastAsia" w:ascii="宋体" w:hAnsi="宋体" w:cs="宋体"/>
                <w:color w:val="000000"/>
                <w:szCs w:val="21"/>
                <w:highlight w:val="none"/>
                <w:lang w:val="en-US" w:eastAsia="zh-CN"/>
              </w:rPr>
              <w:t>详见工程量清单及招标文件</w:t>
            </w:r>
            <w:r>
              <w:rPr>
                <w:rFonts w:hint="eastAsia" w:cs="宋体" w:asciiTheme="majorEastAsia" w:hAnsiTheme="majorEastAsia" w:eastAsiaTheme="majorEastAsia"/>
                <w:color w:val="000000"/>
              </w:rPr>
              <w:t>。</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w:t>
            </w:r>
            <w:r>
              <w:rPr>
                <w:rFonts w:hint="eastAsia" w:ascii="宋体" w:hAnsi="宋体" w:cs="宋体"/>
                <w:color w:val="000000"/>
                <w:szCs w:val="21"/>
                <w:highlight w:val="none"/>
                <w:lang w:val="en-US" w:eastAsia="zh-CN"/>
              </w:rPr>
              <w:t>详见工程量清单及招标文件</w:t>
            </w:r>
            <w:r>
              <w:rPr>
                <w:rFonts w:hint="eastAsia" w:cs="宋体"/>
                <w:color w:val="000000"/>
                <w:highlight w:val="none"/>
              </w:rPr>
              <w:t>。</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val="en-US" w:eastAsia="zh-CN"/>
              </w:rPr>
              <w:t>7</w:t>
            </w:r>
            <w:r>
              <w:rPr>
                <w:rFonts w:hint="eastAsia" w:cs="宋体" w:asciiTheme="majorEastAsia" w:hAnsiTheme="majorEastAsia" w:eastAsiaTheme="majorEastAsia"/>
                <w:color w:val="000000"/>
                <w:szCs w:val="21"/>
                <w:highlight w:val="none"/>
              </w:rPr>
              <w:t>.《关于增值税调整后我省建设工程计价依据增值税税率及有关计价调整的通知》（浙建建发[2019]92号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val="en-US" w:eastAsia="zh-CN"/>
              </w:rPr>
              <w:t>8</w:t>
            </w:r>
            <w:r>
              <w:rPr>
                <w:rFonts w:hint="eastAsia" w:cs="宋体" w:asciiTheme="majorEastAsia" w:hAnsiTheme="majorEastAsia" w:eastAsiaTheme="majorEastAsia"/>
                <w:color w:val="000000"/>
                <w:szCs w:val="21"/>
                <w:highlight w:val="none"/>
              </w:rPr>
              <w:t>.《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val="en-US" w:eastAsia="zh-CN"/>
              </w:rPr>
              <w:t>9</w:t>
            </w:r>
            <w:r>
              <w:rPr>
                <w:rFonts w:hint="eastAsia" w:cs="宋体" w:asciiTheme="majorEastAsia" w:hAnsiTheme="majorEastAsia" w:eastAsiaTheme="majorEastAsia"/>
                <w:color w:val="000000"/>
                <w:szCs w:val="21"/>
                <w:highlight w:val="none"/>
              </w:rPr>
              <w:t>.《省建设厅关于调整建筑工程安全文明施工费的通知》（浙建建发[2022]37号）；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val="en-US" w:eastAsia="zh-CN"/>
              </w:rPr>
              <w:t>10</w:t>
            </w:r>
            <w:r>
              <w:rPr>
                <w:rFonts w:hint="eastAsia" w:cs="宋体" w:asciiTheme="majorEastAsia" w:hAnsiTheme="majorEastAsia" w:eastAsiaTheme="majorEastAsia"/>
                <w:color w:val="000000"/>
                <w:szCs w:val="21"/>
                <w:highlight w:val="none"/>
              </w:rPr>
              <w:t>.关于贯彻《省建设厅关于调整建筑工程安全文明施工费的通知》的通知（杭建市发[2022]54号）；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11</w:t>
            </w:r>
            <w:r>
              <w:rPr>
                <w:rFonts w:hint="eastAsia" w:ascii="宋体" w:hAnsi="宋体" w:cs="宋体"/>
                <w:color w:val="000000"/>
                <w:szCs w:val="21"/>
                <w:highlight w:val="none"/>
              </w:rPr>
              <w:t>．省、市建设行政主管部门以及工程造价管理机构颁发的相关计价办法和计价规定；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12</w:t>
            </w:r>
            <w:r>
              <w:rPr>
                <w:rFonts w:hint="eastAsia" w:ascii="宋体" w:hAnsi="宋体" w:cs="宋体"/>
                <w:color w:val="000000"/>
                <w:szCs w:val="21"/>
                <w:highlight w:val="none"/>
              </w:rPr>
              <w:t>．其他与工程项目有关的规范、标准和技术资料；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13</w:t>
            </w:r>
            <w:r>
              <w:rPr>
                <w:rFonts w:hint="eastAsia" w:ascii="宋体" w:hAnsi="宋体" w:cs="宋体"/>
                <w:color w:val="000000"/>
                <w:szCs w:val="21"/>
                <w:highlight w:val="none"/>
              </w:rPr>
              <w:t>．施工现场实际情况、工程特点、常规施工方案；</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4D8754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w:t>
            </w:r>
            <w:r>
              <w:rPr>
                <w:rFonts w:hint="eastAsia" w:ascii="宋体" w:hAnsi="宋体" w:cs="宋体"/>
                <w:color w:val="auto"/>
                <w:kern w:val="24"/>
                <w:sz w:val="21"/>
                <w:szCs w:val="21"/>
                <w:lang w:val="en-US" w:eastAsia="zh-CN"/>
              </w:rPr>
              <w:t>栏杆、不锈钢板</w:t>
            </w:r>
            <w:r>
              <w:rPr>
                <w:rFonts w:hint="eastAsia" w:ascii="宋体" w:hAnsi="宋体" w:eastAsia="宋体" w:cs="宋体"/>
                <w:color w:val="auto"/>
                <w:kern w:val="24"/>
                <w:sz w:val="21"/>
                <w:szCs w:val="21"/>
              </w:rPr>
              <w:t>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14:paraId="0D8962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14:paraId="6CA3E4CF">
            <w:pPr>
              <w:pStyle w:val="3"/>
              <w:spacing w:line="360" w:lineRule="auto"/>
              <w:ind w:firstLine="420" w:firstLineChars="200"/>
              <w:rPr>
                <w:rFonts w:hint="eastAsia"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3、施工前需与业主确认修缮区域</w:t>
            </w:r>
            <w:r>
              <w:rPr>
                <w:rFonts w:hint="eastAsia" w:hAnsi="宋体" w:cs="宋体"/>
                <w:color w:val="auto"/>
                <w:kern w:val="24"/>
                <w:sz w:val="21"/>
                <w:szCs w:val="21"/>
                <w:highlight w:val="none"/>
                <w:lang w:val="en-US" w:eastAsia="zh-CN"/>
              </w:rPr>
              <w:t>；</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4D5BDF5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13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089F13">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PC耐力板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F110A6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科思创、汇丽、历新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09F20BC">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43769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11FA9CE">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2DDB9">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B74450B">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玻璃</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944FA5D">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福耀、台玻、南玻</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43ED2B3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5BFF1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598F0E62">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w:t>
            </w:r>
            <w:r>
              <w:rPr>
                <w:rFonts w:hint="eastAsia" w:ascii="Times New Roman" w:hAnsi="Times New Roman" w:cs="Times New Roman"/>
                <w:kern w:val="1"/>
                <w:sz w:val="21"/>
                <w:szCs w:val="21"/>
                <w:lang w:eastAsia="zh-CN"/>
              </w:rPr>
              <w:t>、</w:t>
            </w:r>
            <w:r>
              <w:rPr>
                <w:rFonts w:hint="eastAsia" w:ascii="Times New Roman" w:hAnsi="Times New Roman" w:cs="Times New Roman"/>
                <w:kern w:val="1"/>
                <w:sz w:val="21"/>
                <w:szCs w:val="21"/>
                <w:lang w:val="en-US" w:eastAsia="zh-CN"/>
              </w:rPr>
              <w:t>板材</w:t>
            </w:r>
            <w:r>
              <w:rPr>
                <w:rFonts w:hint="default" w:ascii="Times New Roman" w:hAnsi="Times New Roman" w:eastAsia="宋体" w:cs="Times New Roman"/>
                <w:kern w:val="1"/>
                <w:sz w:val="21"/>
                <w:szCs w:val="21"/>
              </w:rPr>
              <w:t>要达到环保E1级标准</w:t>
            </w:r>
            <w:bookmarkStart w:id="0" w:name="_GoBack"/>
            <w:bookmarkEnd w:id="0"/>
            <w:r>
              <w:rPr>
                <w:rFonts w:hint="default" w:ascii="Times New Roman" w:hAnsi="Times New Roman" w:eastAsia="宋体" w:cs="Times New Roman"/>
                <w:kern w:val="1"/>
                <w:sz w:val="21"/>
                <w:szCs w:val="21"/>
              </w:rPr>
              <w:t>。</w:t>
            </w:r>
            <w:r>
              <w:rPr>
                <w:rFonts w:ascii="宋体" w:hAnsi="宋体" w:cs="宋体"/>
                <w:kern w:val="0"/>
                <w:szCs w:val="21"/>
                <w:highlight w:val="none"/>
                <w:lang w:val="zh-CN"/>
              </w:rPr>
              <w:t xml:space="preserve"> </w:t>
            </w: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16"/>
                              <w:szCs w:val="16"/>
                            </w:rPr>
                          </w:pPr>
                          <w:r>
                            <w:rPr>
                              <w:rFonts w:hint="eastAsia" w:ascii="宋体" w:hAnsi="宋体" w:eastAsia="宋体" w:cs="宋体"/>
                              <w:sz w:val="16"/>
                              <w:szCs w:val="16"/>
                            </w:rPr>
                            <w:t>工程名称:</w:t>
                          </w:r>
                          <w:r>
                            <w:rPr>
                              <w:rFonts w:hint="eastAsia" w:ascii="宋体" w:hAnsi="宋体" w:eastAsia="宋体" w:cs="宋体"/>
                              <w:sz w:val="16"/>
                              <w:szCs w:val="16"/>
                              <w:lang w:val="en-US" w:eastAsia="zh-CN"/>
                            </w:rPr>
                            <w:t xml:space="preserve">杭州电子科技大学教室室内粉刷及栏杆油漆和六教零星维修、图书馆栏杆刷漆工程           </w:t>
                          </w:r>
                          <w:r>
                            <w:rPr>
                              <w:rFonts w:hint="eastAsia" w:ascii="宋体" w:hAnsi="宋体" w:eastAsia="宋体" w:cs="宋体"/>
                              <w:sz w:val="16"/>
                              <w:szCs w:val="16"/>
                            </w:rPr>
                            <w:t>第</w:t>
                          </w:r>
                          <w:r>
                            <w:rPr>
                              <w:rFonts w:hint="eastAsia" w:ascii="宋体" w:hAnsi="宋体" w:eastAsia="宋体" w:cs="宋体"/>
                              <w:sz w:val="16"/>
                              <w:szCs w:val="16"/>
                            </w:rPr>
                            <w:fldChar w:fldCharType="begin"/>
                          </w:r>
                          <w:r>
                            <w:rPr>
                              <w:rFonts w:hint="eastAsia" w:ascii="宋体" w:hAnsi="宋体" w:eastAsia="宋体" w:cs="宋体"/>
                              <w:sz w:val="16"/>
                              <w:szCs w:val="16"/>
                            </w:rPr>
                            <w:instrText xml:space="preserve">PAGE  \* Arabic  \* MERGEFORMAT</w:instrText>
                          </w:r>
                          <w:r>
                            <w:rPr>
                              <w:rFonts w:hint="eastAsia" w:ascii="宋体" w:hAnsi="宋体" w:eastAsia="宋体" w:cs="宋体"/>
                              <w:sz w:val="16"/>
                              <w:szCs w:val="16"/>
                            </w:rPr>
                            <w:fldChar w:fldCharType="separate"/>
                          </w:r>
                          <w:r>
                            <w:rPr>
                              <w:rFonts w:hint="eastAsia" w:ascii="宋体" w:hAnsi="宋体" w:eastAsia="宋体" w:cs="宋体"/>
                              <w:sz w:val="16"/>
                              <w:szCs w:val="16"/>
                            </w:rPr>
                            <w:t>1</w:t>
                          </w:r>
                          <w:r>
                            <w:rPr>
                              <w:rFonts w:hint="eastAsia" w:ascii="宋体" w:hAnsi="宋体" w:eastAsia="宋体" w:cs="宋体"/>
                              <w:sz w:val="16"/>
                              <w:szCs w:val="16"/>
                            </w:rPr>
                            <w:fldChar w:fldCharType="end"/>
                          </w:r>
                          <w:r>
                            <w:rPr>
                              <w:rFonts w:hint="eastAsia" w:ascii="宋体" w:hAnsi="宋体" w:eastAsia="宋体" w:cs="宋体"/>
                              <w:sz w:val="16"/>
                              <w:szCs w:val="16"/>
                            </w:rPr>
                            <w:t>页，共</w:t>
                          </w:r>
                          <w:r>
                            <w:rPr>
                              <w:rFonts w:hint="eastAsia" w:ascii="宋体" w:hAnsi="宋体" w:eastAsia="宋体" w:cs="宋体"/>
                              <w:sz w:val="16"/>
                              <w:szCs w:val="16"/>
                              <w:lang w:val="en-US" w:eastAsia="zh-CN"/>
                            </w:rPr>
                            <w:t>4</w:t>
                          </w:r>
                          <w:r>
                            <w:rPr>
                              <w:rFonts w:hint="eastAsia" w:ascii="宋体" w:hAnsi="宋体" w:eastAsia="宋体" w:cs="宋体"/>
                              <w:sz w:val="16"/>
                              <w:szCs w:val="16"/>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16"/>
                        <w:szCs w:val="16"/>
                      </w:rPr>
                    </w:pPr>
                    <w:r>
                      <w:rPr>
                        <w:rFonts w:hint="eastAsia" w:ascii="宋体" w:hAnsi="宋体" w:eastAsia="宋体" w:cs="宋体"/>
                        <w:sz w:val="16"/>
                        <w:szCs w:val="16"/>
                      </w:rPr>
                      <w:t>工程名称:</w:t>
                    </w:r>
                    <w:r>
                      <w:rPr>
                        <w:rFonts w:hint="eastAsia" w:ascii="宋体" w:hAnsi="宋体" w:eastAsia="宋体" w:cs="宋体"/>
                        <w:sz w:val="16"/>
                        <w:szCs w:val="16"/>
                        <w:lang w:val="en-US" w:eastAsia="zh-CN"/>
                      </w:rPr>
                      <w:t xml:space="preserve">杭州电子科技大学教室室内粉刷及栏杆油漆和六教零星维修、图书馆栏杆刷漆工程           </w:t>
                    </w:r>
                    <w:r>
                      <w:rPr>
                        <w:rFonts w:hint="eastAsia" w:ascii="宋体" w:hAnsi="宋体" w:eastAsia="宋体" w:cs="宋体"/>
                        <w:sz w:val="16"/>
                        <w:szCs w:val="16"/>
                      </w:rPr>
                      <w:t>第</w:t>
                    </w:r>
                    <w:r>
                      <w:rPr>
                        <w:rFonts w:hint="eastAsia" w:ascii="宋体" w:hAnsi="宋体" w:eastAsia="宋体" w:cs="宋体"/>
                        <w:sz w:val="16"/>
                        <w:szCs w:val="16"/>
                      </w:rPr>
                      <w:fldChar w:fldCharType="begin"/>
                    </w:r>
                    <w:r>
                      <w:rPr>
                        <w:rFonts w:hint="eastAsia" w:ascii="宋体" w:hAnsi="宋体" w:eastAsia="宋体" w:cs="宋体"/>
                        <w:sz w:val="16"/>
                        <w:szCs w:val="16"/>
                      </w:rPr>
                      <w:instrText xml:space="preserve">PAGE  \* Arabic  \* MERGEFORMAT</w:instrText>
                    </w:r>
                    <w:r>
                      <w:rPr>
                        <w:rFonts w:hint="eastAsia" w:ascii="宋体" w:hAnsi="宋体" w:eastAsia="宋体" w:cs="宋体"/>
                        <w:sz w:val="16"/>
                        <w:szCs w:val="16"/>
                      </w:rPr>
                      <w:fldChar w:fldCharType="separate"/>
                    </w:r>
                    <w:r>
                      <w:rPr>
                        <w:rFonts w:hint="eastAsia" w:ascii="宋体" w:hAnsi="宋体" w:eastAsia="宋体" w:cs="宋体"/>
                        <w:sz w:val="16"/>
                        <w:szCs w:val="16"/>
                      </w:rPr>
                      <w:t>1</w:t>
                    </w:r>
                    <w:r>
                      <w:rPr>
                        <w:rFonts w:hint="eastAsia" w:ascii="宋体" w:hAnsi="宋体" w:eastAsia="宋体" w:cs="宋体"/>
                        <w:sz w:val="16"/>
                        <w:szCs w:val="16"/>
                      </w:rPr>
                      <w:fldChar w:fldCharType="end"/>
                    </w:r>
                    <w:r>
                      <w:rPr>
                        <w:rFonts w:hint="eastAsia" w:ascii="宋体" w:hAnsi="宋体" w:eastAsia="宋体" w:cs="宋体"/>
                        <w:sz w:val="16"/>
                        <w:szCs w:val="16"/>
                      </w:rPr>
                      <w:t>页，共</w:t>
                    </w:r>
                    <w:r>
                      <w:rPr>
                        <w:rFonts w:hint="eastAsia" w:ascii="宋体" w:hAnsi="宋体" w:eastAsia="宋体" w:cs="宋体"/>
                        <w:sz w:val="16"/>
                        <w:szCs w:val="16"/>
                        <w:lang w:val="en-US" w:eastAsia="zh-CN"/>
                      </w:rPr>
                      <w:t>4</w:t>
                    </w:r>
                    <w:r>
                      <w:rPr>
                        <w:rFonts w:hint="eastAsia" w:ascii="宋体" w:hAnsi="宋体" w:eastAsia="宋体" w:cs="宋体"/>
                        <w:sz w:val="16"/>
                        <w:szCs w:val="16"/>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8E5020"/>
    <w:rsid w:val="0C396B4C"/>
    <w:rsid w:val="0E613268"/>
    <w:rsid w:val="0F090DE9"/>
    <w:rsid w:val="12BF28AB"/>
    <w:rsid w:val="13347445"/>
    <w:rsid w:val="158F443B"/>
    <w:rsid w:val="17A4103D"/>
    <w:rsid w:val="17B943BD"/>
    <w:rsid w:val="18BA19F3"/>
    <w:rsid w:val="18E13BCB"/>
    <w:rsid w:val="19FB21BF"/>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092A51"/>
    <w:rsid w:val="2E6115DE"/>
    <w:rsid w:val="2EE638B2"/>
    <w:rsid w:val="315546E1"/>
    <w:rsid w:val="31643240"/>
    <w:rsid w:val="32421F05"/>
    <w:rsid w:val="3251196A"/>
    <w:rsid w:val="32D541E9"/>
    <w:rsid w:val="344572AC"/>
    <w:rsid w:val="35596F99"/>
    <w:rsid w:val="365232D0"/>
    <w:rsid w:val="376C67F2"/>
    <w:rsid w:val="38631C99"/>
    <w:rsid w:val="38741687"/>
    <w:rsid w:val="3B464036"/>
    <w:rsid w:val="3C601127"/>
    <w:rsid w:val="3CD4666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0113C98"/>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3127</Words>
  <Characters>3299</Characters>
  <Lines>37</Lines>
  <Paragraphs>10</Paragraphs>
  <TotalTime>0</TotalTime>
  <ScaleCrop>false</ScaleCrop>
  <LinksUpToDate>false</LinksUpToDate>
  <CharactersWithSpaces>3311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2024-07-09T08:24:41Z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CC07AE87BEEE4EF0BA3A4B2C2397955B</vt:lpwstr>
  </property>
</Properties>
</file>