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杭州电子科技大学下沙校区二教西侧电动车加盖停车棚工程（重新招标）</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杭州电子科技大学下沙校区二教西侧电动车加盖停车棚工程（重新招标）</w:t>
            </w:r>
            <w:r>
              <w:rPr>
                <w:rFonts w:hint="eastAsia" w:hAnsi="宋体" w:cs="宋体"/>
                <w:lang w:val="en-US" w:eastAsia="zh-CN"/>
              </w:rPr>
              <w:t>工程量清单内所有内容，二教西侧电动车加盖停车棚、钢结构雨棚、路面和绿化工程改造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改造面积约487平方米。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．《关于印发建设工程工程量计算规范（2013）浙江省补充规定的通知》（浙建站计﹝2013﹞63号）；</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．《浙江省建设工程计价规则》（2018版）；</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10.《关于增值税调整后我省建设工程计价依据增值税税率及有关计价调整的通知》（浙建建发[2019]92号 ）；</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12.《省建设厅关于调整建筑工程安全文明施工费的通知》（浙建建发[2022]37号）；</w:t>
            </w:r>
          </w:p>
          <w:p>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13.关于贯彻《省建设厅关于调整建筑工程安全文明施工费的通知》的通知（杭建市发[2022]54号）；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．施工现场实际情况、工程特点、常规施工方案；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．业主提供的设计图纸。</w:t>
            </w:r>
          </w:p>
          <w:p>
            <w:pPr>
              <w:pStyle w:val="7"/>
            </w:pPr>
          </w:p>
          <w:p>
            <w:pPr>
              <w:pStyle w:val="3"/>
              <w:tabs>
                <w:tab w:val="left" w:pos="3060"/>
              </w:tabs>
              <w:spacing w:line="360" w:lineRule="auto"/>
              <w:ind w:firstLine="1"/>
              <w:rPr>
                <w:rFonts w:hAnsi="宋体" w:cs="宋体"/>
                <w:color w:val="000000"/>
                <w:highlight w:val="none"/>
              </w:rPr>
            </w:pPr>
            <w:bookmarkStart w:id="0" w:name="_GoBack"/>
            <w:bookmarkEnd w:id="0"/>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钢板、</w:t>
            </w:r>
            <w:r>
              <w:rPr>
                <w:rFonts w:hint="eastAsia" w:ascii="宋体" w:hAnsi="宋体" w:eastAsia="宋体" w:cs="宋体"/>
                <w:color w:val="auto"/>
                <w:kern w:val="24"/>
                <w:sz w:val="21"/>
                <w:szCs w:val="21"/>
                <w:lang w:val="en-US" w:eastAsia="zh-CN"/>
              </w:rPr>
              <w:t>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3、停车棚车棚专用膜布材料按PVDF膜布计入；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4、所有钢构件应探伤检测采用抛丸（喷砂）除锈，除锈等级不低于Sa2.5级，所有不作防火要求的金属构件，耐火极限均应满足大于2.5h，经除锈后，刷二道环氧富锌底漆，二道氟碳面漆（颜色甲方定）；</w:t>
            </w:r>
          </w:p>
          <w:p>
            <w:pPr>
              <w:numPr>
                <w:ilvl w:val="0"/>
                <w:numId w:val="0"/>
              </w:numPr>
              <w:spacing w:line="360" w:lineRule="auto"/>
              <w:ind w:firstLine="420" w:firstLineChars="200"/>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5、车棚专用膜材需提供检测报告；</w:t>
            </w:r>
          </w:p>
          <w:p>
            <w:pPr>
              <w:numPr>
                <w:ilvl w:val="0"/>
                <w:numId w:val="0"/>
              </w:numPr>
              <w:spacing w:line="360" w:lineRule="auto"/>
              <w:ind w:firstLine="420" w:firstLineChars="200"/>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6、</w:t>
            </w:r>
            <w:r>
              <w:rPr>
                <w:rFonts w:hint="default" w:ascii="宋体" w:hAnsi="宋体" w:cs="宋体"/>
                <w:color w:val="auto"/>
                <w:kern w:val="24"/>
                <w:sz w:val="21"/>
                <w:szCs w:val="21"/>
                <w:highlight w:val="none"/>
                <w:lang w:val="en-US" w:eastAsia="zh-CN"/>
              </w:rPr>
              <w:t>配电箱AL1/AL2/AL3内预留回路各预留30m/回路</w:t>
            </w:r>
            <w:r>
              <w:rPr>
                <w:rFonts w:hint="eastAsia" w:ascii="宋体" w:hAnsi="宋体" w:cs="宋体"/>
                <w:color w:val="auto"/>
                <w:kern w:val="24"/>
                <w:sz w:val="21"/>
                <w:szCs w:val="21"/>
                <w:highlight w:val="none"/>
                <w:lang w:val="en-US" w:eastAsia="zh-CN"/>
              </w:rPr>
              <w:t>。</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钢结构</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精工钢构、杭萧钢构、中冶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车棚专用膜布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杜肯、法拉利、泰克斯</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 xml:space="preserve">杭州电子科技大学下沙校区二教西侧电动车加盖停车棚工程（重新招标）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6</w:t>
                          </w:r>
                          <w:r>
                            <w:rPr>
                              <w:rFonts w:hint="eastAsia" w:ascii="宋体" w:hAnsi="宋体" w:eastAsia="宋体" w:cs="宋体"/>
                              <w:sz w:val="18"/>
                              <w:szCs w:val="18"/>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 xml:space="preserve">杭州电子科技大学下沙校区二教西侧电动车加盖停车棚工程（重新招标）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6</w:t>
                    </w:r>
                    <w:r>
                      <w:rPr>
                        <w:rFonts w:hint="eastAsia" w:ascii="宋体" w:hAnsi="宋体" w:eastAsia="宋体" w:cs="宋体"/>
                        <w:sz w:val="18"/>
                        <w:szCs w:val="18"/>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1D95C1E"/>
    <w:rsid w:val="03366EA6"/>
    <w:rsid w:val="0C023CE8"/>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31177A3"/>
    <w:rsid w:val="246C2EE2"/>
    <w:rsid w:val="24AB704C"/>
    <w:rsid w:val="25537BFE"/>
    <w:rsid w:val="2583364F"/>
    <w:rsid w:val="26181E3F"/>
    <w:rsid w:val="26B13726"/>
    <w:rsid w:val="27160108"/>
    <w:rsid w:val="2801460D"/>
    <w:rsid w:val="28071C69"/>
    <w:rsid w:val="28136AE6"/>
    <w:rsid w:val="28940A5E"/>
    <w:rsid w:val="2A812940"/>
    <w:rsid w:val="2AFC6642"/>
    <w:rsid w:val="2B7D5822"/>
    <w:rsid w:val="2B8D57C9"/>
    <w:rsid w:val="2C183950"/>
    <w:rsid w:val="2E6115DE"/>
    <w:rsid w:val="2EE638B2"/>
    <w:rsid w:val="2F887249"/>
    <w:rsid w:val="315546E1"/>
    <w:rsid w:val="32421F05"/>
    <w:rsid w:val="3251196A"/>
    <w:rsid w:val="32D541E9"/>
    <w:rsid w:val="344572AC"/>
    <w:rsid w:val="352031AD"/>
    <w:rsid w:val="35596F99"/>
    <w:rsid w:val="38631C99"/>
    <w:rsid w:val="38741687"/>
    <w:rsid w:val="3B464036"/>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674EA4"/>
    <w:rsid w:val="56C63E25"/>
    <w:rsid w:val="57255D0E"/>
    <w:rsid w:val="578564E2"/>
    <w:rsid w:val="585821BA"/>
    <w:rsid w:val="587766E0"/>
    <w:rsid w:val="588C69A8"/>
    <w:rsid w:val="591F3539"/>
    <w:rsid w:val="5C5F065B"/>
    <w:rsid w:val="5CE9261B"/>
    <w:rsid w:val="5F681F1D"/>
    <w:rsid w:val="5FDE3F8D"/>
    <w:rsid w:val="60E418C3"/>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autoRedefine/>
    <w:qFormat/>
    <w:uiPriority w:val="0"/>
    <w:rPr>
      <w:kern w:val="2"/>
      <w:sz w:val="18"/>
      <w:szCs w:val="18"/>
    </w:rPr>
  </w:style>
  <w:style w:type="character" w:customStyle="1" w:styleId="15">
    <w:name w:val="页脚 字符"/>
    <w:basedOn w:val="10"/>
    <w:link w:val="5"/>
    <w:autoRedefine/>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1</TotalTime>
  <ScaleCrop>false</ScaleCrop>
  <LinksUpToDate>false</LinksUpToDate>
  <CharactersWithSpaces>4610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2024-04-08T07:07:58Z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CC07AE87BEEE4EF0BA3A4B2C2397955B</vt:lpwstr>
  </property>
</Properties>
</file>